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A8C55">
      <w:pPr>
        <w:spacing w:line="360" w:lineRule="auto"/>
        <w:rPr>
          <w:rFonts w:hint="eastAsia" w:ascii="宋体" w:hAnsi="宋体" w:eastAsia="宋体" w:cs="宋体"/>
          <w:b/>
          <w:sz w:val="44"/>
          <w:szCs w:val="44"/>
        </w:rPr>
      </w:pPr>
    </w:p>
    <w:p w14:paraId="22B93DD5">
      <w:pPr>
        <w:spacing w:line="360" w:lineRule="auto"/>
        <w:jc w:val="center"/>
        <w:outlineLvl w:val="0"/>
        <w:rPr>
          <w:rFonts w:hint="eastAsia" w:ascii="宋体" w:hAnsi="宋体" w:eastAsia="宋体" w:cs="宋体"/>
          <w:b/>
          <w:sz w:val="44"/>
          <w:szCs w:val="44"/>
        </w:rPr>
      </w:pPr>
      <w:r>
        <w:rPr>
          <w:rFonts w:hint="eastAsia" w:ascii="宋体" w:hAnsi="宋体" w:eastAsia="宋体" w:cs="宋体"/>
          <w:b/>
          <w:sz w:val="44"/>
          <w:szCs w:val="44"/>
        </w:rPr>
        <w:t>义乌市有限空间智慧监测预警系统采购</w:t>
      </w:r>
    </w:p>
    <w:p w14:paraId="49D5E12F">
      <w:pPr>
        <w:spacing w:line="360" w:lineRule="auto"/>
        <w:jc w:val="center"/>
        <w:rPr>
          <w:rFonts w:hint="eastAsia" w:ascii="宋体" w:hAnsi="宋体" w:eastAsia="宋体" w:cs="宋体"/>
          <w:b/>
          <w:sz w:val="44"/>
          <w:szCs w:val="44"/>
        </w:rPr>
      </w:pPr>
    </w:p>
    <w:p w14:paraId="1653CB3C">
      <w:pPr>
        <w:tabs>
          <w:tab w:val="center" w:pos="4677"/>
          <w:tab w:val="left" w:pos="7365"/>
        </w:tabs>
        <w:spacing w:line="360" w:lineRule="auto"/>
        <w:jc w:val="center"/>
        <w:rPr>
          <w:rFonts w:hint="eastAsia" w:ascii="宋体" w:hAnsi="宋体" w:eastAsia="宋体" w:cs="宋体"/>
          <w:b/>
          <w:bCs/>
          <w:sz w:val="36"/>
          <w:szCs w:val="36"/>
        </w:rPr>
      </w:pPr>
    </w:p>
    <w:p w14:paraId="7D666E54">
      <w:pPr>
        <w:tabs>
          <w:tab w:val="center" w:pos="4677"/>
          <w:tab w:val="left" w:pos="7365"/>
        </w:tabs>
        <w:spacing w:line="360" w:lineRule="auto"/>
        <w:jc w:val="center"/>
        <w:rPr>
          <w:rFonts w:hint="eastAsia" w:ascii="宋体" w:hAnsi="宋体" w:eastAsia="宋体" w:cs="宋体"/>
          <w:sz w:val="52"/>
        </w:rPr>
      </w:pPr>
      <w:r>
        <w:rPr>
          <w:rFonts w:hint="eastAsia" w:ascii="宋体" w:hAnsi="宋体" w:eastAsia="宋体" w:cs="宋体"/>
          <w:b/>
          <w:bCs/>
          <w:sz w:val="72"/>
        </w:rPr>
        <w:t>招标文件</w:t>
      </w:r>
    </w:p>
    <w:p w14:paraId="232009A2">
      <w:pPr>
        <w:spacing w:line="360" w:lineRule="auto"/>
        <w:jc w:val="center"/>
        <w:rPr>
          <w:rFonts w:hint="eastAsia" w:ascii="宋体" w:hAnsi="宋体" w:eastAsia="宋体" w:cs="宋体"/>
          <w:b/>
          <w:bCs/>
          <w:sz w:val="32"/>
        </w:rPr>
      </w:pPr>
    </w:p>
    <w:p w14:paraId="7067E666">
      <w:pPr>
        <w:spacing w:line="360" w:lineRule="auto"/>
        <w:jc w:val="center"/>
        <w:rPr>
          <w:rFonts w:hint="eastAsia" w:ascii="宋体" w:hAnsi="宋体" w:eastAsia="宋体" w:cs="宋体"/>
          <w:b/>
          <w:bCs/>
          <w:sz w:val="32"/>
          <w:u w:val="single"/>
        </w:rPr>
      </w:pPr>
      <w:r>
        <w:rPr>
          <w:rFonts w:hint="eastAsia" w:ascii="宋体" w:hAnsi="宋体" w:eastAsia="宋体" w:cs="宋体"/>
          <w:b/>
          <w:bCs/>
          <w:sz w:val="32"/>
        </w:rPr>
        <w:t>采购编号：ZJKP2024YW198G</w:t>
      </w:r>
    </w:p>
    <w:p w14:paraId="2FA65418">
      <w:pPr>
        <w:spacing w:line="360" w:lineRule="auto"/>
        <w:jc w:val="center"/>
        <w:rPr>
          <w:rFonts w:hint="eastAsia" w:ascii="宋体" w:hAnsi="宋体" w:eastAsia="宋体" w:cs="宋体"/>
          <w:b/>
          <w:bCs/>
          <w:sz w:val="32"/>
        </w:rPr>
      </w:pPr>
    </w:p>
    <w:p w14:paraId="1257E98F">
      <w:pPr>
        <w:spacing w:line="360" w:lineRule="auto"/>
        <w:jc w:val="center"/>
        <w:rPr>
          <w:rFonts w:hint="eastAsia" w:ascii="宋体" w:hAnsi="宋体" w:eastAsia="宋体" w:cs="宋体"/>
          <w:b/>
          <w:bCs/>
          <w:sz w:val="36"/>
        </w:rPr>
      </w:pPr>
    </w:p>
    <w:p w14:paraId="0C821B59">
      <w:pPr>
        <w:spacing w:line="360" w:lineRule="auto"/>
        <w:jc w:val="center"/>
        <w:rPr>
          <w:rFonts w:hint="eastAsia" w:ascii="宋体" w:hAnsi="宋体" w:eastAsia="宋体" w:cs="宋体"/>
          <w:b/>
          <w:bCs/>
          <w:sz w:val="36"/>
        </w:rPr>
      </w:pPr>
    </w:p>
    <w:p w14:paraId="3C763E56">
      <w:pPr>
        <w:spacing w:line="360" w:lineRule="auto"/>
        <w:jc w:val="center"/>
        <w:rPr>
          <w:rFonts w:hint="eastAsia" w:ascii="宋体" w:hAnsi="宋体" w:eastAsia="宋体" w:cs="宋体"/>
          <w:b/>
          <w:bCs/>
          <w:sz w:val="36"/>
        </w:rPr>
      </w:pPr>
    </w:p>
    <w:p w14:paraId="43DECCF6">
      <w:pPr>
        <w:spacing w:line="360" w:lineRule="auto"/>
        <w:jc w:val="center"/>
        <w:rPr>
          <w:rFonts w:hint="eastAsia" w:ascii="宋体" w:hAnsi="宋体" w:eastAsia="宋体" w:cs="宋体"/>
          <w:b/>
          <w:bCs/>
          <w:sz w:val="36"/>
        </w:rPr>
      </w:pPr>
    </w:p>
    <w:p w14:paraId="0D3457BA"/>
    <w:p w14:paraId="4B626FD6">
      <w:pPr>
        <w:spacing w:line="360" w:lineRule="auto"/>
        <w:jc w:val="center"/>
        <w:rPr>
          <w:rFonts w:hint="eastAsia" w:ascii="宋体" w:hAnsi="宋体" w:eastAsia="宋体" w:cs="宋体"/>
          <w:b/>
          <w:bCs/>
          <w:sz w:val="36"/>
        </w:rPr>
      </w:pPr>
    </w:p>
    <w:p w14:paraId="74DFBC08">
      <w:pPr>
        <w:spacing w:line="360" w:lineRule="auto"/>
        <w:jc w:val="center"/>
        <w:rPr>
          <w:rFonts w:hint="eastAsia" w:ascii="宋体" w:hAnsi="宋体" w:eastAsia="宋体" w:cs="宋体"/>
          <w:b/>
          <w:bCs/>
          <w:sz w:val="36"/>
        </w:rPr>
      </w:pPr>
    </w:p>
    <w:p w14:paraId="17B1446A">
      <w:pPr>
        <w:spacing w:line="360" w:lineRule="auto"/>
        <w:rPr>
          <w:rFonts w:hint="eastAsia" w:ascii="宋体" w:hAnsi="宋体" w:eastAsia="宋体" w:cs="宋体"/>
          <w:b/>
          <w:bCs/>
          <w:sz w:val="36"/>
        </w:rPr>
      </w:pPr>
    </w:p>
    <w:p w14:paraId="51FC2FD4">
      <w:pPr>
        <w:spacing w:line="360" w:lineRule="auto"/>
        <w:jc w:val="center"/>
        <w:rPr>
          <w:rFonts w:hint="eastAsia" w:ascii="宋体" w:hAnsi="宋体" w:eastAsia="宋体" w:cs="宋体"/>
          <w:b/>
          <w:bCs/>
          <w:sz w:val="36"/>
        </w:rPr>
      </w:pPr>
      <w:bookmarkStart w:id="0" w:name="OLE_LINK1"/>
      <w:bookmarkStart w:id="1" w:name="OLE_LINK2"/>
      <w:r>
        <w:rPr>
          <w:rFonts w:hint="eastAsia" w:ascii="宋体" w:hAnsi="宋体" w:eastAsia="宋体" w:cs="宋体"/>
          <w:b/>
          <w:bCs/>
          <w:sz w:val="36"/>
        </w:rPr>
        <w:t>义乌市应急管理局</w:t>
      </w:r>
    </w:p>
    <w:p w14:paraId="13AE421E">
      <w:pPr>
        <w:spacing w:line="360" w:lineRule="auto"/>
        <w:jc w:val="center"/>
        <w:rPr>
          <w:rFonts w:hint="eastAsia" w:ascii="宋体" w:hAnsi="宋体" w:eastAsia="宋体" w:cs="宋体"/>
          <w:b/>
          <w:bCs/>
          <w:sz w:val="36"/>
        </w:rPr>
      </w:pPr>
      <w:r>
        <w:rPr>
          <w:rFonts w:hint="eastAsia" w:ascii="宋体" w:hAnsi="宋体" w:eastAsia="宋体" w:cs="宋体"/>
          <w:b/>
          <w:bCs/>
          <w:sz w:val="36"/>
        </w:rPr>
        <w:t>浙江开平企业管理咨询有限公司</w:t>
      </w:r>
      <w:bookmarkEnd w:id="0"/>
      <w:bookmarkEnd w:id="1"/>
    </w:p>
    <w:p w14:paraId="6C4823AD">
      <w:pPr>
        <w:spacing w:line="360" w:lineRule="auto"/>
        <w:jc w:val="center"/>
        <w:rPr>
          <w:rFonts w:hint="eastAsia" w:ascii="宋体" w:hAnsi="宋体" w:eastAsia="宋体" w:cs="宋体"/>
          <w:b/>
          <w:bCs/>
          <w:sz w:val="36"/>
        </w:rPr>
      </w:pPr>
      <w:r>
        <w:rPr>
          <w:rFonts w:hint="eastAsia" w:ascii="宋体" w:hAnsi="宋体" w:eastAsia="宋体" w:cs="宋体"/>
          <w:b/>
          <w:bCs/>
          <w:sz w:val="36"/>
        </w:rPr>
        <w:t>二〇二四年</w:t>
      </w:r>
      <w:r>
        <w:rPr>
          <w:rFonts w:hint="eastAsia" w:ascii="宋体" w:hAnsi="宋体" w:eastAsia="宋体" w:cs="宋体"/>
          <w:b/>
          <w:bCs/>
          <w:sz w:val="36"/>
          <w:lang w:val="en-US" w:eastAsia="zh-CN"/>
        </w:rPr>
        <w:t>九</w:t>
      </w:r>
      <w:r>
        <w:rPr>
          <w:rFonts w:hint="eastAsia" w:ascii="宋体" w:hAnsi="宋体" w:eastAsia="宋体" w:cs="宋体"/>
          <w:b/>
          <w:bCs/>
          <w:sz w:val="36"/>
        </w:rPr>
        <w:t>月</w:t>
      </w:r>
    </w:p>
    <w:p w14:paraId="254D09E8">
      <w:pPr>
        <w:pStyle w:val="15"/>
        <w:spacing w:line="360" w:lineRule="auto"/>
        <w:ind w:firstLine="883" w:firstLineChars="200"/>
        <w:jc w:val="center"/>
        <w:rPr>
          <w:rFonts w:hint="eastAsia" w:hAnsi="宋体" w:cs="宋体"/>
          <w:b/>
          <w:sz w:val="44"/>
          <w:szCs w:val="44"/>
        </w:rPr>
        <w:sectPr>
          <w:headerReference r:id="rId3" w:type="default"/>
          <w:pgSz w:w="11906" w:h="16838"/>
          <w:pgMar w:top="1440" w:right="1800" w:bottom="1440" w:left="1800" w:header="851" w:footer="992" w:gutter="0"/>
          <w:cols w:space="425" w:num="1"/>
          <w:docGrid w:type="lines" w:linePitch="312" w:charSpace="0"/>
        </w:sectPr>
      </w:pPr>
    </w:p>
    <w:p w14:paraId="18E74C04">
      <w:pPr>
        <w:pStyle w:val="15"/>
        <w:spacing w:line="360" w:lineRule="auto"/>
        <w:ind w:firstLine="883" w:firstLineChars="200"/>
        <w:jc w:val="center"/>
        <w:outlineLvl w:val="0"/>
        <w:rPr>
          <w:rFonts w:hint="eastAsia" w:hAnsi="宋体" w:cs="宋体"/>
          <w:b/>
          <w:sz w:val="44"/>
          <w:szCs w:val="44"/>
        </w:rPr>
      </w:pPr>
      <w:r>
        <w:rPr>
          <w:rFonts w:hint="eastAsia" w:hAnsi="宋体" w:cs="宋体"/>
          <w:b/>
          <w:sz w:val="44"/>
          <w:szCs w:val="44"/>
        </w:rPr>
        <w:t>招标文件目录</w:t>
      </w:r>
    </w:p>
    <w:p w14:paraId="38FA5AA3">
      <w:pPr>
        <w:pStyle w:val="21"/>
        <w:rPr>
          <w:rFonts w:hint="eastAsia" w:ascii="宋体" w:hAnsi="宋体" w:cs="宋体"/>
          <w:b/>
        </w:rPr>
      </w:pPr>
    </w:p>
    <w:p w14:paraId="208399D1">
      <w:pPr>
        <w:pStyle w:val="21"/>
        <w:rPr>
          <w:rFonts w:hint="eastAsia" w:ascii="宋体" w:hAnsi="宋体" w:cs="宋体"/>
          <w:b/>
          <w:bCs/>
          <w:sz w:val="21"/>
        </w:rPr>
      </w:pPr>
      <w:r>
        <w:rPr>
          <w:rFonts w:hint="eastAsia" w:ascii="宋体" w:hAnsi="宋体" w:cs="宋体"/>
          <w:b/>
        </w:rPr>
        <w:fldChar w:fldCharType="begin"/>
      </w:r>
      <w:r>
        <w:rPr>
          <w:rFonts w:hint="eastAsia" w:ascii="宋体" w:hAnsi="宋体" w:cs="宋体"/>
          <w:b/>
        </w:rPr>
        <w:instrText xml:space="preserve"> TOC \o "1-3" \h \z \u </w:instrText>
      </w:r>
      <w:r>
        <w:rPr>
          <w:rFonts w:hint="eastAsia" w:ascii="宋体" w:hAnsi="宋体" w:cs="宋体"/>
          <w:b/>
        </w:rPr>
        <w:fldChar w:fldCharType="separate"/>
      </w:r>
      <w:r>
        <w:fldChar w:fldCharType="begin"/>
      </w:r>
      <w:r>
        <w:instrText xml:space="preserve"> HYPERLINK \l "_Toc362250684" </w:instrText>
      </w:r>
      <w:r>
        <w:fldChar w:fldCharType="separate"/>
      </w:r>
      <w:r>
        <w:rPr>
          <w:rStyle w:val="32"/>
          <w:rFonts w:hint="eastAsia" w:ascii="宋体" w:hAnsi="宋体" w:cs="宋体"/>
          <w:color w:val="auto"/>
        </w:rPr>
        <w:t>第一章　采购公告</w:t>
      </w:r>
      <w:r>
        <w:rPr>
          <w:rStyle w:val="32"/>
          <w:rFonts w:hint="eastAsia" w:ascii="宋体" w:hAnsi="宋体" w:cs="宋体"/>
          <w:color w:val="auto"/>
        </w:rPr>
        <w:fldChar w:fldCharType="end"/>
      </w:r>
    </w:p>
    <w:p w14:paraId="7EB5E5A6">
      <w:pPr>
        <w:pStyle w:val="21"/>
        <w:rPr>
          <w:rStyle w:val="32"/>
          <w:rFonts w:hint="eastAsia" w:ascii="宋体" w:hAnsi="宋体" w:cs="宋体"/>
          <w:color w:val="auto"/>
        </w:rPr>
      </w:pPr>
    </w:p>
    <w:p w14:paraId="01EFCE47">
      <w:pPr>
        <w:pStyle w:val="21"/>
        <w:rPr>
          <w:rFonts w:hint="eastAsia" w:ascii="宋体" w:hAnsi="宋体" w:cs="宋体"/>
          <w:b/>
          <w:bCs/>
          <w:sz w:val="21"/>
        </w:rPr>
      </w:pPr>
      <w:r>
        <w:fldChar w:fldCharType="begin"/>
      </w:r>
      <w:r>
        <w:instrText xml:space="preserve"> HYPERLINK \l "_Toc362250685" </w:instrText>
      </w:r>
      <w:r>
        <w:fldChar w:fldCharType="separate"/>
      </w:r>
      <w:r>
        <w:rPr>
          <w:rStyle w:val="32"/>
          <w:rFonts w:hint="eastAsia" w:ascii="宋体" w:hAnsi="宋体" w:cs="宋体"/>
          <w:color w:val="auto"/>
        </w:rPr>
        <w:t>第二章　投标须知和投标须知前附表</w:t>
      </w:r>
      <w:r>
        <w:rPr>
          <w:rStyle w:val="32"/>
          <w:rFonts w:hint="eastAsia" w:ascii="宋体" w:hAnsi="宋体" w:cs="宋体"/>
          <w:color w:val="auto"/>
        </w:rPr>
        <w:fldChar w:fldCharType="end"/>
      </w:r>
    </w:p>
    <w:p w14:paraId="547FE906">
      <w:pPr>
        <w:pStyle w:val="21"/>
        <w:rPr>
          <w:rStyle w:val="32"/>
          <w:rFonts w:hint="eastAsia" w:ascii="宋体" w:hAnsi="宋体" w:cs="宋体"/>
          <w:color w:val="auto"/>
        </w:rPr>
      </w:pPr>
    </w:p>
    <w:p w14:paraId="0BEC3070">
      <w:pPr>
        <w:pStyle w:val="21"/>
        <w:rPr>
          <w:rFonts w:hint="eastAsia" w:ascii="宋体" w:hAnsi="宋体" w:cs="宋体"/>
          <w:b/>
          <w:bCs/>
          <w:sz w:val="21"/>
        </w:rPr>
      </w:pPr>
      <w:r>
        <w:fldChar w:fldCharType="begin"/>
      </w:r>
      <w:r>
        <w:instrText xml:space="preserve"> HYPERLINK \l "_Toc362250692" </w:instrText>
      </w:r>
      <w:r>
        <w:fldChar w:fldCharType="separate"/>
      </w:r>
      <w:r>
        <w:rPr>
          <w:rStyle w:val="32"/>
          <w:rFonts w:hint="eastAsia" w:ascii="宋体" w:hAnsi="宋体" w:cs="宋体"/>
          <w:color w:val="auto"/>
        </w:rPr>
        <w:t>第三章  招标项目内容及技术要求</w:t>
      </w:r>
      <w:r>
        <w:rPr>
          <w:rStyle w:val="32"/>
          <w:rFonts w:hint="eastAsia" w:ascii="宋体" w:hAnsi="宋体" w:cs="宋体"/>
          <w:color w:val="auto"/>
        </w:rPr>
        <w:fldChar w:fldCharType="end"/>
      </w:r>
    </w:p>
    <w:p w14:paraId="4ADA4643">
      <w:pPr>
        <w:pStyle w:val="21"/>
        <w:tabs>
          <w:tab w:val="left" w:pos="1260"/>
        </w:tabs>
        <w:rPr>
          <w:rStyle w:val="32"/>
          <w:rFonts w:hint="eastAsia" w:ascii="宋体" w:hAnsi="宋体" w:cs="宋体"/>
          <w:color w:val="auto"/>
        </w:rPr>
      </w:pPr>
    </w:p>
    <w:p w14:paraId="6795C133">
      <w:pPr>
        <w:pStyle w:val="21"/>
        <w:tabs>
          <w:tab w:val="left" w:pos="1020"/>
        </w:tabs>
        <w:rPr>
          <w:rFonts w:hint="eastAsia" w:ascii="宋体" w:hAnsi="宋体" w:cs="宋体"/>
          <w:b/>
          <w:bCs/>
          <w:sz w:val="21"/>
        </w:rPr>
      </w:pPr>
      <w:r>
        <w:fldChar w:fldCharType="begin"/>
      </w:r>
      <w:r>
        <w:instrText xml:space="preserve"> HYPERLINK \l "_Toc362250703" </w:instrText>
      </w:r>
      <w:r>
        <w:fldChar w:fldCharType="separate"/>
      </w:r>
      <w:r>
        <w:rPr>
          <w:rStyle w:val="32"/>
          <w:rFonts w:hint="eastAsia" w:ascii="宋体" w:hAnsi="宋体" w:cs="宋体"/>
          <w:color w:val="auto"/>
        </w:rPr>
        <w:t>第四章</w:t>
      </w:r>
      <w:r>
        <w:rPr>
          <w:rFonts w:hint="eastAsia" w:ascii="宋体" w:hAnsi="宋体" w:cs="宋体"/>
          <w:b/>
          <w:bCs/>
          <w:sz w:val="21"/>
        </w:rPr>
        <w:tab/>
      </w:r>
      <w:r>
        <w:rPr>
          <w:rStyle w:val="32"/>
          <w:rFonts w:hint="eastAsia" w:ascii="宋体" w:hAnsi="宋体" w:cs="宋体"/>
          <w:color w:val="auto"/>
        </w:rPr>
        <w:t>开标、评标和定标须知</w:t>
      </w:r>
      <w:r>
        <w:rPr>
          <w:rStyle w:val="32"/>
          <w:rFonts w:hint="eastAsia" w:ascii="宋体" w:hAnsi="宋体" w:cs="宋体"/>
          <w:color w:val="auto"/>
        </w:rPr>
        <w:fldChar w:fldCharType="end"/>
      </w:r>
    </w:p>
    <w:p w14:paraId="20FBB317">
      <w:pPr>
        <w:pStyle w:val="21"/>
        <w:rPr>
          <w:rStyle w:val="32"/>
          <w:rFonts w:hint="eastAsia" w:ascii="宋体" w:hAnsi="宋体" w:cs="宋体"/>
          <w:color w:val="auto"/>
        </w:rPr>
      </w:pPr>
    </w:p>
    <w:p w14:paraId="132E7CCB">
      <w:pPr>
        <w:pStyle w:val="21"/>
        <w:rPr>
          <w:rFonts w:hint="eastAsia" w:ascii="宋体" w:hAnsi="宋体" w:cs="宋体"/>
          <w:b/>
          <w:bCs/>
          <w:sz w:val="21"/>
        </w:rPr>
      </w:pPr>
      <w:r>
        <w:fldChar w:fldCharType="begin"/>
      </w:r>
      <w:r>
        <w:instrText xml:space="preserve"> HYPERLINK \l "_Toc362250707" </w:instrText>
      </w:r>
      <w:r>
        <w:fldChar w:fldCharType="separate"/>
      </w:r>
      <w:r>
        <w:rPr>
          <w:rStyle w:val="32"/>
          <w:rFonts w:hint="eastAsia" w:ascii="宋体" w:hAnsi="宋体" w:cs="宋体"/>
          <w:color w:val="auto"/>
        </w:rPr>
        <w:t>第五章  投标文件的有效性</w:t>
      </w:r>
      <w:r>
        <w:rPr>
          <w:rStyle w:val="32"/>
          <w:rFonts w:hint="eastAsia" w:ascii="宋体" w:hAnsi="宋体" w:cs="宋体"/>
          <w:color w:val="auto"/>
        </w:rPr>
        <w:fldChar w:fldCharType="end"/>
      </w:r>
    </w:p>
    <w:p w14:paraId="75F32C85">
      <w:pPr>
        <w:pStyle w:val="21"/>
        <w:rPr>
          <w:rStyle w:val="32"/>
          <w:rFonts w:hint="eastAsia" w:ascii="宋体" w:hAnsi="宋体" w:cs="宋体"/>
          <w:color w:val="auto"/>
        </w:rPr>
      </w:pPr>
    </w:p>
    <w:p w14:paraId="41033070">
      <w:pPr>
        <w:pStyle w:val="21"/>
        <w:rPr>
          <w:rFonts w:hint="eastAsia" w:ascii="宋体" w:hAnsi="宋体" w:cs="宋体"/>
          <w:b/>
          <w:bCs/>
          <w:sz w:val="21"/>
        </w:rPr>
      </w:pPr>
      <w:r>
        <w:fldChar w:fldCharType="begin"/>
      </w:r>
      <w:r>
        <w:instrText xml:space="preserve"> HYPERLINK \l "_Toc362250708" </w:instrText>
      </w:r>
      <w:r>
        <w:fldChar w:fldCharType="separate"/>
      </w:r>
      <w:r>
        <w:rPr>
          <w:rStyle w:val="32"/>
          <w:rFonts w:hint="eastAsia" w:ascii="宋体" w:hAnsi="宋体" w:cs="宋体"/>
          <w:color w:val="auto"/>
        </w:rPr>
        <w:t>第六章  评标办法</w:t>
      </w:r>
      <w:r>
        <w:rPr>
          <w:rStyle w:val="32"/>
          <w:rFonts w:hint="eastAsia" w:ascii="宋体" w:hAnsi="宋体" w:cs="宋体"/>
          <w:color w:val="auto"/>
        </w:rPr>
        <w:fldChar w:fldCharType="end"/>
      </w:r>
    </w:p>
    <w:p w14:paraId="582E7305">
      <w:pPr>
        <w:pStyle w:val="21"/>
        <w:rPr>
          <w:rStyle w:val="32"/>
          <w:rFonts w:hint="eastAsia" w:ascii="宋体" w:hAnsi="宋体" w:cs="宋体"/>
          <w:color w:val="auto"/>
        </w:rPr>
      </w:pPr>
    </w:p>
    <w:p w14:paraId="2508345E">
      <w:pPr>
        <w:pStyle w:val="21"/>
        <w:rPr>
          <w:rFonts w:hint="eastAsia" w:ascii="宋体" w:hAnsi="宋体" w:cs="宋体"/>
          <w:b/>
          <w:bCs/>
          <w:sz w:val="21"/>
        </w:rPr>
      </w:pPr>
      <w:r>
        <w:fldChar w:fldCharType="begin"/>
      </w:r>
      <w:r>
        <w:instrText xml:space="preserve"> HYPERLINK \l "_Toc362250711" </w:instrText>
      </w:r>
      <w:r>
        <w:fldChar w:fldCharType="separate"/>
      </w:r>
      <w:r>
        <w:rPr>
          <w:rStyle w:val="32"/>
          <w:rFonts w:hint="eastAsia" w:ascii="宋体" w:hAnsi="宋体" w:cs="宋体"/>
          <w:color w:val="auto"/>
        </w:rPr>
        <w:t>第七章  合同主要条款</w:t>
      </w:r>
      <w:r>
        <w:rPr>
          <w:rStyle w:val="32"/>
          <w:rFonts w:hint="eastAsia" w:ascii="宋体" w:hAnsi="宋体" w:cs="宋体"/>
          <w:color w:val="auto"/>
        </w:rPr>
        <w:fldChar w:fldCharType="end"/>
      </w:r>
    </w:p>
    <w:p w14:paraId="7AB836EB">
      <w:pPr>
        <w:pStyle w:val="21"/>
        <w:rPr>
          <w:rStyle w:val="32"/>
          <w:rFonts w:hint="eastAsia" w:ascii="宋体" w:hAnsi="宋体" w:cs="宋体"/>
          <w:color w:val="auto"/>
        </w:rPr>
      </w:pPr>
    </w:p>
    <w:p w14:paraId="2D0E1018">
      <w:pPr>
        <w:pStyle w:val="21"/>
        <w:rPr>
          <w:rFonts w:hint="eastAsia" w:ascii="宋体" w:hAnsi="宋体" w:cs="宋体"/>
          <w:b/>
          <w:bCs/>
          <w:sz w:val="21"/>
        </w:rPr>
      </w:pPr>
      <w:r>
        <w:fldChar w:fldCharType="begin"/>
      </w:r>
      <w:r>
        <w:instrText xml:space="preserve"> HYPERLINK \l "_Toc362250712" </w:instrText>
      </w:r>
      <w:r>
        <w:fldChar w:fldCharType="separate"/>
      </w:r>
      <w:r>
        <w:rPr>
          <w:rStyle w:val="32"/>
          <w:rFonts w:hint="eastAsia" w:ascii="宋体" w:hAnsi="宋体" w:cs="宋体"/>
          <w:color w:val="auto"/>
        </w:rPr>
        <w:t>第八章  投标文件部分格式</w:t>
      </w:r>
      <w:r>
        <w:rPr>
          <w:rStyle w:val="32"/>
          <w:rFonts w:hint="eastAsia" w:ascii="宋体" w:hAnsi="宋体" w:cs="宋体"/>
          <w:color w:val="auto"/>
        </w:rPr>
        <w:fldChar w:fldCharType="end"/>
      </w:r>
    </w:p>
    <w:p w14:paraId="1733AA56">
      <w:pPr>
        <w:spacing w:line="360" w:lineRule="auto"/>
        <w:jc w:val="center"/>
        <w:rPr>
          <w:rFonts w:hint="eastAsia" w:ascii="宋体" w:hAnsi="宋体" w:eastAsia="宋体" w:cs="宋体"/>
          <w:b/>
          <w:szCs w:val="30"/>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szCs w:val="30"/>
        </w:rPr>
        <w:fldChar w:fldCharType="end"/>
      </w:r>
    </w:p>
    <w:p w14:paraId="535A9373">
      <w:pPr>
        <w:pStyle w:val="4"/>
        <w:spacing w:line="360" w:lineRule="auto"/>
        <w:jc w:val="center"/>
        <w:rPr>
          <w:rFonts w:hint="eastAsia" w:ascii="宋体" w:hAnsi="宋体" w:eastAsia="宋体" w:cs="宋体"/>
          <w:sz w:val="36"/>
        </w:rPr>
      </w:pPr>
      <w:r>
        <w:rPr>
          <w:rFonts w:hint="eastAsia" w:ascii="宋体" w:hAnsi="宋体" w:eastAsia="宋体" w:cs="宋体"/>
          <w:sz w:val="36"/>
        </w:rPr>
        <w:t>第一章　采购公告</w:t>
      </w:r>
    </w:p>
    <w:p w14:paraId="5AB18E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根据《中华人民共和国政府采购法》等有关规定，浙江开平企业管理咨询有限公司受义乌市应急管理局的委托，</w:t>
      </w:r>
      <w:r>
        <w:rPr>
          <w:rFonts w:hint="eastAsia" w:ascii="宋体" w:hAnsi="宋体" w:eastAsia="宋体" w:cs="宋体"/>
          <w:kern w:val="0"/>
          <w:sz w:val="24"/>
          <w:szCs w:val="24"/>
        </w:rPr>
        <w:t>就有限空间智慧监测预警系统项目</w:t>
      </w:r>
      <w:r>
        <w:rPr>
          <w:rFonts w:hint="eastAsia" w:ascii="宋体" w:hAnsi="宋体" w:eastAsia="宋体" w:cs="宋体"/>
          <w:sz w:val="24"/>
          <w:szCs w:val="24"/>
        </w:rPr>
        <w:t>进行</w:t>
      </w:r>
      <w:r>
        <w:rPr>
          <w:rFonts w:hint="eastAsia" w:ascii="宋体" w:hAnsi="宋体" w:eastAsia="宋体" w:cs="宋体"/>
          <w:bCs/>
          <w:sz w:val="24"/>
          <w:szCs w:val="24"/>
          <w:u w:val="single"/>
        </w:rPr>
        <w:t>公开招标</w:t>
      </w:r>
      <w:r>
        <w:rPr>
          <w:rFonts w:hint="eastAsia" w:ascii="宋体" w:hAnsi="宋体" w:eastAsia="宋体" w:cs="宋体"/>
          <w:sz w:val="24"/>
          <w:szCs w:val="24"/>
        </w:rPr>
        <w:t>采购，欢迎国内合格的投标人参加投标。</w:t>
      </w:r>
    </w:p>
    <w:p w14:paraId="72398C85">
      <w:pPr>
        <w:pStyle w:val="15"/>
        <w:adjustRightInd w:val="0"/>
        <w:spacing w:line="360" w:lineRule="auto"/>
        <w:rPr>
          <w:rFonts w:hint="eastAsia" w:hAnsi="宋体" w:cs="宋体"/>
          <w:sz w:val="24"/>
          <w:szCs w:val="24"/>
        </w:rPr>
      </w:pPr>
      <w:r>
        <w:rPr>
          <w:rFonts w:hint="eastAsia" w:hAnsi="宋体" w:cs="宋体"/>
          <w:b/>
          <w:sz w:val="24"/>
          <w:szCs w:val="24"/>
        </w:rPr>
        <w:t>一、项目基本情况</w:t>
      </w:r>
    </w:p>
    <w:p w14:paraId="44BD6BC2">
      <w:pPr>
        <w:pStyle w:val="15"/>
        <w:adjustRightInd w:val="0"/>
        <w:spacing w:line="360" w:lineRule="auto"/>
        <w:ind w:firstLine="482" w:firstLineChars="200"/>
        <w:rPr>
          <w:rFonts w:hint="eastAsia" w:hAnsi="宋体" w:cs="宋体"/>
          <w:sz w:val="24"/>
          <w:szCs w:val="24"/>
        </w:rPr>
      </w:pPr>
      <w:r>
        <w:rPr>
          <w:rFonts w:hint="eastAsia" w:hAnsi="宋体" w:cs="宋体"/>
          <w:b/>
          <w:sz w:val="24"/>
          <w:szCs w:val="24"/>
        </w:rPr>
        <w:t>1、采购编号</w:t>
      </w:r>
      <w:r>
        <w:rPr>
          <w:rFonts w:hint="eastAsia" w:hAnsi="宋体" w:cs="宋体"/>
          <w:sz w:val="24"/>
          <w:szCs w:val="24"/>
        </w:rPr>
        <w:t>：ZJKP2024YW198G</w:t>
      </w:r>
    </w:p>
    <w:p w14:paraId="221433F9">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sz w:val="24"/>
          <w:szCs w:val="24"/>
        </w:rPr>
        <w:t>2、采购内容：</w:t>
      </w:r>
      <w:r>
        <w:rPr>
          <w:rFonts w:hint="eastAsia" w:ascii="宋体" w:hAnsi="宋体" w:eastAsia="宋体" w:cs="宋体"/>
          <w:bCs/>
          <w:sz w:val="24"/>
          <w:szCs w:val="24"/>
        </w:rPr>
        <w:t>义乌市有限空间智慧监测预警系统采购</w:t>
      </w:r>
      <w:r>
        <w:rPr>
          <w:rFonts w:hint="eastAsia" w:ascii="宋体" w:hAnsi="宋体" w:eastAsia="宋体" w:cs="宋体"/>
          <w:sz w:val="24"/>
          <w:szCs w:val="24"/>
        </w:rPr>
        <w:t>。</w:t>
      </w:r>
    </w:p>
    <w:p w14:paraId="542FF748">
      <w:pPr>
        <w:pStyle w:val="25"/>
        <w:spacing w:before="0" w:beforeAutospacing="0" w:after="0" w:afterAutospacing="0" w:line="400" w:lineRule="exact"/>
        <w:ind w:firstLine="482" w:firstLineChars="200"/>
        <w:rPr>
          <w:rFonts w:ascii="Times New Roman" w:hAnsi="Times New Roman"/>
          <w:sz w:val="22"/>
          <w:szCs w:val="22"/>
        </w:rPr>
      </w:pPr>
      <w:r>
        <w:rPr>
          <w:rFonts w:hint="eastAsia" w:eastAsia="宋体"/>
          <w:b/>
        </w:rPr>
        <w:t>3、项目预算：</w:t>
      </w:r>
      <w:r>
        <w:rPr>
          <w:rFonts w:hint="eastAsia" w:ascii="Times New Roman" w:hAnsi="Times New Roman"/>
          <w:lang w:bidi="ar"/>
        </w:rPr>
        <w:t>本项目采购总预算73万元，</w:t>
      </w:r>
      <w:r>
        <w:rPr>
          <w:rFonts w:hint="eastAsia" w:ascii="Times New Roman" w:hAnsi="Times New Roman" w:eastAsia="宋体"/>
          <w:lang w:bidi="ar"/>
        </w:rPr>
        <w:t>具体见下表：</w:t>
      </w:r>
      <w:r>
        <w:rPr>
          <w:rFonts w:ascii="Times New Roman" w:hAnsi="Times New Roman"/>
          <w:sz w:val="22"/>
          <w:szCs w:val="22"/>
        </w:rPr>
        <w:t xml:space="preserve">        </w:t>
      </w:r>
    </w:p>
    <w:tbl>
      <w:tblPr>
        <w:tblStyle w:val="2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706"/>
        <w:gridCol w:w="849"/>
        <w:gridCol w:w="806"/>
        <w:gridCol w:w="1431"/>
        <w:gridCol w:w="1192"/>
        <w:gridCol w:w="1942"/>
        <w:gridCol w:w="1112"/>
      </w:tblGrid>
      <w:tr w14:paraId="79C0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5" w:type="pct"/>
            <w:vAlign w:val="center"/>
          </w:tcPr>
          <w:p w14:paraId="6C80A523">
            <w:pPr>
              <w:pStyle w:val="15"/>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874" w:type="pct"/>
            <w:vAlign w:val="center"/>
          </w:tcPr>
          <w:p w14:paraId="1F0AB3FF">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标项内容</w:t>
            </w:r>
          </w:p>
        </w:tc>
        <w:tc>
          <w:tcPr>
            <w:tcW w:w="435" w:type="pct"/>
            <w:vAlign w:val="center"/>
          </w:tcPr>
          <w:p w14:paraId="7D99898B">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数量</w:t>
            </w:r>
          </w:p>
        </w:tc>
        <w:tc>
          <w:tcPr>
            <w:tcW w:w="413" w:type="pct"/>
            <w:vAlign w:val="center"/>
          </w:tcPr>
          <w:p w14:paraId="15B289CD">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单位</w:t>
            </w:r>
          </w:p>
        </w:tc>
        <w:tc>
          <w:tcPr>
            <w:tcW w:w="733" w:type="pct"/>
            <w:vAlign w:val="center"/>
          </w:tcPr>
          <w:p w14:paraId="054507A3">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预算金额</w:t>
            </w:r>
          </w:p>
        </w:tc>
        <w:tc>
          <w:tcPr>
            <w:tcW w:w="611" w:type="pct"/>
            <w:vAlign w:val="center"/>
          </w:tcPr>
          <w:p w14:paraId="004AE589">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最高限价</w:t>
            </w:r>
          </w:p>
        </w:tc>
        <w:tc>
          <w:tcPr>
            <w:tcW w:w="995" w:type="pct"/>
            <w:vAlign w:val="center"/>
          </w:tcPr>
          <w:p w14:paraId="4A95343D">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简要规格描述</w:t>
            </w:r>
          </w:p>
        </w:tc>
        <w:tc>
          <w:tcPr>
            <w:tcW w:w="570" w:type="pct"/>
            <w:vAlign w:val="center"/>
          </w:tcPr>
          <w:p w14:paraId="18FAB033">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备注</w:t>
            </w:r>
          </w:p>
        </w:tc>
      </w:tr>
      <w:tr w14:paraId="5288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65" w:type="pct"/>
            <w:vAlign w:val="center"/>
          </w:tcPr>
          <w:p w14:paraId="09FC272B">
            <w:pPr>
              <w:pStyle w:val="15"/>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74" w:type="pct"/>
            <w:vAlign w:val="center"/>
          </w:tcPr>
          <w:p w14:paraId="26D64CC2">
            <w:pPr>
              <w:pStyle w:val="15"/>
              <w:adjustRightInd w:val="0"/>
              <w:snapToGrid w:val="0"/>
              <w:jc w:val="center"/>
              <w:rPr>
                <w:rFonts w:ascii="Times New Roman" w:hAnsi="Times New Roman" w:cs="Times New Roman"/>
                <w:sz w:val="24"/>
                <w:szCs w:val="24"/>
              </w:rPr>
            </w:pPr>
            <w:r>
              <w:rPr>
                <w:rFonts w:hint="eastAsia" w:hAnsi="宋体" w:cs="宋体"/>
                <w:kern w:val="0"/>
                <w:sz w:val="24"/>
                <w:szCs w:val="24"/>
              </w:rPr>
              <w:t>有限空间智慧监测预警系统</w:t>
            </w:r>
          </w:p>
        </w:tc>
        <w:tc>
          <w:tcPr>
            <w:tcW w:w="435" w:type="pct"/>
            <w:vAlign w:val="center"/>
          </w:tcPr>
          <w:p w14:paraId="7AFC8E58">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413" w:type="pct"/>
            <w:vAlign w:val="center"/>
          </w:tcPr>
          <w:p w14:paraId="33B316B9">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套</w:t>
            </w:r>
          </w:p>
        </w:tc>
        <w:tc>
          <w:tcPr>
            <w:tcW w:w="733" w:type="pct"/>
            <w:vAlign w:val="center"/>
          </w:tcPr>
          <w:p w14:paraId="69981E64">
            <w:pPr>
              <w:pStyle w:val="15"/>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73</w:t>
            </w:r>
            <w:r>
              <w:rPr>
                <w:rFonts w:ascii="Times New Roman" w:hAnsi="Times New Roman" w:cs="Times New Roman"/>
                <w:sz w:val="24"/>
                <w:szCs w:val="24"/>
              </w:rPr>
              <w:t>万元</w:t>
            </w:r>
          </w:p>
        </w:tc>
        <w:tc>
          <w:tcPr>
            <w:tcW w:w="611" w:type="pct"/>
            <w:vAlign w:val="center"/>
          </w:tcPr>
          <w:p w14:paraId="6E313AEC">
            <w:pPr>
              <w:pStyle w:val="15"/>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73</w:t>
            </w:r>
            <w:r>
              <w:rPr>
                <w:rFonts w:ascii="Times New Roman" w:hAnsi="Times New Roman" w:cs="Times New Roman"/>
                <w:sz w:val="24"/>
                <w:szCs w:val="24"/>
              </w:rPr>
              <w:t>万元</w:t>
            </w:r>
          </w:p>
        </w:tc>
        <w:tc>
          <w:tcPr>
            <w:tcW w:w="995" w:type="pct"/>
            <w:vAlign w:val="center"/>
          </w:tcPr>
          <w:p w14:paraId="043EDF28">
            <w:pPr>
              <w:pStyle w:val="15"/>
              <w:adjustRightInd w:val="0"/>
              <w:snapToGrid w:val="0"/>
              <w:jc w:val="center"/>
              <w:rPr>
                <w:rFonts w:ascii="Times New Roman" w:hAnsi="Times New Roman" w:cs="Times New Roman"/>
                <w:sz w:val="24"/>
                <w:szCs w:val="24"/>
              </w:rPr>
            </w:pPr>
            <w:r>
              <w:rPr>
                <w:rFonts w:ascii="Times New Roman" w:hAnsi="Times New Roman" w:cs="Times New Roman"/>
                <w:sz w:val="24"/>
                <w:szCs w:val="24"/>
              </w:rPr>
              <w:t>详见《第三章招标项目要求》</w:t>
            </w:r>
          </w:p>
        </w:tc>
        <w:tc>
          <w:tcPr>
            <w:tcW w:w="570" w:type="pct"/>
            <w:vAlign w:val="center"/>
          </w:tcPr>
          <w:p w14:paraId="3017AFB4">
            <w:pPr>
              <w:pStyle w:val="15"/>
              <w:adjustRightInd w:val="0"/>
              <w:snapToGrid w:val="0"/>
              <w:jc w:val="center"/>
              <w:rPr>
                <w:rFonts w:ascii="Times New Roman" w:hAnsi="Times New Roman" w:cs="Times New Roman"/>
                <w:sz w:val="24"/>
                <w:szCs w:val="24"/>
              </w:rPr>
            </w:pPr>
          </w:p>
        </w:tc>
      </w:tr>
    </w:tbl>
    <w:p w14:paraId="54A84D4D">
      <w:pPr>
        <w:tabs>
          <w:tab w:val="left" w:pos="284"/>
          <w:tab w:val="left" w:pos="720"/>
          <w:tab w:val="left" w:pos="851"/>
        </w:tabs>
        <w:spacing w:line="360" w:lineRule="auto"/>
        <w:rPr>
          <w:rFonts w:hint="eastAsia" w:ascii="宋体" w:hAnsi="宋体" w:eastAsia="宋体" w:cs="宋体"/>
          <w:b/>
          <w:sz w:val="24"/>
        </w:rPr>
      </w:pPr>
      <w:r>
        <w:rPr>
          <w:rFonts w:hint="eastAsia" w:ascii="宋体" w:hAnsi="宋体" w:eastAsia="宋体" w:cs="宋体"/>
          <w:b/>
          <w:sz w:val="24"/>
        </w:rPr>
        <w:t>二、投标人的资格要求：</w:t>
      </w:r>
    </w:p>
    <w:p w14:paraId="5BBEE949">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1、符合《中华人民共和国政府采购法》第二十二条投标人应当具备的条件或符合浙财采监【2013】24号《关于规范政府采购供应商资格设定及资格审查的通知》第六条规定。</w:t>
      </w:r>
    </w:p>
    <w:p w14:paraId="4AD78F0E">
      <w:pPr>
        <w:pStyle w:val="15"/>
        <w:wordWrap w:val="0"/>
        <w:adjustRightInd w:val="0"/>
        <w:spacing w:line="360" w:lineRule="auto"/>
        <w:ind w:firstLine="480" w:firstLineChars="200"/>
        <w:rPr>
          <w:rFonts w:hint="eastAsia" w:hAnsi="宋体" w:cs="宋体"/>
          <w:sz w:val="24"/>
          <w:szCs w:val="24"/>
        </w:rPr>
      </w:pPr>
      <w:r>
        <w:rPr>
          <w:rFonts w:hint="eastAsia" w:hAnsi="宋体" w:cs="宋体"/>
          <w:sz w:val="24"/>
          <w:szCs w:val="24"/>
        </w:rPr>
        <w:t>2、投标人自2021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14:paraId="7C0A552D">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bCs/>
          <w:sz w:val="24"/>
          <w:szCs w:val="24"/>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失信主体、政府采购严重违法失信行为记录名单的</w:t>
      </w:r>
      <w:r>
        <w:rPr>
          <w:rFonts w:hint="eastAsia" w:ascii="宋体" w:hAnsi="宋体" w:eastAsia="宋体" w:cs="宋体"/>
          <w:sz w:val="24"/>
          <w:szCs w:val="24"/>
        </w:rPr>
        <w:t>。</w:t>
      </w:r>
    </w:p>
    <w:p w14:paraId="56B69B86">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4、公益一类事业单位不属于政府购买服务的承接主体，不得参与承接购买服务采购项目。</w:t>
      </w:r>
    </w:p>
    <w:p w14:paraId="7579F4CE">
      <w:pPr>
        <w:pStyle w:val="8"/>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5、根据《浙江省公共信用信息管理条例》第二十六条的规定，未列入严重失信名单的（查询结果以开标当日网站页面显示为准）</w:t>
      </w:r>
      <w:r>
        <w:rPr>
          <w:rFonts w:hint="eastAsia" w:ascii="宋体" w:hAnsi="宋体" w:eastAsia="宋体" w:cs="宋体"/>
          <w:sz w:val="24"/>
        </w:rPr>
        <w:t>。</w:t>
      </w:r>
    </w:p>
    <w:p w14:paraId="774DB7E4">
      <w:pPr>
        <w:pStyle w:val="9"/>
        <w:spacing w:line="360" w:lineRule="auto"/>
      </w:pPr>
      <w:r>
        <w:rPr>
          <w:rFonts w:hint="eastAsia"/>
          <w:sz w:val="24"/>
          <w:szCs w:val="24"/>
          <w:highlight w:val="none"/>
        </w:rPr>
        <w:t>6、本项目允许联合体投标。</w:t>
      </w:r>
    </w:p>
    <w:p w14:paraId="25EDC42B">
      <w:pPr>
        <w:spacing w:line="360" w:lineRule="auto"/>
        <w:rPr>
          <w:rFonts w:hint="eastAsia" w:ascii="宋体" w:hAnsi="宋体" w:eastAsia="宋体" w:cs="宋体"/>
          <w:sz w:val="24"/>
        </w:rPr>
      </w:pPr>
      <w:r>
        <w:rPr>
          <w:rFonts w:hint="eastAsia" w:ascii="宋体" w:hAnsi="宋体" w:eastAsia="宋体" w:cs="宋体"/>
          <w:b/>
          <w:sz w:val="24"/>
        </w:rPr>
        <w:t>三、招标文件获取时间和方式：</w:t>
      </w:r>
    </w:p>
    <w:p w14:paraId="39251477">
      <w:pPr>
        <w:spacing w:line="360" w:lineRule="auto"/>
        <w:ind w:firstLine="480" w:firstLineChars="200"/>
        <w:rPr>
          <w:rFonts w:hint="eastAsia" w:ascii="宋体" w:hAnsi="宋体" w:eastAsia="宋体" w:cs="宋体"/>
          <w:sz w:val="24"/>
        </w:rPr>
      </w:pPr>
      <w:r>
        <w:rPr>
          <w:rFonts w:hint="eastAsia" w:ascii="宋体" w:hAnsi="宋体" w:eastAsia="宋体" w:cs="宋体"/>
          <w:sz w:val="24"/>
        </w:rPr>
        <w:t>1、时间：投标人可在采购文件公告期内获取采购文件，采购文件获取截止时间之后至投标截止前潜在投标人仍可获取招标文件，如对招标文件有疑问的，答疑时间按招标文件规定执行。获取招标文件：免费。</w:t>
      </w:r>
    </w:p>
    <w:p w14:paraId="39D92C7C">
      <w:pPr>
        <w:spacing w:line="360" w:lineRule="auto"/>
        <w:ind w:firstLine="480" w:firstLineChars="200"/>
        <w:rPr>
          <w:rFonts w:hint="eastAsia" w:ascii="宋体" w:hAnsi="宋体" w:eastAsia="宋体" w:cs="宋体"/>
          <w:sz w:val="24"/>
        </w:rPr>
      </w:pPr>
      <w:r>
        <w:rPr>
          <w:rFonts w:hint="eastAsia" w:ascii="宋体" w:hAnsi="宋体" w:eastAsia="宋体" w:cs="宋体"/>
          <w:sz w:val="24"/>
        </w:rPr>
        <w:t>2、地点：浙江政府采购网（http://zfcg.czt.zj.gov.cn/）</w:t>
      </w:r>
    </w:p>
    <w:p w14:paraId="3304F3A9">
      <w:pPr>
        <w:spacing w:line="360" w:lineRule="auto"/>
        <w:ind w:firstLine="480" w:firstLineChars="200"/>
        <w:rPr>
          <w:rFonts w:hint="eastAsia" w:ascii="宋体" w:hAnsi="宋体" w:eastAsia="宋体" w:cs="宋体"/>
          <w:sz w:val="24"/>
        </w:rPr>
      </w:pPr>
      <w:r>
        <w:rPr>
          <w:rFonts w:hint="eastAsia" w:ascii="宋体" w:hAnsi="宋体" w:eastAsia="宋体" w:cs="宋体"/>
          <w:sz w:val="24"/>
        </w:rPr>
        <w:t>3、方式：投标人请在浙江政府采购网上登录并依照要求免费获取招标文件。</w:t>
      </w:r>
    </w:p>
    <w:p w14:paraId="12A47F62">
      <w:pPr>
        <w:spacing w:line="360" w:lineRule="auto"/>
        <w:rPr>
          <w:rFonts w:hint="eastAsia" w:ascii="宋体" w:hAnsi="宋体" w:eastAsia="宋体" w:cs="宋体"/>
          <w:b/>
          <w:sz w:val="24"/>
        </w:rPr>
      </w:pPr>
      <w:r>
        <w:rPr>
          <w:rFonts w:hint="eastAsia" w:ascii="宋体" w:hAnsi="宋体" w:eastAsia="宋体" w:cs="宋体"/>
          <w:b/>
          <w:sz w:val="24"/>
        </w:rPr>
        <w:t>四、投标截止时间及地点：</w:t>
      </w:r>
    </w:p>
    <w:p w14:paraId="42F86C39">
      <w:pPr>
        <w:spacing w:line="360" w:lineRule="auto"/>
        <w:ind w:firstLine="480" w:firstLineChars="200"/>
        <w:rPr>
          <w:rFonts w:hint="eastAsia" w:ascii="宋体" w:hAnsi="宋体" w:eastAsia="宋体" w:cs="宋体"/>
          <w:sz w:val="24"/>
        </w:rPr>
      </w:pPr>
      <w:r>
        <w:rPr>
          <w:rFonts w:hint="eastAsia" w:ascii="宋体" w:hAnsi="宋体" w:eastAsia="宋体" w:cs="宋体"/>
          <w:sz w:val="24"/>
        </w:rPr>
        <w:t>1、提交投标文件截止时间：</w:t>
      </w:r>
      <w:r>
        <w:rPr>
          <w:rFonts w:hint="eastAsia" w:ascii="宋体" w:hAnsi="宋体" w:eastAsia="宋体" w:cs="宋体"/>
          <w:sz w:val="24"/>
          <w:lang w:eastAsia="zh-CN"/>
        </w:rPr>
        <w:t>2024年10月11日</w:t>
      </w:r>
      <w:r>
        <w:rPr>
          <w:rFonts w:hint="eastAsia" w:ascii="宋体" w:hAnsi="宋体" w:eastAsia="宋体" w:cs="宋体"/>
          <w:sz w:val="24"/>
        </w:rPr>
        <w:t>09:30（北京时间）。</w:t>
      </w:r>
    </w:p>
    <w:p w14:paraId="53F28725">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2、投标地点：登录政采云账号，并上传电子加密标书至“政采云”平台，</w:t>
      </w:r>
      <w:r>
        <w:rPr>
          <w:rFonts w:hint="eastAsia" w:ascii="宋体" w:hAnsi="宋体" w:eastAsia="宋体" w:cs="宋体"/>
          <w:b/>
          <w:sz w:val="24"/>
        </w:rPr>
        <w:t>逾期或未上传成功的将导致无法投标或投标无效</w:t>
      </w:r>
      <w:r>
        <w:rPr>
          <w:rFonts w:hint="eastAsia" w:ascii="宋体" w:hAnsi="宋体" w:eastAsia="宋体" w:cs="宋体"/>
          <w:sz w:val="24"/>
        </w:rPr>
        <w:t>。</w:t>
      </w:r>
    </w:p>
    <w:p w14:paraId="5ED4E5A0">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开标时间</w:t>
      </w:r>
      <w:r>
        <w:rPr>
          <w:rFonts w:hint="eastAsia" w:ascii="宋体" w:hAnsi="宋体" w:eastAsia="宋体" w:cs="宋体"/>
          <w:sz w:val="24"/>
        </w:rPr>
        <w:t>：</w:t>
      </w:r>
      <w:r>
        <w:rPr>
          <w:rFonts w:hint="eastAsia" w:ascii="宋体" w:hAnsi="宋体" w:eastAsia="宋体" w:cs="宋体"/>
          <w:sz w:val="24"/>
          <w:lang w:eastAsia="zh-CN"/>
        </w:rPr>
        <w:t>2024年10月11日</w:t>
      </w:r>
      <w:r>
        <w:rPr>
          <w:rFonts w:hint="eastAsia" w:ascii="宋体" w:hAnsi="宋体" w:eastAsia="宋体" w:cs="宋体"/>
          <w:sz w:val="24"/>
        </w:rPr>
        <w:t>09:30。</w:t>
      </w:r>
    </w:p>
    <w:p w14:paraId="6AD72521">
      <w:pPr>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开标地点</w:t>
      </w:r>
      <w:r>
        <w:rPr>
          <w:rFonts w:hint="eastAsia" w:ascii="宋体" w:hAnsi="宋体" w:eastAsia="宋体" w:cs="宋体"/>
          <w:sz w:val="24"/>
        </w:rPr>
        <w:t>：义乌市望道路300号政务服务中心四楼电子开标室。</w:t>
      </w:r>
    </w:p>
    <w:p w14:paraId="1BDBE81A">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开标时间后1小时内（</w:t>
      </w:r>
      <w:r>
        <w:rPr>
          <w:rFonts w:hint="eastAsia" w:ascii="宋体" w:hAnsi="宋体" w:eastAsia="宋体" w:cs="宋体"/>
          <w:b/>
          <w:sz w:val="24"/>
          <w:lang w:eastAsia="zh-CN"/>
        </w:rPr>
        <w:t>2024年10月11日</w:t>
      </w:r>
      <w:r>
        <w:rPr>
          <w:rFonts w:hint="eastAsia" w:ascii="宋体" w:hAnsi="宋体" w:eastAsia="宋体" w:cs="宋体"/>
          <w:b/>
          <w:sz w:val="24"/>
        </w:rPr>
        <w:t>10:30前）投标人可以登录“政采云”平台，用“项目采购－开标评标”功能进行解密投标文件</w:t>
      </w:r>
      <w:r>
        <w:rPr>
          <w:rFonts w:hint="eastAsia" w:ascii="宋体" w:hAnsi="宋体" w:eastAsia="宋体" w:cs="宋体"/>
          <w:sz w:val="24"/>
        </w:rPr>
        <w:t>。</w:t>
      </w:r>
    </w:p>
    <w:p w14:paraId="381C27B8">
      <w:pPr>
        <w:pStyle w:val="15"/>
        <w:wordWrap w:val="0"/>
        <w:adjustRightInd w:val="0"/>
        <w:spacing w:line="360" w:lineRule="auto"/>
        <w:ind w:firstLine="480" w:firstLineChars="200"/>
        <w:rPr>
          <w:rFonts w:hint="eastAsia" w:hAnsi="宋体" w:cs="宋体"/>
          <w:sz w:val="24"/>
          <w:szCs w:val="24"/>
        </w:rPr>
      </w:pPr>
      <w:r>
        <w:rPr>
          <w:rFonts w:hint="eastAsia" w:hAnsi="宋体" w:cs="宋体"/>
          <w:sz w:val="24"/>
          <w:szCs w:val="24"/>
        </w:rPr>
        <w:t>备注：为确保采购项目顺利实施，避免因政采云上电子投标文件解密失败导致投标人投标无效，投标人可在</w:t>
      </w:r>
      <w:r>
        <w:rPr>
          <w:rFonts w:hint="eastAsia" w:hAnsi="宋体" w:cs="宋体"/>
          <w:sz w:val="24"/>
          <w:szCs w:val="24"/>
          <w:lang w:eastAsia="zh-CN"/>
        </w:rPr>
        <w:t>2024年10月11日</w:t>
      </w:r>
      <w:r>
        <w:rPr>
          <w:rFonts w:hint="eastAsia" w:hAnsi="宋体" w:cs="宋体"/>
          <w:sz w:val="24"/>
          <w:szCs w:val="24"/>
        </w:rPr>
        <w:t>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人自行保管，如政采云上电子投标文件出现解密失败情况（开标当日09:30-10:30期间进行解密），投标人可按照自身意愿确认是否同意提供加密密码解密传送至浙江开平企业管理咨询有限公司邮箱（zjkpemc@vip.163.com）的备份文件，并以备份文件作为替代电子投标文件，如投标人未按照规定时间（</w:t>
      </w:r>
      <w:r>
        <w:rPr>
          <w:rFonts w:hint="eastAsia" w:hAnsi="宋体" w:cs="宋体"/>
          <w:sz w:val="24"/>
          <w:szCs w:val="24"/>
          <w:lang w:eastAsia="zh-CN"/>
        </w:rPr>
        <w:t>2024年10月11日</w:t>
      </w:r>
      <w:r>
        <w:rPr>
          <w:rFonts w:hint="eastAsia" w:hAnsi="宋体" w:cs="宋体"/>
          <w:sz w:val="24"/>
          <w:szCs w:val="24"/>
        </w:rPr>
        <w:t>09:30前）及要求提供有效备份文件，同时政采云上投标文件解密失败的，将导致投标无效。</w:t>
      </w:r>
    </w:p>
    <w:p w14:paraId="1EA16C82">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投标人无需在开标当天，到达开标现场对电子投标文件进行解密。</w:t>
      </w:r>
    </w:p>
    <w:p w14:paraId="187586B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五、公告期限：</w:t>
      </w:r>
      <w:r>
        <w:rPr>
          <w:rFonts w:hint="eastAsia" w:ascii="宋体" w:hAnsi="宋体" w:eastAsia="宋体" w:cs="宋体"/>
          <w:sz w:val="24"/>
        </w:rPr>
        <w:t>自本公告发布之日起至第6个工作日24时。</w:t>
      </w:r>
    </w:p>
    <w:p w14:paraId="23069F9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六、其他补充事宜</w:t>
      </w:r>
    </w:p>
    <w:p w14:paraId="06955439">
      <w:pPr>
        <w:pStyle w:val="15"/>
        <w:wordWrap w:val="0"/>
        <w:adjustRightInd w:val="0"/>
        <w:spacing w:line="360" w:lineRule="auto"/>
        <w:ind w:firstLine="480" w:firstLineChars="200"/>
        <w:rPr>
          <w:rFonts w:hint="eastAsia" w:hAnsi="宋体" w:cs="宋体"/>
          <w:sz w:val="24"/>
          <w:szCs w:val="24"/>
        </w:rPr>
      </w:pPr>
      <w:r>
        <w:rPr>
          <w:rFonts w:hint="eastAsia" w:hAnsi="宋体" w:cs="宋体"/>
          <w:sz w:val="24"/>
          <w:szCs w:val="24"/>
        </w:rPr>
        <w:t>1、答疑与澄清：投标人如认为招标文件表述不清晰、存在歧视性、排他性或者其他违法内容的，可以自获取采购文件之日或者采购公告期限届满之日（公告期限届满后获取采购文件的，以公告期限届满之日为准）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http://zfcg.czt.zj.gov.cn/）上统一以公告的形式发布，投标人在投标截止时间前应充分关注该网上发布的信息，如因投标人未及时关注网上发布的信息而导致的一切投标后果由投标人自行承担。</w:t>
      </w:r>
    </w:p>
    <w:p w14:paraId="6FF82D59">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2、投标保证金：无</w:t>
      </w:r>
    </w:p>
    <w:p w14:paraId="1DE6B8B6">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3、投标与开标注意事项：</w:t>
      </w:r>
    </w:p>
    <w:p w14:paraId="62041BD8">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①本项目实行网上投标，获取文件后投标人即可参投，投标人在投标截止时间之前上传电子投标文件。投标人参与投标，需自行承担投标一切费用。</w:t>
      </w:r>
    </w:p>
    <w:p w14:paraId="3EE97D5C">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②标前准备：各投标人应在开标前确保成为浙江省政府采购网正式注册入库投标人，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投标人自行承担。</w:t>
      </w:r>
    </w:p>
    <w:p w14:paraId="0223D681">
      <w:pPr>
        <w:pStyle w:val="15"/>
        <w:wordWrap w:val="0"/>
        <w:adjustRightInd w:val="0"/>
        <w:spacing w:line="360" w:lineRule="auto"/>
        <w:ind w:firstLine="480" w:firstLineChars="200"/>
        <w:rPr>
          <w:rFonts w:hint="eastAsia" w:hAnsi="宋体" w:cs="宋体"/>
          <w:sz w:val="24"/>
          <w:szCs w:val="24"/>
        </w:rPr>
      </w:pPr>
      <w:r>
        <w:rPr>
          <w:rFonts w:hint="eastAsia" w:hAnsi="宋体" w:cs="宋体"/>
          <w:sz w:val="24"/>
          <w:szCs w:val="24"/>
        </w:rPr>
        <w:t>③投标文件制作：投标人通过“政采云”平台电子投标工具制作投标文件，电子投标工具请投标人自行前往浙江省政府采购网下载并安装，投标文件制作具体流程详见“政采云投标人项目采购－电子招投标操作指南”（请投标人登录政采云平台政府采购电子卖场后，点击链接https://service.zcygov.cn/▲/knowledges/CW1EtGwBFdiHxlNd6I3m/6IMVAG0BFdiHxlNdQ8Na）以获取最新操作指南。</w:t>
      </w:r>
    </w:p>
    <w:p w14:paraId="4B34B861">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4、资格审查：本项目无需报名，投标人可直接参投。投标人资格采用资格后审方式由评标委员会进行审查。</w:t>
      </w:r>
    </w:p>
    <w:p w14:paraId="40EAF854">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七、对本次招标提出询问、质疑、投诉，请按以下方式联系：</w:t>
      </w:r>
    </w:p>
    <w:p w14:paraId="521BE14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1、采购人信息</w:t>
      </w:r>
    </w:p>
    <w:p w14:paraId="054849AC">
      <w:pPr>
        <w:pStyle w:val="15"/>
        <w:wordWrap w:val="0"/>
        <w:spacing w:line="360" w:lineRule="auto"/>
        <w:ind w:firstLine="480" w:firstLineChars="200"/>
        <w:rPr>
          <w:rFonts w:ascii="Times New Roman" w:hAnsi="Times New Roman" w:cs="Times New Roman"/>
          <w:kern w:val="0"/>
          <w:sz w:val="24"/>
        </w:rPr>
      </w:pPr>
      <w:r>
        <w:rPr>
          <w:rFonts w:ascii="Times New Roman" w:hAnsi="Times New Roman" w:cs="Times New Roman"/>
          <w:sz w:val="24"/>
          <w:szCs w:val="24"/>
        </w:rPr>
        <w:t>名    称</w:t>
      </w:r>
      <w:r>
        <w:rPr>
          <w:rFonts w:ascii="Times New Roman" w:hAnsi="Times New Roman" w:cs="Times New Roman"/>
          <w:sz w:val="24"/>
        </w:rPr>
        <w:t>：</w:t>
      </w:r>
      <w:r>
        <w:rPr>
          <w:rFonts w:hint="eastAsia" w:ascii="Times New Roman" w:hAnsi="Times New Roman" w:cs="Times New Roman"/>
          <w:kern w:val="0"/>
          <w:sz w:val="24"/>
        </w:rPr>
        <w:t xml:space="preserve">义乌市应急管理局 </w:t>
      </w:r>
    </w:p>
    <w:p w14:paraId="5039159A">
      <w:pPr>
        <w:pStyle w:val="15"/>
        <w:wordWrap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     址</w:t>
      </w:r>
      <w:r>
        <w:rPr>
          <w:rFonts w:ascii="Times New Roman" w:hAnsi="Times New Roman" w:cs="Times New Roman"/>
          <w:sz w:val="24"/>
        </w:rPr>
        <w:t>：</w:t>
      </w:r>
      <w:r>
        <w:rPr>
          <w:rFonts w:ascii="Times New Roman" w:hAnsi="Times New Roman" w:cs="Times New Roman"/>
          <w:sz w:val="24"/>
          <w:szCs w:val="24"/>
        </w:rPr>
        <w:t>义乌市</w:t>
      </w:r>
      <w:r>
        <w:rPr>
          <w:rFonts w:hint="eastAsia" w:ascii="Times New Roman" w:hAnsi="Times New Roman" w:cs="Times New Roman"/>
          <w:sz w:val="24"/>
          <w:szCs w:val="24"/>
        </w:rPr>
        <w:t>宾王</w:t>
      </w:r>
      <w:r>
        <w:rPr>
          <w:rFonts w:ascii="Times New Roman" w:hAnsi="Times New Roman" w:cs="Times New Roman"/>
          <w:sz w:val="24"/>
          <w:szCs w:val="24"/>
        </w:rPr>
        <w:t>路</w:t>
      </w:r>
      <w:r>
        <w:rPr>
          <w:rFonts w:hint="eastAsia" w:ascii="Times New Roman" w:hAnsi="Times New Roman" w:cs="Times New Roman"/>
          <w:sz w:val="24"/>
          <w:szCs w:val="24"/>
        </w:rPr>
        <w:t>378号</w:t>
      </w:r>
      <w:r>
        <w:rPr>
          <w:rFonts w:ascii="Times New Roman" w:hAnsi="Times New Roman" w:cs="Times New Roman"/>
          <w:sz w:val="24"/>
          <w:szCs w:val="24"/>
        </w:rPr>
        <w:t xml:space="preserve">   </w:t>
      </w:r>
    </w:p>
    <w:p w14:paraId="077B9916">
      <w:pPr>
        <w:pStyle w:val="15"/>
        <w:wordWrap w:val="0"/>
        <w:spacing w:line="360" w:lineRule="auto"/>
        <w:ind w:firstLine="480" w:firstLineChars="200"/>
        <w:rPr>
          <w:rFonts w:hint="eastAsia" w:ascii="Times New Roman" w:hAnsi="Times New Roman" w:eastAsia="宋体" w:cs="Times New Roman"/>
          <w:sz w:val="24"/>
          <w:szCs w:val="24"/>
          <w:highlight w:val="none"/>
          <w:lang w:eastAsia="zh-CN"/>
        </w:rPr>
      </w:pPr>
      <w:r>
        <w:rPr>
          <w:rFonts w:ascii="Times New Roman" w:hAnsi="Times New Roman" w:cs="Times New Roman"/>
          <w:sz w:val="24"/>
          <w:szCs w:val="24"/>
          <w:highlight w:val="none"/>
        </w:rPr>
        <w:t>项目联系人（询问）：</w:t>
      </w:r>
      <w:r>
        <w:rPr>
          <w:rFonts w:hint="eastAsia" w:ascii="Times New Roman" w:hAnsi="Times New Roman" w:eastAsia="宋体" w:cs="Times New Roman"/>
          <w:sz w:val="24"/>
          <w:szCs w:val="24"/>
          <w:highlight w:val="none"/>
        </w:rPr>
        <w:t>季慎来</w:t>
      </w:r>
    </w:p>
    <w:p w14:paraId="733B54DD">
      <w:pPr>
        <w:wordWrap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项目联系方式：</w:t>
      </w:r>
      <w:r>
        <w:rPr>
          <w:rFonts w:hint="eastAsia" w:ascii="Times New Roman" w:hAnsi="Times New Roman" w:cs="Times New Roman"/>
          <w:sz w:val="24"/>
          <w:szCs w:val="24"/>
          <w:highlight w:val="none"/>
        </w:rPr>
        <w:t>13750963449</w:t>
      </w:r>
    </w:p>
    <w:p w14:paraId="03731272">
      <w:pPr>
        <w:wordWrap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质疑联系人：</w:t>
      </w:r>
      <w:r>
        <w:rPr>
          <w:rFonts w:hint="eastAsia" w:ascii="Times New Roman" w:hAnsi="Times New Roman" w:cs="Times New Roman"/>
          <w:sz w:val="24"/>
          <w:szCs w:val="24"/>
          <w:highlight w:val="none"/>
          <w:lang w:val="en-US" w:eastAsia="zh-CN"/>
        </w:rPr>
        <w:t>张猛</w:t>
      </w:r>
    </w:p>
    <w:p w14:paraId="6EB4875B">
      <w:pPr>
        <w:pStyle w:val="15"/>
        <w:adjustRightInd w:val="0"/>
        <w:spacing w:line="360" w:lineRule="auto"/>
        <w:ind w:firstLine="480" w:firstLineChars="200"/>
        <w:rPr>
          <w:rFonts w:hint="eastAsia" w:hAnsi="宋体" w:cs="宋体"/>
          <w:sz w:val="24"/>
          <w:szCs w:val="24"/>
          <w:highlight w:val="none"/>
        </w:rPr>
      </w:pPr>
      <w:r>
        <w:rPr>
          <w:rFonts w:ascii="Times New Roman" w:hAnsi="Times New Roman" w:cs="Times New Roman"/>
          <w:sz w:val="24"/>
          <w:szCs w:val="24"/>
          <w:highlight w:val="none"/>
        </w:rPr>
        <w:t>质疑联系方式：</w:t>
      </w:r>
      <w:r>
        <w:rPr>
          <w:rFonts w:hint="eastAsia" w:ascii="Times New Roman" w:hAnsi="Times New Roman" w:eastAsia="宋体" w:cs="Times New Roman"/>
          <w:color w:val="auto"/>
          <w:kern w:val="2"/>
          <w:sz w:val="24"/>
          <w:szCs w:val="24"/>
          <w:highlight w:val="none"/>
          <w:lang w:val="en-US" w:eastAsia="zh-CN" w:bidi="ar-SA"/>
        </w:rPr>
        <w:t>15068081919</w:t>
      </w:r>
    </w:p>
    <w:p w14:paraId="55DE245C">
      <w:pPr>
        <w:spacing w:line="360" w:lineRule="auto"/>
        <w:rPr>
          <w:rFonts w:hint="eastAsia" w:ascii="宋体" w:hAnsi="宋体" w:eastAsia="宋体" w:cs="宋体"/>
          <w:sz w:val="24"/>
          <w:highlight w:val="yellow"/>
          <w:u w:val="single"/>
        </w:rPr>
      </w:pPr>
    </w:p>
    <w:p w14:paraId="30723D9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2、采购代理机构信息</w:t>
      </w:r>
    </w:p>
    <w:p w14:paraId="0ABEEDF8">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名    称：浙江开平企业管理咨询有限公司 　　　　　　　　　　　</w:t>
      </w:r>
    </w:p>
    <w:p w14:paraId="530C9282">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 xml:space="preserve">地    址：义乌市雪峰西路968号科创园科技大楼B区4楼 　   </w:t>
      </w:r>
    </w:p>
    <w:p w14:paraId="2010203E">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传    真： 0579-85321521  　</w:t>
      </w:r>
    </w:p>
    <w:p w14:paraId="0EE98490">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项目联系人（询问）：</w:t>
      </w:r>
      <w:r>
        <w:rPr>
          <w:rFonts w:hint="eastAsia" w:hAnsi="宋体" w:cs="宋体"/>
          <w:sz w:val="24"/>
          <w:szCs w:val="24"/>
          <w:lang w:val="en-US" w:eastAsia="zh-CN"/>
        </w:rPr>
        <w:t>陈骁</w:t>
      </w:r>
      <w:r>
        <w:rPr>
          <w:rFonts w:hint="eastAsia" w:hAnsi="宋体" w:cs="宋体"/>
          <w:sz w:val="24"/>
          <w:szCs w:val="24"/>
        </w:rPr>
        <w:t xml:space="preserve"> 　   　　　　　　　　　　　</w:t>
      </w:r>
    </w:p>
    <w:p w14:paraId="7CE81B6E">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项目联系方式（询问）：0579-85</w:t>
      </w:r>
      <w:r>
        <w:rPr>
          <w:rFonts w:hint="eastAsia" w:hAnsi="宋体" w:cs="宋体"/>
          <w:sz w:val="24"/>
          <w:szCs w:val="24"/>
          <w:lang w:val="en-US" w:eastAsia="zh-CN"/>
        </w:rPr>
        <w:t>314081</w:t>
      </w:r>
      <w:r>
        <w:rPr>
          <w:rFonts w:hint="eastAsia" w:hAnsi="宋体" w:cs="宋体"/>
          <w:sz w:val="24"/>
          <w:szCs w:val="24"/>
        </w:rPr>
        <w:t xml:space="preserve">、85317081 </w:t>
      </w:r>
    </w:p>
    <w:p w14:paraId="4E18AA14">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质疑联系人：赵棋明</w:t>
      </w:r>
    </w:p>
    <w:p w14:paraId="7C7FBE2B">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质疑联系方式：0579-85317081</w:t>
      </w:r>
    </w:p>
    <w:p w14:paraId="389C287B">
      <w:pPr>
        <w:spacing w:line="360" w:lineRule="auto"/>
        <w:ind w:firstLine="482" w:firstLineChars="200"/>
        <w:rPr>
          <w:rFonts w:hint="eastAsia" w:ascii="宋体" w:hAnsi="宋体" w:eastAsia="宋体" w:cs="宋体"/>
          <w:b/>
          <w:sz w:val="24"/>
        </w:rPr>
      </w:pPr>
      <w:bookmarkStart w:id="37" w:name="_GoBack"/>
      <w:bookmarkEnd w:id="37"/>
    </w:p>
    <w:p w14:paraId="1C260F3A">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3、同级政府采购监督管理部门</w:t>
      </w:r>
    </w:p>
    <w:p w14:paraId="20D3F83C">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名  称：义乌市财政局</w:t>
      </w:r>
    </w:p>
    <w:p w14:paraId="71B690B9">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地  址：义乌市望道路300号5楼</w:t>
      </w:r>
    </w:p>
    <w:p w14:paraId="31261796">
      <w:pPr>
        <w:pStyle w:val="15"/>
        <w:adjustRightInd w:val="0"/>
        <w:spacing w:line="360" w:lineRule="auto"/>
        <w:ind w:firstLine="480" w:firstLineChars="200"/>
        <w:rPr>
          <w:rFonts w:hint="eastAsia" w:hAnsi="宋体" w:cs="宋体"/>
          <w:sz w:val="24"/>
          <w:szCs w:val="24"/>
        </w:rPr>
      </w:pPr>
      <w:r>
        <w:rPr>
          <w:rFonts w:hint="eastAsia" w:hAnsi="宋体" w:cs="宋体"/>
          <w:sz w:val="24"/>
          <w:szCs w:val="24"/>
        </w:rPr>
        <w:t>联系人 ：王女士</w:t>
      </w:r>
    </w:p>
    <w:p w14:paraId="6D2EAA06">
      <w:pPr>
        <w:pStyle w:val="15"/>
        <w:adjustRightInd w:val="0"/>
        <w:spacing w:line="360" w:lineRule="auto"/>
        <w:ind w:firstLine="480" w:firstLineChars="200"/>
        <w:rPr>
          <w:rFonts w:hint="eastAsia" w:hAnsi="宋体" w:cs="宋体"/>
          <w:sz w:val="24"/>
        </w:rPr>
      </w:pPr>
      <w:r>
        <w:rPr>
          <w:rFonts w:hint="eastAsia" w:hAnsi="宋体" w:cs="宋体"/>
          <w:sz w:val="24"/>
          <w:szCs w:val="24"/>
        </w:rPr>
        <w:t>监督投诉电话：0579—89915066</w:t>
      </w:r>
    </w:p>
    <w:p w14:paraId="0F4E6CDB">
      <w:pPr>
        <w:spacing w:line="360" w:lineRule="auto"/>
        <w:rPr>
          <w:rFonts w:hint="eastAsia" w:ascii="宋体" w:hAnsi="宋体" w:eastAsia="宋体" w:cs="宋体"/>
        </w:rPr>
      </w:pPr>
      <w:r>
        <w:rPr>
          <w:rFonts w:hint="eastAsia" w:ascii="宋体" w:hAnsi="宋体" w:eastAsia="宋体" w:cs="宋体"/>
        </w:rPr>
        <w:br w:type="page"/>
      </w:r>
    </w:p>
    <w:p w14:paraId="340CB9E8">
      <w:pPr>
        <w:spacing w:line="360" w:lineRule="auto"/>
        <w:ind w:firstLine="1807" w:firstLineChars="500"/>
        <w:outlineLvl w:val="0"/>
        <w:rPr>
          <w:rFonts w:hint="eastAsia" w:ascii="宋体" w:hAnsi="宋体" w:eastAsia="宋体" w:cs="宋体"/>
          <w:b/>
          <w:bCs/>
          <w:sz w:val="36"/>
        </w:rPr>
      </w:pPr>
      <w:r>
        <w:rPr>
          <w:rFonts w:hint="eastAsia" w:ascii="宋体" w:hAnsi="宋体" w:eastAsia="宋体" w:cs="宋体"/>
          <w:b/>
          <w:bCs/>
          <w:sz w:val="36"/>
        </w:rPr>
        <w:t>第二章　投标须知和投标须知前附表</w:t>
      </w:r>
    </w:p>
    <w:p w14:paraId="70C9F927">
      <w:pPr>
        <w:spacing w:line="360" w:lineRule="auto"/>
        <w:ind w:firstLine="602" w:firstLineChars="200"/>
        <w:jc w:val="center"/>
        <w:outlineLvl w:val="1"/>
        <w:rPr>
          <w:rFonts w:hint="eastAsia" w:ascii="宋体" w:hAnsi="宋体" w:eastAsia="宋体" w:cs="宋体"/>
          <w:b/>
          <w:sz w:val="30"/>
          <w:szCs w:val="30"/>
        </w:rPr>
      </w:pPr>
      <w:r>
        <w:rPr>
          <w:rFonts w:hint="eastAsia" w:ascii="宋体" w:hAnsi="宋体" w:eastAsia="宋体" w:cs="宋体"/>
          <w:b/>
          <w:sz w:val="30"/>
          <w:szCs w:val="30"/>
        </w:rPr>
        <w:t>投标须知前附表</w:t>
      </w:r>
    </w:p>
    <w:tbl>
      <w:tblPr>
        <w:tblStyle w:val="28"/>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3"/>
        <w:gridCol w:w="7507"/>
      </w:tblGrid>
      <w:tr w14:paraId="508C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vAlign w:val="center"/>
          </w:tcPr>
          <w:p w14:paraId="4EEE4BC6">
            <w:pPr>
              <w:jc w:val="center"/>
              <w:rPr>
                <w:rFonts w:hint="eastAsia" w:ascii="宋体" w:hAnsi="宋体" w:eastAsia="宋体" w:cs="宋体"/>
                <w:b/>
                <w:sz w:val="24"/>
              </w:rPr>
            </w:pPr>
            <w:r>
              <w:rPr>
                <w:rFonts w:hint="eastAsia" w:ascii="宋体" w:hAnsi="宋体" w:eastAsia="宋体" w:cs="宋体"/>
                <w:b/>
                <w:sz w:val="24"/>
              </w:rPr>
              <w:t>序号</w:t>
            </w:r>
          </w:p>
        </w:tc>
        <w:tc>
          <w:tcPr>
            <w:tcW w:w="9230" w:type="dxa"/>
            <w:gridSpan w:val="2"/>
            <w:vAlign w:val="center"/>
          </w:tcPr>
          <w:p w14:paraId="4D65118A">
            <w:pPr>
              <w:jc w:val="center"/>
              <w:rPr>
                <w:rFonts w:hint="eastAsia" w:ascii="宋体" w:hAnsi="宋体" w:eastAsia="宋体" w:cs="宋体"/>
                <w:b/>
                <w:sz w:val="24"/>
              </w:rPr>
            </w:pPr>
            <w:r>
              <w:rPr>
                <w:rFonts w:hint="eastAsia" w:ascii="宋体" w:hAnsi="宋体" w:eastAsia="宋体" w:cs="宋体"/>
                <w:b/>
                <w:sz w:val="24"/>
              </w:rPr>
              <w:t>内容规定</w:t>
            </w:r>
          </w:p>
        </w:tc>
      </w:tr>
      <w:tr w14:paraId="235E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14:paraId="2DF43CC2">
            <w:pPr>
              <w:ind w:firstLine="240" w:firstLineChars="100"/>
              <w:rPr>
                <w:rFonts w:hint="eastAsia" w:ascii="宋体" w:hAnsi="宋体" w:eastAsia="宋体" w:cs="宋体"/>
                <w:sz w:val="24"/>
              </w:rPr>
            </w:pPr>
            <w:r>
              <w:rPr>
                <w:rFonts w:hint="eastAsia" w:ascii="宋体" w:hAnsi="宋体" w:eastAsia="宋体" w:cs="宋体"/>
                <w:sz w:val="24"/>
              </w:rPr>
              <w:t>1</w:t>
            </w:r>
          </w:p>
        </w:tc>
        <w:tc>
          <w:tcPr>
            <w:tcW w:w="1723" w:type="dxa"/>
            <w:vAlign w:val="center"/>
          </w:tcPr>
          <w:p w14:paraId="1F7FBF4F">
            <w:pPr>
              <w:jc w:val="center"/>
              <w:rPr>
                <w:rFonts w:hint="eastAsia" w:ascii="宋体" w:hAnsi="宋体" w:eastAsia="宋体" w:cs="宋体"/>
                <w:sz w:val="24"/>
              </w:rPr>
            </w:pPr>
            <w:r>
              <w:rPr>
                <w:rFonts w:hint="eastAsia" w:ascii="宋体" w:hAnsi="宋体" w:eastAsia="宋体" w:cs="宋体"/>
                <w:sz w:val="24"/>
              </w:rPr>
              <w:t>项目名称</w:t>
            </w:r>
          </w:p>
        </w:tc>
        <w:tc>
          <w:tcPr>
            <w:tcW w:w="7507" w:type="dxa"/>
            <w:vAlign w:val="center"/>
          </w:tcPr>
          <w:p w14:paraId="424C91EC">
            <w:pPr>
              <w:rPr>
                <w:rFonts w:hint="eastAsia" w:ascii="宋体" w:hAnsi="宋体" w:eastAsia="宋体" w:cs="宋体"/>
                <w:sz w:val="24"/>
              </w:rPr>
            </w:pPr>
            <w:r>
              <w:rPr>
                <w:rFonts w:hint="eastAsia" w:ascii="宋体" w:hAnsi="宋体" w:eastAsia="宋体" w:cs="宋体"/>
                <w:sz w:val="24"/>
              </w:rPr>
              <w:t>义乌市有限空间智慧监测预警系统采购</w:t>
            </w:r>
          </w:p>
        </w:tc>
      </w:tr>
      <w:tr w14:paraId="6BCD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0" w:type="dxa"/>
            <w:vAlign w:val="center"/>
          </w:tcPr>
          <w:p w14:paraId="7F58A3C7">
            <w:pPr>
              <w:jc w:val="center"/>
              <w:rPr>
                <w:rFonts w:hint="eastAsia" w:ascii="宋体" w:hAnsi="宋体" w:eastAsia="宋体" w:cs="宋体"/>
                <w:sz w:val="24"/>
              </w:rPr>
            </w:pPr>
            <w:r>
              <w:rPr>
                <w:rFonts w:hint="eastAsia" w:ascii="宋体" w:hAnsi="宋体" w:eastAsia="宋体" w:cs="宋体"/>
                <w:sz w:val="24"/>
              </w:rPr>
              <w:t>2</w:t>
            </w:r>
          </w:p>
        </w:tc>
        <w:tc>
          <w:tcPr>
            <w:tcW w:w="1723" w:type="dxa"/>
            <w:vAlign w:val="center"/>
          </w:tcPr>
          <w:p w14:paraId="5E9FE488">
            <w:pPr>
              <w:jc w:val="center"/>
              <w:rPr>
                <w:rFonts w:hint="eastAsia" w:ascii="宋体" w:hAnsi="宋体" w:eastAsia="宋体" w:cs="宋体"/>
                <w:sz w:val="24"/>
              </w:rPr>
            </w:pPr>
            <w:r>
              <w:rPr>
                <w:rFonts w:hint="eastAsia" w:ascii="宋体" w:hAnsi="宋体" w:eastAsia="宋体" w:cs="宋体"/>
                <w:sz w:val="24"/>
              </w:rPr>
              <w:t>招标方式</w:t>
            </w:r>
          </w:p>
        </w:tc>
        <w:tc>
          <w:tcPr>
            <w:tcW w:w="7507" w:type="dxa"/>
            <w:vAlign w:val="center"/>
          </w:tcPr>
          <w:p w14:paraId="03CDA102">
            <w:pPr>
              <w:rPr>
                <w:rFonts w:hint="eastAsia" w:ascii="宋体" w:hAnsi="宋体" w:eastAsia="宋体" w:cs="宋体"/>
                <w:sz w:val="24"/>
              </w:rPr>
            </w:pPr>
            <w:r>
              <w:rPr>
                <w:rFonts w:hint="eastAsia" w:ascii="宋体" w:hAnsi="宋体" w:eastAsia="宋体" w:cs="宋体"/>
                <w:sz w:val="24"/>
              </w:rPr>
              <w:t>公开招标</w:t>
            </w:r>
          </w:p>
        </w:tc>
      </w:tr>
      <w:tr w14:paraId="70E0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0" w:type="dxa"/>
            <w:vAlign w:val="center"/>
          </w:tcPr>
          <w:p w14:paraId="2D796173">
            <w:pPr>
              <w:jc w:val="center"/>
              <w:rPr>
                <w:rFonts w:hint="eastAsia" w:ascii="宋体" w:hAnsi="宋体" w:eastAsia="宋体" w:cs="宋体"/>
                <w:sz w:val="24"/>
              </w:rPr>
            </w:pPr>
            <w:r>
              <w:rPr>
                <w:rFonts w:hint="eastAsia" w:ascii="宋体" w:hAnsi="宋体" w:eastAsia="宋体" w:cs="宋体"/>
                <w:sz w:val="24"/>
              </w:rPr>
              <w:t>3</w:t>
            </w:r>
          </w:p>
        </w:tc>
        <w:tc>
          <w:tcPr>
            <w:tcW w:w="1723" w:type="dxa"/>
            <w:vAlign w:val="center"/>
          </w:tcPr>
          <w:p w14:paraId="119545F0">
            <w:pPr>
              <w:jc w:val="center"/>
              <w:rPr>
                <w:rFonts w:hint="eastAsia" w:ascii="宋体" w:hAnsi="宋体" w:eastAsia="宋体" w:cs="宋体"/>
                <w:sz w:val="24"/>
              </w:rPr>
            </w:pPr>
            <w:r>
              <w:rPr>
                <w:rFonts w:hint="eastAsia" w:ascii="宋体" w:hAnsi="宋体" w:eastAsia="宋体" w:cs="宋体"/>
                <w:sz w:val="24"/>
              </w:rPr>
              <w:t>投标单位资格要求</w:t>
            </w:r>
          </w:p>
        </w:tc>
        <w:tc>
          <w:tcPr>
            <w:tcW w:w="7507" w:type="dxa"/>
            <w:vAlign w:val="center"/>
          </w:tcPr>
          <w:p w14:paraId="0AAA0DD7">
            <w:pPr>
              <w:rPr>
                <w:rFonts w:hint="eastAsia" w:ascii="宋体" w:hAnsi="宋体" w:eastAsia="宋体" w:cs="宋体"/>
                <w:sz w:val="24"/>
              </w:rPr>
            </w:pPr>
            <w:r>
              <w:rPr>
                <w:rFonts w:hint="eastAsia" w:ascii="宋体" w:hAnsi="宋体" w:eastAsia="宋体" w:cs="宋体"/>
                <w:kern w:val="0"/>
                <w:sz w:val="24"/>
              </w:rPr>
              <w:t>详见采购公告</w:t>
            </w:r>
          </w:p>
        </w:tc>
      </w:tr>
      <w:tr w14:paraId="4BDD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vAlign w:val="center"/>
          </w:tcPr>
          <w:p w14:paraId="5D237E46">
            <w:pPr>
              <w:jc w:val="center"/>
              <w:rPr>
                <w:rFonts w:hint="eastAsia" w:ascii="宋体" w:hAnsi="宋体" w:eastAsia="宋体" w:cs="宋体"/>
                <w:sz w:val="24"/>
              </w:rPr>
            </w:pPr>
            <w:r>
              <w:rPr>
                <w:rFonts w:hint="eastAsia" w:ascii="宋体" w:hAnsi="宋体" w:eastAsia="宋体" w:cs="宋体"/>
                <w:sz w:val="24"/>
              </w:rPr>
              <w:t>4</w:t>
            </w:r>
          </w:p>
        </w:tc>
        <w:tc>
          <w:tcPr>
            <w:tcW w:w="1723" w:type="dxa"/>
            <w:vAlign w:val="center"/>
          </w:tcPr>
          <w:p w14:paraId="010C8B42">
            <w:pPr>
              <w:jc w:val="center"/>
              <w:rPr>
                <w:rFonts w:hint="eastAsia" w:ascii="宋体" w:hAnsi="宋体" w:eastAsia="宋体" w:cs="宋体"/>
                <w:sz w:val="24"/>
              </w:rPr>
            </w:pPr>
            <w:r>
              <w:rPr>
                <w:rFonts w:ascii="Times New Roman" w:hAnsi="Times New Roman" w:eastAsia="宋体" w:cs="Times New Roman"/>
                <w:sz w:val="24"/>
                <w:szCs w:val="24"/>
              </w:rPr>
              <w:t>工期</w:t>
            </w:r>
          </w:p>
        </w:tc>
        <w:tc>
          <w:tcPr>
            <w:tcW w:w="7507" w:type="dxa"/>
            <w:vAlign w:val="center"/>
          </w:tcPr>
          <w:p w14:paraId="3A94A9AF">
            <w:pPr>
              <w:autoSpaceDE w:val="0"/>
              <w:autoSpaceDN w:val="0"/>
              <w:adjustRightInd w:val="0"/>
              <w:rPr>
                <w:rFonts w:ascii="Times New Roman" w:hAnsi="Times New Roman" w:eastAsia="宋体" w:cs="Times New Roman"/>
                <w:b/>
                <w:kern w:val="0"/>
                <w:sz w:val="24"/>
              </w:rPr>
            </w:pPr>
            <w:r>
              <w:rPr>
                <w:rFonts w:hint="eastAsia" w:ascii="Times New Roman" w:hAnsi="Times New Roman" w:eastAsia="宋体" w:cs="Times New Roman"/>
                <w:b/>
                <w:kern w:val="0"/>
                <w:sz w:val="24"/>
              </w:rPr>
              <w:t>（1）合同签订起3个月内完成项目建设，向采购单位申请组织初验；中标方超过约定日期10个工作日仍不能具备初验条件的，采购人有权解除合同。</w:t>
            </w:r>
          </w:p>
          <w:p w14:paraId="3FD2DA06">
            <w:pPr>
              <w:autoSpaceDE w:val="0"/>
              <w:autoSpaceDN w:val="0"/>
              <w:adjustRightInd w:val="0"/>
              <w:rPr>
                <w:rFonts w:ascii="Times New Roman" w:hAnsi="Times New Roman" w:eastAsia="宋体" w:cs="Times New Roman"/>
                <w:b/>
                <w:kern w:val="0"/>
                <w:sz w:val="24"/>
              </w:rPr>
            </w:pPr>
            <w:r>
              <w:rPr>
                <w:rFonts w:hint="eastAsia" w:ascii="Times New Roman" w:hAnsi="Times New Roman" w:eastAsia="宋体" w:cs="Times New Roman"/>
                <w:b/>
                <w:kern w:val="0"/>
                <w:sz w:val="24"/>
              </w:rPr>
              <w:t>（2）项目初验通过后开始试运行，试运行期视运行情况进行最终验收，但试运行期最短不少于3个月。</w:t>
            </w:r>
          </w:p>
          <w:p w14:paraId="4F2798F2">
            <w:pPr>
              <w:autoSpaceDE w:val="0"/>
              <w:autoSpaceDN w:val="0"/>
              <w:adjustRightInd w:val="0"/>
              <w:rPr>
                <w:rFonts w:ascii="Times New Roman" w:hAnsi="Times New Roman" w:eastAsia="宋体" w:cs="Times New Roman"/>
                <w:b/>
                <w:kern w:val="0"/>
                <w:sz w:val="24"/>
              </w:rPr>
            </w:pPr>
            <w:r>
              <w:rPr>
                <w:rFonts w:hint="eastAsia" w:ascii="Times New Roman" w:hAnsi="Times New Roman" w:eastAsia="宋体" w:cs="Times New Roman"/>
                <w:b/>
                <w:kern w:val="0"/>
                <w:sz w:val="24"/>
              </w:rPr>
              <w:t>（3）试运行结束且相关问题整改完成后，申请项目终验。</w:t>
            </w:r>
          </w:p>
          <w:p w14:paraId="6A0128E4">
            <w:pPr>
              <w:autoSpaceDE w:val="0"/>
              <w:autoSpaceDN w:val="0"/>
              <w:adjustRightInd w:val="0"/>
              <w:rPr>
                <w:rFonts w:hint="eastAsia" w:ascii="宋体" w:hAnsi="宋体" w:eastAsia="宋体" w:cs="宋体"/>
                <w:kern w:val="0"/>
                <w:sz w:val="24"/>
              </w:rPr>
            </w:pPr>
            <w:r>
              <w:rPr>
                <w:rFonts w:hint="eastAsia" w:ascii="Times New Roman" w:hAnsi="Times New Roman" w:eastAsia="宋体" w:cs="Times New Roman"/>
                <w:b/>
                <w:kern w:val="0"/>
                <w:sz w:val="24"/>
              </w:rPr>
              <w:t>（4）通过项目最终验收之日起，正式提供服务。</w:t>
            </w:r>
          </w:p>
        </w:tc>
      </w:tr>
      <w:tr w14:paraId="4A0E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vAlign w:val="center"/>
          </w:tcPr>
          <w:p w14:paraId="526353EC">
            <w:pPr>
              <w:jc w:val="center"/>
              <w:rPr>
                <w:rFonts w:hint="eastAsia" w:ascii="宋体" w:hAnsi="宋体" w:eastAsia="宋体" w:cs="宋体"/>
                <w:sz w:val="24"/>
              </w:rPr>
            </w:pPr>
            <w:r>
              <w:rPr>
                <w:rFonts w:hint="eastAsia" w:ascii="宋体" w:hAnsi="宋体" w:eastAsia="宋体" w:cs="宋体"/>
                <w:sz w:val="24"/>
              </w:rPr>
              <w:t>5</w:t>
            </w:r>
          </w:p>
        </w:tc>
        <w:tc>
          <w:tcPr>
            <w:tcW w:w="1723" w:type="dxa"/>
            <w:vAlign w:val="center"/>
          </w:tcPr>
          <w:p w14:paraId="67972EA4">
            <w:pPr>
              <w:jc w:val="center"/>
              <w:rPr>
                <w:rFonts w:hint="eastAsia" w:ascii="宋体" w:hAnsi="宋体" w:eastAsia="宋体" w:cs="宋体"/>
                <w:sz w:val="24"/>
              </w:rPr>
            </w:pPr>
            <w:r>
              <w:rPr>
                <w:rFonts w:hint="eastAsia" w:ascii="宋体" w:hAnsi="宋体" w:eastAsia="宋体" w:cs="宋体"/>
                <w:sz w:val="24"/>
              </w:rPr>
              <w:t>招标文件发售时间和地点</w:t>
            </w:r>
          </w:p>
        </w:tc>
        <w:tc>
          <w:tcPr>
            <w:tcW w:w="7507" w:type="dxa"/>
            <w:vAlign w:val="center"/>
          </w:tcPr>
          <w:p w14:paraId="6D204335">
            <w:pPr>
              <w:rPr>
                <w:rFonts w:hint="eastAsia" w:ascii="宋体" w:hAnsi="宋体" w:eastAsia="宋体" w:cs="宋体"/>
                <w:sz w:val="24"/>
              </w:rPr>
            </w:pPr>
            <w:r>
              <w:rPr>
                <w:rFonts w:hint="eastAsia" w:ascii="宋体" w:hAnsi="宋体" w:eastAsia="宋体" w:cs="宋体"/>
                <w:sz w:val="24"/>
              </w:rPr>
              <w:t>详见采购公告</w:t>
            </w:r>
          </w:p>
        </w:tc>
      </w:tr>
      <w:tr w14:paraId="5897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0" w:type="dxa"/>
            <w:vAlign w:val="center"/>
          </w:tcPr>
          <w:p w14:paraId="3B993E39">
            <w:pPr>
              <w:jc w:val="center"/>
              <w:rPr>
                <w:rFonts w:hint="eastAsia" w:ascii="宋体" w:hAnsi="宋体" w:eastAsia="宋体" w:cs="宋体"/>
                <w:sz w:val="24"/>
              </w:rPr>
            </w:pPr>
            <w:r>
              <w:rPr>
                <w:rFonts w:hint="eastAsia" w:ascii="宋体" w:hAnsi="宋体" w:eastAsia="宋体" w:cs="宋体"/>
                <w:sz w:val="24"/>
              </w:rPr>
              <w:t>6</w:t>
            </w:r>
          </w:p>
        </w:tc>
        <w:tc>
          <w:tcPr>
            <w:tcW w:w="1723" w:type="dxa"/>
            <w:vAlign w:val="center"/>
          </w:tcPr>
          <w:p w14:paraId="157CBF16">
            <w:pPr>
              <w:jc w:val="center"/>
              <w:rPr>
                <w:rFonts w:hint="eastAsia" w:ascii="宋体" w:hAnsi="宋体" w:eastAsia="宋体" w:cs="宋体"/>
                <w:sz w:val="24"/>
              </w:rPr>
            </w:pPr>
            <w:r>
              <w:rPr>
                <w:rFonts w:hint="eastAsia" w:ascii="宋体" w:hAnsi="宋体" w:eastAsia="宋体" w:cs="宋体"/>
                <w:sz w:val="24"/>
              </w:rPr>
              <w:t>现场踏勘时间</w:t>
            </w:r>
          </w:p>
        </w:tc>
        <w:tc>
          <w:tcPr>
            <w:tcW w:w="7507" w:type="dxa"/>
            <w:vAlign w:val="center"/>
          </w:tcPr>
          <w:p w14:paraId="0D74C31E">
            <w:pPr>
              <w:rPr>
                <w:rFonts w:hint="eastAsia" w:ascii="宋体" w:hAnsi="宋体" w:eastAsia="宋体" w:cs="宋体"/>
                <w:sz w:val="24"/>
              </w:rPr>
            </w:pPr>
            <w:r>
              <w:rPr>
                <w:rFonts w:hint="eastAsia" w:ascii="宋体" w:hAnsi="宋体" w:eastAsia="宋体" w:cs="宋体"/>
                <w:sz w:val="24"/>
              </w:rPr>
              <w:t>采购方不统一组织投标人前往项目实施场地踏勘，根据项目实际投标需求，投标人可自行前往项目实施场地进行现场踏勘，以获取编制投标文件所需资料，如投标人因未现场踏勘原因导致投标文件出现错误或遗漏的，由投标人自行承担责任。</w:t>
            </w:r>
          </w:p>
        </w:tc>
      </w:tr>
      <w:tr w14:paraId="57FD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vAlign w:val="center"/>
          </w:tcPr>
          <w:p w14:paraId="79ADAD3E">
            <w:pPr>
              <w:jc w:val="center"/>
              <w:rPr>
                <w:rFonts w:hint="eastAsia" w:ascii="宋体" w:hAnsi="宋体" w:eastAsia="宋体" w:cs="宋体"/>
                <w:sz w:val="24"/>
              </w:rPr>
            </w:pPr>
            <w:r>
              <w:rPr>
                <w:rFonts w:hint="eastAsia" w:ascii="宋体" w:hAnsi="宋体" w:eastAsia="宋体" w:cs="宋体"/>
                <w:sz w:val="24"/>
              </w:rPr>
              <w:t>7</w:t>
            </w:r>
          </w:p>
        </w:tc>
        <w:tc>
          <w:tcPr>
            <w:tcW w:w="1723" w:type="dxa"/>
            <w:vAlign w:val="center"/>
          </w:tcPr>
          <w:p w14:paraId="21359231">
            <w:pPr>
              <w:jc w:val="center"/>
              <w:rPr>
                <w:rFonts w:hint="eastAsia" w:ascii="宋体" w:hAnsi="宋体" w:eastAsia="宋体" w:cs="宋体"/>
                <w:sz w:val="24"/>
              </w:rPr>
            </w:pPr>
            <w:r>
              <w:rPr>
                <w:rFonts w:hint="eastAsia" w:ascii="宋体" w:hAnsi="宋体" w:eastAsia="宋体" w:cs="宋体"/>
                <w:sz w:val="24"/>
              </w:rPr>
              <w:t>招标答疑截止时间</w:t>
            </w:r>
          </w:p>
        </w:tc>
        <w:tc>
          <w:tcPr>
            <w:tcW w:w="7507" w:type="dxa"/>
            <w:vAlign w:val="center"/>
          </w:tcPr>
          <w:p w14:paraId="5C64B887">
            <w:pPr>
              <w:rPr>
                <w:rFonts w:hint="eastAsia" w:ascii="宋体" w:hAnsi="宋体" w:eastAsia="宋体" w:cs="宋体"/>
                <w:sz w:val="24"/>
              </w:rPr>
            </w:pPr>
            <w:r>
              <w:rPr>
                <w:rFonts w:hint="eastAsia" w:ascii="宋体" w:hAnsi="宋体" w:eastAsia="宋体" w:cs="宋体"/>
                <w:sz w:val="24"/>
              </w:rPr>
              <w:t>答疑与澄清：投标人如认为招标文件表述不清晰、存在歧视性、排他性或者其他违法内容的，可以自获取采购文件之日或者采购公告期限届满之日（公告期限届满后获取采购文件的，以公告期限届满之日为准）起7个工作日内，以书面递交或传真形式要求招标方作出书面解释、澄清或者向招标方提出书面质疑；本项目不组织答疑会；招标方的答疑内容和书面澄清文件是招标文件的组成部分，无论是招标方根据需要主动对招标文件进行必要澄清，或是根据投标人的要求对招标文件做出澄清，招标方的答疑内容（招标文件内容如有需修改的）和澄清文件均会在浙江省政府采购网（ http://zfcg.czt.zj.gov.cn/）上统一以公告的形式发布，投标人在投标截止时间前应充分关注该网上发布的信息，如因投标人未及时关注网上发布的信息而导致的一切投标后果由投标人自行承担。</w:t>
            </w:r>
          </w:p>
        </w:tc>
      </w:tr>
      <w:tr w14:paraId="4106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vAlign w:val="center"/>
          </w:tcPr>
          <w:p w14:paraId="373A7077">
            <w:pPr>
              <w:jc w:val="center"/>
              <w:rPr>
                <w:rFonts w:hint="eastAsia" w:ascii="宋体" w:hAnsi="宋体" w:eastAsia="宋体" w:cs="宋体"/>
                <w:sz w:val="24"/>
              </w:rPr>
            </w:pPr>
            <w:r>
              <w:rPr>
                <w:rFonts w:hint="eastAsia" w:ascii="宋体" w:hAnsi="宋体" w:eastAsia="宋体" w:cs="宋体"/>
                <w:sz w:val="24"/>
              </w:rPr>
              <w:t>8</w:t>
            </w:r>
          </w:p>
        </w:tc>
        <w:tc>
          <w:tcPr>
            <w:tcW w:w="1723" w:type="dxa"/>
            <w:vAlign w:val="center"/>
          </w:tcPr>
          <w:p w14:paraId="7877AF18">
            <w:pPr>
              <w:jc w:val="center"/>
              <w:rPr>
                <w:rFonts w:hint="eastAsia" w:ascii="宋体" w:hAnsi="宋体" w:eastAsia="宋体" w:cs="宋体"/>
                <w:sz w:val="24"/>
              </w:rPr>
            </w:pPr>
            <w:r>
              <w:rPr>
                <w:rFonts w:hint="eastAsia" w:ascii="宋体" w:hAnsi="宋体" w:eastAsia="宋体" w:cs="宋体"/>
                <w:sz w:val="24"/>
              </w:rPr>
              <w:t>投标有效期</w:t>
            </w:r>
          </w:p>
        </w:tc>
        <w:tc>
          <w:tcPr>
            <w:tcW w:w="7507" w:type="dxa"/>
            <w:vAlign w:val="center"/>
          </w:tcPr>
          <w:p w14:paraId="6A409C53">
            <w:pPr>
              <w:rPr>
                <w:rFonts w:hint="eastAsia" w:ascii="宋体" w:hAnsi="宋体" w:eastAsia="宋体" w:cs="宋体"/>
                <w:sz w:val="24"/>
              </w:rPr>
            </w:pPr>
            <w:r>
              <w:rPr>
                <w:rFonts w:hint="eastAsia" w:ascii="宋体" w:hAnsi="宋体" w:eastAsia="宋体" w:cs="宋体"/>
                <w:sz w:val="24"/>
              </w:rPr>
              <w:t>自开标之日起60天（日历天）</w:t>
            </w:r>
          </w:p>
        </w:tc>
      </w:tr>
      <w:tr w14:paraId="4AEE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20" w:type="dxa"/>
            <w:vAlign w:val="center"/>
          </w:tcPr>
          <w:p w14:paraId="66D72B42">
            <w:pPr>
              <w:jc w:val="center"/>
              <w:rPr>
                <w:rFonts w:hint="eastAsia" w:ascii="宋体" w:hAnsi="宋体" w:eastAsia="宋体" w:cs="宋体"/>
                <w:sz w:val="24"/>
              </w:rPr>
            </w:pPr>
            <w:r>
              <w:rPr>
                <w:rFonts w:hint="eastAsia" w:ascii="宋体" w:hAnsi="宋体" w:eastAsia="宋体" w:cs="宋体"/>
                <w:sz w:val="24"/>
              </w:rPr>
              <w:t>9</w:t>
            </w:r>
          </w:p>
        </w:tc>
        <w:tc>
          <w:tcPr>
            <w:tcW w:w="1723" w:type="dxa"/>
            <w:vAlign w:val="center"/>
          </w:tcPr>
          <w:p w14:paraId="3DB3CA17">
            <w:pPr>
              <w:jc w:val="center"/>
              <w:rPr>
                <w:rFonts w:hint="eastAsia" w:ascii="宋体" w:hAnsi="宋体" w:eastAsia="宋体" w:cs="宋体"/>
                <w:sz w:val="24"/>
              </w:rPr>
            </w:pPr>
            <w:r>
              <w:rPr>
                <w:rFonts w:hint="eastAsia" w:ascii="宋体" w:hAnsi="宋体" w:eastAsia="宋体" w:cs="宋体"/>
                <w:sz w:val="24"/>
              </w:rPr>
              <w:t>上传电子投标文件时间</w:t>
            </w:r>
          </w:p>
        </w:tc>
        <w:tc>
          <w:tcPr>
            <w:tcW w:w="7507" w:type="dxa"/>
            <w:vAlign w:val="center"/>
          </w:tcPr>
          <w:p w14:paraId="013A96FD">
            <w:pPr>
              <w:rPr>
                <w:rFonts w:hint="eastAsia" w:ascii="宋体" w:hAnsi="宋体" w:eastAsia="宋体" w:cs="宋体"/>
                <w:sz w:val="24"/>
              </w:rPr>
            </w:pPr>
            <w:r>
              <w:rPr>
                <w:rFonts w:hint="eastAsia" w:ascii="宋体" w:hAnsi="宋体" w:eastAsia="宋体" w:cs="宋体"/>
                <w:b/>
                <w:sz w:val="24"/>
              </w:rPr>
              <w:t>投标人应于</w:t>
            </w:r>
            <w:r>
              <w:rPr>
                <w:rFonts w:hint="eastAsia" w:ascii="宋体" w:hAnsi="宋体" w:eastAsia="宋体" w:cs="宋体"/>
                <w:b/>
                <w:sz w:val="24"/>
                <w:lang w:eastAsia="zh-CN"/>
              </w:rPr>
              <w:t>2024年10月11日</w:t>
            </w:r>
            <w:r>
              <w:rPr>
                <w:rFonts w:hint="eastAsia" w:ascii="宋体" w:hAnsi="宋体" w:eastAsia="宋体" w:cs="宋体"/>
                <w:b/>
                <w:sz w:val="24"/>
              </w:rPr>
              <w:t>09:30前在“政采云”平台上自行加密上传电子投标文件，逾期上传或未按要求上传的投标文件将予以拒收。</w:t>
            </w:r>
          </w:p>
        </w:tc>
      </w:tr>
      <w:tr w14:paraId="5DD9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14:paraId="071431B3">
            <w:pPr>
              <w:jc w:val="center"/>
              <w:rPr>
                <w:rFonts w:hint="eastAsia" w:ascii="宋体" w:hAnsi="宋体" w:eastAsia="宋体" w:cs="宋体"/>
                <w:sz w:val="24"/>
              </w:rPr>
            </w:pPr>
            <w:r>
              <w:rPr>
                <w:rFonts w:hint="eastAsia" w:ascii="宋体" w:hAnsi="宋体" w:eastAsia="宋体" w:cs="宋体"/>
                <w:sz w:val="24"/>
              </w:rPr>
              <w:t>10</w:t>
            </w:r>
          </w:p>
        </w:tc>
        <w:tc>
          <w:tcPr>
            <w:tcW w:w="1723" w:type="dxa"/>
            <w:vAlign w:val="center"/>
          </w:tcPr>
          <w:p w14:paraId="0BD849C7">
            <w:pPr>
              <w:jc w:val="center"/>
              <w:rPr>
                <w:rFonts w:hint="eastAsia" w:ascii="宋体" w:hAnsi="宋体" w:eastAsia="宋体" w:cs="宋体"/>
                <w:sz w:val="24"/>
              </w:rPr>
            </w:pPr>
            <w:r>
              <w:rPr>
                <w:rFonts w:hint="eastAsia" w:ascii="宋体" w:hAnsi="宋体" w:eastAsia="宋体" w:cs="宋体"/>
                <w:sz w:val="24"/>
              </w:rPr>
              <w:t>开标时间和地点</w:t>
            </w:r>
          </w:p>
        </w:tc>
        <w:tc>
          <w:tcPr>
            <w:tcW w:w="7507" w:type="dxa"/>
            <w:vAlign w:val="center"/>
          </w:tcPr>
          <w:p w14:paraId="75148AFF">
            <w:pPr>
              <w:rPr>
                <w:rFonts w:hint="eastAsia" w:ascii="宋体" w:hAnsi="宋体" w:eastAsia="宋体" w:cs="宋体"/>
                <w:sz w:val="24"/>
              </w:rPr>
            </w:pPr>
            <w:r>
              <w:rPr>
                <w:rFonts w:hint="eastAsia" w:ascii="宋体" w:hAnsi="宋体" w:eastAsia="宋体" w:cs="宋体"/>
                <w:sz w:val="24"/>
              </w:rPr>
              <w:t>开标时间：</w:t>
            </w:r>
            <w:r>
              <w:rPr>
                <w:rFonts w:hint="eastAsia" w:ascii="宋体" w:hAnsi="宋体" w:eastAsia="宋体" w:cs="宋体"/>
                <w:sz w:val="24"/>
                <w:lang w:eastAsia="zh-CN"/>
              </w:rPr>
              <w:t>2024年10月11日</w:t>
            </w:r>
            <w:r>
              <w:rPr>
                <w:rFonts w:hint="eastAsia" w:ascii="宋体" w:hAnsi="宋体" w:eastAsia="宋体" w:cs="宋体"/>
                <w:sz w:val="24"/>
              </w:rPr>
              <w:t>09:30</w:t>
            </w:r>
          </w:p>
          <w:p w14:paraId="651C1A46">
            <w:pPr>
              <w:rPr>
                <w:rFonts w:hint="eastAsia" w:ascii="宋体" w:hAnsi="宋体" w:eastAsia="宋体" w:cs="宋体"/>
                <w:sz w:val="24"/>
              </w:rPr>
            </w:pPr>
            <w:r>
              <w:rPr>
                <w:rFonts w:hint="eastAsia" w:ascii="宋体" w:hAnsi="宋体" w:eastAsia="宋体" w:cs="宋体"/>
                <w:sz w:val="24"/>
              </w:rPr>
              <w:t>开标地点：义乌市望道路300号义乌市政务服务中心大楼4楼电子开标室</w:t>
            </w:r>
          </w:p>
          <w:p w14:paraId="7611E131">
            <w:pPr>
              <w:rPr>
                <w:rFonts w:hint="eastAsia" w:ascii="宋体" w:hAnsi="宋体" w:eastAsia="宋体" w:cs="宋体"/>
                <w:b/>
                <w:sz w:val="24"/>
              </w:rPr>
            </w:pPr>
            <w:r>
              <w:rPr>
                <w:rFonts w:hint="eastAsia" w:ascii="宋体" w:hAnsi="宋体" w:eastAsia="宋体" w:cs="宋体"/>
                <w:b/>
                <w:sz w:val="24"/>
              </w:rPr>
              <w:t>开标时间后1小时内（</w:t>
            </w:r>
            <w:r>
              <w:rPr>
                <w:rFonts w:hint="eastAsia" w:ascii="宋体" w:hAnsi="宋体" w:eastAsia="宋体" w:cs="宋体"/>
                <w:b/>
                <w:sz w:val="24"/>
                <w:lang w:eastAsia="zh-CN"/>
              </w:rPr>
              <w:t>2024年10月11日</w:t>
            </w:r>
            <w:r>
              <w:rPr>
                <w:rFonts w:hint="eastAsia" w:ascii="宋体" w:hAnsi="宋体" w:eastAsia="宋体" w:cs="宋体"/>
                <w:b/>
                <w:sz w:val="24"/>
              </w:rPr>
              <w:t>10:30前）投标人可以登录“政采云”平台，用“项目采购－开标评标”功能进行解密投标文件。若投标人在规定时间内无法解密或解密失败，将导致投标无效或失败。</w:t>
            </w:r>
          </w:p>
          <w:p w14:paraId="35FB6931">
            <w:pPr>
              <w:pStyle w:val="15"/>
              <w:adjustRightInd w:val="0"/>
              <w:rPr>
                <w:rFonts w:hint="eastAsia" w:hAnsi="宋体" w:cs="宋体"/>
                <w:kern w:val="0"/>
                <w:sz w:val="24"/>
                <w:szCs w:val="24"/>
                <w:u w:val="single"/>
              </w:rPr>
            </w:pPr>
            <w:r>
              <w:rPr>
                <w:rFonts w:hint="eastAsia" w:hAnsi="宋体" w:cs="宋体"/>
                <w:kern w:val="0"/>
                <w:sz w:val="24"/>
                <w:szCs w:val="24"/>
                <w:u w:val="single"/>
              </w:rPr>
              <w:t>备注：为确保采购项目顺利实施，避免因政采云上电子投标文件解密失败导致投标人投标无效，投标人可在</w:t>
            </w:r>
            <w:r>
              <w:rPr>
                <w:rFonts w:hint="eastAsia" w:hAnsi="宋体" w:cs="宋体"/>
                <w:kern w:val="0"/>
                <w:sz w:val="24"/>
                <w:szCs w:val="24"/>
                <w:u w:val="single"/>
                <w:lang w:eastAsia="zh-CN"/>
              </w:rPr>
              <w:t>2024年10月11日</w:t>
            </w:r>
            <w:r>
              <w:rPr>
                <w:rFonts w:hint="eastAsia" w:hAnsi="宋体" w:cs="宋体"/>
                <w:kern w:val="0"/>
                <w:sz w:val="24"/>
                <w:szCs w:val="24"/>
                <w:u w:val="single"/>
              </w:rPr>
              <w:t>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人自行保管，如政采云上电子投标文件出现解密失败情况（开标当日09:30-10:30期间进行解密），投标人可按照自身意愿确认是否同意提供加密密码解密传送至浙江开平企业管理咨询有限公司邮箱（zjkpemc@vip.163.com）的备份文件，并以备份文件作为替代电子投标文件，如投标人未按照规定时间（</w:t>
            </w:r>
            <w:r>
              <w:rPr>
                <w:rFonts w:hint="eastAsia" w:hAnsi="宋体" w:cs="宋体"/>
                <w:kern w:val="0"/>
                <w:sz w:val="24"/>
                <w:szCs w:val="24"/>
                <w:u w:val="single"/>
                <w:lang w:eastAsia="zh-CN"/>
              </w:rPr>
              <w:t>2024年10月11日</w:t>
            </w:r>
            <w:r>
              <w:rPr>
                <w:rFonts w:hint="eastAsia" w:hAnsi="宋体" w:cs="宋体"/>
                <w:kern w:val="0"/>
                <w:sz w:val="24"/>
                <w:szCs w:val="24"/>
                <w:u w:val="single"/>
              </w:rPr>
              <w:t>09:30前）及要求提供有效备份文件，同时政采云上投标文件解密失败的，将导致投标无效。</w:t>
            </w:r>
          </w:p>
          <w:p w14:paraId="3A81B954">
            <w:pPr>
              <w:pStyle w:val="15"/>
              <w:adjustRightInd w:val="0"/>
              <w:ind w:firstLine="482" w:firstLineChars="200"/>
              <w:rPr>
                <w:rFonts w:hint="eastAsia" w:hAnsi="宋体" w:cs="宋体"/>
                <w:sz w:val="24"/>
              </w:rPr>
            </w:pPr>
            <w:r>
              <w:rPr>
                <w:rFonts w:hint="eastAsia" w:hAnsi="宋体" w:cs="宋体"/>
                <w:b/>
                <w:kern w:val="0"/>
                <w:sz w:val="24"/>
                <w:szCs w:val="24"/>
                <w:u w:val="single"/>
              </w:rPr>
              <w:t>投标人无需在开标当天到达开标现场对电子投标进行解密，可在公司办公场地在规定时间内对电子投标文件进行解密。</w:t>
            </w:r>
          </w:p>
        </w:tc>
      </w:tr>
      <w:tr w14:paraId="077A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0" w:type="dxa"/>
            <w:vAlign w:val="center"/>
          </w:tcPr>
          <w:p w14:paraId="526FD342">
            <w:pPr>
              <w:jc w:val="center"/>
              <w:rPr>
                <w:rFonts w:hint="eastAsia" w:ascii="宋体" w:hAnsi="宋体" w:eastAsia="宋体" w:cs="宋体"/>
                <w:sz w:val="24"/>
              </w:rPr>
            </w:pPr>
            <w:r>
              <w:rPr>
                <w:rFonts w:hint="eastAsia" w:ascii="宋体" w:hAnsi="宋体" w:eastAsia="宋体" w:cs="宋体"/>
                <w:sz w:val="24"/>
              </w:rPr>
              <w:t>11</w:t>
            </w:r>
          </w:p>
        </w:tc>
        <w:tc>
          <w:tcPr>
            <w:tcW w:w="1723" w:type="dxa"/>
            <w:vAlign w:val="center"/>
          </w:tcPr>
          <w:p w14:paraId="0B66D9A3">
            <w:pPr>
              <w:jc w:val="center"/>
              <w:rPr>
                <w:rFonts w:hint="eastAsia" w:ascii="宋体" w:hAnsi="宋体" w:eastAsia="宋体" w:cs="宋体"/>
                <w:sz w:val="24"/>
              </w:rPr>
            </w:pPr>
            <w:r>
              <w:rPr>
                <w:rFonts w:hint="eastAsia" w:ascii="宋体" w:hAnsi="宋体" w:eastAsia="宋体" w:cs="宋体"/>
                <w:sz w:val="24"/>
              </w:rPr>
              <w:t>投标保证金</w:t>
            </w:r>
          </w:p>
        </w:tc>
        <w:tc>
          <w:tcPr>
            <w:tcW w:w="7507" w:type="dxa"/>
            <w:vAlign w:val="center"/>
          </w:tcPr>
          <w:p w14:paraId="76D541A2">
            <w:pPr>
              <w:rPr>
                <w:rFonts w:hint="eastAsia" w:ascii="宋体" w:hAnsi="宋体" w:eastAsia="宋体" w:cs="宋体"/>
                <w:sz w:val="24"/>
              </w:rPr>
            </w:pPr>
            <w:r>
              <w:rPr>
                <w:rFonts w:hint="eastAsia" w:ascii="宋体" w:hAnsi="宋体" w:eastAsia="宋体" w:cs="宋体"/>
                <w:sz w:val="24"/>
              </w:rPr>
              <w:t>无</w:t>
            </w:r>
          </w:p>
        </w:tc>
      </w:tr>
      <w:tr w14:paraId="07BD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0" w:type="dxa"/>
            <w:vAlign w:val="center"/>
          </w:tcPr>
          <w:p w14:paraId="0AD637F7">
            <w:pPr>
              <w:jc w:val="center"/>
              <w:rPr>
                <w:rFonts w:hint="eastAsia" w:ascii="宋体" w:hAnsi="宋体" w:eastAsia="宋体" w:cs="宋体"/>
                <w:sz w:val="24"/>
              </w:rPr>
            </w:pPr>
            <w:r>
              <w:rPr>
                <w:rFonts w:hint="eastAsia" w:ascii="宋体" w:hAnsi="宋体" w:eastAsia="宋体" w:cs="宋体"/>
                <w:sz w:val="24"/>
              </w:rPr>
              <w:t>12</w:t>
            </w:r>
          </w:p>
        </w:tc>
        <w:tc>
          <w:tcPr>
            <w:tcW w:w="1723" w:type="dxa"/>
            <w:vAlign w:val="center"/>
          </w:tcPr>
          <w:p w14:paraId="34E118A5">
            <w:pPr>
              <w:jc w:val="center"/>
              <w:rPr>
                <w:rFonts w:hint="eastAsia" w:ascii="宋体" w:hAnsi="宋体" w:eastAsia="宋体" w:cs="宋体"/>
                <w:sz w:val="24"/>
              </w:rPr>
            </w:pPr>
            <w:r>
              <w:rPr>
                <w:rFonts w:hint="eastAsia" w:ascii="宋体" w:hAnsi="宋体" w:eastAsia="宋体" w:cs="宋体"/>
                <w:sz w:val="24"/>
              </w:rPr>
              <w:t>履约保证金</w:t>
            </w:r>
          </w:p>
        </w:tc>
        <w:tc>
          <w:tcPr>
            <w:tcW w:w="7507" w:type="dxa"/>
            <w:vAlign w:val="center"/>
          </w:tcPr>
          <w:p w14:paraId="7830E011">
            <w:pPr>
              <w:rPr>
                <w:rFonts w:hint="eastAsia" w:ascii="宋体" w:hAnsi="宋体" w:eastAsia="宋体" w:cs="宋体"/>
                <w:sz w:val="24"/>
              </w:rPr>
            </w:pPr>
            <w:r>
              <w:rPr>
                <w:rFonts w:hint="eastAsia" w:ascii="宋体" w:hAnsi="宋体" w:eastAsia="宋体" w:cs="宋体"/>
                <w:sz w:val="24"/>
              </w:rPr>
              <w:t>无</w:t>
            </w:r>
          </w:p>
        </w:tc>
      </w:tr>
      <w:tr w14:paraId="303D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vAlign w:val="center"/>
          </w:tcPr>
          <w:p w14:paraId="0AAEDA0A">
            <w:pPr>
              <w:jc w:val="center"/>
              <w:rPr>
                <w:rFonts w:hint="eastAsia" w:ascii="宋体" w:hAnsi="宋体" w:eastAsia="宋体" w:cs="宋体"/>
                <w:sz w:val="24"/>
              </w:rPr>
            </w:pPr>
            <w:r>
              <w:rPr>
                <w:rFonts w:hint="eastAsia" w:ascii="宋体" w:hAnsi="宋体" w:eastAsia="宋体" w:cs="宋体"/>
                <w:sz w:val="24"/>
              </w:rPr>
              <w:t>13</w:t>
            </w:r>
          </w:p>
        </w:tc>
        <w:tc>
          <w:tcPr>
            <w:tcW w:w="1723" w:type="dxa"/>
            <w:vAlign w:val="center"/>
          </w:tcPr>
          <w:p w14:paraId="2BEBBB92">
            <w:pPr>
              <w:jc w:val="center"/>
              <w:rPr>
                <w:rFonts w:hint="eastAsia" w:ascii="宋体" w:hAnsi="宋体" w:eastAsia="宋体" w:cs="宋体"/>
                <w:sz w:val="24"/>
              </w:rPr>
            </w:pPr>
            <w:r>
              <w:rPr>
                <w:rFonts w:hint="eastAsia" w:ascii="宋体" w:hAnsi="宋体" w:eastAsia="宋体" w:cs="宋体"/>
                <w:sz w:val="24"/>
              </w:rPr>
              <w:t>评标办法</w:t>
            </w:r>
          </w:p>
        </w:tc>
        <w:tc>
          <w:tcPr>
            <w:tcW w:w="7507" w:type="dxa"/>
            <w:vAlign w:val="center"/>
          </w:tcPr>
          <w:p w14:paraId="14C43C27">
            <w:pPr>
              <w:rPr>
                <w:rFonts w:hint="eastAsia" w:ascii="宋体" w:hAnsi="宋体" w:eastAsia="宋体" w:cs="宋体"/>
                <w:sz w:val="24"/>
              </w:rPr>
            </w:pPr>
            <w:r>
              <w:rPr>
                <w:rFonts w:hint="eastAsia" w:ascii="宋体" w:hAnsi="宋体" w:eastAsia="宋体" w:cs="宋体"/>
                <w:sz w:val="24"/>
              </w:rPr>
              <w:t>综合评分法</w:t>
            </w:r>
          </w:p>
        </w:tc>
      </w:tr>
      <w:tr w14:paraId="0D93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Align w:val="center"/>
          </w:tcPr>
          <w:p w14:paraId="713FAD32">
            <w:pPr>
              <w:jc w:val="center"/>
              <w:rPr>
                <w:rFonts w:hint="eastAsia" w:ascii="宋体" w:hAnsi="宋体" w:eastAsia="宋体" w:cs="宋体"/>
                <w:sz w:val="24"/>
              </w:rPr>
            </w:pPr>
            <w:r>
              <w:rPr>
                <w:rFonts w:hint="eastAsia" w:ascii="宋体" w:hAnsi="宋体" w:eastAsia="宋体" w:cs="宋体"/>
                <w:sz w:val="24"/>
              </w:rPr>
              <w:t>14</w:t>
            </w:r>
          </w:p>
        </w:tc>
        <w:tc>
          <w:tcPr>
            <w:tcW w:w="1723" w:type="dxa"/>
            <w:vAlign w:val="center"/>
          </w:tcPr>
          <w:p w14:paraId="77262C37">
            <w:pPr>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7507" w:type="dxa"/>
            <w:vAlign w:val="center"/>
          </w:tcPr>
          <w:p w14:paraId="2CE077EA">
            <w:pPr>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1、在合同生效以及具备实施条件后，并收到中标人正式发票后7个工作日内，招标人向中标人支付合同总额的50%作为首付款；</w:t>
            </w:r>
            <w:r>
              <w:rPr>
                <w:rFonts w:ascii="Times New Roman" w:hAnsi="Times New Roman"/>
                <w:sz w:val="24"/>
                <w:szCs w:val="24"/>
                <w:highlight w:val="none"/>
              </w:rPr>
              <w:t>在签订合同时，中标方明确表示无需预付款或者主动要求降低预付款比例的，采购单位可不支付或减少预付款支付比例。</w:t>
            </w:r>
          </w:p>
          <w:p w14:paraId="339B9218">
            <w:pPr>
              <w:ind w:firstLine="480" w:firstLineChars="200"/>
              <w:jc w:val="left"/>
              <w:rPr>
                <w:rFonts w:hint="eastAsia" w:hAnsi="宋体" w:cs="宋体"/>
                <w:sz w:val="24"/>
                <w:highlight w:val="none"/>
              </w:rPr>
            </w:pPr>
            <w:r>
              <w:rPr>
                <w:rFonts w:hint="eastAsia" w:ascii="宋体" w:hAnsi="宋体" w:eastAsia="宋体" w:cs="宋体"/>
                <w:sz w:val="24"/>
                <w:szCs w:val="24"/>
                <w:highlight w:val="none"/>
              </w:rPr>
              <w:t>2、项目最终验收合格后一个月并收到中标人正式发票后7个工作日内，招标人向中标人支付合同总额的50%。</w:t>
            </w:r>
          </w:p>
        </w:tc>
      </w:tr>
      <w:tr w14:paraId="7717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vAlign w:val="center"/>
          </w:tcPr>
          <w:p w14:paraId="190FA68C">
            <w:pPr>
              <w:jc w:val="center"/>
              <w:rPr>
                <w:rFonts w:hint="eastAsia" w:ascii="宋体" w:hAnsi="宋体" w:eastAsia="宋体" w:cs="宋体"/>
                <w:sz w:val="24"/>
              </w:rPr>
            </w:pPr>
            <w:r>
              <w:rPr>
                <w:rFonts w:hint="eastAsia" w:ascii="宋体" w:hAnsi="宋体" w:eastAsia="宋体" w:cs="宋体"/>
                <w:sz w:val="24"/>
              </w:rPr>
              <w:t>15</w:t>
            </w:r>
          </w:p>
        </w:tc>
        <w:tc>
          <w:tcPr>
            <w:tcW w:w="1723" w:type="dxa"/>
            <w:vAlign w:val="center"/>
          </w:tcPr>
          <w:p w14:paraId="0AB44AAD">
            <w:pPr>
              <w:jc w:val="center"/>
              <w:rPr>
                <w:rFonts w:hint="eastAsia" w:ascii="宋体" w:hAnsi="宋体" w:eastAsia="宋体" w:cs="宋体"/>
                <w:sz w:val="24"/>
              </w:rPr>
            </w:pPr>
            <w:r>
              <w:rPr>
                <w:rFonts w:hint="eastAsia" w:ascii="宋体" w:hAnsi="宋体" w:eastAsia="宋体" w:cs="宋体"/>
                <w:sz w:val="24"/>
              </w:rPr>
              <w:t>其他</w:t>
            </w:r>
          </w:p>
        </w:tc>
        <w:tc>
          <w:tcPr>
            <w:tcW w:w="7507" w:type="dxa"/>
            <w:vAlign w:val="center"/>
          </w:tcPr>
          <w:p w14:paraId="66DDDE86">
            <w:pPr>
              <w:numPr>
                <w:ilvl w:val="255"/>
                <w:numId w:val="0"/>
              </w:numPr>
              <w:rPr>
                <w:rFonts w:hint="eastAsia" w:ascii="宋体" w:hAnsi="宋体" w:eastAsia="宋体" w:cs="宋体"/>
                <w:bCs/>
                <w:sz w:val="24"/>
              </w:rPr>
            </w:pPr>
            <w:r>
              <w:rPr>
                <w:rFonts w:hint="eastAsia" w:ascii="宋体" w:hAnsi="宋体" w:eastAsia="宋体" w:cs="宋体"/>
                <w:bCs/>
                <w:sz w:val="24"/>
              </w:rPr>
              <w:t>（1）本项目设有预算价和最高限价，投标报价超过预算价和最高限价的，其投标均为无效标。</w:t>
            </w:r>
          </w:p>
          <w:p w14:paraId="7E75FB43">
            <w:pPr>
              <w:widowControl/>
              <w:numPr>
                <w:ilvl w:val="255"/>
                <w:numId w:val="0"/>
              </w:numPr>
              <w:rPr>
                <w:rFonts w:hint="eastAsia" w:ascii="宋体" w:hAnsi="宋体" w:eastAsia="宋体" w:cs="宋体"/>
              </w:rPr>
            </w:pPr>
            <w:r>
              <w:rPr>
                <w:rFonts w:hint="eastAsia" w:ascii="宋体" w:hAnsi="宋体" w:eastAsia="宋体" w:cs="宋体"/>
                <w:sz w:val="24"/>
              </w:rPr>
              <w:t>（2）招标文件中要求投标人在制作投标文件时，提供的复印件必须根据评审细则对评审的内容复印完整、清晰可辨，否则在评审时以最不利于投标人原则评审。</w:t>
            </w:r>
          </w:p>
        </w:tc>
      </w:tr>
      <w:tr w14:paraId="0C3E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14:paraId="75C22DB2">
            <w:pPr>
              <w:jc w:val="center"/>
              <w:rPr>
                <w:rFonts w:hint="eastAsia" w:ascii="宋体" w:hAnsi="宋体" w:eastAsia="宋体" w:cs="宋体"/>
                <w:sz w:val="24"/>
              </w:rPr>
            </w:pPr>
            <w:r>
              <w:rPr>
                <w:rFonts w:hint="eastAsia" w:ascii="宋体" w:hAnsi="宋体" w:eastAsia="宋体" w:cs="宋体"/>
                <w:sz w:val="24"/>
              </w:rPr>
              <w:t>16</w:t>
            </w:r>
          </w:p>
        </w:tc>
        <w:tc>
          <w:tcPr>
            <w:tcW w:w="1723" w:type="dxa"/>
            <w:vAlign w:val="center"/>
          </w:tcPr>
          <w:p w14:paraId="15F34EAF">
            <w:pPr>
              <w:ind w:firstLine="240" w:firstLineChars="100"/>
              <w:jc w:val="left"/>
              <w:rPr>
                <w:rFonts w:hint="eastAsia" w:ascii="宋体" w:hAnsi="宋体" w:eastAsia="宋体" w:cs="宋体"/>
                <w:sz w:val="24"/>
              </w:rPr>
            </w:pPr>
            <w:r>
              <w:rPr>
                <w:rFonts w:hint="eastAsia" w:ascii="宋体" w:hAnsi="宋体" w:eastAsia="宋体" w:cs="宋体"/>
                <w:sz w:val="24"/>
              </w:rPr>
              <w:t>信用记录</w:t>
            </w:r>
          </w:p>
        </w:tc>
        <w:tc>
          <w:tcPr>
            <w:tcW w:w="7507" w:type="dxa"/>
            <w:vAlign w:val="center"/>
          </w:tcPr>
          <w:p w14:paraId="303BF848">
            <w:pPr>
              <w:ind w:firstLine="480" w:firstLineChars="200"/>
              <w:rPr>
                <w:rFonts w:hint="eastAsia" w:ascii="宋体" w:hAnsi="宋体" w:eastAsia="宋体" w:cs="宋体"/>
                <w:sz w:val="24"/>
              </w:rPr>
            </w:pPr>
            <w:r>
              <w:rPr>
                <w:rFonts w:hint="eastAsia" w:ascii="宋体" w:hAnsi="宋体" w:eastAsia="宋体" w:cs="宋体"/>
                <w:sz w:val="24"/>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失信主体、政府采购严重违法失信行为记录名单的。</w:t>
            </w:r>
          </w:p>
          <w:p w14:paraId="23659589">
            <w:pPr>
              <w:pStyle w:val="35"/>
              <w:spacing w:line="240" w:lineRule="auto"/>
              <w:rPr>
                <w:rFonts w:hint="eastAsia" w:ascii="宋体" w:hAnsi="宋体" w:eastAsia="宋体" w:cs="宋体"/>
              </w:rPr>
            </w:pPr>
            <w:r>
              <w:rPr>
                <w:rFonts w:hint="eastAsia" w:ascii="宋体" w:hAnsi="宋体" w:eastAsia="宋体" w:cs="宋体"/>
                <w:kern w:val="0"/>
                <w:sz w:val="24"/>
              </w:rPr>
              <w:t>根据《浙江省公共信用信息管理条例》第二十六条的规定，未列入严重失信名单的（查询结果以开标当日网站页面显示为准）</w:t>
            </w:r>
            <w:r>
              <w:rPr>
                <w:rFonts w:hint="eastAsia" w:ascii="宋体" w:hAnsi="宋体" w:eastAsia="宋体" w:cs="宋体"/>
                <w:lang w:val="en-US"/>
              </w:rPr>
              <w:t>。</w:t>
            </w:r>
          </w:p>
        </w:tc>
      </w:tr>
      <w:tr w14:paraId="2894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Align w:val="center"/>
          </w:tcPr>
          <w:p w14:paraId="782F188F">
            <w:pPr>
              <w:jc w:val="center"/>
              <w:rPr>
                <w:rFonts w:hint="eastAsia" w:ascii="宋体" w:hAnsi="宋体" w:eastAsia="宋体" w:cs="宋体"/>
                <w:sz w:val="24"/>
              </w:rPr>
            </w:pPr>
            <w:r>
              <w:rPr>
                <w:rFonts w:hint="eastAsia" w:ascii="宋体" w:hAnsi="宋体" w:eastAsia="宋体" w:cs="宋体"/>
                <w:sz w:val="24"/>
              </w:rPr>
              <w:t>17</w:t>
            </w:r>
          </w:p>
        </w:tc>
        <w:tc>
          <w:tcPr>
            <w:tcW w:w="1723" w:type="dxa"/>
            <w:vAlign w:val="center"/>
          </w:tcPr>
          <w:p w14:paraId="79A3BA89">
            <w:pPr>
              <w:wordWrap w:val="0"/>
              <w:jc w:val="left"/>
              <w:rPr>
                <w:rFonts w:hint="eastAsia" w:ascii="宋体" w:hAnsi="宋体" w:eastAsia="宋体" w:cs="宋体"/>
                <w:sz w:val="24"/>
              </w:rPr>
            </w:pPr>
            <w:r>
              <w:rPr>
                <w:rFonts w:hint="eastAsia" w:ascii="宋体" w:hAnsi="宋体" w:eastAsia="宋体" w:cs="宋体"/>
                <w:sz w:val="24"/>
              </w:rPr>
              <w:t>政府采购节能环保产品</w:t>
            </w:r>
          </w:p>
        </w:tc>
        <w:tc>
          <w:tcPr>
            <w:tcW w:w="7507" w:type="dxa"/>
            <w:vAlign w:val="center"/>
          </w:tcPr>
          <w:p w14:paraId="43CD0D6F">
            <w:pPr>
              <w:widowControl/>
              <w:wordWrap w:val="0"/>
              <w:jc w:val="left"/>
              <w:rPr>
                <w:rFonts w:hint="eastAsia" w:ascii="宋体" w:hAnsi="宋体" w:eastAsia="宋体" w:cs="宋体"/>
                <w:sz w:val="24"/>
              </w:rPr>
            </w:pPr>
            <w:r>
              <w:rPr>
                <w:rFonts w:hint="eastAsia" w:ascii="宋体" w:hAnsi="宋体" w:eastAsia="宋体" w:cs="宋体"/>
                <w:sz w:val="24"/>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14:paraId="7EAB192B">
            <w:pPr>
              <w:wordWrap w:val="0"/>
              <w:jc w:val="left"/>
              <w:rPr>
                <w:rFonts w:hint="eastAsia" w:ascii="宋体" w:hAnsi="宋体" w:eastAsia="宋体" w:cs="宋体"/>
                <w:sz w:val="24"/>
              </w:rPr>
            </w:pPr>
            <w:r>
              <w:rPr>
                <w:rFonts w:hint="eastAsia" w:ascii="宋体" w:hAnsi="宋体" w:eastAsia="宋体" w:cs="宋体"/>
                <w:sz w:val="24"/>
              </w:rPr>
              <w:t>★2、招标需求中要求提供的产品属于节能产品政府采购品目清单中强制采购的，投标人须提供该清单内产品，否则其投标将作为无效标处理。</w:t>
            </w:r>
          </w:p>
        </w:tc>
      </w:tr>
      <w:tr w14:paraId="177F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14:paraId="4064FF8B">
            <w:pPr>
              <w:jc w:val="center"/>
              <w:rPr>
                <w:rFonts w:hint="eastAsia" w:ascii="宋体" w:hAnsi="宋体" w:eastAsia="宋体" w:cs="宋体"/>
                <w:sz w:val="24"/>
              </w:rPr>
            </w:pPr>
            <w:r>
              <w:rPr>
                <w:rFonts w:hint="eastAsia" w:ascii="宋体" w:hAnsi="宋体" w:eastAsia="宋体" w:cs="宋体"/>
                <w:sz w:val="24"/>
              </w:rPr>
              <w:t>18</w:t>
            </w:r>
          </w:p>
        </w:tc>
        <w:tc>
          <w:tcPr>
            <w:tcW w:w="1723" w:type="dxa"/>
            <w:vAlign w:val="center"/>
          </w:tcPr>
          <w:p w14:paraId="41CF2266">
            <w:pPr>
              <w:jc w:val="left"/>
              <w:rPr>
                <w:rFonts w:hint="eastAsia" w:ascii="宋体" w:hAnsi="宋体" w:eastAsia="宋体" w:cs="宋体"/>
                <w:sz w:val="24"/>
              </w:rPr>
            </w:pPr>
            <w:r>
              <w:rPr>
                <w:rFonts w:hint="eastAsia" w:ascii="宋体" w:hAnsi="宋体" w:eastAsia="宋体" w:cs="宋体"/>
                <w:sz w:val="24"/>
                <w:szCs w:val="24"/>
              </w:rPr>
              <w:t>中小企业优惠措施</w:t>
            </w:r>
          </w:p>
        </w:tc>
        <w:tc>
          <w:tcPr>
            <w:tcW w:w="7507" w:type="dxa"/>
            <w:vAlign w:val="center"/>
          </w:tcPr>
          <w:p w14:paraId="42E27406">
            <w:pPr>
              <w:jc w:val="left"/>
              <w:rPr>
                <w:rFonts w:hint="eastAsia" w:ascii="宋体" w:hAnsi="宋体" w:eastAsia="宋体" w:cs="宋体"/>
                <w:sz w:val="24"/>
                <w:szCs w:val="24"/>
              </w:rPr>
            </w:pPr>
            <w:r>
              <w:rPr>
                <w:rFonts w:hint="eastAsia" w:ascii="宋体" w:hAnsi="宋体" w:eastAsia="宋体" w:cs="宋体"/>
                <w:sz w:val="24"/>
                <w:szCs w:val="24"/>
              </w:rPr>
              <w:t>（1）本项目所属行业：软件和信息技术服务业。</w:t>
            </w:r>
          </w:p>
          <w:p w14:paraId="4C5DAD11">
            <w:pPr>
              <w:jc w:val="left"/>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本项目</w:t>
            </w:r>
            <w:r>
              <w:rPr>
                <w:rFonts w:hint="eastAsia" w:ascii="宋体" w:hAnsi="宋体" w:eastAsia="宋体" w:cs="宋体"/>
                <w:sz w:val="24"/>
                <w:u w:val="single"/>
              </w:rPr>
              <w:t>不</w:t>
            </w:r>
            <w:r>
              <w:rPr>
                <w:rFonts w:hint="eastAsia" w:ascii="宋体" w:hAnsi="宋体" w:eastAsia="宋体" w:cs="宋体"/>
                <w:sz w:val="24"/>
              </w:rPr>
              <w:t>属于预留份额专门面向中小企业采购的项目。</w:t>
            </w:r>
          </w:p>
          <w:p w14:paraId="5BD199C7">
            <w:pPr>
              <w:jc w:val="left"/>
              <w:rPr>
                <w:rFonts w:hint="eastAsia" w:ascii="宋体" w:hAnsi="宋体" w:eastAsia="宋体" w:cs="宋体"/>
                <w:sz w:val="24"/>
              </w:rPr>
            </w:pPr>
            <w:r>
              <w:rPr>
                <w:rFonts w:hint="eastAsia" w:ascii="宋体" w:hAnsi="宋体" w:eastAsia="宋体" w:cs="宋体"/>
                <w:sz w:val="24"/>
              </w:rPr>
              <w:t>（4）根据财库〔2020〕46号</w:t>
            </w:r>
            <w:r>
              <w:rPr>
                <w:rFonts w:hint="eastAsia" w:ascii="宋体" w:hAnsi="宋体" w:eastAsia="宋体" w:cs="宋体"/>
                <w:sz w:val="24"/>
                <w:szCs w:val="24"/>
              </w:rPr>
              <w:t>及财库</w:t>
            </w:r>
            <w:r>
              <w:rPr>
                <w:rFonts w:hint="eastAsia" w:ascii="宋体" w:hAnsi="宋体" w:eastAsia="宋体" w:cs="宋体"/>
              </w:rPr>
              <w:t>〔</w:t>
            </w:r>
            <w:r>
              <w:rPr>
                <w:rFonts w:hint="eastAsia" w:ascii="宋体" w:hAnsi="宋体" w:eastAsia="宋体" w:cs="宋体"/>
                <w:sz w:val="24"/>
                <w:szCs w:val="24"/>
              </w:rPr>
              <w:t>2022</w:t>
            </w:r>
            <w:r>
              <w:rPr>
                <w:rFonts w:hint="eastAsia" w:ascii="宋体" w:hAnsi="宋体" w:eastAsia="宋体" w:cs="宋体"/>
              </w:rPr>
              <w:t>〕</w:t>
            </w:r>
            <w:r>
              <w:rPr>
                <w:rFonts w:hint="eastAsia" w:ascii="宋体" w:hAnsi="宋体" w:eastAsia="宋体" w:cs="宋体"/>
                <w:sz w:val="24"/>
                <w:szCs w:val="24"/>
              </w:rPr>
              <w:t>19号文件</w:t>
            </w:r>
            <w:r>
              <w:rPr>
                <w:rFonts w:hint="eastAsia" w:ascii="宋体" w:hAnsi="宋体" w:eastAsia="宋体" w:cs="宋体"/>
                <w:sz w:val="24"/>
              </w:rPr>
              <w:t>的相关规定，在评审时对符合本办法规定的小微企业报价给予</w:t>
            </w:r>
            <w:r>
              <w:rPr>
                <w:rFonts w:hint="eastAsia" w:ascii="宋体" w:hAnsi="宋体" w:eastAsia="宋体" w:cs="宋体"/>
                <w:sz w:val="24"/>
                <w:u w:val="single"/>
              </w:rPr>
              <w:t xml:space="preserve"> 20% </w:t>
            </w:r>
            <w:r>
              <w:rPr>
                <w:rFonts w:hint="eastAsia" w:ascii="宋体" w:hAnsi="宋体" w:eastAsia="宋体" w:cs="宋体"/>
                <w:sz w:val="24"/>
              </w:rPr>
              <w:t>的扣除，取扣除后的价格作为最终投标报价（此最终投标报价仅作为价格分计算）。中小企业参加政府采购活动，应当出具本办法规定的《中小企业声明函》，否则不得享受相关中小企业扶持政策。</w:t>
            </w:r>
          </w:p>
          <w:p w14:paraId="3C45B1BA">
            <w:pPr>
              <w:jc w:val="left"/>
              <w:rPr>
                <w:rFonts w:hint="eastAsia" w:ascii="宋体" w:hAnsi="宋体" w:eastAsia="宋体" w:cs="宋体"/>
                <w:sz w:val="24"/>
              </w:rPr>
            </w:pPr>
            <w:r>
              <w:rPr>
                <w:rFonts w:hint="eastAsia" w:ascii="宋体" w:hAnsi="宋体" w:eastAsia="宋体" w:cs="宋体"/>
                <w:sz w:val="24"/>
              </w:rPr>
              <w:t xml:space="preserve">    接受大中型企业与小微企业组成联合体的采购项目，对于联合协议约定小微企业的合同份额占到合同总金额30%以上的，对联合体的报价给予 </w:t>
            </w:r>
            <w:r>
              <w:rPr>
                <w:rFonts w:hint="eastAsia" w:ascii="宋体" w:hAnsi="宋体" w:eastAsia="宋体" w:cs="宋体"/>
                <w:sz w:val="24"/>
                <w:u w:val="single"/>
              </w:rPr>
              <w:t xml:space="preserve"> 6% </w:t>
            </w:r>
            <w:r>
              <w:rPr>
                <w:rFonts w:hint="eastAsia" w:ascii="宋体" w:hAnsi="宋体" w:eastAsia="宋体" w:cs="宋体"/>
                <w:sz w:val="24"/>
              </w:rPr>
              <w:t xml:space="preserve"> 的扣除，用扣除后的价格参加评审。</w:t>
            </w:r>
          </w:p>
          <w:p w14:paraId="3F57D6DF">
            <w:pPr>
              <w:ind w:firstLine="480" w:firstLineChars="200"/>
              <w:jc w:val="left"/>
              <w:rPr>
                <w:rFonts w:hint="eastAsia" w:ascii="宋体" w:hAnsi="宋体" w:eastAsia="宋体" w:cs="宋体"/>
                <w:sz w:val="24"/>
              </w:rPr>
            </w:pPr>
            <w:r>
              <w:rPr>
                <w:rFonts w:hint="eastAsia" w:ascii="宋体" w:hAnsi="宋体" w:eastAsia="宋体" w:cs="宋体"/>
                <w:sz w:val="24"/>
              </w:rPr>
              <w:t>组成联合体的小微企业与联合体内其他企业之间存在直接控股、管理关系的，不享受价格扣除优惠政策。</w:t>
            </w:r>
          </w:p>
          <w:p w14:paraId="1B2DDD70">
            <w:pPr>
              <w:jc w:val="left"/>
              <w:rPr>
                <w:rFonts w:hint="eastAsia" w:ascii="宋体" w:hAnsi="宋体" w:eastAsia="宋体" w:cs="宋体"/>
                <w:sz w:val="24"/>
              </w:rPr>
            </w:pPr>
            <w:r>
              <w:rPr>
                <w:rFonts w:hint="eastAsia" w:ascii="宋体" w:hAnsi="宋体" w:eastAsia="宋体" w:cs="宋体"/>
                <w:sz w:val="24"/>
              </w:rPr>
              <w:t>（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7ECF1A3">
            <w:pPr>
              <w:jc w:val="left"/>
              <w:rPr>
                <w:rFonts w:hint="eastAsia" w:ascii="宋体" w:hAnsi="宋体" w:eastAsia="宋体" w:cs="宋体"/>
                <w:sz w:val="24"/>
              </w:rPr>
            </w:pPr>
            <w:r>
              <w:rPr>
                <w:rFonts w:hint="eastAsia" w:ascii="宋体" w:hAnsi="宋体" w:eastAsia="宋体" w:cs="宋体"/>
                <w:sz w:val="24"/>
              </w:rPr>
              <w:t>（6）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DB103A9">
            <w:pPr>
              <w:jc w:val="left"/>
              <w:rPr>
                <w:rFonts w:hint="eastAsia" w:ascii="宋体" w:hAnsi="宋体" w:eastAsia="宋体" w:cs="宋体"/>
                <w:sz w:val="24"/>
              </w:rPr>
            </w:pPr>
            <w:r>
              <w:rPr>
                <w:rFonts w:hint="eastAsia" w:ascii="宋体" w:hAnsi="宋体" w:eastAsia="宋体" w:cs="宋体"/>
                <w:sz w:val="24"/>
              </w:rPr>
              <w:t>（注：未提供以上材料的，均不给予价格扣除）。</w:t>
            </w:r>
          </w:p>
        </w:tc>
      </w:tr>
      <w:tr w14:paraId="73AB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14:paraId="52FBB6B7">
            <w:pPr>
              <w:jc w:val="center"/>
              <w:rPr>
                <w:rFonts w:hint="eastAsia" w:ascii="宋体" w:hAnsi="宋体" w:eastAsia="宋体" w:cs="宋体"/>
                <w:sz w:val="24"/>
              </w:rPr>
            </w:pPr>
            <w:r>
              <w:rPr>
                <w:rFonts w:hint="eastAsia" w:ascii="宋体" w:hAnsi="宋体" w:eastAsia="宋体" w:cs="宋体"/>
                <w:sz w:val="24"/>
              </w:rPr>
              <w:t>19</w:t>
            </w:r>
          </w:p>
        </w:tc>
        <w:tc>
          <w:tcPr>
            <w:tcW w:w="1723" w:type="dxa"/>
            <w:vAlign w:val="center"/>
          </w:tcPr>
          <w:p w14:paraId="5D0C1C03">
            <w:pPr>
              <w:jc w:val="left"/>
              <w:rPr>
                <w:rFonts w:hint="eastAsia" w:ascii="宋体" w:hAnsi="宋体" w:eastAsia="宋体" w:cs="宋体"/>
                <w:sz w:val="24"/>
              </w:rPr>
            </w:pPr>
            <w:r>
              <w:rPr>
                <w:rFonts w:hint="eastAsia" w:ascii="宋体" w:hAnsi="宋体" w:eastAsia="宋体" w:cs="宋体"/>
                <w:sz w:val="24"/>
              </w:rPr>
              <w:t>信用融资</w:t>
            </w:r>
          </w:p>
        </w:tc>
        <w:tc>
          <w:tcPr>
            <w:tcW w:w="7507" w:type="dxa"/>
            <w:vAlign w:val="center"/>
          </w:tcPr>
          <w:p w14:paraId="2F5619E7">
            <w:pPr>
              <w:jc w:val="left"/>
              <w:rPr>
                <w:rFonts w:hint="eastAsia" w:ascii="宋体" w:hAnsi="宋体" w:eastAsia="宋体" w:cs="宋体"/>
                <w:sz w:val="24"/>
              </w:rPr>
            </w:pPr>
            <w:r>
              <w:rPr>
                <w:rFonts w:hint="eastAsia" w:ascii="宋体" w:hAnsi="宋体" w:eastAsia="宋体" w:cs="宋体"/>
                <w:sz w:val="24"/>
              </w:rP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14:paraId="57F4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14:paraId="6FD5594B">
            <w:pPr>
              <w:jc w:val="center"/>
              <w:rPr>
                <w:rFonts w:hint="eastAsia" w:ascii="宋体" w:hAnsi="宋体" w:eastAsia="宋体" w:cs="宋体"/>
                <w:sz w:val="24"/>
              </w:rPr>
            </w:pPr>
            <w:r>
              <w:rPr>
                <w:rFonts w:hint="eastAsia" w:ascii="宋体" w:hAnsi="宋体" w:eastAsia="宋体" w:cs="宋体"/>
                <w:sz w:val="24"/>
              </w:rPr>
              <w:t>20</w:t>
            </w:r>
          </w:p>
        </w:tc>
        <w:tc>
          <w:tcPr>
            <w:tcW w:w="1723" w:type="dxa"/>
            <w:vAlign w:val="center"/>
          </w:tcPr>
          <w:p w14:paraId="775C9184">
            <w:pPr>
              <w:jc w:val="center"/>
              <w:rPr>
                <w:rFonts w:hint="eastAsia" w:ascii="宋体" w:hAnsi="宋体" w:eastAsia="宋体" w:cs="宋体"/>
                <w:sz w:val="24"/>
              </w:rPr>
            </w:pPr>
            <w:r>
              <w:rPr>
                <w:rFonts w:hint="eastAsia" w:ascii="宋体" w:hAnsi="宋体" w:eastAsia="宋体" w:cs="宋体"/>
                <w:sz w:val="24"/>
              </w:rPr>
              <w:t>失信行为处理</w:t>
            </w:r>
          </w:p>
        </w:tc>
        <w:tc>
          <w:tcPr>
            <w:tcW w:w="7507" w:type="dxa"/>
            <w:vAlign w:val="center"/>
          </w:tcPr>
          <w:p w14:paraId="2743C028">
            <w:pPr>
              <w:rPr>
                <w:rFonts w:hint="eastAsia" w:ascii="宋体" w:hAnsi="宋体" w:eastAsia="宋体" w:cs="宋体"/>
                <w:sz w:val="24"/>
              </w:rPr>
            </w:pPr>
            <w:r>
              <w:rPr>
                <w:rFonts w:hint="eastAsia" w:ascii="宋体" w:hAnsi="宋体" w:eastAsia="宋体" w:cs="宋体"/>
                <w:sz w:val="24"/>
              </w:rPr>
              <w:t>投标人发生下列情况之一时，除严格依法依规进行处理外，还将通报市信用管理部门，列入严重失信名单：</w:t>
            </w:r>
          </w:p>
          <w:p w14:paraId="3D0A0BE8">
            <w:pPr>
              <w:rPr>
                <w:rFonts w:hint="eastAsia" w:ascii="宋体" w:hAnsi="宋体" w:eastAsia="宋体" w:cs="宋体"/>
                <w:sz w:val="24"/>
              </w:rPr>
            </w:pPr>
            <w:r>
              <w:rPr>
                <w:rFonts w:hint="eastAsia" w:ascii="宋体" w:hAnsi="宋体" w:eastAsia="宋体" w:cs="宋体"/>
                <w:sz w:val="24"/>
              </w:rPr>
              <w:t>（1）投标人在规定的投标有效期内撤回投标或放弃中标的；</w:t>
            </w:r>
          </w:p>
          <w:p w14:paraId="46535DAC">
            <w:pPr>
              <w:rPr>
                <w:rFonts w:hint="eastAsia" w:ascii="宋体" w:hAnsi="宋体" w:eastAsia="宋体" w:cs="宋体"/>
                <w:sz w:val="24"/>
              </w:rPr>
            </w:pPr>
            <w:r>
              <w:rPr>
                <w:rFonts w:hint="eastAsia" w:ascii="宋体" w:hAnsi="宋体" w:eastAsia="宋体" w:cs="宋体"/>
                <w:sz w:val="24"/>
              </w:rPr>
              <w:t>（2）有意串标或提供虚假材料者的；</w:t>
            </w:r>
          </w:p>
          <w:p w14:paraId="5EFED048">
            <w:pPr>
              <w:rPr>
                <w:rFonts w:hint="eastAsia" w:ascii="宋体" w:hAnsi="宋体" w:eastAsia="宋体" w:cs="宋体"/>
                <w:sz w:val="24"/>
              </w:rPr>
            </w:pPr>
            <w:r>
              <w:rPr>
                <w:rFonts w:hint="eastAsia" w:ascii="宋体" w:hAnsi="宋体" w:eastAsia="宋体" w:cs="宋体"/>
                <w:sz w:val="24"/>
              </w:rPr>
              <w:t>（3）中标人在收到中标通知书后，因自身原因不能在投标有效期内和采购人签订合同。</w:t>
            </w:r>
          </w:p>
          <w:p w14:paraId="2DCAC5B2">
            <w:pPr>
              <w:rPr>
                <w:rFonts w:hint="eastAsia" w:ascii="宋体" w:hAnsi="宋体" w:eastAsia="宋体" w:cs="宋体"/>
                <w:sz w:val="24"/>
              </w:rPr>
            </w:pPr>
            <w:r>
              <w:rPr>
                <w:rFonts w:hint="eastAsia" w:ascii="宋体" w:hAnsi="宋体" w:eastAsia="宋体" w:cs="宋体"/>
                <w:sz w:val="24"/>
              </w:rPr>
              <w:t>（4）中标人未在规定时间缴纳招标代理费的。</w:t>
            </w:r>
          </w:p>
          <w:p w14:paraId="568A28D6">
            <w:pPr>
              <w:rPr>
                <w:rFonts w:hint="eastAsia" w:ascii="宋体" w:hAnsi="宋体" w:eastAsia="宋体" w:cs="宋体"/>
                <w:sz w:val="24"/>
              </w:rPr>
            </w:pPr>
            <w:r>
              <w:rPr>
                <w:rFonts w:hint="eastAsia" w:ascii="宋体" w:hAnsi="宋体" w:eastAsia="宋体" w:cs="宋体"/>
                <w:sz w:val="24"/>
              </w:rPr>
              <w:t>（5）中标投标人在标后履约过程中未按合同约定的期限和要求履约的。</w:t>
            </w:r>
          </w:p>
          <w:p w14:paraId="654D7590">
            <w:pPr>
              <w:rPr>
                <w:rFonts w:hint="eastAsia" w:ascii="宋体" w:hAnsi="宋体" w:eastAsia="宋体" w:cs="宋体"/>
                <w:sz w:val="24"/>
              </w:rPr>
            </w:pPr>
            <w:r>
              <w:rPr>
                <w:rFonts w:hint="eastAsia" w:ascii="宋体" w:hAnsi="宋体" w:eastAsia="宋体" w:cs="宋体"/>
                <w:sz w:val="24"/>
              </w:rPr>
              <w:t>（6）因中标投标人原因在标后履约过程中擅自终止合同的。</w:t>
            </w:r>
          </w:p>
          <w:p w14:paraId="29D4A7B8">
            <w:pPr>
              <w:jc w:val="left"/>
              <w:rPr>
                <w:rFonts w:hint="eastAsia" w:ascii="宋体" w:hAnsi="宋体" w:eastAsia="宋体" w:cs="宋体"/>
                <w:sz w:val="24"/>
              </w:rPr>
            </w:pPr>
            <w:r>
              <w:rPr>
                <w:rFonts w:hint="eastAsia" w:ascii="宋体" w:hAnsi="宋体" w:eastAsia="宋体" w:cs="宋体"/>
                <w:sz w:val="24"/>
              </w:rPr>
              <w:t>（7）不符合招标文件要求的其他失信行为。</w:t>
            </w:r>
          </w:p>
        </w:tc>
      </w:tr>
      <w:tr w14:paraId="52DC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14:paraId="11F1F146">
            <w:pPr>
              <w:jc w:val="center"/>
              <w:rPr>
                <w:rFonts w:hint="eastAsia" w:ascii="宋体" w:hAnsi="宋体" w:eastAsia="宋体" w:cs="宋体"/>
                <w:sz w:val="24"/>
              </w:rPr>
            </w:pPr>
            <w:r>
              <w:rPr>
                <w:rFonts w:hint="eastAsia" w:ascii="宋体" w:hAnsi="宋体" w:eastAsia="宋体" w:cs="宋体"/>
                <w:sz w:val="24"/>
              </w:rPr>
              <w:t>21</w:t>
            </w:r>
          </w:p>
        </w:tc>
        <w:tc>
          <w:tcPr>
            <w:tcW w:w="1723" w:type="dxa"/>
            <w:vAlign w:val="center"/>
          </w:tcPr>
          <w:p w14:paraId="7A7E0A15">
            <w:pPr>
              <w:jc w:val="center"/>
              <w:rPr>
                <w:rFonts w:eastAsia="宋体"/>
                <w:sz w:val="24"/>
              </w:rPr>
            </w:pPr>
            <w:r>
              <w:rPr>
                <w:rFonts w:hint="eastAsia"/>
                <w:sz w:val="24"/>
              </w:rPr>
              <w:t>其他采购政策</w:t>
            </w:r>
          </w:p>
        </w:tc>
        <w:tc>
          <w:tcPr>
            <w:tcW w:w="7507" w:type="dxa"/>
            <w:vAlign w:val="center"/>
          </w:tcPr>
          <w:p w14:paraId="6E51FC61">
            <w:pPr>
              <w:rPr>
                <w:sz w:val="24"/>
              </w:rPr>
            </w:pPr>
            <w:r>
              <w:rPr>
                <w:rFonts w:ascii="宋体" w:hAnsi="宋体" w:eastAsia="宋体" w:cs="宋体"/>
                <w:sz w:val="24"/>
                <w:szCs w:val="24"/>
              </w:rPr>
              <w:t>投标产品为省级以上主管部门认定的首台套产品（装备）、首批次新材料、首版次软件，自纳入《省推广应用指导目录》起三年内参加政府采购活动，视同已具备相应销售业绩，业绩分为满分。提供相关的材料。</w:t>
            </w:r>
          </w:p>
        </w:tc>
      </w:tr>
    </w:tbl>
    <w:p w14:paraId="30D5D0F9">
      <w:pPr>
        <w:pStyle w:val="35"/>
        <w:ind w:firstLine="0" w:firstLineChars="0"/>
        <w:rPr>
          <w:rFonts w:hint="eastAsia" w:ascii="宋体" w:hAnsi="宋体" w:eastAsia="宋体" w:cs="宋体"/>
        </w:rPr>
      </w:pPr>
      <w:r>
        <w:rPr>
          <w:rFonts w:hint="eastAsia" w:ascii="宋体" w:hAnsi="宋体" w:eastAsia="宋体" w:cs="宋体"/>
        </w:rPr>
        <w:t>注：投标人须知前附表内容与本招标文件后述内容不一致的，以投标须知前附表为准。</w:t>
      </w:r>
    </w:p>
    <w:p w14:paraId="6B25FA20">
      <w:pPr>
        <w:spacing w:line="360" w:lineRule="auto"/>
        <w:rPr>
          <w:rFonts w:hint="eastAsia" w:ascii="宋体" w:hAnsi="宋体" w:eastAsia="宋体" w:cs="宋体"/>
        </w:rPr>
      </w:pPr>
      <w:r>
        <w:rPr>
          <w:rFonts w:hint="eastAsia" w:ascii="宋体" w:hAnsi="宋体" w:eastAsia="宋体" w:cs="宋体"/>
        </w:rPr>
        <w:br w:type="page"/>
      </w:r>
    </w:p>
    <w:p w14:paraId="030BABD0">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投标须知</w:t>
      </w:r>
    </w:p>
    <w:p w14:paraId="552BAFAE">
      <w:pPr>
        <w:pStyle w:val="6"/>
        <w:wordWrap w:val="0"/>
        <w:spacing w:before="0" w:after="0" w:line="360" w:lineRule="auto"/>
        <w:rPr>
          <w:rFonts w:hint="eastAsia" w:ascii="宋体" w:hAnsi="宋体" w:eastAsia="宋体" w:cs="宋体"/>
          <w:sz w:val="24"/>
          <w:szCs w:val="24"/>
        </w:rPr>
      </w:pPr>
      <w:bookmarkStart w:id="2" w:name="_Toc362250687"/>
      <w:bookmarkStart w:id="3" w:name="_Toc274303229"/>
      <w:r>
        <w:rPr>
          <w:rFonts w:hint="eastAsia" w:ascii="宋体" w:hAnsi="宋体" w:eastAsia="宋体" w:cs="宋体"/>
          <w:sz w:val="24"/>
          <w:szCs w:val="24"/>
        </w:rPr>
        <w:t>一、说明</w:t>
      </w:r>
      <w:bookmarkEnd w:id="2"/>
      <w:bookmarkEnd w:id="3"/>
    </w:p>
    <w:p w14:paraId="77C94E3B">
      <w:pPr>
        <w:pStyle w:val="3"/>
        <w:wordWrap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1、适用范围</w:t>
      </w:r>
    </w:p>
    <w:p w14:paraId="29723192">
      <w:pPr>
        <w:pStyle w:val="3"/>
        <w:wordWrap w:val="0"/>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1.1 本招标文件仅适用于本次招标采购所叙述的服务项目。</w:t>
      </w:r>
    </w:p>
    <w:p w14:paraId="4BF1C175">
      <w:pPr>
        <w:pStyle w:val="3"/>
        <w:wordWrap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2、定义</w:t>
      </w:r>
    </w:p>
    <w:p w14:paraId="469DAE65">
      <w:pPr>
        <w:pStyle w:val="15"/>
        <w:wordWrap w:val="0"/>
        <w:spacing w:line="360" w:lineRule="auto"/>
        <w:ind w:firstLine="480" w:firstLineChars="200"/>
        <w:rPr>
          <w:rFonts w:hint="eastAsia" w:hAnsi="宋体" w:cs="宋体"/>
          <w:sz w:val="24"/>
          <w:szCs w:val="24"/>
        </w:rPr>
      </w:pPr>
      <w:r>
        <w:rPr>
          <w:rFonts w:hint="eastAsia" w:hAnsi="宋体" w:cs="宋体"/>
          <w:sz w:val="24"/>
          <w:szCs w:val="24"/>
        </w:rPr>
        <w:t>2.1采购人：系指义乌市应急管理局。</w:t>
      </w:r>
    </w:p>
    <w:p w14:paraId="03B29602">
      <w:pPr>
        <w:pStyle w:val="15"/>
        <w:wordWrap w:val="0"/>
        <w:spacing w:line="360" w:lineRule="auto"/>
        <w:ind w:firstLine="480" w:firstLineChars="200"/>
        <w:rPr>
          <w:rFonts w:hint="eastAsia" w:hAnsi="宋体" w:cs="宋体"/>
          <w:sz w:val="24"/>
          <w:szCs w:val="24"/>
        </w:rPr>
      </w:pPr>
      <w:r>
        <w:rPr>
          <w:rFonts w:hint="eastAsia" w:hAnsi="宋体" w:cs="宋体"/>
          <w:sz w:val="24"/>
          <w:szCs w:val="24"/>
        </w:rPr>
        <w:t>2.2招标代理机构：系指浙江开平企业管理咨询有限公司。</w:t>
      </w:r>
    </w:p>
    <w:p w14:paraId="0E3A62AB">
      <w:pPr>
        <w:pStyle w:val="15"/>
        <w:wordWrap w:val="0"/>
        <w:spacing w:line="360" w:lineRule="auto"/>
        <w:ind w:firstLine="480" w:firstLineChars="200"/>
        <w:rPr>
          <w:rFonts w:hint="eastAsia" w:hAnsi="宋体" w:cs="宋体"/>
          <w:sz w:val="24"/>
          <w:szCs w:val="24"/>
        </w:rPr>
      </w:pPr>
      <w:r>
        <w:rPr>
          <w:rFonts w:hint="eastAsia" w:hAnsi="宋体" w:cs="宋体"/>
          <w:sz w:val="24"/>
          <w:szCs w:val="24"/>
        </w:rPr>
        <w:t>2.3投标人：系指符合采购公告要求的投标供应商。</w:t>
      </w:r>
    </w:p>
    <w:p w14:paraId="7901B967">
      <w:pPr>
        <w:pStyle w:val="3"/>
        <w:wordWrap w:val="0"/>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2.4服务：</w:t>
      </w:r>
      <w:r>
        <w:rPr>
          <w:rFonts w:hint="eastAsia" w:ascii="宋体" w:hAnsi="宋体" w:eastAsia="宋体" w:cs="宋体"/>
          <w:b/>
          <w:bCs/>
          <w:kern w:val="0"/>
          <w:szCs w:val="24"/>
        </w:rPr>
        <w:t>系指</w:t>
      </w:r>
      <w:r>
        <w:rPr>
          <w:rFonts w:hint="eastAsia" w:ascii="宋体" w:hAnsi="宋体" w:eastAsia="宋体" w:cs="宋体"/>
          <w:b/>
          <w:szCs w:val="24"/>
        </w:rPr>
        <w:t>招标文件规定投标人须承担的劳务及其他类似的服务</w:t>
      </w:r>
      <w:r>
        <w:rPr>
          <w:rFonts w:hint="eastAsia" w:ascii="宋体" w:hAnsi="宋体" w:eastAsia="宋体" w:cs="宋体"/>
          <w:b/>
          <w:bCs/>
          <w:szCs w:val="24"/>
        </w:rPr>
        <w:t>。</w:t>
      </w:r>
    </w:p>
    <w:p w14:paraId="2D14BAA6">
      <w:pPr>
        <w:pStyle w:val="17"/>
        <w:wordWrap w:val="0"/>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2.5货物：系指按招标文件规定投标人须向采购人提供的一切材料、货物、机械、仪器仪表、工具及其他有关技术资料和文字材料。</w:t>
      </w:r>
    </w:p>
    <w:p w14:paraId="596EBD6D">
      <w:pPr>
        <w:pStyle w:val="3"/>
        <w:wordWrap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2.6甲方：即采购人，在招投标阶段称为采购人，在签订和执行合同阶段称为甲方。</w:t>
      </w:r>
    </w:p>
    <w:p w14:paraId="62E10739">
      <w:pPr>
        <w:pStyle w:val="3"/>
        <w:wordWrap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2.7乙方：在招投标阶段称为投标人，中标后在签订和执行合同阶段称为乙方。</w:t>
      </w:r>
    </w:p>
    <w:p w14:paraId="538BC6D1">
      <w:pPr>
        <w:pStyle w:val="17"/>
        <w:wordWrap w:val="0"/>
        <w:spacing w:after="0" w:line="360" w:lineRule="auto"/>
        <w:rPr>
          <w:rFonts w:hint="eastAsia" w:ascii="宋体" w:hAnsi="宋体" w:eastAsia="宋体" w:cs="宋体"/>
          <w:sz w:val="24"/>
          <w:szCs w:val="24"/>
        </w:rPr>
      </w:pPr>
      <w:r>
        <w:rPr>
          <w:rFonts w:hint="eastAsia" w:ascii="宋体" w:hAnsi="宋体" w:eastAsia="宋体" w:cs="宋体"/>
          <w:sz w:val="24"/>
          <w:szCs w:val="24"/>
        </w:rPr>
        <w:t>2.8“原产地”是指货物开采、生长或生产，或提供有关服务的来源地。</w:t>
      </w:r>
    </w:p>
    <w:p w14:paraId="13C89513">
      <w:pPr>
        <w:pStyle w:val="8"/>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2.9中小企业（含中型、小型、微型）：符合中小企业划分标准（工信部联企业〔2011〕300号）的企业。</w:t>
      </w:r>
    </w:p>
    <w:p w14:paraId="0754511B">
      <w:pPr>
        <w:pStyle w:val="8"/>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8D5CBA">
      <w:pPr>
        <w:pStyle w:val="8"/>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2.11残疾人福利性单位：符合《财政部、民政部、中国残疾人联合会关于促进残疾人就业政府采购政策的通知》（财库〔2017〕141号）的规定单位。</w:t>
      </w:r>
    </w:p>
    <w:p w14:paraId="36657B04">
      <w:pPr>
        <w:pStyle w:val="8"/>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2.12“★”标记系指必须满足不能负偏离或必须应答的条款。</w:t>
      </w:r>
    </w:p>
    <w:p w14:paraId="0614094E">
      <w:pPr>
        <w:pStyle w:val="3"/>
        <w:numPr>
          <w:ilvl w:val="0"/>
          <w:numId w:val="1"/>
        </w:numPr>
        <w:wordWrap w:val="0"/>
        <w:spacing w:line="360" w:lineRule="auto"/>
        <w:ind w:left="0" w:firstLine="480"/>
        <w:rPr>
          <w:rFonts w:hint="eastAsia" w:ascii="宋体" w:hAnsi="宋体" w:eastAsia="宋体" w:cs="宋体"/>
          <w:szCs w:val="24"/>
        </w:rPr>
      </w:pPr>
      <w:r>
        <w:rPr>
          <w:rFonts w:hint="eastAsia" w:ascii="宋体" w:hAnsi="宋体" w:eastAsia="宋体" w:cs="宋体"/>
          <w:szCs w:val="24"/>
        </w:rPr>
        <w:t>合格的投标人</w:t>
      </w:r>
    </w:p>
    <w:p w14:paraId="2EB9BF84">
      <w:pPr>
        <w:pStyle w:val="15"/>
        <w:wordWrap w:val="0"/>
        <w:spacing w:line="360" w:lineRule="auto"/>
        <w:ind w:firstLine="480" w:firstLineChars="200"/>
        <w:rPr>
          <w:rFonts w:hint="eastAsia" w:hAnsi="宋体" w:cs="宋体"/>
          <w:sz w:val="24"/>
          <w:szCs w:val="24"/>
        </w:rPr>
      </w:pPr>
      <w:r>
        <w:rPr>
          <w:rFonts w:hint="eastAsia" w:hAnsi="宋体" w:cs="宋体"/>
          <w:sz w:val="24"/>
          <w:szCs w:val="24"/>
        </w:rPr>
        <w:t>3.1获取招标文件的投标人，并不能被认定为投标人资格已合格。投标人的资格是否符合招标文件要求，以开标时审查结果为准。</w:t>
      </w:r>
    </w:p>
    <w:p w14:paraId="2CED52C9">
      <w:pPr>
        <w:pStyle w:val="15"/>
        <w:wordWrap w:val="0"/>
        <w:spacing w:line="360" w:lineRule="auto"/>
        <w:ind w:firstLine="480" w:firstLineChars="200"/>
        <w:rPr>
          <w:rFonts w:hint="eastAsia" w:hAnsi="宋体" w:cs="宋体"/>
          <w:sz w:val="24"/>
          <w:szCs w:val="24"/>
        </w:rPr>
      </w:pPr>
      <w:r>
        <w:rPr>
          <w:rFonts w:hint="eastAsia" w:hAnsi="宋体" w:cs="宋体"/>
          <w:sz w:val="24"/>
          <w:szCs w:val="24"/>
        </w:rPr>
        <w:t>3.2符合采购公告中要求的条件。</w:t>
      </w:r>
    </w:p>
    <w:p w14:paraId="040173CB">
      <w:pPr>
        <w:pStyle w:val="15"/>
        <w:wordWrap w:val="0"/>
        <w:spacing w:line="360" w:lineRule="auto"/>
        <w:ind w:firstLine="482" w:firstLineChars="200"/>
        <w:rPr>
          <w:rFonts w:hint="eastAsia" w:hAnsi="宋体" w:cs="宋体"/>
          <w:sz w:val="24"/>
          <w:szCs w:val="24"/>
        </w:rPr>
      </w:pPr>
      <w:r>
        <w:rPr>
          <w:rFonts w:hint="eastAsia" w:hAnsi="宋体" w:cs="宋体"/>
          <w:b/>
          <w:sz w:val="24"/>
          <w:szCs w:val="24"/>
        </w:rPr>
        <w:t>4、保证</w:t>
      </w:r>
    </w:p>
    <w:p w14:paraId="5FBAC4A7">
      <w:pPr>
        <w:pStyle w:val="15"/>
        <w:wordWrap w:val="0"/>
        <w:spacing w:line="360" w:lineRule="auto"/>
        <w:ind w:firstLine="480" w:firstLineChars="200"/>
        <w:rPr>
          <w:rFonts w:hint="eastAsia" w:hAnsi="宋体" w:cs="宋体"/>
          <w:sz w:val="24"/>
          <w:szCs w:val="24"/>
        </w:rPr>
      </w:pPr>
      <w:r>
        <w:rPr>
          <w:rFonts w:hint="eastAsia" w:hAnsi="宋体" w:cs="宋体"/>
          <w:sz w:val="24"/>
          <w:szCs w:val="24"/>
        </w:rPr>
        <w:t>4.1投标单位应保证所提交给招标机构和采购人的资料和数据是真实的。</w:t>
      </w:r>
    </w:p>
    <w:p w14:paraId="330BDC02">
      <w:pPr>
        <w:pStyle w:val="15"/>
        <w:wordWrap w:val="0"/>
        <w:spacing w:line="360" w:lineRule="auto"/>
        <w:ind w:firstLine="482" w:firstLineChars="200"/>
        <w:rPr>
          <w:rFonts w:hint="eastAsia" w:hAnsi="宋体" w:cs="宋体"/>
          <w:b/>
          <w:sz w:val="24"/>
          <w:szCs w:val="24"/>
        </w:rPr>
      </w:pPr>
      <w:r>
        <w:rPr>
          <w:rFonts w:hint="eastAsia" w:hAnsi="宋体" w:cs="宋体"/>
          <w:b/>
          <w:sz w:val="24"/>
          <w:szCs w:val="24"/>
        </w:rPr>
        <w:t>5、招标投标费用</w:t>
      </w:r>
    </w:p>
    <w:p w14:paraId="38CCF805">
      <w:pPr>
        <w:pStyle w:val="15"/>
        <w:wordWrap w:val="0"/>
        <w:spacing w:line="360" w:lineRule="auto"/>
        <w:ind w:firstLine="480" w:firstLineChars="200"/>
        <w:rPr>
          <w:rFonts w:hint="eastAsia" w:hAnsi="宋体" w:cs="宋体"/>
          <w:b/>
          <w:sz w:val="24"/>
          <w:szCs w:val="24"/>
        </w:rPr>
      </w:pPr>
      <w:r>
        <w:rPr>
          <w:rFonts w:hint="eastAsia" w:hAnsi="宋体" w:cs="宋体"/>
          <w:sz w:val="24"/>
          <w:szCs w:val="24"/>
        </w:rPr>
        <w:t>5.1不论投标过程中的做法和结果如何，投标人应承担所有与投标有关的全部费用。采购人和采购代理机构在任何情况下均无义务和责任承担上述这些费用。</w:t>
      </w:r>
    </w:p>
    <w:p w14:paraId="572AF396">
      <w:pPr>
        <w:pStyle w:val="15"/>
        <w:wordWrap w:val="0"/>
        <w:spacing w:line="360" w:lineRule="auto"/>
        <w:ind w:firstLine="480"/>
        <w:rPr>
          <w:rFonts w:hint="eastAsia" w:hAnsi="宋体" w:cs="宋体"/>
          <w:b/>
          <w:sz w:val="24"/>
          <w:szCs w:val="24"/>
        </w:rPr>
      </w:pPr>
      <w:r>
        <w:rPr>
          <w:rFonts w:hint="eastAsia" w:hAnsi="宋体" w:cs="宋体"/>
          <w:b/>
          <w:sz w:val="24"/>
          <w:szCs w:val="24"/>
        </w:rPr>
        <w:t xml:space="preserve">6、现场勘查 </w:t>
      </w:r>
    </w:p>
    <w:p w14:paraId="7987C731">
      <w:pPr>
        <w:pStyle w:val="15"/>
        <w:wordWrap w:val="0"/>
        <w:spacing w:line="360" w:lineRule="auto"/>
        <w:ind w:firstLine="480"/>
        <w:rPr>
          <w:rFonts w:hint="eastAsia" w:hAnsi="宋体" w:cs="宋体"/>
          <w:sz w:val="24"/>
          <w:szCs w:val="24"/>
        </w:rPr>
      </w:pPr>
      <w:r>
        <w:rPr>
          <w:rFonts w:hint="eastAsia" w:hAnsi="宋体" w:cs="宋体"/>
          <w:sz w:val="24"/>
          <w:szCs w:val="24"/>
        </w:rPr>
        <w:t>6.1采购方不统一组织投标人前往项目实施场地踏勘，根据项目实际投标需求，投标人可自行前往项目实施场地进行现场踏勘，以获取编制投标文件所需资料，如投标人因未现场踏勘原因导致投标文件出现错误或遗漏的，由投标人自行承担责任。</w:t>
      </w:r>
    </w:p>
    <w:p w14:paraId="5C3CE22C">
      <w:pPr>
        <w:pStyle w:val="15"/>
        <w:wordWrap w:val="0"/>
        <w:spacing w:line="360" w:lineRule="auto"/>
        <w:ind w:firstLine="480"/>
        <w:rPr>
          <w:rFonts w:hint="eastAsia" w:hAnsi="宋体" w:cs="宋体"/>
          <w:sz w:val="24"/>
          <w:szCs w:val="24"/>
        </w:rPr>
      </w:pPr>
      <w:r>
        <w:rPr>
          <w:rFonts w:hint="eastAsia" w:hAnsi="宋体" w:cs="宋体"/>
          <w:sz w:val="24"/>
          <w:szCs w:val="24"/>
        </w:rPr>
        <w:t>6.2投标人在考察过程中发生的各类事件及所发生的各项费用，均由投标人自行承担。采购人和代理机构概不负责。</w:t>
      </w:r>
    </w:p>
    <w:p w14:paraId="7F11C523">
      <w:pPr>
        <w:pStyle w:val="15"/>
        <w:wordWrap w:val="0"/>
        <w:spacing w:line="360" w:lineRule="auto"/>
        <w:ind w:firstLine="480" w:firstLineChars="200"/>
        <w:rPr>
          <w:rFonts w:hint="eastAsia" w:hAnsi="宋体" w:cs="宋体"/>
          <w:sz w:val="24"/>
          <w:szCs w:val="24"/>
        </w:rPr>
      </w:pPr>
      <w:r>
        <w:rPr>
          <w:rFonts w:hint="eastAsia" w:hAnsi="宋体" w:cs="宋体"/>
          <w:sz w:val="24"/>
          <w:szCs w:val="24"/>
        </w:rPr>
        <w:t>6.3采购人向投标人提供的有关现场的数据和资料，是采购人现有的能被投标人利用的资料，采购人对投标人据此做出的任何推论、理解和结论不负责任。</w:t>
      </w:r>
    </w:p>
    <w:p w14:paraId="13537C79">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6.4现场踏勘完毕，将认为投标人已了解现场情况，并充分理解了为之所承担的风险、义务和责任。</w:t>
      </w:r>
    </w:p>
    <w:p w14:paraId="75F031AD">
      <w:pPr>
        <w:spacing w:line="360" w:lineRule="auto"/>
        <w:ind w:firstLine="482" w:firstLineChars="200"/>
        <w:rPr>
          <w:rFonts w:hint="eastAsia" w:ascii="宋体" w:hAnsi="宋体" w:eastAsia="宋体" w:cs="宋体"/>
          <w:b/>
          <w:sz w:val="24"/>
          <w:szCs w:val="24"/>
        </w:rPr>
      </w:pPr>
      <w:bookmarkStart w:id="4" w:name="_Toc274303230"/>
      <w:bookmarkStart w:id="5" w:name="_Toc362250688"/>
      <w:r>
        <w:rPr>
          <w:rFonts w:hint="eastAsia" w:ascii="宋体" w:hAnsi="宋体" w:eastAsia="宋体" w:cs="宋体"/>
          <w:b/>
          <w:sz w:val="24"/>
          <w:szCs w:val="24"/>
        </w:rPr>
        <w:t>7、转包、分包、联合体</w:t>
      </w:r>
    </w:p>
    <w:p w14:paraId="4AB86CC4">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7.1本项目不接受转包、分包。</w:t>
      </w:r>
    </w:p>
    <w:p w14:paraId="71E208FB">
      <w:pPr>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7.2本项目允许联合体投标。</w:t>
      </w:r>
    </w:p>
    <w:p w14:paraId="5B3413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7.3联合体采购相关规定：</w:t>
      </w:r>
    </w:p>
    <w:p w14:paraId="5EE469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7.3.1除特定资格要求外，联合体各方均应符合本项目规定的其他资格要求及根据承担工作需要的相应资格。</w:t>
      </w:r>
    </w:p>
    <w:p w14:paraId="7387C7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7.3.2如本项目有特定资格要求的，联合体中至少有一方应符合本文件规定的特定资格要求。但联合体中有同类资质的投标人按照联合体分工承担相同工作的，应当按照资质等级较低的投标人确定资质等级。</w:t>
      </w:r>
    </w:p>
    <w:p w14:paraId="6EB6CA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7.3.3以联合体形式参加政府采购活动的，联合体各方不得再单独参加或者与其他投标人另外组成联合体参加同一合同项下的政府采购活动。</w:t>
      </w:r>
    </w:p>
    <w:p w14:paraId="2B648D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7.3.4联合体参与的，必须提供《联合体协议》。</w:t>
      </w:r>
    </w:p>
    <w:p w14:paraId="5F95F4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7.3.5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14:paraId="1A4D42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7.3.6联合体各方均为中小企业的，该联合体视同中小企业。</w:t>
      </w:r>
    </w:p>
    <w:p w14:paraId="1BA8F2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7.3.7以联合体形式参加政府采购活动的，其投诉应当由组成联合体的所有供应商共同提出。</w:t>
      </w:r>
    </w:p>
    <w:p w14:paraId="109058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7.3.8采购人或采购代理机构对联合体中任何一方的书面文件都对联合体各方具有约束力。</w:t>
      </w:r>
    </w:p>
    <w:p w14:paraId="54C718DE">
      <w:pPr>
        <w:pStyle w:val="6"/>
        <w:wordWrap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二、招标文件</w:t>
      </w:r>
      <w:bookmarkEnd w:id="4"/>
      <w:bookmarkEnd w:id="5"/>
    </w:p>
    <w:p w14:paraId="2DCAD0C5">
      <w:pPr>
        <w:wordWrap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8、招标文件的组成</w:t>
      </w:r>
    </w:p>
    <w:p w14:paraId="69B98BFC">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8.1招标文件包括下列内容：</w:t>
      </w:r>
    </w:p>
    <w:p w14:paraId="19EB56C9">
      <w:pPr>
        <w:wordWrap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第一章  采购公告</w:t>
      </w:r>
    </w:p>
    <w:p w14:paraId="5A9789A1">
      <w:pPr>
        <w:wordWrap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第二章  投标须知和投标须知前附表</w:t>
      </w:r>
    </w:p>
    <w:p w14:paraId="51E4C2DD">
      <w:pPr>
        <w:wordWrap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第三章  招标项目要求</w:t>
      </w:r>
    </w:p>
    <w:p w14:paraId="17976C81">
      <w:pPr>
        <w:wordWrap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第四章  开标、评标和定标</w:t>
      </w:r>
    </w:p>
    <w:p w14:paraId="47E50280">
      <w:pPr>
        <w:wordWrap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第五章  投标文件的有效性</w:t>
      </w:r>
    </w:p>
    <w:p w14:paraId="1141A107">
      <w:pPr>
        <w:wordWrap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第六章  评标办法</w:t>
      </w:r>
    </w:p>
    <w:p w14:paraId="4F11EDE5">
      <w:pPr>
        <w:wordWrap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第七章  合同主要条款</w:t>
      </w:r>
    </w:p>
    <w:p w14:paraId="02E5D73C">
      <w:pPr>
        <w:wordWrap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第八章  投标文件部分格式</w:t>
      </w:r>
    </w:p>
    <w:p w14:paraId="6934C5A2">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8.2除8.1内容外，采购人在提交投标文件截止时间前，以公告形式发出的对招标文件的澄清或修改内容，均为招标文件的组成部分，对采购人和投标人起约束作用。</w:t>
      </w:r>
    </w:p>
    <w:p w14:paraId="3E969912">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8.3上述所列8.1及8.2条内容均以公告内容为准，采购人（招标代理机构）的任何工作人员对投标人所作的任何口头解释、介绍、答复，对采购人和投标人无任何约束力。</w:t>
      </w:r>
    </w:p>
    <w:p w14:paraId="1FBEB431">
      <w:pPr>
        <w:wordWrap w:val="0"/>
        <w:spacing w:line="360" w:lineRule="auto"/>
        <w:ind w:firstLine="480" w:firstLineChars="200"/>
        <w:rPr>
          <w:rFonts w:hint="eastAsia" w:ascii="宋体" w:hAnsi="宋体" w:eastAsia="宋体" w:cs="宋体"/>
          <w:b/>
          <w:bCs/>
          <w:sz w:val="24"/>
          <w:szCs w:val="24"/>
          <w:shd w:val="pct10" w:color="auto" w:fill="FFFFFF"/>
        </w:rPr>
      </w:pPr>
      <w:r>
        <w:rPr>
          <w:rFonts w:hint="eastAsia" w:ascii="宋体" w:hAnsi="宋体" w:eastAsia="宋体" w:cs="宋体"/>
          <w:sz w:val="24"/>
          <w:szCs w:val="24"/>
        </w:rPr>
        <w:t>8.4</w:t>
      </w:r>
      <w:r>
        <w:rPr>
          <w:rFonts w:hint="eastAsia" w:ascii="宋体" w:hAnsi="宋体" w:eastAsia="宋体" w:cs="宋体"/>
          <w:b/>
          <w:bCs/>
          <w:sz w:val="24"/>
          <w:szCs w:val="24"/>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14:paraId="32AE38D4">
      <w:pPr>
        <w:pStyle w:val="35"/>
        <w:wordWrap w:val="0"/>
        <w:rPr>
          <w:rFonts w:hint="eastAsia" w:ascii="宋体" w:hAnsi="宋体" w:eastAsia="宋体" w:cs="宋体"/>
          <w:szCs w:val="24"/>
        </w:rPr>
      </w:pPr>
      <w:r>
        <w:rPr>
          <w:rFonts w:hint="eastAsia" w:ascii="宋体" w:hAnsi="宋体" w:eastAsia="宋体" w:cs="宋体"/>
          <w:szCs w:val="24"/>
          <w:lang w:val="en-US"/>
        </w:rPr>
        <w:t>8</w:t>
      </w:r>
      <w:r>
        <w:rPr>
          <w:rFonts w:hint="eastAsia" w:ascii="宋体" w:hAnsi="宋体" w:eastAsia="宋体" w:cs="宋体"/>
          <w:szCs w:val="24"/>
        </w:rPr>
        <w:t>.5招标方在政采云系统上设定的内容与招标文件的内容不一致的，以招标文件的内容为准。</w:t>
      </w:r>
    </w:p>
    <w:p w14:paraId="5759817A">
      <w:pPr>
        <w:wordWrap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9、招标文件的澄清</w:t>
      </w:r>
    </w:p>
    <w:p w14:paraId="5BC3B5D9">
      <w:pPr>
        <w:wordWrap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9.1投标人若对招标文件有任何疑问，应于前附表规定的时间以书面形式送（传真）至浙江开平企业管理咨询有限公司（义乌市雪峰西路968号科创园科技大楼B区4楼）向采购人和代理机构提出。</w:t>
      </w:r>
    </w:p>
    <w:p w14:paraId="244DB838">
      <w:pPr>
        <w:wordWrap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9.2无论是采购方根据需要主动对招标文件进行必要澄清，或是根据投标人的要求对招标文件做出澄清，采购方的澄清文件会在浙江省政府采购网（</w:t>
      </w:r>
      <w:r>
        <w:rPr>
          <w:rFonts w:hint="eastAsia" w:ascii="宋体" w:hAnsi="宋体" w:eastAsia="宋体" w:cs="宋体"/>
          <w:sz w:val="24"/>
          <w:szCs w:val="24"/>
        </w:rPr>
        <w:drawing>
          <wp:inline distT="0" distB="0" distL="114300" distR="114300">
            <wp:extent cx="190500" cy="1447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4780"/>
                    </a:xfrm>
                    <a:prstGeom prst="rect">
                      <a:avLst/>
                    </a:prstGeom>
                    <a:noFill/>
                    <a:ln>
                      <a:noFill/>
                    </a:ln>
                  </pic:spPr>
                </pic:pic>
              </a:graphicData>
            </a:graphic>
          </wp:inline>
        </w:drawing>
      </w:r>
      <w:r>
        <w:rPr>
          <w:rFonts w:hint="eastAsia" w:ascii="宋体" w:hAnsi="宋体" w:eastAsia="宋体" w:cs="宋体"/>
          <w:sz w:val="24"/>
          <w:szCs w:val="24"/>
        </w:rPr>
        <w:t>http://zfcg.czt.zj.gov.cn/）上统一以公告的形式发布，同时政采云系统会向所有已按招标文件规定方式获取招标文件的潜在投标人发送更正提醒信息，潜在投标人请自行到浙江省政府采网上下载澄清（更正）文件，如因投标人未及时关注网上发布的信息而导致的一切投标后果由投标人自行承担。</w:t>
      </w:r>
    </w:p>
    <w:p w14:paraId="66102852">
      <w:pPr>
        <w:wordWrap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9.3投标人在前附表规定时间未提交疑问的，视作默认对本次招标过程中招标文件无异议，采购人对其提出的问题可以不作解释。</w:t>
      </w:r>
    </w:p>
    <w:p w14:paraId="48F6575E">
      <w:pPr>
        <w:wordWrap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9.4招标文件澄清、修改、补充等内容均以公告形式明确的内容为准。当招标文件、招标文件的澄清、修改、补充等在同一内容的表述上不一致时，以最后发出的公告文件为准。</w:t>
      </w:r>
    </w:p>
    <w:p w14:paraId="56A05EB9">
      <w:pPr>
        <w:wordWrap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9.5采购人及招标代理机构工作人员向投标人所作的任何口头答复或电话通知一律无效。</w:t>
      </w:r>
    </w:p>
    <w:p w14:paraId="7B41BFB3">
      <w:pPr>
        <w:wordWrap w:val="0"/>
        <w:spacing w:line="360" w:lineRule="auto"/>
        <w:ind w:firstLine="480" w:firstLineChars="200"/>
        <w:textAlignment w:val="baseline"/>
        <w:rPr>
          <w:rFonts w:hint="eastAsia" w:ascii="宋体" w:hAnsi="宋体" w:eastAsia="宋体" w:cs="宋体"/>
          <w:spacing w:val="-4"/>
          <w:sz w:val="24"/>
          <w:szCs w:val="24"/>
        </w:rPr>
      </w:pPr>
      <w:r>
        <w:rPr>
          <w:rFonts w:hint="eastAsia" w:ascii="宋体" w:hAnsi="宋体" w:eastAsia="宋体" w:cs="宋体"/>
          <w:sz w:val="24"/>
          <w:szCs w:val="24"/>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hint="eastAsia" w:ascii="宋体" w:hAnsi="宋体" w:eastAsia="宋体" w:cs="宋体"/>
          <w:spacing w:val="-4"/>
          <w:sz w:val="24"/>
          <w:szCs w:val="24"/>
        </w:rPr>
        <w:t>。</w:t>
      </w:r>
    </w:p>
    <w:p w14:paraId="697575CC">
      <w:pPr>
        <w:pStyle w:val="6"/>
        <w:wordWrap w:val="0"/>
        <w:spacing w:before="0" w:after="0" w:line="360" w:lineRule="auto"/>
        <w:rPr>
          <w:rFonts w:hint="eastAsia" w:ascii="宋体" w:hAnsi="宋体" w:eastAsia="宋体" w:cs="宋体"/>
          <w:sz w:val="24"/>
          <w:szCs w:val="24"/>
        </w:rPr>
      </w:pPr>
      <w:bookmarkStart w:id="6" w:name="_Toc362250689"/>
      <w:bookmarkStart w:id="7" w:name="_Toc274303231"/>
      <w:r>
        <w:rPr>
          <w:rFonts w:hint="eastAsia" w:ascii="宋体" w:hAnsi="宋体" w:eastAsia="宋体" w:cs="宋体"/>
          <w:sz w:val="24"/>
          <w:szCs w:val="24"/>
        </w:rPr>
        <w:t>三、投标文件</w:t>
      </w:r>
      <w:bookmarkEnd w:id="6"/>
      <w:bookmarkEnd w:id="7"/>
    </w:p>
    <w:p w14:paraId="47C59326">
      <w:pPr>
        <w:wordWrap w:val="0"/>
        <w:spacing w:line="360" w:lineRule="auto"/>
        <w:ind w:firstLine="480"/>
        <w:rPr>
          <w:rFonts w:hint="eastAsia" w:ascii="宋体" w:hAnsi="宋体" w:eastAsia="宋体" w:cs="宋体"/>
          <w:sz w:val="24"/>
          <w:szCs w:val="24"/>
        </w:rPr>
      </w:pPr>
      <w:r>
        <w:rPr>
          <w:rFonts w:hint="eastAsia" w:ascii="宋体" w:hAnsi="宋体" w:eastAsia="宋体" w:cs="宋体"/>
          <w:b/>
          <w:sz w:val="24"/>
          <w:szCs w:val="24"/>
        </w:rPr>
        <w:t>10、</w:t>
      </w:r>
      <w:r>
        <w:rPr>
          <w:rFonts w:hint="eastAsia" w:ascii="宋体" w:hAnsi="宋体" w:eastAsia="宋体" w:cs="宋体"/>
          <w:b/>
          <w:bCs/>
          <w:sz w:val="24"/>
          <w:szCs w:val="24"/>
        </w:rPr>
        <w:t>投标文件的语言及度量衡单位</w:t>
      </w:r>
    </w:p>
    <w:p w14:paraId="308FB5EE">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10.1投标文件和与投标有关的所有文件均应使用中文。</w:t>
      </w:r>
    </w:p>
    <w:p w14:paraId="76702D6E">
      <w:pPr>
        <w:pStyle w:val="15"/>
        <w:wordWrap w:val="0"/>
        <w:spacing w:line="360" w:lineRule="auto"/>
        <w:ind w:firstLine="480" w:firstLineChars="200"/>
        <w:rPr>
          <w:rFonts w:hint="eastAsia" w:hAnsi="宋体" w:cs="宋体"/>
          <w:sz w:val="24"/>
          <w:szCs w:val="24"/>
        </w:rPr>
      </w:pPr>
      <w:r>
        <w:rPr>
          <w:rFonts w:hint="eastAsia" w:hAnsi="宋体" w:cs="宋体"/>
          <w:sz w:val="24"/>
          <w:szCs w:val="24"/>
        </w:rPr>
        <w:t>10.2除工程规范另有规定外，投标文件使用的度量衡单位，均采用中华人民共和国法定计量单位。</w:t>
      </w:r>
    </w:p>
    <w:p w14:paraId="73EE7E3B">
      <w:pPr>
        <w:wordWrap w:val="0"/>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bCs/>
          <w:sz w:val="24"/>
          <w:szCs w:val="24"/>
        </w:rPr>
        <w:t>11、对投标文件的要求</w:t>
      </w:r>
    </w:p>
    <w:p w14:paraId="5AF1816E">
      <w:pPr>
        <w:pStyle w:val="24"/>
        <w:wordWrap w:val="0"/>
        <w:spacing w:after="0" w:line="360" w:lineRule="auto"/>
        <w:jc w:val="left"/>
        <w:textAlignment w:val="baseline"/>
        <w:rPr>
          <w:rFonts w:hint="eastAsia" w:ascii="宋体" w:hAnsi="宋体" w:eastAsia="宋体" w:cs="宋体"/>
          <w:kern w:val="0"/>
          <w:sz w:val="24"/>
          <w:szCs w:val="24"/>
        </w:rPr>
      </w:pPr>
      <w:r>
        <w:rPr>
          <w:rFonts w:hint="eastAsia" w:ascii="宋体" w:hAnsi="宋体" w:eastAsia="宋体" w:cs="宋体"/>
          <w:b/>
          <w:bCs/>
          <w:kern w:val="0"/>
          <w:sz w:val="24"/>
          <w:szCs w:val="24"/>
        </w:rPr>
        <w:t xml:space="preserve">    </w:t>
      </w:r>
      <w:r>
        <w:rPr>
          <w:rFonts w:hint="eastAsia" w:ascii="宋体" w:hAnsi="宋体" w:eastAsia="宋体" w:cs="宋体"/>
          <w:kern w:val="0"/>
          <w:sz w:val="24"/>
          <w:szCs w:val="24"/>
        </w:rPr>
        <w:t>11.1投标人应仔细阅读招标文件，了解招标文件的要求，在完全了解招标项目的要求后，编制投标文件。</w:t>
      </w:r>
    </w:p>
    <w:p w14:paraId="6C9A22E6">
      <w:pPr>
        <w:pStyle w:val="3"/>
        <w:wordWrap w:val="0"/>
        <w:spacing w:line="360" w:lineRule="auto"/>
        <w:ind w:firstLine="480" w:firstLineChars="200"/>
        <w:jc w:val="left"/>
        <w:rPr>
          <w:rFonts w:hint="eastAsia" w:ascii="宋体" w:hAnsi="宋体" w:eastAsia="宋体" w:cs="宋体"/>
          <w:kern w:val="0"/>
          <w:szCs w:val="24"/>
        </w:rPr>
      </w:pPr>
      <w:r>
        <w:rPr>
          <w:rFonts w:hint="eastAsia" w:ascii="宋体" w:hAnsi="宋体" w:eastAsia="宋体" w:cs="宋体"/>
          <w:kern w:val="0"/>
          <w:szCs w:val="24"/>
        </w:rPr>
        <w:t>11.2编制投标文件时，投标人对招标文件中的各个要求须逐项逐条作出实质性回答，</w:t>
      </w:r>
      <w:r>
        <w:rPr>
          <w:rFonts w:hint="eastAsia" w:ascii="宋体" w:hAnsi="宋体" w:eastAsia="宋体" w:cs="宋体"/>
          <w:szCs w:val="24"/>
        </w:rPr>
        <w:t>若有偏离的均应在规范偏离表中提出。</w:t>
      </w:r>
      <w:r>
        <w:rPr>
          <w:rFonts w:hint="eastAsia" w:ascii="宋体" w:hAnsi="宋体" w:eastAsia="宋体" w:cs="宋体"/>
          <w:kern w:val="0"/>
          <w:szCs w:val="24"/>
        </w:rPr>
        <w:t>顺序编号清楚，可用描述性文字及说明材料（说明材料必须加盖电子签章）。</w:t>
      </w:r>
    </w:p>
    <w:p w14:paraId="73D3EA90">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11.3 在招标文件对商务技术要求中，投标人必须充分应答和满足用户的强制性的需求，如“★”等，否则将导致废标。</w:t>
      </w:r>
    </w:p>
    <w:p w14:paraId="668A7E71">
      <w:pPr>
        <w:wordWrap w:val="0"/>
        <w:spacing w:line="360" w:lineRule="auto"/>
        <w:ind w:firstLine="480"/>
        <w:rPr>
          <w:rFonts w:hint="eastAsia" w:ascii="宋体" w:hAnsi="宋体" w:eastAsia="宋体" w:cs="宋体"/>
          <w:bCs/>
          <w:sz w:val="24"/>
          <w:szCs w:val="24"/>
        </w:rPr>
      </w:pPr>
      <w:r>
        <w:rPr>
          <w:rFonts w:hint="eastAsia" w:ascii="宋体" w:hAnsi="宋体" w:eastAsia="宋体" w:cs="宋体"/>
          <w:sz w:val="24"/>
          <w:szCs w:val="24"/>
        </w:rPr>
        <w:t>11.4</w:t>
      </w:r>
      <w:r>
        <w:rPr>
          <w:rFonts w:hint="eastAsia" w:ascii="宋体" w:hAnsi="宋体" w:eastAsia="宋体" w:cs="宋体"/>
          <w:bCs/>
          <w:sz w:val="24"/>
          <w:szCs w:val="24"/>
        </w:rPr>
        <w:t>投标人应提供说明其拟提供的合格性及符合招标文件规定的文件，作为其投标文件的一部分。</w:t>
      </w:r>
    </w:p>
    <w:p w14:paraId="025BDBAC">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11.5</w:t>
      </w:r>
      <w:r>
        <w:rPr>
          <w:rFonts w:hint="eastAsia" w:ascii="宋体" w:hAnsi="宋体" w:eastAsia="宋体" w:cs="宋体"/>
          <w:sz w:val="24"/>
          <w:szCs w:val="24"/>
        </w:rPr>
        <w:t>编制的投标文件对招标文件中有关条款未提出异议的，均被视为接受和同意。</w:t>
      </w:r>
    </w:p>
    <w:p w14:paraId="62CB05A4">
      <w:pPr>
        <w:wordWrap w:val="0"/>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12、投标文件的组成</w:t>
      </w:r>
    </w:p>
    <w:p w14:paraId="634FED85">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招标文件中“投标文件部分格式”所列的内容、格式及其投标人认为有必要提供的其他文件。</w:t>
      </w:r>
    </w:p>
    <w:p w14:paraId="7198B92E">
      <w:pPr>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★12.2 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投标报价</w:t>
      </w:r>
      <w:r>
        <w:rPr>
          <w:rFonts w:hint="eastAsia" w:ascii="宋体" w:hAnsi="宋体" w:eastAsia="宋体" w:cs="宋体"/>
          <w:sz w:val="24"/>
          <w:szCs w:val="24"/>
        </w:rPr>
        <w:t>。</w:t>
      </w:r>
    </w:p>
    <w:p w14:paraId="5CCCF7A9">
      <w:pPr>
        <w:pStyle w:val="15"/>
        <w:wordWrap w:val="0"/>
        <w:spacing w:line="360" w:lineRule="auto"/>
        <w:ind w:firstLine="482" w:firstLineChars="200"/>
        <w:rPr>
          <w:rFonts w:hint="eastAsia" w:hAnsi="宋体" w:cs="宋体"/>
          <w:b/>
          <w:bCs/>
          <w:sz w:val="24"/>
          <w:szCs w:val="24"/>
        </w:rPr>
      </w:pPr>
      <w:r>
        <w:rPr>
          <w:rFonts w:hint="eastAsia" w:hAnsi="宋体" w:cs="宋体"/>
          <w:b/>
          <w:bCs/>
          <w:sz w:val="24"/>
          <w:szCs w:val="24"/>
        </w:rPr>
        <w:t>12.3资格响应文件：应包括下列内容（并不仅限于以下）：（复印件需加盖电子签章，提供的所有证书应在有效期内，逾期的无效）</w:t>
      </w:r>
    </w:p>
    <w:p w14:paraId="5F2F528C">
      <w:pPr>
        <w:pStyle w:val="15"/>
        <w:wordWrap w:val="0"/>
        <w:spacing w:line="360" w:lineRule="auto"/>
        <w:ind w:firstLine="475" w:firstLineChars="198"/>
        <w:rPr>
          <w:rFonts w:hint="eastAsia" w:hAnsi="宋体" w:cs="宋体"/>
          <w:sz w:val="24"/>
          <w:szCs w:val="24"/>
        </w:rPr>
      </w:pPr>
      <w:r>
        <w:rPr>
          <w:rFonts w:hint="eastAsia" w:hAnsi="宋体" w:cs="宋体"/>
          <w:sz w:val="24"/>
          <w:szCs w:val="24"/>
        </w:rPr>
        <w:t>（1）有效的营业执照复印件；</w:t>
      </w:r>
    </w:p>
    <w:p w14:paraId="529F48A8">
      <w:pPr>
        <w:pStyle w:val="15"/>
        <w:wordWrap w:val="0"/>
        <w:spacing w:line="360" w:lineRule="auto"/>
        <w:ind w:firstLine="475" w:firstLineChars="198"/>
        <w:rPr>
          <w:rFonts w:hint="eastAsia" w:hAnsi="宋体" w:cs="宋体"/>
          <w:sz w:val="24"/>
          <w:szCs w:val="24"/>
        </w:rPr>
      </w:pPr>
      <w:r>
        <w:rPr>
          <w:rFonts w:hint="eastAsia" w:hAnsi="宋体" w:cs="宋体"/>
          <w:sz w:val="24"/>
          <w:szCs w:val="24"/>
        </w:rPr>
        <w:t>（2）法定代表人资格申明书、法定代表人身份证复印件；</w:t>
      </w:r>
    </w:p>
    <w:p w14:paraId="22BEB237">
      <w:pPr>
        <w:pStyle w:val="15"/>
        <w:wordWrap w:val="0"/>
        <w:spacing w:line="360" w:lineRule="auto"/>
        <w:ind w:firstLine="475" w:firstLineChars="198"/>
        <w:rPr>
          <w:rFonts w:hint="eastAsia" w:hAnsi="宋体" w:cs="宋体"/>
          <w:sz w:val="24"/>
          <w:szCs w:val="24"/>
        </w:rPr>
      </w:pPr>
      <w:r>
        <w:rPr>
          <w:rFonts w:hint="eastAsia" w:hAnsi="宋体" w:cs="宋体"/>
          <w:sz w:val="24"/>
          <w:szCs w:val="24"/>
        </w:rPr>
        <w:t>（3）授权委托书、授权代表身份证复印件；（适用于授权代表参与投标会）</w:t>
      </w:r>
    </w:p>
    <w:p w14:paraId="61236892">
      <w:pPr>
        <w:pStyle w:val="15"/>
        <w:wordWrap w:val="0"/>
        <w:spacing w:line="360" w:lineRule="auto"/>
        <w:ind w:firstLine="475" w:firstLineChars="198"/>
        <w:rPr>
          <w:rFonts w:hint="eastAsia" w:hAnsi="宋体" w:cs="宋体"/>
          <w:sz w:val="24"/>
          <w:szCs w:val="24"/>
        </w:rPr>
      </w:pPr>
      <w:r>
        <w:rPr>
          <w:rFonts w:hint="eastAsia" w:hAnsi="宋体" w:cs="宋体"/>
          <w:sz w:val="24"/>
          <w:szCs w:val="24"/>
        </w:rPr>
        <w:t>（4）联合投标协议书（若需要）；</w:t>
      </w:r>
    </w:p>
    <w:p w14:paraId="2A8EE190">
      <w:pPr>
        <w:pStyle w:val="15"/>
        <w:wordWrap w:val="0"/>
        <w:spacing w:line="360" w:lineRule="auto"/>
        <w:ind w:firstLine="475" w:firstLineChars="198"/>
        <w:rPr>
          <w:rFonts w:hint="eastAsia" w:hAnsi="宋体" w:cs="宋体"/>
          <w:sz w:val="24"/>
          <w:szCs w:val="24"/>
        </w:rPr>
      </w:pPr>
      <w:r>
        <w:rPr>
          <w:rFonts w:hint="eastAsia" w:hAnsi="宋体" w:cs="宋体"/>
          <w:sz w:val="24"/>
          <w:szCs w:val="24"/>
        </w:rPr>
        <w:t>（5）联合投标授权委托书（若需要）；</w:t>
      </w:r>
    </w:p>
    <w:p w14:paraId="08514B51">
      <w:pPr>
        <w:pStyle w:val="15"/>
        <w:wordWrap w:val="0"/>
        <w:spacing w:line="360" w:lineRule="auto"/>
        <w:ind w:firstLine="475" w:firstLineChars="198"/>
        <w:rPr>
          <w:rFonts w:hint="eastAsia" w:hAnsi="宋体" w:cs="宋体"/>
          <w:sz w:val="24"/>
          <w:szCs w:val="24"/>
        </w:rPr>
      </w:pPr>
      <w:r>
        <w:rPr>
          <w:rFonts w:hint="eastAsia" w:hAnsi="宋体" w:cs="宋体"/>
          <w:sz w:val="24"/>
          <w:szCs w:val="24"/>
        </w:rPr>
        <w:t>（6）提供采购公告中符合投标人特定条件要求的有效的其他资质复印件并加盖公司公章及需要说明的资料。</w:t>
      </w:r>
    </w:p>
    <w:p w14:paraId="2A3CABE8">
      <w:pPr>
        <w:pStyle w:val="3"/>
        <w:wordWrap w:val="0"/>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12.4商务技术响应文件：应包括下列内容（并不仅限于以下）：（复印件需加盖电子签章，提供的所有证书应在有效期内，逾期的无效）</w:t>
      </w:r>
    </w:p>
    <w:p w14:paraId="51E93819">
      <w:pPr>
        <w:pStyle w:val="15"/>
        <w:numPr>
          <w:ilvl w:val="0"/>
          <w:numId w:val="2"/>
        </w:numPr>
        <w:wordWrap w:val="0"/>
        <w:spacing w:line="360" w:lineRule="auto"/>
        <w:rPr>
          <w:rFonts w:hint="eastAsia" w:hAnsi="宋体" w:cs="宋体"/>
          <w:sz w:val="24"/>
          <w:szCs w:val="24"/>
        </w:rPr>
      </w:pPr>
      <w:r>
        <w:rPr>
          <w:rFonts w:hint="eastAsia" w:hAnsi="宋体" w:cs="宋体"/>
          <w:sz w:val="24"/>
          <w:szCs w:val="24"/>
        </w:rPr>
        <w:t>投标单位情况介绍；</w:t>
      </w:r>
    </w:p>
    <w:p w14:paraId="4D995186">
      <w:pPr>
        <w:pStyle w:val="15"/>
        <w:numPr>
          <w:ilvl w:val="0"/>
          <w:numId w:val="2"/>
        </w:numPr>
        <w:wordWrap w:val="0"/>
        <w:spacing w:line="360" w:lineRule="auto"/>
        <w:rPr>
          <w:rFonts w:hint="eastAsia" w:hAnsi="宋体" w:cs="宋体"/>
          <w:sz w:val="24"/>
          <w:szCs w:val="24"/>
        </w:rPr>
      </w:pPr>
      <w:r>
        <w:rPr>
          <w:rFonts w:hint="eastAsia" w:hAnsi="宋体" w:cs="宋体"/>
          <w:sz w:val="24"/>
          <w:szCs w:val="24"/>
        </w:rPr>
        <w:t>项目详细实施方案；</w:t>
      </w:r>
    </w:p>
    <w:p w14:paraId="7471594A">
      <w:pPr>
        <w:pStyle w:val="15"/>
        <w:numPr>
          <w:ilvl w:val="0"/>
          <w:numId w:val="2"/>
        </w:numPr>
        <w:wordWrap w:val="0"/>
        <w:spacing w:line="360" w:lineRule="auto"/>
        <w:rPr>
          <w:rFonts w:hint="eastAsia" w:hAnsi="宋体" w:cs="宋体"/>
          <w:sz w:val="24"/>
          <w:szCs w:val="24"/>
        </w:rPr>
      </w:pPr>
      <w:r>
        <w:rPr>
          <w:rFonts w:hint="eastAsia" w:hAnsi="宋体" w:cs="宋体"/>
          <w:sz w:val="24"/>
          <w:szCs w:val="24"/>
        </w:rPr>
        <w:t>货物简要说明一览表。包括：拟投设备说明（包括产地、材质、性能指标等）；</w:t>
      </w:r>
    </w:p>
    <w:p w14:paraId="337804FD">
      <w:pPr>
        <w:pStyle w:val="15"/>
        <w:numPr>
          <w:ilvl w:val="0"/>
          <w:numId w:val="2"/>
        </w:numPr>
        <w:wordWrap w:val="0"/>
        <w:spacing w:line="360" w:lineRule="auto"/>
        <w:rPr>
          <w:rFonts w:hint="eastAsia" w:hAnsi="宋体" w:cs="宋体"/>
          <w:sz w:val="24"/>
          <w:szCs w:val="24"/>
        </w:rPr>
      </w:pPr>
      <w:r>
        <w:rPr>
          <w:rFonts w:hint="eastAsia" w:hAnsi="宋体" w:cs="宋体"/>
          <w:sz w:val="24"/>
          <w:szCs w:val="24"/>
        </w:rPr>
        <w:t>设备检测报告；</w:t>
      </w:r>
    </w:p>
    <w:p w14:paraId="6919C6C3">
      <w:pPr>
        <w:pStyle w:val="15"/>
        <w:numPr>
          <w:ilvl w:val="0"/>
          <w:numId w:val="2"/>
        </w:numPr>
        <w:wordWrap w:val="0"/>
        <w:spacing w:line="360" w:lineRule="auto"/>
        <w:rPr>
          <w:rFonts w:hint="eastAsia" w:hAnsi="宋体" w:cs="宋体"/>
          <w:sz w:val="24"/>
          <w:szCs w:val="24"/>
        </w:rPr>
      </w:pPr>
      <w:r>
        <w:rPr>
          <w:rFonts w:hint="eastAsia" w:hAnsi="宋体" w:cs="宋体"/>
          <w:sz w:val="24"/>
          <w:szCs w:val="24"/>
        </w:rPr>
        <w:t>投标产品技术响应表；</w:t>
      </w:r>
    </w:p>
    <w:p w14:paraId="195C7330">
      <w:pPr>
        <w:pStyle w:val="15"/>
        <w:numPr>
          <w:ilvl w:val="0"/>
          <w:numId w:val="2"/>
        </w:numPr>
        <w:wordWrap w:val="0"/>
        <w:spacing w:line="360" w:lineRule="auto"/>
        <w:rPr>
          <w:rFonts w:hint="eastAsia" w:hAnsi="宋体" w:cs="宋体"/>
          <w:sz w:val="24"/>
          <w:szCs w:val="24"/>
        </w:rPr>
      </w:pPr>
      <w:r>
        <w:rPr>
          <w:rFonts w:hint="eastAsia" w:hAnsi="宋体" w:cs="宋体"/>
          <w:sz w:val="24"/>
          <w:szCs w:val="24"/>
        </w:rPr>
        <w:t>管理及工作人员一览表并提供相关资质证书、社保清单等资料；</w:t>
      </w:r>
    </w:p>
    <w:p w14:paraId="26355EA8">
      <w:pPr>
        <w:pStyle w:val="15"/>
        <w:numPr>
          <w:ilvl w:val="0"/>
          <w:numId w:val="2"/>
        </w:numPr>
        <w:wordWrap w:val="0"/>
        <w:spacing w:line="360" w:lineRule="auto"/>
        <w:rPr>
          <w:rFonts w:hint="eastAsia" w:hAnsi="宋体" w:cs="宋体"/>
          <w:sz w:val="24"/>
          <w:szCs w:val="24"/>
        </w:rPr>
      </w:pPr>
      <w:r>
        <w:rPr>
          <w:rFonts w:hint="eastAsia" w:hAnsi="宋体" w:cs="宋体"/>
          <w:sz w:val="24"/>
          <w:szCs w:val="24"/>
        </w:rPr>
        <w:t>服务质量承诺书；</w:t>
      </w:r>
    </w:p>
    <w:p w14:paraId="59B68943">
      <w:pPr>
        <w:pStyle w:val="15"/>
        <w:numPr>
          <w:ilvl w:val="0"/>
          <w:numId w:val="2"/>
        </w:numPr>
        <w:wordWrap w:val="0"/>
        <w:spacing w:line="360" w:lineRule="auto"/>
        <w:rPr>
          <w:rFonts w:hint="eastAsia" w:hAnsi="宋体" w:cs="宋体"/>
          <w:sz w:val="24"/>
          <w:szCs w:val="24"/>
        </w:rPr>
      </w:pPr>
      <w:r>
        <w:rPr>
          <w:rFonts w:hint="eastAsia" w:hAnsi="宋体" w:cs="宋体"/>
          <w:sz w:val="24"/>
          <w:szCs w:val="24"/>
        </w:rPr>
        <w:t>类似服务业绩资料；</w:t>
      </w:r>
    </w:p>
    <w:p w14:paraId="2DA3DCE8">
      <w:pPr>
        <w:pStyle w:val="15"/>
        <w:numPr>
          <w:ilvl w:val="0"/>
          <w:numId w:val="2"/>
        </w:numPr>
        <w:wordWrap w:val="0"/>
        <w:spacing w:line="360" w:lineRule="auto"/>
        <w:rPr>
          <w:rFonts w:hint="eastAsia" w:hAnsi="宋体" w:cs="宋体"/>
          <w:sz w:val="24"/>
          <w:szCs w:val="24"/>
        </w:rPr>
      </w:pPr>
      <w:r>
        <w:rPr>
          <w:rFonts w:hint="eastAsia" w:hAnsi="宋体" w:cs="宋体"/>
          <w:sz w:val="24"/>
          <w:szCs w:val="24"/>
        </w:rPr>
        <w:t>招标文件第三章“招标项目内容及技术要求”中规定需要投标人作出说明或描述的；</w:t>
      </w:r>
    </w:p>
    <w:p w14:paraId="76EB401B">
      <w:pPr>
        <w:pStyle w:val="15"/>
        <w:numPr>
          <w:ilvl w:val="0"/>
          <w:numId w:val="2"/>
        </w:numPr>
        <w:wordWrap w:val="0"/>
        <w:spacing w:line="360" w:lineRule="auto"/>
        <w:rPr>
          <w:rFonts w:hint="eastAsia" w:hAnsi="宋体" w:cs="宋体"/>
          <w:sz w:val="24"/>
          <w:szCs w:val="24"/>
        </w:rPr>
      </w:pPr>
      <w:r>
        <w:rPr>
          <w:rFonts w:hint="eastAsia" w:hAnsi="宋体" w:cs="宋体"/>
          <w:sz w:val="24"/>
          <w:szCs w:val="24"/>
        </w:rPr>
        <w:t>★义乌市政府采购项目投标承诺书；</w:t>
      </w:r>
    </w:p>
    <w:p w14:paraId="63FB43C4">
      <w:pPr>
        <w:pStyle w:val="15"/>
        <w:numPr>
          <w:ilvl w:val="0"/>
          <w:numId w:val="2"/>
        </w:numPr>
        <w:wordWrap w:val="0"/>
        <w:spacing w:line="360" w:lineRule="auto"/>
        <w:rPr>
          <w:rFonts w:hint="eastAsia" w:hAnsi="宋体" w:cs="宋体"/>
          <w:sz w:val="24"/>
          <w:szCs w:val="24"/>
        </w:rPr>
      </w:pPr>
      <w:r>
        <w:rPr>
          <w:rFonts w:hint="eastAsia" w:hAnsi="宋体" w:cs="宋体"/>
          <w:sz w:val="24"/>
          <w:szCs w:val="24"/>
        </w:rPr>
        <w:t>投标人认为须提供的其他资料。</w:t>
      </w:r>
    </w:p>
    <w:p w14:paraId="4095A74A">
      <w:pPr>
        <w:pStyle w:val="15"/>
        <w:wordWrap w:val="0"/>
        <w:spacing w:line="360" w:lineRule="auto"/>
        <w:ind w:firstLine="482" w:firstLineChars="200"/>
        <w:rPr>
          <w:rFonts w:hint="eastAsia" w:hAnsi="宋体" w:cs="宋体"/>
          <w:b/>
          <w:bCs/>
          <w:sz w:val="24"/>
          <w:szCs w:val="24"/>
        </w:rPr>
      </w:pPr>
      <w:r>
        <w:rPr>
          <w:rFonts w:hint="eastAsia" w:hAnsi="宋体" w:cs="宋体"/>
          <w:b/>
          <w:bCs/>
          <w:sz w:val="24"/>
          <w:szCs w:val="24"/>
        </w:rPr>
        <w:t>12.5报价响应文件：应包括下列内容（并不仅限于以下）：</w:t>
      </w:r>
    </w:p>
    <w:p w14:paraId="3D370C61">
      <w:pPr>
        <w:pStyle w:val="15"/>
        <w:wordWrap w:val="0"/>
        <w:spacing w:line="360" w:lineRule="auto"/>
        <w:ind w:firstLine="475" w:firstLineChars="198"/>
        <w:rPr>
          <w:rFonts w:hint="eastAsia" w:hAnsi="宋体" w:cs="宋体"/>
          <w:sz w:val="24"/>
          <w:szCs w:val="24"/>
        </w:rPr>
      </w:pPr>
      <w:r>
        <w:rPr>
          <w:rFonts w:hint="eastAsia" w:hAnsi="宋体" w:cs="宋体"/>
          <w:sz w:val="24"/>
          <w:szCs w:val="24"/>
        </w:rPr>
        <w:t>（1）投标函；</w:t>
      </w:r>
    </w:p>
    <w:p w14:paraId="4B12823C">
      <w:pPr>
        <w:pStyle w:val="15"/>
        <w:wordWrap w:val="0"/>
        <w:spacing w:line="360" w:lineRule="auto"/>
        <w:ind w:firstLine="475" w:firstLineChars="198"/>
        <w:rPr>
          <w:rFonts w:hint="eastAsia" w:hAnsi="宋体" w:cs="宋体"/>
          <w:sz w:val="24"/>
          <w:szCs w:val="24"/>
        </w:rPr>
      </w:pPr>
      <w:r>
        <w:rPr>
          <w:rFonts w:hint="eastAsia" w:hAnsi="宋体" w:cs="宋体"/>
          <w:sz w:val="24"/>
          <w:szCs w:val="24"/>
        </w:rPr>
        <w:t>（2）开标一览表；</w:t>
      </w:r>
    </w:p>
    <w:p w14:paraId="3159AD22">
      <w:pPr>
        <w:pStyle w:val="15"/>
        <w:wordWrap w:val="0"/>
        <w:spacing w:line="360" w:lineRule="auto"/>
        <w:ind w:firstLine="475" w:firstLineChars="198"/>
        <w:rPr>
          <w:rFonts w:hint="eastAsia" w:hAnsi="宋体" w:cs="宋体"/>
          <w:sz w:val="24"/>
          <w:szCs w:val="24"/>
        </w:rPr>
      </w:pPr>
      <w:r>
        <w:rPr>
          <w:rFonts w:hint="eastAsia" w:hAnsi="宋体" w:cs="宋体"/>
          <w:sz w:val="24"/>
          <w:szCs w:val="24"/>
        </w:rPr>
        <w:t>（3）中小企业声明函｛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14:paraId="004C072E">
      <w:pPr>
        <w:pStyle w:val="15"/>
        <w:wordWrap w:val="0"/>
        <w:spacing w:line="360" w:lineRule="auto"/>
        <w:ind w:firstLine="475" w:firstLineChars="198"/>
        <w:rPr>
          <w:rFonts w:hint="eastAsia" w:hAnsi="宋体" w:cs="宋体"/>
          <w:sz w:val="24"/>
          <w:szCs w:val="24"/>
        </w:rPr>
      </w:pPr>
      <w:r>
        <w:rPr>
          <w:rFonts w:hint="eastAsia" w:hAnsi="宋体" w:cs="宋体"/>
          <w:sz w:val="24"/>
          <w:szCs w:val="24"/>
        </w:rPr>
        <w:t>（4）省级及以上监狱管理局、戒毒管理局（含新疆生产建设兵团）出具的属于监狱企业的文件扫描件加盖电子签章（符合监狱企业有关政策的投标人需提供本项材料）；</w:t>
      </w:r>
    </w:p>
    <w:p w14:paraId="1378D89F">
      <w:pPr>
        <w:pStyle w:val="15"/>
        <w:wordWrap w:val="0"/>
        <w:spacing w:line="360" w:lineRule="auto"/>
        <w:ind w:firstLine="475" w:firstLineChars="198"/>
        <w:rPr>
          <w:rFonts w:hint="eastAsia" w:hAnsi="宋体" w:cs="宋体"/>
          <w:sz w:val="24"/>
          <w:szCs w:val="24"/>
        </w:rPr>
      </w:pPr>
      <w:r>
        <w:rPr>
          <w:rFonts w:hint="eastAsia" w:hAnsi="宋体" w:cs="宋体"/>
          <w:sz w:val="24"/>
          <w:szCs w:val="24"/>
        </w:rPr>
        <w:t>（5）残疾人福利性单位声明函（如有）（符合残疾人福利性单位有关政策的投标人需提供本项材料）；</w:t>
      </w:r>
    </w:p>
    <w:p w14:paraId="64B211EB">
      <w:pPr>
        <w:pStyle w:val="15"/>
        <w:wordWrap w:val="0"/>
        <w:spacing w:line="360" w:lineRule="auto"/>
        <w:ind w:firstLine="480" w:firstLineChars="200"/>
        <w:rPr>
          <w:rFonts w:hint="eastAsia" w:hAnsi="宋体" w:cs="宋体"/>
          <w:sz w:val="24"/>
          <w:szCs w:val="24"/>
        </w:rPr>
      </w:pPr>
      <w:r>
        <w:rPr>
          <w:rFonts w:hint="eastAsia" w:hAnsi="宋体" w:cs="宋体"/>
          <w:sz w:val="24"/>
          <w:szCs w:val="24"/>
        </w:rPr>
        <w:t>（6）其他投标人认为须提供的资料。</w:t>
      </w:r>
    </w:p>
    <w:p w14:paraId="65417786">
      <w:pPr>
        <w:pStyle w:val="3"/>
        <w:wordWrap w:val="0"/>
        <w:spacing w:line="360" w:lineRule="auto"/>
        <w:ind w:firstLine="480" w:firstLineChars="200"/>
        <w:rPr>
          <w:rFonts w:hint="eastAsia" w:ascii="宋体" w:hAnsi="宋体" w:eastAsia="宋体" w:cs="宋体"/>
          <w:b/>
          <w:bCs/>
          <w:szCs w:val="24"/>
        </w:rPr>
      </w:pPr>
      <w:r>
        <w:rPr>
          <w:rFonts w:hint="eastAsia" w:ascii="宋体" w:hAnsi="宋体" w:eastAsia="宋体" w:cs="宋体"/>
          <w:szCs w:val="24"/>
        </w:rPr>
        <w:t>13、投标人资格的有关说明资料</w:t>
      </w:r>
    </w:p>
    <w:p w14:paraId="7439BE01">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13.1投标人应提交说明其有资格参加投标和中标后有能力履行合同的文件，并作为其投标文件的一部分。</w:t>
      </w:r>
    </w:p>
    <w:p w14:paraId="2600B465">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 投标人提交的合格性的说明文件应使采购人满意，投标人在投标时应是符合条件的投标人。</w:t>
      </w:r>
    </w:p>
    <w:p w14:paraId="662E822B">
      <w:pPr>
        <w:pStyle w:val="15"/>
        <w:wordWrap w:val="0"/>
        <w:spacing w:line="360" w:lineRule="auto"/>
        <w:ind w:firstLine="472" w:firstLineChars="196"/>
        <w:rPr>
          <w:rFonts w:hint="eastAsia" w:hAnsi="宋体" w:cs="宋体"/>
          <w:b/>
          <w:bCs/>
          <w:sz w:val="24"/>
          <w:szCs w:val="24"/>
        </w:rPr>
      </w:pPr>
      <w:r>
        <w:rPr>
          <w:rFonts w:hint="eastAsia" w:hAnsi="宋体" w:cs="宋体"/>
          <w:b/>
          <w:bCs/>
          <w:sz w:val="24"/>
          <w:szCs w:val="24"/>
        </w:rPr>
        <w:t>14、报价要求</w:t>
      </w:r>
    </w:p>
    <w:p w14:paraId="384FE610">
      <w:pPr>
        <w:pStyle w:val="15"/>
        <w:wordWrap w:val="0"/>
        <w:spacing w:line="360" w:lineRule="auto"/>
        <w:ind w:firstLine="480" w:firstLineChars="200"/>
        <w:rPr>
          <w:rFonts w:hint="eastAsia" w:hAnsi="宋体" w:cs="宋体"/>
          <w:sz w:val="24"/>
          <w:szCs w:val="24"/>
          <w:lang w:eastAsia="zh-Hans"/>
        </w:rPr>
      </w:pPr>
      <w:r>
        <w:rPr>
          <w:rFonts w:hint="eastAsia" w:hAnsi="宋体" w:cs="宋体"/>
          <w:sz w:val="24"/>
          <w:szCs w:val="24"/>
        </w:rPr>
        <w:t>14.1</w:t>
      </w:r>
      <w:r>
        <w:rPr>
          <w:rFonts w:hint="eastAsia" w:hAnsi="宋体" w:cs="宋体"/>
          <w:sz w:val="24"/>
          <w:szCs w:val="24"/>
          <w:lang w:eastAsia="zh-Hans"/>
        </w:rPr>
        <w:t>投标人应根据国家的有关规定和招标文件要求并结合企业的实际情况进行投标报价。投标报价以人民币为结算货币，投标报价须包含</w:t>
      </w:r>
      <w:r>
        <w:rPr>
          <w:rFonts w:hint="eastAsia" w:hAnsi="宋体" w:cs="宋体"/>
          <w:sz w:val="24"/>
          <w:szCs w:val="24"/>
        </w:rPr>
        <w:t>货款、</w:t>
      </w:r>
      <w:r>
        <w:rPr>
          <w:rFonts w:hint="eastAsia" w:hAnsi="宋体" w:cs="宋体"/>
          <w:sz w:val="24"/>
          <w:szCs w:val="24"/>
          <w:highlight w:val="none"/>
          <w:lang w:eastAsia="zh-Hans"/>
        </w:rPr>
        <w:t>软件设计开发费、安装调试费、试运行、系统运维费、等保测评费、</w:t>
      </w:r>
      <w:r>
        <w:rPr>
          <w:rFonts w:hint="eastAsia" w:hAnsi="宋体" w:cs="宋体"/>
          <w:sz w:val="24"/>
          <w:szCs w:val="24"/>
          <w:lang w:eastAsia="zh-Hans"/>
        </w:rPr>
        <w:t>职工工资、福利、社会保险费用（包括养老、工伤、失业、医疗、生育等），用品、材料、维保工具等购置费用，利润、税金、完成本项目的其它费用和政策性文件规定及合同包含的所有风险、责任等各项应有费用，如有漏项，视同已包含在其总项目中，合同总价不予调整。</w:t>
      </w:r>
    </w:p>
    <w:p w14:paraId="70354F7A">
      <w:pPr>
        <w:pStyle w:val="15"/>
        <w:wordWrap w:val="0"/>
        <w:spacing w:line="360" w:lineRule="auto"/>
        <w:ind w:firstLine="480" w:firstLineChars="200"/>
        <w:rPr>
          <w:rFonts w:hint="eastAsia" w:hAnsi="宋体" w:cs="宋体"/>
          <w:sz w:val="24"/>
          <w:szCs w:val="24"/>
        </w:rPr>
      </w:pPr>
      <w:r>
        <w:rPr>
          <w:rFonts w:hint="eastAsia" w:hAnsi="宋体" w:cs="宋体"/>
          <w:sz w:val="24"/>
          <w:szCs w:val="24"/>
        </w:rPr>
        <w:t>14.2中标后，</w:t>
      </w:r>
      <w:r>
        <w:rPr>
          <w:rFonts w:hint="eastAsia" w:hAnsi="宋体" w:cs="宋体"/>
          <w:b/>
          <w:sz w:val="24"/>
          <w:szCs w:val="24"/>
        </w:rPr>
        <w:t>中标人所填写的单价在合同实施期间不因市场变化因素而变动；</w:t>
      </w:r>
      <w:r>
        <w:rPr>
          <w:rFonts w:hint="eastAsia" w:hAnsi="宋体" w:cs="宋体"/>
          <w:sz w:val="24"/>
          <w:szCs w:val="24"/>
        </w:rPr>
        <w:t>投标人在计算报价时应考虑一定的风险系数。</w:t>
      </w:r>
    </w:p>
    <w:p w14:paraId="36C3CC75">
      <w:pPr>
        <w:pStyle w:val="15"/>
        <w:wordWrap w:val="0"/>
        <w:spacing w:line="360" w:lineRule="auto"/>
        <w:ind w:firstLine="480" w:firstLineChars="200"/>
        <w:rPr>
          <w:rFonts w:hint="eastAsia" w:hAnsi="宋体" w:cs="宋体"/>
          <w:sz w:val="24"/>
          <w:szCs w:val="24"/>
        </w:rPr>
      </w:pPr>
      <w:r>
        <w:rPr>
          <w:rFonts w:hint="eastAsia" w:hAnsi="宋体" w:cs="宋体"/>
          <w:sz w:val="24"/>
          <w:szCs w:val="24"/>
        </w:rPr>
        <w:t>14.3投标人应按招标文件规定的报价格式进行投标报价。投标人对每种服务只允许有一个报价，采购人不接受任何有选择性的报价。</w:t>
      </w:r>
    </w:p>
    <w:p w14:paraId="2929C522">
      <w:pPr>
        <w:pStyle w:val="15"/>
        <w:wordWrap w:val="0"/>
        <w:spacing w:line="360" w:lineRule="auto"/>
        <w:ind w:firstLine="480"/>
        <w:rPr>
          <w:rFonts w:hint="eastAsia" w:hAnsi="宋体" w:cs="宋体"/>
          <w:sz w:val="24"/>
          <w:szCs w:val="24"/>
        </w:rPr>
      </w:pPr>
      <w:r>
        <w:rPr>
          <w:rFonts w:hint="eastAsia" w:hAnsi="宋体" w:cs="宋体"/>
          <w:sz w:val="24"/>
          <w:szCs w:val="24"/>
        </w:rPr>
        <w:t>14.4</w:t>
      </w:r>
      <w:r>
        <w:rPr>
          <w:rFonts w:hint="eastAsia" w:hAnsi="宋体" w:cs="宋体"/>
          <w:spacing w:val="-8"/>
          <w:sz w:val="24"/>
          <w:szCs w:val="24"/>
        </w:rPr>
        <w:t>采购人不接受低于成本的投标报价，也不接受招标项目范围内的捐赠。</w:t>
      </w:r>
    </w:p>
    <w:p w14:paraId="0EC7976B">
      <w:pPr>
        <w:pStyle w:val="15"/>
        <w:wordWrap w:val="0"/>
        <w:spacing w:line="360" w:lineRule="auto"/>
        <w:ind w:firstLine="480" w:firstLineChars="200"/>
        <w:rPr>
          <w:rFonts w:hint="eastAsia" w:hAnsi="宋体" w:cs="宋体"/>
          <w:sz w:val="24"/>
          <w:szCs w:val="24"/>
        </w:rPr>
      </w:pPr>
      <w:r>
        <w:rPr>
          <w:rFonts w:hint="eastAsia" w:hAnsi="宋体" w:cs="宋体"/>
          <w:sz w:val="24"/>
          <w:szCs w:val="24"/>
        </w:rPr>
        <w:t>14.5投标人按照上述要求编制投标报价。一旦确认某一投标人中标，除合同规定的可调整内容外，中标人不得要求追加任何费用。</w:t>
      </w:r>
    </w:p>
    <w:p w14:paraId="09AA61D2">
      <w:pPr>
        <w:pStyle w:val="15"/>
        <w:wordWrap w:val="0"/>
        <w:spacing w:line="360" w:lineRule="auto"/>
        <w:ind w:firstLine="480" w:firstLineChars="200"/>
        <w:rPr>
          <w:rFonts w:hint="eastAsia" w:hAnsi="宋体" w:cs="宋体"/>
          <w:sz w:val="24"/>
          <w:szCs w:val="24"/>
        </w:rPr>
      </w:pPr>
      <w:r>
        <w:rPr>
          <w:rFonts w:hint="eastAsia" w:hAnsi="宋体" w:cs="宋体"/>
          <w:sz w:val="24"/>
          <w:szCs w:val="24"/>
        </w:rPr>
        <w:t>14.6须由中标单位开具正式发票。</w:t>
      </w:r>
    </w:p>
    <w:p w14:paraId="1AE9C6AB">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14.7招标文件中规定由投标人承担并支付的相关费用在投标报价时应一并考虑。</w:t>
      </w:r>
    </w:p>
    <w:p w14:paraId="1344FFEA">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14.8投标人应按招标文件及规定的格式及内容填写报价等相关表格。对没有填报的费用，招标人将不予支付，并认为此项费用已包含在投标总价中。</w:t>
      </w:r>
    </w:p>
    <w:p w14:paraId="78399431">
      <w:pPr>
        <w:wordWrap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15、投标文件格式</w:t>
      </w:r>
    </w:p>
    <w:p w14:paraId="19CA31EC">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14:paraId="6E9FE203">
      <w:pPr>
        <w:pStyle w:val="15"/>
        <w:wordWrap w:val="0"/>
        <w:spacing w:line="360" w:lineRule="auto"/>
        <w:ind w:firstLine="482" w:firstLineChars="200"/>
        <w:rPr>
          <w:rFonts w:hint="eastAsia" w:hAnsi="宋体" w:cs="宋体"/>
          <w:b/>
          <w:bCs/>
          <w:sz w:val="24"/>
          <w:szCs w:val="24"/>
        </w:rPr>
      </w:pPr>
      <w:r>
        <w:rPr>
          <w:rFonts w:hint="eastAsia" w:hAnsi="宋体" w:cs="宋体"/>
          <w:b/>
          <w:bCs/>
          <w:sz w:val="24"/>
          <w:szCs w:val="24"/>
        </w:rPr>
        <w:t>16、投标文件编制要求</w:t>
      </w:r>
    </w:p>
    <w:p w14:paraId="46D9F7E8">
      <w:pPr>
        <w:pStyle w:val="15"/>
        <w:wordWrap w:val="0"/>
        <w:spacing w:line="360" w:lineRule="auto"/>
        <w:ind w:firstLine="480" w:firstLineChars="200"/>
        <w:rPr>
          <w:rFonts w:hint="eastAsia" w:hAnsi="宋体" w:cs="宋体"/>
          <w:sz w:val="24"/>
          <w:szCs w:val="24"/>
        </w:rPr>
      </w:pPr>
      <w:r>
        <w:rPr>
          <w:rFonts w:hint="eastAsia" w:hAnsi="宋体" w:cs="宋体"/>
          <w:sz w:val="24"/>
          <w:szCs w:val="24"/>
        </w:rPr>
        <w:t>16.1投标人应根据电子投标操作指南按本招标文件规定的格式和顺序编制电子投标文件并进行关联定位。</w:t>
      </w:r>
    </w:p>
    <w:p w14:paraId="7CEABD17">
      <w:pPr>
        <w:pStyle w:val="15"/>
        <w:wordWrap w:val="0"/>
        <w:spacing w:line="360" w:lineRule="auto"/>
        <w:ind w:firstLine="480" w:firstLineChars="200"/>
        <w:rPr>
          <w:rFonts w:hint="eastAsia" w:hAnsi="宋体" w:cs="宋体"/>
          <w:spacing w:val="-4"/>
          <w:sz w:val="24"/>
          <w:szCs w:val="24"/>
        </w:rPr>
      </w:pPr>
      <w:r>
        <w:rPr>
          <w:rFonts w:hint="eastAsia" w:hAnsi="宋体" w:cs="宋体"/>
          <w:sz w:val="24"/>
          <w:szCs w:val="24"/>
        </w:rPr>
        <w:t>16.2由于未按招标文件的规定要求编制投标文件，导致评审小组作出的对投标人的误判，责任由投标人自己承担</w:t>
      </w:r>
      <w:r>
        <w:rPr>
          <w:rFonts w:hint="eastAsia" w:hAnsi="宋体" w:cs="宋体"/>
          <w:spacing w:val="-4"/>
          <w:sz w:val="24"/>
          <w:szCs w:val="24"/>
        </w:rPr>
        <w:t>。</w:t>
      </w:r>
    </w:p>
    <w:p w14:paraId="5A063E81">
      <w:pPr>
        <w:pStyle w:val="15"/>
        <w:wordWrap w:val="0"/>
        <w:spacing w:line="360" w:lineRule="auto"/>
        <w:ind w:firstLine="482" w:firstLineChars="200"/>
        <w:rPr>
          <w:rFonts w:hint="eastAsia" w:hAnsi="宋体" w:cs="宋体"/>
          <w:b/>
          <w:spacing w:val="-4"/>
          <w:sz w:val="24"/>
          <w:szCs w:val="24"/>
        </w:rPr>
      </w:pPr>
      <w:r>
        <w:rPr>
          <w:rFonts w:hint="eastAsia" w:hAnsi="宋体" w:cs="宋体"/>
          <w:b/>
          <w:bCs/>
          <w:sz w:val="24"/>
          <w:szCs w:val="24"/>
        </w:rPr>
        <w:t>17、</w:t>
      </w:r>
      <w:r>
        <w:rPr>
          <w:rFonts w:hint="eastAsia" w:hAnsi="宋体" w:cs="宋体"/>
          <w:b/>
          <w:spacing w:val="-4"/>
          <w:sz w:val="24"/>
          <w:szCs w:val="24"/>
        </w:rPr>
        <w:t>投标人发生下列情况之一时，将按失信行为上报义乌市信用管理部门：</w:t>
      </w:r>
    </w:p>
    <w:p w14:paraId="0A03914A">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（1）投标人在规定的投标有效期内撤回投标或放弃中标的；</w:t>
      </w:r>
    </w:p>
    <w:p w14:paraId="52193501">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（2）有意串标或提供虚假材料者的；</w:t>
      </w:r>
    </w:p>
    <w:p w14:paraId="30D61E3B">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（3）中标人在收到中标通知书后，因自身原因不能在投标有效期内和采购人签订合同。</w:t>
      </w:r>
    </w:p>
    <w:p w14:paraId="20CA7DC5">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（4）中标人未在规定时间缴纳招标代理费的。</w:t>
      </w:r>
    </w:p>
    <w:p w14:paraId="445C1051">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（5）中标投标人在标后履约过程中未按合同约定的期限和要求履约的。</w:t>
      </w:r>
    </w:p>
    <w:p w14:paraId="405A0840">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（6）因中标投标人原因在标后履约过程中擅自终止合同的。</w:t>
      </w:r>
    </w:p>
    <w:p w14:paraId="7270F0FD">
      <w:pPr>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（7）不符合招标文件要求的其他失信行为。</w:t>
      </w:r>
    </w:p>
    <w:p w14:paraId="77EC1DEA">
      <w:pPr>
        <w:pStyle w:val="15"/>
        <w:wordWrap w:val="0"/>
        <w:spacing w:line="360" w:lineRule="auto"/>
        <w:ind w:firstLine="482" w:firstLineChars="200"/>
        <w:rPr>
          <w:rFonts w:hint="eastAsia" w:hAnsi="宋体" w:cs="宋体"/>
          <w:b/>
          <w:bCs/>
          <w:sz w:val="24"/>
          <w:szCs w:val="24"/>
        </w:rPr>
      </w:pPr>
      <w:r>
        <w:rPr>
          <w:rFonts w:hint="eastAsia" w:hAnsi="宋体" w:cs="宋体"/>
          <w:b/>
          <w:bCs/>
          <w:sz w:val="24"/>
          <w:szCs w:val="24"/>
        </w:rPr>
        <w:t>18、履约保证金：无</w:t>
      </w:r>
    </w:p>
    <w:p w14:paraId="4DBBC542">
      <w:pPr>
        <w:pStyle w:val="15"/>
        <w:wordWrap w:val="0"/>
        <w:spacing w:line="360" w:lineRule="auto"/>
        <w:ind w:firstLine="482" w:firstLineChars="200"/>
        <w:rPr>
          <w:rFonts w:hint="eastAsia" w:hAnsi="宋体" w:cs="宋体"/>
          <w:b/>
          <w:bCs/>
          <w:kern w:val="0"/>
          <w:sz w:val="24"/>
          <w:szCs w:val="24"/>
          <w:highlight w:val="none"/>
        </w:rPr>
      </w:pPr>
      <w:r>
        <w:rPr>
          <w:rFonts w:hint="eastAsia" w:hAnsi="宋体" w:cs="宋体"/>
          <w:b/>
          <w:bCs/>
          <w:kern w:val="0"/>
          <w:sz w:val="24"/>
          <w:szCs w:val="24"/>
        </w:rPr>
        <w:t>19、</w:t>
      </w:r>
      <w:r>
        <w:rPr>
          <w:rFonts w:hint="eastAsia" w:hAnsi="宋体" w:cs="宋体"/>
          <w:b/>
          <w:bCs/>
          <w:kern w:val="0"/>
          <w:sz w:val="24"/>
          <w:szCs w:val="24"/>
          <w:highlight w:val="none"/>
        </w:rPr>
        <w:t>采购代理服务费</w:t>
      </w:r>
    </w:p>
    <w:p w14:paraId="4C31BF55">
      <w:pPr>
        <w:wordWrap w:val="0"/>
        <w:spacing w:line="360" w:lineRule="auto"/>
        <w:ind w:firstLine="48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19.1采购代理服务费：</w:t>
      </w:r>
      <w:r>
        <w:rPr>
          <w:rFonts w:hint="eastAsia" w:ascii="宋体" w:hAnsi="宋体" w:eastAsia="宋体" w:cs="宋体"/>
          <w:sz w:val="24"/>
          <w:szCs w:val="24"/>
          <w:highlight w:val="none"/>
        </w:rPr>
        <w:t>具体详见下表。</w:t>
      </w:r>
    </w:p>
    <w:tbl>
      <w:tblPr>
        <w:tblStyle w:val="28"/>
        <w:tblW w:w="8157" w:type="dxa"/>
        <w:jc w:val="center"/>
        <w:tblLayout w:type="fixed"/>
        <w:tblCellMar>
          <w:top w:w="0" w:type="dxa"/>
          <w:left w:w="108" w:type="dxa"/>
          <w:bottom w:w="0" w:type="dxa"/>
          <w:right w:w="108" w:type="dxa"/>
        </w:tblCellMar>
      </w:tblPr>
      <w:tblGrid>
        <w:gridCol w:w="1974"/>
        <w:gridCol w:w="1203"/>
        <w:gridCol w:w="4980"/>
      </w:tblGrid>
      <w:tr w14:paraId="35C929C9">
        <w:tblPrEx>
          <w:tblCellMar>
            <w:top w:w="0" w:type="dxa"/>
            <w:left w:w="108" w:type="dxa"/>
            <w:bottom w:w="0" w:type="dxa"/>
            <w:right w:w="108" w:type="dxa"/>
          </w:tblCellMar>
        </w:tblPrEx>
        <w:trPr>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D0316E">
            <w:pPr>
              <w:snapToGrid w:val="0"/>
              <w:ind w:left="480" w:hanging="480"/>
              <w:rPr>
                <w:rFonts w:hint="eastAsia" w:ascii="宋体" w:hAnsi="宋体" w:cs="宋体"/>
                <w:color w:val="auto"/>
                <w:sz w:val="24"/>
                <w:highlight w:val="none"/>
              </w:rPr>
            </w:pPr>
            <w:r>
              <w:rPr>
                <w:rFonts w:hint="eastAsia" w:ascii="宋体" w:hAnsi="宋体" w:cs="宋体"/>
                <w:color w:val="auto"/>
                <w:sz w:val="24"/>
                <w:highlight w:val="none"/>
              </w:rPr>
              <w:t>中标金额（万元）</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F8DA1">
            <w:pPr>
              <w:snapToGrid w:val="0"/>
              <w:ind w:left="480" w:hanging="480"/>
              <w:rPr>
                <w:rFonts w:hint="eastAsia" w:ascii="宋体" w:hAnsi="宋体" w:cs="宋体"/>
                <w:color w:val="auto"/>
                <w:sz w:val="24"/>
                <w:highlight w:val="none"/>
              </w:rPr>
            </w:pPr>
            <w:r>
              <w:rPr>
                <w:rFonts w:hint="eastAsia" w:ascii="宋体" w:hAnsi="宋体" w:cs="宋体"/>
                <w:color w:val="auto"/>
                <w:sz w:val="24"/>
                <w:highlight w:val="none"/>
              </w:rPr>
              <w:t>收费标准</w:t>
            </w:r>
          </w:p>
        </w:tc>
        <w:tc>
          <w:tcPr>
            <w:tcW w:w="498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407AC7B">
            <w:pPr>
              <w:snapToGrid w:val="0"/>
              <w:ind w:firstLine="2400"/>
              <w:rPr>
                <w:rFonts w:hint="eastAsia" w:ascii="宋体" w:hAnsi="宋体" w:cs="宋体"/>
                <w:color w:val="auto"/>
                <w:sz w:val="24"/>
                <w:highlight w:val="none"/>
              </w:rPr>
            </w:pPr>
            <w:r>
              <w:rPr>
                <w:rFonts w:hint="eastAsia" w:ascii="宋体" w:hAnsi="宋体" w:cs="宋体"/>
                <w:color w:val="auto"/>
                <w:sz w:val="24"/>
                <w:highlight w:val="none"/>
              </w:rPr>
              <w:t>备注</w:t>
            </w:r>
          </w:p>
        </w:tc>
      </w:tr>
      <w:tr w14:paraId="02E22770">
        <w:tblPrEx>
          <w:tblCellMar>
            <w:top w:w="0" w:type="dxa"/>
            <w:left w:w="108" w:type="dxa"/>
            <w:bottom w:w="0" w:type="dxa"/>
            <w:right w:w="108" w:type="dxa"/>
          </w:tblCellMar>
        </w:tblPrEx>
        <w:trPr>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3EC12CE">
            <w:pPr>
              <w:snapToGrid w:val="0"/>
              <w:ind w:firstLine="480"/>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C64B7E2">
            <w:pPr>
              <w:snapToGrid w:val="0"/>
              <w:ind w:left="480" w:hanging="48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98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5AF9692">
            <w:pPr>
              <w:snapToGrid w:val="0"/>
              <w:ind w:firstLine="480"/>
              <w:rPr>
                <w:rFonts w:hint="eastAsia" w:ascii="宋体" w:hAnsi="宋体" w:cs="宋体"/>
                <w:color w:val="auto"/>
                <w:sz w:val="24"/>
                <w:highlight w:val="none"/>
              </w:rPr>
            </w:pPr>
            <w:r>
              <w:rPr>
                <w:rFonts w:hint="eastAsia" w:ascii="宋体" w:hAnsi="宋体" w:cs="宋体"/>
                <w:bCs/>
                <w:color w:val="auto"/>
                <w:kern w:val="0"/>
                <w:sz w:val="24"/>
                <w:highlight w:val="none"/>
              </w:rPr>
              <w:t>代理服务费</w:t>
            </w:r>
            <w:r>
              <w:rPr>
                <w:rFonts w:hint="eastAsia" w:ascii="宋体" w:hAnsi="宋体" w:cs="宋体"/>
                <w:color w:val="auto"/>
                <w:sz w:val="24"/>
                <w:highlight w:val="none"/>
              </w:rPr>
              <w:t>采用差额定率累进法计算，向中标人单向收取。</w:t>
            </w:r>
          </w:p>
          <w:p w14:paraId="69F79E81">
            <w:pPr>
              <w:snapToGrid w:val="0"/>
              <w:ind w:firstLine="480"/>
              <w:rPr>
                <w:rFonts w:hint="eastAsia" w:ascii="宋体" w:hAnsi="宋体" w:cs="宋体"/>
                <w:color w:val="auto"/>
                <w:sz w:val="24"/>
                <w:highlight w:val="none"/>
              </w:rPr>
            </w:pPr>
            <w:r>
              <w:rPr>
                <w:rFonts w:hint="eastAsia" w:ascii="宋体" w:hAnsi="宋体" w:cs="宋体"/>
                <w:color w:val="auto"/>
                <w:sz w:val="24"/>
                <w:highlight w:val="none"/>
              </w:rPr>
              <w:t>例：中标金额为1000万。服务费=100万×1.2%+400万×0.64%+500万×0.36%=5.56万</w:t>
            </w:r>
          </w:p>
        </w:tc>
      </w:tr>
      <w:tr w14:paraId="45B4F3D9">
        <w:tblPrEx>
          <w:tblCellMar>
            <w:top w:w="0" w:type="dxa"/>
            <w:left w:w="108" w:type="dxa"/>
            <w:bottom w:w="0" w:type="dxa"/>
            <w:right w:w="108" w:type="dxa"/>
          </w:tblCellMar>
        </w:tblPrEx>
        <w:trPr>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2E8090">
            <w:pPr>
              <w:snapToGrid w:val="0"/>
              <w:ind w:firstLine="480"/>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6721651">
            <w:pPr>
              <w:snapToGrid w:val="0"/>
              <w:ind w:left="480" w:hanging="480"/>
              <w:jc w:val="center"/>
              <w:rPr>
                <w:rFonts w:hint="eastAsia" w:ascii="宋体" w:hAnsi="宋体" w:cs="宋体"/>
                <w:color w:val="auto"/>
                <w:sz w:val="24"/>
                <w:highlight w:val="none"/>
              </w:rPr>
            </w:pPr>
            <w:r>
              <w:rPr>
                <w:rFonts w:hint="eastAsia" w:ascii="宋体" w:hAnsi="宋体" w:cs="宋体"/>
                <w:color w:val="auto"/>
                <w:sz w:val="24"/>
                <w:highlight w:val="none"/>
              </w:rPr>
              <w:t>0.64%</w:t>
            </w:r>
          </w:p>
        </w:tc>
        <w:tc>
          <w:tcPr>
            <w:tcW w:w="498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0BCD969">
            <w:pPr>
              <w:snapToGrid w:val="0"/>
              <w:ind w:left="480" w:hanging="480"/>
              <w:jc w:val="center"/>
              <w:rPr>
                <w:rFonts w:hint="eastAsia" w:ascii="宋体" w:hAnsi="宋体" w:cs="宋体"/>
                <w:color w:val="auto"/>
                <w:sz w:val="24"/>
                <w:highlight w:val="none"/>
              </w:rPr>
            </w:pPr>
          </w:p>
        </w:tc>
      </w:tr>
      <w:tr w14:paraId="4EB3A84A">
        <w:tblPrEx>
          <w:tblCellMar>
            <w:top w:w="0" w:type="dxa"/>
            <w:left w:w="108" w:type="dxa"/>
            <w:bottom w:w="0" w:type="dxa"/>
            <w:right w:w="108" w:type="dxa"/>
          </w:tblCellMar>
        </w:tblPrEx>
        <w:trPr>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536EA71">
            <w:pPr>
              <w:snapToGrid w:val="0"/>
              <w:ind w:firstLine="480"/>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B3FE19">
            <w:pPr>
              <w:snapToGrid w:val="0"/>
              <w:ind w:left="480" w:hanging="480"/>
              <w:jc w:val="center"/>
              <w:rPr>
                <w:rFonts w:hint="eastAsia" w:ascii="宋体" w:hAnsi="宋体" w:cs="宋体"/>
                <w:color w:val="auto"/>
                <w:sz w:val="24"/>
                <w:highlight w:val="none"/>
              </w:rPr>
            </w:pPr>
            <w:r>
              <w:rPr>
                <w:rFonts w:hint="eastAsia" w:ascii="宋体" w:hAnsi="宋体" w:cs="宋体"/>
                <w:color w:val="auto"/>
                <w:sz w:val="24"/>
                <w:highlight w:val="none"/>
              </w:rPr>
              <w:t>0.36%</w:t>
            </w:r>
          </w:p>
        </w:tc>
        <w:tc>
          <w:tcPr>
            <w:tcW w:w="498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97E8BD5">
            <w:pPr>
              <w:snapToGrid w:val="0"/>
              <w:ind w:left="480" w:hanging="480"/>
              <w:jc w:val="center"/>
              <w:rPr>
                <w:rFonts w:hint="eastAsia" w:ascii="宋体" w:hAnsi="宋体" w:cs="宋体"/>
                <w:color w:val="auto"/>
                <w:sz w:val="24"/>
                <w:highlight w:val="none"/>
              </w:rPr>
            </w:pPr>
          </w:p>
        </w:tc>
      </w:tr>
    </w:tbl>
    <w:p w14:paraId="4CB03273">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19.2采购代理服务费向</w:t>
      </w:r>
      <w:r>
        <w:rPr>
          <w:rFonts w:hint="eastAsia" w:ascii="宋体" w:hAnsi="宋体" w:eastAsia="宋体" w:cs="宋体"/>
          <w:sz w:val="24"/>
          <w:u w:val="single"/>
        </w:rPr>
        <w:t>中标人</w:t>
      </w:r>
      <w:r>
        <w:rPr>
          <w:rFonts w:hint="eastAsia" w:ascii="宋体" w:hAnsi="宋体" w:eastAsia="宋体" w:cs="宋体"/>
          <w:kern w:val="0"/>
          <w:sz w:val="24"/>
        </w:rPr>
        <w:t>收取，可用银行汇票、电汇、银行本票、现金等方式支付。</w:t>
      </w:r>
      <w:r>
        <w:rPr>
          <w:rFonts w:hint="eastAsia" w:ascii="宋体" w:hAnsi="宋体" w:eastAsia="宋体" w:cs="宋体"/>
          <w:sz w:val="24"/>
        </w:rPr>
        <w:t>未按规定时间缴纳代理服务费的，将按失信行为上报义乌市信用管理部门。</w:t>
      </w:r>
    </w:p>
    <w:p w14:paraId="550009B4">
      <w:pPr>
        <w:spacing w:line="360" w:lineRule="auto"/>
        <w:ind w:firstLine="218" w:firstLineChars="91"/>
        <w:rPr>
          <w:rFonts w:hint="eastAsia" w:ascii="宋体" w:hAnsi="宋体" w:eastAsia="宋体" w:cs="宋体"/>
          <w:sz w:val="24"/>
        </w:rPr>
      </w:pPr>
      <w:r>
        <w:rPr>
          <w:rFonts w:hint="eastAsia" w:ascii="宋体" w:hAnsi="宋体" w:eastAsia="宋体" w:cs="宋体"/>
          <w:sz w:val="24"/>
        </w:rPr>
        <w:t>采购代理服务费收款人：浙江开平企业管理咨询有限公司</w:t>
      </w:r>
    </w:p>
    <w:p w14:paraId="0CB7147D">
      <w:pPr>
        <w:spacing w:line="360" w:lineRule="auto"/>
        <w:ind w:firstLine="218" w:firstLineChars="91"/>
        <w:rPr>
          <w:rFonts w:hint="eastAsia" w:ascii="宋体" w:hAnsi="宋体" w:eastAsia="宋体" w:cs="宋体"/>
          <w:sz w:val="24"/>
        </w:rPr>
      </w:pPr>
      <w:r>
        <w:rPr>
          <w:rFonts w:hint="eastAsia" w:ascii="宋体" w:hAnsi="宋体" w:eastAsia="宋体" w:cs="宋体"/>
          <w:sz w:val="24"/>
        </w:rPr>
        <w:t>账    号：33001676248059000088</w:t>
      </w:r>
    </w:p>
    <w:p w14:paraId="1B96B2CD">
      <w:pPr>
        <w:spacing w:line="360" w:lineRule="auto"/>
        <w:ind w:firstLine="218" w:firstLineChars="91"/>
        <w:rPr>
          <w:rFonts w:hint="eastAsia" w:ascii="宋体" w:hAnsi="宋体" w:eastAsia="宋体" w:cs="宋体"/>
          <w:sz w:val="24"/>
        </w:rPr>
      </w:pPr>
      <w:r>
        <w:rPr>
          <w:rFonts w:hint="eastAsia" w:ascii="宋体" w:hAnsi="宋体" w:eastAsia="宋体" w:cs="宋体"/>
          <w:sz w:val="24"/>
        </w:rPr>
        <w:t>开户银行：义乌市建行乐园分理处</w:t>
      </w:r>
    </w:p>
    <w:p w14:paraId="767DB7C5">
      <w:pPr>
        <w:spacing w:line="360" w:lineRule="auto"/>
        <w:ind w:firstLine="218" w:firstLineChars="91"/>
        <w:rPr>
          <w:rFonts w:hint="eastAsia" w:ascii="宋体" w:hAnsi="宋体" w:eastAsia="宋体" w:cs="宋体"/>
          <w:sz w:val="24"/>
        </w:rPr>
      </w:pPr>
      <w:r>
        <w:rPr>
          <w:rFonts w:hint="eastAsia" w:ascii="宋体" w:hAnsi="宋体" w:eastAsia="宋体" w:cs="宋体"/>
          <w:sz w:val="24"/>
        </w:rPr>
        <w:t>注：缴纳凭证应注明“采购代理服务费”字样。</w:t>
      </w:r>
    </w:p>
    <w:p w14:paraId="381086B1">
      <w:pPr>
        <w:tabs>
          <w:tab w:val="left" w:pos="3440"/>
        </w:tabs>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20、投标有效期</w:t>
      </w:r>
      <w:r>
        <w:rPr>
          <w:rFonts w:hint="eastAsia" w:ascii="宋体" w:hAnsi="宋体" w:eastAsia="宋体" w:cs="宋体"/>
          <w:b/>
          <w:bCs/>
          <w:sz w:val="24"/>
        </w:rPr>
        <w:tab/>
      </w:r>
    </w:p>
    <w:p w14:paraId="206263FA">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20.1 投标文件从开标之日起，投标有效期为60天。</w:t>
      </w:r>
    </w:p>
    <w:p w14:paraId="581BB4B9">
      <w:pPr>
        <w:pStyle w:val="15"/>
        <w:spacing w:line="360" w:lineRule="auto"/>
        <w:ind w:firstLine="480" w:firstLineChars="200"/>
        <w:rPr>
          <w:rFonts w:hint="eastAsia" w:hAnsi="宋体" w:cs="宋体"/>
          <w:sz w:val="24"/>
        </w:rPr>
      </w:pPr>
      <w:r>
        <w:rPr>
          <w:rFonts w:hint="eastAsia" w:hAnsi="宋体" w:cs="宋体"/>
          <w:sz w:val="24"/>
        </w:rPr>
        <w:t>20.2 特殊情况下，在原投标有效期截止之前，采购人可要求投标人同意延长有效期，这种要求与答复均应以书面形式提交。</w:t>
      </w:r>
    </w:p>
    <w:p w14:paraId="2AEAE3ED">
      <w:pPr>
        <w:pStyle w:val="6"/>
        <w:spacing w:before="0" w:after="0" w:line="360" w:lineRule="auto"/>
        <w:rPr>
          <w:rFonts w:hint="eastAsia" w:ascii="宋体" w:hAnsi="宋体" w:eastAsia="宋体" w:cs="宋体"/>
          <w:sz w:val="24"/>
          <w:szCs w:val="24"/>
        </w:rPr>
      </w:pPr>
      <w:bookmarkStart w:id="8" w:name="_Toc274303232"/>
      <w:bookmarkStart w:id="9" w:name="_Toc362250690"/>
      <w:r>
        <w:rPr>
          <w:rFonts w:hint="eastAsia" w:ascii="宋体" w:hAnsi="宋体" w:eastAsia="宋体" w:cs="宋体"/>
          <w:sz w:val="24"/>
          <w:szCs w:val="24"/>
        </w:rPr>
        <w:t>四、投标文件的递交</w:t>
      </w:r>
      <w:bookmarkEnd w:id="8"/>
      <w:bookmarkEnd w:id="9"/>
    </w:p>
    <w:p w14:paraId="55BD914B">
      <w:pPr>
        <w:tabs>
          <w:tab w:val="left" w:pos="315"/>
        </w:tabs>
        <w:spacing w:line="360" w:lineRule="auto"/>
        <w:ind w:firstLine="482" w:firstLineChars="200"/>
        <w:rPr>
          <w:rFonts w:hint="eastAsia" w:ascii="宋体" w:hAnsi="宋体" w:eastAsia="宋体" w:cs="宋体"/>
          <w:b/>
          <w:sz w:val="24"/>
        </w:rPr>
      </w:pPr>
      <w:r>
        <w:rPr>
          <w:rFonts w:hint="eastAsia" w:ascii="宋体" w:hAnsi="宋体" w:eastAsia="宋体" w:cs="宋体"/>
          <w:b/>
          <w:sz w:val="24"/>
        </w:rPr>
        <w:t>21、电子投标文件上传的地点和截止时间</w:t>
      </w:r>
    </w:p>
    <w:p w14:paraId="3B612374">
      <w:pPr>
        <w:tabs>
          <w:tab w:val="left" w:pos="315"/>
        </w:tabs>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投标人应于</w:t>
      </w:r>
      <w:r>
        <w:rPr>
          <w:rFonts w:hint="eastAsia" w:ascii="宋体" w:hAnsi="宋体" w:eastAsia="宋体" w:cs="宋体"/>
          <w:sz w:val="24"/>
          <w:lang w:eastAsia="zh-CN"/>
        </w:rPr>
        <w:t>2024年10月11日</w:t>
      </w:r>
      <w:r>
        <w:rPr>
          <w:rFonts w:hint="eastAsia" w:ascii="宋体" w:hAnsi="宋体" w:eastAsia="宋体" w:cs="宋体"/>
          <w:sz w:val="24"/>
        </w:rPr>
        <w:t>09:30前在“政采云”平台上自行加密上传电子投标文件，逾期上传或未按要求上传的投标文件将予以拒收。</w:t>
      </w:r>
    </w:p>
    <w:p w14:paraId="7122CE9A">
      <w:pPr>
        <w:tabs>
          <w:tab w:val="left" w:pos="315"/>
        </w:tabs>
        <w:spacing w:line="360" w:lineRule="auto"/>
        <w:ind w:firstLine="480" w:firstLineChars="200"/>
        <w:rPr>
          <w:rFonts w:hint="eastAsia" w:ascii="宋体" w:hAnsi="宋体" w:eastAsia="宋体" w:cs="宋体"/>
          <w:sz w:val="24"/>
        </w:rPr>
      </w:pPr>
      <w:r>
        <w:rPr>
          <w:rFonts w:hint="eastAsia" w:ascii="宋体" w:hAnsi="宋体" w:eastAsia="宋体" w:cs="宋体"/>
          <w:sz w:val="24"/>
        </w:rPr>
        <w:t>22、迟交的投标文件</w:t>
      </w:r>
    </w:p>
    <w:p w14:paraId="624CB1B2">
      <w:pPr>
        <w:tabs>
          <w:tab w:val="left" w:pos="315"/>
        </w:tabs>
        <w:spacing w:line="360" w:lineRule="auto"/>
        <w:ind w:firstLine="480" w:firstLineChars="200"/>
        <w:rPr>
          <w:rFonts w:hint="eastAsia" w:ascii="宋体" w:hAnsi="宋体" w:eastAsia="宋体" w:cs="宋体"/>
          <w:sz w:val="24"/>
        </w:rPr>
      </w:pPr>
      <w:r>
        <w:rPr>
          <w:rFonts w:hint="eastAsia" w:ascii="宋体" w:hAnsi="宋体" w:eastAsia="宋体" w:cs="宋体"/>
          <w:sz w:val="24"/>
        </w:rPr>
        <w:t>招标方在规定的投标截止时间以后“政采云”平台将不接收投标文件。</w:t>
      </w:r>
    </w:p>
    <w:p w14:paraId="35DF124C">
      <w:pPr>
        <w:tabs>
          <w:tab w:val="left" w:pos="315"/>
        </w:tabs>
        <w:spacing w:line="360" w:lineRule="auto"/>
        <w:ind w:firstLine="480" w:firstLineChars="200"/>
        <w:rPr>
          <w:rFonts w:hint="eastAsia" w:ascii="宋体" w:hAnsi="宋体" w:eastAsia="宋体" w:cs="宋体"/>
          <w:sz w:val="24"/>
        </w:rPr>
      </w:pPr>
      <w:r>
        <w:rPr>
          <w:rFonts w:hint="eastAsia" w:ascii="宋体" w:hAnsi="宋体" w:eastAsia="宋体" w:cs="宋体"/>
          <w:sz w:val="24"/>
        </w:rPr>
        <w:t>23、投标文件解密</w:t>
      </w:r>
    </w:p>
    <w:p w14:paraId="42B192BB">
      <w:pPr>
        <w:tabs>
          <w:tab w:val="left" w:pos="315"/>
        </w:tabs>
        <w:spacing w:line="360" w:lineRule="auto"/>
        <w:ind w:firstLine="480" w:firstLineChars="200"/>
        <w:rPr>
          <w:rFonts w:hint="eastAsia" w:ascii="宋体" w:hAnsi="宋体" w:eastAsia="宋体" w:cs="宋体"/>
          <w:sz w:val="24"/>
        </w:rPr>
      </w:pPr>
      <w:r>
        <w:rPr>
          <w:rFonts w:hint="eastAsia" w:ascii="宋体" w:hAnsi="宋体" w:eastAsia="宋体" w:cs="宋体"/>
          <w:sz w:val="24"/>
        </w:rPr>
        <w:t>开标时间后1小时内（</w:t>
      </w:r>
      <w:r>
        <w:rPr>
          <w:rFonts w:hint="eastAsia" w:ascii="宋体" w:hAnsi="宋体" w:eastAsia="宋体" w:cs="宋体"/>
          <w:sz w:val="24"/>
          <w:lang w:eastAsia="zh-CN"/>
        </w:rPr>
        <w:t>2024年10月11日</w:t>
      </w:r>
      <w:r>
        <w:rPr>
          <w:rFonts w:hint="eastAsia" w:ascii="宋体" w:hAnsi="宋体" w:eastAsia="宋体" w:cs="宋体"/>
          <w:sz w:val="24"/>
        </w:rPr>
        <w:t>10:30前）投标人可以登录“政采云”平台，用“项目采购－开标评标”功能进行解密投标文件。若投标人在规定时间内（</w:t>
      </w:r>
      <w:r>
        <w:rPr>
          <w:rFonts w:hint="eastAsia" w:ascii="宋体" w:hAnsi="宋体" w:eastAsia="宋体" w:cs="宋体"/>
          <w:sz w:val="24"/>
          <w:lang w:eastAsia="zh-CN"/>
        </w:rPr>
        <w:t>2024年10月11日</w:t>
      </w:r>
      <w:r>
        <w:rPr>
          <w:rFonts w:hint="eastAsia" w:ascii="宋体" w:hAnsi="宋体" w:eastAsia="宋体" w:cs="宋体"/>
          <w:sz w:val="24"/>
        </w:rPr>
        <w:t>10:30前）无法解密或解密失败，将导致投标无效或失败。</w:t>
      </w:r>
    </w:p>
    <w:p w14:paraId="304CCB07">
      <w:pPr>
        <w:tabs>
          <w:tab w:val="left" w:pos="315"/>
        </w:tabs>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备注：为确保采购项目顺利实施，避免因政采云上电子投标文件解密失败导致投标人投标无效，投标人可在</w:t>
      </w:r>
      <w:r>
        <w:rPr>
          <w:rFonts w:hint="eastAsia" w:ascii="宋体" w:hAnsi="宋体" w:eastAsia="宋体" w:cs="宋体"/>
          <w:sz w:val="24"/>
          <w:u w:val="single"/>
          <w:lang w:eastAsia="zh-CN"/>
        </w:rPr>
        <w:t>2024年10月11日</w:t>
      </w:r>
      <w:r>
        <w:rPr>
          <w:rFonts w:hint="eastAsia" w:ascii="宋体" w:hAnsi="宋体" w:eastAsia="宋体" w:cs="宋体"/>
          <w:sz w:val="24"/>
          <w:u w:val="single"/>
        </w:rPr>
        <w:t>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人自行保管，如政采云上电子投标文件出现解密失败情况（开标当日09:30-10:30期间进行解密），投标人可按照自身意愿确认是否同意提供加密密码解密传送至浙江开平企业管理咨询有限公司邮箱（zjkpemc@vip.163.com）的备份文件，并以备份文件作为替代电子投标文件，如投标人未按照规定时间（</w:t>
      </w:r>
      <w:r>
        <w:rPr>
          <w:rFonts w:hint="eastAsia" w:ascii="宋体" w:hAnsi="宋体" w:eastAsia="宋体" w:cs="宋体"/>
          <w:sz w:val="24"/>
          <w:u w:val="single"/>
          <w:lang w:eastAsia="zh-CN"/>
        </w:rPr>
        <w:t>2024年10月11日</w:t>
      </w:r>
      <w:r>
        <w:rPr>
          <w:rFonts w:hint="eastAsia" w:ascii="宋体" w:hAnsi="宋体" w:eastAsia="宋体" w:cs="宋体"/>
          <w:sz w:val="24"/>
          <w:u w:val="single"/>
        </w:rPr>
        <w:t>09:30前）及要求提供有效备份文件，同时政采云上投标文件解密失败的，将导致投标无效</w:t>
      </w:r>
      <w:r>
        <w:rPr>
          <w:rFonts w:hint="eastAsia" w:ascii="宋体" w:hAnsi="宋体" w:eastAsia="宋体" w:cs="宋体"/>
          <w:sz w:val="24"/>
        </w:rPr>
        <w:t>。</w:t>
      </w:r>
    </w:p>
    <w:p w14:paraId="28E77FAC">
      <w:pPr>
        <w:tabs>
          <w:tab w:val="left" w:pos="315"/>
        </w:tabs>
        <w:spacing w:line="360" w:lineRule="auto"/>
        <w:ind w:firstLine="482" w:firstLineChars="200"/>
        <w:rPr>
          <w:rFonts w:hint="eastAsia" w:ascii="宋体" w:hAnsi="宋体" w:eastAsia="宋体" w:cs="宋体"/>
          <w:b/>
          <w:bCs/>
          <w:sz w:val="24"/>
        </w:rPr>
      </w:pPr>
      <w:r>
        <w:rPr>
          <w:rFonts w:hint="eastAsia" w:ascii="宋体" w:hAnsi="宋体" w:eastAsia="宋体" w:cs="宋体"/>
          <w:b/>
          <w:sz w:val="24"/>
        </w:rPr>
        <w:t>24、</w:t>
      </w:r>
      <w:r>
        <w:rPr>
          <w:rFonts w:hint="eastAsia" w:ascii="宋体" w:hAnsi="宋体" w:eastAsia="宋体" w:cs="宋体"/>
          <w:b/>
          <w:bCs/>
          <w:sz w:val="24"/>
        </w:rPr>
        <w:t>投标文件的补充、修改与撤回</w:t>
      </w:r>
    </w:p>
    <w:p w14:paraId="184AEF01">
      <w:pPr>
        <w:pStyle w:val="15"/>
        <w:spacing w:line="360" w:lineRule="auto"/>
        <w:ind w:firstLine="480"/>
        <w:rPr>
          <w:rFonts w:hint="eastAsia" w:hAnsi="宋体" w:cs="宋体"/>
          <w:sz w:val="24"/>
          <w:szCs w:val="24"/>
        </w:rPr>
      </w:pPr>
      <w:r>
        <w:rPr>
          <w:rFonts w:hint="eastAsia" w:hAnsi="宋体" w:cs="宋体"/>
          <w:sz w:val="24"/>
          <w:szCs w:val="24"/>
        </w:rPr>
        <w:t>24.1投标人在提交投标文件以后，在规定的投标截止时间之前，可以重新补充修改或撤回已上传的投标文件，补充、修改的内容为投标文件的组成部分。</w:t>
      </w:r>
    </w:p>
    <w:p w14:paraId="0BB5F4BD">
      <w:pPr>
        <w:pStyle w:val="15"/>
        <w:spacing w:line="360" w:lineRule="auto"/>
        <w:ind w:firstLine="480"/>
        <w:rPr>
          <w:rFonts w:hint="eastAsia" w:hAnsi="宋体" w:cs="宋体"/>
          <w:sz w:val="24"/>
          <w:szCs w:val="24"/>
        </w:rPr>
      </w:pPr>
      <w:r>
        <w:rPr>
          <w:rFonts w:hint="eastAsia" w:hAnsi="宋体" w:cs="宋体"/>
          <w:sz w:val="24"/>
          <w:szCs w:val="24"/>
        </w:rPr>
        <w:t>24.2在投标截止时间之后，投标人不得对其投标做任何修改。</w:t>
      </w:r>
    </w:p>
    <w:p w14:paraId="6438FEB5">
      <w:pPr>
        <w:pStyle w:val="15"/>
        <w:spacing w:line="360" w:lineRule="auto"/>
        <w:ind w:firstLine="480"/>
        <w:rPr>
          <w:rFonts w:hint="eastAsia" w:hAnsi="宋体" w:cs="宋体"/>
          <w:spacing w:val="-8"/>
          <w:sz w:val="24"/>
        </w:rPr>
      </w:pPr>
      <w:r>
        <w:rPr>
          <w:rFonts w:hint="eastAsia" w:hAnsi="宋体" w:cs="宋体"/>
          <w:sz w:val="24"/>
          <w:szCs w:val="24"/>
        </w:rPr>
        <w:t>24.3从投标截止时间至投标人在投标书格式中确定的投标有效期期满这段时间内，投标人不得撤回其投标</w:t>
      </w:r>
      <w:r>
        <w:rPr>
          <w:rFonts w:hint="eastAsia" w:hAnsi="宋体" w:cs="宋体"/>
          <w:spacing w:val="-6"/>
          <w:sz w:val="24"/>
        </w:rPr>
        <w:t>。</w:t>
      </w:r>
    </w:p>
    <w:p w14:paraId="7769F7C0">
      <w:pPr>
        <w:pStyle w:val="6"/>
        <w:spacing w:before="0" w:after="0" w:line="360" w:lineRule="auto"/>
        <w:rPr>
          <w:rFonts w:hint="eastAsia" w:ascii="宋体" w:hAnsi="宋体" w:eastAsia="宋体" w:cs="宋体"/>
          <w:sz w:val="24"/>
          <w:szCs w:val="24"/>
        </w:rPr>
      </w:pPr>
      <w:bookmarkStart w:id="10" w:name="_Toc362250691"/>
      <w:bookmarkStart w:id="11" w:name="_Toc274303233"/>
      <w:r>
        <w:rPr>
          <w:rFonts w:hint="eastAsia" w:ascii="宋体" w:hAnsi="宋体" w:eastAsia="宋体" w:cs="宋体"/>
          <w:sz w:val="24"/>
          <w:szCs w:val="24"/>
        </w:rPr>
        <w:t>五、其它</w:t>
      </w:r>
      <w:bookmarkEnd w:id="10"/>
      <w:bookmarkEnd w:id="11"/>
    </w:p>
    <w:p w14:paraId="7AF753C0">
      <w:pPr>
        <w:spacing w:line="360" w:lineRule="auto"/>
        <w:ind w:firstLine="480" w:firstLineChars="200"/>
        <w:rPr>
          <w:rFonts w:hint="eastAsia" w:ascii="宋体" w:hAnsi="宋体" w:eastAsia="宋体" w:cs="宋体"/>
          <w:sz w:val="24"/>
        </w:rPr>
      </w:pPr>
      <w:r>
        <w:rPr>
          <w:rFonts w:hint="eastAsia" w:ascii="宋体" w:hAnsi="宋体" w:eastAsia="宋体" w:cs="宋体"/>
          <w:sz w:val="24"/>
        </w:rPr>
        <w:t>25、本招标文件解释权归采购人。</w:t>
      </w:r>
    </w:p>
    <w:p w14:paraId="331BDFFB">
      <w:pPr>
        <w:spacing w:line="360" w:lineRule="auto"/>
        <w:rPr>
          <w:rFonts w:hint="eastAsia" w:ascii="宋体" w:hAnsi="宋体" w:eastAsia="宋体" w:cs="宋体"/>
          <w:b/>
          <w:sz w:val="32"/>
          <w:szCs w:val="32"/>
        </w:rPr>
      </w:pPr>
      <w:r>
        <w:rPr>
          <w:rFonts w:hint="eastAsia" w:ascii="宋体" w:hAnsi="宋体" w:eastAsia="宋体" w:cs="宋体"/>
          <w:b/>
          <w:sz w:val="32"/>
          <w:szCs w:val="32"/>
        </w:rPr>
        <w:br w:type="page"/>
      </w:r>
    </w:p>
    <w:p w14:paraId="18B2F9C2">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第三章 招标项目内容及技术要求</w:t>
      </w:r>
    </w:p>
    <w:p w14:paraId="2FF90DC3">
      <w:pPr>
        <w:pStyle w:val="5"/>
        <w:spacing w:before="0" w:after="0" w:line="360" w:lineRule="auto"/>
        <w:ind w:firstLine="482" w:firstLineChars="200"/>
        <w:rPr>
          <w:rFonts w:hint="eastAsia" w:ascii="宋体" w:hAnsi="宋体" w:eastAsia="宋体" w:cs="宋体"/>
          <w:sz w:val="24"/>
          <w:szCs w:val="24"/>
        </w:rPr>
      </w:pPr>
      <w:bookmarkStart w:id="12" w:name="_Toc3068"/>
      <w:bookmarkStart w:id="13" w:name="_Toc646067957_WPSOffice_Level3"/>
      <w:r>
        <w:rPr>
          <w:rFonts w:hint="eastAsia" w:ascii="宋体" w:hAnsi="宋体" w:eastAsia="宋体" w:cs="宋体"/>
          <w:sz w:val="24"/>
          <w:szCs w:val="24"/>
        </w:rPr>
        <w:t>一、项目概况</w:t>
      </w:r>
      <w:bookmarkEnd w:id="12"/>
    </w:p>
    <w:bookmarkEnd w:id="13"/>
    <w:p w14:paraId="21C367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2023年7月24日，浙安委办便函[2023]37号关于开展有限空间安全管理“一件事”试点工作的通知，为扎实推进安全生成领域“一件事”改革，聚焦有限空间作业安全监管难题，全面摸清有限空间底数，全面辨识、管控风险要素，大力提升有限空间作业人员技能，杜绝盲目施救，筑牢安全防线，全面防范化解有限空间作业安全风险。</w:t>
      </w:r>
    </w:p>
    <w:p w14:paraId="69E7F9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义乌市作为建设和工矿领域省试点对象，为了强化有限空间全链条安全监管，进一步采取“线上+线下”相结合的方式，迭代完善物防、技防、人防措施，建设有限空间作业监测预警平台，推动有限空间作业安全管理向治本转变、向事前预防转型，全面提升有限空间作业安全管理水平，防范企业有限空间生产的安全风险，落实好安全生产规范，切实做好有限空间作业风险防控工作，降低风险杜绝有限空间安全事故，保障人民财产安全。</w:t>
      </w:r>
    </w:p>
    <w:p w14:paraId="7F9437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建设义乌市有限空间智慧监测预警系统项目，系统具备有限空间作业报备、作业期实时监测预警、预警智能联动广播等功能，紧密结合义乌市应急管理局有限空间作业监管工作中存在的问题和不足，充分整合内外部已有系统相关能力和资源，运用大数据、人工智能等先进技术，全面提升有限空间作业安全管理水平，防范企业有限空间生产的安全风险，落实好安全生产规范，切实做好有限空间作业风险防控工作，降低风险杜绝有限空间安全事故，保障人民财产安全。</w:t>
      </w:r>
    </w:p>
    <w:p w14:paraId="52572F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建设内容主要如下</w:t>
      </w:r>
    </w:p>
    <w:p w14:paraId="3DCA04ED">
      <w:pPr>
        <w:pStyle w:val="6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原视频平台升级扩容</w:t>
      </w:r>
    </w:p>
    <w:p w14:paraId="4EA123FC">
      <w:pPr>
        <w:pStyle w:val="6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有限空间智慧监测预警系统定制开发</w:t>
      </w:r>
    </w:p>
    <w:p w14:paraId="418B9086">
      <w:pPr>
        <w:pStyle w:val="6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云存储软件及配套硬件，主要用于有限空间作业预警的事件片段存储以及应急相关业务存储要求</w:t>
      </w:r>
    </w:p>
    <w:p w14:paraId="7090DF6A">
      <w:pPr>
        <w:pStyle w:val="6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配套服务建设，包括档案数据采集、感知网集成及等保测试等服务</w:t>
      </w:r>
    </w:p>
    <w:p w14:paraId="58259B36">
      <w:pPr>
        <w:pStyle w:val="5"/>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二、技术参数要求</w:t>
      </w:r>
    </w:p>
    <w:tbl>
      <w:tblPr>
        <w:tblStyle w:val="29"/>
        <w:tblW w:w="5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93"/>
        <w:gridCol w:w="1149"/>
        <w:gridCol w:w="5920"/>
        <w:gridCol w:w="725"/>
        <w:gridCol w:w="563"/>
        <w:gridCol w:w="702"/>
      </w:tblGrid>
      <w:tr w14:paraId="4F48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31" w:type="pct"/>
            <w:vAlign w:val="center"/>
          </w:tcPr>
          <w:p w14:paraId="78C07660">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序号</w:t>
            </w:r>
          </w:p>
        </w:tc>
        <w:tc>
          <w:tcPr>
            <w:tcW w:w="471" w:type="pct"/>
            <w:vAlign w:val="center"/>
          </w:tcPr>
          <w:p w14:paraId="7AF275B6">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建设项</w:t>
            </w:r>
          </w:p>
        </w:tc>
        <w:tc>
          <w:tcPr>
            <w:tcW w:w="544" w:type="pct"/>
            <w:vAlign w:val="center"/>
          </w:tcPr>
          <w:p w14:paraId="3F4048A6">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建设子项</w:t>
            </w:r>
          </w:p>
        </w:tc>
        <w:tc>
          <w:tcPr>
            <w:tcW w:w="2809" w:type="pct"/>
            <w:vAlign w:val="center"/>
          </w:tcPr>
          <w:p w14:paraId="4212D391">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技术要求</w:t>
            </w:r>
          </w:p>
        </w:tc>
        <w:tc>
          <w:tcPr>
            <w:tcW w:w="344" w:type="pct"/>
            <w:vAlign w:val="center"/>
          </w:tcPr>
          <w:p w14:paraId="27672DEE">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数量</w:t>
            </w:r>
          </w:p>
        </w:tc>
        <w:tc>
          <w:tcPr>
            <w:tcW w:w="267" w:type="pct"/>
            <w:vAlign w:val="center"/>
          </w:tcPr>
          <w:p w14:paraId="2AF0614B">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单位</w:t>
            </w:r>
          </w:p>
        </w:tc>
        <w:tc>
          <w:tcPr>
            <w:tcW w:w="331" w:type="pct"/>
            <w:vAlign w:val="center"/>
          </w:tcPr>
          <w:p w14:paraId="4BE13B7D">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备注</w:t>
            </w:r>
          </w:p>
        </w:tc>
      </w:tr>
      <w:tr w14:paraId="6DC5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7"/>
            <w:vAlign w:val="center"/>
          </w:tcPr>
          <w:p w14:paraId="5EE7C3DC">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一、原视频监控系统升级扩容</w:t>
            </w:r>
          </w:p>
        </w:tc>
      </w:tr>
      <w:tr w14:paraId="5A26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62BF284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016" w:type="pct"/>
            <w:gridSpan w:val="2"/>
            <w:vAlign w:val="center"/>
          </w:tcPr>
          <w:p w14:paraId="7C455721">
            <w:pPr>
              <w:pStyle w:val="66"/>
              <w:jc w:val="left"/>
              <w:rPr>
                <w:rFonts w:hint="eastAsia" w:ascii="宋体" w:hAnsi="宋体" w:eastAsia="宋体" w:cs="宋体"/>
                <w:kern w:val="0"/>
                <w:sz w:val="24"/>
              </w:rPr>
            </w:pPr>
            <w:r>
              <w:rPr>
                <w:rFonts w:hint="eastAsia" w:ascii="宋体" w:hAnsi="宋体" w:eastAsia="宋体" w:cs="宋体"/>
                <w:kern w:val="0"/>
                <w:sz w:val="24"/>
              </w:rPr>
              <w:t>视频接入路数扩容</w:t>
            </w:r>
          </w:p>
        </w:tc>
        <w:tc>
          <w:tcPr>
            <w:tcW w:w="2809" w:type="pct"/>
            <w:vAlign w:val="center"/>
          </w:tcPr>
          <w:p w14:paraId="2A49F56C">
            <w:pPr>
              <w:pStyle w:val="66"/>
              <w:rPr>
                <w:rFonts w:hint="eastAsia" w:ascii="宋体" w:hAnsi="宋体" w:eastAsia="宋体" w:cs="宋体"/>
                <w:kern w:val="0"/>
                <w:sz w:val="24"/>
              </w:rPr>
            </w:pPr>
            <w:r>
              <w:rPr>
                <w:rFonts w:hint="eastAsia" w:ascii="宋体" w:hAnsi="宋体" w:eastAsia="宋体" w:cs="宋体"/>
                <w:kern w:val="0"/>
                <w:sz w:val="24"/>
              </w:rPr>
              <w:t>基于原有视频监控系统进行升级，满足现有132路监控及147路单兵、执法记录仪、布控球等移动图传设备接入需求；在保留原有500路视频接入授权基础上，扩容不少于600路直连接入授权。</w:t>
            </w:r>
          </w:p>
        </w:tc>
        <w:tc>
          <w:tcPr>
            <w:tcW w:w="344" w:type="pct"/>
            <w:vAlign w:val="center"/>
          </w:tcPr>
          <w:p w14:paraId="6AD4CB7B">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27B94A43">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424A2927">
            <w:pPr>
              <w:pStyle w:val="66"/>
              <w:rPr>
                <w:rFonts w:hint="eastAsia" w:ascii="宋体" w:hAnsi="宋体" w:eastAsia="宋体" w:cs="宋体"/>
                <w:kern w:val="0"/>
                <w:sz w:val="24"/>
              </w:rPr>
            </w:pPr>
          </w:p>
        </w:tc>
      </w:tr>
      <w:tr w14:paraId="0D7F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6AACCBA9">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16" w:type="pct"/>
            <w:gridSpan w:val="2"/>
            <w:vAlign w:val="center"/>
          </w:tcPr>
          <w:p w14:paraId="2A08C6C1">
            <w:pPr>
              <w:jc w:val="left"/>
              <w:rPr>
                <w:rFonts w:hint="eastAsia" w:ascii="宋体" w:hAnsi="宋体" w:eastAsia="宋体" w:cs="宋体"/>
                <w:kern w:val="0"/>
                <w:sz w:val="24"/>
                <w:szCs w:val="24"/>
                <w:lang w:bidi="ar"/>
              </w:rPr>
            </w:pPr>
            <w:r>
              <w:rPr>
                <w:rFonts w:hint="eastAsia" w:ascii="宋体" w:hAnsi="宋体" w:eastAsia="宋体" w:cs="宋体"/>
                <w:kern w:val="0"/>
                <w:sz w:val="24"/>
                <w:szCs w:val="24"/>
              </w:rPr>
              <w:t>视频级联路数扩容</w:t>
            </w:r>
          </w:p>
        </w:tc>
        <w:tc>
          <w:tcPr>
            <w:tcW w:w="2809" w:type="pct"/>
            <w:vAlign w:val="center"/>
          </w:tcPr>
          <w:p w14:paraId="42DBF9D8">
            <w:pPr>
              <w:pStyle w:val="66"/>
              <w:rPr>
                <w:rFonts w:hint="eastAsia" w:ascii="宋体" w:hAnsi="宋体" w:eastAsia="宋体" w:cs="宋体"/>
                <w:kern w:val="0"/>
                <w:sz w:val="24"/>
              </w:rPr>
            </w:pPr>
            <w:r>
              <w:rPr>
                <w:rFonts w:hint="eastAsia" w:ascii="宋体" w:hAnsi="宋体" w:eastAsia="宋体" w:cs="宋体"/>
                <w:kern w:val="0"/>
                <w:sz w:val="24"/>
              </w:rPr>
              <w:t>基于升级后的视频监控系统，进行级联路数扩容，不少于3000路授权。</w:t>
            </w:r>
          </w:p>
        </w:tc>
        <w:tc>
          <w:tcPr>
            <w:tcW w:w="344" w:type="pct"/>
            <w:vAlign w:val="center"/>
          </w:tcPr>
          <w:p w14:paraId="6E9A1893">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31A9695B">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46055B96">
            <w:pPr>
              <w:pStyle w:val="66"/>
              <w:rPr>
                <w:rFonts w:hint="eastAsia" w:ascii="宋体" w:hAnsi="宋体" w:eastAsia="宋体" w:cs="宋体"/>
                <w:kern w:val="0"/>
                <w:sz w:val="24"/>
              </w:rPr>
            </w:pPr>
          </w:p>
        </w:tc>
      </w:tr>
      <w:tr w14:paraId="5FC4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E0A8A2A">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016" w:type="pct"/>
            <w:gridSpan w:val="2"/>
            <w:vAlign w:val="center"/>
          </w:tcPr>
          <w:p w14:paraId="6D94AC72">
            <w:pPr>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物联设备接入</w:t>
            </w:r>
          </w:p>
        </w:tc>
        <w:tc>
          <w:tcPr>
            <w:tcW w:w="2809" w:type="pct"/>
            <w:vAlign w:val="center"/>
          </w:tcPr>
          <w:p w14:paraId="5B0279C8">
            <w:pPr>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提供与第三方物联系统</w:t>
            </w:r>
            <w:r>
              <w:rPr>
                <w:rFonts w:hint="eastAsia" w:ascii="宋体" w:hAnsi="宋体" w:eastAsia="宋体" w:cs="宋体"/>
                <w:kern w:val="0"/>
                <w:sz w:val="24"/>
                <w:szCs w:val="24"/>
                <w:highlight w:val="none"/>
                <w:lang w:bidi="ar"/>
              </w:rPr>
              <w:t>实现数据互通的功能，采集物联资源信息、物联感知监测数据等信息进行统一管理。与广播物联设备的数据互通，</w:t>
            </w:r>
            <w:r>
              <w:rPr>
                <w:rFonts w:hint="eastAsia" w:ascii="宋体" w:hAnsi="宋体" w:eastAsia="宋体" w:cs="宋体"/>
                <w:kern w:val="0"/>
                <w:sz w:val="24"/>
                <w:szCs w:val="24"/>
                <w:lang w:bidi="ar"/>
              </w:rPr>
              <w:t xml:space="preserve">实现智能广播，并为安全生产相关物联监测提供物联能力基础。 </w:t>
            </w:r>
          </w:p>
        </w:tc>
        <w:tc>
          <w:tcPr>
            <w:tcW w:w="344" w:type="pct"/>
            <w:vAlign w:val="center"/>
          </w:tcPr>
          <w:p w14:paraId="5809DF1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267" w:type="pct"/>
            <w:vAlign w:val="center"/>
          </w:tcPr>
          <w:p w14:paraId="0A1D06B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项</w:t>
            </w:r>
          </w:p>
        </w:tc>
        <w:tc>
          <w:tcPr>
            <w:tcW w:w="331" w:type="pct"/>
            <w:vAlign w:val="center"/>
          </w:tcPr>
          <w:p w14:paraId="5D04B7CB">
            <w:pPr>
              <w:jc w:val="center"/>
              <w:rPr>
                <w:rFonts w:hint="eastAsia" w:ascii="宋体" w:hAnsi="宋体" w:eastAsia="宋体" w:cs="宋体"/>
                <w:kern w:val="0"/>
                <w:sz w:val="24"/>
                <w:szCs w:val="24"/>
                <w:lang w:bidi="ar"/>
              </w:rPr>
            </w:pPr>
          </w:p>
        </w:tc>
      </w:tr>
      <w:tr w14:paraId="0E22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7"/>
            <w:vAlign w:val="center"/>
          </w:tcPr>
          <w:p w14:paraId="37169771">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二、有限空间智慧监测预警定制开发</w:t>
            </w:r>
          </w:p>
        </w:tc>
      </w:tr>
      <w:tr w14:paraId="2C3F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67089B10">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471" w:type="pct"/>
            <w:vMerge w:val="restart"/>
            <w:vAlign w:val="center"/>
          </w:tcPr>
          <w:p w14:paraId="3931E90A">
            <w:pPr>
              <w:jc w:val="center"/>
              <w:rPr>
                <w:rFonts w:hint="eastAsia" w:ascii="宋体" w:hAnsi="宋体" w:eastAsia="宋体" w:cs="宋体"/>
                <w:kern w:val="0"/>
                <w:sz w:val="24"/>
                <w:szCs w:val="24"/>
                <w:lang w:bidi="ar"/>
              </w:rPr>
            </w:pPr>
            <w:r>
              <w:rPr>
                <w:rFonts w:hint="eastAsia" w:ascii="宋体" w:hAnsi="宋体" w:eastAsia="宋体" w:cs="宋体"/>
                <w:kern w:val="0"/>
                <w:sz w:val="24"/>
                <w:szCs w:val="24"/>
              </w:rPr>
              <w:t>登记建档模块</w:t>
            </w:r>
          </w:p>
        </w:tc>
        <w:tc>
          <w:tcPr>
            <w:tcW w:w="544" w:type="pct"/>
            <w:vAlign w:val="center"/>
          </w:tcPr>
          <w:p w14:paraId="4E3986D6">
            <w:pPr>
              <w:pStyle w:val="66"/>
              <w:rPr>
                <w:rFonts w:hint="eastAsia" w:ascii="宋体" w:hAnsi="宋体" w:eastAsia="宋体" w:cs="宋体"/>
                <w:kern w:val="0"/>
                <w:sz w:val="24"/>
              </w:rPr>
            </w:pPr>
            <w:r>
              <w:rPr>
                <w:rFonts w:hint="eastAsia" w:ascii="宋体" w:hAnsi="宋体" w:eastAsia="宋体" w:cs="宋体"/>
                <w:kern w:val="0"/>
                <w:sz w:val="24"/>
              </w:rPr>
              <w:t>监管企业档案</w:t>
            </w:r>
          </w:p>
        </w:tc>
        <w:tc>
          <w:tcPr>
            <w:tcW w:w="2809" w:type="pct"/>
            <w:vAlign w:val="center"/>
          </w:tcPr>
          <w:p w14:paraId="672FB7BC">
            <w:pPr>
              <w:pStyle w:val="66"/>
              <w:rPr>
                <w:rFonts w:hint="eastAsia" w:ascii="宋体" w:hAnsi="宋体" w:eastAsia="宋体" w:cs="宋体"/>
                <w:kern w:val="0"/>
                <w:sz w:val="24"/>
              </w:rPr>
            </w:pPr>
            <w:r>
              <w:rPr>
                <w:rFonts w:hint="eastAsia" w:ascii="宋体" w:hAnsi="宋体" w:eastAsia="宋体" w:cs="宋体"/>
                <w:kern w:val="0"/>
                <w:sz w:val="24"/>
              </w:rPr>
              <w:t>对工矿领域</w:t>
            </w:r>
            <w:r>
              <w:rPr>
                <w:rFonts w:hint="eastAsia" w:ascii="宋体" w:hAnsi="宋体" w:eastAsia="宋体" w:cs="宋体"/>
                <w:kern w:val="0"/>
                <w:sz w:val="24"/>
                <w:highlight w:val="none"/>
              </w:rPr>
              <w:t>现有限空间</w:t>
            </w:r>
            <w:r>
              <w:rPr>
                <w:rFonts w:hint="eastAsia" w:ascii="宋体" w:hAnsi="宋体" w:eastAsia="宋体" w:cs="宋体"/>
                <w:kern w:val="0"/>
                <w:sz w:val="24"/>
              </w:rPr>
              <w:t>企业信息进行管理，对监管企业进行信息维护、检索及导出。</w:t>
            </w:r>
          </w:p>
        </w:tc>
        <w:tc>
          <w:tcPr>
            <w:tcW w:w="344" w:type="pct"/>
            <w:vAlign w:val="center"/>
          </w:tcPr>
          <w:p w14:paraId="4210BAB7">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3AE284B3">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0FA9DF30">
            <w:pPr>
              <w:pStyle w:val="66"/>
              <w:rPr>
                <w:rFonts w:hint="eastAsia" w:ascii="宋体" w:hAnsi="宋体" w:eastAsia="宋体" w:cs="宋体"/>
                <w:kern w:val="0"/>
                <w:sz w:val="24"/>
              </w:rPr>
            </w:pPr>
          </w:p>
        </w:tc>
      </w:tr>
      <w:tr w14:paraId="1B86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71A77CC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471" w:type="pct"/>
            <w:vMerge w:val="continue"/>
            <w:vAlign w:val="center"/>
          </w:tcPr>
          <w:p w14:paraId="719E0B78">
            <w:pPr>
              <w:jc w:val="center"/>
              <w:rPr>
                <w:rFonts w:hint="eastAsia" w:ascii="宋体" w:hAnsi="宋体" w:eastAsia="宋体" w:cs="宋体"/>
                <w:kern w:val="0"/>
                <w:sz w:val="24"/>
                <w:szCs w:val="24"/>
                <w:lang w:bidi="ar"/>
              </w:rPr>
            </w:pPr>
          </w:p>
        </w:tc>
        <w:tc>
          <w:tcPr>
            <w:tcW w:w="544" w:type="pct"/>
            <w:vAlign w:val="center"/>
          </w:tcPr>
          <w:p w14:paraId="2D7AAA72">
            <w:pPr>
              <w:pStyle w:val="66"/>
              <w:rPr>
                <w:rFonts w:hint="eastAsia" w:ascii="宋体" w:hAnsi="宋体" w:eastAsia="宋体" w:cs="宋体"/>
                <w:kern w:val="0"/>
                <w:sz w:val="24"/>
              </w:rPr>
            </w:pPr>
            <w:r>
              <w:rPr>
                <w:rFonts w:hint="eastAsia" w:ascii="宋体" w:hAnsi="宋体" w:eastAsia="宋体" w:cs="宋体"/>
                <w:kern w:val="0"/>
                <w:sz w:val="24"/>
                <w:lang w:bidi="ar"/>
              </w:rPr>
              <w:t>作业场所档案</w:t>
            </w:r>
          </w:p>
        </w:tc>
        <w:tc>
          <w:tcPr>
            <w:tcW w:w="2809" w:type="pct"/>
            <w:vAlign w:val="center"/>
          </w:tcPr>
          <w:p w14:paraId="7083BE36">
            <w:pPr>
              <w:pStyle w:val="66"/>
              <w:rPr>
                <w:rFonts w:hint="eastAsia" w:ascii="宋体" w:hAnsi="宋体" w:eastAsia="宋体" w:cs="宋体"/>
                <w:kern w:val="0"/>
                <w:sz w:val="24"/>
              </w:rPr>
            </w:pPr>
            <w:r>
              <w:rPr>
                <w:rFonts w:hint="eastAsia" w:ascii="宋体" w:hAnsi="宋体" w:eastAsia="宋体" w:cs="宋体"/>
                <w:kern w:val="0"/>
                <w:sz w:val="24"/>
                <w:highlight w:val="none"/>
              </w:rPr>
              <w:t>涉有限空间</w:t>
            </w:r>
            <w:r>
              <w:rPr>
                <w:rFonts w:hint="eastAsia" w:ascii="宋体" w:hAnsi="宋体" w:eastAsia="宋体" w:cs="宋体"/>
                <w:kern w:val="0"/>
                <w:sz w:val="24"/>
              </w:rPr>
              <w:t>作业区域的管理，支持新增、修改、删除等功能。</w:t>
            </w:r>
          </w:p>
        </w:tc>
        <w:tc>
          <w:tcPr>
            <w:tcW w:w="344" w:type="pct"/>
            <w:vAlign w:val="center"/>
          </w:tcPr>
          <w:p w14:paraId="364FDC30">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452299D7">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24A0593C">
            <w:pPr>
              <w:pStyle w:val="66"/>
              <w:rPr>
                <w:rFonts w:hint="eastAsia" w:ascii="宋体" w:hAnsi="宋体" w:eastAsia="宋体" w:cs="宋体"/>
                <w:kern w:val="0"/>
                <w:sz w:val="24"/>
              </w:rPr>
            </w:pPr>
          </w:p>
        </w:tc>
      </w:tr>
      <w:tr w14:paraId="0137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73794FEE">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471" w:type="pct"/>
            <w:vMerge w:val="restart"/>
            <w:vAlign w:val="center"/>
          </w:tcPr>
          <w:p w14:paraId="439DF57C">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作业报备管理</w:t>
            </w:r>
          </w:p>
        </w:tc>
        <w:tc>
          <w:tcPr>
            <w:tcW w:w="544" w:type="pct"/>
            <w:vAlign w:val="center"/>
          </w:tcPr>
          <w:p w14:paraId="1CF08343">
            <w:pPr>
              <w:pStyle w:val="66"/>
              <w:rPr>
                <w:rFonts w:hint="eastAsia" w:ascii="宋体" w:hAnsi="宋体" w:eastAsia="宋体" w:cs="宋体"/>
                <w:kern w:val="0"/>
                <w:sz w:val="24"/>
                <w:lang w:bidi="ar"/>
              </w:rPr>
            </w:pPr>
            <w:r>
              <w:rPr>
                <w:rFonts w:hint="eastAsia" w:ascii="宋体" w:hAnsi="宋体" w:eastAsia="宋体" w:cs="宋体"/>
                <w:kern w:val="0"/>
                <w:sz w:val="24"/>
                <w:lang w:bidi="ar"/>
              </w:rPr>
              <w:t>有限空间作业报备</w:t>
            </w:r>
          </w:p>
        </w:tc>
        <w:tc>
          <w:tcPr>
            <w:tcW w:w="2809" w:type="pct"/>
            <w:vAlign w:val="center"/>
          </w:tcPr>
          <w:p w14:paraId="30D6839B">
            <w:pPr>
              <w:pStyle w:val="66"/>
              <w:rPr>
                <w:rFonts w:hint="eastAsia" w:ascii="宋体" w:hAnsi="宋体" w:eastAsia="宋体" w:cs="宋体"/>
                <w:kern w:val="0"/>
                <w:sz w:val="24"/>
              </w:rPr>
            </w:pPr>
            <w:r>
              <w:rPr>
                <w:rFonts w:hint="eastAsia" w:ascii="宋体" w:hAnsi="宋体" w:eastAsia="宋体" w:cs="宋体"/>
                <w:kern w:val="0"/>
                <w:sz w:val="24"/>
              </w:rPr>
              <w:t>增加企业作业报备功能，用于作业申报。</w:t>
            </w:r>
          </w:p>
        </w:tc>
        <w:tc>
          <w:tcPr>
            <w:tcW w:w="344" w:type="pct"/>
            <w:vAlign w:val="center"/>
          </w:tcPr>
          <w:p w14:paraId="215E3B8B">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3EFE385A">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53A22B54">
            <w:pPr>
              <w:pStyle w:val="66"/>
              <w:rPr>
                <w:rFonts w:hint="eastAsia" w:ascii="宋体" w:hAnsi="宋体" w:eastAsia="宋体" w:cs="宋体"/>
                <w:kern w:val="0"/>
                <w:sz w:val="24"/>
              </w:rPr>
            </w:pPr>
          </w:p>
        </w:tc>
      </w:tr>
      <w:tr w14:paraId="7125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3AD3D546">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471" w:type="pct"/>
            <w:vMerge w:val="continue"/>
            <w:vAlign w:val="center"/>
          </w:tcPr>
          <w:p w14:paraId="15E6B5F4">
            <w:pPr>
              <w:jc w:val="center"/>
              <w:rPr>
                <w:rFonts w:hint="eastAsia" w:ascii="宋体" w:hAnsi="宋体" w:eastAsia="宋体" w:cs="宋体"/>
                <w:kern w:val="0"/>
                <w:sz w:val="24"/>
                <w:szCs w:val="24"/>
                <w:lang w:bidi="ar"/>
              </w:rPr>
            </w:pPr>
          </w:p>
        </w:tc>
        <w:tc>
          <w:tcPr>
            <w:tcW w:w="544" w:type="pct"/>
            <w:vAlign w:val="center"/>
          </w:tcPr>
          <w:p w14:paraId="7706BDF4">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报备记录管理</w:t>
            </w:r>
          </w:p>
        </w:tc>
        <w:tc>
          <w:tcPr>
            <w:tcW w:w="2809" w:type="pct"/>
            <w:vAlign w:val="center"/>
          </w:tcPr>
          <w:p w14:paraId="57F4DA0A">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对全市有限空间作业报备记录进行统一管理，支持按照时间、街道、场所分类等多维度查询。</w:t>
            </w:r>
          </w:p>
        </w:tc>
        <w:tc>
          <w:tcPr>
            <w:tcW w:w="344" w:type="pct"/>
            <w:vAlign w:val="center"/>
          </w:tcPr>
          <w:p w14:paraId="44076E0C">
            <w:pPr>
              <w:jc w:val="center"/>
              <w:rPr>
                <w:rFonts w:hint="eastAsia" w:ascii="宋体" w:hAnsi="宋体" w:eastAsia="宋体" w:cs="宋体"/>
                <w:kern w:val="0"/>
                <w:sz w:val="24"/>
                <w:szCs w:val="24"/>
                <w:lang w:bidi="ar"/>
              </w:rPr>
            </w:pPr>
            <w:r>
              <w:rPr>
                <w:rFonts w:hint="eastAsia" w:ascii="宋体" w:hAnsi="宋体" w:eastAsia="宋体" w:cs="宋体"/>
                <w:kern w:val="0"/>
                <w:sz w:val="24"/>
                <w:szCs w:val="24"/>
              </w:rPr>
              <w:t>1</w:t>
            </w:r>
          </w:p>
        </w:tc>
        <w:tc>
          <w:tcPr>
            <w:tcW w:w="267" w:type="pct"/>
            <w:vAlign w:val="center"/>
          </w:tcPr>
          <w:p w14:paraId="363C9A2D">
            <w:pPr>
              <w:jc w:val="center"/>
              <w:rPr>
                <w:rFonts w:hint="eastAsia" w:ascii="宋体" w:hAnsi="宋体" w:eastAsia="宋体" w:cs="宋体"/>
                <w:kern w:val="0"/>
                <w:sz w:val="24"/>
                <w:szCs w:val="24"/>
                <w:lang w:bidi="ar"/>
              </w:rPr>
            </w:pPr>
            <w:r>
              <w:rPr>
                <w:rFonts w:hint="eastAsia" w:ascii="宋体" w:hAnsi="宋体" w:eastAsia="宋体" w:cs="宋体"/>
                <w:kern w:val="0"/>
                <w:sz w:val="24"/>
                <w:szCs w:val="24"/>
              </w:rPr>
              <w:t>项</w:t>
            </w:r>
          </w:p>
        </w:tc>
        <w:tc>
          <w:tcPr>
            <w:tcW w:w="331" w:type="pct"/>
            <w:vAlign w:val="center"/>
          </w:tcPr>
          <w:p w14:paraId="5DCBA5D2">
            <w:pPr>
              <w:jc w:val="center"/>
              <w:rPr>
                <w:rFonts w:hint="eastAsia" w:ascii="宋体" w:hAnsi="宋体" w:eastAsia="宋体" w:cs="宋体"/>
                <w:kern w:val="0"/>
                <w:sz w:val="24"/>
                <w:szCs w:val="24"/>
                <w:lang w:bidi="ar"/>
              </w:rPr>
            </w:pPr>
          </w:p>
        </w:tc>
      </w:tr>
      <w:tr w14:paraId="0823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3EC0113D">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471" w:type="pct"/>
            <w:vMerge w:val="restart"/>
            <w:vAlign w:val="center"/>
          </w:tcPr>
          <w:p w14:paraId="40AF4D9D">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智能监测建设</w:t>
            </w:r>
          </w:p>
        </w:tc>
        <w:tc>
          <w:tcPr>
            <w:tcW w:w="544" w:type="pct"/>
            <w:vAlign w:val="center"/>
          </w:tcPr>
          <w:p w14:paraId="79FBD9F3">
            <w:pPr>
              <w:pStyle w:val="66"/>
              <w:rPr>
                <w:rFonts w:hint="eastAsia" w:ascii="宋体" w:hAnsi="宋体" w:eastAsia="宋体" w:cs="宋体"/>
                <w:kern w:val="0"/>
                <w:sz w:val="24"/>
                <w:lang w:bidi="ar"/>
              </w:rPr>
            </w:pPr>
            <w:r>
              <w:rPr>
                <w:rFonts w:hint="eastAsia" w:ascii="宋体" w:hAnsi="宋体" w:eastAsia="宋体" w:cs="宋体"/>
                <w:kern w:val="0"/>
                <w:sz w:val="24"/>
                <w:lang w:bidi="ar"/>
              </w:rPr>
              <w:t>物联档案管理</w:t>
            </w:r>
          </w:p>
        </w:tc>
        <w:tc>
          <w:tcPr>
            <w:tcW w:w="2809" w:type="pct"/>
            <w:vAlign w:val="center"/>
          </w:tcPr>
          <w:p w14:paraId="40BAC68D">
            <w:pPr>
              <w:pStyle w:val="66"/>
              <w:rPr>
                <w:rFonts w:hint="eastAsia" w:ascii="宋体" w:hAnsi="宋体" w:eastAsia="宋体" w:cs="宋体"/>
                <w:kern w:val="0"/>
                <w:sz w:val="24"/>
              </w:rPr>
            </w:pPr>
            <w:r>
              <w:rPr>
                <w:rFonts w:hint="eastAsia" w:ascii="宋体" w:hAnsi="宋体" w:eastAsia="宋体" w:cs="宋体"/>
                <w:kern w:val="0"/>
                <w:sz w:val="24"/>
              </w:rPr>
              <w:t>基于应急原有视频平台，定制扩充物联接入能力，实现有限空间监测物联资源的统一档案化。</w:t>
            </w:r>
          </w:p>
        </w:tc>
        <w:tc>
          <w:tcPr>
            <w:tcW w:w="344" w:type="pct"/>
            <w:vAlign w:val="center"/>
          </w:tcPr>
          <w:p w14:paraId="1A301F12">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6EF6857E">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6532CADC">
            <w:pPr>
              <w:pStyle w:val="66"/>
              <w:rPr>
                <w:rFonts w:hint="eastAsia" w:ascii="宋体" w:hAnsi="宋体" w:eastAsia="宋体" w:cs="宋体"/>
                <w:kern w:val="0"/>
                <w:sz w:val="24"/>
              </w:rPr>
            </w:pPr>
          </w:p>
        </w:tc>
      </w:tr>
      <w:tr w14:paraId="42ED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B2BF4CC">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471" w:type="pct"/>
            <w:vMerge w:val="continue"/>
            <w:vAlign w:val="center"/>
          </w:tcPr>
          <w:p w14:paraId="57C11AEC">
            <w:pPr>
              <w:jc w:val="center"/>
              <w:rPr>
                <w:rFonts w:hint="eastAsia" w:ascii="宋体" w:hAnsi="宋体" w:eastAsia="宋体" w:cs="宋体"/>
                <w:kern w:val="0"/>
                <w:sz w:val="24"/>
                <w:szCs w:val="24"/>
                <w:lang w:bidi="ar"/>
              </w:rPr>
            </w:pPr>
          </w:p>
        </w:tc>
        <w:tc>
          <w:tcPr>
            <w:tcW w:w="544" w:type="pct"/>
            <w:vAlign w:val="center"/>
          </w:tcPr>
          <w:p w14:paraId="63B1E19F">
            <w:pPr>
              <w:pStyle w:val="66"/>
              <w:rPr>
                <w:rFonts w:hint="eastAsia" w:ascii="宋体" w:hAnsi="宋体" w:eastAsia="宋体" w:cs="宋体"/>
                <w:kern w:val="0"/>
                <w:sz w:val="24"/>
                <w:lang w:bidi="ar"/>
              </w:rPr>
            </w:pPr>
            <w:r>
              <w:rPr>
                <w:rFonts w:hint="eastAsia" w:ascii="宋体" w:hAnsi="宋体" w:eastAsia="宋体" w:cs="宋体"/>
                <w:kern w:val="0"/>
                <w:sz w:val="24"/>
                <w:lang w:bidi="ar"/>
              </w:rPr>
              <w:t>作业场所物联关联功能</w:t>
            </w:r>
          </w:p>
        </w:tc>
        <w:tc>
          <w:tcPr>
            <w:tcW w:w="2809" w:type="pct"/>
            <w:vAlign w:val="center"/>
          </w:tcPr>
          <w:p w14:paraId="2F40745B">
            <w:pPr>
              <w:pStyle w:val="66"/>
              <w:rPr>
                <w:rFonts w:hint="eastAsia" w:ascii="宋体" w:hAnsi="宋体" w:eastAsia="宋体" w:cs="宋体"/>
                <w:kern w:val="0"/>
                <w:sz w:val="24"/>
              </w:rPr>
            </w:pPr>
            <w:r>
              <w:rPr>
                <w:rFonts w:hint="eastAsia" w:ascii="宋体" w:hAnsi="宋体" w:eastAsia="宋体" w:cs="宋体"/>
                <w:kern w:val="0"/>
                <w:sz w:val="24"/>
              </w:rPr>
              <w:t>针对有限空间物联监测点位，与作业场所进行关联。</w:t>
            </w:r>
          </w:p>
        </w:tc>
        <w:tc>
          <w:tcPr>
            <w:tcW w:w="344" w:type="pct"/>
            <w:vAlign w:val="center"/>
          </w:tcPr>
          <w:p w14:paraId="4A0550D3">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7F8439CA">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5CADFD5F">
            <w:pPr>
              <w:pStyle w:val="66"/>
              <w:rPr>
                <w:rFonts w:hint="eastAsia" w:ascii="宋体" w:hAnsi="宋体" w:eastAsia="宋体" w:cs="宋体"/>
                <w:kern w:val="0"/>
                <w:sz w:val="24"/>
              </w:rPr>
            </w:pPr>
          </w:p>
        </w:tc>
      </w:tr>
      <w:tr w14:paraId="0E90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A3FDD1B">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471" w:type="pct"/>
            <w:vMerge w:val="continue"/>
            <w:vAlign w:val="center"/>
          </w:tcPr>
          <w:p w14:paraId="5BE4462F">
            <w:pPr>
              <w:jc w:val="center"/>
              <w:rPr>
                <w:rFonts w:hint="eastAsia" w:ascii="宋体" w:hAnsi="宋体" w:eastAsia="宋体" w:cs="宋体"/>
                <w:kern w:val="0"/>
                <w:sz w:val="24"/>
                <w:szCs w:val="24"/>
                <w:lang w:bidi="ar"/>
              </w:rPr>
            </w:pPr>
          </w:p>
        </w:tc>
        <w:tc>
          <w:tcPr>
            <w:tcW w:w="544" w:type="pct"/>
            <w:vAlign w:val="center"/>
          </w:tcPr>
          <w:p w14:paraId="10A0B21C">
            <w:pPr>
              <w:pStyle w:val="66"/>
              <w:rPr>
                <w:rFonts w:hint="eastAsia" w:ascii="宋体" w:hAnsi="宋体" w:eastAsia="宋体" w:cs="宋体"/>
                <w:kern w:val="0"/>
                <w:sz w:val="24"/>
                <w:lang w:bidi="ar"/>
              </w:rPr>
            </w:pPr>
            <w:r>
              <w:rPr>
                <w:rFonts w:hint="eastAsia" w:ascii="宋体" w:hAnsi="宋体" w:eastAsia="宋体" w:cs="宋体"/>
                <w:kern w:val="0"/>
                <w:sz w:val="24"/>
                <w:lang w:bidi="ar"/>
              </w:rPr>
              <w:t>智能分析任务启停功能</w:t>
            </w:r>
          </w:p>
        </w:tc>
        <w:tc>
          <w:tcPr>
            <w:tcW w:w="2809" w:type="pct"/>
            <w:vAlign w:val="center"/>
          </w:tcPr>
          <w:p w14:paraId="5BF9BB84">
            <w:pPr>
              <w:pStyle w:val="66"/>
              <w:rPr>
                <w:rFonts w:hint="eastAsia" w:ascii="宋体" w:hAnsi="宋体" w:eastAsia="宋体" w:cs="宋体"/>
                <w:kern w:val="0"/>
                <w:sz w:val="24"/>
              </w:rPr>
            </w:pPr>
            <w:r>
              <w:rPr>
                <w:rFonts w:hint="eastAsia" w:ascii="宋体" w:hAnsi="宋体" w:eastAsia="宋体" w:cs="宋体"/>
                <w:kern w:val="0"/>
                <w:sz w:val="24"/>
                <w:highlight w:val="none"/>
              </w:rPr>
              <w:t>与感知网智能分析任务数据互通，实</w:t>
            </w:r>
            <w:r>
              <w:rPr>
                <w:rFonts w:hint="eastAsia" w:ascii="宋体" w:hAnsi="宋体" w:eastAsia="宋体" w:cs="宋体"/>
                <w:kern w:val="0"/>
                <w:sz w:val="24"/>
              </w:rPr>
              <w:t>现预先配置的分析任务启停用功能，实现解析按需分析，减少感知网解析资源占用。</w:t>
            </w:r>
          </w:p>
        </w:tc>
        <w:tc>
          <w:tcPr>
            <w:tcW w:w="344" w:type="pct"/>
            <w:vAlign w:val="center"/>
          </w:tcPr>
          <w:p w14:paraId="006DA8F2">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118E510D">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60662C05">
            <w:pPr>
              <w:pStyle w:val="66"/>
              <w:rPr>
                <w:rFonts w:hint="eastAsia" w:ascii="宋体" w:hAnsi="宋体" w:eastAsia="宋体" w:cs="宋体"/>
                <w:kern w:val="0"/>
                <w:sz w:val="24"/>
              </w:rPr>
            </w:pPr>
          </w:p>
        </w:tc>
      </w:tr>
      <w:tr w14:paraId="3271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6D87B298">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471" w:type="pct"/>
            <w:vMerge w:val="continue"/>
            <w:vAlign w:val="center"/>
          </w:tcPr>
          <w:p w14:paraId="526351F2">
            <w:pPr>
              <w:jc w:val="center"/>
              <w:rPr>
                <w:rFonts w:hint="eastAsia" w:ascii="宋体" w:hAnsi="宋体" w:eastAsia="宋体" w:cs="宋体"/>
                <w:kern w:val="0"/>
                <w:sz w:val="24"/>
                <w:szCs w:val="24"/>
                <w:lang w:bidi="ar"/>
              </w:rPr>
            </w:pPr>
          </w:p>
        </w:tc>
        <w:tc>
          <w:tcPr>
            <w:tcW w:w="544" w:type="pct"/>
            <w:vAlign w:val="center"/>
          </w:tcPr>
          <w:p w14:paraId="506B85C6">
            <w:pPr>
              <w:pStyle w:val="66"/>
              <w:rPr>
                <w:rFonts w:hint="eastAsia" w:ascii="宋体" w:hAnsi="宋体" w:eastAsia="宋体" w:cs="宋体"/>
                <w:kern w:val="0"/>
                <w:sz w:val="24"/>
                <w:lang w:bidi="ar"/>
              </w:rPr>
            </w:pPr>
            <w:r>
              <w:rPr>
                <w:rFonts w:hint="eastAsia" w:ascii="宋体" w:hAnsi="宋体" w:eastAsia="宋体" w:cs="宋体"/>
                <w:kern w:val="0"/>
                <w:sz w:val="24"/>
                <w:lang w:bidi="ar"/>
              </w:rPr>
              <w:t>数据接入</w:t>
            </w:r>
          </w:p>
        </w:tc>
        <w:tc>
          <w:tcPr>
            <w:tcW w:w="2809" w:type="pct"/>
            <w:vAlign w:val="center"/>
          </w:tcPr>
          <w:p w14:paraId="64BD2BBA">
            <w:pPr>
              <w:pStyle w:val="66"/>
              <w:rPr>
                <w:rFonts w:hint="eastAsia" w:ascii="宋体" w:hAnsi="宋体" w:eastAsia="宋体" w:cs="宋体"/>
                <w:kern w:val="0"/>
                <w:sz w:val="24"/>
              </w:rPr>
            </w:pPr>
            <w:r>
              <w:rPr>
                <w:rFonts w:hint="eastAsia" w:ascii="宋体" w:hAnsi="宋体" w:eastAsia="宋体" w:cs="宋体"/>
                <w:kern w:val="0"/>
                <w:sz w:val="24"/>
              </w:rPr>
              <w:t>接收有限空间作业报备数据、监管企业档案、作业场所档案、物联监测数据，以及感知网智能解析后的实时监测数据，进行数据的统一标准化，提供预警模型所需的标准数据。</w:t>
            </w:r>
          </w:p>
        </w:tc>
        <w:tc>
          <w:tcPr>
            <w:tcW w:w="344" w:type="pct"/>
            <w:vAlign w:val="center"/>
          </w:tcPr>
          <w:p w14:paraId="6B7BE9E7">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6B2279A2">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17E06AC1">
            <w:pPr>
              <w:pStyle w:val="66"/>
              <w:rPr>
                <w:rFonts w:hint="eastAsia" w:ascii="宋体" w:hAnsi="宋体" w:eastAsia="宋体" w:cs="宋体"/>
                <w:kern w:val="0"/>
                <w:sz w:val="24"/>
              </w:rPr>
            </w:pPr>
          </w:p>
        </w:tc>
      </w:tr>
      <w:tr w14:paraId="0B0A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FA9D93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471" w:type="pct"/>
            <w:vMerge w:val="continue"/>
            <w:vAlign w:val="center"/>
          </w:tcPr>
          <w:p w14:paraId="24F84B07">
            <w:pPr>
              <w:jc w:val="center"/>
              <w:rPr>
                <w:rFonts w:hint="eastAsia" w:ascii="宋体" w:hAnsi="宋体" w:eastAsia="宋体" w:cs="宋体"/>
                <w:kern w:val="0"/>
                <w:sz w:val="24"/>
                <w:szCs w:val="24"/>
                <w:lang w:bidi="ar"/>
              </w:rPr>
            </w:pPr>
          </w:p>
        </w:tc>
        <w:tc>
          <w:tcPr>
            <w:tcW w:w="544" w:type="pct"/>
            <w:vAlign w:val="center"/>
          </w:tcPr>
          <w:p w14:paraId="15BC85D4">
            <w:pPr>
              <w:pStyle w:val="66"/>
              <w:rPr>
                <w:rFonts w:hint="eastAsia" w:ascii="宋体" w:hAnsi="宋体" w:eastAsia="宋体" w:cs="宋体"/>
                <w:kern w:val="0"/>
                <w:sz w:val="24"/>
                <w:lang w:bidi="ar"/>
              </w:rPr>
            </w:pPr>
            <w:r>
              <w:rPr>
                <w:rFonts w:hint="eastAsia" w:ascii="宋体" w:hAnsi="宋体" w:eastAsia="宋体" w:cs="宋体"/>
                <w:kern w:val="0"/>
                <w:sz w:val="24"/>
                <w:lang w:bidi="ar"/>
              </w:rPr>
              <w:t>智能预警广场</w:t>
            </w:r>
          </w:p>
        </w:tc>
        <w:tc>
          <w:tcPr>
            <w:tcW w:w="2809" w:type="pct"/>
            <w:vAlign w:val="center"/>
          </w:tcPr>
          <w:p w14:paraId="1B96A873">
            <w:pPr>
              <w:pStyle w:val="66"/>
              <w:rPr>
                <w:rFonts w:hint="eastAsia" w:ascii="宋体" w:hAnsi="宋体" w:eastAsia="宋体" w:cs="宋体"/>
                <w:kern w:val="0"/>
                <w:sz w:val="24"/>
              </w:rPr>
            </w:pPr>
            <w:r>
              <w:rPr>
                <w:rFonts w:hint="eastAsia" w:ascii="宋体" w:hAnsi="宋体" w:eastAsia="宋体" w:cs="宋体"/>
                <w:kern w:val="0"/>
                <w:sz w:val="24"/>
              </w:rPr>
              <w:t>支持预警的统一归档展示，支持多条件组合搜索；支持单个预警明细展示，可查看预警的详细信息，包括预警画面、预警来源、预警内容等。</w:t>
            </w:r>
          </w:p>
        </w:tc>
        <w:tc>
          <w:tcPr>
            <w:tcW w:w="344" w:type="pct"/>
            <w:vAlign w:val="center"/>
          </w:tcPr>
          <w:p w14:paraId="0EB576EA">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2347C394">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5D470829">
            <w:pPr>
              <w:pStyle w:val="66"/>
              <w:rPr>
                <w:rFonts w:hint="eastAsia" w:ascii="宋体" w:hAnsi="宋体" w:eastAsia="宋体" w:cs="宋体"/>
                <w:kern w:val="0"/>
                <w:sz w:val="24"/>
              </w:rPr>
            </w:pPr>
          </w:p>
        </w:tc>
      </w:tr>
      <w:tr w14:paraId="15F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352845C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w:t>
            </w:r>
          </w:p>
        </w:tc>
        <w:tc>
          <w:tcPr>
            <w:tcW w:w="471" w:type="pct"/>
            <w:vMerge w:val="restart"/>
            <w:vAlign w:val="center"/>
          </w:tcPr>
          <w:p w14:paraId="714B802C">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监测预警模型</w:t>
            </w:r>
          </w:p>
        </w:tc>
        <w:tc>
          <w:tcPr>
            <w:tcW w:w="544" w:type="pct"/>
            <w:vAlign w:val="center"/>
          </w:tcPr>
          <w:p w14:paraId="1FB38879">
            <w:pPr>
              <w:pStyle w:val="66"/>
              <w:rPr>
                <w:rFonts w:hint="eastAsia" w:ascii="宋体" w:hAnsi="宋体" w:eastAsia="宋体" w:cs="宋体"/>
                <w:kern w:val="0"/>
                <w:sz w:val="24"/>
                <w:lang w:bidi="ar"/>
              </w:rPr>
            </w:pPr>
            <w:r>
              <w:rPr>
                <w:rFonts w:hint="eastAsia" w:ascii="宋体" w:hAnsi="宋体" w:eastAsia="宋体" w:cs="宋体"/>
                <w:kern w:val="0"/>
                <w:sz w:val="24"/>
                <w:lang w:bidi="ar"/>
              </w:rPr>
              <w:t>作业区超过报备人数预警模型</w:t>
            </w:r>
          </w:p>
        </w:tc>
        <w:tc>
          <w:tcPr>
            <w:tcW w:w="2809" w:type="pct"/>
            <w:vAlign w:val="center"/>
          </w:tcPr>
          <w:p w14:paraId="3EF8AB9F">
            <w:pPr>
              <w:pStyle w:val="66"/>
              <w:rPr>
                <w:rFonts w:hint="eastAsia" w:ascii="宋体" w:hAnsi="宋体" w:eastAsia="宋体" w:cs="宋体"/>
                <w:kern w:val="0"/>
                <w:sz w:val="24"/>
              </w:rPr>
            </w:pPr>
            <w:r>
              <w:rPr>
                <w:rFonts w:hint="eastAsia" w:ascii="宋体" w:hAnsi="宋体" w:eastAsia="宋体" w:cs="宋体"/>
                <w:kern w:val="0"/>
                <w:sz w:val="24"/>
              </w:rPr>
              <w:t>实时接收感知网算智能分析结果，比对作业报备时申报作业人数，作业开始时，实时监测作业区作业人数，超限产生预警；包含数据</w:t>
            </w:r>
            <w:r>
              <w:rPr>
                <w:rFonts w:hint="eastAsia" w:ascii="宋体" w:hAnsi="宋体" w:eastAsia="宋体" w:cs="宋体"/>
                <w:kern w:val="0"/>
                <w:sz w:val="24"/>
                <w:lang w:val="en-US" w:eastAsia="zh-CN"/>
              </w:rPr>
              <w:t>互通</w:t>
            </w:r>
            <w:r>
              <w:rPr>
                <w:rFonts w:hint="eastAsia" w:ascii="宋体" w:hAnsi="宋体" w:eastAsia="宋体" w:cs="宋体"/>
                <w:kern w:val="0"/>
                <w:sz w:val="24"/>
              </w:rPr>
              <w:t>，模型设计及实现，运行调优。</w:t>
            </w:r>
          </w:p>
        </w:tc>
        <w:tc>
          <w:tcPr>
            <w:tcW w:w="344" w:type="pct"/>
            <w:vAlign w:val="center"/>
          </w:tcPr>
          <w:p w14:paraId="6B9B0B5D">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2FF424AF">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6527E28A">
            <w:pPr>
              <w:pStyle w:val="66"/>
              <w:rPr>
                <w:rFonts w:hint="eastAsia" w:ascii="宋体" w:hAnsi="宋体" w:eastAsia="宋体" w:cs="宋体"/>
                <w:kern w:val="0"/>
                <w:sz w:val="24"/>
              </w:rPr>
            </w:pPr>
          </w:p>
        </w:tc>
      </w:tr>
      <w:tr w14:paraId="66C7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2D35BC87">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471" w:type="pct"/>
            <w:vMerge w:val="continue"/>
            <w:vAlign w:val="center"/>
          </w:tcPr>
          <w:p w14:paraId="338ED893">
            <w:pPr>
              <w:jc w:val="center"/>
              <w:rPr>
                <w:rFonts w:hint="eastAsia" w:ascii="宋体" w:hAnsi="宋体" w:eastAsia="宋体" w:cs="宋体"/>
                <w:kern w:val="0"/>
                <w:sz w:val="24"/>
                <w:szCs w:val="24"/>
                <w:lang w:bidi="ar"/>
              </w:rPr>
            </w:pPr>
          </w:p>
        </w:tc>
        <w:tc>
          <w:tcPr>
            <w:tcW w:w="544" w:type="pct"/>
            <w:vAlign w:val="center"/>
          </w:tcPr>
          <w:p w14:paraId="205B1EBD">
            <w:pPr>
              <w:pStyle w:val="66"/>
              <w:rPr>
                <w:rFonts w:hint="eastAsia" w:ascii="宋体" w:hAnsi="宋体" w:eastAsia="宋体" w:cs="宋体"/>
                <w:kern w:val="0"/>
                <w:sz w:val="24"/>
                <w:lang w:bidi="ar"/>
              </w:rPr>
            </w:pPr>
            <w:r>
              <w:rPr>
                <w:rFonts w:hint="eastAsia" w:ascii="宋体" w:hAnsi="宋体" w:eastAsia="宋体" w:cs="宋体"/>
                <w:kern w:val="0"/>
                <w:sz w:val="24"/>
                <w:lang w:bidi="ar"/>
              </w:rPr>
              <w:t>监护人员离岗预警模型</w:t>
            </w:r>
          </w:p>
        </w:tc>
        <w:tc>
          <w:tcPr>
            <w:tcW w:w="2809" w:type="pct"/>
            <w:vAlign w:val="center"/>
          </w:tcPr>
          <w:p w14:paraId="16417BD9">
            <w:pPr>
              <w:pStyle w:val="66"/>
              <w:rPr>
                <w:rFonts w:hint="eastAsia" w:ascii="宋体" w:hAnsi="宋体" w:eastAsia="宋体" w:cs="宋体"/>
                <w:kern w:val="0"/>
                <w:sz w:val="24"/>
              </w:rPr>
            </w:pPr>
            <w:r>
              <w:rPr>
                <w:rFonts w:hint="eastAsia" w:ascii="宋体" w:hAnsi="宋体" w:eastAsia="宋体" w:cs="宋体"/>
                <w:kern w:val="0"/>
                <w:sz w:val="24"/>
              </w:rPr>
              <w:t>有限空间作业时，实时监测作业场所里作业区和监管区人数，如存在作业时监护人员离岗情况，产生预警；包含数据</w:t>
            </w:r>
            <w:r>
              <w:rPr>
                <w:rFonts w:hint="eastAsia" w:ascii="宋体" w:hAnsi="宋体" w:eastAsia="宋体" w:cs="宋体"/>
                <w:kern w:val="0"/>
                <w:sz w:val="24"/>
                <w:lang w:val="en-US" w:eastAsia="zh-CN"/>
              </w:rPr>
              <w:t>互通</w:t>
            </w:r>
            <w:r>
              <w:rPr>
                <w:rFonts w:hint="eastAsia" w:ascii="宋体" w:hAnsi="宋体" w:eastAsia="宋体" w:cs="宋体"/>
                <w:kern w:val="0"/>
                <w:sz w:val="24"/>
              </w:rPr>
              <w:t>，模型设计及实现，运行调优。</w:t>
            </w:r>
          </w:p>
        </w:tc>
        <w:tc>
          <w:tcPr>
            <w:tcW w:w="344" w:type="pct"/>
            <w:vAlign w:val="center"/>
          </w:tcPr>
          <w:p w14:paraId="0961BFCB">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5CC218F4">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68059A07">
            <w:pPr>
              <w:pStyle w:val="66"/>
              <w:rPr>
                <w:rFonts w:hint="eastAsia" w:ascii="宋体" w:hAnsi="宋体" w:eastAsia="宋体" w:cs="宋体"/>
                <w:kern w:val="0"/>
                <w:sz w:val="24"/>
              </w:rPr>
            </w:pPr>
          </w:p>
        </w:tc>
      </w:tr>
      <w:tr w14:paraId="1DFB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6C4BE733">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471" w:type="pct"/>
            <w:vMerge w:val="continue"/>
            <w:vAlign w:val="center"/>
          </w:tcPr>
          <w:p w14:paraId="4AD5A0C9">
            <w:pPr>
              <w:jc w:val="center"/>
              <w:rPr>
                <w:rFonts w:hint="eastAsia" w:ascii="宋体" w:hAnsi="宋体" w:eastAsia="宋体" w:cs="宋体"/>
                <w:kern w:val="0"/>
                <w:sz w:val="24"/>
                <w:szCs w:val="24"/>
                <w:lang w:bidi="ar"/>
              </w:rPr>
            </w:pPr>
          </w:p>
        </w:tc>
        <w:tc>
          <w:tcPr>
            <w:tcW w:w="544" w:type="pct"/>
            <w:vAlign w:val="center"/>
          </w:tcPr>
          <w:p w14:paraId="5633CD55">
            <w:pPr>
              <w:pStyle w:val="66"/>
              <w:rPr>
                <w:rFonts w:hint="eastAsia" w:ascii="宋体" w:hAnsi="宋体" w:eastAsia="宋体" w:cs="宋体"/>
                <w:kern w:val="0"/>
                <w:sz w:val="24"/>
                <w:lang w:bidi="ar"/>
              </w:rPr>
            </w:pPr>
            <w:r>
              <w:rPr>
                <w:rFonts w:hint="eastAsia" w:ascii="宋体" w:hAnsi="宋体" w:eastAsia="宋体" w:cs="宋体"/>
                <w:kern w:val="0"/>
                <w:sz w:val="24"/>
                <w:lang w:bidi="ar"/>
              </w:rPr>
              <w:t>未报备作业预警模型</w:t>
            </w:r>
          </w:p>
        </w:tc>
        <w:tc>
          <w:tcPr>
            <w:tcW w:w="2809" w:type="pct"/>
            <w:vAlign w:val="center"/>
          </w:tcPr>
          <w:p w14:paraId="056B55A2">
            <w:pPr>
              <w:pStyle w:val="66"/>
              <w:rPr>
                <w:rFonts w:hint="eastAsia" w:ascii="宋体" w:hAnsi="宋体" w:eastAsia="宋体" w:cs="宋体"/>
                <w:kern w:val="0"/>
                <w:sz w:val="24"/>
              </w:rPr>
            </w:pPr>
            <w:r>
              <w:rPr>
                <w:rFonts w:hint="eastAsia" w:ascii="宋体" w:hAnsi="宋体" w:eastAsia="宋体" w:cs="宋体"/>
                <w:kern w:val="0"/>
                <w:sz w:val="24"/>
              </w:rPr>
              <w:t>实时监测有限空间作业场所作业情况，如企业作业时，存在未进行作业报备的情况，产生预警；包含数据</w:t>
            </w:r>
            <w:r>
              <w:rPr>
                <w:rFonts w:hint="eastAsia" w:ascii="宋体" w:hAnsi="宋体" w:eastAsia="宋体" w:cs="宋体"/>
                <w:kern w:val="0"/>
                <w:sz w:val="24"/>
                <w:lang w:val="en-US" w:eastAsia="zh-CN"/>
              </w:rPr>
              <w:t>互通</w:t>
            </w:r>
            <w:r>
              <w:rPr>
                <w:rFonts w:hint="eastAsia" w:ascii="宋体" w:hAnsi="宋体" w:eastAsia="宋体" w:cs="宋体"/>
                <w:kern w:val="0"/>
                <w:sz w:val="24"/>
              </w:rPr>
              <w:t>，模型设计及实现，运行调优。</w:t>
            </w:r>
          </w:p>
        </w:tc>
        <w:tc>
          <w:tcPr>
            <w:tcW w:w="344" w:type="pct"/>
            <w:vAlign w:val="center"/>
          </w:tcPr>
          <w:p w14:paraId="1E0C3DDB">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26B4F766">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71C6B38A">
            <w:pPr>
              <w:pStyle w:val="66"/>
              <w:rPr>
                <w:rFonts w:hint="eastAsia" w:ascii="宋体" w:hAnsi="宋体" w:eastAsia="宋体" w:cs="宋体"/>
                <w:kern w:val="0"/>
                <w:sz w:val="24"/>
              </w:rPr>
            </w:pPr>
          </w:p>
        </w:tc>
      </w:tr>
      <w:tr w14:paraId="0AEA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04201862">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471" w:type="pct"/>
            <w:vMerge w:val="continue"/>
            <w:vAlign w:val="center"/>
          </w:tcPr>
          <w:p w14:paraId="4B86214D">
            <w:pPr>
              <w:jc w:val="center"/>
              <w:rPr>
                <w:rFonts w:hint="eastAsia" w:ascii="宋体" w:hAnsi="宋体" w:eastAsia="宋体" w:cs="宋体"/>
                <w:kern w:val="0"/>
                <w:sz w:val="24"/>
                <w:szCs w:val="24"/>
                <w:lang w:bidi="ar"/>
              </w:rPr>
            </w:pPr>
          </w:p>
        </w:tc>
        <w:tc>
          <w:tcPr>
            <w:tcW w:w="544" w:type="pct"/>
            <w:vAlign w:val="center"/>
          </w:tcPr>
          <w:p w14:paraId="50B4756D">
            <w:pPr>
              <w:pStyle w:val="66"/>
              <w:rPr>
                <w:rFonts w:hint="eastAsia" w:ascii="宋体" w:hAnsi="宋体" w:eastAsia="宋体" w:cs="宋体"/>
                <w:kern w:val="0"/>
                <w:sz w:val="24"/>
                <w:lang w:bidi="ar"/>
              </w:rPr>
            </w:pPr>
            <w:r>
              <w:rPr>
                <w:rFonts w:hint="eastAsia" w:ascii="宋体" w:hAnsi="宋体" w:eastAsia="宋体" w:cs="宋体"/>
                <w:kern w:val="0"/>
                <w:sz w:val="24"/>
                <w:lang w:bidi="ar"/>
              </w:rPr>
              <w:t>人员闯入预警模型</w:t>
            </w:r>
          </w:p>
        </w:tc>
        <w:tc>
          <w:tcPr>
            <w:tcW w:w="2809" w:type="pct"/>
            <w:vAlign w:val="center"/>
          </w:tcPr>
          <w:p w14:paraId="0951AD16">
            <w:pPr>
              <w:pStyle w:val="66"/>
              <w:rPr>
                <w:rFonts w:hint="eastAsia" w:ascii="宋体" w:hAnsi="宋体" w:eastAsia="宋体" w:cs="宋体"/>
                <w:kern w:val="0"/>
                <w:sz w:val="24"/>
              </w:rPr>
            </w:pPr>
            <w:r>
              <w:rPr>
                <w:rFonts w:hint="eastAsia" w:ascii="宋体" w:hAnsi="宋体" w:eastAsia="宋体" w:cs="宋体"/>
                <w:kern w:val="0"/>
                <w:sz w:val="24"/>
              </w:rPr>
              <w:t>实时监测有限空间作业场所情况，针对存在非作业期间，人员闯入的风险隐患，进行预警；包含数据</w:t>
            </w:r>
            <w:r>
              <w:rPr>
                <w:rFonts w:hint="eastAsia" w:ascii="宋体" w:hAnsi="宋体" w:eastAsia="宋体" w:cs="宋体"/>
                <w:kern w:val="0"/>
                <w:sz w:val="24"/>
                <w:lang w:val="en-US" w:eastAsia="zh-CN"/>
              </w:rPr>
              <w:t>互通</w:t>
            </w:r>
            <w:r>
              <w:rPr>
                <w:rFonts w:hint="eastAsia" w:ascii="宋体" w:hAnsi="宋体" w:eastAsia="宋体" w:cs="宋体"/>
                <w:kern w:val="0"/>
                <w:sz w:val="24"/>
              </w:rPr>
              <w:t>，模型设计及实现，运行调优。</w:t>
            </w:r>
          </w:p>
        </w:tc>
        <w:tc>
          <w:tcPr>
            <w:tcW w:w="344" w:type="pct"/>
            <w:vAlign w:val="center"/>
          </w:tcPr>
          <w:p w14:paraId="5115518B">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0B0AA0A3">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6E30BDD0">
            <w:pPr>
              <w:pStyle w:val="66"/>
              <w:rPr>
                <w:rFonts w:hint="eastAsia" w:ascii="宋体" w:hAnsi="宋体" w:eastAsia="宋体" w:cs="宋体"/>
                <w:kern w:val="0"/>
                <w:sz w:val="24"/>
              </w:rPr>
            </w:pPr>
          </w:p>
        </w:tc>
      </w:tr>
      <w:tr w14:paraId="0D5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2A82F8D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17</w:t>
            </w:r>
          </w:p>
        </w:tc>
        <w:tc>
          <w:tcPr>
            <w:tcW w:w="471" w:type="pct"/>
            <w:vMerge w:val="continue"/>
            <w:vAlign w:val="center"/>
          </w:tcPr>
          <w:p w14:paraId="2F84F905">
            <w:pPr>
              <w:jc w:val="center"/>
              <w:rPr>
                <w:rFonts w:hint="eastAsia" w:ascii="宋体" w:hAnsi="宋体" w:eastAsia="宋体" w:cs="宋体"/>
                <w:kern w:val="0"/>
                <w:sz w:val="24"/>
                <w:szCs w:val="24"/>
                <w:lang w:bidi="ar"/>
              </w:rPr>
            </w:pPr>
          </w:p>
        </w:tc>
        <w:tc>
          <w:tcPr>
            <w:tcW w:w="544" w:type="pct"/>
            <w:vAlign w:val="center"/>
          </w:tcPr>
          <w:p w14:paraId="694E059B">
            <w:pPr>
              <w:pStyle w:val="66"/>
              <w:rPr>
                <w:rFonts w:hint="eastAsia" w:ascii="宋体" w:hAnsi="宋体" w:eastAsia="宋体" w:cs="宋体"/>
                <w:kern w:val="0"/>
                <w:sz w:val="24"/>
                <w:lang w:bidi="ar"/>
              </w:rPr>
            </w:pPr>
            <w:r>
              <w:rPr>
                <w:rFonts w:hint="eastAsia" w:ascii="宋体" w:hAnsi="宋体" w:eastAsia="宋体" w:cs="宋体"/>
                <w:kern w:val="0"/>
                <w:sz w:val="24"/>
                <w:lang w:bidi="ar"/>
              </w:rPr>
              <w:t>设备异常预警模型</w:t>
            </w:r>
          </w:p>
        </w:tc>
        <w:tc>
          <w:tcPr>
            <w:tcW w:w="2809" w:type="pct"/>
            <w:vAlign w:val="center"/>
          </w:tcPr>
          <w:p w14:paraId="7239CE0C">
            <w:pPr>
              <w:pStyle w:val="66"/>
              <w:rPr>
                <w:rFonts w:hint="eastAsia" w:ascii="宋体" w:hAnsi="宋体" w:eastAsia="宋体" w:cs="宋体"/>
                <w:kern w:val="0"/>
                <w:sz w:val="24"/>
              </w:rPr>
            </w:pPr>
            <w:r>
              <w:rPr>
                <w:rFonts w:hint="eastAsia" w:ascii="宋体" w:hAnsi="宋体" w:eastAsia="宋体" w:cs="宋体"/>
                <w:kern w:val="0"/>
                <w:sz w:val="24"/>
              </w:rPr>
              <w:t>检测有限空间物联监测设备的运行情况，当设备产生异常时，产生预警。</w:t>
            </w:r>
          </w:p>
        </w:tc>
        <w:tc>
          <w:tcPr>
            <w:tcW w:w="344" w:type="pct"/>
            <w:vAlign w:val="center"/>
          </w:tcPr>
          <w:p w14:paraId="517A6973">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702EB597">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6A132045">
            <w:pPr>
              <w:pStyle w:val="66"/>
              <w:rPr>
                <w:rFonts w:hint="eastAsia" w:ascii="宋体" w:hAnsi="宋体" w:eastAsia="宋体" w:cs="宋体"/>
                <w:kern w:val="0"/>
                <w:sz w:val="24"/>
              </w:rPr>
            </w:pPr>
          </w:p>
        </w:tc>
      </w:tr>
      <w:tr w14:paraId="07F9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F6B2876">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471" w:type="pct"/>
            <w:vMerge w:val="restart"/>
            <w:vAlign w:val="center"/>
          </w:tcPr>
          <w:p w14:paraId="4C6CD733">
            <w:pPr>
              <w:jc w:val="center"/>
              <w:rPr>
                <w:rFonts w:hint="eastAsia" w:ascii="宋体" w:hAnsi="宋体" w:eastAsia="宋体" w:cs="宋体"/>
                <w:kern w:val="0"/>
                <w:sz w:val="24"/>
                <w:szCs w:val="24"/>
                <w:lang w:bidi="ar"/>
              </w:rPr>
            </w:pPr>
            <w:r>
              <w:rPr>
                <w:rFonts w:hint="eastAsia" w:ascii="宋体" w:hAnsi="宋体" w:eastAsia="宋体" w:cs="宋体"/>
                <w:kern w:val="0"/>
                <w:sz w:val="24"/>
                <w:szCs w:val="24"/>
              </w:rPr>
              <w:t>智能预警广播</w:t>
            </w:r>
          </w:p>
        </w:tc>
        <w:tc>
          <w:tcPr>
            <w:tcW w:w="544" w:type="pct"/>
            <w:vAlign w:val="center"/>
          </w:tcPr>
          <w:p w14:paraId="7A99B0B3">
            <w:pPr>
              <w:pStyle w:val="66"/>
              <w:rPr>
                <w:rFonts w:hint="eastAsia" w:ascii="宋体" w:hAnsi="宋体" w:eastAsia="宋体" w:cs="宋体"/>
                <w:kern w:val="0"/>
                <w:sz w:val="24"/>
                <w:lang w:bidi="ar"/>
              </w:rPr>
            </w:pPr>
            <w:r>
              <w:rPr>
                <w:rFonts w:hint="eastAsia" w:ascii="宋体" w:hAnsi="宋体" w:eastAsia="宋体" w:cs="宋体"/>
                <w:kern w:val="0"/>
                <w:sz w:val="24"/>
                <w:lang w:bidi="ar"/>
              </w:rPr>
              <w:t>广播联网接入</w:t>
            </w:r>
          </w:p>
        </w:tc>
        <w:tc>
          <w:tcPr>
            <w:tcW w:w="2809" w:type="pct"/>
            <w:vAlign w:val="center"/>
          </w:tcPr>
          <w:p w14:paraId="61ADD9C8">
            <w:pPr>
              <w:pStyle w:val="66"/>
              <w:rPr>
                <w:rFonts w:hint="eastAsia" w:ascii="宋体" w:hAnsi="宋体" w:eastAsia="宋体" w:cs="宋体"/>
                <w:kern w:val="0"/>
                <w:sz w:val="24"/>
              </w:rPr>
            </w:pPr>
            <w:r>
              <w:rPr>
                <w:rFonts w:hint="eastAsia" w:ascii="宋体" w:hAnsi="宋体" w:eastAsia="宋体" w:cs="宋体"/>
                <w:kern w:val="0"/>
                <w:sz w:val="24"/>
              </w:rPr>
              <w:t>基于视频国标协议扩展，共享感知网汇聚的有限空间音频资源，实现有限空间物联音柱资源的接入。</w:t>
            </w:r>
          </w:p>
        </w:tc>
        <w:tc>
          <w:tcPr>
            <w:tcW w:w="344" w:type="pct"/>
            <w:vAlign w:val="center"/>
          </w:tcPr>
          <w:p w14:paraId="570E4E47">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5A4848D6">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3D176A90">
            <w:pPr>
              <w:pStyle w:val="66"/>
              <w:rPr>
                <w:rFonts w:hint="eastAsia" w:ascii="宋体" w:hAnsi="宋体" w:eastAsia="宋体" w:cs="宋体"/>
                <w:kern w:val="0"/>
                <w:sz w:val="24"/>
              </w:rPr>
            </w:pPr>
          </w:p>
        </w:tc>
      </w:tr>
      <w:tr w14:paraId="0C92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6B641664">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w:t>
            </w:r>
          </w:p>
        </w:tc>
        <w:tc>
          <w:tcPr>
            <w:tcW w:w="471" w:type="pct"/>
            <w:vMerge w:val="continue"/>
            <w:vAlign w:val="center"/>
          </w:tcPr>
          <w:p w14:paraId="0C5E171C">
            <w:pPr>
              <w:jc w:val="center"/>
              <w:rPr>
                <w:rFonts w:hint="eastAsia" w:ascii="宋体" w:hAnsi="宋体" w:eastAsia="宋体" w:cs="宋体"/>
                <w:kern w:val="0"/>
                <w:sz w:val="24"/>
                <w:szCs w:val="24"/>
                <w:lang w:bidi="ar"/>
              </w:rPr>
            </w:pPr>
          </w:p>
        </w:tc>
        <w:tc>
          <w:tcPr>
            <w:tcW w:w="544" w:type="pct"/>
            <w:vAlign w:val="center"/>
          </w:tcPr>
          <w:p w14:paraId="6B65D803">
            <w:pPr>
              <w:pStyle w:val="66"/>
              <w:rPr>
                <w:rFonts w:hint="eastAsia" w:ascii="宋体" w:hAnsi="宋体" w:eastAsia="宋体" w:cs="宋体"/>
                <w:kern w:val="0"/>
                <w:sz w:val="24"/>
                <w:lang w:bidi="ar"/>
              </w:rPr>
            </w:pPr>
            <w:r>
              <w:rPr>
                <w:rFonts w:hint="eastAsia" w:ascii="宋体" w:hAnsi="宋体" w:eastAsia="宋体" w:cs="宋体"/>
                <w:kern w:val="0"/>
                <w:sz w:val="24"/>
                <w:lang w:bidi="ar"/>
              </w:rPr>
              <w:t>分区广播</w:t>
            </w:r>
          </w:p>
        </w:tc>
        <w:tc>
          <w:tcPr>
            <w:tcW w:w="2809" w:type="pct"/>
            <w:vAlign w:val="center"/>
          </w:tcPr>
          <w:p w14:paraId="78BCB621">
            <w:pPr>
              <w:pStyle w:val="66"/>
              <w:rPr>
                <w:rFonts w:hint="eastAsia" w:ascii="宋体" w:hAnsi="宋体" w:eastAsia="宋体" w:cs="宋体"/>
                <w:kern w:val="0"/>
                <w:sz w:val="24"/>
              </w:rPr>
            </w:pPr>
            <w:r>
              <w:rPr>
                <w:rFonts w:hint="eastAsia" w:ascii="宋体" w:hAnsi="宋体" w:eastAsia="宋体" w:cs="宋体"/>
                <w:kern w:val="0"/>
                <w:sz w:val="24"/>
              </w:rPr>
              <w:t>支持广播点分组管理，实现单监管区域下，多个广播音柱播报同一内容。</w:t>
            </w:r>
          </w:p>
        </w:tc>
        <w:tc>
          <w:tcPr>
            <w:tcW w:w="344" w:type="pct"/>
            <w:vAlign w:val="center"/>
          </w:tcPr>
          <w:p w14:paraId="486B7A81">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404381C4">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1D56B971">
            <w:pPr>
              <w:pStyle w:val="66"/>
              <w:rPr>
                <w:rFonts w:hint="eastAsia" w:ascii="宋体" w:hAnsi="宋体" w:eastAsia="宋体" w:cs="宋体"/>
                <w:kern w:val="0"/>
                <w:sz w:val="24"/>
              </w:rPr>
            </w:pPr>
          </w:p>
        </w:tc>
      </w:tr>
      <w:tr w14:paraId="7118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32DC8D4D">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471" w:type="pct"/>
            <w:vMerge w:val="continue"/>
            <w:vAlign w:val="center"/>
          </w:tcPr>
          <w:p w14:paraId="609FEEC5">
            <w:pPr>
              <w:jc w:val="center"/>
              <w:rPr>
                <w:rFonts w:hint="eastAsia" w:ascii="宋体" w:hAnsi="宋体" w:eastAsia="宋体" w:cs="宋体"/>
                <w:kern w:val="0"/>
                <w:sz w:val="24"/>
                <w:szCs w:val="24"/>
                <w:lang w:bidi="ar"/>
              </w:rPr>
            </w:pPr>
          </w:p>
        </w:tc>
        <w:tc>
          <w:tcPr>
            <w:tcW w:w="544" w:type="pct"/>
            <w:vAlign w:val="center"/>
          </w:tcPr>
          <w:p w14:paraId="785A9899">
            <w:pPr>
              <w:pStyle w:val="66"/>
              <w:rPr>
                <w:rFonts w:hint="eastAsia" w:ascii="宋体" w:hAnsi="宋体" w:eastAsia="宋体" w:cs="宋体"/>
                <w:kern w:val="0"/>
                <w:sz w:val="24"/>
                <w:lang w:bidi="ar"/>
              </w:rPr>
            </w:pPr>
            <w:r>
              <w:rPr>
                <w:rFonts w:hint="eastAsia" w:ascii="宋体" w:hAnsi="宋体" w:eastAsia="宋体" w:cs="宋体"/>
                <w:kern w:val="0"/>
                <w:sz w:val="24"/>
                <w:lang w:bidi="ar"/>
              </w:rPr>
              <w:t>实时广播</w:t>
            </w:r>
          </w:p>
        </w:tc>
        <w:tc>
          <w:tcPr>
            <w:tcW w:w="2809" w:type="pct"/>
            <w:vAlign w:val="center"/>
          </w:tcPr>
          <w:p w14:paraId="4B872E5C">
            <w:pPr>
              <w:pStyle w:val="66"/>
              <w:rPr>
                <w:rFonts w:hint="eastAsia" w:ascii="宋体" w:hAnsi="宋体" w:eastAsia="宋体" w:cs="宋体"/>
                <w:kern w:val="0"/>
                <w:sz w:val="24"/>
              </w:rPr>
            </w:pPr>
            <w:r>
              <w:rPr>
                <w:rFonts w:hint="eastAsia" w:ascii="宋体" w:hAnsi="宋体" w:eastAsia="宋体" w:cs="宋体"/>
                <w:kern w:val="0"/>
                <w:sz w:val="24"/>
              </w:rPr>
              <w:t>支持通过实时喊话进行实时广播，在智能广播播报后，仍存在安全生产隐患，可通过实时广播进行干预警戒。</w:t>
            </w:r>
          </w:p>
        </w:tc>
        <w:tc>
          <w:tcPr>
            <w:tcW w:w="344" w:type="pct"/>
            <w:vAlign w:val="center"/>
          </w:tcPr>
          <w:p w14:paraId="0ABA687B">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55D8C25E">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2362547E">
            <w:pPr>
              <w:pStyle w:val="66"/>
              <w:rPr>
                <w:rFonts w:hint="eastAsia" w:ascii="宋体" w:hAnsi="宋体" w:eastAsia="宋体" w:cs="宋体"/>
                <w:kern w:val="0"/>
                <w:sz w:val="24"/>
              </w:rPr>
            </w:pPr>
          </w:p>
        </w:tc>
      </w:tr>
      <w:tr w14:paraId="4A8F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B53DE6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21</w:t>
            </w:r>
          </w:p>
        </w:tc>
        <w:tc>
          <w:tcPr>
            <w:tcW w:w="471" w:type="pct"/>
            <w:vMerge w:val="continue"/>
            <w:vAlign w:val="center"/>
          </w:tcPr>
          <w:p w14:paraId="4D7F8DAF">
            <w:pPr>
              <w:jc w:val="center"/>
              <w:rPr>
                <w:rFonts w:hint="eastAsia" w:ascii="宋体" w:hAnsi="宋体" w:eastAsia="宋体" w:cs="宋体"/>
                <w:kern w:val="0"/>
                <w:sz w:val="24"/>
                <w:szCs w:val="24"/>
                <w:lang w:bidi="ar"/>
              </w:rPr>
            </w:pPr>
          </w:p>
        </w:tc>
        <w:tc>
          <w:tcPr>
            <w:tcW w:w="544" w:type="pct"/>
            <w:vAlign w:val="center"/>
          </w:tcPr>
          <w:p w14:paraId="30E53EA0">
            <w:pPr>
              <w:pStyle w:val="66"/>
              <w:rPr>
                <w:rFonts w:hint="eastAsia" w:ascii="宋体" w:hAnsi="宋体" w:eastAsia="宋体" w:cs="宋体"/>
                <w:kern w:val="0"/>
                <w:sz w:val="24"/>
                <w:lang w:bidi="ar"/>
              </w:rPr>
            </w:pPr>
            <w:r>
              <w:rPr>
                <w:rFonts w:hint="eastAsia" w:ascii="宋体" w:hAnsi="宋体" w:eastAsia="宋体" w:cs="宋体"/>
                <w:kern w:val="0"/>
                <w:sz w:val="24"/>
                <w:lang w:bidi="ar"/>
              </w:rPr>
              <w:t>媒体库管理</w:t>
            </w:r>
          </w:p>
        </w:tc>
        <w:tc>
          <w:tcPr>
            <w:tcW w:w="2809" w:type="pct"/>
            <w:vAlign w:val="center"/>
          </w:tcPr>
          <w:p w14:paraId="2858B857">
            <w:pPr>
              <w:pStyle w:val="66"/>
              <w:rPr>
                <w:rFonts w:hint="eastAsia" w:ascii="宋体" w:hAnsi="宋体" w:eastAsia="宋体" w:cs="宋体"/>
                <w:kern w:val="0"/>
                <w:sz w:val="24"/>
              </w:rPr>
            </w:pPr>
            <w:r>
              <w:rPr>
                <w:rFonts w:hint="eastAsia" w:ascii="宋体" w:hAnsi="宋体" w:eastAsia="宋体" w:cs="宋体"/>
                <w:kern w:val="0"/>
                <w:sz w:val="24"/>
              </w:rPr>
              <w:t>支持媒体库管理所有上传媒体文件，可选择媒体库中的媒体文件进行实时广播。</w:t>
            </w:r>
          </w:p>
        </w:tc>
        <w:tc>
          <w:tcPr>
            <w:tcW w:w="344" w:type="pct"/>
            <w:vAlign w:val="center"/>
          </w:tcPr>
          <w:p w14:paraId="5DF4015A">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689EC6E0">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751A63AE">
            <w:pPr>
              <w:pStyle w:val="66"/>
              <w:rPr>
                <w:rFonts w:hint="eastAsia" w:ascii="宋体" w:hAnsi="宋体" w:eastAsia="宋体" w:cs="宋体"/>
                <w:kern w:val="0"/>
                <w:sz w:val="24"/>
              </w:rPr>
            </w:pPr>
          </w:p>
        </w:tc>
      </w:tr>
      <w:tr w14:paraId="0E37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E2A5FB0">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w:t>
            </w:r>
          </w:p>
        </w:tc>
        <w:tc>
          <w:tcPr>
            <w:tcW w:w="471" w:type="pct"/>
            <w:vMerge w:val="continue"/>
            <w:vAlign w:val="center"/>
          </w:tcPr>
          <w:p w14:paraId="042FE5A5">
            <w:pPr>
              <w:jc w:val="center"/>
              <w:rPr>
                <w:rFonts w:hint="eastAsia" w:ascii="宋体" w:hAnsi="宋体" w:eastAsia="宋体" w:cs="宋体"/>
                <w:kern w:val="0"/>
                <w:sz w:val="24"/>
                <w:szCs w:val="24"/>
                <w:lang w:bidi="ar"/>
              </w:rPr>
            </w:pPr>
          </w:p>
        </w:tc>
        <w:tc>
          <w:tcPr>
            <w:tcW w:w="544" w:type="pct"/>
            <w:vAlign w:val="center"/>
          </w:tcPr>
          <w:p w14:paraId="534F9BE6">
            <w:pPr>
              <w:pStyle w:val="66"/>
              <w:rPr>
                <w:rFonts w:hint="eastAsia" w:ascii="宋体" w:hAnsi="宋体" w:eastAsia="宋体" w:cs="宋体"/>
                <w:kern w:val="0"/>
                <w:sz w:val="24"/>
                <w:lang w:bidi="ar"/>
              </w:rPr>
            </w:pPr>
            <w:r>
              <w:rPr>
                <w:rFonts w:hint="eastAsia" w:ascii="宋体" w:hAnsi="宋体" w:eastAsia="宋体" w:cs="宋体"/>
                <w:kern w:val="0"/>
                <w:sz w:val="24"/>
                <w:lang w:bidi="ar"/>
              </w:rPr>
              <w:t>定时广播</w:t>
            </w:r>
          </w:p>
        </w:tc>
        <w:tc>
          <w:tcPr>
            <w:tcW w:w="2809" w:type="pct"/>
            <w:vAlign w:val="center"/>
          </w:tcPr>
          <w:p w14:paraId="260A5ADC">
            <w:pPr>
              <w:pStyle w:val="66"/>
              <w:rPr>
                <w:rFonts w:hint="eastAsia" w:ascii="宋体" w:hAnsi="宋体" w:eastAsia="宋体" w:cs="宋体"/>
                <w:kern w:val="0"/>
                <w:sz w:val="24"/>
              </w:rPr>
            </w:pPr>
            <w:r>
              <w:rPr>
                <w:rFonts w:hint="eastAsia" w:ascii="宋体" w:hAnsi="宋体" w:eastAsia="宋体" w:cs="宋体"/>
                <w:kern w:val="0"/>
                <w:sz w:val="24"/>
              </w:rPr>
              <w:t>通过定时任务可对广播内容进行编排管理，可制定某个时间点在某些广播点位播放特定内容的广播任务。</w:t>
            </w:r>
          </w:p>
        </w:tc>
        <w:tc>
          <w:tcPr>
            <w:tcW w:w="344" w:type="pct"/>
            <w:vAlign w:val="center"/>
          </w:tcPr>
          <w:p w14:paraId="6FA6049E">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46F8BABC">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59E40ADA">
            <w:pPr>
              <w:pStyle w:val="66"/>
              <w:rPr>
                <w:rFonts w:hint="eastAsia" w:ascii="宋体" w:hAnsi="宋体" w:eastAsia="宋体" w:cs="宋体"/>
                <w:kern w:val="0"/>
                <w:sz w:val="24"/>
              </w:rPr>
            </w:pPr>
          </w:p>
        </w:tc>
      </w:tr>
      <w:tr w14:paraId="23B2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25B4D02D">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23</w:t>
            </w:r>
          </w:p>
        </w:tc>
        <w:tc>
          <w:tcPr>
            <w:tcW w:w="471" w:type="pct"/>
            <w:vMerge w:val="continue"/>
            <w:vAlign w:val="center"/>
          </w:tcPr>
          <w:p w14:paraId="50953DEF">
            <w:pPr>
              <w:jc w:val="center"/>
              <w:rPr>
                <w:rFonts w:hint="eastAsia" w:ascii="宋体" w:hAnsi="宋体" w:eastAsia="宋体" w:cs="宋体"/>
                <w:kern w:val="0"/>
                <w:sz w:val="24"/>
                <w:szCs w:val="24"/>
                <w:lang w:bidi="ar"/>
              </w:rPr>
            </w:pPr>
          </w:p>
        </w:tc>
        <w:tc>
          <w:tcPr>
            <w:tcW w:w="544" w:type="pct"/>
            <w:vAlign w:val="center"/>
          </w:tcPr>
          <w:p w14:paraId="6A281377">
            <w:pPr>
              <w:pStyle w:val="66"/>
              <w:rPr>
                <w:rFonts w:hint="eastAsia" w:ascii="宋体" w:hAnsi="宋体" w:eastAsia="宋体" w:cs="宋体"/>
                <w:kern w:val="0"/>
                <w:sz w:val="24"/>
                <w:lang w:bidi="ar"/>
              </w:rPr>
            </w:pPr>
            <w:r>
              <w:rPr>
                <w:rFonts w:hint="eastAsia" w:ascii="宋体" w:hAnsi="宋体" w:eastAsia="宋体" w:cs="宋体"/>
                <w:kern w:val="0"/>
                <w:sz w:val="24"/>
                <w:lang w:bidi="ar"/>
              </w:rPr>
              <w:t>广播预案管理</w:t>
            </w:r>
          </w:p>
        </w:tc>
        <w:tc>
          <w:tcPr>
            <w:tcW w:w="2809" w:type="pct"/>
            <w:vAlign w:val="center"/>
          </w:tcPr>
          <w:p w14:paraId="4C4E472A">
            <w:pPr>
              <w:pStyle w:val="66"/>
              <w:rPr>
                <w:rFonts w:hint="eastAsia" w:ascii="宋体" w:hAnsi="宋体" w:eastAsia="宋体" w:cs="宋体"/>
                <w:kern w:val="0"/>
                <w:sz w:val="24"/>
              </w:rPr>
            </w:pPr>
            <w:r>
              <w:rPr>
                <w:rFonts w:hint="eastAsia" w:ascii="宋体" w:hAnsi="宋体" w:eastAsia="宋体" w:cs="宋体"/>
                <w:kern w:val="0"/>
                <w:sz w:val="24"/>
              </w:rPr>
              <w:t>可预先设定在特定点位播放特定广播内容的预案，便于固定场景下人工重复广播播放操作。</w:t>
            </w:r>
          </w:p>
        </w:tc>
        <w:tc>
          <w:tcPr>
            <w:tcW w:w="344" w:type="pct"/>
            <w:vAlign w:val="center"/>
          </w:tcPr>
          <w:p w14:paraId="6E3B2B88">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433609DC">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6C99010B">
            <w:pPr>
              <w:pStyle w:val="66"/>
              <w:rPr>
                <w:rFonts w:hint="eastAsia" w:ascii="宋体" w:hAnsi="宋体" w:eastAsia="宋体" w:cs="宋体"/>
                <w:kern w:val="0"/>
                <w:sz w:val="24"/>
              </w:rPr>
            </w:pPr>
          </w:p>
        </w:tc>
      </w:tr>
      <w:tr w14:paraId="40C8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767348A">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471" w:type="pct"/>
            <w:vMerge w:val="continue"/>
            <w:vAlign w:val="center"/>
          </w:tcPr>
          <w:p w14:paraId="246B406A">
            <w:pPr>
              <w:jc w:val="center"/>
              <w:rPr>
                <w:rFonts w:hint="eastAsia" w:ascii="宋体" w:hAnsi="宋体" w:eastAsia="宋体" w:cs="宋体"/>
                <w:kern w:val="0"/>
                <w:sz w:val="24"/>
                <w:szCs w:val="24"/>
                <w:lang w:bidi="ar"/>
              </w:rPr>
            </w:pPr>
          </w:p>
        </w:tc>
        <w:tc>
          <w:tcPr>
            <w:tcW w:w="544" w:type="pct"/>
            <w:vAlign w:val="center"/>
          </w:tcPr>
          <w:p w14:paraId="52407DE0">
            <w:pPr>
              <w:pStyle w:val="66"/>
              <w:rPr>
                <w:rFonts w:hint="eastAsia" w:ascii="宋体" w:hAnsi="宋体" w:eastAsia="宋体" w:cs="宋体"/>
                <w:kern w:val="0"/>
                <w:sz w:val="24"/>
                <w:lang w:bidi="ar"/>
              </w:rPr>
            </w:pPr>
            <w:r>
              <w:rPr>
                <w:rFonts w:hint="eastAsia" w:ascii="宋体" w:hAnsi="宋体" w:eastAsia="宋体" w:cs="宋体"/>
                <w:kern w:val="0"/>
                <w:sz w:val="24"/>
                <w:lang w:bidi="ar"/>
              </w:rPr>
              <w:t>视频可视化广播</w:t>
            </w:r>
          </w:p>
        </w:tc>
        <w:tc>
          <w:tcPr>
            <w:tcW w:w="2809" w:type="pct"/>
            <w:vAlign w:val="center"/>
          </w:tcPr>
          <w:p w14:paraId="159173BF">
            <w:pPr>
              <w:pStyle w:val="66"/>
              <w:rPr>
                <w:rFonts w:hint="eastAsia" w:ascii="宋体" w:hAnsi="宋体" w:eastAsia="宋体" w:cs="宋体"/>
                <w:kern w:val="0"/>
                <w:sz w:val="24"/>
              </w:rPr>
            </w:pPr>
            <w:r>
              <w:rPr>
                <w:rFonts w:hint="eastAsia" w:ascii="宋体" w:hAnsi="宋体" w:eastAsia="宋体" w:cs="宋体"/>
                <w:kern w:val="0"/>
                <w:sz w:val="24"/>
              </w:rPr>
              <w:t>视频可视化广播通过广播、视频监控能力实现视频与音频的有机结合，在广播时可实时查看到现场画面，提高广播效果。</w:t>
            </w:r>
          </w:p>
        </w:tc>
        <w:tc>
          <w:tcPr>
            <w:tcW w:w="344" w:type="pct"/>
            <w:vAlign w:val="center"/>
          </w:tcPr>
          <w:p w14:paraId="1DE48B43">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5E36E3EB">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4054236C">
            <w:pPr>
              <w:pStyle w:val="66"/>
              <w:rPr>
                <w:rFonts w:hint="eastAsia" w:ascii="宋体" w:hAnsi="宋体" w:eastAsia="宋体" w:cs="宋体"/>
                <w:kern w:val="0"/>
                <w:sz w:val="24"/>
              </w:rPr>
            </w:pPr>
          </w:p>
        </w:tc>
      </w:tr>
      <w:tr w14:paraId="125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022CAE5A">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471" w:type="pct"/>
            <w:vMerge w:val="continue"/>
            <w:vAlign w:val="center"/>
          </w:tcPr>
          <w:p w14:paraId="4FAE317D">
            <w:pPr>
              <w:jc w:val="center"/>
              <w:rPr>
                <w:rFonts w:hint="eastAsia" w:ascii="宋体" w:hAnsi="宋体" w:eastAsia="宋体" w:cs="宋体"/>
                <w:kern w:val="0"/>
                <w:sz w:val="24"/>
                <w:szCs w:val="24"/>
                <w:lang w:bidi="ar"/>
              </w:rPr>
            </w:pPr>
          </w:p>
        </w:tc>
        <w:tc>
          <w:tcPr>
            <w:tcW w:w="544" w:type="pct"/>
            <w:vAlign w:val="center"/>
          </w:tcPr>
          <w:p w14:paraId="2D51D0A4">
            <w:pPr>
              <w:pStyle w:val="66"/>
              <w:rPr>
                <w:rFonts w:hint="eastAsia" w:ascii="宋体" w:hAnsi="宋体" w:eastAsia="宋体" w:cs="宋体"/>
                <w:kern w:val="0"/>
                <w:sz w:val="24"/>
                <w:lang w:bidi="ar"/>
              </w:rPr>
            </w:pPr>
            <w:r>
              <w:rPr>
                <w:rFonts w:hint="eastAsia" w:ascii="宋体" w:hAnsi="宋体" w:eastAsia="宋体" w:cs="宋体"/>
                <w:kern w:val="0"/>
                <w:sz w:val="24"/>
                <w:lang w:bidi="ar"/>
              </w:rPr>
              <w:t>联动规则管理</w:t>
            </w:r>
          </w:p>
        </w:tc>
        <w:tc>
          <w:tcPr>
            <w:tcW w:w="2809" w:type="pct"/>
            <w:vAlign w:val="center"/>
          </w:tcPr>
          <w:p w14:paraId="79B8D360">
            <w:pPr>
              <w:pStyle w:val="66"/>
              <w:rPr>
                <w:rFonts w:hint="eastAsia" w:ascii="宋体" w:hAnsi="宋体" w:eastAsia="宋体" w:cs="宋体"/>
                <w:kern w:val="0"/>
                <w:sz w:val="24"/>
              </w:rPr>
            </w:pPr>
            <w:r>
              <w:rPr>
                <w:rFonts w:hint="eastAsia" w:ascii="宋体" w:hAnsi="宋体" w:eastAsia="宋体" w:cs="宋体"/>
                <w:kern w:val="0"/>
                <w:sz w:val="24"/>
              </w:rPr>
              <w:t>基于预警模型结果，通过联动规则的设定和运行，实现预警作业场所音柱，根据不同的预警进行针对性的广播内容播报；支持联动规则的新增、修改、删除等功能</w:t>
            </w:r>
          </w:p>
        </w:tc>
        <w:tc>
          <w:tcPr>
            <w:tcW w:w="344" w:type="pct"/>
            <w:vAlign w:val="center"/>
          </w:tcPr>
          <w:p w14:paraId="4F440176">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1BCF5535">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145C063B">
            <w:pPr>
              <w:pStyle w:val="66"/>
              <w:rPr>
                <w:rFonts w:hint="eastAsia" w:ascii="宋体" w:hAnsi="宋体" w:eastAsia="宋体" w:cs="宋体"/>
                <w:kern w:val="0"/>
                <w:sz w:val="24"/>
              </w:rPr>
            </w:pPr>
          </w:p>
        </w:tc>
      </w:tr>
      <w:tr w14:paraId="7059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4A28D6FC">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tc>
        <w:tc>
          <w:tcPr>
            <w:tcW w:w="471" w:type="pct"/>
            <w:vMerge w:val="continue"/>
            <w:vAlign w:val="center"/>
          </w:tcPr>
          <w:p w14:paraId="24C7C20A">
            <w:pPr>
              <w:jc w:val="center"/>
              <w:rPr>
                <w:rFonts w:hint="eastAsia" w:ascii="宋体" w:hAnsi="宋体" w:eastAsia="宋体" w:cs="宋体"/>
                <w:kern w:val="0"/>
                <w:sz w:val="24"/>
                <w:szCs w:val="24"/>
                <w:lang w:bidi="ar"/>
              </w:rPr>
            </w:pPr>
          </w:p>
        </w:tc>
        <w:tc>
          <w:tcPr>
            <w:tcW w:w="544" w:type="pct"/>
            <w:vAlign w:val="center"/>
          </w:tcPr>
          <w:p w14:paraId="0DD9C991">
            <w:pPr>
              <w:pStyle w:val="66"/>
              <w:rPr>
                <w:rFonts w:hint="eastAsia" w:ascii="宋体" w:hAnsi="宋体" w:eastAsia="宋体" w:cs="宋体"/>
                <w:kern w:val="0"/>
                <w:sz w:val="24"/>
                <w:lang w:bidi="ar"/>
              </w:rPr>
            </w:pPr>
            <w:r>
              <w:rPr>
                <w:rFonts w:hint="eastAsia" w:ascii="宋体" w:hAnsi="宋体" w:eastAsia="宋体" w:cs="宋体"/>
                <w:kern w:val="0"/>
                <w:sz w:val="24"/>
                <w:lang w:bidi="ar"/>
              </w:rPr>
              <w:t>播报内容配置</w:t>
            </w:r>
          </w:p>
        </w:tc>
        <w:tc>
          <w:tcPr>
            <w:tcW w:w="2809" w:type="pct"/>
            <w:vAlign w:val="center"/>
          </w:tcPr>
          <w:p w14:paraId="32933E49">
            <w:pPr>
              <w:pStyle w:val="66"/>
              <w:rPr>
                <w:rFonts w:hint="eastAsia" w:ascii="宋体" w:hAnsi="宋体" w:eastAsia="宋体" w:cs="宋体"/>
                <w:kern w:val="0"/>
                <w:sz w:val="24"/>
              </w:rPr>
            </w:pPr>
            <w:r>
              <w:rPr>
                <w:rFonts w:hint="eastAsia" w:ascii="宋体" w:hAnsi="宋体" w:eastAsia="宋体" w:cs="宋体"/>
                <w:kern w:val="0"/>
                <w:sz w:val="24"/>
              </w:rPr>
              <w:t>自定义广播播报内容，支持播报内容的新增、删除、修改，支持不同预警关联不同的播报内容。</w:t>
            </w:r>
          </w:p>
        </w:tc>
        <w:tc>
          <w:tcPr>
            <w:tcW w:w="344" w:type="pct"/>
            <w:vAlign w:val="center"/>
          </w:tcPr>
          <w:p w14:paraId="0594916B">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4A65C797">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53F54914">
            <w:pPr>
              <w:pStyle w:val="66"/>
              <w:rPr>
                <w:rFonts w:hint="eastAsia" w:ascii="宋体" w:hAnsi="宋体" w:eastAsia="宋体" w:cs="宋体"/>
                <w:kern w:val="0"/>
                <w:sz w:val="24"/>
              </w:rPr>
            </w:pPr>
          </w:p>
        </w:tc>
      </w:tr>
      <w:tr w14:paraId="1C19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70E67F27">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27</w:t>
            </w:r>
          </w:p>
        </w:tc>
        <w:tc>
          <w:tcPr>
            <w:tcW w:w="471" w:type="pct"/>
            <w:vMerge w:val="continue"/>
            <w:vAlign w:val="center"/>
          </w:tcPr>
          <w:p w14:paraId="2B254A78">
            <w:pPr>
              <w:jc w:val="center"/>
              <w:rPr>
                <w:rFonts w:hint="eastAsia" w:ascii="宋体" w:hAnsi="宋体" w:eastAsia="宋体" w:cs="宋体"/>
                <w:kern w:val="0"/>
                <w:sz w:val="24"/>
                <w:szCs w:val="24"/>
                <w:lang w:bidi="ar"/>
              </w:rPr>
            </w:pPr>
          </w:p>
        </w:tc>
        <w:tc>
          <w:tcPr>
            <w:tcW w:w="544" w:type="pct"/>
            <w:vAlign w:val="center"/>
          </w:tcPr>
          <w:p w14:paraId="5CE51471">
            <w:pPr>
              <w:pStyle w:val="66"/>
              <w:rPr>
                <w:rFonts w:hint="eastAsia" w:ascii="宋体" w:hAnsi="宋体" w:eastAsia="宋体" w:cs="宋体"/>
                <w:kern w:val="0"/>
                <w:sz w:val="24"/>
                <w:lang w:bidi="ar"/>
              </w:rPr>
            </w:pPr>
            <w:r>
              <w:rPr>
                <w:rFonts w:hint="eastAsia" w:ascii="宋体" w:hAnsi="宋体" w:eastAsia="宋体" w:cs="宋体"/>
                <w:kern w:val="0"/>
                <w:sz w:val="24"/>
                <w:lang w:bidi="ar"/>
              </w:rPr>
              <w:t>智能广播播报</w:t>
            </w:r>
          </w:p>
        </w:tc>
        <w:tc>
          <w:tcPr>
            <w:tcW w:w="2809" w:type="pct"/>
            <w:vAlign w:val="center"/>
          </w:tcPr>
          <w:p w14:paraId="2AAF24D8">
            <w:pPr>
              <w:pStyle w:val="66"/>
              <w:rPr>
                <w:rFonts w:hint="eastAsia" w:ascii="宋体" w:hAnsi="宋体" w:eastAsia="宋体" w:cs="宋体"/>
                <w:kern w:val="0"/>
                <w:sz w:val="24"/>
              </w:rPr>
            </w:pPr>
            <w:r>
              <w:rPr>
                <w:rFonts w:hint="eastAsia" w:ascii="宋体" w:hAnsi="宋体" w:eastAsia="宋体" w:cs="宋体"/>
                <w:kern w:val="0"/>
                <w:sz w:val="24"/>
              </w:rPr>
              <w:t>结合预警联动规则管理，通过联动规则配置和播报内容配置，实现自动实时广播。</w:t>
            </w:r>
          </w:p>
        </w:tc>
        <w:tc>
          <w:tcPr>
            <w:tcW w:w="344" w:type="pct"/>
            <w:vAlign w:val="center"/>
          </w:tcPr>
          <w:p w14:paraId="3FF334BE">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15D6E743">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16DC603F">
            <w:pPr>
              <w:pStyle w:val="66"/>
              <w:rPr>
                <w:rFonts w:hint="eastAsia" w:ascii="宋体" w:hAnsi="宋体" w:eastAsia="宋体" w:cs="宋体"/>
                <w:kern w:val="0"/>
                <w:sz w:val="24"/>
              </w:rPr>
            </w:pPr>
          </w:p>
        </w:tc>
      </w:tr>
      <w:tr w14:paraId="4E67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08080BFB">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471" w:type="pct"/>
            <w:vMerge w:val="restart"/>
            <w:vAlign w:val="center"/>
          </w:tcPr>
          <w:p w14:paraId="15D0F8E7">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预警闭环流转</w:t>
            </w:r>
          </w:p>
        </w:tc>
        <w:tc>
          <w:tcPr>
            <w:tcW w:w="544" w:type="pct"/>
            <w:vAlign w:val="center"/>
          </w:tcPr>
          <w:p w14:paraId="7B6C9816">
            <w:pPr>
              <w:pStyle w:val="66"/>
              <w:rPr>
                <w:rFonts w:hint="eastAsia" w:ascii="宋体" w:hAnsi="宋体" w:eastAsia="宋体" w:cs="宋体"/>
                <w:kern w:val="0"/>
                <w:sz w:val="24"/>
                <w:lang w:bidi="ar"/>
              </w:rPr>
            </w:pPr>
            <w:r>
              <w:rPr>
                <w:rFonts w:hint="eastAsia" w:ascii="宋体" w:hAnsi="宋体" w:eastAsia="宋体" w:cs="宋体"/>
                <w:kern w:val="0"/>
                <w:sz w:val="24"/>
                <w:lang w:bidi="ar"/>
              </w:rPr>
              <w:t>预警闭环流转</w:t>
            </w:r>
          </w:p>
        </w:tc>
        <w:tc>
          <w:tcPr>
            <w:tcW w:w="2809" w:type="pct"/>
            <w:vAlign w:val="center"/>
          </w:tcPr>
          <w:p w14:paraId="0FC85C19">
            <w:pPr>
              <w:pStyle w:val="66"/>
              <w:rPr>
                <w:rFonts w:hint="eastAsia" w:ascii="宋体" w:hAnsi="宋体" w:eastAsia="宋体" w:cs="宋体"/>
                <w:kern w:val="0"/>
                <w:sz w:val="24"/>
              </w:rPr>
            </w:pPr>
            <w:r>
              <w:rPr>
                <w:rFonts w:hint="eastAsia" w:ascii="宋体" w:hAnsi="宋体" w:eastAsia="宋体" w:cs="宋体"/>
                <w:kern w:val="0"/>
                <w:sz w:val="24"/>
              </w:rPr>
              <w:t>基于预警模型分析，持续触发预警10s以上产生预警单，通过短信及电话的通知形式，直接通知责任主体进行处置，同步推送至对应镇街负责人进行督办核实。</w:t>
            </w:r>
          </w:p>
        </w:tc>
        <w:tc>
          <w:tcPr>
            <w:tcW w:w="344" w:type="pct"/>
            <w:vAlign w:val="center"/>
          </w:tcPr>
          <w:p w14:paraId="0E710B55">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27839D4C">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169E3312">
            <w:pPr>
              <w:pStyle w:val="66"/>
              <w:rPr>
                <w:rFonts w:hint="eastAsia" w:ascii="宋体" w:hAnsi="宋体" w:eastAsia="宋体" w:cs="宋体"/>
                <w:kern w:val="0"/>
                <w:sz w:val="24"/>
              </w:rPr>
            </w:pPr>
          </w:p>
        </w:tc>
      </w:tr>
      <w:tr w14:paraId="0451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4FAF823A">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29</w:t>
            </w:r>
          </w:p>
        </w:tc>
        <w:tc>
          <w:tcPr>
            <w:tcW w:w="471" w:type="pct"/>
            <w:vMerge w:val="continue"/>
            <w:vAlign w:val="center"/>
          </w:tcPr>
          <w:p w14:paraId="798CA54D">
            <w:pPr>
              <w:jc w:val="center"/>
              <w:rPr>
                <w:rFonts w:hint="eastAsia" w:ascii="宋体" w:hAnsi="宋体" w:eastAsia="宋体" w:cs="宋体"/>
                <w:kern w:val="0"/>
                <w:sz w:val="24"/>
                <w:szCs w:val="24"/>
                <w:lang w:bidi="ar"/>
              </w:rPr>
            </w:pPr>
          </w:p>
        </w:tc>
        <w:tc>
          <w:tcPr>
            <w:tcW w:w="544" w:type="pct"/>
            <w:vAlign w:val="center"/>
          </w:tcPr>
          <w:p w14:paraId="6621BBF0">
            <w:pPr>
              <w:pStyle w:val="66"/>
              <w:rPr>
                <w:rFonts w:hint="eastAsia" w:ascii="宋体" w:hAnsi="宋体" w:eastAsia="宋体" w:cs="宋体"/>
                <w:kern w:val="0"/>
                <w:sz w:val="24"/>
                <w:lang w:bidi="ar"/>
              </w:rPr>
            </w:pPr>
            <w:r>
              <w:rPr>
                <w:rFonts w:hint="eastAsia" w:ascii="宋体" w:hAnsi="宋体" w:eastAsia="宋体" w:cs="宋体"/>
                <w:kern w:val="0"/>
                <w:sz w:val="24"/>
                <w:lang w:bidi="ar"/>
              </w:rPr>
              <w:t>作业监管可视化</w:t>
            </w:r>
          </w:p>
        </w:tc>
        <w:tc>
          <w:tcPr>
            <w:tcW w:w="2809" w:type="pct"/>
            <w:vAlign w:val="center"/>
          </w:tcPr>
          <w:p w14:paraId="1E512B3B">
            <w:pPr>
              <w:pStyle w:val="66"/>
              <w:rPr>
                <w:rFonts w:hint="eastAsia" w:ascii="宋体" w:hAnsi="宋体" w:eastAsia="宋体" w:cs="宋体"/>
                <w:kern w:val="0"/>
                <w:sz w:val="24"/>
              </w:rPr>
            </w:pPr>
            <w:r>
              <w:rPr>
                <w:rFonts w:hint="eastAsia" w:ascii="宋体" w:hAnsi="宋体" w:eastAsia="宋体" w:cs="宋体"/>
                <w:kern w:val="0"/>
                <w:sz w:val="24"/>
              </w:rPr>
              <w:t>基于系统中记录所有生成的预警单、提醒单，可视化大屏端通过行政区划级镇街的方式进行统计分析以及晾晒，主要包含镇街提醒单的触发次数，预警单的生成数，预警单的完成率等。</w:t>
            </w:r>
          </w:p>
        </w:tc>
        <w:tc>
          <w:tcPr>
            <w:tcW w:w="344" w:type="pct"/>
            <w:vAlign w:val="center"/>
          </w:tcPr>
          <w:p w14:paraId="165E28DA">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3A42266A">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39FCAFCD">
            <w:pPr>
              <w:pStyle w:val="66"/>
              <w:rPr>
                <w:rFonts w:hint="eastAsia" w:ascii="宋体" w:hAnsi="宋体" w:eastAsia="宋体" w:cs="宋体"/>
                <w:kern w:val="0"/>
                <w:sz w:val="24"/>
              </w:rPr>
            </w:pPr>
          </w:p>
        </w:tc>
      </w:tr>
      <w:tr w14:paraId="2555041C">
        <w:tblPrEx>
          <w:tblCellMar>
            <w:top w:w="0" w:type="dxa"/>
            <w:left w:w="108" w:type="dxa"/>
            <w:bottom w:w="0" w:type="dxa"/>
            <w:right w:w="108" w:type="dxa"/>
          </w:tblCellMar>
        </w:tblPrEx>
        <w:trPr>
          <w:trHeight w:val="510" w:hRule="atLeast"/>
          <w:jc w:val="center"/>
        </w:trPr>
        <w:tc>
          <w:tcPr>
            <w:tcW w:w="5000" w:type="pct"/>
            <w:gridSpan w:val="7"/>
            <w:vAlign w:val="center"/>
          </w:tcPr>
          <w:p w14:paraId="69ECD5CD">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三、云存储采购</w:t>
            </w:r>
          </w:p>
        </w:tc>
      </w:tr>
      <w:tr w14:paraId="6125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4A2AFA11">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16" w:type="pct"/>
            <w:gridSpan w:val="2"/>
            <w:vAlign w:val="center"/>
          </w:tcPr>
          <w:p w14:paraId="1925376A">
            <w:pPr>
              <w:pStyle w:val="66"/>
              <w:rPr>
                <w:rFonts w:hint="eastAsia" w:ascii="宋体" w:hAnsi="宋体" w:eastAsia="宋体" w:cs="宋体"/>
                <w:kern w:val="0"/>
                <w:sz w:val="24"/>
                <w:lang w:bidi="ar"/>
              </w:rPr>
            </w:pPr>
            <w:r>
              <w:rPr>
                <w:rFonts w:hint="eastAsia" w:ascii="宋体" w:hAnsi="宋体" w:eastAsia="宋体" w:cs="宋体"/>
                <w:kern w:val="0"/>
                <w:sz w:val="24"/>
                <w:lang w:bidi="ar"/>
              </w:rPr>
              <w:t>云存储</w:t>
            </w:r>
          </w:p>
        </w:tc>
        <w:tc>
          <w:tcPr>
            <w:tcW w:w="2809" w:type="pct"/>
            <w:vAlign w:val="center"/>
          </w:tcPr>
          <w:p w14:paraId="19E88823">
            <w:pPr>
              <w:pStyle w:val="66"/>
              <w:jc w:val="left"/>
              <w:rPr>
                <w:rFonts w:hint="eastAsia" w:ascii="宋体" w:hAnsi="宋体" w:eastAsia="宋体" w:cs="宋体"/>
                <w:color w:val="000000"/>
                <w:kern w:val="0"/>
                <w:sz w:val="24"/>
              </w:rPr>
            </w:pPr>
            <w:r>
              <w:rPr>
                <w:rFonts w:hint="eastAsia" w:ascii="宋体" w:hAnsi="宋体" w:eastAsia="宋体" w:cs="宋体"/>
                <w:color w:val="000000"/>
                <w:kern w:val="0"/>
                <w:sz w:val="24"/>
              </w:rPr>
              <w:t>24盘位机架式存储，含24块4T的企业级硬盘。</w:t>
            </w:r>
          </w:p>
          <w:p w14:paraId="4ABAF1D0">
            <w:pPr>
              <w:pStyle w:val="66"/>
              <w:jc w:val="left"/>
              <w:rPr>
                <w:rFonts w:hint="eastAsia" w:ascii="宋体" w:hAnsi="宋体" w:eastAsia="宋体" w:cs="宋体"/>
                <w:color w:val="000000"/>
                <w:kern w:val="0"/>
                <w:sz w:val="24"/>
              </w:rPr>
            </w:pPr>
            <w:r>
              <w:rPr>
                <w:rFonts w:hint="eastAsia" w:ascii="宋体" w:hAnsi="宋体" w:eastAsia="宋体" w:cs="宋体"/>
                <w:color w:val="000000"/>
                <w:kern w:val="0"/>
                <w:sz w:val="24"/>
              </w:rPr>
              <w:t>不少于1颗64位多核处理器。</w:t>
            </w:r>
          </w:p>
          <w:p w14:paraId="13D46F8E">
            <w:pPr>
              <w:pStyle w:val="66"/>
              <w:jc w:val="left"/>
              <w:rPr>
                <w:rFonts w:hint="eastAsia" w:ascii="宋体" w:hAnsi="宋体" w:eastAsia="宋体" w:cs="宋体"/>
                <w:color w:val="000000"/>
                <w:kern w:val="0"/>
                <w:sz w:val="24"/>
              </w:rPr>
            </w:pPr>
            <w:r>
              <w:rPr>
                <w:rFonts w:hint="eastAsia" w:ascii="宋体" w:hAnsi="宋体" w:eastAsia="宋体" w:cs="宋体"/>
                <w:color w:val="000000"/>
                <w:kern w:val="0"/>
                <w:sz w:val="24"/>
              </w:rPr>
              <w:t>不少于4GB内存（支持拓展至128GB）。</w:t>
            </w:r>
          </w:p>
          <w:p w14:paraId="335449EF">
            <w:pPr>
              <w:pStyle w:val="66"/>
              <w:jc w:val="left"/>
              <w:rPr>
                <w:rFonts w:hint="eastAsia" w:ascii="宋体" w:hAnsi="宋体" w:eastAsia="宋体" w:cs="宋体"/>
                <w:color w:val="000000"/>
                <w:kern w:val="0"/>
                <w:sz w:val="24"/>
              </w:rPr>
            </w:pPr>
            <w:r>
              <w:rPr>
                <w:rFonts w:hint="eastAsia" w:ascii="宋体" w:hAnsi="宋体" w:eastAsia="宋体" w:cs="宋体"/>
                <w:color w:val="000000"/>
                <w:kern w:val="0"/>
                <w:sz w:val="24"/>
              </w:rPr>
              <w:t>不少于16GB高速缓存。</w:t>
            </w:r>
          </w:p>
          <w:p w14:paraId="678D60B9">
            <w:pPr>
              <w:pStyle w:val="66"/>
              <w:jc w:val="left"/>
              <w:rPr>
                <w:rFonts w:hint="eastAsia" w:ascii="宋体" w:hAnsi="宋体" w:eastAsia="宋体" w:cs="宋体"/>
                <w:color w:val="000000"/>
                <w:kern w:val="0"/>
                <w:sz w:val="24"/>
              </w:rPr>
            </w:pPr>
            <w:r>
              <w:rPr>
                <w:rFonts w:hint="eastAsia" w:ascii="宋体" w:hAnsi="宋体" w:eastAsia="宋体" w:cs="宋体"/>
                <w:color w:val="000000"/>
                <w:kern w:val="0"/>
                <w:sz w:val="24"/>
              </w:rPr>
              <w:t>具有24块硬盘热插拔插槽，支持硬盘热插拔设备在读写数据时，热插拔设备内任意块硬盘，设备正常运行不宕机，硬盘不损坏，数据不丢失，业务不中断。</w:t>
            </w:r>
          </w:p>
          <w:p w14:paraId="710F6088">
            <w:pPr>
              <w:pStyle w:val="66"/>
              <w:jc w:val="left"/>
              <w:rPr>
                <w:rFonts w:hint="eastAsia" w:ascii="宋体" w:hAnsi="宋体" w:eastAsia="宋体" w:cs="宋体"/>
                <w:color w:val="000000"/>
                <w:kern w:val="0"/>
                <w:sz w:val="24"/>
              </w:rPr>
            </w:pPr>
            <w:r>
              <w:rPr>
                <w:rFonts w:hint="eastAsia" w:ascii="宋体" w:hAnsi="宋体" w:eastAsia="宋体" w:cs="宋体"/>
                <w:color w:val="000000"/>
                <w:kern w:val="0"/>
                <w:sz w:val="24"/>
              </w:rPr>
              <w:t>支持云存储化部署，提供多类型数据存储服务，多种存储协议，支持视音频存储、图片存储、流式存储和对象存储等。</w:t>
            </w:r>
          </w:p>
          <w:p w14:paraId="28BFD69A">
            <w:pPr>
              <w:pStyle w:val="66"/>
              <w:rPr>
                <w:rFonts w:hint="eastAsia" w:ascii="宋体" w:hAnsi="宋体" w:eastAsia="宋体" w:cs="宋体"/>
                <w:color w:val="000000"/>
                <w:kern w:val="0"/>
                <w:sz w:val="24"/>
              </w:rPr>
            </w:pPr>
            <w:r>
              <w:rPr>
                <w:rFonts w:hint="eastAsia" w:ascii="宋体" w:hAnsi="宋体" w:eastAsia="宋体" w:cs="宋体"/>
                <w:color w:val="000000"/>
                <w:kern w:val="0"/>
                <w:sz w:val="24"/>
              </w:rPr>
              <w:t>采用分布式云架构对多区域、多套云存储系统资源进行统一接入、管理和监控告警运维(监控、远程升级、远程部署)，全局的唯一入口访问模式，统一的用户权限管控、存储资源虚拟化管理、业务管理与调度；支持云系统间视频业务和图片业务的故障容灾，系统间容灾策略包含主备、互备、一主多备模式。视频业务容灾可按前端点位设置容灾策略、回迁策略，支持对故障期间的视频数据按照策略进行自动回迁，包含指定监控点点位，指定回迁时间段，按自动回迁、手动回迁，指定回迁任务的优先级；图片业务支持按资源池设置容灾策略，自动调度到备云进行数据存储（提供第三方检测机构出具的满足以上要求的检测报告）。</w:t>
            </w:r>
          </w:p>
          <w:p w14:paraId="320756BC">
            <w:pPr>
              <w:pStyle w:val="66"/>
              <w:rPr>
                <w:rFonts w:hint="eastAsia" w:ascii="宋体" w:hAnsi="宋体" w:eastAsia="宋体" w:cs="宋体"/>
                <w:color w:val="000000"/>
                <w:kern w:val="0"/>
                <w:sz w:val="24"/>
              </w:rPr>
            </w:pPr>
            <w:r>
              <w:rPr>
                <w:rFonts w:hint="eastAsia" w:ascii="宋体" w:hAnsi="宋体" w:eastAsia="宋体" w:cs="宋体"/>
                <w:color w:val="000000"/>
                <w:kern w:val="0"/>
                <w:sz w:val="24"/>
              </w:rPr>
              <w:t>支持图形化页面对图片数据进行处理，包括图片预览、压缩、裁剪、旋转、缩放、格式转换、马赛克、归一化及打文字水印，并支持通过图形化页面下载处理成功的图片数据（提供第三方检测机构出具的满足以上要求的检测报告）。</w:t>
            </w:r>
          </w:p>
          <w:p w14:paraId="1F3A4613">
            <w:pPr>
              <w:pStyle w:val="66"/>
              <w:rPr>
                <w:rFonts w:hint="eastAsia" w:ascii="宋体" w:hAnsi="宋体" w:eastAsia="宋体" w:cs="宋体"/>
                <w:color w:val="000000"/>
                <w:kern w:val="0"/>
                <w:sz w:val="24"/>
              </w:rPr>
            </w:pPr>
            <w:r>
              <w:rPr>
                <w:rFonts w:hint="eastAsia" w:ascii="宋体" w:hAnsi="宋体" w:eastAsia="宋体" w:cs="宋体"/>
                <w:color w:val="000000"/>
                <w:kern w:val="0"/>
                <w:sz w:val="24"/>
              </w:rPr>
              <w:t>▲系统同时提供多副本、Erasure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提供第三方检测机构出具的满足以上要求的检测报告）。</w:t>
            </w:r>
          </w:p>
          <w:p w14:paraId="045305FC">
            <w:pPr>
              <w:pStyle w:val="66"/>
              <w:rPr>
                <w:rFonts w:hint="eastAsia" w:ascii="宋体" w:hAnsi="宋体" w:eastAsia="宋体" w:cs="宋体"/>
                <w:color w:val="000000"/>
                <w:kern w:val="0"/>
                <w:sz w:val="24"/>
              </w:rPr>
            </w:pPr>
            <w:r>
              <w:rPr>
                <w:rFonts w:hint="eastAsia" w:ascii="宋体" w:hAnsi="宋体" w:eastAsia="宋体" w:cs="宋体"/>
                <w:color w:val="000000"/>
                <w:kern w:val="0"/>
                <w:sz w:val="24"/>
              </w:rPr>
              <w:t>▲系统支持手动、自动对智能事件关联的多个录像片段设置录像标签。支持标签与其关联的录像片段同生命周期管理；支持通过按标签内容查询、回放、下载录像片段数据；支持对标签关联的录像片段进行锁定、备份（提供第三方检测机构出具的满足以上要求的检测报告）。</w:t>
            </w:r>
          </w:p>
          <w:p w14:paraId="4E3565F2">
            <w:pPr>
              <w:pStyle w:val="66"/>
              <w:rPr>
                <w:rFonts w:hint="eastAsia" w:ascii="宋体" w:hAnsi="宋体" w:eastAsia="宋体" w:cs="宋体"/>
                <w:color w:val="000000"/>
                <w:kern w:val="0"/>
                <w:sz w:val="24"/>
              </w:rPr>
            </w:pPr>
            <w:r>
              <w:rPr>
                <w:rFonts w:hint="eastAsia" w:ascii="宋体" w:hAnsi="宋体" w:eastAsia="宋体" w:cs="宋体"/>
                <w:color w:val="000000"/>
                <w:kern w:val="0"/>
                <w:sz w:val="24"/>
              </w:rPr>
              <w:t>▲支持存储实时视频、视频片段、图片及伴生的智能结构化数据，支持根据结构化数据的类型检索视频，检索条件包括前端点位ID、时间段、视频目标类型（包含人、机动车、非机动车等）（提供第三方检测机构出具的满足以上要求的检测报告）。</w:t>
            </w:r>
          </w:p>
        </w:tc>
        <w:tc>
          <w:tcPr>
            <w:tcW w:w="344" w:type="pct"/>
            <w:vAlign w:val="center"/>
          </w:tcPr>
          <w:p w14:paraId="2BF85C43">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4995E5C5">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28CB3D79">
            <w:pPr>
              <w:pStyle w:val="66"/>
              <w:rPr>
                <w:rFonts w:hint="eastAsia" w:ascii="宋体" w:hAnsi="宋体" w:eastAsia="宋体" w:cs="宋体"/>
                <w:kern w:val="0"/>
                <w:sz w:val="24"/>
              </w:rPr>
            </w:pPr>
          </w:p>
        </w:tc>
      </w:tr>
      <w:tr w14:paraId="3B8E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5C19865">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31</w:t>
            </w:r>
          </w:p>
        </w:tc>
        <w:tc>
          <w:tcPr>
            <w:tcW w:w="1016" w:type="pct"/>
            <w:gridSpan w:val="2"/>
            <w:vAlign w:val="center"/>
          </w:tcPr>
          <w:p w14:paraId="58487C59">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云存储管理软件</w:t>
            </w:r>
          </w:p>
        </w:tc>
        <w:tc>
          <w:tcPr>
            <w:tcW w:w="2809" w:type="pct"/>
            <w:vAlign w:val="center"/>
          </w:tcPr>
          <w:p w14:paraId="4B7392FF">
            <w:pPr>
              <w:pStyle w:val="66"/>
              <w:rPr>
                <w:rFonts w:hint="eastAsia" w:ascii="宋体" w:hAnsi="宋体" w:eastAsia="宋体" w:cs="宋体"/>
                <w:kern w:val="0"/>
                <w:sz w:val="24"/>
                <w:highlight w:val="none"/>
              </w:rPr>
            </w:pPr>
            <w:r>
              <w:rPr>
                <w:rFonts w:hint="eastAsia" w:ascii="宋体" w:hAnsi="宋体" w:eastAsia="宋体" w:cs="宋体"/>
                <w:kern w:val="0"/>
                <w:sz w:val="24"/>
                <w:highlight w:val="none"/>
              </w:rPr>
              <w:t>云存储管理软件，包含基础运行模块，集群管理、计划管理、索引管理、负载均衡等功能。支持对存储资源虚拟化，为应用提供池化资源服务。支持视频、图片、对象数据存储等存储服务。包含不少于96TB存储虚拟化及3000路视频点位接入授权。</w:t>
            </w:r>
          </w:p>
          <w:p w14:paraId="499AF52F">
            <w:pPr>
              <w:pStyle w:val="66"/>
              <w:rPr>
                <w:rFonts w:hint="eastAsia" w:ascii="宋体" w:hAnsi="宋体" w:eastAsia="宋体" w:cs="宋体"/>
                <w:kern w:val="0"/>
                <w:sz w:val="24"/>
                <w:highlight w:val="none"/>
              </w:rPr>
            </w:pPr>
            <w:r>
              <w:rPr>
                <w:rFonts w:hint="eastAsia" w:ascii="宋体" w:hAnsi="宋体" w:eastAsia="宋体" w:cs="宋体"/>
                <w:sz w:val="24"/>
                <w:highlight w:val="none"/>
              </w:rPr>
              <w:t>★</w:t>
            </w:r>
            <w:r>
              <w:rPr>
                <w:rFonts w:hint="eastAsia" w:ascii="宋体" w:hAnsi="宋体" w:eastAsia="宋体" w:cs="宋体"/>
                <w:kern w:val="0"/>
                <w:sz w:val="24"/>
                <w:highlight w:val="none"/>
              </w:rPr>
              <w:t>投标人需承诺与升级后的视频监控系统数据互通，签订合同前提供厂家盖章的数据互通文件</w:t>
            </w:r>
          </w:p>
        </w:tc>
        <w:tc>
          <w:tcPr>
            <w:tcW w:w="344" w:type="pct"/>
            <w:vAlign w:val="center"/>
          </w:tcPr>
          <w:p w14:paraId="2B94EBAD">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267" w:type="pct"/>
            <w:vAlign w:val="center"/>
          </w:tcPr>
          <w:p w14:paraId="31ECDC07">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套</w:t>
            </w:r>
          </w:p>
        </w:tc>
        <w:tc>
          <w:tcPr>
            <w:tcW w:w="331" w:type="pct"/>
            <w:vAlign w:val="center"/>
          </w:tcPr>
          <w:p w14:paraId="1CACC1ED">
            <w:pPr>
              <w:jc w:val="center"/>
              <w:rPr>
                <w:rFonts w:hint="eastAsia" w:ascii="宋体" w:hAnsi="宋体" w:eastAsia="宋体" w:cs="宋体"/>
                <w:kern w:val="0"/>
                <w:sz w:val="24"/>
                <w:szCs w:val="24"/>
                <w:lang w:bidi="ar"/>
              </w:rPr>
            </w:pPr>
          </w:p>
        </w:tc>
      </w:tr>
      <w:tr w14:paraId="28C3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7"/>
            <w:vAlign w:val="center"/>
          </w:tcPr>
          <w:p w14:paraId="5A96E2EF">
            <w:pPr>
              <w:jc w:val="center"/>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四、系统集成及服务</w:t>
            </w:r>
          </w:p>
        </w:tc>
      </w:tr>
      <w:tr w14:paraId="3C9D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122B2038">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32</w:t>
            </w:r>
          </w:p>
        </w:tc>
        <w:tc>
          <w:tcPr>
            <w:tcW w:w="1016" w:type="pct"/>
            <w:gridSpan w:val="2"/>
            <w:vAlign w:val="center"/>
          </w:tcPr>
          <w:p w14:paraId="3229E509">
            <w:pPr>
              <w:pStyle w:val="66"/>
              <w:rPr>
                <w:rFonts w:hint="eastAsia" w:ascii="宋体" w:hAnsi="宋体" w:eastAsia="宋体" w:cs="宋体"/>
                <w:kern w:val="0"/>
                <w:sz w:val="24"/>
                <w:lang w:bidi="ar"/>
              </w:rPr>
            </w:pPr>
            <w:r>
              <w:rPr>
                <w:rFonts w:hint="eastAsia" w:ascii="宋体" w:hAnsi="宋体" w:eastAsia="宋体" w:cs="宋体"/>
                <w:kern w:val="0"/>
                <w:sz w:val="24"/>
                <w:lang w:bidi="ar"/>
              </w:rPr>
              <w:t>档案数据采集服务</w:t>
            </w:r>
          </w:p>
        </w:tc>
        <w:tc>
          <w:tcPr>
            <w:tcW w:w="2809" w:type="pct"/>
            <w:vAlign w:val="center"/>
          </w:tcPr>
          <w:p w14:paraId="7806BF22">
            <w:pPr>
              <w:pStyle w:val="66"/>
              <w:rPr>
                <w:rFonts w:hint="eastAsia" w:ascii="宋体" w:hAnsi="宋体" w:eastAsia="宋体" w:cs="宋体"/>
                <w:kern w:val="0"/>
                <w:sz w:val="24"/>
              </w:rPr>
            </w:pPr>
            <w:r>
              <w:rPr>
                <w:rFonts w:hint="eastAsia" w:ascii="宋体" w:hAnsi="宋体" w:eastAsia="宋体" w:cs="宋体"/>
                <w:kern w:val="0"/>
                <w:sz w:val="24"/>
              </w:rPr>
              <w:t>完成全市工矿领域有限空间企业信息数据收集和整理工作。</w:t>
            </w:r>
          </w:p>
        </w:tc>
        <w:tc>
          <w:tcPr>
            <w:tcW w:w="344" w:type="pct"/>
            <w:vAlign w:val="center"/>
          </w:tcPr>
          <w:p w14:paraId="34CDA22E">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57AB2ECB">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79310D0E">
            <w:pPr>
              <w:pStyle w:val="66"/>
              <w:rPr>
                <w:rFonts w:hint="eastAsia" w:ascii="宋体" w:hAnsi="宋体" w:eastAsia="宋体" w:cs="宋体"/>
                <w:kern w:val="0"/>
                <w:sz w:val="24"/>
              </w:rPr>
            </w:pPr>
          </w:p>
        </w:tc>
      </w:tr>
      <w:tr w14:paraId="4508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59D9D268">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33</w:t>
            </w:r>
          </w:p>
        </w:tc>
        <w:tc>
          <w:tcPr>
            <w:tcW w:w="1016" w:type="pct"/>
            <w:gridSpan w:val="2"/>
            <w:vAlign w:val="center"/>
          </w:tcPr>
          <w:p w14:paraId="27B375F1">
            <w:pPr>
              <w:pStyle w:val="66"/>
              <w:rPr>
                <w:rFonts w:hint="eastAsia" w:ascii="宋体" w:hAnsi="宋体" w:eastAsia="宋体" w:cs="宋体"/>
                <w:kern w:val="0"/>
                <w:sz w:val="24"/>
                <w:lang w:bidi="ar"/>
              </w:rPr>
            </w:pPr>
            <w:r>
              <w:rPr>
                <w:rFonts w:hint="eastAsia" w:ascii="宋体" w:hAnsi="宋体" w:eastAsia="宋体" w:cs="宋体"/>
                <w:kern w:val="0"/>
                <w:sz w:val="24"/>
                <w:lang w:bidi="ar"/>
              </w:rPr>
              <w:t>感知网</w:t>
            </w:r>
            <w:r>
              <w:rPr>
                <w:rFonts w:hint="eastAsia" w:ascii="宋体" w:hAnsi="宋体" w:eastAsia="宋体" w:cs="宋体"/>
                <w:kern w:val="0"/>
                <w:sz w:val="24"/>
                <w:lang w:val="en-US" w:eastAsia="zh-CN" w:bidi="ar"/>
              </w:rPr>
              <w:t>互通</w:t>
            </w:r>
            <w:r>
              <w:rPr>
                <w:rFonts w:hint="eastAsia" w:ascii="宋体" w:hAnsi="宋体" w:eastAsia="宋体" w:cs="宋体"/>
                <w:kern w:val="0"/>
                <w:sz w:val="24"/>
                <w:lang w:bidi="ar"/>
              </w:rPr>
              <w:t>服务</w:t>
            </w:r>
          </w:p>
        </w:tc>
        <w:tc>
          <w:tcPr>
            <w:tcW w:w="2809" w:type="pct"/>
            <w:vAlign w:val="center"/>
          </w:tcPr>
          <w:p w14:paraId="42B224F3">
            <w:pPr>
              <w:pStyle w:val="66"/>
              <w:rPr>
                <w:rFonts w:hint="eastAsia" w:ascii="宋体" w:hAnsi="宋体" w:eastAsia="宋体" w:cs="宋体"/>
                <w:kern w:val="0"/>
                <w:sz w:val="24"/>
              </w:rPr>
            </w:pPr>
            <w:r>
              <w:rPr>
                <w:rFonts w:hint="eastAsia" w:ascii="宋体" w:hAnsi="宋体" w:eastAsia="宋体" w:cs="宋体"/>
                <w:kern w:val="0"/>
                <w:sz w:val="24"/>
              </w:rPr>
              <w:t>支持</w:t>
            </w:r>
            <w:r>
              <w:rPr>
                <w:rFonts w:hint="eastAsia" w:ascii="宋体" w:hAnsi="宋体" w:eastAsia="宋体" w:cs="宋体"/>
                <w:kern w:val="0"/>
                <w:sz w:val="24"/>
                <w:lang w:val="en-US" w:eastAsia="zh-CN"/>
              </w:rPr>
              <w:t>与</w:t>
            </w:r>
            <w:r>
              <w:rPr>
                <w:rFonts w:hint="eastAsia" w:ascii="宋体" w:hAnsi="宋体" w:eastAsia="宋体" w:cs="宋体"/>
                <w:kern w:val="0"/>
                <w:sz w:val="24"/>
              </w:rPr>
              <w:t>感知网</w:t>
            </w:r>
            <w:r>
              <w:rPr>
                <w:rFonts w:hint="eastAsia" w:ascii="宋体" w:hAnsi="宋体" w:eastAsia="宋体" w:cs="宋体"/>
                <w:kern w:val="0"/>
                <w:sz w:val="24"/>
                <w:lang w:val="en-US" w:eastAsia="zh-CN"/>
              </w:rPr>
              <w:t>数据互通</w:t>
            </w:r>
            <w:r>
              <w:rPr>
                <w:rFonts w:hint="eastAsia" w:ascii="宋体" w:hAnsi="宋体" w:eastAsia="宋体" w:cs="宋体"/>
                <w:kern w:val="0"/>
                <w:sz w:val="24"/>
              </w:rPr>
              <w:t>，实现与感知网的物联资源、申请审批等能力共享。</w:t>
            </w:r>
          </w:p>
        </w:tc>
        <w:tc>
          <w:tcPr>
            <w:tcW w:w="344" w:type="pct"/>
            <w:vAlign w:val="center"/>
          </w:tcPr>
          <w:p w14:paraId="01CCECED">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2BB58036">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2A87B6AA">
            <w:pPr>
              <w:pStyle w:val="66"/>
              <w:rPr>
                <w:rFonts w:hint="eastAsia" w:ascii="宋体" w:hAnsi="宋体" w:eastAsia="宋体" w:cs="宋体"/>
                <w:kern w:val="0"/>
                <w:sz w:val="24"/>
              </w:rPr>
            </w:pPr>
          </w:p>
        </w:tc>
      </w:tr>
      <w:tr w14:paraId="218C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37BA23B8">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34</w:t>
            </w:r>
          </w:p>
        </w:tc>
        <w:tc>
          <w:tcPr>
            <w:tcW w:w="1016" w:type="pct"/>
            <w:gridSpan w:val="2"/>
            <w:vAlign w:val="center"/>
          </w:tcPr>
          <w:p w14:paraId="3973A32D">
            <w:pPr>
              <w:pStyle w:val="66"/>
              <w:rPr>
                <w:rFonts w:hint="eastAsia" w:ascii="宋体" w:hAnsi="宋体" w:eastAsia="宋体" w:cs="宋体"/>
                <w:kern w:val="0"/>
                <w:sz w:val="24"/>
                <w:lang w:bidi="ar"/>
              </w:rPr>
            </w:pPr>
            <w:r>
              <w:rPr>
                <w:rFonts w:hint="eastAsia" w:ascii="宋体" w:hAnsi="宋体" w:eastAsia="宋体" w:cs="宋体"/>
                <w:kern w:val="0"/>
                <w:sz w:val="24"/>
                <w:lang w:bidi="ar"/>
              </w:rPr>
              <w:t>系统集成费用</w:t>
            </w:r>
          </w:p>
        </w:tc>
        <w:tc>
          <w:tcPr>
            <w:tcW w:w="2809" w:type="pct"/>
            <w:vAlign w:val="center"/>
          </w:tcPr>
          <w:p w14:paraId="2834E514">
            <w:pPr>
              <w:pStyle w:val="66"/>
              <w:rPr>
                <w:rFonts w:hint="eastAsia" w:ascii="宋体" w:hAnsi="宋体" w:eastAsia="宋体" w:cs="宋体"/>
                <w:kern w:val="0"/>
                <w:sz w:val="24"/>
                <w:highlight w:val="none"/>
              </w:rPr>
            </w:pPr>
            <w:r>
              <w:rPr>
                <w:rFonts w:hint="eastAsia" w:ascii="宋体" w:hAnsi="宋体" w:eastAsia="宋体" w:cs="宋体"/>
                <w:kern w:val="0"/>
                <w:sz w:val="24"/>
                <w:highlight w:val="none"/>
              </w:rPr>
              <w:t>原视频平台迁移、升级及定制互通和集成服务。</w:t>
            </w:r>
          </w:p>
        </w:tc>
        <w:tc>
          <w:tcPr>
            <w:tcW w:w="344" w:type="pct"/>
            <w:vAlign w:val="center"/>
          </w:tcPr>
          <w:p w14:paraId="30FB0C86">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78A7A2DD">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3A9E701C">
            <w:pPr>
              <w:pStyle w:val="66"/>
              <w:rPr>
                <w:rFonts w:hint="eastAsia" w:ascii="宋体" w:hAnsi="宋体" w:eastAsia="宋体" w:cs="宋体"/>
                <w:kern w:val="0"/>
                <w:sz w:val="24"/>
              </w:rPr>
            </w:pPr>
          </w:p>
        </w:tc>
      </w:tr>
      <w:tr w14:paraId="76F5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 w:type="pct"/>
            <w:vAlign w:val="center"/>
          </w:tcPr>
          <w:p w14:paraId="134EAF18">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35</w:t>
            </w:r>
          </w:p>
        </w:tc>
        <w:tc>
          <w:tcPr>
            <w:tcW w:w="1016" w:type="pct"/>
            <w:gridSpan w:val="2"/>
            <w:vAlign w:val="center"/>
          </w:tcPr>
          <w:p w14:paraId="6A409594">
            <w:pPr>
              <w:pStyle w:val="66"/>
              <w:rPr>
                <w:rFonts w:hint="eastAsia" w:ascii="宋体" w:hAnsi="宋体" w:eastAsia="宋体" w:cs="宋体"/>
                <w:kern w:val="0"/>
                <w:sz w:val="24"/>
                <w:lang w:bidi="ar"/>
              </w:rPr>
            </w:pPr>
            <w:r>
              <w:rPr>
                <w:rFonts w:hint="eastAsia" w:ascii="宋体" w:hAnsi="宋体" w:eastAsia="宋体" w:cs="宋体"/>
                <w:kern w:val="0"/>
                <w:sz w:val="24"/>
                <w:lang w:bidi="ar"/>
              </w:rPr>
              <w:t>等保测评服务</w:t>
            </w:r>
          </w:p>
        </w:tc>
        <w:tc>
          <w:tcPr>
            <w:tcW w:w="2809" w:type="pct"/>
            <w:vAlign w:val="center"/>
          </w:tcPr>
          <w:p w14:paraId="322CE621">
            <w:pPr>
              <w:pStyle w:val="66"/>
              <w:rPr>
                <w:rFonts w:hint="eastAsia" w:ascii="宋体" w:hAnsi="宋体" w:eastAsia="宋体" w:cs="宋体"/>
                <w:kern w:val="0"/>
                <w:sz w:val="24"/>
              </w:rPr>
            </w:pPr>
            <w:r>
              <w:rPr>
                <w:rFonts w:hint="eastAsia" w:ascii="宋体" w:hAnsi="宋体" w:eastAsia="宋体" w:cs="宋体"/>
                <w:kern w:val="0"/>
                <w:sz w:val="24"/>
              </w:rPr>
              <w:t>完成系统等保测评服务。</w:t>
            </w:r>
          </w:p>
        </w:tc>
        <w:tc>
          <w:tcPr>
            <w:tcW w:w="344" w:type="pct"/>
            <w:vAlign w:val="center"/>
          </w:tcPr>
          <w:p w14:paraId="52062224">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7" w:type="pct"/>
            <w:vAlign w:val="center"/>
          </w:tcPr>
          <w:p w14:paraId="444224E6">
            <w:pPr>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331" w:type="pct"/>
            <w:vAlign w:val="center"/>
          </w:tcPr>
          <w:p w14:paraId="272D7A58">
            <w:pPr>
              <w:pStyle w:val="66"/>
              <w:rPr>
                <w:rFonts w:hint="eastAsia" w:ascii="宋体" w:hAnsi="宋体" w:eastAsia="宋体" w:cs="宋体"/>
                <w:kern w:val="0"/>
                <w:sz w:val="24"/>
              </w:rPr>
            </w:pPr>
          </w:p>
        </w:tc>
      </w:tr>
    </w:tbl>
    <w:p w14:paraId="6A8CF4AE">
      <w:pPr>
        <w:pStyle w:val="5"/>
        <w:spacing w:before="0" w:after="0" w:line="360" w:lineRule="auto"/>
        <w:ind w:firstLine="482" w:firstLineChars="200"/>
        <w:rPr>
          <w:rFonts w:hint="eastAsia" w:ascii="宋体" w:hAnsi="宋体" w:eastAsia="宋体" w:cs="宋体"/>
          <w:sz w:val="24"/>
          <w:szCs w:val="24"/>
        </w:rPr>
      </w:pPr>
      <w:bookmarkStart w:id="14" w:name="_Toc13746"/>
      <w:bookmarkStart w:id="15" w:name="_Toc16762"/>
      <w:r>
        <w:rPr>
          <w:rFonts w:hint="eastAsia" w:ascii="宋体" w:hAnsi="宋体" w:eastAsia="宋体" w:cs="宋体"/>
          <w:sz w:val="24"/>
          <w:szCs w:val="24"/>
        </w:rPr>
        <w:t>三、商务要求</w:t>
      </w:r>
      <w:bookmarkEnd w:id="14"/>
      <w:bookmarkEnd w:id="15"/>
    </w:p>
    <w:p w14:paraId="79CC1E42">
      <w:pPr>
        <w:pStyle w:val="15"/>
        <w:spacing w:line="360" w:lineRule="auto"/>
        <w:ind w:firstLine="482" w:firstLineChars="200"/>
        <w:outlineLvl w:val="2"/>
        <w:rPr>
          <w:rFonts w:hint="eastAsia" w:hAnsi="宋体" w:cs="宋体"/>
          <w:b/>
          <w:sz w:val="24"/>
          <w:szCs w:val="24"/>
        </w:rPr>
      </w:pPr>
      <w:r>
        <w:rPr>
          <w:rFonts w:hint="eastAsia" w:hAnsi="宋体" w:cs="宋体"/>
          <w:b/>
          <w:sz w:val="24"/>
          <w:szCs w:val="24"/>
        </w:rPr>
        <w:t>1、工期要求</w:t>
      </w:r>
    </w:p>
    <w:p w14:paraId="698E6F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合同签订起3个月内完成项目建设，向采购单位申请组织初验；中标方超过约定日期10个工作日仍不能具备初验条件的，采购人有权解除合同。</w:t>
      </w:r>
    </w:p>
    <w:p w14:paraId="4E24A5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（2）项目初验通过后开始试运行，试运行期视运行情况进行最终验收，但试运行期最短不少于3个月。</w:t>
      </w:r>
    </w:p>
    <w:p w14:paraId="5CAB71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（3）试运行结束且相关问题整改完成后，申请项目终验。</w:t>
      </w:r>
    </w:p>
    <w:p w14:paraId="045ADE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（4）通过项目最终验收之日起，正式提供服务。</w:t>
      </w:r>
    </w:p>
    <w:p w14:paraId="680249B2">
      <w:pPr>
        <w:pStyle w:val="15"/>
        <w:spacing w:line="360" w:lineRule="auto"/>
        <w:ind w:firstLine="482" w:firstLineChars="200"/>
        <w:outlineLvl w:val="2"/>
        <w:rPr>
          <w:rFonts w:hint="eastAsia" w:hAnsi="宋体" w:cs="宋体"/>
          <w:b/>
          <w:sz w:val="24"/>
          <w:szCs w:val="24"/>
        </w:rPr>
      </w:pPr>
      <w:r>
        <w:rPr>
          <w:rFonts w:hint="eastAsia" w:hAnsi="宋体" w:cs="宋体"/>
          <w:b/>
          <w:sz w:val="24"/>
          <w:szCs w:val="24"/>
        </w:rPr>
        <w:t>2、验收要求</w:t>
      </w:r>
    </w:p>
    <w:p w14:paraId="33A872D8">
      <w:pPr>
        <w:pStyle w:val="15"/>
        <w:spacing w:line="360" w:lineRule="auto"/>
        <w:ind w:firstLine="480" w:firstLineChars="200"/>
        <w:rPr>
          <w:rFonts w:hint="eastAsia" w:hAnsi="宋体" w:cs="宋体"/>
          <w:bCs/>
          <w:sz w:val="24"/>
          <w:szCs w:val="24"/>
          <w:highlight w:val="yellow"/>
        </w:rPr>
      </w:pPr>
      <w:r>
        <w:rPr>
          <w:rFonts w:hint="eastAsia" w:hAnsi="宋体" w:cs="宋体"/>
          <w:bCs/>
          <w:sz w:val="24"/>
          <w:szCs w:val="24"/>
        </w:rPr>
        <w:t>验收要求：根据中华人民共和国现行技术标准，按招标文件以及合同规定的验收评定标准等规范，由采购人根据《政府采购合同履约和验收管理办法（暂行）》（义招管办【2008】32号）文件要求和《义乌市关于规范政府采购管理的若干意见》（义政办发【2017】102号）要求和行业相关的规定，组织验收。</w:t>
      </w:r>
    </w:p>
    <w:p w14:paraId="460E0B8A">
      <w:pPr>
        <w:pStyle w:val="15"/>
        <w:spacing w:line="360" w:lineRule="auto"/>
        <w:ind w:firstLine="482" w:firstLineChars="200"/>
        <w:outlineLvl w:val="2"/>
        <w:rPr>
          <w:rFonts w:hint="eastAsia" w:hAnsi="宋体" w:cs="宋体"/>
          <w:b/>
          <w:sz w:val="24"/>
          <w:szCs w:val="24"/>
          <w:highlight w:val="none"/>
        </w:rPr>
      </w:pPr>
      <w:r>
        <w:rPr>
          <w:rFonts w:hint="eastAsia" w:hAnsi="宋体" w:cs="宋体"/>
          <w:b/>
          <w:sz w:val="24"/>
          <w:szCs w:val="24"/>
          <w:highlight w:val="none"/>
        </w:rPr>
        <w:t>3、付款方式</w:t>
      </w:r>
    </w:p>
    <w:p w14:paraId="47E3D49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合同生效以及具备实施条件后，并收到中标人正式发票后7个工作日内，招标人向中标人支付合同总额的50%作为首付款；在签订合同时，中标方明确表示无需预付款或者主动要求降低预付款比例的，采购单位可不支付或减少预付款支付比例。</w:t>
      </w:r>
    </w:p>
    <w:p w14:paraId="16665AB4">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项目最终验收合格后一个月并收到中标人正式发票后7个工作日内，招标人向中标人支付合同总额的50%。</w:t>
      </w:r>
    </w:p>
    <w:p w14:paraId="200AAA6F">
      <w:pPr>
        <w:pStyle w:val="15"/>
        <w:spacing w:line="360" w:lineRule="auto"/>
        <w:ind w:firstLine="482" w:firstLineChars="200"/>
        <w:outlineLvl w:val="2"/>
        <w:rPr>
          <w:rFonts w:hint="eastAsia" w:hAnsi="宋体" w:cs="宋体"/>
          <w:b/>
          <w:sz w:val="24"/>
          <w:szCs w:val="24"/>
        </w:rPr>
      </w:pPr>
      <w:r>
        <w:rPr>
          <w:rFonts w:hint="eastAsia" w:hAnsi="宋体" w:cs="宋体"/>
          <w:b/>
          <w:sz w:val="24"/>
          <w:szCs w:val="24"/>
        </w:rPr>
        <w:t>4、项目培训要求</w:t>
      </w:r>
    </w:p>
    <w:p w14:paraId="39544BCD">
      <w:pPr>
        <w:pStyle w:val="15"/>
        <w:spacing w:line="360" w:lineRule="auto"/>
        <w:ind w:firstLine="480" w:firstLineChars="200"/>
        <w:rPr>
          <w:rFonts w:hint="eastAsia" w:hAnsi="宋体" w:cs="宋体"/>
          <w:bCs/>
          <w:sz w:val="24"/>
          <w:szCs w:val="24"/>
        </w:rPr>
      </w:pPr>
      <w:r>
        <w:rPr>
          <w:rFonts w:hint="eastAsia" w:hAnsi="宋体" w:cs="宋体"/>
          <w:bCs/>
          <w:sz w:val="24"/>
          <w:szCs w:val="24"/>
        </w:rPr>
        <w:t>（1）为确保本项目得以顺利实施、正常运行和使用，投标人必须为招标人提供系统使用、系统操作和管理维护培训，培训形式包括客户现场培训、课堂培训，投标人必须列明相应的培训课程。</w:t>
      </w:r>
    </w:p>
    <w:p w14:paraId="66A8F523">
      <w:pPr>
        <w:pStyle w:val="15"/>
        <w:spacing w:line="360" w:lineRule="auto"/>
        <w:ind w:firstLine="480" w:firstLineChars="200"/>
        <w:rPr>
          <w:rFonts w:hint="eastAsia" w:hAnsi="宋体" w:cs="宋体"/>
          <w:bCs/>
          <w:sz w:val="24"/>
          <w:szCs w:val="24"/>
        </w:rPr>
      </w:pPr>
      <w:r>
        <w:rPr>
          <w:rFonts w:hint="eastAsia" w:hAnsi="宋体" w:cs="宋体"/>
          <w:bCs/>
          <w:sz w:val="24"/>
          <w:szCs w:val="24"/>
        </w:rPr>
        <w:t>（2）投标人应在投标文件中提供详细的培训计划，包括培训项目、人数、地点、日程、资料等详细内容，为所有被培训人员提供培训用文字资料和讲义等相关用品。</w:t>
      </w:r>
    </w:p>
    <w:p w14:paraId="01E41BA2">
      <w:pPr>
        <w:pStyle w:val="15"/>
        <w:spacing w:line="360" w:lineRule="auto"/>
        <w:ind w:firstLine="480" w:firstLineChars="200"/>
        <w:rPr>
          <w:rFonts w:hint="eastAsia" w:hAnsi="宋体" w:cs="宋体"/>
          <w:bCs/>
          <w:sz w:val="24"/>
          <w:szCs w:val="24"/>
        </w:rPr>
      </w:pPr>
      <w:r>
        <w:rPr>
          <w:rFonts w:hint="eastAsia" w:hAnsi="宋体" w:cs="宋体"/>
          <w:bCs/>
          <w:sz w:val="24"/>
          <w:szCs w:val="24"/>
        </w:rPr>
        <w:t>（3）技术培训的内容必须包含软件的日常操作和管理维护，以及基本的故障诊断与排错。</w:t>
      </w:r>
    </w:p>
    <w:p w14:paraId="154EBDB6">
      <w:pPr>
        <w:pStyle w:val="15"/>
        <w:spacing w:line="360" w:lineRule="auto"/>
        <w:ind w:firstLine="480" w:firstLineChars="200"/>
        <w:rPr>
          <w:rFonts w:hint="eastAsia" w:hAnsi="宋体" w:cs="宋体"/>
          <w:sz w:val="24"/>
          <w:szCs w:val="24"/>
        </w:rPr>
      </w:pPr>
      <w:r>
        <w:rPr>
          <w:rFonts w:hint="eastAsia" w:hAnsi="宋体" w:cs="宋体"/>
          <w:bCs/>
          <w:sz w:val="24"/>
          <w:szCs w:val="24"/>
        </w:rPr>
        <w:t>（4）所有培训费用（含培训教材费），已包括在投标总价中。</w:t>
      </w:r>
    </w:p>
    <w:p w14:paraId="5156DAF4">
      <w:pPr>
        <w:pStyle w:val="15"/>
        <w:spacing w:line="360" w:lineRule="auto"/>
        <w:ind w:firstLine="482" w:firstLineChars="200"/>
        <w:outlineLvl w:val="2"/>
        <w:rPr>
          <w:rFonts w:hint="eastAsia" w:hAnsi="宋体" w:cs="宋体"/>
          <w:b/>
          <w:sz w:val="24"/>
          <w:szCs w:val="24"/>
          <w:highlight w:val="none"/>
        </w:rPr>
      </w:pPr>
      <w:r>
        <w:rPr>
          <w:rFonts w:hint="eastAsia" w:hAnsi="宋体" w:cs="宋体"/>
          <w:b/>
          <w:sz w:val="24"/>
          <w:szCs w:val="24"/>
        </w:rPr>
        <w:t>5、</w:t>
      </w:r>
      <w:r>
        <w:rPr>
          <w:rFonts w:hint="eastAsia" w:hAnsi="宋体" w:cs="宋体"/>
          <w:b/>
          <w:sz w:val="24"/>
          <w:szCs w:val="24"/>
          <w:highlight w:val="none"/>
        </w:rPr>
        <w:t>售后服务要求</w:t>
      </w:r>
    </w:p>
    <w:p w14:paraId="101FA21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质保期：质保期从项目终验合格签字之日起开始计算，在质保期内投标人对软硬件系统维护、技术支持等工作提供免费售后服务。本项目整体质保期不少于一年，硬件质保期不少于三年。投标人可根据实际承诺延长质保期。</w:t>
      </w:r>
    </w:p>
    <w:p w14:paraId="65FFB6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（2）项目完工后，在质保期内投标人应负责本项目中软硬件设备的日常维护，对于采购人不同情况的运维要求，在不同的指定时间内作出响应，响应时间标准如下：</w:t>
      </w:r>
    </w:p>
    <w:p w14:paraId="2FC1DC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业务安全方面：要求保障系统7*24小时正常运行，投标人必须提供7*24小时的电话技术支持服务，投标人接到用户电话后，应在2小时内作出实质性响应，如若系统出现故障，能快速修复系统，保障服务持续，最大许可中断时间不超过24小时。</w:t>
      </w:r>
    </w:p>
    <w:p w14:paraId="7451EF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系统安全方面：针对安全检测发现存在的问题和漏洞及时进行修复，确保系统的安全。高危漏洞不超过1个工作日，中危漏洞不超过3工作日。</w:t>
      </w:r>
    </w:p>
    <w:p w14:paraId="24C7DD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数据安全方面：能在发生数据故障时，利用异地灾备备份数据在4小时内完成数据恢复工作。</w:t>
      </w:r>
    </w:p>
    <w:p w14:paraId="09CCBCD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网络安全方面：在系统发生网络安全事件时10分钟内响应处置，能够协助完成安全事件的调查、取证，取证结束后完成系统的故障诊断、系统恢复等工作。</w:t>
      </w:r>
    </w:p>
    <w:p w14:paraId="08AEE55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（3）质保期满后，系统运维服务根据义乌市电子政务项目相关管理办法要求执行，若质保期满后由其他单位提供系统维护服务，投标人应进行技术交接。</w:t>
      </w:r>
    </w:p>
    <w:p w14:paraId="40261D4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及时更换系统损坏设备和排除故障等，提供不涉及软件基本框架变动的程序适应性修改和以完善软件基本功能为目的的程序修改服务、系统的重新部署和调试、系统性能日常维护（定期补丁升级、日志检查分析、错误分析及统计）、系统性能优化、运行状态监控及预警等；质保期内有重大会议、接待或重要工作期间，投标人应在活动开始一小时前增派讲解员、技术人员到场提供保障服务。</w:t>
      </w:r>
    </w:p>
    <w:p w14:paraId="1C7CC9DC">
      <w:pPr>
        <w:pStyle w:val="15"/>
        <w:spacing w:line="360" w:lineRule="auto"/>
        <w:ind w:firstLine="482" w:firstLineChars="200"/>
        <w:outlineLvl w:val="2"/>
        <w:rPr>
          <w:rFonts w:hint="eastAsia" w:hAnsi="宋体" w:cs="宋体"/>
          <w:b/>
          <w:sz w:val="24"/>
          <w:szCs w:val="24"/>
          <w:highlight w:val="none"/>
        </w:rPr>
      </w:pPr>
      <w:r>
        <w:rPr>
          <w:rFonts w:hint="eastAsia" w:hAnsi="宋体" w:cs="宋体"/>
          <w:b/>
          <w:sz w:val="24"/>
          <w:szCs w:val="24"/>
          <w:highlight w:val="none"/>
        </w:rPr>
        <w:t>6、数据及网络安全要求</w:t>
      </w:r>
    </w:p>
    <w:p w14:paraId="166640B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项目所涉及的信息安全内容需符合《中华人民共和国密码法》《中华人民共和国数据安全法》《中华人民共和国网络安全法》等相关规定，相关系统建设时需满足等级保护要求，投标人需配合采购人完成系统等保测评工作。</w:t>
      </w:r>
    </w:p>
    <w:p w14:paraId="7E06E9ED">
      <w:pPr>
        <w:pStyle w:val="15"/>
        <w:spacing w:line="360" w:lineRule="auto"/>
        <w:ind w:firstLine="482" w:firstLineChars="200"/>
        <w:outlineLvl w:val="2"/>
        <w:rPr>
          <w:rFonts w:hint="eastAsia" w:hAnsi="宋体" w:cs="宋体"/>
          <w:b/>
          <w:sz w:val="24"/>
          <w:szCs w:val="24"/>
          <w:highlight w:val="none"/>
        </w:rPr>
      </w:pPr>
      <w:r>
        <w:rPr>
          <w:rFonts w:hint="eastAsia" w:hAnsi="宋体" w:cs="宋体"/>
          <w:b/>
          <w:sz w:val="24"/>
          <w:szCs w:val="24"/>
          <w:highlight w:val="none"/>
        </w:rPr>
        <w:t>7、安全保密要求</w:t>
      </w:r>
    </w:p>
    <w:p w14:paraId="171A30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投标人须承诺且不限于以下保密条款要求：</w:t>
      </w:r>
    </w:p>
    <w:p w14:paraId="55CE0A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（1）投标人对本项目所产生的业务资料、技术信息等负有保密责任，未经采购人同意不得提供给任何第三方，包括投标人的分支机构、子公司、委托顾问方或接受咨询方；</w:t>
      </w:r>
    </w:p>
    <w:p w14:paraId="23FAF1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（2）投标人应妥善保管有关的文件和资料，未经采购人许可，不对其复制、仿造等；</w:t>
      </w:r>
    </w:p>
    <w:p w14:paraId="22A455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（4）投标人应对有关人员进行有效管理，包括制定规章制度，以确保本承诺书的履行；</w:t>
      </w:r>
    </w:p>
    <w:p w14:paraId="439E38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（5）投标人若违反本承诺的约定，应赔偿采购人由此遭受的一切损失；</w:t>
      </w:r>
    </w:p>
    <w:p w14:paraId="46F3D8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（6）保密期限：投标人需对本项目的业务资料、技术信息等在软件生命周期内一直保密，直至采购人同意或该业务资料、技术信息在同行业中已成为公开信息后方可解除保密义务。</w:t>
      </w:r>
    </w:p>
    <w:p w14:paraId="341615AF">
      <w:pPr>
        <w:pStyle w:val="34"/>
        <w:rPr>
          <w:rFonts w:hint="eastAsia"/>
        </w:rPr>
      </w:pPr>
    </w:p>
    <w:p w14:paraId="3AC83CD5">
      <w:pPr>
        <w:rPr>
          <w:rFonts w:hint="eastAsia" w:ascii="宋体" w:hAnsi="宋体" w:eastAsia="宋体" w:cs="宋体"/>
          <w:sz w:val="36"/>
        </w:rPr>
      </w:pPr>
      <w:r>
        <w:rPr>
          <w:rFonts w:hint="eastAsia" w:ascii="宋体" w:hAnsi="宋体" w:eastAsia="宋体" w:cs="宋体"/>
          <w:sz w:val="36"/>
        </w:rPr>
        <w:br w:type="page"/>
      </w:r>
    </w:p>
    <w:p w14:paraId="0101ECFE">
      <w:pPr>
        <w:pStyle w:val="4"/>
        <w:spacing w:line="360" w:lineRule="auto"/>
        <w:jc w:val="center"/>
        <w:rPr>
          <w:rFonts w:hint="eastAsia" w:ascii="宋体" w:hAnsi="宋体" w:eastAsia="宋体" w:cs="宋体"/>
          <w:sz w:val="36"/>
        </w:rPr>
      </w:pPr>
      <w:r>
        <w:rPr>
          <w:rFonts w:hint="eastAsia" w:ascii="宋体" w:hAnsi="宋体" w:eastAsia="宋体" w:cs="宋体"/>
          <w:sz w:val="36"/>
        </w:rPr>
        <w:t>第四章  开标、评标和定标须知</w:t>
      </w:r>
    </w:p>
    <w:p w14:paraId="1C5279B4">
      <w:pPr>
        <w:pStyle w:val="5"/>
        <w:widowControl/>
        <w:spacing w:before="0" w:after="0" w:line="360" w:lineRule="auto"/>
        <w:jc w:val="left"/>
        <w:rPr>
          <w:rFonts w:hint="eastAsia" w:ascii="宋体" w:hAnsi="宋体" w:eastAsia="宋体" w:cs="宋体"/>
          <w:sz w:val="24"/>
          <w:szCs w:val="24"/>
        </w:rPr>
      </w:pPr>
      <w:bookmarkStart w:id="16" w:name="_Toc406413937"/>
      <w:bookmarkStart w:id="17" w:name="_Toc384297860"/>
      <w:bookmarkStart w:id="18" w:name="_Toc226973002"/>
      <w:bookmarkStart w:id="19" w:name="_Toc362250705"/>
      <w:bookmarkStart w:id="20" w:name="_Toc263090375"/>
      <w:bookmarkStart w:id="21" w:name="_Toc274303253"/>
      <w:bookmarkStart w:id="22" w:name="_Toc261519847"/>
      <w:bookmarkStart w:id="23" w:name="_Toc362268017"/>
      <w:r>
        <w:rPr>
          <w:rFonts w:hint="eastAsia" w:ascii="宋体" w:hAnsi="宋体" w:eastAsia="宋体" w:cs="宋体"/>
          <w:sz w:val="24"/>
          <w:szCs w:val="24"/>
        </w:rPr>
        <w:t>一、开标</w:t>
      </w:r>
      <w:bookmarkEnd w:id="16"/>
      <w:bookmarkEnd w:id="17"/>
    </w:p>
    <w:p w14:paraId="7352AE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1、本项目实行电子开评标，投标人无需前往开评标现场，只需在规定时间内在“政采云”平台上上传电子投标文件。</w:t>
      </w:r>
    </w:p>
    <w:p w14:paraId="5B7F8D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2、电子开评标及评审程序</w:t>
      </w:r>
    </w:p>
    <w:p w14:paraId="658710E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2.1投标截止时间后的1小时内（开标当日09:30-10:30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14:paraId="5DC26E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2.2.评标小组对投标人的资格和商务技术响应文件进行评审；</w:t>
      </w:r>
    </w:p>
    <w:p w14:paraId="18F5CF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2.3评标小组对报价响应文件进行评审；</w:t>
      </w:r>
    </w:p>
    <w:p w14:paraId="4350A6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2.4在系统上公布评审结果。</w:t>
      </w:r>
    </w:p>
    <w:p w14:paraId="6718BD04">
      <w:pPr>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特别说明：政采云公司如对电子化开标及评审程序有调整的，按调整后的程序操作。</w:t>
      </w:r>
    </w:p>
    <w:p w14:paraId="18944E29">
      <w:pPr>
        <w:pStyle w:val="5"/>
        <w:spacing w:before="0" w:after="0" w:line="360" w:lineRule="auto"/>
        <w:rPr>
          <w:rFonts w:hint="eastAsia" w:ascii="宋体" w:hAnsi="宋体" w:eastAsia="宋体" w:cs="宋体"/>
          <w:sz w:val="24"/>
          <w:szCs w:val="24"/>
        </w:rPr>
      </w:pPr>
      <w:r>
        <w:rPr>
          <w:rFonts w:hint="eastAsia" w:ascii="宋体" w:hAnsi="宋体" w:eastAsia="宋体" w:cs="宋体"/>
          <w:sz w:val="24"/>
          <w:szCs w:val="24"/>
        </w:rPr>
        <w:t>二、评标</w:t>
      </w:r>
      <w:bookmarkEnd w:id="18"/>
      <w:bookmarkEnd w:id="19"/>
      <w:bookmarkEnd w:id="20"/>
      <w:bookmarkEnd w:id="21"/>
      <w:bookmarkEnd w:id="22"/>
    </w:p>
    <w:p w14:paraId="180F1BDD">
      <w:pPr>
        <w:spacing w:line="360" w:lineRule="auto"/>
        <w:ind w:firstLine="480"/>
        <w:rPr>
          <w:rFonts w:hint="eastAsia" w:ascii="宋体" w:hAnsi="宋体" w:eastAsia="宋体" w:cs="宋体"/>
          <w:b/>
          <w:kern w:val="0"/>
          <w:sz w:val="24"/>
          <w:szCs w:val="24"/>
        </w:rPr>
      </w:pPr>
      <w:r>
        <w:rPr>
          <w:rFonts w:hint="eastAsia" w:ascii="宋体" w:hAnsi="宋体" w:eastAsia="宋体" w:cs="宋体"/>
          <w:b/>
          <w:kern w:val="0"/>
          <w:sz w:val="24"/>
          <w:szCs w:val="24"/>
        </w:rPr>
        <w:t>3、评标小组</w:t>
      </w:r>
    </w:p>
    <w:p w14:paraId="42450FD2">
      <w:pPr>
        <w:pStyle w:val="15"/>
        <w:tabs>
          <w:tab w:val="left" w:pos="0"/>
        </w:tabs>
        <w:spacing w:line="360" w:lineRule="auto"/>
        <w:ind w:firstLine="480" w:firstLineChars="200"/>
        <w:rPr>
          <w:rFonts w:hint="eastAsia" w:hAnsi="宋体" w:cs="宋体"/>
          <w:sz w:val="24"/>
          <w:szCs w:val="24"/>
        </w:rPr>
      </w:pPr>
      <w:r>
        <w:rPr>
          <w:rFonts w:hint="eastAsia" w:hAnsi="宋体" w:cs="宋体"/>
          <w:sz w:val="24"/>
          <w:szCs w:val="24"/>
        </w:rPr>
        <w:t>3.1 评标小组将根据招标采购项目的特点确定。其成员由技术方面专家和采购人代表5人及以上单数组成。评标小组对投标文件进行审查、质疑、评估和比较。</w:t>
      </w:r>
    </w:p>
    <w:p w14:paraId="6E77D109">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4、评标原则</w:t>
      </w:r>
    </w:p>
    <w:p w14:paraId="1997BE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4.1评标小组将遵循公开、公平、公正的原则，严格遵守评标工作纪律。</w:t>
      </w:r>
    </w:p>
    <w:p w14:paraId="12513A02">
      <w:pPr>
        <w:spacing w:line="360" w:lineRule="auto"/>
        <w:ind w:firstLine="480"/>
        <w:rPr>
          <w:rFonts w:hint="eastAsia" w:ascii="宋体" w:hAnsi="宋体" w:eastAsia="宋体" w:cs="宋体"/>
          <w:bCs/>
          <w:sz w:val="24"/>
          <w:szCs w:val="24"/>
        </w:rPr>
      </w:pPr>
      <w:r>
        <w:rPr>
          <w:rFonts w:hint="eastAsia" w:ascii="宋体" w:hAnsi="宋体" w:eastAsia="宋体" w:cs="宋体"/>
          <w:sz w:val="24"/>
          <w:szCs w:val="24"/>
        </w:rPr>
        <w:t>4.2先评资格及商务技术响应文件，再评报价响应文件</w:t>
      </w:r>
      <w:r>
        <w:rPr>
          <w:rFonts w:hint="eastAsia" w:ascii="宋体" w:hAnsi="宋体" w:eastAsia="宋体" w:cs="宋体"/>
          <w:bCs/>
          <w:sz w:val="24"/>
          <w:szCs w:val="24"/>
        </w:rPr>
        <w:t>。</w:t>
      </w:r>
    </w:p>
    <w:p w14:paraId="38A7240A">
      <w:pPr>
        <w:spacing w:line="360" w:lineRule="auto"/>
        <w:ind w:firstLine="480"/>
        <w:rPr>
          <w:rFonts w:hint="eastAsia" w:ascii="宋体" w:hAnsi="宋体" w:eastAsia="宋体" w:cs="宋体"/>
          <w:sz w:val="24"/>
          <w:szCs w:val="24"/>
        </w:rPr>
      </w:pPr>
      <w:r>
        <w:rPr>
          <w:rFonts w:hint="eastAsia" w:ascii="宋体" w:hAnsi="宋体" w:eastAsia="宋体" w:cs="宋体"/>
          <w:bCs/>
          <w:sz w:val="24"/>
          <w:szCs w:val="24"/>
        </w:rPr>
        <w:t>4.3</w:t>
      </w:r>
      <w:r>
        <w:rPr>
          <w:rFonts w:hint="eastAsia" w:ascii="宋体" w:hAnsi="宋体" w:eastAsia="宋体" w:cs="宋体"/>
          <w:sz w:val="24"/>
          <w:szCs w:val="24"/>
        </w:rPr>
        <w:t>客观公正对待所有投标人，对所有投标评标均采用相同的程序和标准。评标的依据为招标文件和投标文件。</w:t>
      </w:r>
    </w:p>
    <w:p w14:paraId="3A8A90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4.4有利于提高政府投资效益，节约建设资金。</w:t>
      </w:r>
    </w:p>
    <w:p w14:paraId="0705E3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4.5异常或特殊情况处理：</w:t>
      </w:r>
    </w:p>
    <w:p w14:paraId="683A63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4.5.1在评标过程中，如发现招标文件中内容有不一致的（除招标文件中其他地方另有规定的外），经评标小组成员讨论认为不影响评标的，可以继续评标。</w:t>
      </w:r>
    </w:p>
    <w:p w14:paraId="15C77D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F2837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4.5.2在评标过程中，出现其他异常或特殊情况时，由评标小组集体讨论决定。</w:t>
      </w:r>
    </w:p>
    <w:p w14:paraId="0A6103C0">
      <w:pPr>
        <w:pStyle w:val="15"/>
        <w:spacing w:line="360" w:lineRule="auto"/>
        <w:ind w:firstLine="482" w:firstLineChars="200"/>
        <w:rPr>
          <w:rFonts w:hint="eastAsia" w:hAnsi="宋体" w:cs="宋体"/>
          <w:sz w:val="24"/>
          <w:szCs w:val="24"/>
        </w:rPr>
      </w:pPr>
      <w:r>
        <w:rPr>
          <w:rFonts w:hint="eastAsia" w:hAnsi="宋体" w:cs="宋体"/>
          <w:b/>
          <w:sz w:val="24"/>
          <w:szCs w:val="24"/>
        </w:rPr>
        <w:t>5、评标过程的保密</w:t>
      </w:r>
    </w:p>
    <w:p w14:paraId="495BE4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5.1开标后，直至授予中标人合同为止，凡属于对投标文件的审查、澄清、评价和比较等有关的资料以及中标候选人的推荐情况等与评标有关的任何情况均严格保密。</w:t>
      </w:r>
    </w:p>
    <w:p w14:paraId="6B975F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5.2在投标文件的评标和比较、中标候选人推荐以及授予合同的过程中，投标人向采购人和评标小组施加影响的任何行为，都将会导致其投标被拒绝。</w:t>
      </w:r>
    </w:p>
    <w:p w14:paraId="761DCA6C">
      <w:pPr>
        <w:pStyle w:val="15"/>
        <w:spacing w:line="360" w:lineRule="auto"/>
        <w:ind w:firstLine="480" w:firstLineChars="200"/>
        <w:rPr>
          <w:rFonts w:hint="eastAsia" w:hAnsi="宋体" w:cs="宋体"/>
          <w:sz w:val="24"/>
          <w:szCs w:val="24"/>
        </w:rPr>
      </w:pPr>
      <w:r>
        <w:rPr>
          <w:rFonts w:hint="eastAsia" w:hAnsi="宋体" w:cs="宋体"/>
          <w:sz w:val="24"/>
          <w:szCs w:val="24"/>
        </w:rPr>
        <w:t>5.3中标人确认后，采购人不对未中标人就评标过程以及未能中标原因作出任何解释。未中标人不得向评标小组人员或其他有关人员索问评标过程的全部情况。</w:t>
      </w:r>
    </w:p>
    <w:p w14:paraId="112B27E2">
      <w:pPr>
        <w:spacing w:line="360" w:lineRule="auto"/>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5.4</w:t>
      </w:r>
      <w:r>
        <w:rPr>
          <w:rFonts w:hint="eastAsia" w:ascii="宋体" w:hAnsi="宋体" w:eastAsia="宋体" w:cs="宋体"/>
          <w:spacing w:val="-4"/>
          <w:sz w:val="24"/>
          <w:szCs w:val="24"/>
        </w:rPr>
        <w:t>为保证定标的公正性，在评标过程中，评标成员不得与投标人私人交换意见。在招标工作结束后，凡与评标情况有接触的任何人不得也不应将评标情况扩散出评标成员之外。</w:t>
      </w:r>
    </w:p>
    <w:p w14:paraId="217ACD01">
      <w:pPr>
        <w:pStyle w:val="15"/>
        <w:tabs>
          <w:tab w:val="left" w:pos="0"/>
        </w:tabs>
        <w:spacing w:line="360" w:lineRule="auto"/>
        <w:ind w:firstLine="480" w:firstLineChars="200"/>
        <w:rPr>
          <w:rFonts w:hint="eastAsia" w:hAnsi="宋体" w:cs="宋体"/>
          <w:sz w:val="24"/>
          <w:szCs w:val="24"/>
        </w:rPr>
      </w:pPr>
      <w:r>
        <w:rPr>
          <w:rFonts w:hint="eastAsia" w:hAnsi="宋体" w:cs="宋体"/>
          <w:sz w:val="24"/>
          <w:szCs w:val="24"/>
        </w:rPr>
        <w:t>5.5评标小组不向落标方解释落标原因，不退还投标文件。</w:t>
      </w:r>
    </w:p>
    <w:p w14:paraId="25051BBA">
      <w:pPr>
        <w:numPr>
          <w:ilvl w:val="0"/>
          <w:numId w:val="4"/>
        </w:num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投标人的认定</w:t>
      </w:r>
    </w:p>
    <w:p w14:paraId="5BE2B5E3">
      <w:pPr>
        <w:pStyle w:val="15"/>
        <w:spacing w:line="360" w:lineRule="auto"/>
        <w:ind w:firstLine="480" w:firstLineChars="200"/>
        <w:rPr>
          <w:rFonts w:hint="eastAsia" w:hAnsi="宋体" w:cs="宋体"/>
          <w:sz w:val="24"/>
          <w:szCs w:val="24"/>
        </w:rPr>
      </w:pPr>
      <w:bookmarkStart w:id="24" w:name="_Hlk24447288"/>
      <w:r>
        <w:rPr>
          <w:rFonts w:hint="eastAsia" w:hAnsi="宋体" w:cs="宋体"/>
          <w:sz w:val="24"/>
          <w:szCs w:val="24"/>
        </w:rPr>
        <w:t>使用综合评分法的采购项目，提供相同品牌的产品且通过资格审查、符合性审查的不同投标人参加同一合同项下投标的，按一家投标人计算，评审后得分最高的同品牌投标人为有效投标人；评审得分相同的，采取随机抽取方式确定，其他同品牌投标人投标无效。</w:t>
      </w:r>
    </w:p>
    <w:p w14:paraId="7BD203EB">
      <w:pPr>
        <w:pStyle w:val="15"/>
        <w:spacing w:line="360" w:lineRule="auto"/>
        <w:ind w:firstLine="480" w:firstLineChars="200"/>
        <w:rPr>
          <w:rFonts w:hint="eastAsia" w:hAnsi="宋体" w:cs="宋体"/>
          <w:spacing w:val="-4"/>
          <w:sz w:val="24"/>
          <w:szCs w:val="24"/>
        </w:rPr>
      </w:pPr>
      <w:r>
        <w:rPr>
          <w:rFonts w:hint="eastAsia" w:hAnsi="宋体" w:cs="宋体"/>
          <w:sz w:val="24"/>
          <w:szCs w:val="24"/>
        </w:rPr>
        <w:t>单位负责人为同一人或者存在直接控股、管理关系的不同投标人，不得参加同一合同项下的政府采购活动。</w:t>
      </w:r>
      <w:bookmarkEnd w:id="24"/>
    </w:p>
    <w:p w14:paraId="13E8DC7B">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7、投标文件的澄清</w:t>
      </w:r>
    </w:p>
    <w:p w14:paraId="3A1B40FC">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14:paraId="701B0D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7.2如果投标人代表拒绝按评标小组要求在“政采云”平台作出在线回复且无其他有效回复方式的，评标小组可以对其作出无效标处理。</w:t>
      </w:r>
    </w:p>
    <w:p w14:paraId="3E10B2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投标文件的初步评标</w:t>
      </w:r>
    </w:p>
    <w:p w14:paraId="7D064F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8.1开标后，评标小组将对每份投标文件进行初步评标，初步评标内容为：</w:t>
      </w:r>
    </w:p>
    <w:p w14:paraId="1FEF7A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8.1.1是否出现第五章规定的内容；</w:t>
      </w:r>
    </w:p>
    <w:p w14:paraId="09DEB585">
      <w:pPr>
        <w:spacing w:line="360" w:lineRule="auto"/>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违反上述情形之一者，资格响应文件或商务技术响应文件初步评标不予通过，不列入报价响应文件的详细评标。</w:t>
      </w:r>
    </w:p>
    <w:p w14:paraId="2DC5C7E8">
      <w:pPr>
        <w:tabs>
          <w:tab w:val="left" w:pos="1219"/>
        </w:tabs>
        <w:spacing w:line="360" w:lineRule="auto"/>
        <w:ind w:left="-67" w:leftChars="-32" w:firstLine="590" w:firstLineChars="246"/>
        <w:rPr>
          <w:rFonts w:hint="eastAsia" w:ascii="宋体" w:hAnsi="宋体" w:eastAsia="宋体" w:cs="宋体"/>
          <w:sz w:val="24"/>
          <w:szCs w:val="24"/>
        </w:rPr>
      </w:pPr>
      <w:r>
        <w:rPr>
          <w:rFonts w:hint="eastAsia" w:ascii="宋体" w:hAnsi="宋体" w:eastAsia="宋体" w:cs="宋体"/>
          <w:sz w:val="24"/>
          <w:szCs w:val="24"/>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668A75CD">
      <w:pPr>
        <w:spacing w:line="360" w:lineRule="auto"/>
        <w:ind w:firstLine="573"/>
        <w:rPr>
          <w:rFonts w:hint="eastAsia" w:ascii="宋体" w:hAnsi="宋体" w:eastAsia="宋体" w:cs="宋体"/>
          <w:sz w:val="24"/>
          <w:szCs w:val="24"/>
        </w:rPr>
      </w:pPr>
      <w:r>
        <w:rPr>
          <w:rFonts w:hint="eastAsia" w:ascii="宋体" w:hAnsi="宋体" w:eastAsia="宋体" w:cs="宋体"/>
          <w:sz w:val="24"/>
          <w:szCs w:val="24"/>
        </w:rPr>
        <w:t>8.3如果投标文件实质上不响应招标文件的各项要求，评标小组将予以拒绝，并且不允许投标人通过修改或撤销其不符合要求的差异或保留，使之成为具有响应性的投标。</w:t>
      </w:r>
    </w:p>
    <w:p w14:paraId="00F52300">
      <w:pPr>
        <w:pStyle w:val="15"/>
        <w:spacing w:line="360" w:lineRule="auto"/>
        <w:ind w:firstLine="482"/>
        <w:rPr>
          <w:rFonts w:hint="eastAsia" w:hAnsi="宋体" w:cs="宋体"/>
          <w:b/>
          <w:sz w:val="24"/>
          <w:szCs w:val="24"/>
        </w:rPr>
      </w:pPr>
      <w:r>
        <w:rPr>
          <w:rFonts w:hint="eastAsia" w:hAnsi="宋体" w:cs="宋体"/>
          <w:b/>
          <w:sz w:val="24"/>
          <w:szCs w:val="24"/>
        </w:rPr>
        <w:t>9、投标文件计算错误的修正</w:t>
      </w:r>
    </w:p>
    <w:p w14:paraId="261548FC">
      <w:pPr>
        <w:pStyle w:val="15"/>
        <w:spacing w:line="360" w:lineRule="auto"/>
        <w:ind w:firstLine="482"/>
        <w:rPr>
          <w:rFonts w:hint="eastAsia" w:hAnsi="宋体" w:cs="宋体"/>
          <w:sz w:val="24"/>
          <w:szCs w:val="24"/>
        </w:rPr>
      </w:pPr>
      <w:r>
        <w:rPr>
          <w:rFonts w:hint="eastAsia" w:hAnsi="宋体" w:cs="宋体"/>
          <w:sz w:val="24"/>
          <w:szCs w:val="24"/>
        </w:rPr>
        <w:t>9.1评标小组将对确定为实质上响应招标文件要求的投标文件进行校核，看其是否有计算或表达上的错误，修正错误的原则如下：</w:t>
      </w:r>
    </w:p>
    <w:p w14:paraId="07CD1AD3">
      <w:pPr>
        <w:pStyle w:val="15"/>
        <w:spacing w:line="360" w:lineRule="auto"/>
        <w:ind w:firstLine="482"/>
        <w:rPr>
          <w:rFonts w:hint="eastAsia" w:hAnsi="宋体" w:cs="宋体"/>
          <w:sz w:val="24"/>
          <w:szCs w:val="24"/>
        </w:rPr>
      </w:pPr>
      <w:r>
        <w:rPr>
          <w:rFonts w:hint="eastAsia" w:hAnsi="宋体" w:cs="宋体"/>
          <w:sz w:val="24"/>
          <w:szCs w:val="24"/>
        </w:rPr>
        <w:t>9.1.1投标文件中开标一览表（报价表）内容与投标文件中相应内容不一致的，以开标一览表（报价表）为准；</w:t>
      </w:r>
    </w:p>
    <w:p w14:paraId="194540B2">
      <w:pPr>
        <w:pStyle w:val="15"/>
        <w:spacing w:line="360" w:lineRule="auto"/>
        <w:ind w:firstLine="482"/>
        <w:rPr>
          <w:rFonts w:hint="eastAsia" w:hAnsi="宋体" w:cs="宋体"/>
          <w:sz w:val="24"/>
          <w:szCs w:val="24"/>
        </w:rPr>
      </w:pPr>
      <w:r>
        <w:rPr>
          <w:rFonts w:hint="eastAsia" w:hAnsi="宋体" w:cs="宋体"/>
          <w:sz w:val="24"/>
          <w:szCs w:val="24"/>
        </w:rPr>
        <w:t>9.1.2大写金额和小写金额不一致的，以大写金额为准；</w:t>
      </w:r>
    </w:p>
    <w:p w14:paraId="34D4C49D">
      <w:pPr>
        <w:pStyle w:val="15"/>
        <w:spacing w:line="360" w:lineRule="auto"/>
        <w:ind w:firstLine="482"/>
        <w:rPr>
          <w:rFonts w:hint="eastAsia" w:hAnsi="宋体" w:cs="宋体"/>
          <w:sz w:val="24"/>
          <w:szCs w:val="24"/>
        </w:rPr>
      </w:pPr>
      <w:r>
        <w:rPr>
          <w:rFonts w:hint="eastAsia" w:hAnsi="宋体" w:cs="宋体"/>
          <w:sz w:val="24"/>
          <w:szCs w:val="24"/>
        </w:rPr>
        <w:t>9.1.3单价金额小数点或者百分比有明显错位的，以开标一览表的总价为准，并修改单价；</w:t>
      </w:r>
    </w:p>
    <w:p w14:paraId="10DCEA35">
      <w:pPr>
        <w:pStyle w:val="15"/>
        <w:spacing w:line="360" w:lineRule="auto"/>
        <w:ind w:firstLine="482"/>
        <w:rPr>
          <w:rFonts w:hint="eastAsia" w:hAnsi="宋体" w:cs="宋体"/>
          <w:sz w:val="24"/>
          <w:szCs w:val="24"/>
        </w:rPr>
      </w:pPr>
      <w:r>
        <w:rPr>
          <w:rFonts w:hint="eastAsia" w:hAnsi="宋体" w:cs="宋体"/>
          <w:sz w:val="24"/>
          <w:szCs w:val="24"/>
        </w:rPr>
        <w:t>9.1.4总价金额与按单价汇总金额不一致的，以单价金额计算结果为准。</w:t>
      </w:r>
    </w:p>
    <w:p w14:paraId="2C3A6106">
      <w:pPr>
        <w:pStyle w:val="15"/>
        <w:spacing w:line="360" w:lineRule="auto"/>
        <w:ind w:firstLine="482"/>
        <w:rPr>
          <w:rFonts w:hint="eastAsia" w:hAnsi="宋体" w:cs="宋体"/>
          <w:sz w:val="24"/>
          <w:szCs w:val="24"/>
        </w:rPr>
      </w:pPr>
      <w:r>
        <w:rPr>
          <w:rFonts w:hint="eastAsia" w:hAnsi="宋体" w:cs="宋体"/>
          <w:sz w:val="24"/>
          <w:szCs w:val="24"/>
        </w:rPr>
        <w:t>9.1.5对不同文字文本投标文件的解释发生异议的，以中文文本为准。</w:t>
      </w:r>
    </w:p>
    <w:p w14:paraId="502E8722">
      <w:pPr>
        <w:pStyle w:val="15"/>
        <w:spacing w:line="360" w:lineRule="auto"/>
        <w:ind w:firstLine="482"/>
        <w:rPr>
          <w:rFonts w:hint="eastAsia" w:hAnsi="宋体" w:cs="宋体"/>
          <w:sz w:val="24"/>
          <w:szCs w:val="24"/>
        </w:rPr>
      </w:pPr>
      <w:r>
        <w:rPr>
          <w:rFonts w:hint="eastAsia" w:hAnsi="宋体" w:cs="宋体"/>
          <w:sz w:val="24"/>
          <w:szCs w:val="24"/>
        </w:rPr>
        <w:t>9.1.6客户端填写的报价与以pdf格式上传文件中的报价不一致的，应以Pdf格式上传文件中的报价为准。</w:t>
      </w:r>
    </w:p>
    <w:p w14:paraId="2FD14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评标小组可以拒绝接受不是中文版的投标文件以及与投标相关的资料。</w:t>
      </w:r>
    </w:p>
    <w:p w14:paraId="2F4976A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9.2同时出现两种以上不一致的，按照前款规定的顺序修正。修正后的报价经投标人确认后产生约束力。如果投标人不接受修正后的报价，则其投标将被拒绝并且其投标担保也将被没收，并不影响评标工作。</w:t>
      </w:r>
    </w:p>
    <w:p w14:paraId="3EF38850">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10、投标文件的评标、比较和否决</w:t>
      </w:r>
    </w:p>
    <w:p w14:paraId="0F30E6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10.1评标小组将按照本须知规定，仅对在实质上响应招标文件要求的投标文件进行评估和比较。</w:t>
      </w:r>
    </w:p>
    <w:p w14:paraId="5A3772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10.2在评标过程中，评标小组可以要求投标人就投标文件中含义不明确的内容进行书面说明并提供相关材料。</w:t>
      </w:r>
    </w:p>
    <w:p w14:paraId="307CFD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10.3评标小组在作出任何一项无效标决定前，都应当严格遵循以下程序：</w:t>
      </w:r>
    </w:p>
    <w:p w14:paraId="04A99879">
      <w:pPr>
        <w:spacing w:line="360" w:lineRule="auto"/>
        <w:ind w:firstLine="472" w:firstLineChars="196"/>
        <w:rPr>
          <w:rFonts w:hint="eastAsia"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10.3.1要求当事投标人做相应的答辩；</w:t>
      </w:r>
    </w:p>
    <w:p w14:paraId="3F3821F7">
      <w:pPr>
        <w:spacing w:line="360" w:lineRule="auto"/>
        <w:ind w:firstLine="472" w:firstLineChars="196"/>
        <w:rPr>
          <w:rFonts w:hint="eastAsia"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10.3.2在充分讨论的基础上集体表决；</w:t>
      </w:r>
    </w:p>
    <w:p w14:paraId="1665B123">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shd w:val="pct10" w:color="auto" w:fill="FFFFFF"/>
        </w:rPr>
        <w:t>10.3.3若表决通过无效标决定，告知当事投标人，并在评标报告中详细载明废标理由、依据、答辩的情况和集体表决的情况（同意废标和不同意废标的评标小组成员均应当注明）。</w:t>
      </w:r>
    </w:p>
    <w:p w14:paraId="67673A33">
      <w:pPr>
        <w:pStyle w:val="15"/>
        <w:spacing w:line="360" w:lineRule="auto"/>
        <w:ind w:firstLine="480" w:firstLineChars="200"/>
        <w:rPr>
          <w:rFonts w:hint="eastAsia" w:hAnsi="宋体" w:cs="宋体"/>
          <w:sz w:val="24"/>
          <w:szCs w:val="24"/>
        </w:rPr>
      </w:pPr>
      <w:r>
        <w:rPr>
          <w:rFonts w:hint="eastAsia" w:hAnsi="宋体" w:cs="宋体"/>
          <w:sz w:val="24"/>
          <w:szCs w:val="24"/>
        </w:rPr>
        <w:t>10.4评标小组经评标，认为所有投标都不符合招标文件要求时，可以否决所有投标。所有投标被否决后，采购人应当依法重新招标。</w:t>
      </w:r>
    </w:p>
    <w:p w14:paraId="31DB25C2">
      <w:pPr>
        <w:pStyle w:val="15"/>
        <w:spacing w:line="360" w:lineRule="auto"/>
        <w:ind w:firstLine="482"/>
        <w:rPr>
          <w:rFonts w:hint="eastAsia" w:hAnsi="宋体" w:cs="宋体"/>
          <w:b/>
          <w:spacing w:val="-4"/>
          <w:sz w:val="24"/>
          <w:szCs w:val="24"/>
        </w:rPr>
      </w:pPr>
      <w:r>
        <w:rPr>
          <w:rFonts w:hint="eastAsia" w:hAnsi="宋体" w:cs="宋体"/>
          <w:b/>
          <w:spacing w:val="-4"/>
          <w:sz w:val="24"/>
          <w:szCs w:val="24"/>
        </w:rPr>
        <w:t>11、评标办法</w:t>
      </w:r>
    </w:p>
    <w:p w14:paraId="4F6B283F">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11.1本项目综合评分法（具体评标办法见后）。</w:t>
      </w:r>
    </w:p>
    <w:p w14:paraId="3E351428">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12、决标</w:t>
      </w:r>
    </w:p>
    <w:p w14:paraId="25567EDC">
      <w:pPr>
        <w:spacing w:line="360" w:lineRule="auto"/>
        <w:ind w:firstLine="573"/>
        <w:rPr>
          <w:rFonts w:hint="eastAsia" w:ascii="宋体" w:hAnsi="宋体" w:eastAsia="宋体" w:cs="宋体"/>
          <w:sz w:val="24"/>
          <w:szCs w:val="24"/>
        </w:rPr>
      </w:pPr>
      <w:r>
        <w:rPr>
          <w:rFonts w:hint="eastAsia" w:ascii="宋体" w:hAnsi="宋体" w:eastAsia="宋体" w:cs="宋体"/>
          <w:sz w:val="24"/>
          <w:szCs w:val="24"/>
        </w:rPr>
        <w:t>评标小组依据本招标文件规定的评标标准和方法，对投标文件进行评标和比较，向采购人提出书面评标报告，并直接确定中标人。</w:t>
      </w:r>
    </w:p>
    <w:p w14:paraId="05F8B701">
      <w:pPr>
        <w:pStyle w:val="5"/>
        <w:spacing w:before="0" w:after="0" w:line="360" w:lineRule="auto"/>
        <w:rPr>
          <w:rFonts w:hint="eastAsia" w:ascii="宋体" w:hAnsi="宋体" w:eastAsia="宋体" w:cs="宋体"/>
          <w:sz w:val="24"/>
          <w:szCs w:val="24"/>
        </w:rPr>
      </w:pPr>
      <w:bookmarkStart w:id="25" w:name="_Toc274303254"/>
      <w:bookmarkStart w:id="26" w:name="_Toc263090376"/>
      <w:bookmarkStart w:id="27" w:name="_Toc261519848"/>
      <w:bookmarkStart w:id="28" w:name="_Toc362250706"/>
      <w:bookmarkStart w:id="29" w:name="_Toc226973003"/>
      <w:r>
        <w:rPr>
          <w:rFonts w:hint="eastAsia" w:ascii="宋体" w:hAnsi="宋体" w:eastAsia="宋体" w:cs="宋体"/>
          <w:sz w:val="24"/>
          <w:szCs w:val="24"/>
        </w:rPr>
        <w:t>三、定标</w:t>
      </w:r>
      <w:bookmarkEnd w:id="25"/>
      <w:bookmarkEnd w:id="26"/>
      <w:bookmarkEnd w:id="27"/>
      <w:bookmarkEnd w:id="28"/>
      <w:bookmarkEnd w:id="29"/>
    </w:p>
    <w:p w14:paraId="3B5A005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kern w:val="0"/>
          <w:sz w:val="24"/>
          <w:szCs w:val="24"/>
        </w:rPr>
        <w:t>13、</w:t>
      </w:r>
      <w:r>
        <w:rPr>
          <w:rFonts w:hint="eastAsia" w:ascii="宋体" w:hAnsi="宋体" w:eastAsia="宋体" w:cs="宋体"/>
          <w:b/>
          <w:bCs/>
          <w:sz w:val="24"/>
          <w:szCs w:val="24"/>
        </w:rPr>
        <w:t>中标通知</w:t>
      </w:r>
    </w:p>
    <w:p w14:paraId="1C77E199">
      <w:pPr>
        <w:pStyle w:val="15"/>
        <w:spacing w:line="360" w:lineRule="auto"/>
        <w:ind w:firstLine="480" w:firstLineChars="200"/>
        <w:rPr>
          <w:rFonts w:hint="eastAsia" w:hAnsi="宋体" w:cs="宋体"/>
          <w:b/>
          <w:bCs/>
          <w:sz w:val="24"/>
          <w:szCs w:val="24"/>
        </w:rPr>
      </w:pPr>
      <w:r>
        <w:rPr>
          <w:rFonts w:hint="eastAsia" w:hAnsi="宋体" w:cs="宋体"/>
          <w:sz w:val="24"/>
          <w:szCs w:val="24"/>
        </w:rPr>
        <w:t>13.1评标结束后，评标结果公告</w:t>
      </w:r>
      <w:r>
        <w:rPr>
          <w:rFonts w:hint="eastAsia" w:hAnsi="宋体" w:cs="宋体"/>
          <w:sz w:val="24"/>
          <w:szCs w:val="24"/>
          <w:u w:val="single"/>
        </w:rPr>
        <w:t>1</w:t>
      </w:r>
      <w:r>
        <w:rPr>
          <w:rFonts w:hint="eastAsia" w:hAnsi="宋体" w:cs="宋体"/>
          <w:sz w:val="24"/>
          <w:szCs w:val="24"/>
        </w:rPr>
        <w:t>个工作日，发布评标结果公告的媒体为：浙江政府采购网。</w:t>
      </w:r>
    </w:p>
    <w:p w14:paraId="465BE7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发放中标通知书前，采购人或其委托的采购代理机构应在中国裁判文书网上查询中标（成交）单位及其拟派项目负责人自2021年1月1日至中标公告期结束前行贿犯罪记录情况，查询结果以网站页面显示内容为准。经查实，</w:t>
      </w:r>
      <w:r>
        <w:rPr>
          <w:rFonts w:hint="eastAsia" w:ascii="宋体" w:hAnsi="宋体" w:eastAsia="宋体" w:cs="宋体"/>
          <w:sz w:val="24"/>
          <w:szCs w:val="24"/>
          <w:shd w:val="clear" w:color="auto" w:fill="FFFFFF"/>
        </w:rPr>
        <w:t>中标人</w:t>
      </w:r>
      <w:r>
        <w:rPr>
          <w:rFonts w:hint="eastAsia" w:ascii="宋体" w:hAnsi="宋体" w:eastAsia="宋体" w:cs="宋体"/>
          <w:sz w:val="24"/>
          <w:szCs w:val="24"/>
        </w:rPr>
        <w:t>有前述行贿犯罪记录的，取消其中标资格，采购人依法重新组织采购。</w:t>
      </w:r>
    </w:p>
    <w:p w14:paraId="7B627E67">
      <w:pPr>
        <w:pStyle w:val="15"/>
        <w:tabs>
          <w:tab w:val="left" w:pos="900"/>
        </w:tabs>
        <w:spacing w:line="360" w:lineRule="auto"/>
        <w:ind w:firstLine="480" w:firstLineChars="200"/>
        <w:rPr>
          <w:rFonts w:hint="eastAsia" w:hAnsi="宋体" w:cs="宋体"/>
          <w:sz w:val="24"/>
          <w:szCs w:val="24"/>
        </w:rPr>
      </w:pPr>
      <w:r>
        <w:rPr>
          <w:rFonts w:hint="eastAsia" w:hAnsi="宋体" w:cs="宋体"/>
          <w:sz w:val="24"/>
          <w:szCs w:val="24"/>
        </w:rPr>
        <w:t>13.3由采购人和其委托的采购代理机构共同签发《中标通知书》。《中标通知书》一经发出即发生法律效力。</w:t>
      </w:r>
    </w:p>
    <w:p w14:paraId="1EE52532">
      <w:pPr>
        <w:pStyle w:val="15"/>
        <w:tabs>
          <w:tab w:val="left" w:pos="900"/>
        </w:tabs>
        <w:spacing w:line="360" w:lineRule="auto"/>
        <w:ind w:firstLine="480" w:firstLineChars="200"/>
        <w:rPr>
          <w:rFonts w:hint="eastAsia" w:hAnsi="宋体" w:cs="宋体"/>
          <w:sz w:val="24"/>
          <w:szCs w:val="24"/>
        </w:rPr>
      </w:pPr>
      <w:r>
        <w:rPr>
          <w:rFonts w:hint="eastAsia" w:hAnsi="宋体" w:cs="宋体"/>
          <w:sz w:val="24"/>
          <w:szCs w:val="24"/>
        </w:rPr>
        <w:t>13.4开标过程中，投标人对开标有异议的，应当在“政采云”平台上及时提出，评标小组应对异常情况做记录。</w:t>
      </w:r>
    </w:p>
    <w:p w14:paraId="29251945">
      <w:pPr>
        <w:pStyle w:val="15"/>
        <w:tabs>
          <w:tab w:val="left" w:pos="900"/>
        </w:tabs>
        <w:spacing w:line="360" w:lineRule="auto"/>
        <w:ind w:firstLine="480" w:firstLineChars="200"/>
        <w:rPr>
          <w:rFonts w:hint="eastAsia" w:hAnsi="宋体" w:cs="宋体"/>
          <w:sz w:val="24"/>
          <w:szCs w:val="24"/>
        </w:rPr>
      </w:pPr>
      <w:r>
        <w:rPr>
          <w:rFonts w:hint="eastAsia" w:hAnsi="宋体" w:cs="宋体"/>
          <w:sz w:val="24"/>
          <w:szCs w:val="24"/>
        </w:rPr>
        <w:t>13.5开评标结束后，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或未在规定的时间内作出答复的，可以在答复期满后十五个工作日内向同级政府采购监督管理部门投诉。</w:t>
      </w:r>
    </w:p>
    <w:p w14:paraId="41C8BDB3">
      <w:pPr>
        <w:pStyle w:val="15"/>
        <w:tabs>
          <w:tab w:val="left" w:pos="900"/>
        </w:tabs>
        <w:spacing w:line="360" w:lineRule="auto"/>
        <w:ind w:firstLine="480" w:firstLineChars="200"/>
        <w:rPr>
          <w:rFonts w:hint="eastAsia" w:hAnsi="宋体" w:cs="宋体"/>
          <w:sz w:val="24"/>
          <w:szCs w:val="24"/>
        </w:rPr>
      </w:pPr>
      <w:r>
        <w:rPr>
          <w:rFonts w:hint="eastAsia" w:hAnsi="宋体" w:cs="宋体"/>
          <w:sz w:val="24"/>
          <w:szCs w:val="24"/>
        </w:rPr>
        <w:t>13.6质疑投诉的相关规定</w:t>
      </w:r>
    </w:p>
    <w:p w14:paraId="69E89C4A">
      <w:pPr>
        <w:pStyle w:val="15"/>
        <w:tabs>
          <w:tab w:val="left" w:pos="900"/>
        </w:tabs>
        <w:spacing w:line="360" w:lineRule="auto"/>
        <w:ind w:firstLine="480" w:firstLineChars="200"/>
        <w:rPr>
          <w:rFonts w:hint="eastAsia" w:hAnsi="宋体" w:cs="宋体"/>
          <w:sz w:val="24"/>
          <w:szCs w:val="24"/>
        </w:rPr>
      </w:pPr>
      <w:r>
        <w:rPr>
          <w:rFonts w:hint="eastAsia" w:hAnsi="宋体" w:cs="宋体"/>
          <w:sz w:val="24"/>
          <w:szCs w:val="24"/>
        </w:rPr>
        <w:t>（一）质疑投诉递交的资料需为书面材料。质疑投诉书面材料需法人代表人或授权代表签字并加盖公章。</w:t>
      </w:r>
    </w:p>
    <w:p w14:paraId="26D2BA89">
      <w:pPr>
        <w:pStyle w:val="15"/>
        <w:tabs>
          <w:tab w:val="left" w:pos="900"/>
        </w:tabs>
        <w:spacing w:line="360" w:lineRule="auto"/>
        <w:ind w:firstLine="480" w:firstLineChars="200"/>
        <w:rPr>
          <w:rFonts w:hint="eastAsia" w:hAnsi="宋体" w:cs="宋体"/>
          <w:sz w:val="24"/>
          <w:szCs w:val="24"/>
        </w:rPr>
      </w:pPr>
      <w:r>
        <w:rPr>
          <w:rFonts w:hint="eastAsia" w:hAnsi="宋体" w:cs="宋体"/>
          <w:sz w:val="24"/>
          <w:szCs w:val="24"/>
        </w:rPr>
        <w:t>（二）质疑投诉属于以下情况之一的，将不予受理：</w:t>
      </w:r>
    </w:p>
    <w:p w14:paraId="128AB36C">
      <w:pPr>
        <w:pStyle w:val="15"/>
        <w:tabs>
          <w:tab w:val="left" w:pos="900"/>
        </w:tabs>
        <w:spacing w:line="360" w:lineRule="auto"/>
        <w:ind w:firstLine="600" w:firstLineChars="250"/>
        <w:rPr>
          <w:rFonts w:hint="eastAsia" w:hAnsi="宋体" w:cs="宋体"/>
          <w:sz w:val="24"/>
          <w:szCs w:val="24"/>
        </w:rPr>
      </w:pPr>
      <w:r>
        <w:rPr>
          <w:rFonts w:hint="eastAsia" w:hAnsi="宋体" w:cs="宋体"/>
          <w:sz w:val="24"/>
          <w:szCs w:val="24"/>
        </w:rPr>
        <w:t>（1）质疑投诉人不是所投诉项目的参与者，或者与质疑投诉项目无任何利害关系。</w:t>
      </w:r>
    </w:p>
    <w:p w14:paraId="00B35A53">
      <w:pPr>
        <w:pStyle w:val="15"/>
        <w:tabs>
          <w:tab w:val="left" w:pos="900"/>
        </w:tabs>
        <w:spacing w:line="360" w:lineRule="auto"/>
        <w:ind w:firstLine="600" w:firstLineChars="250"/>
        <w:rPr>
          <w:rFonts w:hint="eastAsia" w:hAnsi="宋体" w:cs="宋体"/>
          <w:sz w:val="24"/>
          <w:szCs w:val="24"/>
        </w:rPr>
      </w:pPr>
      <w:r>
        <w:rPr>
          <w:rFonts w:hint="eastAsia" w:hAnsi="宋体" w:cs="宋体"/>
          <w:sz w:val="24"/>
          <w:szCs w:val="24"/>
        </w:rPr>
        <w:t>（2）质疑投诉事项不具体且未提供有效线索，难以查证。</w:t>
      </w:r>
    </w:p>
    <w:p w14:paraId="5A5F1239">
      <w:pPr>
        <w:pStyle w:val="15"/>
        <w:tabs>
          <w:tab w:val="left" w:pos="900"/>
        </w:tabs>
        <w:spacing w:line="360" w:lineRule="auto"/>
        <w:ind w:firstLine="600" w:firstLineChars="250"/>
        <w:rPr>
          <w:rFonts w:hint="eastAsia" w:hAnsi="宋体" w:cs="宋体"/>
          <w:sz w:val="24"/>
          <w:szCs w:val="24"/>
        </w:rPr>
      </w:pPr>
      <w:r>
        <w:rPr>
          <w:rFonts w:hint="eastAsia" w:hAnsi="宋体" w:cs="宋体"/>
          <w:sz w:val="24"/>
          <w:szCs w:val="24"/>
        </w:rPr>
        <w:t>（3）未提供书面质疑或者质疑未加盖公章的；投诉人为法人或者其他组织，其投诉书未经法定代表人或者主要负责人签字并加盖公章的。</w:t>
      </w:r>
    </w:p>
    <w:p w14:paraId="728C12BD">
      <w:pPr>
        <w:pStyle w:val="15"/>
        <w:tabs>
          <w:tab w:val="left" w:pos="900"/>
        </w:tabs>
        <w:spacing w:line="360" w:lineRule="auto"/>
        <w:ind w:firstLine="600" w:firstLineChars="250"/>
        <w:rPr>
          <w:rFonts w:hint="eastAsia" w:hAnsi="宋体" w:cs="宋体"/>
          <w:sz w:val="24"/>
          <w:szCs w:val="24"/>
        </w:rPr>
      </w:pPr>
      <w:r>
        <w:rPr>
          <w:rFonts w:hint="eastAsia" w:hAnsi="宋体" w:cs="宋体"/>
          <w:sz w:val="24"/>
          <w:szCs w:val="24"/>
        </w:rPr>
        <w:t xml:space="preserve">（4）已超过招标文件规定质疑投诉提出期限的事项。 </w:t>
      </w:r>
    </w:p>
    <w:p w14:paraId="4F1D2DE5">
      <w:pPr>
        <w:pStyle w:val="15"/>
        <w:tabs>
          <w:tab w:val="left" w:pos="900"/>
        </w:tabs>
        <w:spacing w:line="360" w:lineRule="auto"/>
        <w:ind w:firstLine="600" w:firstLineChars="250"/>
        <w:rPr>
          <w:rFonts w:hint="eastAsia" w:hAnsi="宋体" w:cs="宋体"/>
          <w:sz w:val="24"/>
          <w:szCs w:val="24"/>
        </w:rPr>
      </w:pPr>
      <w:r>
        <w:rPr>
          <w:rFonts w:hint="eastAsia" w:hAnsi="宋体" w:cs="宋体"/>
          <w:sz w:val="24"/>
          <w:szCs w:val="24"/>
        </w:rPr>
        <w:t>（5）投诉事项已作出处理决定，并且投诉人没有提出新的证据；</w:t>
      </w:r>
    </w:p>
    <w:p w14:paraId="10C49BDD">
      <w:pPr>
        <w:pStyle w:val="15"/>
        <w:tabs>
          <w:tab w:val="left" w:pos="900"/>
        </w:tabs>
        <w:spacing w:line="360" w:lineRule="auto"/>
        <w:ind w:firstLine="600" w:firstLineChars="250"/>
        <w:rPr>
          <w:rFonts w:hint="eastAsia" w:hAnsi="宋体" w:cs="宋体"/>
          <w:sz w:val="24"/>
          <w:szCs w:val="24"/>
        </w:rPr>
      </w:pPr>
      <w:r>
        <w:rPr>
          <w:rFonts w:hint="eastAsia" w:hAnsi="宋体" w:cs="宋体"/>
          <w:sz w:val="24"/>
          <w:szCs w:val="24"/>
        </w:rPr>
        <w:t>（6）质疑投诉的事项已经进入行政复议或者行政诉讼程序的；投诉事项应先提出质疑而没有提出质疑的。</w:t>
      </w:r>
    </w:p>
    <w:p w14:paraId="382D64BE">
      <w:pPr>
        <w:pStyle w:val="15"/>
        <w:spacing w:line="360" w:lineRule="auto"/>
        <w:ind w:firstLine="600" w:firstLineChars="250"/>
        <w:rPr>
          <w:rFonts w:hint="eastAsia" w:hAnsi="宋体" w:cs="宋体"/>
          <w:sz w:val="24"/>
          <w:szCs w:val="24"/>
        </w:rPr>
      </w:pPr>
      <w:r>
        <w:rPr>
          <w:rFonts w:hint="eastAsia" w:hAnsi="宋体" w:cs="宋体"/>
          <w:sz w:val="24"/>
          <w:szCs w:val="24"/>
        </w:rPr>
        <w:t>（7）不符合《政府采购质疑和投诉办法》（财政部令第94号）和《关于印发〈浙江省政府采购投标人质疑处理办法〉的通知》（浙财采监〔2012〕18号）等有关规定的质疑投诉。</w:t>
      </w:r>
    </w:p>
    <w:p w14:paraId="5A3A43AC">
      <w:pPr>
        <w:pStyle w:val="15"/>
        <w:spacing w:line="360" w:lineRule="auto"/>
        <w:ind w:firstLine="600" w:firstLineChars="250"/>
        <w:rPr>
          <w:rFonts w:hint="eastAsia" w:hAnsi="宋体" w:cs="宋体"/>
          <w:sz w:val="24"/>
          <w:szCs w:val="24"/>
        </w:rPr>
      </w:pPr>
      <w:r>
        <w:rPr>
          <w:rFonts w:hint="eastAsia" w:hAnsi="宋体" w:cs="宋体"/>
          <w:sz w:val="24"/>
          <w:szCs w:val="24"/>
        </w:rPr>
        <w:t>14、合同签订</w:t>
      </w:r>
    </w:p>
    <w:p w14:paraId="73F33BD9">
      <w:pPr>
        <w:pStyle w:val="15"/>
        <w:spacing w:line="360" w:lineRule="auto"/>
        <w:ind w:firstLine="600" w:firstLineChars="250"/>
        <w:rPr>
          <w:rFonts w:hint="eastAsia" w:hAnsi="宋体" w:cs="宋体"/>
          <w:sz w:val="24"/>
          <w:szCs w:val="24"/>
        </w:rPr>
      </w:pPr>
      <w:r>
        <w:rPr>
          <w:rFonts w:hint="eastAsia" w:hAnsi="宋体" w:cs="宋体"/>
          <w:sz w:val="24"/>
          <w:szCs w:val="24"/>
        </w:rPr>
        <w:t>14.1中标人自接到《中标通知书》后应在三十天内与采购人签订合同。</w:t>
      </w:r>
    </w:p>
    <w:p w14:paraId="518C6255">
      <w:pPr>
        <w:pStyle w:val="15"/>
        <w:spacing w:line="360" w:lineRule="auto"/>
        <w:ind w:firstLine="600" w:firstLineChars="250"/>
        <w:rPr>
          <w:rFonts w:hint="eastAsia" w:hAnsi="宋体" w:cs="宋体"/>
          <w:sz w:val="24"/>
          <w:szCs w:val="24"/>
        </w:rPr>
      </w:pPr>
      <w:r>
        <w:rPr>
          <w:rFonts w:hint="eastAsia" w:hAnsi="宋体" w:cs="宋体"/>
          <w:sz w:val="24"/>
          <w:szCs w:val="24"/>
        </w:rPr>
        <w:t>14.2招标文件、中标人的投标文件、评标过程中投标人在询标时作出的承诺及其澄清文件等，均为签订合同的依据。</w:t>
      </w:r>
    </w:p>
    <w:p w14:paraId="1B854B11">
      <w:pPr>
        <w:pStyle w:val="15"/>
        <w:spacing w:line="360" w:lineRule="auto"/>
        <w:ind w:firstLine="600" w:firstLineChars="250"/>
        <w:rPr>
          <w:rFonts w:hint="eastAsia" w:hAnsi="宋体" w:cs="宋体"/>
          <w:sz w:val="24"/>
          <w:szCs w:val="24"/>
        </w:rPr>
      </w:pPr>
      <w:r>
        <w:rPr>
          <w:rFonts w:hint="eastAsia" w:hAnsi="宋体" w:cs="宋体"/>
          <w:sz w:val="24"/>
          <w:szCs w:val="24"/>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26A3F71B">
      <w:pPr>
        <w:pStyle w:val="15"/>
        <w:spacing w:line="360" w:lineRule="auto"/>
        <w:ind w:firstLine="600" w:firstLineChars="250"/>
        <w:rPr>
          <w:rFonts w:hint="eastAsia" w:hAnsi="宋体" w:cs="宋体"/>
          <w:sz w:val="24"/>
          <w:szCs w:val="24"/>
        </w:rPr>
      </w:pPr>
      <w:r>
        <w:rPr>
          <w:rFonts w:hint="eastAsia" w:hAnsi="宋体" w:cs="宋体"/>
          <w:sz w:val="24"/>
          <w:szCs w:val="24"/>
        </w:rPr>
        <w:t>14.4采购人与中标人签订合同后招标代理机构将中标结果通知落选投标人，采购人和招标代理机构对评标结果不负责解释。</w:t>
      </w:r>
    </w:p>
    <w:p w14:paraId="212F683C">
      <w:pPr>
        <w:pStyle w:val="15"/>
        <w:spacing w:line="360" w:lineRule="auto"/>
        <w:ind w:firstLine="600" w:firstLineChars="250"/>
        <w:rPr>
          <w:rFonts w:hint="eastAsia" w:hAnsi="宋体" w:cs="宋体"/>
          <w:sz w:val="24"/>
          <w:szCs w:val="24"/>
        </w:rPr>
      </w:pPr>
      <w:r>
        <w:rPr>
          <w:rFonts w:hint="eastAsia" w:hAnsi="宋体" w:cs="宋体"/>
          <w:sz w:val="24"/>
          <w:szCs w:val="24"/>
        </w:rPr>
        <w:t>14.5采购人变更数量的权利</w:t>
      </w:r>
    </w:p>
    <w:p w14:paraId="6DF2CACC">
      <w:pPr>
        <w:pStyle w:val="15"/>
        <w:spacing w:line="360" w:lineRule="auto"/>
        <w:ind w:firstLine="600" w:firstLineChars="250"/>
        <w:rPr>
          <w:rFonts w:hint="eastAsia" w:hAnsi="宋体" w:cs="宋体"/>
          <w:sz w:val="24"/>
          <w:szCs w:val="24"/>
        </w:rPr>
      </w:pPr>
      <w:r>
        <w:rPr>
          <w:rFonts w:hint="eastAsia" w:hAnsi="宋体" w:cs="宋体"/>
          <w:sz w:val="24"/>
          <w:szCs w:val="24"/>
        </w:rPr>
        <w:t>采购人在授予合同时有权对“技术要求及招标范围”中规定的服务予以增加或减少，但必须符合《中华人民共和国政府采购法》及义乌市政府采购的相关规定。</w:t>
      </w:r>
    </w:p>
    <w:p w14:paraId="7A60CDEC">
      <w:pPr>
        <w:pStyle w:val="4"/>
        <w:spacing w:line="360" w:lineRule="auto"/>
        <w:jc w:val="center"/>
        <w:rPr>
          <w:rFonts w:hint="eastAsia" w:ascii="宋体" w:hAnsi="宋体" w:eastAsia="宋体" w:cs="宋体"/>
          <w:sz w:val="36"/>
        </w:rPr>
      </w:pPr>
      <w:r>
        <w:rPr>
          <w:rFonts w:hint="eastAsia" w:ascii="宋体" w:hAnsi="宋体" w:eastAsia="宋体" w:cs="宋体"/>
          <w:sz w:val="36"/>
        </w:rPr>
        <w:br w:type="page"/>
      </w:r>
      <w:r>
        <w:rPr>
          <w:rFonts w:hint="eastAsia" w:ascii="宋体" w:hAnsi="宋体" w:eastAsia="宋体" w:cs="宋体"/>
          <w:sz w:val="36"/>
        </w:rPr>
        <w:t>第五章  投标文件的有效性</w:t>
      </w:r>
      <w:bookmarkEnd w:id="23"/>
    </w:p>
    <w:p w14:paraId="25BA3285">
      <w:pPr>
        <w:pStyle w:val="15"/>
        <w:spacing w:line="360" w:lineRule="auto"/>
        <w:ind w:firstLine="472" w:firstLineChars="196"/>
        <w:rPr>
          <w:rFonts w:hint="eastAsia" w:hAnsi="宋体" w:cs="宋体"/>
          <w:b/>
          <w:sz w:val="24"/>
          <w:szCs w:val="24"/>
        </w:rPr>
      </w:pPr>
    </w:p>
    <w:p w14:paraId="0A963CDE">
      <w:pPr>
        <w:pStyle w:val="15"/>
        <w:spacing w:line="360" w:lineRule="auto"/>
        <w:ind w:firstLine="472" w:firstLineChars="196"/>
        <w:rPr>
          <w:rFonts w:hint="eastAsia" w:hAnsi="宋体" w:cs="宋体"/>
          <w:b/>
          <w:sz w:val="24"/>
          <w:szCs w:val="24"/>
        </w:rPr>
      </w:pPr>
      <w:r>
        <w:rPr>
          <w:rFonts w:hint="eastAsia" w:hAnsi="宋体" w:cs="宋体"/>
          <w:b/>
          <w:sz w:val="24"/>
          <w:szCs w:val="24"/>
        </w:rPr>
        <w:t>1、有下列情形之一的，招标方将不予受理投标文件。</w:t>
      </w:r>
    </w:p>
    <w:p w14:paraId="2EAF2E20">
      <w:pPr>
        <w:pStyle w:val="15"/>
        <w:spacing w:line="360" w:lineRule="auto"/>
        <w:ind w:firstLine="480" w:firstLineChars="200"/>
        <w:rPr>
          <w:rFonts w:hint="eastAsia" w:hAnsi="宋体" w:cs="宋体"/>
          <w:sz w:val="24"/>
          <w:szCs w:val="24"/>
        </w:rPr>
      </w:pPr>
      <w:r>
        <w:rPr>
          <w:rFonts w:hint="eastAsia" w:hAnsi="宋体" w:cs="宋体"/>
          <w:sz w:val="24"/>
          <w:szCs w:val="24"/>
        </w:rPr>
        <w:t>1.1逾期上传电子档投标文件至“政采云”平台的；</w:t>
      </w:r>
    </w:p>
    <w:p w14:paraId="6F2CB1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1.2电子投标文件在规定时间内解密未成功的且未提供备份投标文件或提供的备份投标文件无法上传打开的。</w:t>
      </w:r>
    </w:p>
    <w:p w14:paraId="2E4AD4D4">
      <w:pPr>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2、投标文件在资格或商务技术标评审出现下列情形之一的，由评标小组审核后按无效投标文件处理。</w:t>
      </w:r>
    </w:p>
    <w:p w14:paraId="101C1428">
      <w:pPr>
        <w:numPr>
          <w:ilvl w:val="0"/>
          <w:numId w:val="5"/>
        </w:numPr>
        <w:tabs>
          <w:tab w:val="left" w:pos="5325"/>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资格响应文件或商务技术响应文件中包含投标报价的；</w:t>
      </w:r>
    </w:p>
    <w:p w14:paraId="6D55A697">
      <w:pPr>
        <w:numPr>
          <w:ilvl w:val="0"/>
          <w:numId w:val="5"/>
        </w:numPr>
        <w:tabs>
          <w:tab w:val="left" w:pos="5325"/>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招标文件关于投标文件组成内容商务技术响应文件要求中的内容，投标人的投标文件内容未提供完整或关键字迹模糊、无法辨认的或未按其规定的格式及要求填写、签字、盖章或提供的投标文件内容不符合招标文件中有关打★号的条款的规定；</w:t>
      </w:r>
    </w:p>
    <w:p w14:paraId="29C816CB">
      <w:pPr>
        <w:numPr>
          <w:ilvl w:val="0"/>
          <w:numId w:val="5"/>
        </w:num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文件未按招标文件要求加盖电子签章或实体公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14:paraId="25AF65F9">
      <w:pPr>
        <w:numPr>
          <w:ilvl w:val="0"/>
          <w:numId w:val="5"/>
        </w:num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投标人的投标资格未符合招标文件的资格要求规定；</w:t>
      </w:r>
    </w:p>
    <w:p w14:paraId="4A10AD51">
      <w:pPr>
        <w:numPr>
          <w:ilvl w:val="0"/>
          <w:numId w:val="5"/>
        </w:num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投标人递交两份或多份内容不同的投标文件且未声明哪一个有效，但按招标文件规定提交备选投标人方案的除外；</w:t>
      </w:r>
    </w:p>
    <w:p w14:paraId="618ABB29">
      <w:pPr>
        <w:numPr>
          <w:ilvl w:val="0"/>
          <w:numId w:val="5"/>
        </w:numPr>
        <w:tabs>
          <w:tab w:val="left" w:pos="5325"/>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投标人所投产品的数量不符合招标文件规定的，</w:t>
      </w:r>
      <w:r>
        <w:rPr>
          <w:rFonts w:hint="eastAsia" w:ascii="宋体" w:hAnsi="宋体" w:eastAsia="宋体" w:cs="宋体"/>
          <w:i/>
          <w:sz w:val="24"/>
          <w:szCs w:val="24"/>
        </w:rPr>
        <w:t>招标需求中要求提供的产品属于节能产品政府采购品目清单中政府强制采购的，投标人未提供该清单内产品的；</w:t>
      </w:r>
    </w:p>
    <w:p w14:paraId="380E7CE2">
      <w:pPr>
        <w:numPr>
          <w:ilvl w:val="0"/>
          <w:numId w:val="5"/>
        </w:numPr>
        <w:spacing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投标人借用或冒用他人名义或证件，或投标人涂改证件，或投标人伪造或编造投标资料的；</w:t>
      </w:r>
    </w:p>
    <w:p w14:paraId="0D09014E">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投标中不同投标单位的投标文件出现雷同或相似（包括部分雷同或相似），对所有雷同或相似投标人按废标处理，投标人串标的，招标方将保留进一步追究责任的权利；</w:t>
      </w:r>
    </w:p>
    <w:p w14:paraId="30CE8FC7">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其他对本招标文件中打★号的条款未完全响应的；</w:t>
      </w:r>
    </w:p>
    <w:p w14:paraId="617F67DE">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未提交《义乌市政府采购项目投标承诺书》；</w:t>
      </w:r>
    </w:p>
    <w:p w14:paraId="299274E3">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经评标小组认定，投标文件附有采购人不能接受的条件；</w:t>
      </w:r>
    </w:p>
    <w:p w14:paraId="20425B14">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对于评标小组提出的要求投标人澄清或说明的，如果投标人代表拒绝澄清或说明，或者拒绝签字的，评标小组可以对其作出无效标处理；</w:t>
      </w:r>
    </w:p>
    <w:p w14:paraId="745AB985">
      <w:pPr>
        <w:spacing w:line="360" w:lineRule="auto"/>
        <w:ind w:left="403"/>
        <w:rPr>
          <w:rFonts w:hint="eastAsia" w:ascii="宋体" w:hAnsi="宋体" w:eastAsia="宋体" w:cs="宋体"/>
          <w:sz w:val="24"/>
          <w:szCs w:val="24"/>
        </w:rPr>
      </w:pPr>
      <w:r>
        <w:rPr>
          <w:rFonts w:hint="eastAsia" w:ascii="宋体" w:hAnsi="宋体" w:eastAsia="宋体" w:cs="宋体"/>
          <w:sz w:val="24"/>
          <w:szCs w:val="24"/>
        </w:rPr>
        <w:t>2.13单位负责人为同一人或者存在直接控股、管理关系的不同投标人。</w:t>
      </w:r>
    </w:p>
    <w:p w14:paraId="2D1CAF0A">
      <w:pPr>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3、投标文件在报价响应文件评审中出现下列情形之一的，由评标小组审核后按无效投标文件处理。</w:t>
      </w:r>
    </w:p>
    <w:p w14:paraId="102BB438">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招标文件关于投标文件组成内容报价响应文件要求中的内容，投标人的投标文件内容未提供完整或关键字迹模糊、无法辨认的或未按其规定的格式及要求填写、签字、盖章或提供的投标文件内容不符合招标文件中有关打★号的条款的规定；</w:t>
      </w:r>
    </w:p>
    <w:p w14:paraId="20240A0B">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3.2投标报价高于预算价（或</w:t>
      </w:r>
      <w:r>
        <w:rPr>
          <w:rFonts w:hint="eastAsia" w:ascii="宋体" w:hAnsi="宋体" w:eastAsia="宋体" w:cs="宋体"/>
          <w:bCs/>
          <w:sz w:val="24"/>
        </w:rPr>
        <w:t>总价最高限价或单价最高限价</w:t>
      </w:r>
      <w:r>
        <w:rPr>
          <w:rFonts w:hint="eastAsia" w:ascii="宋体" w:hAnsi="宋体" w:eastAsia="宋体" w:cs="宋体"/>
          <w:sz w:val="24"/>
          <w:szCs w:val="24"/>
        </w:rPr>
        <w:t>），或低于企业成本价者或未填报企业成本价者；</w:t>
      </w:r>
    </w:p>
    <w:p w14:paraId="33E4F46D">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3.3投标人所投产品的数量不符合招标文件规定的； </w:t>
      </w:r>
    </w:p>
    <w:p w14:paraId="4E06DA32">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3.4投标人对同一采购项目两个或两个以上（两种或两种以上方案）报价的；或两个或两个以上（两种或两种以上方案）成本价的且未声明哪一个有效；</w:t>
      </w:r>
    </w:p>
    <w:p w14:paraId="356AA9F9">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14:paraId="337CF226">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3.6其他对本招标文件中打★号的条款未完全响应的；</w:t>
      </w:r>
    </w:p>
    <w:p w14:paraId="57235F31">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3.7当投标人由于报价计算错误，投标人拒绝接受按招标文件的规定进行的修正处理（或拒绝签名确认）。</w:t>
      </w:r>
    </w:p>
    <w:p w14:paraId="2F57D90D">
      <w:pPr>
        <w:pStyle w:val="15"/>
        <w:spacing w:line="360" w:lineRule="auto"/>
        <w:ind w:firstLine="470" w:firstLineChars="196"/>
        <w:rPr>
          <w:rFonts w:hint="eastAsia" w:hAnsi="宋体" w:cs="宋体"/>
          <w:sz w:val="24"/>
          <w:szCs w:val="24"/>
        </w:rPr>
      </w:pPr>
      <w:r>
        <w:rPr>
          <w:rFonts w:hint="eastAsia" w:hAnsi="宋体" w:cs="宋体"/>
          <w:sz w:val="24"/>
          <w:szCs w:val="24"/>
        </w:rPr>
        <w:t>4、在资格审查及评审过程中，符合中华人民共和国财政部令第87号《政府采购货物和服务招标投标管理办法》第三十七条情形之一的，视为投标人串通投标，其投标无效，并移送采购监管部门：</w:t>
      </w:r>
    </w:p>
    <w:p w14:paraId="647E7EE2">
      <w:pPr>
        <w:pStyle w:val="15"/>
        <w:spacing w:line="360" w:lineRule="auto"/>
        <w:ind w:firstLine="470" w:firstLineChars="196"/>
        <w:rPr>
          <w:rFonts w:hint="eastAsia" w:hAnsi="宋体" w:cs="宋体"/>
          <w:sz w:val="24"/>
          <w:szCs w:val="24"/>
        </w:rPr>
      </w:pPr>
      <w:r>
        <w:rPr>
          <w:rFonts w:hint="eastAsia" w:hAnsi="宋体" w:cs="宋体"/>
          <w:sz w:val="24"/>
          <w:szCs w:val="24"/>
        </w:rPr>
        <w:t>（1）不同投标人的投标文件由同一单位或者个人编制；</w:t>
      </w:r>
    </w:p>
    <w:p w14:paraId="23978906">
      <w:pPr>
        <w:pStyle w:val="15"/>
        <w:spacing w:line="360" w:lineRule="auto"/>
        <w:ind w:firstLine="470" w:firstLineChars="196"/>
        <w:rPr>
          <w:rFonts w:hint="eastAsia" w:hAnsi="宋体" w:cs="宋体"/>
          <w:sz w:val="24"/>
          <w:szCs w:val="24"/>
        </w:rPr>
      </w:pPr>
      <w:r>
        <w:rPr>
          <w:rFonts w:hint="eastAsia" w:hAnsi="宋体" w:cs="宋体"/>
          <w:sz w:val="24"/>
          <w:szCs w:val="24"/>
        </w:rPr>
        <w:t>（2）不同投标人委托同一单位或者个人办理投标事宜；</w:t>
      </w:r>
    </w:p>
    <w:p w14:paraId="7FD4C082">
      <w:pPr>
        <w:pStyle w:val="15"/>
        <w:spacing w:line="360" w:lineRule="auto"/>
        <w:ind w:firstLine="470" w:firstLineChars="196"/>
        <w:rPr>
          <w:rFonts w:hint="eastAsia" w:hAnsi="宋体" w:cs="宋体"/>
          <w:sz w:val="24"/>
          <w:szCs w:val="24"/>
        </w:rPr>
      </w:pPr>
      <w:r>
        <w:rPr>
          <w:rFonts w:hint="eastAsia" w:hAnsi="宋体" w:cs="宋体"/>
          <w:sz w:val="24"/>
          <w:szCs w:val="24"/>
        </w:rPr>
        <w:t>（3）不同投标人的投标文件载明的项目管理成员或者联系人员为同一人；</w:t>
      </w:r>
    </w:p>
    <w:p w14:paraId="19DA4A24">
      <w:pPr>
        <w:pStyle w:val="15"/>
        <w:spacing w:line="360" w:lineRule="auto"/>
        <w:ind w:firstLine="470" w:firstLineChars="196"/>
        <w:rPr>
          <w:rFonts w:hint="eastAsia" w:hAnsi="宋体" w:cs="宋体"/>
          <w:sz w:val="24"/>
          <w:szCs w:val="24"/>
        </w:rPr>
      </w:pPr>
      <w:r>
        <w:rPr>
          <w:rFonts w:hint="eastAsia" w:hAnsi="宋体" w:cs="宋体"/>
          <w:sz w:val="24"/>
          <w:szCs w:val="24"/>
        </w:rPr>
        <w:t>（4）不同投标人的投标文件异常一致或者投标报价呈规律性差异；</w:t>
      </w:r>
    </w:p>
    <w:p w14:paraId="0FA0B2EB">
      <w:pPr>
        <w:pStyle w:val="15"/>
        <w:spacing w:line="360" w:lineRule="auto"/>
        <w:ind w:firstLine="470" w:firstLineChars="196"/>
        <w:rPr>
          <w:rFonts w:hint="eastAsia" w:hAnsi="宋体" w:cs="宋体"/>
          <w:sz w:val="24"/>
          <w:szCs w:val="24"/>
        </w:rPr>
      </w:pPr>
      <w:r>
        <w:rPr>
          <w:rFonts w:hint="eastAsia" w:hAnsi="宋体" w:cs="宋体"/>
          <w:sz w:val="24"/>
          <w:szCs w:val="24"/>
        </w:rPr>
        <w:t>（5）不同投标人的投标文件相互混装。</w:t>
      </w:r>
    </w:p>
    <w:p w14:paraId="6FC6E36B">
      <w:pPr>
        <w:pStyle w:val="15"/>
        <w:spacing w:line="360" w:lineRule="auto"/>
        <w:ind w:firstLine="470" w:firstLineChars="196"/>
        <w:rPr>
          <w:rFonts w:hint="eastAsia" w:hAnsi="宋体" w:cs="宋体"/>
          <w:sz w:val="24"/>
          <w:szCs w:val="24"/>
        </w:rPr>
      </w:pPr>
      <w:r>
        <w:rPr>
          <w:rFonts w:hint="eastAsia" w:hAnsi="宋体" w:cs="宋体"/>
          <w:sz w:val="24"/>
          <w:szCs w:val="24"/>
        </w:rPr>
        <w:t>5、其他违反法律法规的情况。</w:t>
      </w:r>
    </w:p>
    <w:p w14:paraId="400B18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6、评标过程中，非上述所罗列的情况，不得以无效标处理。</w:t>
      </w:r>
    </w:p>
    <w:p w14:paraId="1953F170">
      <w:pPr>
        <w:pStyle w:val="8"/>
        <w:spacing w:line="360" w:lineRule="auto"/>
        <w:rPr>
          <w:rFonts w:hint="eastAsia" w:ascii="宋体" w:hAnsi="宋体" w:eastAsia="宋体" w:cs="宋体"/>
          <w:sz w:val="24"/>
        </w:rPr>
      </w:pPr>
    </w:p>
    <w:p w14:paraId="021AA982">
      <w:pPr>
        <w:pStyle w:val="8"/>
        <w:spacing w:line="360" w:lineRule="auto"/>
        <w:rPr>
          <w:rFonts w:hint="eastAsia" w:ascii="宋体" w:hAnsi="宋体" w:eastAsia="宋体" w:cs="宋体"/>
          <w:sz w:val="24"/>
        </w:rPr>
      </w:pPr>
    </w:p>
    <w:p w14:paraId="3267328F">
      <w:pPr>
        <w:spacing w:line="360" w:lineRule="auto"/>
        <w:rPr>
          <w:rFonts w:hint="eastAsia" w:ascii="宋体" w:hAnsi="宋体" w:eastAsia="宋体" w:cs="宋体"/>
          <w:sz w:val="36"/>
          <w:szCs w:val="36"/>
        </w:rPr>
      </w:pPr>
      <w:r>
        <w:rPr>
          <w:rFonts w:hint="eastAsia" w:ascii="宋体" w:hAnsi="宋体" w:eastAsia="宋体" w:cs="宋体"/>
          <w:sz w:val="36"/>
          <w:szCs w:val="36"/>
        </w:rPr>
        <w:br w:type="page"/>
      </w:r>
    </w:p>
    <w:p w14:paraId="0D0DBAF3">
      <w:pPr>
        <w:pStyle w:val="4"/>
        <w:spacing w:line="360" w:lineRule="auto"/>
        <w:jc w:val="center"/>
        <w:rPr>
          <w:rFonts w:hint="eastAsia" w:ascii="宋体" w:hAnsi="宋体" w:eastAsia="宋体" w:cs="宋体"/>
          <w:sz w:val="36"/>
        </w:rPr>
      </w:pPr>
      <w:r>
        <w:rPr>
          <w:rFonts w:hint="eastAsia" w:ascii="宋体" w:hAnsi="宋体" w:eastAsia="宋体" w:cs="宋体"/>
          <w:bCs w:val="0"/>
          <w:kern w:val="2"/>
          <w:sz w:val="36"/>
          <w:szCs w:val="36"/>
        </w:rPr>
        <w:t>第六章</w:t>
      </w:r>
      <w:r>
        <w:rPr>
          <w:rFonts w:hint="eastAsia" w:ascii="宋体" w:hAnsi="宋体" w:eastAsia="宋体" w:cs="宋体"/>
          <w:sz w:val="36"/>
        </w:rPr>
        <w:t xml:space="preserve">  评标办法</w:t>
      </w:r>
    </w:p>
    <w:p w14:paraId="300CE786">
      <w:pPr>
        <w:pStyle w:val="15"/>
        <w:spacing w:line="360" w:lineRule="auto"/>
        <w:ind w:firstLine="480" w:firstLineChars="200"/>
        <w:rPr>
          <w:rFonts w:hint="eastAsia" w:hAnsi="宋体" w:cs="宋体"/>
          <w:sz w:val="24"/>
        </w:rPr>
      </w:pPr>
      <w:r>
        <w:rPr>
          <w:rFonts w:hint="eastAsia" w:hAnsi="宋体" w:cs="宋体"/>
          <w:sz w:val="24"/>
        </w:rPr>
        <w:t>根据《中华人民共和国政府采购法》和有关规定，为更好地做到公开、公平、公正，结合本次招标的特点，特制定本评标办法。评标小组用</w:t>
      </w:r>
      <w:r>
        <w:rPr>
          <w:rFonts w:hint="eastAsia" w:hAnsi="宋体" w:cs="宋体"/>
          <w:sz w:val="24"/>
          <w:u w:val="single"/>
        </w:rPr>
        <w:t>综合评分法</w:t>
      </w:r>
      <w:r>
        <w:rPr>
          <w:rFonts w:hint="eastAsia" w:hAnsi="宋体" w:cs="宋体"/>
          <w:sz w:val="24"/>
        </w:rPr>
        <w:t>对招标项目作出评标结论。</w:t>
      </w:r>
    </w:p>
    <w:p w14:paraId="5054CD21">
      <w:pPr>
        <w:pStyle w:val="15"/>
        <w:spacing w:line="360" w:lineRule="auto"/>
        <w:outlineLvl w:val="1"/>
        <w:rPr>
          <w:rFonts w:hint="eastAsia" w:hAnsi="宋体" w:cs="宋体"/>
          <w:b/>
          <w:bCs/>
          <w:sz w:val="24"/>
          <w:szCs w:val="24"/>
        </w:rPr>
      </w:pPr>
      <w:r>
        <w:rPr>
          <w:rFonts w:hint="eastAsia" w:hAnsi="宋体" w:cs="宋体"/>
          <w:sz w:val="24"/>
        </w:rPr>
        <w:t>一</w:t>
      </w:r>
      <w:r>
        <w:rPr>
          <w:rFonts w:hint="eastAsia" w:hAnsi="宋体" w:cs="宋体"/>
          <w:b/>
          <w:spacing w:val="-4"/>
          <w:sz w:val="24"/>
          <w:szCs w:val="24"/>
        </w:rPr>
        <w:t>、</w:t>
      </w:r>
      <w:r>
        <w:rPr>
          <w:rFonts w:hint="eastAsia" w:hAnsi="宋体" w:cs="宋体"/>
          <w:b/>
          <w:bCs/>
          <w:sz w:val="24"/>
          <w:szCs w:val="24"/>
        </w:rPr>
        <w:t>评审程序</w:t>
      </w:r>
    </w:p>
    <w:p w14:paraId="17857D31">
      <w:pPr>
        <w:pStyle w:val="15"/>
        <w:spacing w:line="360" w:lineRule="auto"/>
        <w:ind w:firstLine="482"/>
        <w:rPr>
          <w:rFonts w:hint="eastAsia" w:hAnsi="宋体" w:cs="宋体"/>
          <w:sz w:val="24"/>
          <w:szCs w:val="24"/>
        </w:rPr>
      </w:pPr>
      <w:r>
        <w:rPr>
          <w:rFonts w:hint="eastAsia" w:hAnsi="宋体" w:cs="宋体"/>
          <w:sz w:val="24"/>
          <w:szCs w:val="24"/>
        </w:rPr>
        <w:t>1、对投标人资格响应文件进行符合性审查，确定资格审查通过单位；</w:t>
      </w:r>
    </w:p>
    <w:p w14:paraId="2FAF45B6">
      <w:pPr>
        <w:pStyle w:val="15"/>
        <w:spacing w:line="360" w:lineRule="auto"/>
        <w:ind w:firstLine="482"/>
        <w:rPr>
          <w:rFonts w:hint="eastAsia" w:hAnsi="宋体" w:cs="宋体"/>
          <w:sz w:val="24"/>
          <w:szCs w:val="24"/>
        </w:rPr>
      </w:pPr>
      <w:r>
        <w:rPr>
          <w:rFonts w:hint="eastAsia" w:hAnsi="宋体" w:cs="宋体"/>
          <w:sz w:val="24"/>
          <w:szCs w:val="24"/>
        </w:rPr>
        <w:t>2、对资格审查通过的投标人的商务技术响应文件进行符合性审查，确定商务技术响应文件有效单位；</w:t>
      </w:r>
    </w:p>
    <w:p w14:paraId="3E957EDD">
      <w:pPr>
        <w:pStyle w:val="15"/>
        <w:spacing w:line="360" w:lineRule="auto"/>
        <w:ind w:firstLine="482"/>
        <w:rPr>
          <w:rFonts w:hint="eastAsia" w:hAnsi="宋体" w:cs="宋体"/>
          <w:sz w:val="24"/>
          <w:szCs w:val="24"/>
        </w:rPr>
      </w:pPr>
      <w:r>
        <w:rPr>
          <w:rFonts w:hint="eastAsia" w:hAnsi="宋体" w:cs="宋体"/>
          <w:sz w:val="24"/>
          <w:szCs w:val="24"/>
        </w:rPr>
        <w:t>3、对商务技术响应文件有效的投标单位的商务技术响应文件进行评分，计算出各商务技术响应文件有效的投标单位的商务技术得分；</w:t>
      </w:r>
    </w:p>
    <w:p w14:paraId="6901A630">
      <w:pPr>
        <w:pStyle w:val="15"/>
        <w:spacing w:line="360" w:lineRule="auto"/>
        <w:ind w:firstLine="482"/>
        <w:rPr>
          <w:rFonts w:hint="eastAsia" w:hAnsi="宋体" w:cs="宋体"/>
          <w:sz w:val="24"/>
          <w:szCs w:val="24"/>
        </w:rPr>
      </w:pPr>
      <w:r>
        <w:rPr>
          <w:rFonts w:hint="eastAsia" w:hAnsi="宋体" w:cs="宋体"/>
          <w:sz w:val="24"/>
          <w:szCs w:val="24"/>
        </w:rPr>
        <w:t>4、对报价响应文件进行符合性审查；</w:t>
      </w:r>
    </w:p>
    <w:p w14:paraId="38C4FC1D">
      <w:pPr>
        <w:pStyle w:val="15"/>
        <w:spacing w:line="360" w:lineRule="auto"/>
        <w:ind w:firstLine="482"/>
        <w:rPr>
          <w:rFonts w:hint="eastAsia" w:hAnsi="宋体" w:cs="宋体"/>
          <w:sz w:val="24"/>
          <w:szCs w:val="24"/>
        </w:rPr>
      </w:pPr>
      <w:r>
        <w:rPr>
          <w:rFonts w:hint="eastAsia" w:hAnsi="宋体" w:cs="宋体"/>
          <w:sz w:val="24"/>
          <w:szCs w:val="24"/>
        </w:rPr>
        <w:t>5、对报价响应文件符合性审查通过的报价响应文件进行详细评审，并由“政采云”平台计算出其报价分及总得分；</w:t>
      </w:r>
    </w:p>
    <w:p w14:paraId="494121CA">
      <w:pPr>
        <w:pStyle w:val="15"/>
        <w:spacing w:line="360" w:lineRule="auto"/>
        <w:ind w:firstLine="482"/>
        <w:rPr>
          <w:rFonts w:hint="eastAsia" w:hAnsi="宋体" w:cs="宋体"/>
          <w:sz w:val="24"/>
          <w:szCs w:val="24"/>
        </w:rPr>
      </w:pPr>
      <w:r>
        <w:rPr>
          <w:rFonts w:hint="eastAsia" w:hAnsi="宋体" w:cs="宋体"/>
          <w:sz w:val="24"/>
          <w:szCs w:val="24"/>
        </w:rPr>
        <w:t>6、确定中标人、出具评标报告。</w:t>
      </w:r>
    </w:p>
    <w:p w14:paraId="6FA5C64C">
      <w:pPr>
        <w:pStyle w:val="15"/>
        <w:spacing w:line="360" w:lineRule="auto"/>
        <w:ind w:firstLine="480"/>
        <w:rPr>
          <w:rFonts w:hint="eastAsia" w:hAnsi="宋体" w:cs="宋体"/>
          <w:b/>
          <w:spacing w:val="-4"/>
          <w:sz w:val="24"/>
          <w:szCs w:val="24"/>
        </w:rPr>
      </w:pPr>
      <w:r>
        <w:rPr>
          <w:rFonts w:hint="eastAsia" w:hAnsi="宋体" w:cs="宋体"/>
          <w:sz w:val="24"/>
          <w:szCs w:val="24"/>
        </w:rPr>
        <w:t>评标小组以开标、评标、询标情况为基本依据，</w:t>
      </w:r>
      <w:r>
        <w:rPr>
          <w:rFonts w:hint="eastAsia" w:hAnsi="宋体" w:cs="宋体"/>
          <w:spacing w:val="-4"/>
          <w:sz w:val="24"/>
          <w:szCs w:val="24"/>
        </w:rPr>
        <w:t>对有效的投标文件分资格响应文件、商务技术响应文件和报价响应文件三个部分进行分析、评议，</w:t>
      </w:r>
      <w:r>
        <w:rPr>
          <w:rFonts w:hint="eastAsia" w:hAnsi="宋体" w:cs="宋体"/>
          <w:b/>
          <w:bCs/>
          <w:spacing w:val="-4"/>
          <w:sz w:val="24"/>
          <w:szCs w:val="24"/>
        </w:rPr>
        <w:t>先评资格响应文件、商务技术响应文件，后评报价响应文件</w:t>
      </w:r>
      <w:r>
        <w:rPr>
          <w:rFonts w:hint="eastAsia" w:hAnsi="宋体" w:cs="宋体"/>
          <w:b/>
          <w:spacing w:val="-4"/>
          <w:sz w:val="24"/>
          <w:szCs w:val="24"/>
        </w:rPr>
        <w:t>，报价响应文件在商务技术文件评审结束后开启；对商务技术响应无效的投标人不再进行报价响应的评审。</w:t>
      </w:r>
    </w:p>
    <w:p w14:paraId="4E5E9FB7">
      <w:pPr>
        <w:pStyle w:val="15"/>
        <w:spacing w:line="360" w:lineRule="auto"/>
        <w:outlineLvl w:val="1"/>
        <w:rPr>
          <w:rFonts w:hint="eastAsia" w:hAnsi="宋体" w:cs="宋体"/>
          <w:b/>
          <w:bCs/>
          <w:sz w:val="24"/>
          <w:szCs w:val="24"/>
        </w:rPr>
      </w:pPr>
      <w:r>
        <w:rPr>
          <w:rFonts w:hint="eastAsia" w:hAnsi="宋体" w:cs="宋体"/>
          <w:b/>
          <w:bCs/>
          <w:sz w:val="24"/>
          <w:szCs w:val="24"/>
        </w:rPr>
        <w:t>二、评审办法</w:t>
      </w:r>
    </w:p>
    <w:p w14:paraId="2B8BD800">
      <w:pPr>
        <w:pStyle w:val="15"/>
        <w:spacing w:line="360" w:lineRule="auto"/>
        <w:ind w:firstLine="482" w:firstLineChars="200"/>
        <w:rPr>
          <w:rFonts w:hint="eastAsia" w:hAnsi="宋体" w:cs="宋体"/>
          <w:b/>
          <w:bCs/>
          <w:sz w:val="24"/>
          <w:szCs w:val="24"/>
        </w:rPr>
      </w:pPr>
      <w:r>
        <w:rPr>
          <w:rFonts w:hint="eastAsia" w:hAnsi="宋体" w:cs="宋体"/>
          <w:b/>
          <w:bCs/>
          <w:sz w:val="24"/>
          <w:szCs w:val="24"/>
        </w:rPr>
        <w:t>1、</w:t>
      </w:r>
      <w:r>
        <w:rPr>
          <w:rFonts w:hint="eastAsia" w:hAnsi="宋体" w:cs="宋体"/>
          <w:b/>
          <w:bCs/>
          <w:sz w:val="24"/>
        </w:rPr>
        <w:t>商务技术响应文件评标</w:t>
      </w:r>
    </w:p>
    <w:p w14:paraId="3753B192">
      <w:pPr>
        <w:pStyle w:val="15"/>
        <w:wordWrap w:val="0"/>
        <w:spacing w:line="360" w:lineRule="auto"/>
        <w:ind w:firstLine="480" w:firstLineChars="200"/>
        <w:rPr>
          <w:rFonts w:hint="eastAsia" w:hAnsi="宋体" w:cs="宋体"/>
          <w:sz w:val="24"/>
        </w:rPr>
      </w:pPr>
      <w:r>
        <w:rPr>
          <w:rFonts w:hint="eastAsia" w:hAnsi="宋体" w:cs="宋体"/>
          <w:sz w:val="24"/>
        </w:rPr>
        <w:t>1.1</w:t>
      </w:r>
      <w:r>
        <w:rPr>
          <w:rFonts w:hint="eastAsia" w:hAnsi="宋体" w:cs="宋体"/>
          <w:bCs/>
          <w:sz w:val="24"/>
        </w:rPr>
        <w:t>根据招标文件第五章投标文件的有效性的规定，是否属于无效标或废标；</w:t>
      </w:r>
    </w:p>
    <w:p w14:paraId="4C867E96">
      <w:pPr>
        <w:pStyle w:val="15"/>
        <w:wordWrap w:val="0"/>
        <w:spacing w:line="360" w:lineRule="auto"/>
        <w:ind w:firstLine="480" w:firstLineChars="200"/>
        <w:rPr>
          <w:rFonts w:hint="eastAsia" w:hAnsi="宋体" w:cs="宋体"/>
          <w:sz w:val="24"/>
        </w:rPr>
      </w:pPr>
      <w:r>
        <w:rPr>
          <w:rFonts w:hint="eastAsia" w:hAnsi="宋体" w:cs="宋体"/>
          <w:sz w:val="24"/>
        </w:rPr>
        <w:t>1.2</w:t>
      </w:r>
      <w:r>
        <w:rPr>
          <w:rFonts w:hint="eastAsia" w:hAnsi="宋体" w:cs="宋体"/>
          <w:bCs/>
          <w:sz w:val="24"/>
        </w:rPr>
        <w:t>检查投标文件中是否有法定代表人或授权代表签字及加盖单位公章或电子签章；</w:t>
      </w:r>
    </w:p>
    <w:p w14:paraId="7B45D172">
      <w:pPr>
        <w:pStyle w:val="15"/>
        <w:wordWrap w:val="0"/>
        <w:spacing w:line="360" w:lineRule="auto"/>
        <w:ind w:firstLine="480" w:firstLineChars="200"/>
        <w:rPr>
          <w:rFonts w:hint="eastAsia" w:hAnsi="宋体" w:cs="宋体"/>
          <w:sz w:val="24"/>
        </w:rPr>
      </w:pPr>
      <w:r>
        <w:rPr>
          <w:rFonts w:hint="eastAsia" w:hAnsi="宋体" w:cs="宋体"/>
          <w:sz w:val="24"/>
        </w:rPr>
        <w:t>1.3检查标书的完整性，如资质证书等招标文件要求提供的资料是否齐全；</w:t>
      </w:r>
    </w:p>
    <w:p w14:paraId="1065B4AC">
      <w:pPr>
        <w:pStyle w:val="15"/>
        <w:wordWrap w:val="0"/>
        <w:spacing w:line="360" w:lineRule="auto"/>
        <w:ind w:firstLine="480" w:firstLineChars="200"/>
        <w:rPr>
          <w:rFonts w:hint="eastAsia" w:hAnsi="宋体" w:cs="宋体"/>
          <w:sz w:val="24"/>
        </w:rPr>
      </w:pPr>
      <w:r>
        <w:rPr>
          <w:rFonts w:hint="eastAsia" w:hAnsi="宋体" w:cs="宋体"/>
          <w:sz w:val="24"/>
        </w:rPr>
        <w:t>1.4检查拟供服务内容、质量是否满足招标文件及本项目的要求；</w:t>
      </w:r>
    </w:p>
    <w:p w14:paraId="4E3DD84E">
      <w:pPr>
        <w:pStyle w:val="15"/>
        <w:wordWrap w:val="0"/>
        <w:spacing w:line="360" w:lineRule="auto"/>
        <w:ind w:firstLine="480" w:firstLineChars="200"/>
        <w:rPr>
          <w:rFonts w:hint="eastAsia" w:hAnsi="宋体" w:cs="宋体"/>
          <w:sz w:val="24"/>
        </w:rPr>
      </w:pPr>
      <w:r>
        <w:rPr>
          <w:rFonts w:hint="eastAsia" w:hAnsi="宋体" w:cs="宋体"/>
          <w:sz w:val="24"/>
        </w:rPr>
        <w:t>1.5检查服务计划是否提供；是否具体、完整、可行；</w:t>
      </w:r>
    </w:p>
    <w:p w14:paraId="3C953436">
      <w:pPr>
        <w:pStyle w:val="15"/>
        <w:spacing w:line="360" w:lineRule="auto"/>
        <w:ind w:firstLine="480" w:firstLineChars="200"/>
        <w:rPr>
          <w:rFonts w:hint="eastAsia" w:hAnsi="宋体" w:cs="宋体"/>
          <w:sz w:val="24"/>
          <w:szCs w:val="24"/>
        </w:rPr>
      </w:pPr>
      <w:r>
        <w:rPr>
          <w:rFonts w:hint="eastAsia" w:hAnsi="宋体" w:cs="宋体"/>
          <w:bCs/>
          <w:sz w:val="24"/>
        </w:rPr>
        <w:t>1.6</w:t>
      </w:r>
      <w:r>
        <w:rPr>
          <w:rFonts w:hint="eastAsia" w:hAnsi="宋体" w:cs="宋体"/>
          <w:sz w:val="24"/>
        </w:rPr>
        <w:t>检查质保期及售后服务承诺是否提供，是否符合招标文件的要求；</w:t>
      </w:r>
    </w:p>
    <w:p w14:paraId="7BC491DA">
      <w:pPr>
        <w:pStyle w:val="15"/>
        <w:spacing w:line="360" w:lineRule="auto"/>
        <w:ind w:firstLine="482" w:firstLineChars="200"/>
        <w:rPr>
          <w:rFonts w:hint="eastAsia" w:hAnsi="宋体" w:cs="宋体"/>
          <w:b/>
          <w:bCs/>
          <w:sz w:val="24"/>
          <w:szCs w:val="24"/>
        </w:rPr>
      </w:pPr>
      <w:r>
        <w:rPr>
          <w:rFonts w:hint="eastAsia" w:hAnsi="宋体" w:cs="宋体"/>
          <w:b/>
          <w:bCs/>
          <w:sz w:val="24"/>
          <w:szCs w:val="24"/>
        </w:rPr>
        <w:t>1.7具体评审办法</w:t>
      </w:r>
    </w:p>
    <w:p w14:paraId="7459E63B">
      <w:pPr>
        <w:tabs>
          <w:tab w:val="left" w:pos="540"/>
        </w:tabs>
        <w:spacing w:line="360" w:lineRule="auto"/>
        <w:ind w:firstLine="480" w:firstLineChars="200"/>
        <w:rPr>
          <w:rFonts w:hint="eastAsia" w:ascii="宋体" w:hAnsi="宋体" w:eastAsia="宋体" w:cs="宋体"/>
          <w:sz w:val="24"/>
        </w:rPr>
      </w:pPr>
      <w:r>
        <w:rPr>
          <w:rFonts w:hint="eastAsia" w:ascii="宋体" w:hAnsi="宋体" w:eastAsia="宋体" w:cs="宋体"/>
          <w:sz w:val="24"/>
        </w:rPr>
        <w:t>商务技术分满分为70分，分值分配见表格。评标委员会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28"/>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63"/>
        <w:gridCol w:w="992"/>
        <w:gridCol w:w="4842"/>
        <w:gridCol w:w="1212"/>
        <w:gridCol w:w="1036"/>
      </w:tblGrid>
      <w:tr w14:paraId="244A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2" w:type="dxa"/>
            <w:vAlign w:val="center"/>
          </w:tcPr>
          <w:p w14:paraId="48B55CF7">
            <w:pPr>
              <w:widowControl/>
              <w:jc w:val="center"/>
              <w:rPr>
                <w:rFonts w:hint="eastAsia" w:ascii="宋体" w:hAnsi="宋体" w:eastAsia="宋体" w:cs="宋体"/>
                <w:color w:val="000000"/>
                <w:sz w:val="24"/>
                <w:szCs w:val="24"/>
              </w:rPr>
            </w:pPr>
            <w:r>
              <w:rPr>
                <w:rFonts w:hint="eastAsia" w:ascii="宋体" w:hAnsi="宋体" w:eastAsia="宋体" w:cs="宋体"/>
                <w:bCs/>
                <w:kern w:val="0"/>
                <w:sz w:val="24"/>
                <w:szCs w:val="24"/>
              </w:rPr>
              <w:t>序号</w:t>
            </w:r>
          </w:p>
        </w:tc>
        <w:tc>
          <w:tcPr>
            <w:tcW w:w="1163" w:type="dxa"/>
            <w:vAlign w:val="center"/>
          </w:tcPr>
          <w:p w14:paraId="29ED5610">
            <w:pPr>
              <w:widowControl/>
              <w:jc w:val="center"/>
              <w:rPr>
                <w:rFonts w:hint="eastAsia" w:ascii="宋体" w:hAnsi="宋体" w:eastAsia="宋体" w:cs="宋体"/>
                <w:color w:val="000000"/>
                <w:sz w:val="24"/>
                <w:szCs w:val="24"/>
              </w:rPr>
            </w:pPr>
            <w:r>
              <w:rPr>
                <w:rFonts w:hint="eastAsia" w:ascii="宋体" w:hAnsi="宋体" w:eastAsia="宋体" w:cs="宋体"/>
                <w:bCs/>
                <w:kern w:val="0"/>
                <w:sz w:val="24"/>
                <w:szCs w:val="24"/>
              </w:rPr>
              <w:t>评分内容</w:t>
            </w:r>
          </w:p>
        </w:tc>
        <w:tc>
          <w:tcPr>
            <w:tcW w:w="5834" w:type="dxa"/>
            <w:gridSpan w:val="2"/>
            <w:vAlign w:val="center"/>
          </w:tcPr>
          <w:p w14:paraId="4FB8D53C">
            <w:pPr>
              <w:widowControl/>
              <w:jc w:val="center"/>
              <w:rPr>
                <w:rFonts w:hint="eastAsia" w:ascii="宋体" w:hAnsi="宋体" w:eastAsia="宋体" w:cs="宋体"/>
                <w:color w:val="000000"/>
                <w:sz w:val="24"/>
                <w:szCs w:val="24"/>
                <w:highlight w:val="yellow"/>
              </w:rPr>
            </w:pPr>
            <w:r>
              <w:rPr>
                <w:rFonts w:hint="eastAsia" w:ascii="宋体" w:hAnsi="宋体" w:eastAsia="宋体" w:cs="宋体"/>
                <w:bCs/>
                <w:kern w:val="0"/>
                <w:sz w:val="24"/>
                <w:szCs w:val="24"/>
              </w:rPr>
              <w:t>评审细则</w:t>
            </w:r>
          </w:p>
        </w:tc>
        <w:tc>
          <w:tcPr>
            <w:tcW w:w="1212" w:type="dxa"/>
            <w:vAlign w:val="center"/>
          </w:tcPr>
          <w:p w14:paraId="4012F3F9">
            <w:pPr>
              <w:widowControl/>
              <w:jc w:val="center"/>
              <w:rPr>
                <w:rFonts w:hint="eastAsia" w:ascii="宋体" w:hAnsi="宋体" w:eastAsia="宋体" w:cs="宋体"/>
                <w:color w:val="000000"/>
                <w:sz w:val="24"/>
                <w:szCs w:val="24"/>
              </w:rPr>
            </w:pPr>
            <w:r>
              <w:rPr>
                <w:rFonts w:hint="eastAsia" w:ascii="宋体" w:hAnsi="宋体" w:eastAsia="宋体" w:cs="宋体"/>
                <w:bCs/>
                <w:kern w:val="0"/>
                <w:sz w:val="24"/>
                <w:szCs w:val="24"/>
              </w:rPr>
              <w:t>分值</w:t>
            </w:r>
          </w:p>
        </w:tc>
        <w:tc>
          <w:tcPr>
            <w:tcW w:w="1036" w:type="dxa"/>
            <w:vAlign w:val="center"/>
          </w:tcPr>
          <w:p w14:paraId="1AC0CCB2">
            <w:pPr>
              <w:widowControl/>
              <w:jc w:val="center"/>
              <w:rPr>
                <w:rFonts w:hint="eastAsia" w:ascii="宋体" w:hAnsi="宋体" w:eastAsia="宋体" w:cs="宋体"/>
                <w:color w:val="000000"/>
                <w:sz w:val="24"/>
                <w:szCs w:val="24"/>
              </w:rPr>
            </w:pPr>
            <w:r>
              <w:rPr>
                <w:rFonts w:hint="eastAsia" w:ascii="宋体" w:hAnsi="宋体" w:eastAsia="宋体" w:cs="宋体"/>
                <w:bCs/>
                <w:kern w:val="0"/>
                <w:sz w:val="24"/>
                <w:szCs w:val="24"/>
              </w:rPr>
              <w:t>备注</w:t>
            </w:r>
          </w:p>
        </w:tc>
      </w:tr>
      <w:tr w14:paraId="11B5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92" w:type="dxa"/>
            <w:vAlign w:val="center"/>
          </w:tcPr>
          <w:p w14:paraId="635ACD4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63" w:type="dxa"/>
            <w:vAlign w:val="center"/>
          </w:tcPr>
          <w:p w14:paraId="55A6EAF7">
            <w:pPr>
              <w:rPr>
                <w:rFonts w:hint="eastAsia" w:ascii="宋体" w:hAnsi="宋体" w:eastAsia="宋体" w:cs="宋体"/>
                <w:color w:val="000000"/>
                <w:sz w:val="24"/>
                <w:szCs w:val="24"/>
              </w:rPr>
            </w:pPr>
            <w:r>
              <w:rPr>
                <w:rFonts w:hint="eastAsia" w:ascii="宋体" w:hAnsi="宋体" w:eastAsia="宋体" w:cs="宋体"/>
                <w:color w:val="000000"/>
                <w:sz w:val="24"/>
                <w:szCs w:val="24"/>
              </w:rPr>
              <w:t>相关案例</w:t>
            </w:r>
          </w:p>
        </w:tc>
        <w:tc>
          <w:tcPr>
            <w:tcW w:w="5834" w:type="dxa"/>
            <w:gridSpan w:val="2"/>
            <w:vAlign w:val="center"/>
          </w:tcPr>
          <w:p w14:paraId="2392C615">
            <w:pPr>
              <w:rPr>
                <w:rFonts w:hint="eastAsia" w:ascii="宋体" w:hAnsi="宋体" w:eastAsia="宋体" w:cs="宋体"/>
                <w:color w:val="000000"/>
                <w:sz w:val="24"/>
                <w:szCs w:val="24"/>
              </w:rPr>
            </w:pPr>
            <w:r>
              <w:rPr>
                <w:rFonts w:hint="eastAsia" w:ascii="宋体" w:hAnsi="宋体" w:eastAsia="宋体" w:cs="宋体"/>
                <w:color w:val="000000"/>
                <w:sz w:val="24"/>
                <w:szCs w:val="24"/>
              </w:rPr>
              <w:t>自2021年1月1日以来（以合同签订时间为准），投标人具备与本项目类似业绩的，每个1分，最高3分。（提供盖章合同扫描件，未提供不得分）</w:t>
            </w:r>
          </w:p>
        </w:tc>
        <w:tc>
          <w:tcPr>
            <w:tcW w:w="1212" w:type="dxa"/>
            <w:vAlign w:val="center"/>
          </w:tcPr>
          <w:p w14:paraId="19A81FD3">
            <w:pPr>
              <w:rPr>
                <w:rFonts w:hint="eastAsia" w:ascii="宋体" w:hAnsi="宋体" w:eastAsia="宋体" w:cs="宋体"/>
                <w:color w:val="000000"/>
                <w:sz w:val="24"/>
                <w:szCs w:val="24"/>
              </w:rPr>
            </w:pPr>
            <w:r>
              <w:rPr>
                <w:rFonts w:hint="eastAsia" w:ascii="宋体" w:hAnsi="宋体" w:eastAsia="宋体" w:cs="宋体"/>
                <w:color w:val="000000"/>
                <w:sz w:val="24"/>
                <w:szCs w:val="24"/>
              </w:rPr>
              <w:t>0-3分</w:t>
            </w:r>
          </w:p>
        </w:tc>
        <w:tc>
          <w:tcPr>
            <w:tcW w:w="1036" w:type="dxa"/>
            <w:vAlign w:val="center"/>
          </w:tcPr>
          <w:p w14:paraId="0C301B29">
            <w:pPr>
              <w:rPr>
                <w:rFonts w:hint="eastAsia" w:ascii="宋体" w:hAnsi="宋体" w:eastAsia="宋体" w:cs="宋体"/>
                <w:color w:val="000000"/>
                <w:sz w:val="24"/>
                <w:szCs w:val="24"/>
              </w:rPr>
            </w:pPr>
            <w:r>
              <w:rPr>
                <w:rFonts w:hint="eastAsia" w:ascii="宋体" w:hAnsi="宋体" w:eastAsia="宋体" w:cs="宋体"/>
                <w:color w:val="000000"/>
                <w:sz w:val="24"/>
                <w:szCs w:val="24"/>
              </w:rPr>
              <w:t>客观分</w:t>
            </w:r>
          </w:p>
        </w:tc>
      </w:tr>
      <w:tr w14:paraId="74D9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2" w:type="dxa"/>
            <w:vAlign w:val="center"/>
          </w:tcPr>
          <w:p w14:paraId="5EAE702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63" w:type="dxa"/>
            <w:vAlign w:val="center"/>
          </w:tcPr>
          <w:p w14:paraId="2B35F088">
            <w:pPr>
              <w:rPr>
                <w:rFonts w:hint="eastAsia" w:ascii="宋体" w:hAnsi="宋体" w:eastAsia="宋体" w:cs="宋体"/>
                <w:color w:val="000000"/>
                <w:sz w:val="24"/>
                <w:szCs w:val="24"/>
              </w:rPr>
            </w:pPr>
            <w:r>
              <w:rPr>
                <w:rFonts w:hint="eastAsia" w:ascii="宋体" w:hAnsi="宋体" w:eastAsia="宋体" w:cs="宋体"/>
                <w:color w:val="000000"/>
                <w:sz w:val="24"/>
                <w:szCs w:val="24"/>
              </w:rPr>
              <w:t>技术参数</w:t>
            </w:r>
          </w:p>
        </w:tc>
        <w:tc>
          <w:tcPr>
            <w:tcW w:w="5834" w:type="dxa"/>
            <w:gridSpan w:val="2"/>
            <w:vAlign w:val="center"/>
          </w:tcPr>
          <w:p w14:paraId="1579D25E">
            <w:pPr>
              <w:rPr>
                <w:rFonts w:hint="eastAsia" w:ascii="宋体" w:hAnsi="宋体" w:eastAsia="宋体" w:cs="宋体"/>
                <w:color w:val="000000"/>
                <w:sz w:val="24"/>
                <w:szCs w:val="24"/>
              </w:rPr>
            </w:pPr>
            <w:r>
              <w:rPr>
                <w:rFonts w:hint="eastAsia" w:ascii="宋体" w:hAnsi="宋体" w:eastAsia="宋体" w:cs="宋体"/>
                <w:color w:val="000000"/>
                <w:sz w:val="24"/>
                <w:szCs w:val="24"/>
              </w:rPr>
              <w:t>技术要求中打 “★”的为实质性指标，凡有负偏离的，作废标处理，打“▲”的为重要性指标，如出现负偏离，每项扣1分，扣完为止；其他项出现负偏离的，根据负偏离程度每项扣0.5分，扣完为止。（注：技术要求及参数需在技术偏离表中逐条列出）</w:t>
            </w:r>
          </w:p>
        </w:tc>
        <w:tc>
          <w:tcPr>
            <w:tcW w:w="1212" w:type="dxa"/>
            <w:vAlign w:val="center"/>
          </w:tcPr>
          <w:p w14:paraId="2D62EE1E">
            <w:pPr>
              <w:rPr>
                <w:rFonts w:hint="eastAsia" w:ascii="宋体" w:hAnsi="宋体" w:eastAsia="宋体" w:cs="宋体"/>
                <w:color w:val="000000"/>
                <w:sz w:val="24"/>
                <w:szCs w:val="24"/>
              </w:rPr>
            </w:pPr>
            <w:r>
              <w:rPr>
                <w:rFonts w:hint="eastAsia" w:ascii="宋体" w:hAnsi="宋体" w:eastAsia="宋体" w:cs="宋体"/>
                <w:color w:val="000000"/>
                <w:sz w:val="24"/>
                <w:szCs w:val="24"/>
              </w:rPr>
              <w:t>0-22分</w:t>
            </w:r>
          </w:p>
        </w:tc>
        <w:tc>
          <w:tcPr>
            <w:tcW w:w="1036" w:type="dxa"/>
            <w:vAlign w:val="center"/>
          </w:tcPr>
          <w:p w14:paraId="2BADDD60">
            <w:pPr>
              <w:rPr>
                <w:rFonts w:hint="eastAsia" w:ascii="宋体" w:hAnsi="宋体" w:eastAsia="宋体" w:cs="宋体"/>
                <w:color w:val="000000"/>
                <w:sz w:val="24"/>
                <w:szCs w:val="24"/>
              </w:rPr>
            </w:pPr>
            <w:r>
              <w:rPr>
                <w:rFonts w:hint="eastAsia" w:ascii="宋体" w:hAnsi="宋体" w:eastAsia="宋体" w:cs="宋体"/>
                <w:color w:val="000000"/>
                <w:sz w:val="24"/>
                <w:szCs w:val="24"/>
              </w:rPr>
              <w:t>客观分</w:t>
            </w:r>
          </w:p>
        </w:tc>
      </w:tr>
      <w:tr w14:paraId="005F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2" w:type="dxa"/>
            <w:vMerge w:val="restart"/>
            <w:vAlign w:val="center"/>
          </w:tcPr>
          <w:p w14:paraId="3065A51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63" w:type="dxa"/>
            <w:vMerge w:val="restart"/>
            <w:vAlign w:val="center"/>
          </w:tcPr>
          <w:p w14:paraId="118639F3">
            <w:pPr>
              <w:rPr>
                <w:rFonts w:hint="eastAsia" w:ascii="宋体" w:hAnsi="宋体" w:eastAsia="宋体" w:cs="宋体"/>
                <w:color w:val="000000"/>
                <w:sz w:val="24"/>
                <w:szCs w:val="24"/>
              </w:rPr>
            </w:pPr>
            <w:r>
              <w:rPr>
                <w:rFonts w:hint="eastAsia" w:ascii="宋体" w:hAnsi="宋体" w:eastAsia="宋体" w:cs="宋体"/>
                <w:color w:val="000000"/>
                <w:sz w:val="24"/>
                <w:szCs w:val="24"/>
              </w:rPr>
              <w:t>建设方案</w:t>
            </w:r>
          </w:p>
        </w:tc>
        <w:tc>
          <w:tcPr>
            <w:tcW w:w="992" w:type="dxa"/>
            <w:vAlign w:val="center"/>
          </w:tcPr>
          <w:p w14:paraId="03CC75E3">
            <w:pPr>
              <w:rPr>
                <w:rFonts w:hint="eastAsia" w:ascii="宋体" w:hAnsi="宋体" w:eastAsia="宋体" w:cs="宋体"/>
                <w:color w:val="000000"/>
                <w:sz w:val="24"/>
                <w:szCs w:val="24"/>
              </w:rPr>
            </w:pPr>
            <w:r>
              <w:rPr>
                <w:rFonts w:hint="eastAsia" w:ascii="宋体" w:hAnsi="宋体" w:eastAsia="宋体" w:cs="宋体"/>
                <w:color w:val="000000"/>
                <w:sz w:val="24"/>
                <w:szCs w:val="24"/>
              </w:rPr>
              <w:t>项目理解</w:t>
            </w:r>
          </w:p>
        </w:tc>
        <w:tc>
          <w:tcPr>
            <w:tcW w:w="4842" w:type="dxa"/>
            <w:vAlign w:val="center"/>
          </w:tcPr>
          <w:p w14:paraId="183282F5">
            <w:pPr>
              <w:rPr>
                <w:rFonts w:hint="eastAsia" w:ascii="宋体" w:hAnsi="宋体" w:eastAsia="宋体" w:cs="宋体"/>
                <w:color w:val="000000"/>
                <w:sz w:val="24"/>
                <w:szCs w:val="24"/>
              </w:rPr>
            </w:pPr>
            <w:r>
              <w:rPr>
                <w:rFonts w:hint="eastAsia" w:ascii="宋体" w:hAnsi="宋体" w:eastAsia="宋体" w:cs="宋体"/>
                <w:color w:val="000000"/>
                <w:sz w:val="24"/>
                <w:szCs w:val="24"/>
              </w:rPr>
              <w:t>根据投标人提供的现状分析（评分值：0分、0.5分、1分）、需求分析（评分值：0分、0.5分、1分）及建设思路（评分值：0分、0.5分、1分），从内容准确性以及思路可行性等方面进行评分，对项目理解有重大偏差或者未提供者，无此项描述的不得分。</w:t>
            </w:r>
          </w:p>
        </w:tc>
        <w:tc>
          <w:tcPr>
            <w:tcW w:w="1212" w:type="dxa"/>
            <w:vAlign w:val="center"/>
          </w:tcPr>
          <w:p w14:paraId="2E19AAF8">
            <w:pPr>
              <w:rPr>
                <w:rFonts w:hint="eastAsia" w:ascii="宋体" w:hAnsi="宋体" w:eastAsia="宋体" w:cs="宋体"/>
                <w:color w:val="000000"/>
                <w:sz w:val="24"/>
                <w:szCs w:val="24"/>
              </w:rPr>
            </w:pPr>
            <w:r>
              <w:rPr>
                <w:rFonts w:hint="eastAsia" w:ascii="宋体" w:hAnsi="宋体" w:eastAsia="宋体" w:cs="宋体"/>
                <w:color w:val="000000"/>
                <w:sz w:val="24"/>
                <w:szCs w:val="24"/>
              </w:rPr>
              <w:t>0-3分</w:t>
            </w:r>
          </w:p>
        </w:tc>
        <w:tc>
          <w:tcPr>
            <w:tcW w:w="1036" w:type="dxa"/>
            <w:vAlign w:val="center"/>
          </w:tcPr>
          <w:p w14:paraId="19BB7321">
            <w:pPr>
              <w:rPr>
                <w:rFonts w:hint="eastAsia" w:ascii="宋体" w:hAnsi="宋体" w:eastAsia="宋体" w:cs="宋体"/>
                <w:color w:val="000000"/>
                <w:sz w:val="24"/>
                <w:szCs w:val="24"/>
              </w:rPr>
            </w:pPr>
            <w:r>
              <w:rPr>
                <w:rFonts w:hint="eastAsia" w:ascii="宋体" w:hAnsi="宋体" w:eastAsia="宋体" w:cs="宋体"/>
                <w:color w:val="000000"/>
                <w:sz w:val="24"/>
                <w:szCs w:val="24"/>
              </w:rPr>
              <w:t>主观分</w:t>
            </w:r>
          </w:p>
        </w:tc>
      </w:tr>
      <w:tr w14:paraId="2B4E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2" w:type="dxa"/>
            <w:vMerge w:val="continue"/>
            <w:vAlign w:val="center"/>
          </w:tcPr>
          <w:p w14:paraId="0779026A">
            <w:pPr>
              <w:jc w:val="center"/>
              <w:rPr>
                <w:rFonts w:hint="eastAsia" w:ascii="宋体" w:hAnsi="宋体" w:eastAsia="宋体" w:cs="宋体"/>
                <w:color w:val="000000"/>
                <w:sz w:val="24"/>
                <w:szCs w:val="24"/>
              </w:rPr>
            </w:pPr>
          </w:p>
        </w:tc>
        <w:tc>
          <w:tcPr>
            <w:tcW w:w="1163" w:type="dxa"/>
            <w:vMerge w:val="continue"/>
            <w:vAlign w:val="center"/>
          </w:tcPr>
          <w:p w14:paraId="580FD7E3">
            <w:pPr>
              <w:rPr>
                <w:rFonts w:hint="eastAsia" w:ascii="宋体" w:hAnsi="宋体" w:eastAsia="宋体" w:cs="宋体"/>
                <w:color w:val="000000"/>
                <w:sz w:val="24"/>
                <w:szCs w:val="24"/>
              </w:rPr>
            </w:pPr>
          </w:p>
        </w:tc>
        <w:tc>
          <w:tcPr>
            <w:tcW w:w="992" w:type="dxa"/>
            <w:vAlign w:val="center"/>
          </w:tcPr>
          <w:p w14:paraId="1145032F">
            <w:pPr>
              <w:rPr>
                <w:rFonts w:hint="eastAsia" w:ascii="宋体" w:hAnsi="宋体" w:eastAsia="宋体" w:cs="宋体"/>
                <w:color w:val="000000"/>
                <w:sz w:val="24"/>
                <w:szCs w:val="24"/>
              </w:rPr>
            </w:pPr>
            <w:r>
              <w:rPr>
                <w:rFonts w:hint="eastAsia" w:ascii="宋体" w:hAnsi="宋体" w:eastAsia="宋体" w:cs="宋体"/>
                <w:color w:val="000000"/>
                <w:sz w:val="24"/>
                <w:szCs w:val="24"/>
              </w:rPr>
              <w:t>总体设计方案</w:t>
            </w:r>
          </w:p>
        </w:tc>
        <w:tc>
          <w:tcPr>
            <w:tcW w:w="4842" w:type="dxa"/>
            <w:vAlign w:val="center"/>
          </w:tcPr>
          <w:p w14:paraId="71257D5D">
            <w:pPr>
              <w:rPr>
                <w:rFonts w:hint="eastAsia" w:ascii="宋体" w:hAnsi="宋体" w:eastAsia="宋体" w:cs="宋体"/>
                <w:color w:val="000000"/>
                <w:sz w:val="24"/>
                <w:szCs w:val="24"/>
              </w:rPr>
            </w:pPr>
            <w:r>
              <w:rPr>
                <w:rFonts w:hint="eastAsia" w:ascii="宋体" w:hAnsi="宋体" w:eastAsia="宋体" w:cs="宋体"/>
                <w:color w:val="000000"/>
                <w:sz w:val="24"/>
                <w:szCs w:val="24"/>
              </w:rPr>
              <w:t>根据投标人提供的总体设计方案进行评分，包括对系统架构设计（评分值：0分、1分、1.5分、2分）、视频AI智能分析（评分值：0分、1分、1.5分、2分）、智能联动应用（评分值：0分、1分、1.5分、2分）、共享数据量（评分值：0分、1分、1.5分、2分）、数据流向及跨部门数据融合和协同工作（评分值：0分、1分、1.5分、2分）等内容进行综合评价，方案切合实际，科学合理，可行性强，内容严谨、清晰程度进行打分，对项目理解有重大偏差或者未提供者，无此项描述的不得分。</w:t>
            </w:r>
          </w:p>
        </w:tc>
        <w:tc>
          <w:tcPr>
            <w:tcW w:w="1212" w:type="dxa"/>
            <w:vAlign w:val="center"/>
          </w:tcPr>
          <w:p w14:paraId="3E7FC72B">
            <w:pPr>
              <w:rPr>
                <w:rFonts w:hint="eastAsia" w:ascii="宋体" w:hAnsi="宋体" w:eastAsia="宋体" w:cs="宋体"/>
                <w:color w:val="000000"/>
                <w:sz w:val="24"/>
                <w:szCs w:val="24"/>
              </w:rPr>
            </w:pPr>
            <w:r>
              <w:rPr>
                <w:rFonts w:hint="eastAsia" w:ascii="宋体" w:hAnsi="宋体" w:eastAsia="宋体" w:cs="宋体"/>
                <w:color w:val="000000"/>
                <w:sz w:val="24"/>
                <w:szCs w:val="24"/>
              </w:rPr>
              <w:t>0-10分</w:t>
            </w:r>
          </w:p>
        </w:tc>
        <w:tc>
          <w:tcPr>
            <w:tcW w:w="1036" w:type="dxa"/>
            <w:vAlign w:val="center"/>
          </w:tcPr>
          <w:p w14:paraId="591FE345">
            <w:pPr>
              <w:rPr>
                <w:rFonts w:hint="eastAsia" w:ascii="宋体" w:hAnsi="宋体" w:eastAsia="宋体" w:cs="宋体"/>
                <w:color w:val="000000"/>
                <w:sz w:val="24"/>
                <w:szCs w:val="24"/>
              </w:rPr>
            </w:pPr>
            <w:r>
              <w:rPr>
                <w:rFonts w:hint="eastAsia" w:ascii="宋体" w:hAnsi="宋体" w:eastAsia="宋体" w:cs="宋体"/>
                <w:color w:val="000000"/>
                <w:sz w:val="24"/>
                <w:szCs w:val="24"/>
              </w:rPr>
              <w:t>主观分</w:t>
            </w:r>
          </w:p>
        </w:tc>
      </w:tr>
      <w:tr w14:paraId="47A7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2" w:type="dxa"/>
            <w:vMerge w:val="continue"/>
            <w:vAlign w:val="center"/>
          </w:tcPr>
          <w:p w14:paraId="35BB13F4">
            <w:pPr>
              <w:jc w:val="center"/>
              <w:rPr>
                <w:rFonts w:hint="eastAsia" w:ascii="宋体" w:hAnsi="宋体" w:eastAsia="宋体" w:cs="宋体"/>
                <w:color w:val="000000"/>
                <w:sz w:val="24"/>
                <w:szCs w:val="24"/>
              </w:rPr>
            </w:pPr>
          </w:p>
        </w:tc>
        <w:tc>
          <w:tcPr>
            <w:tcW w:w="1163" w:type="dxa"/>
            <w:vMerge w:val="continue"/>
            <w:vAlign w:val="center"/>
          </w:tcPr>
          <w:p w14:paraId="56D552C0">
            <w:pPr>
              <w:rPr>
                <w:rFonts w:hint="eastAsia" w:ascii="宋体" w:hAnsi="宋体" w:eastAsia="宋体" w:cs="宋体"/>
                <w:color w:val="000000"/>
                <w:sz w:val="24"/>
                <w:szCs w:val="24"/>
              </w:rPr>
            </w:pPr>
          </w:p>
        </w:tc>
        <w:tc>
          <w:tcPr>
            <w:tcW w:w="992" w:type="dxa"/>
            <w:vAlign w:val="center"/>
          </w:tcPr>
          <w:p w14:paraId="2AA2513F">
            <w:pPr>
              <w:rPr>
                <w:rFonts w:hint="eastAsia" w:ascii="宋体" w:hAnsi="宋体" w:eastAsia="宋体" w:cs="宋体"/>
                <w:color w:val="000000"/>
                <w:sz w:val="24"/>
                <w:szCs w:val="24"/>
              </w:rPr>
            </w:pPr>
            <w:r>
              <w:rPr>
                <w:rFonts w:hint="eastAsia" w:ascii="宋体" w:hAnsi="宋体" w:eastAsia="宋体" w:cs="宋体"/>
                <w:color w:val="000000"/>
                <w:sz w:val="24"/>
                <w:szCs w:val="24"/>
              </w:rPr>
              <w:t>建设方案</w:t>
            </w:r>
          </w:p>
        </w:tc>
        <w:tc>
          <w:tcPr>
            <w:tcW w:w="4842" w:type="dxa"/>
            <w:vAlign w:val="center"/>
          </w:tcPr>
          <w:p w14:paraId="48D9EED9">
            <w:pPr>
              <w:rPr>
                <w:rFonts w:hint="eastAsia" w:ascii="宋体" w:hAnsi="宋体" w:eastAsia="宋体" w:cs="宋体"/>
                <w:color w:val="000000"/>
                <w:sz w:val="24"/>
                <w:szCs w:val="24"/>
              </w:rPr>
            </w:pPr>
            <w:r>
              <w:rPr>
                <w:rFonts w:hint="eastAsia" w:ascii="宋体" w:hAnsi="宋体" w:eastAsia="宋体" w:cs="宋体"/>
                <w:color w:val="000000"/>
                <w:sz w:val="24"/>
                <w:szCs w:val="24"/>
              </w:rPr>
              <w:t>根据投标人提供的建设方案进行评分，包括但不限于登记建档（评分值：0分、0.5分、1分）、作业报备（评分值：0分、0.5分、1分）、智能监测（评分值：0分、0.5分、1分）、监测预警模型（评分值：0分、0.5分、1分）、智能预警广播（评分值：0分、0.5分、1分）、联动预警巡查（评分值：0分、0.5分、1分）、预警闭环流转（评分值：0分、0.5分、1分）等方面，对方案的科学性、合理性、可行性、内容严谨性、清晰程度等方面进行打分，对项目理解有重大偏差或者未提供者，无此项描述的不得分。</w:t>
            </w:r>
          </w:p>
        </w:tc>
        <w:tc>
          <w:tcPr>
            <w:tcW w:w="1212" w:type="dxa"/>
            <w:vAlign w:val="center"/>
          </w:tcPr>
          <w:p w14:paraId="7BB72600">
            <w:pPr>
              <w:rPr>
                <w:rFonts w:hint="eastAsia" w:ascii="宋体" w:hAnsi="宋体" w:eastAsia="宋体" w:cs="宋体"/>
                <w:color w:val="000000"/>
                <w:sz w:val="24"/>
                <w:szCs w:val="24"/>
              </w:rPr>
            </w:pPr>
            <w:r>
              <w:rPr>
                <w:rFonts w:hint="eastAsia" w:ascii="宋体" w:hAnsi="宋体" w:eastAsia="宋体" w:cs="宋体"/>
                <w:color w:val="000000"/>
                <w:sz w:val="24"/>
                <w:szCs w:val="24"/>
              </w:rPr>
              <w:t>0-7分</w:t>
            </w:r>
          </w:p>
        </w:tc>
        <w:tc>
          <w:tcPr>
            <w:tcW w:w="1036" w:type="dxa"/>
            <w:vAlign w:val="center"/>
          </w:tcPr>
          <w:p w14:paraId="611EAF76">
            <w:pPr>
              <w:rPr>
                <w:rFonts w:hint="eastAsia" w:ascii="宋体" w:hAnsi="宋体" w:eastAsia="宋体" w:cs="宋体"/>
                <w:color w:val="000000"/>
                <w:sz w:val="24"/>
                <w:szCs w:val="24"/>
              </w:rPr>
            </w:pPr>
            <w:r>
              <w:rPr>
                <w:rFonts w:hint="eastAsia" w:ascii="宋体" w:hAnsi="宋体" w:eastAsia="宋体" w:cs="宋体"/>
                <w:color w:val="000000"/>
                <w:sz w:val="24"/>
                <w:szCs w:val="24"/>
              </w:rPr>
              <w:t>主观分</w:t>
            </w:r>
          </w:p>
        </w:tc>
      </w:tr>
      <w:tr w14:paraId="2FB5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2" w:type="dxa"/>
            <w:vMerge w:val="continue"/>
            <w:vAlign w:val="center"/>
          </w:tcPr>
          <w:p w14:paraId="5CF8896C">
            <w:pPr>
              <w:jc w:val="center"/>
              <w:rPr>
                <w:rFonts w:hint="eastAsia" w:ascii="宋体" w:hAnsi="宋体" w:eastAsia="宋体" w:cs="宋体"/>
                <w:color w:val="000000"/>
                <w:sz w:val="24"/>
                <w:szCs w:val="24"/>
              </w:rPr>
            </w:pPr>
          </w:p>
        </w:tc>
        <w:tc>
          <w:tcPr>
            <w:tcW w:w="1163" w:type="dxa"/>
            <w:vMerge w:val="continue"/>
            <w:vAlign w:val="center"/>
          </w:tcPr>
          <w:p w14:paraId="58080D1C">
            <w:pPr>
              <w:rPr>
                <w:rFonts w:hint="eastAsia" w:ascii="宋体" w:hAnsi="宋体" w:eastAsia="宋体" w:cs="宋体"/>
                <w:color w:val="000000"/>
                <w:sz w:val="24"/>
                <w:szCs w:val="24"/>
              </w:rPr>
            </w:pPr>
          </w:p>
        </w:tc>
        <w:tc>
          <w:tcPr>
            <w:tcW w:w="992" w:type="dxa"/>
            <w:vAlign w:val="center"/>
          </w:tcPr>
          <w:p w14:paraId="0A0720E1">
            <w:pPr>
              <w:rPr>
                <w:rFonts w:hint="eastAsia" w:ascii="宋体" w:hAnsi="宋体" w:eastAsia="宋体" w:cs="宋体"/>
                <w:color w:val="000000"/>
                <w:sz w:val="24"/>
                <w:szCs w:val="24"/>
              </w:rPr>
            </w:pPr>
            <w:r>
              <w:rPr>
                <w:rFonts w:hint="eastAsia" w:ascii="宋体" w:hAnsi="宋体" w:eastAsia="宋体" w:cs="宋体"/>
                <w:color w:val="000000"/>
                <w:sz w:val="24"/>
                <w:szCs w:val="24"/>
              </w:rPr>
              <w:t>平台</w:t>
            </w:r>
            <w:r>
              <w:rPr>
                <w:rFonts w:hint="eastAsia" w:ascii="宋体" w:hAnsi="宋体" w:eastAsia="宋体" w:cs="宋体"/>
                <w:color w:val="000000"/>
                <w:sz w:val="24"/>
                <w:szCs w:val="24"/>
                <w:lang w:val="en-US" w:eastAsia="zh-CN"/>
              </w:rPr>
              <w:t>数据互通</w:t>
            </w:r>
            <w:r>
              <w:rPr>
                <w:rFonts w:hint="eastAsia" w:ascii="宋体" w:hAnsi="宋体" w:eastAsia="宋体" w:cs="宋体"/>
                <w:color w:val="000000"/>
                <w:sz w:val="24"/>
                <w:szCs w:val="24"/>
              </w:rPr>
              <w:t>和数据能力共享方案</w:t>
            </w:r>
          </w:p>
        </w:tc>
        <w:tc>
          <w:tcPr>
            <w:tcW w:w="4842" w:type="dxa"/>
            <w:vAlign w:val="center"/>
          </w:tcPr>
          <w:p w14:paraId="5A3AC043">
            <w:pPr>
              <w:rPr>
                <w:rFonts w:hint="eastAsia" w:ascii="宋体" w:hAnsi="宋体" w:eastAsia="宋体" w:cs="宋体"/>
                <w:color w:val="000000"/>
                <w:sz w:val="24"/>
                <w:szCs w:val="24"/>
              </w:rPr>
            </w:pPr>
            <w:r>
              <w:rPr>
                <w:rFonts w:hint="eastAsia" w:ascii="宋体" w:hAnsi="宋体" w:eastAsia="宋体" w:cs="宋体"/>
                <w:color w:val="000000"/>
                <w:sz w:val="24"/>
                <w:szCs w:val="24"/>
              </w:rPr>
              <w:t>根据投标人提供的系统架构设计方案评判能否满足采购人实际需求，应体现如何与义乌市现有系统、数据资源体系</w:t>
            </w:r>
            <w:r>
              <w:rPr>
                <w:rFonts w:hint="eastAsia" w:ascii="宋体" w:hAnsi="宋体" w:eastAsia="宋体" w:cs="宋体"/>
                <w:color w:val="000000"/>
                <w:sz w:val="24"/>
                <w:szCs w:val="24"/>
                <w:lang w:val="en-US" w:eastAsia="zh-CN"/>
              </w:rPr>
              <w:t>数据互通</w:t>
            </w:r>
            <w:r>
              <w:rPr>
                <w:rFonts w:hint="eastAsia" w:ascii="宋体" w:hAnsi="宋体" w:eastAsia="宋体" w:cs="宋体"/>
                <w:color w:val="000000"/>
                <w:sz w:val="24"/>
                <w:szCs w:val="24"/>
              </w:rPr>
              <w:t>,投标人需提供</w:t>
            </w:r>
            <w:r>
              <w:rPr>
                <w:rFonts w:hint="eastAsia" w:ascii="宋体" w:hAnsi="宋体" w:eastAsia="宋体" w:cs="宋体"/>
                <w:color w:val="000000"/>
                <w:sz w:val="24"/>
                <w:szCs w:val="24"/>
                <w:lang w:val="en-US" w:eastAsia="zh-CN"/>
              </w:rPr>
              <w:t>说明</w:t>
            </w:r>
            <w:r>
              <w:rPr>
                <w:rFonts w:hint="eastAsia" w:ascii="宋体" w:hAnsi="宋体" w:eastAsia="宋体" w:cs="宋体"/>
                <w:color w:val="000000"/>
                <w:sz w:val="24"/>
                <w:szCs w:val="24"/>
              </w:rPr>
              <w:t>材料及方案（包括但不限于与现有平台</w:t>
            </w:r>
            <w:r>
              <w:rPr>
                <w:rFonts w:hint="eastAsia" w:ascii="宋体" w:hAnsi="宋体" w:eastAsia="宋体" w:cs="宋体"/>
                <w:color w:val="000000"/>
                <w:sz w:val="24"/>
                <w:szCs w:val="24"/>
                <w:lang w:val="en-US" w:eastAsia="zh-CN"/>
              </w:rPr>
              <w:t>数据互通</w:t>
            </w:r>
            <w:r>
              <w:rPr>
                <w:rFonts w:hint="eastAsia" w:ascii="宋体" w:hAnsi="宋体" w:eastAsia="宋体" w:cs="宋体"/>
                <w:color w:val="000000"/>
                <w:sz w:val="24"/>
                <w:szCs w:val="24"/>
              </w:rPr>
              <w:t>的理解（评分值：0分、0.5分、1分）、视频数据解析能力共享的具体方式方法（评分值：0分、1分、1.5分、2分）、难点及解决方法（评分值：0分、1分、1.5分、2分）、具体的</w:t>
            </w:r>
            <w:r>
              <w:rPr>
                <w:rFonts w:hint="eastAsia" w:ascii="宋体" w:hAnsi="宋体" w:eastAsia="宋体" w:cs="宋体"/>
                <w:color w:val="000000"/>
                <w:sz w:val="24"/>
                <w:szCs w:val="24"/>
                <w:lang w:val="en-US" w:eastAsia="zh-CN"/>
              </w:rPr>
              <w:t>数据互通</w:t>
            </w:r>
            <w:r>
              <w:rPr>
                <w:rFonts w:hint="eastAsia" w:ascii="宋体" w:hAnsi="宋体" w:eastAsia="宋体" w:cs="宋体"/>
                <w:color w:val="000000"/>
                <w:sz w:val="24"/>
                <w:szCs w:val="24"/>
              </w:rPr>
              <w:t>计划（评分值：0分、0.5分、1分）、方案的可实施性/安全性（评分值：0分、0.5分、1分）等内容）进行评价，根据方案的合理性、可行性进行打分，未提供的或提供的材料不符合要求的不得分。</w:t>
            </w:r>
          </w:p>
        </w:tc>
        <w:tc>
          <w:tcPr>
            <w:tcW w:w="1212" w:type="dxa"/>
            <w:vAlign w:val="center"/>
          </w:tcPr>
          <w:p w14:paraId="52829F7E">
            <w:pPr>
              <w:rPr>
                <w:rFonts w:hint="eastAsia" w:ascii="宋体" w:hAnsi="宋体" w:eastAsia="宋体" w:cs="宋体"/>
                <w:color w:val="000000"/>
                <w:sz w:val="24"/>
                <w:szCs w:val="24"/>
              </w:rPr>
            </w:pPr>
            <w:r>
              <w:rPr>
                <w:rFonts w:hint="eastAsia" w:ascii="宋体" w:hAnsi="宋体" w:eastAsia="宋体" w:cs="宋体"/>
                <w:color w:val="000000"/>
                <w:sz w:val="24"/>
                <w:szCs w:val="24"/>
              </w:rPr>
              <w:t>0-7分</w:t>
            </w:r>
          </w:p>
        </w:tc>
        <w:tc>
          <w:tcPr>
            <w:tcW w:w="1036" w:type="dxa"/>
            <w:vAlign w:val="center"/>
          </w:tcPr>
          <w:p w14:paraId="2DEB95CD">
            <w:pPr>
              <w:rPr>
                <w:rFonts w:hint="eastAsia" w:ascii="宋体" w:hAnsi="宋体" w:eastAsia="宋体" w:cs="宋体"/>
                <w:color w:val="000000"/>
                <w:sz w:val="24"/>
                <w:szCs w:val="24"/>
              </w:rPr>
            </w:pPr>
            <w:r>
              <w:rPr>
                <w:rFonts w:hint="eastAsia" w:ascii="宋体" w:hAnsi="宋体" w:eastAsia="宋体" w:cs="宋体"/>
                <w:color w:val="000000"/>
                <w:sz w:val="24"/>
                <w:szCs w:val="24"/>
              </w:rPr>
              <w:t>主观分</w:t>
            </w:r>
          </w:p>
        </w:tc>
      </w:tr>
      <w:tr w14:paraId="3F1E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2" w:type="dxa"/>
            <w:vAlign w:val="center"/>
          </w:tcPr>
          <w:p w14:paraId="3DFA09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63" w:type="dxa"/>
            <w:vAlign w:val="center"/>
          </w:tcPr>
          <w:p w14:paraId="752DD806">
            <w:pPr>
              <w:rPr>
                <w:rFonts w:hint="eastAsia" w:ascii="宋体" w:hAnsi="宋体" w:eastAsia="宋体" w:cs="宋体"/>
                <w:color w:val="000000"/>
                <w:sz w:val="24"/>
                <w:szCs w:val="24"/>
              </w:rPr>
            </w:pPr>
            <w:r>
              <w:rPr>
                <w:rFonts w:hint="eastAsia" w:ascii="宋体" w:hAnsi="宋体" w:eastAsia="宋体" w:cs="宋体"/>
                <w:color w:val="000000"/>
                <w:sz w:val="24"/>
                <w:szCs w:val="24"/>
              </w:rPr>
              <w:t>项目实施方案</w:t>
            </w:r>
          </w:p>
        </w:tc>
        <w:tc>
          <w:tcPr>
            <w:tcW w:w="5834" w:type="dxa"/>
            <w:gridSpan w:val="2"/>
            <w:vAlign w:val="center"/>
          </w:tcPr>
          <w:p w14:paraId="22CEAEE2">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根据投标人提供的整体实施方案综合评审，对实施方案理解深刻全面</w:t>
            </w:r>
            <w:r>
              <w:rPr>
                <w:rFonts w:hint="eastAsia" w:ascii="宋体" w:hAnsi="宋体" w:eastAsia="宋体" w:cs="宋体"/>
                <w:color w:val="000000"/>
                <w:sz w:val="24"/>
                <w:szCs w:val="24"/>
              </w:rPr>
              <w:t>（评分值：0分、1分、1.5分、2分）</w:t>
            </w:r>
            <w:r>
              <w:rPr>
                <w:rFonts w:hint="eastAsia" w:ascii="宋体" w:hAnsi="宋体" w:eastAsia="宋体" w:cs="宋体"/>
                <w:color w:val="000000"/>
                <w:kern w:val="0"/>
                <w:sz w:val="24"/>
                <w:szCs w:val="24"/>
                <w:lang w:bidi="ar"/>
              </w:rPr>
              <w:t>、关键点把握清晰</w:t>
            </w:r>
            <w:r>
              <w:rPr>
                <w:rFonts w:hint="eastAsia" w:ascii="宋体" w:hAnsi="宋体" w:eastAsia="宋体" w:cs="宋体"/>
                <w:color w:val="000000"/>
                <w:sz w:val="24"/>
                <w:szCs w:val="24"/>
              </w:rPr>
              <w:t>（评分值：0分、1分、1.5分、2分）</w:t>
            </w:r>
            <w:r>
              <w:rPr>
                <w:rFonts w:hint="eastAsia" w:ascii="宋体" w:hAnsi="宋体" w:eastAsia="宋体" w:cs="宋体"/>
                <w:color w:val="000000"/>
                <w:kern w:val="0"/>
                <w:sz w:val="24"/>
                <w:szCs w:val="24"/>
                <w:lang w:bidi="ar"/>
              </w:rPr>
              <w:t>、项目实施中的困难点以及解决措施</w:t>
            </w:r>
            <w:r>
              <w:rPr>
                <w:rFonts w:hint="eastAsia" w:ascii="宋体" w:hAnsi="宋体" w:eastAsia="宋体" w:cs="宋体"/>
                <w:color w:val="000000"/>
                <w:sz w:val="24"/>
                <w:szCs w:val="24"/>
              </w:rPr>
              <w:t>（评分值：0分、1分、1.5分、2分）</w:t>
            </w:r>
            <w:r>
              <w:rPr>
                <w:rFonts w:hint="eastAsia" w:ascii="宋体" w:hAnsi="宋体" w:eastAsia="宋体" w:cs="宋体"/>
                <w:color w:val="000000"/>
                <w:kern w:val="0"/>
                <w:sz w:val="24"/>
                <w:szCs w:val="24"/>
                <w:lang w:bidi="ar"/>
              </w:rPr>
              <w:t>，符合项目实际情况，方案内容详细完整、科学高效，技术服务条款完全满足项目采购需求进行打分，未提供的或提供的材料不符合要求的不得分。</w:t>
            </w:r>
          </w:p>
        </w:tc>
        <w:tc>
          <w:tcPr>
            <w:tcW w:w="1212" w:type="dxa"/>
            <w:vAlign w:val="center"/>
          </w:tcPr>
          <w:p w14:paraId="65D8B847">
            <w:pPr>
              <w:rPr>
                <w:rFonts w:hint="eastAsia" w:ascii="宋体" w:hAnsi="宋体" w:eastAsia="宋体" w:cs="宋体"/>
                <w:color w:val="000000"/>
                <w:sz w:val="24"/>
                <w:szCs w:val="24"/>
              </w:rPr>
            </w:pPr>
            <w:r>
              <w:rPr>
                <w:rFonts w:hint="eastAsia" w:ascii="宋体" w:hAnsi="宋体" w:eastAsia="宋体" w:cs="宋体"/>
                <w:color w:val="000000"/>
                <w:sz w:val="24"/>
                <w:szCs w:val="24"/>
              </w:rPr>
              <w:t>0-6分</w:t>
            </w:r>
          </w:p>
        </w:tc>
        <w:tc>
          <w:tcPr>
            <w:tcW w:w="1036" w:type="dxa"/>
            <w:vAlign w:val="center"/>
          </w:tcPr>
          <w:p w14:paraId="0A0FE16D">
            <w:pPr>
              <w:rPr>
                <w:rFonts w:hint="eastAsia" w:ascii="宋体" w:hAnsi="宋体" w:eastAsia="宋体" w:cs="宋体"/>
                <w:color w:val="000000"/>
                <w:sz w:val="24"/>
                <w:szCs w:val="24"/>
              </w:rPr>
            </w:pPr>
            <w:r>
              <w:rPr>
                <w:rFonts w:hint="eastAsia" w:ascii="宋体" w:hAnsi="宋体" w:eastAsia="宋体" w:cs="宋体"/>
                <w:color w:val="000000"/>
                <w:sz w:val="24"/>
                <w:szCs w:val="24"/>
              </w:rPr>
              <w:t>主观分</w:t>
            </w:r>
          </w:p>
        </w:tc>
      </w:tr>
      <w:tr w14:paraId="3610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2" w:type="dxa"/>
            <w:vAlign w:val="center"/>
          </w:tcPr>
          <w:p w14:paraId="5DB6955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63" w:type="dxa"/>
            <w:vAlign w:val="center"/>
          </w:tcPr>
          <w:p w14:paraId="6135F725">
            <w:pPr>
              <w:rPr>
                <w:rFonts w:hint="eastAsia" w:ascii="宋体" w:hAnsi="宋体" w:eastAsia="宋体" w:cs="宋体"/>
                <w:color w:val="000000"/>
                <w:sz w:val="24"/>
                <w:szCs w:val="24"/>
              </w:rPr>
            </w:pPr>
            <w:r>
              <w:rPr>
                <w:rFonts w:hint="eastAsia" w:ascii="宋体" w:hAnsi="宋体" w:eastAsia="宋体" w:cs="宋体"/>
                <w:color w:val="000000"/>
                <w:sz w:val="24"/>
                <w:szCs w:val="24"/>
              </w:rPr>
              <w:t>售后服务方案</w:t>
            </w:r>
          </w:p>
        </w:tc>
        <w:tc>
          <w:tcPr>
            <w:tcW w:w="5834" w:type="dxa"/>
            <w:gridSpan w:val="2"/>
            <w:vAlign w:val="center"/>
          </w:tcPr>
          <w:p w14:paraId="55906335">
            <w:pPr>
              <w:rPr>
                <w:rFonts w:hint="eastAsia" w:ascii="宋体" w:hAnsi="宋体" w:eastAsia="宋体" w:cs="宋体"/>
                <w:color w:val="000000"/>
                <w:sz w:val="24"/>
                <w:szCs w:val="24"/>
              </w:rPr>
            </w:pPr>
            <w:r>
              <w:rPr>
                <w:rFonts w:hint="eastAsia" w:ascii="宋体" w:hAnsi="宋体" w:eastAsia="宋体" w:cs="宋体"/>
                <w:color w:val="000000"/>
                <w:sz w:val="24"/>
                <w:szCs w:val="24"/>
              </w:rPr>
              <w:t>对各投标人售后服务方案的合理性和可行性（包括但不限于培训（评分值：0分、0.5分、1分）、巡检（评分值：0分、0.5分、1分）、维保（评分值：0分、0.5分、1分）、质保（评分值：0分、0.5分、1分）等服务内容以及拟投入本项目的专业技术人员情况等）进行综合评审，方案切合实际，科学合理，内容严谨、清晰，按方案内容进行打分，未提供项目售后服务方案的不得分。</w:t>
            </w:r>
          </w:p>
        </w:tc>
        <w:tc>
          <w:tcPr>
            <w:tcW w:w="1212" w:type="dxa"/>
            <w:vAlign w:val="center"/>
          </w:tcPr>
          <w:p w14:paraId="7210ECCA">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0-4分</w:t>
            </w:r>
          </w:p>
        </w:tc>
        <w:tc>
          <w:tcPr>
            <w:tcW w:w="1036" w:type="dxa"/>
            <w:vAlign w:val="center"/>
          </w:tcPr>
          <w:p w14:paraId="37F6F09A">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主观分</w:t>
            </w:r>
          </w:p>
        </w:tc>
      </w:tr>
      <w:tr w14:paraId="2870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2" w:type="dxa"/>
            <w:vAlign w:val="center"/>
          </w:tcPr>
          <w:p w14:paraId="04FB7DA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63" w:type="dxa"/>
            <w:vAlign w:val="center"/>
          </w:tcPr>
          <w:p w14:paraId="4C9E1082">
            <w:pPr>
              <w:rPr>
                <w:rFonts w:hint="eastAsia" w:ascii="宋体" w:hAnsi="宋体" w:eastAsia="宋体" w:cs="宋体"/>
                <w:color w:val="000000"/>
                <w:sz w:val="24"/>
                <w:szCs w:val="24"/>
              </w:rPr>
            </w:pPr>
            <w:r>
              <w:rPr>
                <w:rFonts w:hint="eastAsia" w:ascii="宋体" w:hAnsi="宋体" w:eastAsia="宋体" w:cs="宋体"/>
                <w:color w:val="000000"/>
                <w:sz w:val="24"/>
                <w:szCs w:val="24"/>
              </w:rPr>
              <w:t>应急预案</w:t>
            </w:r>
          </w:p>
        </w:tc>
        <w:tc>
          <w:tcPr>
            <w:tcW w:w="5834" w:type="dxa"/>
            <w:gridSpan w:val="2"/>
            <w:vAlign w:val="center"/>
          </w:tcPr>
          <w:p w14:paraId="6A80F995">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根据投标人提供的任何可能出现的突发事件及紧急情况的应急预案综合评审，应急预案详细完整、科学合理，保障机制健全高效，针对性强，切实可行，能够有效抵抗风险</w:t>
            </w:r>
            <w:r>
              <w:rPr>
                <w:rFonts w:hint="eastAsia" w:ascii="宋体" w:hAnsi="宋体" w:eastAsia="宋体" w:cs="宋体"/>
                <w:color w:val="000000"/>
                <w:sz w:val="24"/>
                <w:szCs w:val="24"/>
              </w:rPr>
              <w:t>（评分值：0分、0.5分、1分）</w:t>
            </w:r>
            <w:r>
              <w:rPr>
                <w:rFonts w:hint="eastAsia" w:ascii="宋体" w:hAnsi="宋体" w:eastAsia="宋体" w:cs="宋体"/>
                <w:color w:val="000000"/>
                <w:kern w:val="0"/>
                <w:sz w:val="24"/>
                <w:szCs w:val="24"/>
                <w:lang w:bidi="ar"/>
              </w:rPr>
              <w:t>，应急处理措施合理且符合现场实际情况</w:t>
            </w:r>
            <w:r>
              <w:rPr>
                <w:rFonts w:hint="eastAsia" w:ascii="宋体" w:hAnsi="宋体" w:eastAsia="宋体" w:cs="宋体"/>
                <w:color w:val="000000"/>
                <w:sz w:val="24"/>
                <w:szCs w:val="24"/>
              </w:rPr>
              <w:t>（评分值：0分、0.5分、1分）</w:t>
            </w:r>
            <w:r>
              <w:rPr>
                <w:rFonts w:hint="eastAsia" w:ascii="宋体" w:hAnsi="宋体" w:eastAsia="宋体" w:cs="宋体"/>
                <w:color w:val="000000"/>
                <w:kern w:val="0"/>
                <w:sz w:val="24"/>
                <w:szCs w:val="24"/>
                <w:lang w:bidi="ar"/>
              </w:rPr>
              <w:t>，有明确的应急组织机构、能落实到具体负责人</w:t>
            </w:r>
            <w:r>
              <w:rPr>
                <w:rFonts w:hint="eastAsia" w:ascii="宋体" w:hAnsi="宋体" w:eastAsia="宋体" w:cs="宋体"/>
                <w:color w:val="000000"/>
                <w:sz w:val="24"/>
                <w:szCs w:val="24"/>
              </w:rPr>
              <w:t>（评分值：0分、0.5分、1分）</w:t>
            </w:r>
            <w:r>
              <w:rPr>
                <w:rFonts w:hint="eastAsia" w:ascii="宋体" w:hAnsi="宋体" w:eastAsia="宋体" w:cs="宋体"/>
                <w:color w:val="000000"/>
                <w:kern w:val="0"/>
                <w:sz w:val="24"/>
                <w:szCs w:val="24"/>
                <w:lang w:bidi="ar"/>
              </w:rPr>
              <w:t>，满足项目实际应急需要</w:t>
            </w:r>
            <w:r>
              <w:rPr>
                <w:rFonts w:hint="eastAsia" w:ascii="宋体" w:hAnsi="宋体" w:eastAsia="宋体" w:cs="宋体"/>
                <w:color w:val="000000"/>
                <w:sz w:val="24"/>
                <w:szCs w:val="24"/>
              </w:rPr>
              <w:t>（评分值：0分、0.5分、1分）</w:t>
            </w:r>
            <w:r>
              <w:rPr>
                <w:rFonts w:hint="eastAsia" w:ascii="宋体" w:hAnsi="宋体" w:eastAsia="宋体" w:cs="宋体"/>
                <w:color w:val="000000"/>
                <w:kern w:val="0"/>
                <w:sz w:val="24"/>
                <w:szCs w:val="24"/>
                <w:lang w:bidi="ar"/>
              </w:rPr>
              <w:t>，按方案内容进行打分，未提供的或提供的材料不符合要求的不得分。</w:t>
            </w:r>
          </w:p>
        </w:tc>
        <w:tc>
          <w:tcPr>
            <w:tcW w:w="1212" w:type="dxa"/>
            <w:vAlign w:val="center"/>
          </w:tcPr>
          <w:p w14:paraId="04824554">
            <w:pPr>
              <w:rPr>
                <w:rFonts w:hint="eastAsia" w:ascii="宋体" w:hAnsi="宋体" w:eastAsia="宋体" w:cs="宋体"/>
                <w:color w:val="000000"/>
                <w:sz w:val="24"/>
                <w:szCs w:val="24"/>
              </w:rPr>
            </w:pPr>
            <w:r>
              <w:rPr>
                <w:rFonts w:hint="eastAsia" w:ascii="宋体" w:hAnsi="宋体" w:eastAsia="宋体" w:cs="宋体"/>
                <w:color w:val="000000"/>
                <w:sz w:val="24"/>
                <w:szCs w:val="24"/>
              </w:rPr>
              <w:t>0-4分</w:t>
            </w:r>
          </w:p>
        </w:tc>
        <w:tc>
          <w:tcPr>
            <w:tcW w:w="1036" w:type="dxa"/>
            <w:vAlign w:val="center"/>
          </w:tcPr>
          <w:p w14:paraId="01CB63A5">
            <w:pPr>
              <w:rPr>
                <w:rFonts w:hint="eastAsia" w:ascii="宋体" w:hAnsi="宋体" w:eastAsia="宋体" w:cs="宋体"/>
                <w:color w:val="000000"/>
                <w:sz w:val="24"/>
                <w:szCs w:val="24"/>
              </w:rPr>
            </w:pPr>
            <w:r>
              <w:rPr>
                <w:rFonts w:hint="eastAsia" w:ascii="宋体" w:hAnsi="宋体" w:eastAsia="宋体" w:cs="宋体"/>
                <w:color w:val="000000"/>
                <w:sz w:val="24"/>
                <w:szCs w:val="24"/>
              </w:rPr>
              <w:t>主观分</w:t>
            </w:r>
          </w:p>
        </w:tc>
      </w:tr>
      <w:tr w14:paraId="6A5B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14:paraId="7509E62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163" w:type="dxa"/>
            <w:vAlign w:val="center"/>
          </w:tcPr>
          <w:p w14:paraId="7D884260">
            <w:pPr>
              <w:rPr>
                <w:rFonts w:hint="eastAsia" w:ascii="宋体" w:hAnsi="宋体" w:eastAsia="宋体" w:cs="宋体"/>
                <w:color w:val="000000"/>
                <w:sz w:val="24"/>
                <w:szCs w:val="24"/>
              </w:rPr>
            </w:pPr>
            <w:r>
              <w:rPr>
                <w:rFonts w:hint="eastAsia" w:ascii="宋体" w:hAnsi="宋体" w:eastAsia="宋体" w:cs="宋体"/>
                <w:color w:val="000000"/>
                <w:sz w:val="24"/>
                <w:szCs w:val="24"/>
              </w:rPr>
              <w:t>项目投入技术力量</w:t>
            </w:r>
          </w:p>
        </w:tc>
        <w:tc>
          <w:tcPr>
            <w:tcW w:w="5834" w:type="dxa"/>
            <w:gridSpan w:val="2"/>
            <w:vAlign w:val="center"/>
          </w:tcPr>
          <w:p w14:paraId="23C6C8C0">
            <w:pPr>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1.投标人拟派项目经理具有信息系统项目管理师、项目管理专业人员资格认证（PMP），每提供一个证得1分，本项最高得2分。</w:t>
            </w:r>
          </w:p>
          <w:p w14:paraId="3A99E819">
            <w:pPr>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2.投标人拟派技术负责人具有系统分析师、信息安全工程师的，每提供一个证得1分，本项最高得2分。</w:t>
            </w:r>
          </w:p>
          <w:p w14:paraId="3B399920">
            <w:pPr>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（需提供2024年4月起至投标截止时间止期间中任何一个连续3个月）的在本单位任职的个人社保缴费清单及证书复印件）。</w:t>
            </w:r>
          </w:p>
          <w:p w14:paraId="6037A2A7">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注：1.社保机构网上打印件与社保机构出具的具有同等效力。</w:t>
            </w:r>
          </w:p>
          <w:p w14:paraId="0B60E0AB">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2.证书须在有效期内，否则不得分。</w:t>
            </w:r>
          </w:p>
        </w:tc>
        <w:tc>
          <w:tcPr>
            <w:tcW w:w="1212" w:type="dxa"/>
            <w:vAlign w:val="center"/>
          </w:tcPr>
          <w:p w14:paraId="119F01BF">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0-4分</w:t>
            </w:r>
          </w:p>
        </w:tc>
        <w:tc>
          <w:tcPr>
            <w:tcW w:w="1036" w:type="dxa"/>
            <w:vAlign w:val="center"/>
          </w:tcPr>
          <w:p w14:paraId="4A65284A">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客观分</w:t>
            </w:r>
          </w:p>
        </w:tc>
      </w:tr>
    </w:tbl>
    <w:p w14:paraId="553033D0">
      <w:pPr>
        <w:pStyle w:val="36"/>
        <w:ind w:firstLine="0" w:firstLineChars="0"/>
      </w:pPr>
    </w:p>
    <w:p w14:paraId="78F25F19">
      <w:pPr>
        <w:pStyle w:val="15"/>
        <w:spacing w:line="360" w:lineRule="auto"/>
        <w:ind w:firstLine="482" w:firstLineChars="200"/>
        <w:rPr>
          <w:rFonts w:hint="eastAsia" w:hAnsi="宋体" w:cs="宋体"/>
          <w:b/>
          <w:bCs/>
          <w:sz w:val="24"/>
          <w:szCs w:val="24"/>
        </w:rPr>
      </w:pPr>
      <w:r>
        <w:rPr>
          <w:rFonts w:hint="eastAsia" w:hAnsi="宋体" w:cs="宋体"/>
          <w:b/>
          <w:bCs/>
          <w:sz w:val="24"/>
          <w:szCs w:val="24"/>
        </w:rPr>
        <w:t>2、报价响应文件评审</w:t>
      </w:r>
    </w:p>
    <w:p w14:paraId="6D49767B">
      <w:pPr>
        <w:pStyle w:val="15"/>
        <w:spacing w:line="360" w:lineRule="auto"/>
        <w:ind w:firstLine="482" w:firstLineChars="200"/>
        <w:rPr>
          <w:rFonts w:hint="eastAsia" w:hAnsi="宋体" w:cs="宋体"/>
          <w:b/>
          <w:sz w:val="24"/>
        </w:rPr>
      </w:pPr>
      <w:r>
        <w:rPr>
          <w:rFonts w:hint="eastAsia" w:hAnsi="宋体" w:cs="宋体"/>
          <w:b/>
          <w:sz w:val="24"/>
        </w:rPr>
        <w:t>2.1甄别异常报价：有下列情况之一的投标报价不进入报价分计算环节：</w:t>
      </w:r>
    </w:p>
    <w:p w14:paraId="11297AFC">
      <w:pPr>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①资格响应、商务技术响应无效单位的投标报价；</w:t>
      </w:r>
    </w:p>
    <w:p w14:paraId="67F80FE1">
      <w:pPr>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②报价高于预算价；</w:t>
      </w:r>
    </w:p>
    <w:p w14:paraId="680C2FA4">
      <w:pPr>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③投标报价高于</w:t>
      </w:r>
      <w:r>
        <w:rPr>
          <w:rFonts w:hint="eastAsia" w:ascii="宋体" w:hAnsi="宋体" w:eastAsia="宋体" w:cs="宋体"/>
          <w:bCs/>
          <w:sz w:val="24"/>
        </w:rPr>
        <w:t>最高限价</w:t>
      </w:r>
      <w:r>
        <w:rPr>
          <w:rFonts w:hint="eastAsia" w:ascii="宋体" w:hAnsi="宋体" w:eastAsia="宋体" w:cs="宋体"/>
          <w:sz w:val="24"/>
        </w:rPr>
        <w:t>；</w:t>
      </w:r>
    </w:p>
    <w:p w14:paraId="5F5446D6">
      <w:pPr>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④分析总报价及各个分项报价是否合理、报价范围是否完整、有否重大错漏项、是否超过</w:t>
      </w:r>
      <w:r>
        <w:rPr>
          <w:rFonts w:hint="eastAsia" w:ascii="宋体" w:hAnsi="宋体" w:eastAsia="宋体" w:cs="宋体"/>
          <w:bCs/>
          <w:sz w:val="24"/>
        </w:rPr>
        <w:t>最高限价</w:t>
      </w:r>
      <w:r>
        <w:rPr>
          <w:rFonts w:hint="eastAsia" w:ascii="宋体" w:hAnsi="宋体" w:eastAsia="宋体" w:cs="宋体"/>
          <w:sz w:val="24"/>
        </w:rPr>
        <w:t>。如评标委员会认为投标人的报价明显低于其他通过符合性审查的投标人的报价，有可能影响产品质量或者不能诚信履约的，应当要求其在评标现场合理的时间内提供书面说明，必要时提交相关佐证材料；投标人不能说明其报价合理性的，评标委员会应当将其作为无效投标处理。</w:t>
      </w:r>
    </w:p>
    <w:p w14:paraId="28BD90C6">
      <w:pPr>
        <w:adjustRightInd w:val="0"/>
        <w:spacing w:line="360" w:lineRule="auto"/>
        <w:ind w:firstLine="472" w:firstLineChars="196"/>
        <w:rPr>
          <w:rFonts w:hint="eastAsia" w:ascii="宋体" w:hAnsi="宋体" w:eastAsia="宋体" w:cs="宋体"/>
          <w:b/>
          <w:sz w:val="24"/>
        </w:rPr>
      </w:pPr>
      <w:r>
        <w:rPr>
          <w:rFonts w:hint="eastAsia" w:ascii="宋体" w:hAnsi="宋体" w:eastAsia="宋体" w:cs="宋体"/>
          <w:b/>
          <w:sz w:val="24"/>
        </w:rPr>
        <w:t>2.2报价响应文件详细评审（</w:t>
      </w:r>
      <w:r>
        <w:rPr>
          <w:rFonts w:hint="eastAsia" w:ascii="宋体" w:hAnsi="宋体" w:eastAsia="宋体" w:cs="宋体"/>
          <w:b/>
          <w:sz w:val="24"/>
          <w:u w:val="single"/>
        </w:rPr>
        <w:t>30</w:t>
      </w:r>
      <w:r>
        <w:rPr>
          <w:rFonts w:hint="eastAsia" w:ascii="宋体" w:hAnsi="宋体" w:eastAsia="宋体" w:cs="宋体"/>
          <w:b/>
          <w:sz w:val="24"/>
        </w:rPr>
        <w:t>分）</w:t>
      </w:r>
    </w:p>
    <w:p w14:paraId="5A5F1B5C">
      <w:pPr>
        <w:spacing w:line="360" w:lineRule="auto"/>
        <w:ind w:firstLine="480" w:firstLineChars="200"/>
        <w:rPr>
          <w:rFonts w:hint="eastAsia" w:ascii="宋体" w:hAnsi="宋体" w:eastAsia="宋体" w:cs="宋体"/>
          <w:sz w:val="24"/>
        </w:rPr>
      </w:pPr>
      <w:r>
        <w:rPr>
          <w:rFonts w:hint="eastAsia" w:ascii="宋体" w:hAnsi="宋体" w:eastAsia="宋体" w:cs="宋体"/>
          <w:sz w:val="24"/>
        </w:rPr>
        <w:t>（1）评标基准价以满足招标文件要求且投标价格最低的投标报价为评标基准价，其报价得分为30分。</w:t>
      </w:r>
    </w:p>
    <w:p w14:paraId="0A25B742">
      <w:pPr>
        <w:spacing w:line="360" w:lineRule="auto"/>
        <w:ind w:firstLine="480" w:firstLineChars="200"/>
        <w:rPr>
          <w:rFonts w:hint="eastAsia" w:ascii="宋体" w:hAnsi="宋体" w:eastAsia="宋体" w:cs="宋体"/>
          <w:sz w:val="24"/>
        </w:rPr>
      </w:pPr>
      <w:r>
        <w:rPr>
          <w:rFonts w:hint="eastAsia" w:ascii="宋体" w:hAnsi="宋体" w:eastAsia="宋体" w:cs="宋体"/>
          <w:sz w:val="24"/>
        </w:rPr>
        <w:t>（2）报价得分计算。</w:t>
      </w:r>
    </w:p>
    <w:p w14:paraId="5D248F40">
      <w:pPr>
        <w:spacing w:line="360" w:lineRule="auto"/>
        <w:ind w:firstLine="480" w:firstLineChars="200"/>
        <w:rPr>
          <w:rFonts w:hint="eastAsia" w:ascii="宋体" w:hAnsi="宋体" w:eastAsia="宋体" w:cs="宋体"/>
          <w:sz w:val="24"/>
        </w:rPr>
      </w:pPr>
      <w:r>
        <w:rPr>
          <w:rFonts w:hint="eastAsia" w:ascii="宋体" w:hAnsi="宋体" w:eastAsia="宋体" w:cs="宋体"/>
          <w:sz w:val="24"/>
        </w:rPr>
        <w:t>报价得分=（评标基准价/评标价）×30%×100，保留小数2位</w:t>
      </w:r>
    </w:p>
    <w:p w14:paraId="1BE93A6A">
      <w:pPr>
        <w:spacing w:line="360" w:lineRule="auto"/>
        <w:rPr>
          <w:rFonts w:hint="eastAsia" w:ascii="宋体" w:hAnsi="宋体" w:eastAsia="宋体" w:cs="宋体"/>
          <w:sz w:val="24"/>
        </w:rPr>
      </w:pPr>
      <w:r>
        <w:rPr>
          <w:rFonts w:hint="eastAsia" w:ascii="宋体" w:hAnsi="宋体" w:eastAsia="宋体" w:cs="宋体"/>
          <w:sz w:val="24"/>
        </w:rPr>
        <w:t>（因落实政府采购政策进行价格调整的，以调整后的价格计算评标价）</w:t>
      </w:r>
    </w:p>
    <w:p w14:paraId="40FCF178">
      <w:pPr>
        <w:spacing w:line="360" w:lineRule="auto"/>
        <w:ind w:firstLine="420"/>
        <w:rPr>
          <w:rFonts w:hint="eastAsia" w:ascii="宋体" w:hAnsi="宋体" w:eastAsia="宋体" w:cs="宋体"/>
          <w:b/>
          <w:bCs/>
          <w:kern w:val="1"/>
          <w:sz w:val="24"/>
        </w:rPr>
      </w:pPr>
      <w:r>
        <w:rPr>
          <w:rFonts w:hint="eastAsia" w:ascii="宋体" w:hAnsi="宋体" w:eastAsia="宋体" w:cs="宋体"/>
          <w:b/>
          <w:sz w:val="24"/>
        </w:rPr>
        <w:t>2.3</w:t>
      </w:r>
      <w:r>
        <w:rPr>
          <w:rFonts w:hint="eastAsia" w:ascii="宋体" w:hAnsi="宋体" w:eastAsia="宋体" w:cs="宋体"/>
          <w:b/>
          <w:bCs/>
          <w:kern w:val="1"/>
          <w:sz w:val="24"/>
        </w:rPr>
        <w:t>扶持政策说明：</w:t>
      </w:r>
    </w:p>
    <w:p w14:paraId="65726F83">
      <w:pPr>
        <w:spacing w:line="360" w:lineRule="auto"/>
        <w:ind w:firstLine="480" w:firstLineChars="200"/>
        <w:rPr>
          <w:rFonts w:hint="eastAsia" w:ascii="宋体" w:hAnsi="宋体" w:eastAsia="宋体" w:cs="宋体"/>
          <w:sz w:val="24"/>
        </w:rPr>
      </w:pPr>
      <w:r>
        <w:rPr>
          <w:rFonts w:hint="eastAsia" w:ascii="宋体" w:hAnsi="宋体" w:eastAsia="宋体" w:cs="宋体"/>
          <w:sz w:val="24"/>
        </w:rPr>
        <w:t>2.3.1在政府采购活动中，投标人提供的货物或者服务符合下列情形的，享受中小企业扶持政策：</w:t>
      </w:r>
    </w:p>
    <w:p w14:paraId="54EC178F">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（1）在货物采购项目中，货物由中小企业制造，即货物由中小企业生产且使用该中小企业商号或者注册商标；</w:t>
      </w:r>
    </w:p>
    <w:p w14:paraId="7663455C">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
        </w:rPr>
        <w:t>（</w:t>
      </w:r>
      <w:r>
        <w:rPr>
          <w:rFonts w:hint="eastAsia" w:ascii="宋体" w:hAnsi="宋体" w:eastAsia="宋体" w:cs="宋体"/>
          <w:sz w:val="24"/>
        </w:rPr>
        <w:t>2</w:t>
      </w:r>
      <w:r>
        <w:rPr>
          <w:rFonts w:hint="eastAsia" w:ascii="宋体" w:hAnsi="宋体" w:eastAsia="宋体" w:cs="宋体"/>
          <w:sz w:val="24"/>
          <w:lang w:val="en"/>
        </w:rPr>
        <w:t>）</w:t>
      </w:r>
      <w:r>
        <w:rPr>
          <w:rFonts w:hint="eastAsia" w:ascii="宋体" w:hAnsi="宋体" w:eastAsia="宋体" w:cs="宋体"/>
          <w:sz w:val="24"/>
        </w:rPr>
        <w:t>在服务采购项目中，服务由中小企业承接，即提供服务的人员为中小企业依照《中华人民共和国劳动合同法》订立劳动合同的从业人员。</w:t>
      </w:r>
    </w:p>
    <w:p w14:paraId="26C6CFD8">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在货物采购项目中，投标人提供的货物既有中小企业制造货物，也有大型企业制造货物的，不享受中小企业扶持政策。</w:t>
      </w:r>
    </w:p>
    <w:p w14:paraId="43DB8527">
      <w:pPr>
        <w:spacing w:line="360" w:lineRule="auto"/>
        <w:ind w:firstLine="480" w:firstLineChars="200"/>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1CF1EDE3">
      <w:pPr>
        <w:spacing w:line="360" w:lineRule="auto"/>
        <w:ind w:firstLine="480" w:firstLineChars="200"/>
        <w:rPr>
          <w:rFonts w:hint="eastAsia" w:ascii="宋体" w:hAnsi="宋体" w:eastAsia="宋体" w:cs="宋体"/>
          <w:sz w:val="24"/>
        </w:rPr>
      </w:pPr>
      <w:r>
        <w:rPr>
          <w:rFonts w:hint="eastAsia" w:ascii="宋体" w:hAnsi="宋体" w:eastAsia="宋体" w:cs="宋体"/>
          <w:sz w:val="24"/>
        </w:rPr>
        <w:t>2.3.2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8967E60">
      <w:pPr>
        <w:spacing w:line="360" w:lineRule="auto"/>
        <w:ind w:firstLine="480" w:firstLineChars="200"/>
        <w:rPr>
          <w:rFonts w:hint="eastAsia" w:ascii="宋体" w:hAnsi="宋体" w:eastAsia="宋体" w:cs="宋体"/>
          <w:sz w:val="24"/>
        </w:rPr>
      </w:pPr>
      <w:r>
        <w:rPr>
          <w:rFonts w:hint="eastAsia" w:ascii="宋体" w:hAnsi="宋体" w:eastAsia="宋体" w:cs="宋体"/>
          <w:sz w:val="24"/>
        </w:rPr>
        <w:t>2.3.3符合《关于促进残疾人就业政府采购政策的通知》（财库〔2017〕141号）规定的条件并提供《残疾人福利性单位声明函》的残疾人福利性单位视同小型、微型企业；</w:t>
      </w:r>
    </w:p>
    <w:p w14:paraId="57D2EE1F">
      <w:pPr>
        <w:spacing w:line="360" w:lineRule="auto"/>
        <w:ind w:firstLine="480" w:firstLineChars="200"/>
        <w:rPr>
          <w:rFonts w:hint="eastAsia" w:ascii="宋体" w:hAnsi="宋体" w:eastAsia="宋体" w:cs="宋体"/>
          <w:sz w:val="24"/>
        </w:rPr>
      </w:pPr>
      <w:r>
        <w:rPr>
          <w:rFonts w:hint="eastAsia" w:ascii="宋体" w:hAnsi="宋体" w:eastAsia="宋体" w:cs="宋体"/>
          <w:sz w:val="24"/>
        </w:rPr>
        <w:t>2.3.4符合《关于政府采购支持监狱企业发展有关问题的通知》（财库[2014]68号）规定的监狱企业并提供由省级以上监狱管理局、戒毒管理局（含新疆生产建设兵团）出具的属于监狱企业证明文件的，视同为小型、微型企业。</w:t>
      </w:r>
    </w:p>
    <w:p w14:paraId="1453A2A0">
      <w:pPr>
        <w:spacing w:line="360" w:lineRule="auto"/>
        <w:ind w:firstLine="480" w:firstLineChars="200"/>
        <w:rPr>
          <w:rFonts w:hint="eastAsia" w:ascii="宋体" w:hAnsi="宋体" w:eastAsia="宋体" w:cs="宋体"/>
          <w:sz w:val="24"/>
        </w:rPr>
      </w:pPr>
      <w:r>
        <w:rPr>
          <w:rFonts w:hint="eastAsia" w:ascii="宋体" w:hAnsi="宋体" w:eastAsia="宋体" w:cs="宋体"/>
          <w:sz w:val="24"/>
        </w:rPr>
        <w:t>2.3.5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592E031D">
      <w:pPr>
        <w:spacing w:line="360" w:lineRule="auto"/>
        <w:ind w:firstLine="480" w:firstLineChars="200"/>
        <w:rPr>
          <w:rFonts w:hint="eastAsia" w:ascii="宋体" w:hAnsi="宋体" w:eastAsia="宋体" w:cs="宋体"/>
          <w:sz w:val="24"/>
        </w:rPr>
      </w:pPr>
      <w:r>
        <w:rPr>
          <w:rFonts w:hint="eastAsia" w:ascii="宋体" w:hAnsi="宋体" w:eastAsia="宋体" w:cs="宋体"/>
          <w:sz w:val="24"/>
        </w:rPr>
        <w:t>2.3.6中小企业享受扶持政策获得政府采购合同的，小微企业不得将合同分包给大中型企业，中型企业不得将合同分包给大型企业。</w:t>
      </w:r>
    </w:p>
    <w:p w14:paraId="3B750810">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3、计算总分（满分为100分）</w:t>
      </w:r>
    </w:p>
    <w:p w14:paraId="63CB7054">
      <w:pPr>
        <w:pStyle w:val="15"/>
        <w:spacing w:line="360" w:lineRule="auto"/>
        <w:ind w:firstLine="240"/>
        <w:rPr>
          <w:rFonts w:hint="eastAsia" w:hAnsi="宋体" w:cs="宋体"/>
          <w:sz w:val="24"/>
          <w:szCs w:val="24"/>
        </w:rPr>
      </w:pPr>
      <w:r>
        <w:rPr>
          <w:rFonts w:hint="eastAsia" w:hAnsi="宋体" w:cs="宋体"/>
          <w:sz w:val="24"/>
          <w:szCs w:val="24"/>
        </w:rPr>
        <w:t xml:space="preserve">   计算方法：投标人总得分 = </w:t>
      </w:r>
      <w:r>
        <w:rPr>
          <w:rFonts w:hint="eastAsia" w:hAnsi="宋体" w:cs="宋体"/>
          <w:sz w:val="24"/>
        </w:rPr>
        <w:t>商务技术分+报价分</w:t>
      </w:r>
    </w:p>
    <w:p w14:paraId="6328A32A">
      <w:pPr>
        <w:pStyle w:val="39"/>
        <w:spacing w:before="0" w:after="0" w:line="360" w:lineRule="auto"/>
        <w:ind w:left="1343" w:leftChars="254" w:hanging="810" w:hangingChars="336"/>
        <w:outlineLvl w:val="9"/>
        <w:rPr>
          <w:rFonts w:hint="eastAsia" w:ascii="宋体" w:hAnsi="宋体" w:eastAsia="宋体" w:cs="宋体"/>
          <w:szCs w:val="24"/>
        </w:rPr>
      </w:pPr>
      <w:r>
        <w:rPr>
          <w:rFonts w:hint="eastAsia" w:ascii="宋体" w:hAnsi="宋体" w:eastAsia="宋体" w:cs="宋体"/>
          <w:szCs w:val="24"/>
        </w:rPr>
        <w:t>4、确定中标人，完成评标报告</w:t>
      </w:r>
    </w:p>
    <w:p w14:paraId="28E24CED">
      <w:pPr>
        <w:spacing w:line="360" w:lineRule="auto"/>
        <w:ind w:firstLine="480" w:firstLineChars="200"/>
        <w:rPr>
          <w:rFonts w:hint="eastAsia" w:ascii="宋体" w:hAnsi="宋体" w:eastAsia="宋体" w:cs="宋体"/>
          <w:sz w:val="24"/>
        </w:rPr>
      </w:pPr>
      <w:r>
        <w:rPr>
          <w:rFonts w:hint="eastAsia" w:ascii="宋体" w:hAnsi="宋体" w:eastAsia="宋体" w:cs="宋体"/>
          <w:sz w:val="24"/>
        </w:rPr>
        <w:t>（1）确定中标人</w:t>
      </w:r>
    </w:p>
    <w:p w14:paraId="642D9B4B">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小组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小组根据以上排序直接确定第一名的投标单位为中标人。</w:t>
      </w:r>
    </w:p>
    <w:p w14:paraId="7B727F8A">
      <w:pPr>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当确定的中标人放弃中标，因不可抗力提出不能履行合同，在此情况下，采购人可重新组织招投标。</w:t>
      </w:r>
    </w:p>
    <w:p w14:paraId="48BF28B4">
      <w:pPr>
        <w:spacing w:line="360" w:lineRule="auto"/>
        <w:ind w:firstLine="480" w:firstLineChars="200"/>
        <w:rPr>
          <w:rFonts w:hint="eastAsia" w:ascii="宋体" w:hAnsi="宋体" w:eastAsia="宋体" w:cs="宋体"/>
          <w:sz w:val="24"/>
        </w:rPr>
      </w:pPr>
      <w:r>
        <w:rPr>
          <w:rFonts w:hint="eastAsia" w:ascii="宋体" w:hAnsi="宋体" w:eastAsia="宋体" w:cs="宋体"/>
          <w:sz w:val="24"/>
        </w:rPr>
        <w:t>（2）完成评标报告</w:t>
      </w:r>
    </w:p>
    <w:p w14:paraId="65AAEA78">
      <w:pPr>
        <w:spacing w:line="360" w:lineRule="auto"/>
        <w:ind w:firstLine="480" w:firstLineChars="200"/>
        <w:rPr>
          <w:rFonts w:hint="eastAsia" w:ascii="宋体" w:hAnsi="宋体" w:eastAsia="宋体" w:cs="宋体"/>
          <w:b/>
          <w:sz w:val="36"/>
          <w:szCs w:val="36"/>
        </w:rPr>
      </w:pPr>
      <w:r>
        <w:rPr>
          <w:rFonts w:hint="eastAsia" w:ascii="宋体" w:hAnsi="宋体" w:eastAsia="宋体" w:cs="宋体"/>
          <w:kern w:val="0"/>
          <w:sz w:val="24"/>
        </w:rPr>
        <w:t>评标委员会向采购人提出评标报告，内容包括评标过程、投标人的优劣对比分析、中标人确定情况、基本结论、存在的问题和评标专家的不同意见。评标报告应经评标委员会所有专家签字，在评标结束时当场提交给采购人</w:t>
      </w:r>
      <w:r>
        <w:rPr>
          <w:rFonts w:hint="eastAsia" w:ascii="宋体" w:hAnsi="宋体" w:eastAsia="宋体" w:cs="宋体"/>
          <w:sz w:val="24"/>
        </w:rPr>
        <w:t>。</w:t>
      </w:r>
      <w:r>
        <w:rPr>
          <w:rFonts w:hint="eastAsia" w:ascii="宋体" w:hAnsi="宋体" w:eastAsia="宋体" w:cs="宋体"/>
          <w:b/>
          <w:sz w:val="36"/>
          <w:szCs w:val="36"/>
        </w:rPr>
        <w:br w:type="page"/>
      </w:r>
    </w:p>
    <w:p w14:paraId="349A8401">
      <w:pPr>
        <w:spacing w:line="360" w:lineRule="auto"/>
        <w:ind w:firstLine="723" w:firstLineChars="200"/>
        <w:jc w:val="center"/>
        <w:outlineLvl w:val="0"/>
        <w:rPr>
          <w:rFonts w:hint="eastAsia" w:ascii="宋体" w:hAnsi="宋体" w:eastAsia="宋体" w:cs="宋体"/>
          <w:b/>
          <w:sz w:val="36"/>
          <w:szCs w:val="36"/>
        </w:rPr>
      </w:pPr>
      <w:r>
        <w:rPr>
          <w:rFonts w:hint="eastAsia" w:ascii="宋体" w:hAnsi="宋体" w:eastAsia="宋体" w:cs="宋体"/>
          <w:b/>
          <w:sz w:val="36"/>
          <w:szCs w:val="36"/>
        </w:rPr>
        <w:t>第七章  合同主要条款</w:t>
      </w:r>
    </w:p>
    <w:p w14:paraId="0789F17E">
      <w:pPr>
        <w:widowControl/>
        <w:spacing w:line="360" w:lineRule="auto"/>
        <w:ind w:firstLine="482" w:firstLineChars="200"/>
        <w:jc w:val="center"/>
        <w:rPr>
          <w:rFonts w:hint="eastAsia" w:ascii="宋体" w:hAnsi="宋体" w:eastAsia="宋体" w:cs="宋体"/>
          <w:b/>
          <w:kern w:val="0"/>
          <w:sz w:val="24"/>
          <w:szCs w:val="24"/>
        </w:rPr>
      </w:pPr>
      <w:r>
        <w:rPr>
          <w:rFonts w:hint="eastAsia" w:ascii="宋体" w:hAnsi="宋体" w:eastAsia="宋体" w:cs="宋体"/>
          <w:b/>
          <w:kern w:val="0"/>
          <w:sz w:val="24"/>
          <w:szCs w:val="24"/>
        </w:rPr>
        <w:t xml:space="preserve">义乌市政府采购合同（样本） </w:t>
      </w:r>
    </w:p>
    <w:p w14:paraId="3A045842">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甲方：________________________________</w:t>
      </w:r>
    </w:p>
    <w:p w14:paraId="0FB47A18">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乙方：________________________________</w:t>
      </w:r>
    </w:p>
    <w:p w14:paraId="1C4E6558">
      <w:pPr>
        <w:widowControl/>
        <w:spacing w:line="360" w:lineRule="auto"/>
        <w:ind w:left="239" w:leftChars="114"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甲乙双方根据__</w:t>
      </w:r>
      <w:r>
        <w:rPr>
          <w:rFonts w:hint="eastAsia" w:ascii="宋体" w:hAnsi="宋体" w:eastAsia="宋体" w:cs="宋体"/>
          <w:kern w:val="0"/>
          <w:sz w:val="24"/>
          <w:szCs w:val="24"/>
          <w:u w:val="single"/>
        </w:rPr>
        <w:t>_ _</w:t>
      </w:r>
      <w:r>
        <w:rPr>
          <w:rFonts w:hint="eastAsia" w:ascii="宋体" w:hAnsi="宋体" w:eastAsia="宋体" w:cs="宋体"/>
          <w:kern w:val="0"/>
          <w:sz w:val="24"/>
          <w:szCs w:val="24"/>
        </w:rPr>
        <w:t>年____月____日浙江省义乌市政府采购</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项目中标结果和招、投标文件的要求，依据《中华人民共和国民法典》并经双方协调一致，订立本采购合同。</w:t>
      </w:r>
      <w:r>
        <w:rPr>
          <w:rFonts w:hint="eastAsia" w:ascii="宋体" w:hAnsi="宋体" w:eastAsia="宋体" w:cs="宋体"/>
          <w:sz w:val="24"/>
          <w:szCs w:val="24"/>
        </w:rPr>
        <w:t>本合同（□是 □否）为可融资合同。</w:t>
      </w:r>
    </w:p>
    <w:p w14:paraId="2732DF98">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b/>
          <w:kern w:val="0"/>
          <w:sz w:val="24"/>
          <w:szCs w:val="24"/>
        </w:rPr>
        <w:t>一、合同文件组成：</w:t>
      </w:r>
      <w:r>
        <w:rPr>
          <w:rFonts w:hint="eastAsia" w:ascii="宋体" w:hAnsi="宋体" w:eastAsia="宋体" w:cs="宋体"/>
          <w:kern w:val="0"/>
          <w:sz w:val="24"/>
          <w:szCs w:val="24"/>
        </w:rPr>
        <w:t>招标文件及其补充文件、询标承诺、询疑答复、投标响应文件、双方来函。合同文件组成的所有内容是构成合同不可分割的部分，与合同具有同等法律效力。</w:t>
      </w:r>
    </w:p>
    <w:p w14:paraId="37537F8F">
      <w:pPr>
        <w:widowControl/>
        <w:spacing w:line="360" w:lineRule="auto"/>
        <w:ind w:firstLine="480"/>
        <w:jc w:val="left"/>
        <w:rPr>
          <w:rFonts w:hint="eastAsia" w:ascii="宋体" w:hAnsi="宋体" w:eastAsia="宋体" w:cs="宋体"/>
          <w:b/>
          <w:kern w:val="0"/>
          <w:sz w:val="24"/>
          <w:szCs w:val="24"/>
        </w:rPr>
      </w:pPr>
      <w:r>
        <w:rPr>
          <w:rFonts w:hint="eastAsia" w:ascii="宋体" w:hAnsi="宋体" w:eastAsia="宋体" w:cs="宋体"/>
          <w:b/>
          <w:kern w:val="0"/>
          <w:sz w:val="24"/>
          <w:szCs w:val="24"/>
        </w:rPr>
        <w:t>二、合同金额</w:t>
      </w:r>
    </w:p>
    <w:p w14:paraId="44796DB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合同总价中已</w:t>
      </w:r>
      <w:r>
        <w:rPr>
          <w:rFonts w:hint="eastAsia" w:hAnsi="宋体" w:cs="宋体"/>
          <w:sz w:val="24"/>
          <w:szCs w:val="24"/>
          <w:lang w:eastAsia="zh-Hans"/>
        </w:rPr>
        <w:t>包含</w:t>
      </w:r>
      <w:r>
        <w:rPr>
          <w:rFonts w:hint="eastAsia" w:hAnsi="宋体" w:cs="宋体"/>
          <w:sz w:val="24"/>
          <w:szCs w:val="24"/>
          <w:highlight w:val="none"/>
        </w:rPr>
        <w:t>货款、软件设计开发费、安装调试费、试运行、系统运维费、等保测评费</w:t>
      </w:r>
      <w:r>
        <w:rPr>
          <w:kern w:val="0"/>
          <w:sz w:val="24"/>
          <w:highlight w:val="none"/>
        </w:rPr>
        <w:t>、</w:t>
      </w:r>
      <w:r>
        <w:rPr>
          <w:sz w:val="24"/>
        </w:rPr>
        <w:t>职工工资、福利、社会保险费用（包括养老、工伤、失业、医疗、生育等），用品、材料、维保工具等购置费用，利润、税金、完成本项目的其它费用和政策性文件规定及</w:t>
      </w:r>
      <w:r>
        <w:rPr>
          <w:kern w:val="0"/>
          <w:sz w:val="24"/>
        </w:rPr>
        <w:t>合同中明示或暗示的所有一般风险、责任和义务等一切应由采购人支付的费用</w:t>
      </w:r>
      <w:r>
        <w:rPr>
          <w:rFonts w:hint="eastAsia" w:ascii="宋体" w:hAnsi="宋体" w:eastAsia="宋体" w:cs="宋体"/>
          <w:sz w:val="24"/>
          <w:szCs w:val="24"/>
          <w:lang w:eastAsia="zh-Hans"/>
        </w:rPr>
        <w:t>。</w:t>
      </w:r>
    </w:p>
    <w:p w14:paraId="483DB7D0">
      <w:pPr>
        <w:widowControl/>
        <w:spacing w:line="360" w:lineRule="auto"/>
        <w:ind w:firstLine="480"/>
        <w:jc w:val="right"/>
        <w:rPr>
          <w:rFonts w:hint="eastAsia" w:ascii="宋体" w:hAnsi="宋体" w:eastAsia="宋体" w:cs="宋体"/>
          <w:kern w:val="0"/>
          <w:sz w:val="24"/>
          <w:szCs w:val="24"/>
        </w:rPr>
      </w:pPr>
      <w:r>
        <w:rPr>
          <w:rFonts w:hint="eastAsia" w:ascii="宋体" w:hAnsi="宋体" w:eastAsia="宋体" w:cs="宋体"/>
          <w:kern w:val="0"/>
          <w:sz w:val="24"/>
          <w:szCs w:val="24"/>
        </w:rPr>
        <w:t>单位：人民币元</w:t>
      </w:r>
    </w:p>
    <w:tbl>
      <w:tblPr>
        <w:tblStyle w:val="28"/>
        <w:tblpPr w:leftFromText="180" w:rightFromText="180" w:vertAnchor="text" w:horzAnchor="page" w:tblpX="1147" w:tblpY="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835"/>
        <w:gridCol w:w="1741"/>
        <w:gridCol w:w="967"/>
        <w:gridCol w:w="1741"/>
      </w:tblGrid>
      <w:tr w14:paraId="34AF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14:paraId="098802AA">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4835" w:type="dxa"/>
            <w:vAlign w:val="center"/>
          </w:tcPr>
          <w:p w14:paraId="0A1AAD24">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采购项目</w:t>
            </w:r>
          </w:p>
        </w:tc>
        <w:tc>
          <w:tcPr>
            <w:tcW w:w="1741" w:type="dxa"/>
            <w:vAlign w:val="center"/>
          </w:tcPr>
          <w:p w14:paraId="55EDAFB4">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单价（元）</w:t>
            </w:r>
          </w:p>
        </w:tc>
        <w:tc>
          <w:tcPr>
            <w:tcW w:w="967" w:type="dxa"/>
            <w:vAlign w:val="center"/>
          </w:tcPr>
          <w:p w14:paraId="37C2D459">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数量</w:t>
            </w:r>
          </w:p>
        </w:tc>
        <w:tc>
          <w:tcPr>
            <w:tcW w:w="1741" w:type="dxa"/>
            <w:vAlign w:val="center"/>
          </w:tcPr>
          <w:p w14:paraId="30B52A0E">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总价（元）</w:t>
            </w:r>
          </w:p>
        </w:tc>
      </w:tr>
      <w:tr w14:paraId="233B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vAlign w:val="center"/>
          </w:tcPr>
          <w:p w14:paraId="04B82BF3">
            <w:pPr>
              <w:wordWrap w:val="0"/>
              <w:spacing w:line="360" w:lineRule="exact"/>
              <w:jc w:val="center"/>
              <w:rPr>
                <w:rFonts w:ascii="Times New Roman" w:hAnsi="Times New Roman" w:eastAsia="宋体" w:cs="Times New Roman"/>
                <w:sz w:val="24"/>
              </w:rPr>
            </w:pPr>
          </w:p>
        </w:tc>
        <w:tc>
          <w:tcPr>
            <w:tcW w:w="4835" w:type="dxa"/>
            <w:vAlign w:val="center"/>
          </w:tcPr>
          <w:p w14:paraId="725DFC7E">
            <w:pPr>
              <w:wordWrap w:val="0"/>
              <w:spacing w:line="360" w:lineRule="exact"/>
              <w:jc w:val="center"/>
              <w:rPr>
                <w:rFonts w:ascii="Times New Roman" w:hAnsi="Times New Roman" w:eastAsia="宋体" w:cs="Times New Roman"/>
                <w:sz w:val="24"/>
              </w:rPr>
            </w:pPr>
          </w:p>
        </w:tc>
        <w:tc>
          <w:tcPr>
            <w:tcW w:w="1741" w:type="dxa"/>
            <w:vAlign w:val="center"/>
          </w:tcPr>
          <w:p w14:paraId="52A59869">
            <w:pPr>
              <w:wordWrap w:val="0"/>
              <w:spacing w:line="360" w:lineRule="exact"/>
              <w:jc w:val="center"/>
              <w:rPr>
                <w:rFonts w:ascii="Times New Roman" w:hAnsi="Times New Roman" w:eastAsia="宋体" w:cs="Times New Roman"/>
                <w:sz w:val="24"/>
              </w:rPr>
            </w:pPr>
          </w:p>
        </w:tc>
        <w:tc>
          <w:tcPr>
            <w:tcW w:w="967" w:type="dxa"/>
            <w:vAlign w:val="center"/>
          </w:tcPr>
          <w:p w14:paraId="1096E5DA">
            <w:pPr>
              <w:wordWrap w:val="0"/>
              <w:spacing w:line="360" w:lineRule="exact"/>
              <w:jc w:val="center"/>
              <w:rPr>
                <w:rFonts w:ascii="Times New Roman" w:hAnsi="Times New Roman" w:eastAsia="宋体" w:cs="Times New Roman"/>
                <w:sz w:val="24"/>
              </w:rPr>
            </w:pPr>
          </w:p>
        </w:tc>
        <w:tc>
          <w:tcPr>
            <w:tcW w:w="1741" w:type="dxa"/>
          </w:tcPr>
          <w:p w14:paraId="36CA6154">
            <w:pPr>
              <w:wordWrap w:val="0"/>
              <w:spacing w:line="360" w:lineRule="exact"/>
              <w:rPr>
                <w:rFonts w:ascii="Times New Roman" w:hAnsi="Times New Roman" w:eastAsia="宋体" w:cs="Times New Roman"/>
                <w:sz w:val="24"/>
              </w:rPr>
            </w:pPr>
          </w:p>
        </w:tc>
      </w:tr>
      <w:tr w14:paraId="7ACE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13" w:type="dxa"/>
            <w:vAlign w:val="center"/>
          </w:tcPr>
          <w:p w14:paraId="62A38D89">
            <w:pPr>
              <w:wordWrap w:val="0"/>
              <w:spacing w:line="360" w:lineRule="exact"/>
              <w:jc w:val="center"/>
              <w:rPr>
                <w:rFonts w:ascii="Times New Roman" w:hAnsi="Times New Roman" w:eastAsia="宋体" w:cs="Times New Roman"/>
                <w:sz w:val="24"/>
              </w:rPr>
            </w:pPr>
          </w:p>
        </w:tc>
        <w:tc>
          <w:tcPr>
            <w:tcW w:w="4835" w:type="dxa"/>
            <w:vAlign w:val="center"/>
          </w:tcPr>
          <w:p w14:paraId="04A5E5A3">
            <w:pPr>
              <w:wordWrap w:val="0"/>
              <w:spacing w:line="360" w:lineRule="exact"/>
              <w:jc w:val="center"/>
              <w:rPr>
                <w:rFonts w:ascii="Times New Roman" w:hAnsi="Times New Roman" w:eastAsia="宋体" w:cs="Times New Roman"/>
                <w:sz w:val="24"/>
              </w:rPr>
            </w:pPr>
          </w:p>
        </w:tc>
        <w:tc>
          <w:tcPr>
            <w:tcW w:w="1741" w:type="dxa"/>
          </w:tcPr>
          <w:p w14:paraId="2DE4FE61">
            <w:pPr>
              <w:wordWrap w:val="0"/>
              <w:spacing w:line="360" w:lineRule="exact"/>
              <w:jc w:val="center"/>
              <w:rPr>
                <w:rFonts w:ascii="Times New Roman" w:hAnsi="Times New Roman" w:eastAsia="宋体" w:cs="Times New Roman"/>
                <w:sz w:val="24"/>
              </w:rPr>
            </w:pPr>
          </w:p>
        </w:tc>
        <w:tc>
          <w:tcPr>
            <w:tcW w:w="967" w:type="dxa"/>
            <w:vAlign w:val="center"/>
          </w:tcPr>
          <w:p w14:paraId="4B2DBFC0">
            <w:pPr>
              <w:wordWrap w:val="0"/>
              <w:spacing w:line="360" w:lineRule="exact"/>
              <w:jc w:val="center"/>
              <w:rPr>
                <w:rFonts w:ascii="Times New Roman" w:hAnsi="Times New Roman" w:eastAsia="宋体" w:cs="Times New Roman"/>
                <w:sz w:val="24"/>
              </w:rPr>
            </w:pPr>
          </w:p>
        </w:tc>
        <w:tc>
          <w:tcPr>
            <w:tcW w:w="1741" w:type="dxa"/>
          </w:tcPr>
          <w:p w14:paraId="10222CB7">
            <w:pPr>
              <w:wordWrap w:val="0"/>
              <w:spacing w:line="360" w:lineRule="exact"/>
              <w:rPr>
                <w:rFonts w:ascii="Times New Roman" w:hAnsi="Times New Roman" w:eastAsia="宋体" w:cs="Times New Roman"/>
                <w:sz w:val="24"/>
              </w:rPr>
            </w:pPr>
          </w:p>
        </w:tc>
      </w:tr>
      <w:tr w14:paraId="07E3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14:paraId="77B60907">
            <w:pPr>
              <w:wordWrap w:val="0"/>
              <w:spacing w:line="360" w:lineRule="exact"/>
              <w:jc w:val="center"/>
              <w:rPr>
                <w:rFonts w:ascii="Times New Roman" w:hAnsi="Times New Roman" w:eastAsia="宋体" w:cs="Times New Roman"/>
                <w:sz w:val="24"/>
              </w:rPr>
            </w:pPr>
            <w:r>
              <w:rPr>
                <w:rFonts w:ascii="Times New Roman" w:hAnsi="Times New Roman" w:eastAsia="宋体" w:cs="Times New Roman"/>
                <w:sz w:val="24"/>
              </w:rPr>
              <w:t>合计</w:t>
            </w:r>
          </w:p>
        </w:tc>
        <w:tc>
          <w:tcPr>
            <w:tcW w:w="9284" w:type="dxa"/>
            <w:gridSpan w:val="4"/>
            <w:vAlign w:val="center"/>
          </w:tcPr>
          <w:p w14:paraId="3806CC0B">
            <w:pPr>
              <w:wordWrap w:val="0"/>
              <w:spacing w:line="360" w:lineRule="exact"/>
              <w:rPr>
                <w:rFonts w:ascii="Times New Roman" w:hAnsi="Times New Roman" w:eastAsia="宋体" w:cs="Times New Roman"/>
                <w:sz w:val="24"/>
                <w:u w:val="single"/>
              </w:rPr>
            </w:pPr>
            <w:r>
              <w:rPr>
                <w:rFonts w:ascii="Times New Roman" w:hAnsi="Times New Roman" w:eastAsia="宋体" w:cs="Times New Roman"/>
                <w:sz w:val="24"/>
              </w:rPr>
              <w:t>￥：</w:t>
            </w:r>
            <w:r>
              <w:rPr>
                <w:rFonts w:ascii="Times New Roman" w:hAnsi="Times New Roman" w:eastAsia="宋体" w:cs="Times New Roman"/>
                <w:sz w:val="24"/>
                <w:u w:val="single"/>
              </w:rPr>
              <w:t xml:space="preserve">                                           </w:t>
            </w:r>
          </w:p>
          <w:p w14:paraId="2C4ECD88">
            <w:pPr>
              <w:wordWrap w:val="0"/>
              <w:spacing w:line="360" w:lineRule="exact"/>
              <w:rPr>
                <w:rFonts w:ascii="Times New Roman" w:hAnsi="Times New Roman" w:eastAsia="宋体" w:cs="Times New Roman"/>
                <w:sz w:val="24"/>
              </w:rPr>
            </w:pPr>
            <w:r>
              <w:rPr>
                <w:rFonts w:ascii="Times New Roman" w:hAnsi="Times New Roman" w:eastAsia="宋体" w:cs="Times New Roman"/>
                <w:sz w:val="24"/>
              </w:rPr>
              <w:t>大写：</w:t>
            </w:r>
            <w:r>
              <w:rPr>
                <w:rFonts w:ascii="Times New Roman" w:hAnsi="Times New Roman" w:eastAsia="宋体" w:cs="Times New Roman"/>
                <w:sz w:val="24"/>
                <w:u w:val="single"/>
              </w:rPr>
              <w:t xml:space="preserve">                                         </w:t>
            </w:r>
          </w:p>
        </w:tc>
      </w:tr>
    </w:tbl>
    <w:p w14:paraId="33DCE708">
      <w:pPr>
        <w:widowControl/>
        <w:spacing w:line="360" w:lineRule="auto"/>
        <w:ind w:firstLine="482" w:firstLineChars="200"/>
        <w:jc w:val="left"/>
        <w:rPr>
          <w:rFonts w:ascii="Times New Roman" w:hAnsi="Times New Roman" w:eastAsia="宋体" w:cs="Times New Roman"/>
          <w:b/>
          <w:kern w:val="0"/>
          <w:sz w:val="24"/>
        </w:rPr>
      </w:pPr>
      <w:r>
        <w:rPr>
          <w:rFonts w:ascii="Times New Roman" w:hAnsi="Times New Roman" w:eastAsia="宋体" w:cs="Times New Roman"/>
          <w:b/>
          <w:kern w:val="0"/>
          <w:sz w:val="24"/>
        </w:rPr>
        <w:t>三、技术资料</w:t>
      </w:r>
    </w:p>
    <w:p w14:paraId="4720B29D">
      <w:pPr>
        <w:widowControl/>
        <w:spacing w:line="360" w:lineRule="auto"/>
        <w:ind w:left="407" w:leftChars="194" w:firstLine="120" w:firstLineChars="50"/>
        <w:jc w:val="left"/>
        <w:rPr>
          <w:rFonts w:ascii="Times New Roman" w:hAnsi="Times New Roman" w:eastAsia="宋体" w:cs="Times New Roman"/>
          <w:kern w:val="0"/>
          <w:sz w:val="24"/>
        </w:rPr>
      </w:pPr>
      <w:r>
        <w:rPr>
          <w:rFonts w:ascii="Times New Roman" w:hAnsi="Times New Roman" w:eastAsia="宋体" w:cs="Times New Roman"/>
          <w:kern w:val="0"/>
          <w:sz w:val="24"/>
        </w:rPr>
        <w:t>1、乙方应按招标文件规定的时间向甲方提供的有关技术资料。</w:t>
      </w:r>
    </w:p>
    <w:p w14:paraId="674C4288">
      <w:pPr>
        <w:widowControl/>
        <w:spacing w:line="360" w:lineRule="auto"/>
        <w:ind w:left="78" w:leftChars="37"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69CC24B">
      <w:pPr>
        <w:widowControl/>
        <w:spacing w:line="360" w:lineRule="auto"/>
        <w:ind w:left="409" w:leftChars="195" w:firstLine="118" w:firstLineChars="49"/>
        <w:jc w:val="left"/>
        <w:rPr>
          <w:rFonts w:ascii="Times New Roman" w:hAnsi="Times New Roman" w:eastAsia="宋体" w:cs="Times New Roman"/>
          <w:b/>
          <w:kern w:val="0"/>
          <w:sz w:val="24"/>
        </w:rPr>
      </w:pPr>
      <w:r>
        <w:rPr>
          <w:rFonts w:ascii="Times New Roman" w:hAnsi="Times New Roman" w:eastAsia="宋体" w:cs="Times New Roman"/>
          <w:b/>
          <w:kern w:val="0"/>
          <w:sz w:val="24"/>
        </w:rPr>
        <w:t>四、知识产权</w:t>
      </w:r>
    </w:p>
    <w:p w14:paraId="56FD51AA">
      <w:pPr>
        <w:widowControl/>
        <w:spacing w:line="360" w:lineRule="auto"/>
        <w:ind w:firstLine="480" w:firstLineChars="200"/>
        <w:jc w:val="left"/>
        <w:rPr>
          <w:rFonts w:ascii="Times New Roman" w:hAnsi="Times New Roman" w:eastAsia="宋体" w:cs="Times New Roman"/>
          <w:bCs/>
          <w:kern w:val="0"/>
          <w:sz w:val="24"/>
        </w:rPr>
      </w:pPr>
      <w:r>
        <w:rPr>
          <w:rFonts w:ascii="Times New Roman" w:hAnsi="Times New Roman" w:eastAsia="宋体" w:cs="Times New Roman"/>
          <w:kern w:val="0"/>
          <w:sz w:val="24"/>
        </w:rPr>
        <w:t>乙方应保证所提供的软件或其任何一部分均不会侵犯任何第三方的知识产权</w:t>
      </w:r>
      <w:r>
        <w:rPr>
          <w:rFonts w:ascii="Times New Roman" w:hAnsi="Times New Roman" w:eastAsia="宋体" w:cs="Times New Roman"/>
          <w:bCs/>
          <w:kern w:val="0"/>
          <w:sz w:val="24"/>
        </w:rPr>
        <w:t>。</w:t>
      </w:r>
    </w:p>
    <w:p w14:paraId="58D12C1F">
      <w:pPr>
        <w:widowControl/>
        <w:spacing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五、转包或分包</w:t>
      </w:r>
    </w:p>
    <w:p w14:paraId="18F0FD64">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1、本合同范围的服务，应由乙方直接供应，不得转让他人供应；</w:t>
      </w:r>
    </w:p>
    <w:p w14:paraId="5629A46C">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2、乙方不得将本合同范围的服务全部或部分分包给他人供应；</w:t>
      </w:r>
    </w:p>
    <w:p w14:paraId="2ACF2222">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3、如有转让和分包行为，甲方将解除合同，并追究乙方的违约责任。</w:t>
      </w:r>
    </w:p>
    <w:p w14:paraId="729A2289">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b/>
          <w:kern w:val="0"/>
          <w:sz w:val="24"/>
        </w:rPr>
        <w:t>六、质保期</w:t>
      </w:r>
    </w:p>
    <w:p w14:paraId="2965D9B4">
      <w:pPr>
        <w:widowControl/>
        <w:spacing w:line="360" w:lineRule="auto"/>
        <w:ind w:firstLine="482" w:firstLineChars="200"/>
        <w:jc w:val="left"/>
        <w:rPr>
          <w:rFonts w:ascii="Times New Roman" w:hAnsi="Times New Roman" w:eastAsia="宋体" w:cs="Times New Roman"/>
          <w:kern w:val="0"/>
          <w:sz w:val="24"/>
        </w:rPr>
      </w:pPr>
      <w:r>
        <w:rPr>
          <w:rFonts w:ascii="Times New Roman" w:hAnsi="Times New Roman" w:eastAsia="宋体" w:cs="Times New Roman"/>
          <w:b/>
          <w:kern w:val="0"/>
          <w:sz w:val="24"/>
        </w:rPr>
        <w:t>乙方必须对合同中规定的</w:t>
      </w:r>
      <w:r>
        <w:rPr>
          <w:rFonts w:hint="eastAsia" w:ascii="Times New Roman" w:hAnsi="Times New Roman" w:eastAsia="宋体" w:cs="Times New Roman"/>
          <w:b/>
          <w:kern w:val="0"/>
          <w:sz w:val="24"/>
        </w:rPr>
        <w:t>系统</w:t>
      </w:r>
      <w:r>
        <w:rPr>
          <w:rFonts w:ascii="Times New Roman" w:hAnsi="Times New Roman" w:eastAsia="宋体" w:cs="Times New Roman"/>
          <w:b/>
          <w:kern w:val="0"/>
          <w:sz w:val="24"/>
        </w:rPr>
        <w:t>提供至少</w:t>
      </w:r>
      <w:r>
        <w:rPr>
          <w:rFonts w:ascii="Times New Roman" w:hAnsi="Times New Roman" w:eastAsia="宋体" w:cs="Times New Roman"/>
          <w:b/>
          <w:kern w:val="0"/>
          <w:sz w:val="24"/>
          <w:u w:val="single"/>
        </w:rPr>
        <w:t xml:space="preserve">        </w:t>
      </w:r>
      <w:r>
        <w:rPr>
          <w:rFonts w:ascii="Times New Roman" w:hAnsi="Times New Roman" w:eastAsia="宋体" w:cs="Times New Roman"/>
          <w:b/>
          <w:kern w:val="0"/>
          <w:sz w:val="24"/>
        </w:rPr>
        <w:t>年的质保期（系统另有规定的按原规定执行），时间从整体工程验收合格办理移交手续之日起计算。在质量保证期内，对用户提出的技术问题进行咨询解答服务，对项目运行过程中发现的技术缺陷予以修改，并负责有关费用。</w:t>
      </w:r>
    </w:p>
    <w:p w14:paraId="7F7A319A">
      <w:pPr>
        <w:widowControl/>
        <w:spacing w:line="360" w:lineRule="auto"/>
        <w:ind w:firstLine="482"/>
        <w:jc w:val="left"/>
        <w:rPr>
          <w:rFonts w:ascii="Times New Roman" w:hAnsi="Times New Roman" w:eastAsia="宋体" w:cs="Times New Roman"/>
          <w:b/>
          <w:kern w:val="0"/>
          <w:sz w:val="24"/>
          <w:u w:val="single"/>
        </w:rPr>
      </w:pPr>
      <w:r>
        <w:rPr>
          <w:rFonts w:ascii="Times New Roman" w:hAnsi="Times New Roman" w:eastAsia="宋体" w:cs="Times New Roman"/>
          <w:b/>
          <w:kern w:val="0"/>
          <w:sz w:val="24"/>
        </w:rPr>
        <w:t>七、工期要求：</w:t>
      </w:r>
      <w:r>
        <w:rPr>
          <w:rFonts w:ascii="Times New Roman" w:hAnsi="Times New Roman" w:eastAsia="宋体" w:cs="Times New Roman"/>
          <w:b/>
          <w:kern w:val="0"/>
          <w:sz w:val="24"/>
          <w:u w:val="single"/>
        </w:rPr>
        <w:t xml:space="preserve">                                        </w:t>
      </w:r>
    </w:p>
    <w:p w14:paraId="0ADA60EA">
      <w:pPr>
        <w:widowControl/>
        <w:spacing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八、</w:t>
      </w:r>
      <w:r>
        <w:rPr>
          <w:rFonts w:hint="eastAsia" w:ascii="Times New Roman" w:hAnsi="Times New Roman" w:eastAsia="宋体" w:cs="Times New Roman"/>
          <w:b/>
          <w:kern w:val="0"/>
          <w:sz w:val="24"/>
        </w:rPr>
        <w:t>合同</w:t>
      </w:r>
      <w:r>
        <w:rPr>
          <w:rFonts w:ascii="Times New Roman" w:hAnsi="Times New Roman" w:eastAsia="宋体" w:cs="Times New Roman"/>
          <w:b/>
          <w:kern w:val="0"/>
          <w:sz w:val="24"/>
        </w:rPr>
        <w:t>款支付</w:t>
      </w:r>
    </w:p>
    <w:p w14:paraId="52FC18BE">
      <w:pPr>
        <w:widowControl/>
        <w:spacing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kern w:val="0"/>
          <w:sz w:val="24"/>
        </w:rPr>
        <w:t>▲</w:t>
      </w:r>
      <w:r>
        <w:rPr>
          <w:rFonts w:ascii="Times New Roman" w:hAnsi="Times New Roman" w:eastAsia="宋体" w:cs="Times New Roman"/>
          <w:b/>
          <w:kern w:val="0"/>
          <w:sz w:val="24"/>
        </w:rPr>
        <w:t>1、付款方式：_______________________(与招标文件保持一致)</w:t>
      </w:r>
    </w:p>
    <w:p w14:paraId="3F22C7F6">
      <w:pPr>
        <w:widowControl/>
        <w:spacing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九、税费</w:t>
      </w:r>
    </w:p>
    <w:p w14:paraId="71368421">
      <w:pPr>
        <w:widowControl/>
        <w:spacing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本合同执行中相关的一切税费均由乙方负担。</w:t>
      </w:r>
    </w:p>
    <w:p w14:paraId="607A3024">
      <w:pPr>
        <w:widowControl/>
        <w:spacing w:line="360" w:lineRule="auto"/>
        <w:ind w:left="409" w:leftChars="195" w:firstLine="118" w:firstLineChars="49"/>
        <w:jc w:val="left"/>
        <w:rPr>
          <w:rFonts w:ascii="Times New Roman" w:hAnsi="Times New Roman" w:eastAsia="宋体" w:cs="Times New Roman"/>
          <w:kern w:val="0"/>
          <w:sz w:val="24"/>
        </w:rPr>
      </w:pPr>
      <w:r>
        <w:rPr>
          <w:rFonts w:ascii="Times New Roman" w:hAnsi="Times New Roman" w:eastAsia="宋体" w:cs="Times New Roman"/>
          <w:b/>
          <w:kern w:val="0"/>
          <w:sz w:val="24"/>
        </w:rPr>
        <w:t>十、质量保证及售后服务</w:t>
      </w:r>
    </w:p>
    <w:p w14:paraId="015A442C">
      <w:pPr>
        <w:widowControl/>
        <w:spacing w:line="360" w:lineRule="auto"/>
        <w:ind w:left="77" w:firstLine="480"/>
        <w:jc w:val="left"/>
        <w:rPr>
          <w:rFonts w:ascii="Times New Roman" w:hAnsi="Times New Roman" w:eastAsia="宋体" w:cs="Times New Roman"/>
          <w:kern w:val="0"/>
          <w:sz w:val="24"/>
        </w:rPr>
      </w:pPr>
      <w:r>
        <w:rPr>
          <w:rFonts w:ascii="Times New Roman" w:hAnsi="Times New Roman" w:eastAsia="宋体" w:cs="Times New Roman"/>
          <w:kern w:val="0"/>
          <w:sz w:val="24"/>
        </w:rPr>
        <w:t>1、乙方应按招标文件规定的系统性能、技术要求、质量标准向甲方提供。</w:t>
      </w:r>
    </w:p>
    <w:p w14:paraId="3E172135">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2、系统在质量保证期内，须提供以下形式的技术支持服务</w:t>
      </w:r>
    </w:p>
    <w:p w14:paraId="66ACA3FE">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热线电话：通过热线电话方式受理用户方反馈的问题，要求提供5×8小时的电话技术支持服务。</w:t>
      </w:r>
    </w:p>
    <w:p w14:paraId="6653BCB0">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kern w:val="0"/>
          <w:sz w:val="24"/>
        </w:rPr>
        <w:tab/>
      </w:r>
      <w:r>
        <w:rPr>
          <w:rFonts w:ascii="Times New Roman" w:hAnsi="Times New Roman" w:eastAsia="宋体" w:cs="Times New Roman"/>
          <w:kern w:val="0"/>
          <w:sz w:val="24"/>
        </w:rPr>
        <w:t>网站公告：通过网站方式对系统重大更新信息进行发布，提供文档、补丁程序、软件更新下载，提供在线交互。</w:t>
      </w:r>
    </w:p>
    <w:p w14:paraId="2280EA95">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kern w:val="0"/>
          <w:sz w:val="24"/>
        </w:rPr>
        <w:tab/>
      </w:r>
      <w:r>
        <w:rPr>
          <w:rFonts w:ascii="Times New Roman" w:hAnsi="Times New Roman" w:eastAsia="宋体" w:cs="Times New Roman"/>
          <w:kern w:val="0"/>
          <w:sz w:val="24"/>
        </w:rPr>
        <w:t>电子邮箱：提供专门的技术服务电子邮箱，对用户方反馈的技术问题进行收集。</w:t>
      </w:r>
    </w:p>
    <w:p w14:paraId="152B0E36">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kern w:val="0"/>
          <w:sz w:val="24"/>
        </w:rPr>
        <w:tab/>
      </w:r>
      <w:r>
        <w:rPr>
          <w:rFonts w:ascii="Times New Roman" w:hAnsi="Times New Roman" w:eastAsia="宋体" w:cs="Times New Roman"/>
          <w:kern w:val="0"/>
          <w:sz w:val="24"/>
        </w:rPr>
        <w:t>现场服务：在电话响应未能解决的情况下，向用户方提供现场服务解决问题。</w:t>
      </w:r>
    </w:p>
    <w:p w14:paraId="543148B7">
      <w:pPr>
        <w:widowControl/>
        <w:spacing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十一、违约责任</w:t>
      </w:r>
    </w:p>
    <w:p w14:paraId="1B4F461C">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1、甲方无正当理由拒收的，甲方向乙方偿付</w:t>
      </w:r>
      <w:r>
        <w:rPr>
          <w:rFonts w:hint="eastAsia" w:ascii="Times New Roman" w:hAnsi="Times New Roman" w:eastAsia="宋体" w:cs="Times New Roman"/>
          <w:kern w:val="0"/>
          <w:sz w:val="24"/>
        </w:rPr>
        <w:t>合同</w:t>
      </w:r>
      <w:r>
        <w:rPr>
          <w:rFonts w:ascii="Times New Roman" w:hAnsi="Times New Roman" w:eastAsia="宋体" w:cs="Times New Roman"/>
          <w:kern w:val="0"/>
          <w:sz w:val="24"/>
        </w:rPr>
        <w:t>总值的百分之____违约金。</w:t>
      </w:r>
    </w:p>
    <w:p w14:paraId="16A3DE27">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2、甲方无故逾期验收和办理</w:t>
      </w:r>
      <w:r>
        <w:rPr>
          <w:rFonts w:hint="eastAsia" w:ascii="Times New Roman" w:hAnsi="Times New Roman" w:eastAsia="宋体" w:cs="Times New Roman"/>
          <w:kern w:val="0"/>
          <w:sz w:val="24"/>
        </w:rPr>
        <w:t>合同</w:t>
      </w:r>
      <w:r>
        <w:rPr>
          <w:rFonts w:ascii="Times New Roman" w:hAnsi="Times New Roman" w:eastAsia="宋体" w:cs="Times New Roman"/>
          <w:kern w:val="0"/>
          <w:sz w:val="24"/>
        </w:rPr>
        <w:t>款支付手续的</w:t>
      </w:r>
      <w:r>
        <w:rPr>
          <w:rFonts w:hint="eastAsia" w:ascii="Times New Roman" w:hAnsi="Times New Roman" w:eastAsia="宋体" w:cs="Times New Roman"/>
          <w:kern w:val="0"/>
          <w:sz w:val="24"/>
        </w:rPr>
        <w:t>，</w:t>
      </w:r>
      <w:r>
        <w:rPr>
          <w:rFonts w:ascii="Times New Roman" w:hAnsi="Times New Roman" w:eastAsia="宋体" w:cs="Times New Roman"/>
          <w:kern w:val="0"/>
          <w:sz w:val="24"/>
        </w:rPr>
        <w:t>甲方应按逾期付款总额每日万分之____向乙方支付违约金。</w:t>
      </w:r>
    </w:p>
    <w:p w14:paraId="7B905BAE">
      <w:pPr>
        <w:spacing w:line="360" w:lineRule="auto"/>
        <w:ind w:firstLine="482"/>
        <w:jc w:val="left"/>
        <w:rPr>
          <w:rFonts w:ascii="Times New Roman" w:hAnsi="Times New Roman" w:eastAsia="宋体" w:cs="Times New Roman"/>
          <w:kern w:val="0"/>
          <w:sz w:val="24"/>
        </w:rPr>
      </w:pPr>
      <w:r>
        <w:rPr>
          <w:rFonts w:ascii="Times New Roman" w:hAnsi="Times New Roman" w:eastAsia="宋体" w:cs="Times New Roman"/>
          <w:kern w:val="0"/>
          <w:sz w:val="24"/>
        </w:rPr>
        <w:t xml:space="preserve">3、乙方逾期交付的，乙方应按逾期交货总额每日千分之___向甲方支付违约金，由甲方从待付款中扣除。逾期超过约定日期___个工作日不能交货的，甲方可解除本合同。乙方因逾期交货或因其他违约行为导致甲方解除合同的，乙方应向甲方支付合同总值___%的违约金，如造成甲方损失超过违约金的，超出部分由乙方继续承担赔偿责任。 </w:t>
      </w:r>
    </w:p>
    <w:p w14:paraId="00E17FF1">
      <w:pPr>
        <w:spacing w:line="360" w:lineRule="auto"/>
        <w:ind w:firstLine="482"/>
        <w:jc w:val="left"/>
        <w:rPr>
          <w:rFonts w:ascii="Times New Roman" w:hAnsi="Times New Roman" w:eastAsia="宋体" w:cs="Times New Roman"/>
          <w:kern w:val="0"/>
          <w:sz w:val="24"/>
        </w:rPr>
      </w:pPr>
      <w:r>
        <w:rPr>
          <w:rFonts w:ascii="Times New Roman" w:hAnsi="Times New Roman" w:eastAsia="宋体" w:cs="Times New Roman"/>
          <w:kern w:val="0"/>
          <w:sz w:val="24"/>
        </w:rPr>
        <w:t>4、乙方所交的系统技术参数、质量不符合合同规定及招标文件规定标准的，甲方有权拒收，乙方愿意更换但逾期交货的，按乙方逾期交货处理。乙方拒绝更换的，甲方可单方面解除合同。</w:t>
      </w:r>
    </w:p>
    <w:p w14:paraId="06AA2FF9">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5、乙方原因不能按期</w:t>
      </w:r>
      <w:r>
        <w:rPr>
          <w:rFonts w:hint="eastAsia" w:ascii="Times New Roman" w:hAnsi="Times New Roman" w:eastAsia="宋体" w:cs="Times New Roman"/>
          <w:kern w:val="0"/>
          <w:sz w:val="24"/>
        </w:rPr>
        <w:t>安装</w:t>
      </w:r>
      <w:r>
        <w:rPr>
          <w:rFonts w:ascii="Times New Roman" w:hAnsi="Times New Roman" w:eastAsia="宋体" w:cs="Times New Roman"/>
          <w:kern w:val="0"/>
          <w:sz w:val="24"/>
        </w:rPr>
        <w:t>验收完毕的，乙方向甲方每日偿付合同款总额___‰的违约金。</w:t>
      </w:r>
    </w:p>
    <w:p w14:paraId="3BFAEC01">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6、未按规定提供完整的技术资料处以合同款总额千分之___的违约金。</w:t>
      </w:r>
    </w:p>
    <w:p w14:paraId="7187BB6B">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7、未按招标文件约定派驻相关专业的技术人员进行安装调试指导的，每发现一次处以合同款总额千分之___的违约金。</w:t>
      </w:r>
    </w:p>
    <w:p w14:paraId="3B91677E">
      <w:pPr>
        <w:widowControl/>
        <w:spacing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十二、不可抗力事件处理</w:t>
      </w:r>
    </w:p>
    <w:p w14:paraId="74C76B03">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1、在合同有效期内，任何一方因不可抗力事件导致不能履行合同，则合同履行期可延长，其延长期与不可抗力影响期相同。</w:t>
      </w:r>
    </w:p>
    <w:p w14:paraId="767BAC6A">
      <w:pPr>
        <w:widowControl/>
        <w:spacing w:line="360" w:lineRule="auto"/>
        <w:ind w:left="479" w:leftChars="228"/>
        <w:jc w:val="left"/>
        <w:rPr>
          <w:rFonts w:ascii="Times New Roman" w:hAnsi="Times New Roman" w:eastAsia="宋体" w:cs="Times New Roman"/>
          <w:kern w:val="0"/>
          <w:sz w:val="24"/>
        </w:rPr>
      </w:pPr>
      <w:r>
        <w:rPr>
          <w:rFonts w:ascii="Times New Roman" w:hAnsi="Times New Roman" w:eastAsia="宋体" w:cs="Times New Roman"/>
          <w:kern w:val="0"/>
          <w:sz w:val="24"/>
        </w:rPr>
        <w:t>2、不可抗力事件发生后，应立即通知对方，并寄送有关权威机构出具的说明。</w:t>
      </w:r>
    </w:p>
    <w:p w14:paraId="198352A8">
      <w:pPr>
        <w:widowControl/>
        <w:spacing w:line="360" w:lineRule="auto"/>
        <w:ind w:left="479" w:leftChars="228"/>
        <w:jc w:val="left"/>
        <w:rPr>
          <w:rFonts w:ascii="Times New Roman" w:hAnsi="Times New Roman" w:eastAsia="宋体" w:cs="Times New Roman"/>
          <w:kern w:val="0"/>
          <w:sz w:val="24"/>
        </w:rPr>
      </w:pPr>
      <w:r>
        <w:rPr>
          <w:rFonts w:ascii="Times New Roman" w:hAnsi="Times New Roman" w:eastAsia="宋体" w:cs="Times New Roman"/>
          <w:kern w:val="0"/>
          <w:sz w:val="24"/>
        </w:rPr>
        <w:t>3、不可抗力事件延续120天以上，双方应通过友好协商，确定是否继续履行合同。</w:t>
      </w:r>
    </w:p>
    <w:p w14:paraId="7E05EAB8">
      <w:pPr>
        <w:widowControl/>
        <w:spacing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十三、诉讼</w:t>
      </w:r>
    </w:p>
    <w:p w14:paraId="399555FC">
      <w:pPr>
        <w:spacing w:line="360" w:lineRule="auto"/>
        <w:ind w:firstLine="480"/>
        <w:rPr>
          <w:rFonts w:ascii="Times New Roman" w:hAnsi="Times New Roman" w:eastAsia="宋体" w:cs="Times New Roman"/>
          <w:kern w:val="0"/>
          <w:sz w:val="24"/>
        </w:rPr>
      </w:pPr>
      <w:r>
        <w:rPr>
          <w:rFonts w:ascii="Times New Roman" w:hAnsi="Times New Roman" w:eastAsia="宋体" w:cs="Times New Roman"/>
          <w:kern w:val="0"/>
          <w:sz w:val="24"/>
        </w:rPr>
        <w:t>本合同项目所在地为义乌市，本合同发生争议产生的诉讼，可向项目所在地有管辖权的法院提起诉讼。</w:t>
      </w:r>
    </w:p>
    <w:p w14:paraId="68CE00E8">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十四</w:t>
      </w:r>
      <w:r>
        <w:rPr>
          <w:rFonts w:hint="eastAsia" w:ascii="宋体" w:hAnsi="宋体" w:eastAsia="宋体" w:cs="宋体"/>
          <w:sz w:val="24"/>
          <w:szCs w:val="24"/>
        </w:rPr>
        <w:t>、合同双方确认，本合同及合同约定的其他文件组成部分中的各项约定都是通过法定招标过程形成的合法成果，如果乙方的投标文件与本项目招标文件要求不一致的，履约时应以有利于甲方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24FF8F8C">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十五、合同生效及其他</w:t>
      </w:r>
    </w:p>
    <w:p w14:paraId="58BA138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14:paraId="29452A0F">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2.本合同未尽事宜，遵照《中华人民共和国民法典》有关条文执行。</w:t>
      </w:r>
    </w:p>
    <w:p w14:paraId="3BB95E41">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b/>
          <w:bCs/>
          <w:kern w:val="0"/>
          <w:sz w:val="24"/>
          <w:szCs w:val="24"/>
        </w:rPr>
        <w:t>十六、本合同一式</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份，甲方执</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份，乙方执</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份，浙江开平企业管理咨询有限公司执一份，义乌市财政局一份，均具同等效力。</w:t>
      </w:r>
    </w:p>
    <w:p w14:paraId="5962F9ED">
      <w:pPr>
        <w:widowControl/>
        <w:spacing w:line="360" w:lineRule="auto"/>
        <w:ind w:firstLine="240" w:firstLineChars="100"/>
        <w:jc w:val="left"/>
        <w:rPr>
          <w:rFonts w:hint="eastAsia" w:ascii="宋体" w:hAnsi="宋体" w:eastAsia="宋体" w:cs="宋体"/>
          <w:kern w:val="0"/>
          <w:sz w:val="24"/>
          <w:szCs w:val="24"/>
        </w:rPr>
      </w:pPr>
    </w:p>
    <w:p w14:paraId="06FCC8B2">
      <w:pPr>
        <w:widowControl/>
        <w:spacing w:line="360" w:lineRule="auto"/>
        <w:ind w:firstLine="240" w:firstLineChars="1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rPr>
        <w:t xml:space="preserve">义乌市应急管理局     </w:t>
      </w:r>
      <w:r>
        <w:rPr>
          <w:rFonts w:hint="eastAsia" w:ascii="宋体" w:hAnsi="宋体" w:eastAsia="宋体" w:cs="宋体"/>
          <w:kern w:val="0"/>
          <w:sz w:val="24"/>
          <w:szCs w:val="24"/>
        </w:rPr>
        <w:t xml:space="preserve">     乙  方：</w:t>
      </w:r>
      <w:r>
        <w:rPr>
          <w:rFonts w:hint="eastAsia" w:ascii="宋体" w:hAnsi="宋体" w:eastAsia="宋体" w:cs="宋体"/>
          <w:kern w:val="0"/>
          <w:sz w:val="24"/>
          <w:szCs w:val="24"/>
          <w:u w:val="single"/>
        </w:rPr>
        <w:t xml:space="preserve">                         </w:t>
      </w:r>
    </w:p>
    <w:p w14:paraId="0A62D643">
      <w:pPr>
        <w:widowControl/>
        <w:spacing w:line="360" w:lineRule="auto"/>
        <w:ind w:firstLine="240" w:firstLineChars="1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地    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地    址：</w:t>
      </w:r>
      <w:r>
        <w:rPr>
          <w:rFonts w:hint="eastAsia" w:ascii="宋体" w:hAnsi="宋体" w:eastAsia="宋体" w:cs="宋体"/>
          <w:kern w:val="0"/>
          <w:sz w:val="24"/>
          <w:szCs w:val="24"/>
          <w:u w:val="single"/>
        </w:rPr>
        <w:t xml:space="preserve">                       </w:t>
      </w:r>
    </w:p>
    <w:p w14:paraId="54708A96">
      <w:pPr>
        <w:widowControl/>
        <w:spacing w:line="360" w:lineRule="auto"/>
        <w:ind w:firstLine="240" w:firstLineChars="1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法定代表人：_________________     法定代表人：</w:t>
      </w:r>
      <w:r>
        <w:rPr>
          <w:rFonts w:hint="eastAsia" w:ascii="宋体" w:hAnsi="宋体" w:eastAsia="宋体" w:cs="宋体"/>
          <w:kern w:val="0"/>
          <w:sz w:val="24"/>
          <w:szCs w:val="24"/>
          <w:u w:val="single"/>
        </w:rPr>
        <w:t xml:space="preserve">                      </w:t>
      </w:r>
    </w:p>
    <w:p w14:paraId="264E4258">
      <w:pPr>
        <w:widowControl/>
        <w:spacing w:line="360" w:lineRule="auto"/>
        <w:ind w:firstLine="240" w:firstLineChars="1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授权代表：___________________     授权代表：</w:t>
      </w:r>
      <w:r>
        <w:rPr>
          <w:rFonts w:hint="eastAsia" w:ascii="宋体" w:hAnsi="宋体" w:eastAsia="宋体" w:cs="宋体"/>
          <w:kern w:val="0"/>
          <w:sz w:val="24"/>
          <w:szCs w:val="24"/>
          <w:u w:val="single"/>
        </w:rPr>
        <w:t xml:space="preserve">                        </w:t>
      </w:r>
    </w:p>
    <w:p w14:paraId="0B20EA5D">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 xml:space="preserve">     电    话：</w:t>
      </w:r>
      <w:r>
        <w:rPr>
          <w:rFonts w:hint="eastAsia" w:ascii="宋体" w:hAnsi="宋体" w:eastAsia="宋体" w:cs="宋体"/>
          <w:kern w:val="0"/>
          <w:sz w:val="24"/>
          <w:szCs w:val="24"/>
          <w:u w:val="single"/>
        </w:rPr>
        <w:t xml:space="preserve">                        </w:t>
      </w:r>
    </w:p>
    <w:p w14:paraId="650AE36C">
      <w:pPr>
        <w:widowControl/>
        <w:spacing w:line="360" w:lineRule="auto"/>
        <w:ind w:firstLine="240" w:firstLineChars="1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账户名称：</w:t>
      </w:r>
      <w:r>
        <w:rPr>
          <w:rFonts w:hint="eastAsia" w:ascii="宋体" w:hAnsi="宋体" w:eastAsia="宋体" w:cs="宋体"/>
          <w:sz w:val="24"/>
          <w:szCs w:val="24"/>
          <w:u w:val="single"/>
        </w:rPr>
        <w:t>义乌市应急管理局</w:t>
      </w:r>
      <w:r>
        <w:rPr>
          <w:rFonts w:hint="eastAsia" w:ascii="宋体" w:hAnsi="宋体" w:eastAsia="宋体" w:cs="宋体"/>
          <w:kern w:val="0"/>
          <w:sz w:val="24"/>
          <w:szCs w:val="24"/>
        </w:rPr>
        <w:t xml:space="preserve">       账户名称：</w:t>
      </w:r>
      <w:r>
        <w:rPr>
          <w:rFonts w:hint="eastAsia" w:ascii="宋体" w:hAnsi="宋体" w:eastAsia="宋体" w:cs="宋体"/>
          <w:kern w:val="0"/>
          <w:sz w:val="24"/>
          <w:szCs w:val="24"/>
          <w:u w:val="single"/>
        </w:rPr>
        <w:t xml:space="preserve">                        </w:t>
      </w:r>
    </w:p>
    <w:p w14:paraId="432A3762">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sz w:val="15"/>
          <w:szCs w:val="15"/>
          <w:u w:val="single"/>
        </w:rPr>
        <w:t xml:space="preserve">                               </w:t>
      </w:r>
      <w:r>
        <w:rPr>
          <w:rFonts w:hint="eastAsia" w:ascii="宋体" w:hAnsi="宋体" w:eastAsia="宋体" w:cs="宋体"/>
          <w:kern w:val="0"/>
          <w:sz w:val="24"/>
          <w:szCs w:val="24"/>
        </w:rPr>
        <w:t xml:space="preserve">   开户银行：</w:t>
      </w:r>
      <w:r>
        <w:rPr>
          <w:rFonts w:hint="eastAsia" w:ascii="宋体" w:hAnsi="宋体" w:eastAsia="宋体" w:cs="宋体"/>
          <w:kern w:val="0"/>
          <w:sz w:val="24"/>
          <w:szCs w:val="24"/>
          <w:u w:val="single"/>
        </w:rPr>
        <w:t xml:space="preserve">                         </w:t>
      </w:r>
    </w:p>
    <w:p w14:paraId="370663D7">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账    号：</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 xml:space="preserve">     账    号：</w:t>
      </w:r>
      <w:r>
        <w:rPr>
          <w:rFonts w:hint="eastAsia" w:ascii="宋体" w:hAnsi="宋体" w:eastAsia="宋体" w:cs="宋体"/>
          <w:kern w:val="0"/>
          <w:sz w:val="24"/>
          <w:szCs w:val="24"/>
          <w:u w:val="single"/>
        </w:rPr>
        <w:t xml:space="preserve">                         </w:t>
      </w:r>
    </w:p>
    <w:p w14:paraId="6D786BE4">
      <w:pPr>
        <w:widowControl/>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签约时间：____________________   签约地点：</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 xml:space="preserve"> </w:t>
      </w:r>
    </w:p>
    <w:p w14:paraId="3D61F4AC">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CEB2535">
      <w:pPr>
        <w:tabs>
          <w:tab w:val="left" w:pos="1050"/>
        </w:tabs>
        <w:spacing w:line="360" w:lineRule="auto"/>
        <w:ind w:left="528"/>
        <w:jc w:val="center"/>
        <w:outlineLvl w:val="0"/>
        <w:rPr>
          <w:rFonts w:hint="eastAsia" w:ascii="宋体" w:hAnsi="宋体" w:eastAsia="宋体" w:cs="宋体"/>
          <w:b/>
          <w:sz w:val="24"/>
        </w:rPr>
      </w:pPr>
      <w:bookmarkStart w:id="30" w:name="_Toc238878129"/>
      <w:bookmarkStart w:id="31" w:name="_Toc213038698"/>
      <w:bookmarkStart w:id="32" w:name="_Toc274303259"/>
      <w:bookmarkStart w:id="33" w:name="_Toc187829774"/>
      <w:bookmarkStart w:id="34" w:name="_Toc362250712"/>
      <w:bookmarkStart w:id="35" w:name="_Toc235778631"/>
      <w:r>
        <w:rPr>
          <w:rFonts w:hint="eastAsia" w:ascii="宋体" w:hAnsi="宋体" w:eastAsia="宋体" w:cs="宋体"/>
          <w:b/>
          <w:sz w:val="36"/>
          <w:szCs w:val="36"/>
        </w:rPr>
        <w:t>第八章  投标文件部分格式</w:t>
      </w:r>
      <w:bookmarkEnd w:id="30"/>
      <w:bookmarkEnd w:id="31"/>
      <w:bookmarkEnd w:id="32"/>
      <w:bookmarkEnd w:id="33"/>
      <w:bookmarkEnd w:id="34"/>
      <w:bookmarkEnd w:id="35"/>
    </w:p>
    <w:p w14:paraId="5E030FEC">
      <w:pPr>
        <w:widowControl/>
        <w:spacing w:line="360" w:lineRule="auto"/>
        <w:jc w:val="center"/>
        <w:rPr>
          <w:rFonts w:hint="eastAsia" w:ascii="宋体" w:hAnsi="宋体" w:eastAsia="宋体" w:cs="宋体"/>
          <w:bCs/>
          <w:sz w:val="36"/>
          <w:szCs w:val="36"/>
        </w:rPr>
      </w:pPr>
    </w:p>
    <w:p w14:paraId="383C4E10">
      <w:pPr>
        <w:tabs>
          <w:tab w:val="left" w:pos="1050"/>
        </w:tabs>
        <w:spacing w:line="360" w:lineRule="auto"/>
        <w:rPr>
          <w:rFonts w:hint="eastAsia" w:ascii="宋体" w:hAnsi="宋体" w:eastAsia="宋体" w:cs="宋体"/>
          <w:b/>
          <w:sz w:val="24"/>
          <w:szCs w:val="24"/>
        </w:rPr>
      </w:pPr>
      <w:r>
        <w:rPr>
          <w:rFonts w:hint="eastAsia" w:ascii="宋体" w:hAnsi="宋体" w:eastAsia="宋体" w:cs="宋体"/>
          <w:b/>
          <w:sz w:val="24"/>
          <w:szCs w:val="24"/>
        </w:rPr>
        <w:t>一、资格响应文件部分格式：</w:t>
      </w:r>
    </w:p>
    <w:p w14:paraId="6C28C4BA">
      <w:pPr>
        <w:tabs>
          <w:tab w:val="left" w:pos="1050"/>
        </w:tabs>
        <w:spacing w:line="360" w:lineRule="auto"/>
        <w:ind w:left="528"/>
        <w:rPr>
          <w:rFonts w:hint="eastAsia" w:ascii="宋体" w:hAnsi="宋体" w:eastAsia="宋体" w:cs="宋体"/>
          <w:sz w:val="24"/>
        </w:rPr>
      </w:pPr>
      <w:r>
        <w:rPr>
          <w:rFonts w:hint="eastAsia" w:ascii="宋体" w:hAnsi="宋体" w:eastAsia="宋体" w:cs="宋体"/>
          <w:sz w:val="24"/>
        </w:rPr>
        <w:t>1、法定代表人申明书（格式）</w:t>
      </w:r>
    </w:p>
    <w:p w14:paraId="582FEE06">
      <w:pPr>
        <w:tabs>
          <w:tab w:val="left" w:pos="1050"/>
        </w:tabs>
        <w:spacing w:line="360" w:lineRule="auto"/>
        <w:ind w:left="528"/>
        <w:rPr>
          <w:rFonts w:hint="eastAsia" w:ascii="宋体" w:hAnsi="宋体" w:eastAsia="宋体" w:cs="宋体"/>
          <w:sz w:val="24"/>
        </w:rPr>
      </w:pPr>
      <w:r>
        <w:rPr>
          <w:rFonts w:hint="eastAsia" w:ascii="宋体" w:hAnsi="宋体" w:eastAsia="宋体" w:cs="宋体"/>
          <w:sz w:val="24"/>
        </w:rPr>
        <w:t>2、法定代表人授权书（格式）</w:t>
      </w:r>
    </w:p>
    <w:p w14:paraId="689D84E7">
      <w:pPr>
        <w:tabs>
          <w:tab w:val="left" w:pos="1050"/>
        </w:tabs>
        <w:spacing w:line="360" w:lineRule="auto"/>
        <w:ind w:left="528"/>
        <w:rPr>
          <w:rFonts w:hint="eastAsia" w:ascii="宋体" w:hAnsi="宋体" w:eastAsia="宋体" w:cs="宋体"/>
          <w:sz w:val="24"/>
        </w:rPr>
      </w:pPr>
      <w:r>
        <w:rPr>
          <w:rFonts w:hint="eastAsia" w:ascii="宋体" w:hAnsi="宋体" w:eastAsia="宋体" w:cs="宋体"/>
          <w:sz w:val="24"/>
        </w:rPr>
        <w:t>3、联合投标协议书（若需要）</w:t>
      </w:r>
    </w:p>
    <w:p w14:paraId="56296C8E">
      <w:pPr>
        <w:tabs>
          <w:tab w:val="left" w:pos="1050"/>
        </w:tabs>
        <w:spacing w:line="360" w:lineRule="auto"/>
        <w:ind w:left="528"/>
        <w:rPr>
          <w:rFonts w:hint="eastAsia" w:ascii="宋体" w:hAnsi="宋体" w:eastAsia="宋体" w:cs="宋体"/>
          <w:sz w:val="24"/>
        </w:rPr>
      </w:pPr>
      <w:r>
        <w:rPr>
          <w:rFonts w:hint="eastAsia" w:ascii="宋体" w:hAnsi="宋体" w:eastAsia="宋体" w:cs="宋体"/>
          <w:sz w:val="24"/>
        </w:rPr>
        <w:t>4、联合投标授权委托书（若需要）</w:t>
      </w:r>
    </w:p>
    <w:p w14:paraId="23D5F42C">
      <w:pPr>
        <w:tabs>
          <w:tab w:val="left" w:pos="1050"/>
        </w:tabs>
        <w:spacing w:line="360" w:lineRule="auto"/>
        <w:ind w:left="528"/>
        <w:rPr>
          <w:rFonts w:hint="eastAsia" w:ascii="宋体" w:hAnsi="宋体" w:eastAsia="宋体" w:cs="宋体"/>
          <w:sz w:val="24"/>
        </w:rPr>
      </w:pPr>
      <w:r>
        <w:rPr>
          <w:rFonts w:hint="eastAsia" w:ascii="宋体" w:hAnsi="宋体" w:eastAsia="宋体" w:cs="宋体"/>
          <w:sz w:val="24"/>
        </w:rPr>
        <w:t>5、提供采购公告中符合投标人特定条件要求的有效的其他资质复印件及需要说明的资料。</w:t>
      </w:r>
    </w:p>
    <w:p w14:paraId="1255C28D">
      <w:pPr>
        <w:tabs>
          <w:tab w:val="left" w:pos="1050"/>
        </w:tabs>
        <w:spacing w:line="360" w:lineRule="auto"/>
        <w:rPr>
          <w:rFonts w:hint="eastAsia" w:ascii="宋体" w:hAnsi="宋体" w:eastAsia="宋体" w:cs="宋体"/>
          <w:sz w:val="24"/>
          <w:szCs w:val="24"/>
        </w:rPr>
      </w:pPr>
    </w:p>
    <w:p w14:paraId="742F1FD5">
      <w:pPr>
        <w:tabs>
          <w:tab w:val="left" w:pos="1050"/>
        </w:tabs>
        <w:spacing w:line="360" w:lineRule="auto"/>
        <w:rPr>
          <w:rFonts w:hint="eastAsia" w:ascii="宋体" w:hAnsi="宋体" w:eastAsia="宋体" w:cs="宋体"/>
          <w:b/>
          <w:sz w:val="24"/>
          <w:szCs w:val="24"/>
        </w:rPr>
      </w:pPr>
      <w:r>
        <w:rPr>
          <w:rFonts w:hint="eastAsia" w:ascii="宋体" w:hAnsi="宋体" w:eastAsia="宋体" w:cs="宋体"/>
          <w:b/>
          <w:sz w:val="24"/>
          <w:szCs w:val="24"/>
        </w:rPr>
        <w:t>二、商务技术响应文件部分格式：</w:t>
      </w:r>
    </w:p>
    <w:p w14:paraId="66DEB2BF">
      <w:pPr>
        <w:tabs>
          <w:tab w:val="left" w:pos="1050"/>
        </w:tabs>
        <w:spacing w:line="360" w:lineRule="auto"/>
        <w:ind w:left="195" w:leftChars="93" w:firstLine="480" w:firstLineChars="200"/>
        <w:rPr>
          <w:rFonts w:hint="eastAsia" w:ascii="宋体" w:hAnsi="宋体" w:eastAsia="宋体" w:cs="宋体"/>
          <w:sz w:val="24"/>
          <w:szCs w:val="24"/>
        </w:rPr>
      </w:pPr>
      <w:r>
        <w:rPr>
          <w:rFonts w:hint="eastAsia" w:ascii="宋体" w:hAnsi="宋体" w:eastAsia="宋体" w:cs="宋体"/>
          <w:sz w:val="24"/>
          <w:szCs w:val="24"/>
        </w:rPr>
        <w:t>1、投标人情况介绍</w:t>
      </w:r>
    </w:p>
    <w:p w14:paraId="4FEFB2E7">
      <w:pPr>
        <w:pStyle w:val="10"/>
        <w:widowControl w:val="0"/>
        <w:spacing w:line="360" w:lineRule="auto"/>
        <w:ind w:left="195" w:leftChars="93" w:firstLine="480"/>
        <w:rPr>
          <w:rFonts w:hint="eastAsia" w:hAnsi="宋体" w:cs="宋体"/>
          <w:sz w:val="24"/>
          <w:szCs w:val="24"/>
        </w:rPr>
      </w:pPr>
      <w:r>
        <w:rPr>
          <w:rFonts w:hint="eastAsia" w:hAnsi="宋体" w:cs="宋体"/>
          <w:sz w:val="24"/>
          <w:szCs w:val="24"/>
        </w:rPr>
        <w:t>2、项目实施方案</w:t>
      </w:r>
    </w:p>
    <w:p w14:paraId="2B7C4489">
      <w:pPr>
        <w:spacing w:line="360" w:lineRule="auto"/>
        <w:ind w:left="195" w:leftChars="93" w:firstLine="480"/>
        <w:rPr>
          <w:rFonts w:hint="eastAsia" w:ascii="宋体" w:hAnsi="宋体" w:eastAsia="宋体" w:cs="宋体"/>
          <w:sz w:val="24"/>
          <w:szCs w:val="24"/>
        </w:rPr>
      </w:pPr>
      <w:r>
        <w:rPr>
          <w:rFonts w:hint="eastAsia" w:ascii="宋体" w:hAnsi="宋体" w:eastAsia="宋体" w:cs="宋体"/>
          <w:sz w:val="24"/>
          <w:szCs w:val="24"/>
        </w:rPr>
        <w:t>3、拟投入的项目负责人简历表</w:t>
      </w:r>
    </w:p>
    <w:p w14:paraId="62334A43">
      <w:pPr>
        <w:spacing w:line="360" w:lineRule="auto"/>
        <w:ind w:left="195" w:leftChars="93" w:firstLine="480"/>
        <w:rPr>
          <w:rFonts w:hint="eastAsia" w:ascii="宋体" w:hAnsi="宋体" w:eastAsia="宋体" w:cs="宋体"/>
          <w:sz w:val="24"/>
          <w:szCs w:val="24"/>
        </w:rPr>
      </w:pPr>
      <w:r>
        <w:rPr>
          <w:rFonts w:hint="eastAsia" w:ascii="宋体" w:hAnsi="宋体" w:eastAsia="宋体" w:cs="宋体"/>
          <w:sz w:val="24"/>
          <w:szCs w:val="24"/>
        </w:rPr>
        <w:t>4、拟派参加本项目实施人员情况表</w:t>
      </w:r>
    </w:p>
    <w:p w14:paraId="7A273221">
      <w:pPr>
        <w:tabs>
          <w:tab w:val="left" w:pos="1050"/>
        </w:tabs>
        <w:spacing w:line="360" w:lineRule="auto"/>
        <w:ind w:left="195" w:leftChars="93" w:firstLine="480" w:firstLineChars="200"/>
        <w:rPr>
          <w:rFonts w:hint="eastAsia" w:ascii="宋体" w:hAnsi="宋体" w:eastAsia="宋体" w:cs="宋体"/>
          <w:sz w:val="24"/>
          <w:szCs w:val="24"/>
        </w:rPr>
      </w:pPr>
      <w:r>
        <w:rPr>
          <w:rFonts w:hint="eastAsia" w:ascii="宋体" w:hAnsi="宋体" w:eastAsia="宋体" w:cs="宋体"/>
          <w:sz w:val="24"/>
          <w:szCs w:val="24"/>
        </w:rPr>
        <w:t>6、义乌市政府采购项目投标承诺书</w:t>
      </w:r>
    </w:p>
    <w:p w14:paraId="265F5585">
      <w:pPr>
        <w:spacing w:line="360" w:lineRule="auto"/>
        <w:ind w:left="195" w:leftChars="93"/>
        <w:rPr>
          <w:rFonts w:hint="eastAsia" w:ascii="宋体" w:hAnsi="宋体" w:eastAsia="宋体" w:cs="宋体"/>
        </w:rPr>
      </w:pPr>
    </w:p>
    <w:p w14:paraId="6AB6BE55">
      <w:pPr>
        <w:pStyle w:val="21"/>
        <w:rPr>
          <w:rFonts w:hint="eastAsia" w:ascii="宋体" w:hAnsi="宋体" w:cs="宋体"/>
        </w:rPr>
      </w:pPr>
      <w:r>
        <w:rPr>
          <w:rFonts w:hint="eastAsia" w:ascii="宋体" w:hAnsi="宋体" w:cs="宋体"/>
        </w:rPr>
        <w:t>三、</w:t>
      </w:r>
      <w:r>
        <w:rPr>
          <w:rFonts w:hint="eastAsia" w:ascii="宋体" w:hAnsi="宋体" w:cs="宋体"/>
          <w:b/>
          <w:szCs w:val="21"/>
        </w:rPr>
        <w:t>报价响应文件</w:t>
      </w:r>
      <w:r>
        <w:rPr>
          <w:rFonts w:hint="eastAsia" w:ascii="宋体" w:hAnsi="宋体" w:cs="宋体"/>
        </w:rPr>
        <w:t>部分格式：</w:t>
      </w:r>
    </w:p>
    <w:p w14:paraId="44E6E5FD">
      <w:pPr>
        <w:tabs>
          <w:tab w:val="left" w:pos="1050"/>
        </w:tabs>
        <w:spacing w:line="360" w:lineRule="auto"/>
        <w:ind w:left="528"/>
        <w:rPr>
          <w:rFonts w:hint="eastAsia" w:ascii="宋体" w:hAnsi="宋体" w:eastAsia="宋体" w:cs="宋体"/>
          <w:sz w:val="24"/>
        </w:rPr>
      </w:pPr>
      <w:r>
        <w:rPr>
          <w:rFonts w:hint="eastAsia" w:ascii="宋体" w:hAnsi="宋体" w:eastAsia="宋体" w:cs="宋体"/>
          <w:sz w:val="24"/>
        </w:rPr>
        <w:t>1、投标函格式</w:t>
      </w:r>
    </w:p>
    <w:p w14:paraId="47061AC6">
      <w:pPr>
        <w:tabs>
          <w:tab w:val="left" w:pos="1080"/>
        </w:tabs>
        <w:spacing w:line="360" w:lineRule="auto"/>
        <w:ind w:left="528"/>
        <w:rPr>
          <w:rFonts w:hint="eastAsia" w:ascii="宋体" w:hAnsi="宋体" w:eastAsia="宋体" w:cs="宋体"/>
          <w:sz w:val="24"/>
        </w:rPr>
      </w:pPr>
      <w:r>
        <w:rPr>
          <w:rFonts w:hint="eastAsia" w:ascii="宋体" w:hAnsi="宋体" w:eastAsia="宋体" w:cs="宋体"/>
          <w:sz w:val="24"/>
        </w:rPr>
        <w:t>2、开标一览表格式</w:t>
      </w:r>
    </w:p>
    <w:p w14:paraId="29119550">
      <w:pPr>
        <w:tabs>
          <w:tab w:val="left" w:pos="1080"/>
        </w:tabs>
        <w:spacing w:line="360" w:lineRule="auto"/>
        <w:ind w:left="528"/>
        <w:rPr>
          <w:rFonts w:hint="eastAsia" w:ascii="宋体" w:hAnsi="宋体" w:eastAsia="宋体" w:cs="宋体"/>
          <w:sz w:val="24"/>
          <w:szCs w:val="24"/>
        </w:rPr>
      </w:pPr>
      <w:r>
        <w:rPr>
          <w:rFonts w:hint="eastAsia" w:ascii="宋体" w:hAnsi="宋体" w:eastAsia="宋体" w:cs="宋体"/>
          <w:sz w:val="24"/>
          <w:szCs w:val="24"/>
        </w:rPr>
        <w:t>3、中小企业声明函</w:t>
      </w:r>
    </w:p>
    <w:p w14:paraId="77AB4A85">
      <w:pPr>
        <w:tabs>
          <w:tab w:val="left" w:pos="1080"/>
        </w:tabs>
        <w:spacing w:line="360" w:lineRule="auto"/>
        <w:ind w:left="528"/>
        <w:rPr>
          <w:rFonts w:hint="eastAsia" w:ascii="宋体" w:hAnsi="宋体" w:eastAsia="宋体" w:cs="宋体"/>
          <w:sz w:val="24"/>
          <w:szCs w:val="24"/>
        </w:rPr>
      </w:pPr>
      <w:r>
        <w:rPr>
          <w:rFonts w:hint="eastAsia" w:ascii="宋体" w:hAnsi="宋体" w:eastAsia="宋体" w:cs="宋体"/>
          <w:sz w:val="24"/>
          <w:szCs w:val="24"/>
        </w:rPr>
        <w:t>4、监狱企业声明函</w:t>
      </w:r>
    </w:p>
    <w:p w14:paraId="7464A2A6">
      <w:pPr>
        <w:tabs>
          <w:tab w:val="left" w:pos="1080"/>
        </w:tabs>
        <w:spacing w:line="360" w:lineRule="auto"/>
        <w:ind w:left="528"/>
        <w:rPr>
          <w:rFonts w:hint="eastAsia" w:ascii="宋体" w:hAnsi="宋体" w:eastAsia="宋体" w:cs="宋体"/>
          <w:sz w:val="24"/>
          <w:szCs w:val="24"/>
        </w:rPr>
      </w:pPr>
      <w:r>
        <w:rPr>
          <w:rFonts w:hint="eastAsia" w:ascii="宋体" w:hAnsi="宋体" w:eastAsia="宋体" w:cs="宋体"/>
          <w:sz w:val="24"/>
          <w:szCs w:val="24"/>
        </w:rPr>
        <w:t>5、残疾人福利性单位声明函</w:t>
      </w:r>
    </w:p>
    <w:p w14:paraId="7E5BA012">
      <w:pPr>
        <w:spacing w:line="360" w:lineRule="auto"/>
        <w:rPr>
          <w:rFonts w:hint="eastAsia" w:ascii="宋体" w:hAnsi="宋体" w:eastAsia="宋体" w:cs="宋体"/>
          <w:kern w:val="0"/>
        </w:rPr>
      </w:pPr>
      <w:r>
        <w:rPr>
          <w:rFonts w:hint="eastAsia" w:ascii="宋体" w:hAnsi="宋体" w:eastAsia="宋体" w:cs="宋体"/>
          <w:kern w:val="0"/>
        </w:rPr>
        <w:t> </w:t>
      </w:r>
      <w:bookmarkStart w:id="36" w:name="_Toc350938485"/>
    </w:p>
    <w:p w14:paraId="7C1BE277">
      <w:pPr>
        <w:spacing w:line="360" w:lineRule="auto"/>
        <w:rPr>
          <w:rFonts w:hint="eastAsia" w:ascii="宋体" w:hAnsi="宋体" w:eastAsia="宋体" w:cs="宋体"/>
          <w:b/>
          <w:bCs/>
          <w:kern w:val="0"/>
          <w:sz w:val="36"/>
          <w:szCs w:val="36"/>
        </w:rPr>
      </w:pPr>
    </w:p>
    <w:p w14:paraId="2EBD3E0B">
      <w:pPr>
        <w:rPr>
          <w:rFonts w:hint="eastAsia" w:ascii="宋体" w:hAnsi="宋体" w:eastAsia="宋体" w:cs="宋体"/>
          <w:b/>
          <w:bCs/>
          <w:kern w:val="0"/>
          <w:sz w:val="36"/>
          <w:szCs w:val="36"/>
        </w:rPr>
      </w:pPr>
      <w:r>
        <w:rPr>
          <w:rFonts w:hint="eastAsia" w:ascii="宋体" w:hAnsi="宋体" w:eastAsia="宋体" w:cs="宋体"/>
          <w:b/>
          <w:bCs/>
          <w:kern w:val="0"/>
          <w:sz w:val="36"/>
          <w:szCs w:val="36"/>
        </w:rPr>
        <w:br w:type="page"/>
      </w:r>
    </w:p>
    <w:p w14:paraId="51F4CD35">
      <w:pPr>
        <w:spacing w:line="360" w:lineRule="auto"/>
        <w:rPr>
          <w:rFonts w:hint="eastAsia" w:ascii="宋体" w:hAnsi="宋体" w:eastAsia="宋体" w:cs="宋体"/>
          <w:b/>
          <w:bCs/>
          <w:kern w:val="0"/>
          <w:sz w:val="36"/>
          <w:szCs w:val="36"/>
        </w:rPr>
      </w:pPr>
    </w:p>
    <w:p w14:paraId="6B250E08">
      <w:pPr>
        <w:spacing w:line="360" w:lineRule="auto"/>
        <w:outlineLvl w:val="1"/>
        <w:rPr>
          <w:rFonts w:hint="eastAsia" w:ascii="宋体" w:hAnsi="宋体" w:eastAsia="宋体" w:cs="宋体"/>
          <w:b/>
          <w:bCs/>
          <w:kern w:val="0"/>
          <w:szCs w:val="21"/>
        </w:rPr>
      </w:pPr>
      <w:r>
        <w:rPr>
          <w:rFonts w:hint="eastAsia" w:ascii="宋体" w:hAnsi="宋体" w:eastAsia="宋体" w:cs="宋体"/>
          <w:b/>
          <w:bCs/>
          <w:kern w:val="0"/>
          <w:sz w:val="36"/>
          <w:szCs w:val="36"/>
        </w:rPr>
        <w:t>附件1                  封面格式</w:t>
      </w:r>
      <w:bookmarkEnd w:id="36"/>
    </w:p>
    <w:p w14:paraId="75C0145E">
      <w:pPr>
        <w:widowControl/>
        <w:tabs>
          <w:tab w:val="left" w:pos="8280"/>
        </w:tabs>
        <w:spacing w:line="360" w:lineRule="auto"/>
        <w:ind w:firstLine="480"/>
        <w:jc w:val="center"/>
        <w:rPr>
          <w:rFonts w:hint="eastAsia" w:ascii="宋体" w:hAnsi="宋体" w:eastAsia="宋体" w:cs="宋体"/>
          <w:b/>
          <w:kern w:val="0"/>
          <w:sz w:val="32"/>
          <w:szCs w:val="32"/>
        </w:rPr>
      </w:pPr>
    </w:p>
    <w:p w14:paraId="6DCFE4DD">
      <w:pPr>
        <w:widowControl/>
        <w:tabs>
          <w:tab w:val="left" w:pos="450"/>
          <w:tab w:val="left" w:pos="8280"/>
        </w:tabs>
        <w:spacing w:line="360" w:lineRule="auto"/>
        <w:ind w:firstLine="885" w:firstLineChars="245"/>
        <w:jc w:val="left"/>
        <w:rPr>
          <w:rFonts w:hint="eastAsia" w:ascii="宋体" w:hAnsi="宋体" w:eastAsia="宋体" w:cs="宋体"/>
          <w:b/>
          <w:kern w:val="0"/>
          <w:sz w:val="44"/>
          <w:szCs w:val="44"/>
        </w:rPr>
      </w:pPr>
      <w:r>
        <w:rPr>
          <w:rFonts w:hint="eastAsia" w:ascii="宋体" w:hAnsi="宋体" w:eastAsia="宋体" w:cs="宋体"/>
          <w:b/>
          <w:kern w:val="0"/>
          <w:sz w:val="36"/>
          <w:szCs w:val="36"/>
          <w:u w:val="single"/>
        </w:rPr>
        <w:t xml:space="preserve">                                    </w:t>
      </w:r>
      <w:r>
        <w:rPr>
          <w:rFonts w:hint="eastAsia" w:ascii="宋体" w:hAnsi="宋体" w:eastAsia="宋体" w:cs="宋体"/>
          <w:b/>
          <w:kern w:val="0"/>
          <w:sz w:val="44"/>
          <w:szCs w:val="44"/>
        </w:rPr>
        <w:t>项目</w:t>
      </w:r>
    </w:p>
    <w:p w14:paraId="041E8DAE">
      <w:pPr>
        <w:widowControl/>
        <w:tabs>
          <w:tab w:val="left" w:pos="450"/>
          <w:tab w:val="left" w:pos="8280"/>
        </w:tabs>
        <w:spacing w:line="360" w:lineRule="auto"/>
        <w:ind w:firstLine="480"/>
        <w:jc w:val="center"/>
        <w:rPr>
          <w:rFonts w:hint="eastAsia" w:ascii="宋体" w:hAnsi="宋体" w:eastAsia="宋体" w:cs="宋体"/>
          <w:b/>
          <w:kern w:val="0"/>
          <w:sz w:val="44"/>
          <w:szCs w:val="44"/>
        </w:rPr>
      </w:pPr>
    </w:p>
    <w:p w14:paraId="6194DB2E">
      <w:pPr>
        <w:widowControl/>
        <w:tabs>
          <w:tab w:val="left" w:pos="450"/>
          <w:tab w:val="left" w:pos="8280"/>
        </w:tabs>
        <w:spacing w:line="360" w:lineRule="auto"/>
        <w:ind w:firstLine="480"/>
        <w:jc w:val="center"/>
        <w:rPr>
          <w:rFonts w:hint="eastAsia" w:ascii="宋体" w:hAnsi="宋体" w:eastAsia="宋体" w:cs="宋体"/>
          <w:b/>
          <w:kern w:val="0"/>
          <w:sz w:val="44"/>
          <w:szCs w:val="44"/>
        </w:rPr>
      </w:pPr>
      <w:r>
        <w:rPr>
          <w:rFonts w:hint="eastAsia" w:ascii="宋体" w:hAnsi="宋体" w:eastAsia="宋体" w:cs="宋体"/>
          <w:b/>
          <w:kern w:val="0"/>
          <w:sz w:val="44"/>
          <w:szCs w:val="44"/>
        </w:rPr>
        <w:t>投标文件</w:t>
      </w:r>
    </w:p>
    <w:p w14:paraId="5C1E468C">
      <w:pPr>
        <w:widowControl/>
        <w:tabs>
          <w:tab w:val="left" w:pos="8280"/>
        </w:tabs>
        <w:spacing w:line="360" w:lineRule="auto"/>
        <w:ind w:firstLine="480"/>
        <w:jc w:val="center"/>
        <w:rPr>
          <w:rFonts w:hint="eastAsia" w:ascii="宋体" w:hAnsi="宋体" w:eastAsia="宋体" w:cs="宋体"/>
          <w:b/>
          <w:kern w:val="0"/>
          <w:sz w:val="32"/>
          <w:szCs w:val="32"/>
        </w:rPr>
      </w:pPr>
      <w:r>
        <w:rPr>
          <w:rFonts w:hint="eastAsia" w:ascii="宋体" w:hAnsi="宋体" w:eastAsia="宋体" w:cs="宋体"/>
          <w:b/>
          <w:kern w:val="0"/>
          <w:sz w:val="32"/>
          <w:szCs w:val="32"/>
        </w:rPr>
        <w:t>（资格响应文件或商务技术响应文件或报价响应文件）</w:t>
      </w:r>
    </w:p>
    <w:p w14:paraId="3CF43208">
      <w:pPr>
        <w:widowControl/>
        <w:tabs>
          <w:tab w:val="left" w:pos="275"/>
          <w:tab w:val="left" w:pos="8280"/>
        </w:tabs>
        <w:spacing w:line="360" w:lineRule="auto"/>
        <w:ind w:firstLine="480"/>
        <w:jc w:val="left"/>
        <w:rPr>
          <w:rFonts w:hint="eastAsia" w:ascii="宋体" w:hAnsi="宋体" w:eastAsia="宋体" w:cs="宋体"/>
          <w:b/>
          <w:kern w:val="0"/>
          <w:sz w:val="36"/>
          <w:szCs w:val="36"/>
        </w:rPr>
      </w:pPr>
      <w:r>
        <w:rPr>
          <w:rFonts w:hint="eastAsia" w:ascii="宋体" w:hAnsi="宋体" w:eastAsia="宋体" w:cs="宋体"/>
          <w:b/>
          <w:kern w:val="0"/>
          <w:sz w:val="36"/>
          <w:szCs w:val="36"/>
        </w:rPr>
        <w:tab/>
      </w:r>
    </w:p>
    <w:p w14:paraId="3594913E">
      <w:pPr>
        <w:widowControl/>
        <w:tabs>
          <w:tab w:val="left" w:pos="275"/>
          <w:tab w:val="left" w:pos="8280"/>
        </w:tabs>
        <w:spacing w:line="360" w:lineRule="auto"/>
        <w:ind w:firstLine="480"/>
        <w:jc w:val="left"/>
        <w:rPr>
          <w:rFonts w:hint="eastAsia" w:ascii="宋体" w:hAnsi="宋体" w:eastAsia="宋体" w:cs="宋体"/>
          <w:b/>
          <w:kern w:val="0"/>
          <w:sz w:val="32"/>
          <w:szCs w:val="32"/>
        </w:rPr>
      </w:pPr>
    </w:p>
    <w:p w14:paraId="2E14FDC8">
      <w:pPr>
        <w:pStyle w:val="10"/>
        <w:spacing w:line="360" w:lineRule="auto"/>
        <w:rPr>
          <w:rFonts w:hint="eastAsia" w:hAnsi="宋体" w:cs="宋体"/>
          <w:b/>
          <w:sz w:val="32"/>
          <w:szCs w:val="32"/>
        </w:rPr>
      </w:pPr>
    </w:p>
    <w:p w14:paraId="648235C7">
      <w:pPr>
        <w:spacing w:line="360" w:lineRule="auto"/>
        <w:rPr>
          <w:rFonts w:hint="eastAsia" w:ascii="宋体" w:hAnsi="宋体" w:eastAsia="宋体" w:cs="宋体"/>
        </w:rPr>
      </w:pPr>
    </w:p>
    <w:p w14:paraId="692E8177">
      <w:pPr>
        <w:widowControl/>
        <w:tabs>
          <w:tab w:val="left" w:pos="275"/>
          <w:tab w:val="left" w:pos="8280"/>
        </w:tabs>
        <w:spacing w:line="360" w:lineRule="auto"/>
        <w:ind w:firstLine="480"/>
        <w:jc w:val="left"/>
        <w:rPr>
          <w:rFonts w:hint="eastAsia" w:ascii="宋体" w:hAnsi="宋体" w:eastAsia="宋体" w:cs="宋体"/>
          <w:b/>
          <w:kern w:val="0"/>
          <w:sz w:val="32"/>
          <w:szCs w:val="32"/>
        </w:rPr>
      </w:pPr>
    </w:p>
    <w:p w14:paraId="6443AF42">
      <w:pPr>
        <w:widowControl/>
        <w:tabs>
          <w:tab w:val="left" w:pos="275"/>
          <w:tab w:val="left" w:pos="8280"/>
        </w:tabs>
        <w:spacing w:line="360" w:lineRule="auto"/>
        <w:ind w:firstLine="480"/>
        <w:jc w:val="left"/>
        <w:rPr>
          <w:rFonts w:hint="eastAsia" w:ascii="宋体" w:hAnsi="宋体" w:eastAsia="宋体" w:cs="宋体"/>
          <w:b/>
          <w:kern w:val="0"/>
          <w:sz w:val="32"/>
          <w:szCs w:val="32"/>
        </w:rPr>
      </w:pPr>
    </w:p>
    <w:p w14:paraId="2E06643B">
      <w:pPr>
        <w:widowControl/>
        <w:tabs>
          <w:tab w:val="left" w:pos="275"/>
          <w:tab w:val="left" w:pos="8280"/>
        </w:tabs>
        <w:spacing w:line="360" w:lineRule="auto"/>
        <w:ind w:firstLine="315" w:firstLineChars="98"/>
        <w:jc w:val="left"/>
        <w:rPr>
          <w:rFonts w:hint="eastAsia" w:ascii="宋体" w:hAnsi="宋体" w:eastAsia="宋体" w:cs="宋体"/>
          <w:b/>
          <w:kern w:val="0"/>
          <w:sz w:val="36"/>
          <w:szCs w:val="36"/>
          <w:u w:val="single"/>
        </w:rPr>
      </w:pPr>
      <w:r>
        <w:rPr>
          <w:rFonts w:hint="eastAsia" w:ascii="宋体" w:hAnsi="宋体" w:eastAsia="宋体" w:cs="宋体"/>
          <w:b/>
          <w:kern w:val="0"/>
          <w:sz w:val="32"/>
          <w:szCs w:val="32"/>
        </w:rPr>
        <w:t>采购项目编号：</w:t>
      </w:r>
      <w:r>
        <w:rPr>
          <w:rFonts w:hint="eastAsia" w:ascii="宋体" w:hAnsi="宋体" w:eastAsia="宋体" w:cs="宋体"/>
          <w:b/>
          <w:kern w:val="0"/>
          <w:sz w:val="36"/>
          <w:szCs w:val="36"/>
          <w:u w:val="single"/>
        </w:rPr>
        <w:t xml:space="preserve">                                 </w:t>
      </w:r>
    </w:p>
    <w:p w14:paraId="778B5FDD">
      <w:pPr>
        <w:pStyle w:val="10"/>
        <w:rPr>
          <w:rFonts w:hint="eastAsia" w:hAnsi="宋体" w:cs="宋体"/>
          <w:b/>
          <w:sz w:val="36"/>
          <w:szCs w:val="36"/>
          <w:u w:val="single"/>
        </w:rPr>
      </w:pPr>
    </w:p>
    <w:p w14:paraId="6B15EE53">
      <w:pPr>
        <w:pStyle w:val="10"/>
        <w:ind w:firstLine="361" w:firstLineChars="100"/>
      </w:pPr>
      <w:r>
        <w:rPr>
          <w:rFonts w:hint="eastAsia" w:hAnsi="宋体" w:cs="宋体"/>
          <w:b/>
          <w:sz w:val="36"/>
          <w:szCs w:val="36"/>
        </w:rPr>
        <w:t>标 段 号：</w:t>
      </w:r>
      <w:r>
        <w:rPr>
          <w:rFonts w:hint="eastAsia" w:hAnsi="宋体" w:cs="宋体"/>
          <w:b/>
          <w:sz w:val="36"/>
          <w:szCs w:val="36"/>
          <w:u w:val="single"/>
        </w:rPr>
        <w:t xml:space="preserve">                                     </w:t>
      </w:r>
    </w:p>
    <w:p w14:paraId="0D93473D">
      <w:pPr>
        <w:widowControl/>
        <w:tabs>
          <w:tab w:val="left" w:pos="765"/>
          <w:tab w:val="left" w:pos="8280"/>
        </w:tabs>
        <w:spacing w:line="360" w:lineRule="auto"/>
        <w:ind w:firstLine="480"/>
        <w:jc w:val="left"/>
        <w:rPr>
          <w:rFonts w:hint="eastAsia" w:ascii="宋体" w:hAnsi="宋体" w:eastAsia="宋体" w:cs="宋体"/>
          <w:b/>
          <w:kern w:val="0"/>
          <w:sz w:val="36"/>
          <w:szCs w:val="36"/>
        </w:rPr>
      </w:pPr>
      <w:r>
        <w:rPr>
          <w:rFonts w:hint="eastAsia" w:ascii="宋体" w:hAnsi="宋体" w:eastAsia="宋体" w:cs="宋体"/>
          <w:b/>
          <w:kern w:val="0"/>
          <w:sz w:val="36"/>
          <w:szCs w:val="36"/>
        </w:rPr>
        <w:tab/>
      </w:r>
    </w:p>
    <w:p w14:paraId="55BA9540">
      <w:pPr>
        <w:widowControl/>
        <w:tabs>
          <w:tab w:val="left" w:pos="765"/>
          <w:tab w:val="left" w:pos="8280"/>
        </w:tabs>
        <w:spacing w:line="360" w:lineRule="auto"/>
        <w:ind w:firstLine="315" w:firstLineChars="98"/>
        <w:jc w:val="left"/>
        <w:rPr>
          <w:rFonts w:hint="eastAsia" w:ascii="宋体" w:hAnsi="宋体" w:eastAsia="宋体" w:cs="宋体"/>
          <w:b/>
          <w:kern w:val="0"/>
          <w:sz w:val="36"/>
          <w:szCs w:val="36"/>
        </w:rPr>
      </w:pPr>
      <w:r>
        <w:rPr>
          <w:rFonts w:hint="eastAsia" w:ascii="宋体" w:hAnsi="宋体" w:eastAsia="宋体" w:cs="宋体"/>
          <w:b/>
          <w:kern w:val="0"/>
          <w:sz w:val="32"/>
          <w:szCs w:val="32"/>
        </w:rPr>
        <w:t>投标人（电子签章）：</w:t>
      </w:r>
      <w:r>
        <w:rPr>
          <w:rFonts w:hint="eastAsia" w:ascii="宋体" w:hAnsi="宋体" w:eastAsia="宋体" w:cs="宋体"/>
          <w:b/>
          <w:kern w:val="0"/>
          <w:sz w:val="36"/>
          <w:szCs w:val="36"/>
          <w:u w:val="single"/>
        </w:rPr>
        <w:t xml:space="preserve">                                </w:t>
      </w:r>
    </w:p>
    <w:p w14:paraId="682A51C5">
      <w:pPr>
        <w:widowControl/>
        <w:tabs>
          <w:tab w:val="left" w:pos="8280"/>
        </w:tabs>
        <w:spacing w:line="360" w:lineRule="auto"/>
        <w:ind w:firstLine="480"/>
        <w:jc w:val="center"/>
        <w:rPr>
          <w:rFonts w:hint="eastAsia" w:ascii="宋体" w:hAnsi="宋体" w:eastAsia="宋体" w:cs="宋体"/>
          <w:b/>
          <w:kern w:val="0"/>
          <w:sz w:val="32"/>
          <w:szCs w:val="32"/>
        </w:rPr>
      </w:pPr>
    </w:p>
    <w:p w14:paraId="0AA36C5E">
      <w:pPr>
        <w:widowControl/>
        <w:tabs>
          <w:tab w:val="left" w:pos="8280"/>
        </w:tabs>
        <w:spacing w:line="360" w:lineRule="auto"/>
        <w:rPr>
          <w:rFonts w:hint="eastAsia" w:ascii="宋体" w:hAnsi="宋体" w:eastAsia="宋体" w:cs="宋体"/>
          <w:b/>
          <w:kern w:val="0"/>
          <w:sz w:val="32"/>
          <w:szCs w:val="32"/>
        </w:rPr>
      </w:pPr>
    </w:p>
    <w:p w14:paraId="5A70BCD4">
      <w:pPr>
        <w:widowControl/>
        <w:tabs>
          <w:tab w:val="left" w:pos="350"/>
          <w:tab w:val="left" w:pos="8280"/>
        </w:tabs>
        <w:spacing w:line="360" w:lineRule="auto"/>
        <w:ind w:firstLine="480"/>
        <w:jc w:val="left"/>
        <w:rPr>
          <w:rFonts w:hint="eastAsia" w:ascii="宋体" w:hAnsi="宋体" w:eastAsia="宋体" w:cs="宋体"/>
          <w:b/>
          <w:kern w:val="0"/>
          <w:sz w:val="32"/>
          <w:szCs w:val="32"/>
        </w:rPr>
      </w:pPr>
      <w:r>
        <w:rPr>
          <w:rFonts w:hint="eastAsia" w:ascii="宋体" w:hAnsi="宋体" w:eastAsia="宋体" w:cs="宋体"/>
          <w:b/>
          <w:kern w:val="0"/>
          <w:sz w:val="36"/>
          <w:szCs w:val="36"/>
        </w:rPr>
        <w:t xml:space="preserve">                   </w:t>
      </w:r>
      <w:r>
        <w:rPr>
          <w:rFonts w:hint="eastAsia" w:ascii="宋体" w:hAnsi="宋体" w:eastAsia="宋体" w:cs="宋体"/>
          <w:b/>
          <w:kern w:val="0"/>
          <w:sz w:val="32"/>
          <w:szCs w:val="32"/>
        </w:rPr>
        <w:t>年</w:t>
      </w:r>
      <w:r>
        <w:rPr>
          <w:rFonts w:hint="eastAsia" w:ascii="宋体" w:hAnsi="宋体" w:eastAsia="宋体" w:cs="宋体"/>
          <w:b/>
          <w:kern w:val="0"/>
          <w:sz w:val="36"/>
          <w:szCs w:val="36"/>
        </w:rPr>
        <w:t xml:space="preserve">     </w:t>
      </w:r>
      <w:r>
        <w:rPr>
          <w:rFonts w:hint="eastAsia" w:ascii="宋体" w:hAnsi="宋体" w:eastAsia="宋体" w:cs="宋体"/>
          <w:b/>
          <w:kern w:val="0"/>
          <w:sz w:val="32"/>
          <w:szCs w:val="32"/>
        </w:rPr>
        <w:t>月</w:t>
      </w:r>
      <w:r>
        <w:rPr>
          <w:rFonts w:hint="eastAsia" w:ascii="宋体" w:hAnsi="宋体" w:eastAsia="宋体" w:cs="宋体"/>
          <w:b/>
          <w:kern w:val="0"/>
          <w:sz w:val="36"/>
          <w:szCs w:val="36"/>
        </w:rPr>
        <w:t xml:space="preserve">     </w:t>
      </w:r>
      <w:r>
        <w:rPr>
          <w:rFonts w:hint="eastAsia" w:ascii="宋体" w:hAnsi="宋体" w:eastAsia="宋体" w:cs="宋体"/>
          <w:b/>
          <w:kern w:val="0"/>
          <w:sz w:val="32"/>
          <w:szCs w:val="32"/>
        </w:rPr>
        <w:t>日</w:t>
      </w:r>
    </w:p>
    <w:p w14:paraId="7CBE0B38">
      <w:pPr>
        <w:spacing w:line="360" w:lineRule="auto"/>
        <w:jc w:val="center"/>
        <w:rPr>
          <w:rFonts w:hint="eastAsia" w:ascii="宋体" w:hAnsi="宋体" w:eastAsia="宋体" w:cs="宋体"/>
          <w:b/>
          <w:bCs/>
          <w:sz w:val="36"/>
          <w:szCs w:val="36"/>
        </w:rPr>
      </w:pPr>
    </w:p>
    <w:p w14:paraId="45258C4A">
      <w:pPr>
        <w:spacing w:line="360" w:lineRule="auto"/>
        <w:jc w:val="center"/>
        <w:outlineLvl w:val="1"/>
        <w:rPr>
          <w:rFonts w:hint="eastAsia" w:ascii="宋体" w:hAnsi="宋体" w:eastAsia="宋体" w:cs="宋体"/>
          <w:sz w:val="36"/>
          <w:szCs w:val="36"/>
        </w:rPr>
      </w:pPr>
      <w:r>
        <w:rPr>
          <w:rFonts w:hint="eastAsia" w:ascii="宋体" w:hAnsi="宋体" w:eastAsia="宋体" w:cs="宋体"/>
          <w:b/>
          <w:bCs/>
          <w:sz w:val="36"/>
          <w:szCs w:val="36"/>
        </w:rPr>
        <w:br w:type="page"/>
      </w:r>
      <w:r>
        <w:rPr>
          <w:rFonts w:hint="eastAsia" w:ascii="宋体" w:hAnsi="宋体" w:eastAsia="宋体" w:cs="宋体"/>
          <w:b/>
          <w:bCs/>
          <w:sz w:val="36"/>
          <w:szCs w:val="36"/>
        </w:rPr>
        <w:t>法定代表人申明书（格式）</w:t>
      </w:r>
    </w:p>
    <w:p w14:paraId="49369DDB">
      <w:pPr>
        <w:spacing w:line="360" w:lineRule="auto"/>
        <w:rPr>
          <w:rFonts w:hint="eastAsia" w:ascii="宋体" w:hAnsi="宋体" w:eastAsia="宋体" w:cs="宋体"/>
          <w:sz w:val="24"/>
          <w:szCs w:val="24"/>
        </w:rPr>
      </w:pPr>
    </w:p>
    <w:p w14:paraId="28AE569A">
      <w:pPr>
        <w:spacing w:line="360" w:lineRule="auto"/>
        <w:rPr>
          <w:rFonts w:hint="eastAsia" w:ascii="宋体" w:hAnsi="宋体" w:eastAsia="宋体" w:cs="宋体"/>
          <w:sz w:val="24"/>
          <w:szCs w:val="24"/>
        </w:rPr>
      </w:pPr>
    </w:p>
    <w:p w14:paraId="4E0589A8">
      <w:pPr>
        <w:spacing w:line="360" w:lineRule="auto"/>
        <w:rPr>
          <w:rFonts w:hint="eastAsia" w:ascii="宋体" w:hAnsi="宋体" w:eastAsia="宋体" w:cs="宋体"/>
          <w:sz w:val="24"/>
          <w:szCs w:val="24"/>
        </w:rPr>
      </w:pPr>
    </w:p>
    <w:p w14:paraId="76647C37">
      <w:pPr>
        <w:spacing w:line="360" w:lineRule="auto"/>
        <w:rPr>
          <w:rFonts w:hint="eastAsia" w:ascii="宋体" w:hAnsi="宋体" w:eastAsia="宋体" w:cs="宋体"/>
          <w:sz w:val="24"/>
          <w:szCs w:val="24"/>
        </w:rPr>
      </w:pPr>
      <w:r>
        <w:rPr>
          <w:rFonts w:hint="eastAsia" w:ascii="宋体" w:hAnsi="宋体" w:eastAsia="宋体" w:cs="宋体"/>
          <w:sz w:val="24"/>
          <w:szCs w:val="24"/>
        </w:rPr>
        <w:t>姓名：                           性别：</w:t>
      </w:r>
    </w:p>
    <w:p w14:paraId="05F66C7D">
      <w:pPr>
        <w:spacing w:line="360" w:lineRule="auto"/>
        <w:rPr>
          <w:rFonts w:hint="eastAsia" w:ascii="宋体" w:hAnsi="宋体" w:eastAsia="宋体" w:cs="宋体"/>
          <w:sz w:val="24"/>
          <w:szCs w:val="24"/>
        </w:rPr>
      </w:pPr>
      <w:r>
        <w:rPr>
          <w:rFonts w:hint="eastAsia" w:ascii="宋体" w:hAnsi="宋体" w:eastAsia="宋体" w:cs="宋体"/>
          <w:sz w:val="24"/>
          <w:szCs w:val="24"/>
        </w:rPr>
        <w:t>年龄：                           职务：</w:t>
      </w:r>
    </w:p>
    <w:p w14:paraId="266D6F01">
      <w:pPr>
        <w:spacing w:line="360" w:lineRule="auto"/>
        <w:rPr>
          <w:rFonts w:hint="eastAsia" w:ascii="宋体" w:hAnsi="宋体" w:eastAsia="宋体" w:cs="宋体"/>
          <w:sz w:val="24"/>
          <w:szCs w:val="24"/>
        </w:rPr>
      </w:pPr>
      <w:r>
        <w:rPr>
          <w:rFonts w:hint="eastAsia" w:ascii="宋体" w:hAnsi="宋体" w:eastAsia="宋体" w:cs="宋体"/>
          <w:sz w:val="24"/>
          <w:szCs w:val="24"/>
        </w:rPr>
        <w:t>身份证号码：</w:t>
      </w:r>
    </w:p>
    <w:p w14:paraId="351029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（单位名称）的法定代表人，法定地址：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项目的投标、开标等事宜，签署上述投标文件，进行合同谈判、签署合同和处理与之有关的一切事务。</w:t>
      </w:r>
    </w:p>
    <w:p w14:paraId="52F8CA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特此申明</w:t>
      </w:r>
    </w:p>
    <w:p w14:paraId="094F956E">
      <w:pPr>
        <w:spacing w:line="360" w:lineRule="auto"/>
        <w:rPr>
          <w:rFonts w:hint="eastAsia" w:ascii="宋体" w:hAnsi="宋体" w:eastAsia="宋体" w:cs="宋体"/>
          <w:sz w:val="24"/>
          <w:szCs w:val="24"/>
        </w:rPr>
      </w:pPr>
      <w:r>
        <w:rPr>
          <w:rFonts w:hint="eastAsia" w:ascii="宋体" w:hAnsi="宋体" w:eastAsia="宋体" w:cs="宋体"/>
          <w:sz w:val="24"/>
          <w:szCs w:val="24"/>
        </w:rPr>
        <w:t>投标单位：（</w:t>
      </w:r>
      <w:r>
        <w:rPr>
          <w:rFonts w:hint="eastAsia" w:ascii="宋体" w:hAnsi="宋体" w:eastAsia="宋体" w:cs="宋体"/>
          <w:bCs/>
          <w:sz w:val="24"/>
          <w:szCs w:val="24"/>
        </w:rPr>
        <w:t>电子签章</w:t>
      </w:r>
      <w:r>
        <w:rPr>
          <w:rFonts w:hint="eastAsia" w:ascii="宋体" w:hAnsi="宋体" w:eastAsia="宋体" w:cs="宋体"/>
          <w:sz w:val="24"/>
          <w:szCs w:val="24"/>
        </w:rPr>
        <w:t xml:space="preserve">）                </w:t>
      </w:r>
    </w:p>
    <w:p w14:paraId="4504C2F1">
      <w:pPr>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w:t>
      </w:r>
    </w:p>
    <w:p w14:paraId="6E19ACF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年   月    日              </w:t>
      </w:r>
    </w:p>
    <w:p w14:paraId="3EEEDC66">
      <w:pPr>
        <w:spacing w:line="360" w:lineRule="auto"/>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0EA2EC9B">
      <w:pPr>
        <w:spacing w:line="360" w:lineRule="auto"/>
        <w:rPr>
          <w:rFonts w:hint="eastAsia" w:ascii="宋体" w:hAnsi="宋体" w:eastAsia="宋体" w:cs="宋体"/>
          <w:sz w:val="24"/>
          <w:szCs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14:paraId="53EF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255" w:type="dxa"/>
          </w:tcPr>
          <w:p w14:paraId="163AE037">
            <w:pPr>
              <w:spacing w:line="360" w:lineRule="auto"/>
              <w:rPr>
                <w:rFonts w:hint="eastAsia" w:ascii="宋体" w:hAnsi="宋体" w:eastAsia="宋体" w:cs="宋体"/>
                <w:sz w:val="24"/>
                <w:szCs w:val="24"/>
              </w:rPr>
            </w:pPr>
          </w:p>
          <w:p w14:paraId="0E73E6DB">
            <w:pPr>
              <w:spacing w:line="360" w:lineRule="auto"/>
              <w:rPr>
                <w:rFonts w:hint="eastAsia" w:ascii="宋体" w:hAnsi="宋体" w:eastAsia="宋体" w:cs="宋体"/>
                <w:sz w:val="24"/>
                <w:szCs w:val="24"/>
              </w:rPr>
            </w:pPr>
          </w:p>
          <w:p w14:paraId="28E5E3B8">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法定代表人身份证复印件</w:t>
            </w:r>
          </w:p>
        </w:tc>
      </w:tr>
    </w:tbl>
    <w:p w14:paraId="1C48C58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br w:type="page"/>
      </w:r>
    </w:p>
    <w:p w14:paraId="32473808">
      <w:pPr>
        <w:widowControl/>
        <w:spacing w:line="360" w:lineRule="auto"/>
        <w:jc w:val="center"/>
        <w:outlineLvl w:val="1"/>
        <w:rPr>
          <w:rFonts w:hint="eastAsia" w:ascii="宋体" w:hAnsi="宋体" w:eastAsia="宋体" w:cs="宋体"/>
          <w:b/>
          <w:sz w:val="48"/>
        </w:rPr>
      </w:pPr>
      <w:r>
        <w:rPr>
          <w:rFonts w:hint="eastAsia" w:ascii="宋体" w:hAnsi="宋体" w:eastAsia="宋体" w:cs="宋体"/>
          <w:b/>
          <w:bCs/>
          <w:sz w:val="36"/>
          <w:szCs w:val="36"/>
        </w:rPr>
        <w:t>投标人法定代表人授权书（格式）</w:t>
      </w:r>
    </w:p>
    <w:p w14:paraId="16169AD0">
      <w:pPr>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08330DD5">
      <w:pPr>
        <w:spacing w:line="360" w:lineRule="auto"/>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8EDBAE8">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采购人名称）                </w:t>
      </w:r>
    </w:p>
    <w:p w14:paraId="3D7C023F">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招标代理机构名称）         </w:t>
      </w:r>
      <w:r>
        <w:rPr>
          <w:rFonts w:hint="eastAsia" w:ascii="宋体" w:hAnsi="宋体" w:eastAsia="宋体" w:cs="宋体"/>
          <w:sz w:val="24"/>
        </w:rPr>
        <w:t xml:space="preserve">    </w:t>
      </w:r>
    </w:p>
    <w:p w14:paraId="34308DB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注册于</w:t>
      </w:r>
      <w:r>
        <w:rPr>
          <w:rFonts w:hint="eastAsia" w:ascii="宋体" w:hAnsi="宋体" w:eastAsia="宋体" w:cs="宋体"/>
          <w:sz w:val="24"/>
          <w:u w:val="single"/>
        </w:rPr>
        <w:t xml:space="preserve">                                 </w:t>
      </w:r>
      <w:r>
        <w:rPr>
          <w:rFonts w:hint="eastAsia" w:ascii="宋体" w:hAnsi="宋体" w:eastAsia="宋体" w:cs="宋体"/>
          <w:sz w:val="24"/>
        </w:rPr>
        <w:t>（注册地址）的</w:t>
      </w:r>
      <w:r>
        <w:rPr>
          <w:rFonts w:hint="eastAsia" w:ascii="宋体" w:hAnsi="宋体" w:eastAsia="宋体" w:cs="宋体"/>
          <w:sz w:val="24"/>
          <w:u w:val="single"/>
        </w:rPr>
        <w:t xml:space="preserve">                                         </w:t>
      </w:r>
    </w:p>
    <w:p w14:paraId="1E40B7D3">
      <w:pPr>
        <w:spacing w:line="360" w:lineRule="auto"/>
        <w:jc w:val="lef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（投标人名称），系中华人民共和国合法企业；本人</w:t>
      </w:r>
      <w:r>
        <w:rPr>
          <w:rFonts w:hint="eastAsia" w:ascii="宋体" w:hAnsi="宋体" w:eastAsia="宋体" w:cs="宋体"/>
          <w:sz w:val="24"/>
          <w:u w:val="single"/>
        </w:rPr>
        <w:t xml:space="preserve">             </w:t>
      </w:r>
      <w:r>
        <w:rPr>
          <w:rFonts w:hint="eastAsia" w:ascii="宋体" w:hAnsi="宋体" w:eastAsia="宋体" w:cs="宋体"/>
          <w:sz w:val="24"/>
        </w:rPr>
        <w:t>（授权人姓名）系该公司的法定代表人。现特授权本单位的（被授权人姓名）</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为我公司合法代理人，全权代表我公司办理就</w:t>
      </w:r>
      <w:r>
        <w:rPr>
          <w:rFonts w:hint="eastAsia" w:ascii="宋体" w:hAnsi="宋体" w:eastAsia="宋体" w:cs="宋体"/>
          <w:sz w:val="24"/>
          <w:u w:val="single"/>
        </w:rPr>
        <w:t xml:space="preserve">                                                     </w:t>
      </w:r>
      <w:r>
        <w:rPr>
          <w:rFonts w:hint="eastAsia" w:ascii="宋体" w:hAnsi="宋体" w:eastAsia="宋体" w:cs="宋体"/>
          <w:sz w:val="24"/>
        </w:rPr>
        <w:t>项目的投标、谈判、签约等具体工作，并签署全部有关的文件、协议及合同。</w:t>
      </w:r>
    </w:p>
    <w:p w14:paraId="32FC7085">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我公司对被授权人的签名负全部责任。</w:t>
      </w:r>
    </w:p>
    <w:p w14:paraId="3C2F2D6B">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在撤销授权的书面通知以前，本授权书一直有效。被授权人签署的所有文件（在授权书有效期内签署的）不因授权的撤销而失效。被授权人无转委托。特此声明。</w:t>
      </w:r>
    </w:p>
    <w:p w14:paraId="1CA9F5F8">
      <w:pPr>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bCs/>
          <w:sz w:val="24"/>
        </w:rPr>
        <w:t>电子签章</w:t>
      </w:r>
      <w:r>
        <w:rPr>
          <w:rFonts w:hint="eastAsia" w:ascii="宋体" w:hAnsi="宋体" w:eastAsia="宋体" w:cs="宋体"/>
          <w:sz w:val="24"/>
        </w:rPr>
        <w:t>：</w:t>
      </w:r>
    </w:p>
    <w:p w14:paraId="249DA4C7">
      <w:pPr>
        <w:spacing w:line="360" w:lineRule="auto"/>
        <w:rPr>
          <w:rFonts w:hint="eastAsia" w:ascii="宋体" w:hAnsi="宋体" w:eastAsia="宋体" w:cs="宋体"/>
          <w:sz w:val="24"/>
          <w:u w:val="single"/>
        </w:rPr>
      </w:pPr>
      <w:r>
        <w:rPr>
          <w:rFonts w:hint="eastAsia" w:ascii="宋体" w:hAnsi="宋体" w:eastAsia="宋体" w:cs="宋体"/>
          <w:sz w:val="24"/>
        </w:rPr>
        <w:t>授权人签名：</w:t>
      </w:r>
      <w:r>
        <w:rPr>
          <w:rFonts w:hint="eastAsia" w:ascii="宋体" w:hAnsi="宋体" w:eastAsia="宋体" w:cs="宋体"/>
          <w:sz w:val="24"/>
          <w:u w:val="single"/>
        </w:rPr>
        <w:t xml:space="preserve">                  </w:t>
      </w: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19A211A5">
      <w:pPr>
        <w:spacing w:line="360" w:lineRule="auto"/>
        <w:rPr>
          <w:rFonts w:hint="eastAsia" w:ascii="宋体" w:hAnsi="宋体" w:eastAsia="宋体" w:cs="宋体"/>
          <w:sz w:val="24"/>
        </w:rPr>
      </w:pPr>
      <w:r>
        <w:rPr>
          <w:rFonts w:hint="eastAsia" w:ascii="宋体" w:hAnsi="宋体" w:eastAsia="宋体" w:cs="宋体"/>
          <w:sz w:val="24"/>
        </w:rPr>
        <w:t>被授权人签名：</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A6B9488">
      <w:pPr>
        <w:spacing w:line="360" w:lineRule="auto"/>
        <w:rPr>
          <w:rFonts w:hint="eastAsia" w:ascii="宋体" w:hAnsi="宋体" w:eastAsia="宋体" w:cs="宋体"/>
          <w:sz w:val="24"/>
        </w:rPr>
      </w:pPr>
    </w:p>
    <w:p w14:paraId="147CC244">
      <w:pPr>
        <w:spacing w:line="360" w:lineRule="auto"/>
        <w:rPr>
          <w:rFonts w:hint="eastAsia" w:ascii="宋体" w:hAnsi="宋体" w:eastAsia="宋体" w:cs="宋体"/>
          <w:sz w:val="24"/>
        </w:rPr>
      </w:pPr>
      <w:r>
        <w:rPr>
          <w:rFonts w:hint="eastAsia" w:ascii="宋体" w:hAnsi="宋体" w:eastAsia="宋体" w:cs="宋体"/>
          <w:sz w:val="24"/>
        </w:rPr>
        <w:t>注：投标人法定代表人参加投标的，提供法定代表人申明书和身份说明即可。</w:t>
      </w:r>
    </w:p>
    <w:p w14:paraId="6C4D73BE">
      <w:pPr>
        <w:spacing w:line="360" w:lineRule="auto"/>
        <w:rPr>
          <w:rFonts w:hint="eastAsia" w:ascii="宋体" w:hAnsi="宋体" w:eastAsia="宋体" w:cs="宋体"/>
          <w:sz w:val="24"/>
        </w:rPr>
      </w:pPr>
      <w:r>
        <w:rPr>
          <w:rFonts w:hint="eastAsia" w:ascii="宋体" w:hAnsi="宋体" w:eastAsia="宋体" w:cs="宋体"/>
          <w:sz w:val="24"/>
        </w:rPr>
        <w:t>被授权人身份证复印件：</w:t>
      </w:r>
    </w:p>
    <w:p w14:paraId="292B83A8">
      <w:pPr>
        <w:spacing w:line="360" w:lineRule="auto"/>
        <w:rPr>
          <w:rFonts w:hint="eastAsia" w:ascii="宋体" w:hAnsi="宋体" w:eastAsia="宋体" w:cs="宋体"/>
          <w:sz w:val="24"/>
        </w:rPr>
      </w:pPr>
    </w:p>
    <w:tbl>
      <w:tblPr>
        <w:tblStyle w:val="29"/>
        <w:tblpPr w:leftFromText="180" w:rightFromText="180" w:vertAnchor="text" w:horzAnchor="page" w:tblpX="3565"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14:paraId="62F8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255" w:type="dxa"/>
          </w:tcPr>
          <w:p w14:paraId="7B918773">
            <w:pPr>
              <w:spacing w:line="360" w:lineRule="auto"/>
              <w:rPr>
                <w:rFonts w:hint="eastAsia" w:ascii="宋体" w:hAnsi="宋体" w:eastAsia="宋体" w:cs="宋体"/>
                <w:sz w:val="24"/>
              </w:rPr>
            </w:pPr>
          </w:p>
          <w:p w14:paraId="0946DB9B">
            <w:pPr>
              <w:spacing w:line="360" w:lineRule="auto"/>
              <w:rPr>
                <w:rFonts w:hint="eastAsia" w:ascii="宋体" w:hAnsi="宋体" w:eastAsia="宋体" w:cs="宋体"/>
                <w:sz w:val="24"/>
              </w:rPr>
            </w:pPr>
          </w:p>
          <w:p w14:paraId="49B79C88">
            <w:pPr>
              <w:spacing w:line="360" w:lineRule="auto"/>
              <w:ind w:firstLine="720" w:firstLineChars="300"/>
              <w:rPr>
                <w:rFonts w:hint="eastAsia" w:ascii="宋体" w:hAnsi="宋体" w:eastAsia="宋体" w:cs="宋体"/>
                <w:sz w:val="24"/>
              </w:rPr>
            </w:pPr>
            <w:r>
              <w:rPr>
                <w:rFonts w:hint="eastAsia" w:ascii="宋体" w:hAnsi="宋体" w:eastAsia="宋体" w:cs="宋体"/>
                <w:sz w:val="24"/>
              </w:rPr>
              <w:t>被授权人身份证复印件</w:t>
            </w:r>
          </w:p>
        </w:tc>
      </w:tr>
    </w:tbl>
    <w:p w14:paraId="225426BF">
      <w:pPr>
        <w:spacing w:line="360" w:lineRule="auto"/>
        <w:rPr>
          <w:rFonts w:hint="eastAsia" w:ascii="宋体" w:hAnsi="宋体" w:eastAsia="宋体" w:cs="宋体"/>
          <w:b/>
          <w:bCs/>
          <w:sz w:val="24"/>
        </w:rPr>
      </w:pPr>
    </w:p>
    <w:p w14:paraId="7117110A">
      <w:pPr>
        <w:widowControl/>
        <w:spacing w:line="360" w:lineRule="auto"/>
        <w:jc w:val="left"/>
        <w:rPr>
          <w:rFonts w:hint="eastAsia" w:ascii="宋体" w:hAnsi="宋体" w:eastAsia="宋体" w:cs="宋体"/>
          <w:b/>
          <w:bCs/>
          <w:sz w:val="24"/>
        </w:rPr>
      </w:pPr>
      <w:r>
        <w:rPr>
          <w:rFonts w:hint="eastAsia" w:ascii="宋体" w:hAnsi="宋体" w:eastAsia="宋体" w:cs="宋体"/>
          <w:b/>
          <w:bCs/>
          <w:sz w:val="24"/>
        </w:rPr>
        <w:br w:type="page"/>
      </w:r>
    </w:p>
    <w:p w14:paraId="74CDF54A">
      <w:pPr>
        <w:spacing w:line="360" w:lineRule="auto"/>
        <w:jc w:val="center"/>
        <w:outlineLvl w:val="1"/>
        <w:rPr>
          <w:rFonts w:hint="eastAsia" w:ascii="宋体" w:hAnsi="宋体" w:eastAsia="宋体" w:cs="宋体"/>
          <w:b/>
          <w:bCs/>
          <w:sz w:val="32"/>
          <w:szCs w:val="32"/>
        </w:rPr>
      </w:pPr>
      <w:r>
        <w:rPr>
          <w:rFonts w:hint="eastAsia" w:ascii="宋体" w:hAnsi="宋体" w:eastAsia="宋体" w:cs="宋体"/>
          <w:b/>
          <w:bCs/>
          <w:sz w:val="32"/>
          <w:szCs w:val="32"/>
        </w:rPr>
        <w:t>联合投标协议书</w:t>
      </w:r>
    </w:p>
    <w:p w14:paraId="7F81F2B3">
      <w:pPr>
        <w:spacing w:line="360" w:lineRule="auto"/>
        <w:jc w:val="left"/>
        <w:rPr>
          <w:rFonts w:hint="eastAsia" w:ascii="宋体" w:hAnsi="宋体" w:eastAsia="宋体" w:cs="宋体"/>
          <w:sz w:val="24"/>
        </w:rPr>
      </w:pPr>
      <w:r>
        <w:rPr>
          <w:rFonts w:hint="eastAsia" w:ascii="宋体" w:hAnsi="宋体" w:eastAsia="宋体" w:cs="宋体"/>
          <w:sz w:val="24"/>
        </w:rPr>
        <w:t>甲方：</w:t>
      </w:r>
    </w:p>
    <w:p w14:paraId="75932396">
      <w:pPr>
        <w:spacing w:line="360" w:lineRule="auto"/>
        <w:jc w:val="left"/>
        <w:rPr>
          <w:rFonts w:hint="eastAsia" w:ascii="宋体" w:hAnsi="宋体" w:eastAsia="宋体" w:cs="宋体"/>
          <w:sz w:val="24"/>
        </w:rPr>
      </w:pPr>
      <w:r>
        <w:rPr>
          <w:rFonts w:hint="eastAsia" w:ascii="宋体" w:hAnsi="宋体" w:eastAsia="宋体" w:cs="宋体"/>
          <w:sz w:val="24"/>
        </w:rPr>
        <w:t>乙方：</w:t>
      </w:r>
    </w:p>
    <w:p w14:paraId="616DD17F">
      <w:pPr>
        <w:spacing w:line="360" w:lineRule="auto"/>
        <w:jc w:val="left"/>
        <w:rPr>
          <w:rFonts w:hint="eastAsia" w:ascii="宋体" w:hAnsi="宋体" w:eastAsia="宋体" w:cs="宋体"/>
          <w:sz w:val="24"/>
        </w:rPr>
      </w:pPr>
      <w:r>
        <w:rPr>
          <w:rFonts w:hint="eastAsia" w:ascii="宋体" w:hAnsi="宋体" w:eastAsia="宋体" w:cs="宋体"/>
          <w:sz w:val="24"/>
        </w:rPr>
        <w:t>（如果有的话，可按甲、乙、丙、丁…序列增加）</w:t>
      </w:r>
    </w:p>
    <w:p w14:paraId="228F2CC0">
      <w:pPr>
        <w:spacing w:line="360" w:lineRule="auto"/>
        <w:jc w:val="left"/>
        <w:rPr>
          <w:rFonts w:hint="eastAsia" w:ascii="宋体" w:hAnsi="宋体" w:eastAsia="宋体" w:cs="宋体"/>
          <w:sz w:val="24"/>
        </w:rPr>
      </w:pPr>
      <w:r>
        <w:rPr>
          <w:rFonts w:hint="eastAsia" w:ascii="宋体" w:hAnsi="宋体" w:eastAsia="宋体" w:cs="宋体"/>
          <w:sz w:val="24"/>
        </w:rPr>
        <w:t>各方经协商，就响应</w:t>
      </w:r>
      <w:r>
        <w:rPr>
          <w:rFonts w:hint="eastAsia" w:ascii="宋体" w:hAnsi="宋体" w:eastAsia="宋体" w:cs="宋体"/>
          <w:sz w:val="24"/>
          <w:u w:val="single"/>
        </w:rPr>
        <w:t xml:space="preserve">     </w:t>
      </w:r>
      <w:r>
        <w:rPr>
          <w:rFonts w:hint="eastAsia" w:ascii="宋体" w:hAnsi="宋体" w:eastAsia="宋体" w:cs="宋体"/>
          <w:sz w:val="24"/>
        </w:rPr>
        <w:t>组织实施的编号为</w:t>
      </w:r>
      <w:r>
        <w:rPr>
          <w:rFonts w:hint="eastAsia" w:ascii="宋体" w:hAnsi="宋体" w:eastAsia="宋体" w:cs="宋体"/>
          <w:sz w:val="24"/>
          <w:u w:val="single"/>
        </w:rPr>
        <w:t xml:space="preserve">     </w:t>
      </w:r>
      <w:r>
        <w:rPr>
          <w:rFonts w:hint="eastAsia" w:ascii="宋体" w:hAnsi="宋体" w:eastAsia="宋体" w:cs="宋体"/>
          <w:sz w:val="24"/>
        </w:rPr>
        <w:t>号的招标活动联合进行投标之事宜，达成如下协议：</w:t>
      </w:r>
    </w:p>
    <w:p w14:paraId="6F1CBD86">
      <w:pPr>
        <w:spacing w:line="360" w:lineRule="auto"/>
        <w:jc w:val="left"/>
        <w:rPr>
          <w:rFonts w:hint="eastAsia" w:ascii="宋体" w:hAnsi="宋体" w:eastAsia="宋体" w:cs="宋体"/>
          <w:sz w:val="24"/>
        </w:rPr>
      </w:pPr>
      <w:r>
        <w:rPr>
          <w:rFonts w:hint="eastAsia" w:ascii="宋体" w:hAnsi="宋体" w:eastAsia="宋体" w:cs="宋体"/>
          <w:sz w:val="24"/>
        </w:rPr>
        <w:t>一、各方一致决定，以</w:t>
      </w:r>
      <w:r>
        <w:rPr>
          <w:rFonts w:hint="eastAsia" w:ascii="宋体" w:hAnsi="宋体" w:eastAsia="宋体" w:cs="宋体"/>
          <w:sz w:val="24"/>
          <w:u w:val="single"/>
        </w:rPr>
        <w:t xml:space="preserve">        </w:t>
      </w:r>
      <w:r>
        <w:rPr>
          <w:rFonts w:hint="eastAsia" w:ascii="宋体" w:hAnsi="宋体" w:eastAsia="宋体" w:cs="宋体"/>
          <w:sz w:val="24"/>
        </w:rPr>
        <w:t>为主办人进行投标，并按照招标文件的规定分别提交资格文件。</w:t>
      </w:r>
    </w:p>
    <w:p w14:paraId="1919667E">
      <w:pPr>
        <w:spacing w:line="360" w:lineRule="auto"/>
        <w:jc w:val="left"/>
        <w:rPr>
          <w:rFonts w:hint="eastAsia" w:ascii="宋体" w:hAnsi="宋体" w:eastAsia="宋体" w:cs="宋体"/>
          <w:sz w:val="24"/>
        </w:rPr>
      </w:pPr>
      <w:r>
        <w:rPr>
          <w:rFonts w:hint="eastAsia" w:ascii="宋体" w:hAnsi="宋体" w:eastAsia="宋体" w:cs="宋体"/>
          <w:sz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D350D5D">
      <w:pPr>
        <w:spacing w:line="360" w:lineRule="auto"/>
        <w:jc w:val="left"/>
        <w:rPr>
          <w:rFonts w:hint="eastAsia" w:ascii="宋体" w:hAnsi="宋体" w:eastAsia="宋体" w:cs="宋体"/>
          <w:sz w:val="24"/>
        </w:rPr>
      </w:pPr>
      <w:r>
        <w:rPr>
          <w:rFonts w:hint="eastAsia" w:ascii="宋体" w:hAnsi="宋体" w:eastAsia="宋体" w:cs="宋体"/>
          <w:sz w:val="24"/>
        </w:rPr>
        <w:t>三、联合投标其余各方保证对主办人为响应本次招标而提供的产品和服务提供全部质量保证及售后服务支持。</w:t>
      </w:r>
    </w:p>
    <w:p w14:paraId="7CA04A93">
      <w:pPr>
        <w:spacing w:line="360" w:lineRule="auto"/>
        <w:jc w:val="left"/>
        <w:rPr>
          <w:rFonts w:hint="eastAsia" w:ascii="宋体" w:hAnsi="宋体" w:eastAsia="宋体" w:cs="宋体"/>
          <w:sz w:val="24"/>
        </w:rPr>
      </w:pPr>
      <w:r>
        <w:rPr>
          <w:rFonts w:hint="eastAsia" w:ascii="宋体" w:hAnsi="宋体" w:eastAsia="宋体" w:cs="宋体"/>
          <w:sz w:val="24"/>
        </w:rPr>
        <w:t>四、本次联合投标中，甲方承担的工作和义务为：</w:t>
      </w:r>
    </w:p>
    <w:p w14:paraId="732A6491">
      <w:pPr>
        <w:spacing w:line="360" w:lineRule="auto"/>
        <w:jc w:val="left"/>
        <w:rPr>
          <w:rFonts w:hint="eastAsia" w:ascii="宋体" w:hAnsi="宋体" w:eastAsia="宋体" w:cs="宋体"/>
          <w:sz w:val="24"/>
        </w:rPr>
      </w:pPr>
      <w:r>
        <w:rPr>
          <w:rFonts w:hint="eastAsia" w:ascii="宋体" w:hAnsi="宋体" w:eastAsia="宋体" w:cs="宋体"/>
          <w:sz w:val="24"/>
        </w:rPr>
        <w:t xml:space="preserve">                                             </w:t>
      </w:r>
    </w:p>
    <w:p w14:paraId="3740BFA3">
      <w:pPr>
        <w:spacing w:line="360" w:lineRule="auto"/>
        <w:jc w:val="left"/>
        <w:rPr>
          <w:rFonts w:hint="eastAsia" w:ascii="宋体" w:hAnsi="宋体" w:eastAsia="宋体" w:cs="宋体"/>
          <w:sz w:val="24"/>
        </w:rPr>
      </w:pPr>
      <w:r>
        <w:rPr>
          <w:rFonts w:hint="eastAsia" w:ascii="宋体" w:hAnsi="宋体" w:eastAsia="宋体" w:cs="宋体"/>
          <w:sz w:val="24"/>
        </w:rPr>
        <w:t>乙方承担的工作和义务为：</w:t>
      </w:r>
    </w:p>
    <w:p w14:paraId="0AAA39D6">
      <w:pPr>
        <w:spacing w:line="360" w:lineRule="auto"/>
        <w:jc w:val="left"/>
        <w:rPr>
          <w:rFonts w:hint="eastAsia" w:ascii="宋体" w:hAnsi="宋体" w:eastAsia="宋体" w:cs="宋体"/>
          <w:sz w:val="24"/>
        </w:rPr>
      </w:pPr>
      <w:r>
        <w:rPr>
          <w:rFonts w:hint="eastAsia" w:ascii="宋体" w:hAnsi="宋体" w:eastAsia="宋体" w:cs="宋体"/>
          <w:sz w:val="24"/>
        </w:rPr>
        <w:t xml:space="preserve">                                             </w:t>
      </w:r>
    </w:p>
    <w:p w14:paraId="0E1B6286">
      <w:pPr>
        <w:spacing w:line="360" w:lineRule="auto"/>
        <w:jc w:val="left"/>
        <w:rPr>
          <w:rFonts w:hint="eastAsia" w:ascii="宋体" w:hAnsi="宋体" w:eastAsia="宋体" w:cs="宋体"/>
          <w:sz w:val="24"/>
        </w:rPr>
      </w:pPr>
      <w:r>
        <w:rPr>
          <w:rFonts w:hint="eastAsia" w:ascii="宋体" w:hAnsi="宋体" w:eastAsia="宋体" w:cs="宋体"/>
          <w:sz w:val="24"/>
        </w:rPr>
        <w:t xml:space="preserve">五、有关本次联合投标的其他事宜：             </w:t>
      </w:r>
    </w:p>
    <w:p w14:paraId="1B1807E0">
      <w:pPr>
        <w:spacing w:line="360" w:lineRule="auto"/>
        <w:jc w:val="left"/>
        <w:rPr>
          <w:rFonts w:hint="eastAsia" w:ascii="宋体" w:hAnsi="宋体" w:eastAsia="宋体" w:cs="宋体"/>
          <w:sz w:val="24"/>
        </w:rPr>
      </w:pPr>
      <w:r>
        <w:rPr>
          <w:rFonts w:hint="eastAsia" w:ascii="宋体" w:hAnsi="宋体" w:eastAsia="宋体" w:cs="宋体"/>
          <w:sz w:val="24"/>
        </w:rPr>
        <w:t>六、本协议提交招标方后，联合投标各方不得以任何形式对上述实质内容进行修改或撤销。</w:t>
      </w:r>
    </w:p>
    <w:p w14:paraId="067CA550">
      <w:pPr>
        <w:spacing w:line="360" w:lineRule="auto"/>
        <w:jc w:val="left"/>
        <w:rPr>
          <w:rFonts w:hint="eastAsia" w:ascii="宋体" w:hAnsi="宋体" w:eastAsia="宋体" w:cs="宋体"/>
          <w:sz w:val="24"/>
        </w:rPr>
      </w:pPr>
      <w:r>
        <w:rPr>
          <w:rFonts w:hint="eastAsia" w:ascii="宋体" w:hAnsi="宋体" w:eastAsia="宋体" w:cs="宋体"/>
          <w:sz w:val="24"/>
        </w:rPr>
        <w:t>七、本协议签约各方各持一份，并作为投标文件的一部分。</w:t>
      </w:r>
    </w:p>
    <w:p w14:paraId="7616EBDD">
      <w:pPr>
        <w:pStyle w:val="10"/>
        <w:spacing w:line="360" w:lineRule="auto"/>
        <w:rPr>
          <w:rFonts w:hint="eastAsia" w:hAnsi="宋体" w:cs="宋体"/>
        </w:rPr>
      </w:pPr>
    </w:p>
    <w:tbl>
      <w:tblPr>
        <w:tblStyle w:val="28"/>
        <w:tblW w:w="8528" w:type="dxa"/>
        <w:jc w:val="center"/>
        <w:tblLayout w:type="fixed"/>
        <w:tblCellMar>
          <w:top w:w="0" w:type="dxa"/>
          <w:left w:w="108" w:type="dxa"/>
          <w:bottom w:w="0" w:type="dxa"/>
          <w:right w:w="108" w:type="dxa"/>
        </w:tblCellMar>
      </w:tblPr>
      <w:tblGrid>
        <w:gridCol w:w="4264"/>
        <w:gridCol w:w="4264"/>
      </w:tblGrid>
      <w:tr w14:paraId="717D3459">
        <w:tblPrEx>
          <w:tblCellMar>
            <w:top w:w="0" w:type="dxa"/>
            <w:left w:w="108" w:type="dxa"/>
            <w:bottom w:w="0" w:type="dxa"/>
            <w:right w:w="108" w:type="dxa"/>
          </w:tblCellMar>
        </w:tblPrEx>
        <w:trPr>
          <w:jc w:val="center"/>
        </w:trPr>
        <w:tc>
          <w:tcPr>
            <w:tcW w:w="4264" w:type="dxa"/>
          </w:tcPr>
          <w:p w14:paraId="0FDD2541">
            <w:pPr>
              <w:spacing w:line="360" w:lineRule="auto"/>
              <w:jc w:val="left"/>
              <w:rPr>
                <w:rFonts w:hint="eastAsia" w:ascii="宋体" w:hAnsi="宋体" w:eastAsia="宋体" w:cs="宋体"/>
                <w:sz w:val="24"/>
              </w:rPr>
            </w:pPr>
            <w:r>
              <w:rPr>
                <w:rFonts w:hint="eastAsia" w:ascii="宋体" w:hAnsi="宋体" w:eastAsia="宋体" w:cs="宋体"/>
                <w:sz w:val="24"/>
              </w:rPr>
              <w:t>甲方单位：       （公章）</w:t>
            </w:r>
          </w:p>
          <w:p w14:paraId="4C87FBC4">
            <w:pPr>
              <w:spacing w:line="360" w:lineRule="auto"/>
              <w:jc w:val="left"/>
              <w:rPr>
                <w:rFonts w:hint="eastAsia" w:ascii="宋体" w:hAnsi="宋体" w:eastAsia="宋体" w:cs="宋体"/>
                <w:sz w:val="24"/>
              </w:rPr>
            </w:pPr>
            <w:r>
              <w:rPr>
                <w:rFonts w:hint="eastAsia" w:ascii="宋体" w:hAnsi="宋体" w:eastAsia="宋体" w:cs="宋体"/>
                <w:sz w:val="24"/>
              </w:rPr>
              <w:t>法定代表人：     （签章）</w:t>
            </w:r>
          </w:p>
          <w:p w14:paraId="35C6D0B3">
            <w:pPr>
              <w:spacing w:line="360" w:lineRule="auto"/>
              <w:jc w:val="left"/>
              <w:rPr>
                <w:rFonts w:hint="eastAsia" w:ascii="宋体" w:hAnsi="宋体" w:eastAsia="宋体" w:cs="宋体"/>
                <w:sz w:val="24"/>
              </w:rPr>
            </w:pPr>
            <w:r>
              <w:rPr>
                <w:rFonts w:hint="eastAsia" w:ascii="宋体" w:hAnsi="宋体" w:eastAsia="宋体" w:cs="宋体"/>
                <w:sz w:val="24"/>
              </w:rPr>
              <w:t>日  期：  年  月  日</w:t>
            </w:r>
          </w:p>
        </w:tc>
        <w:tc>
          <w:tcPr>
            <w:tcW w:w="4264" w:type="dxa"/>
          </w:tcPr>
          <w:p w14:paraId="1F848B58">
            <w:pPr>
              <w:spacing w:line="360" w:lineRule="auto"/>
              <w:jc w:val="left"/>
              <w:rPr>
                <w:rFonts w:hint="eastAsia" w:ascii="宋体" w:hAnsi="宋体" w:eastAsia="宋体" w:cs="宋体"/>
                <w:sz w:val="24"/>
              </w:rPr>
            </w:pPr>
            <w:r>
              <w:rPr>
                <w:rFonts w:hint="eastAsia" w:ascii="宋体" w:hAnsi="宋体" w:eastAsia="宋体" w:cs="宋体"/>
                <w:sz w:val="24"/>
              </w:rPr>
              <w:t>乙方单位：       （公章）</w:t>
            </w:r>
          </w:p>
          <w:p w14:paraId="4F472919">
            <w:pPr>
              <w:spacing w:line="360" w:lineRule="auto"/>
              <w:jc w:val="left"/>
              <w:rPr>
                <w:rFonts w:hint="eastAsia" w:ascii="宋体" w:hAnsi="宋体" w:eastAsia="宋体" w:cs="宋体"/>
                <w:sz w:val="24"/>
              </w:rPr>
            </w:pPr>
            <w:r>
              <w:rPr>
                <w:rFonts w:hint="eastAsia" w:ascii="宋体" w:hAnsi="宋体" w:eastAsia="宋体" w:cs="宋体"/>
                <w:sz w:val="24"/>
              </w:rPr>
              <w:t>法定代表人：     （签章）</w:t>
            </w:r>
          </w:p>
          <w:p w14:paraId="43AD3AB5">
            <w:pPr>
              <w:spacing w:line="360" w:lineRule="auto"/>
              <w:jc w:val="left"/>
              <w:rPr>
                <w:rFonts w:hint="eastAsia" w:ascii="宋体" w:hAnsi="宋体" w:eastAsia="宋体" w:cs="宋体"/>
                <w:sz w:val="24"/>
              </w:rPr>
            </w:pPr>
            <w:r>
              <w:rPr>
                <w:rFonts w:hint="eastAsia" w:ascii="宋体" w:hAnsi="宋体" w:eastAsia="宋体" w:cs="宋体"/>
                <w:sz w:val="24"/>
              </w:rPr>
              <w:t>日  期：  年  月  日</w:t>
            </w:r>
          </w:p>
        </w:tc>
      </w:tr>
    </w:tbl>
    <w:p w14:paraId="2818BA57">
      <w:pPr>
        <w:spacing w:line="360" w:lineRule="auto"/>
        <w:jc w:val="center"/>
        <w:outlineLvl w:val="1"/>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b/>
          <w:bCs/>
          <w:sz w:val="32"/>
          <w:szCs w:val="32"/>
        </w:rPr>
        <w:t>联合投标授权委托书</w:t>
      </w:r>
    </w:p>
    <w:p w14:paraId="44A886BC">
      <w:pPr>
        <w:spacing w:line="360" w:lineRule="auto"/>
        <w:jc w:val="left"/>
        <w:rPr>
          <w:rFonts w:hint="eastAsia" w:ascii="宋体" w:hAnsi="宋体" w:eastAsia="宋体" w:cs="宋体"/>
          <w:sz w:val="24"/>
        </w:rPr>
      </w:pPr>
    </w:p>
    <w:p w14:paraId="175C9C5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本授权委托书声明：根据签订的《联合投标协议书》的内容，主办人的法定代表人现授权</w:t>
      </w:r>
      <w:r>
        <w:rPr>
          <w:rFonts w:hint="eastAsia" w:ascii="宋体" w:hAnsi="宋体" w:eastAsia="宋体" w:cs="宋体"/>
          <w:sz w:val="24"/>
          <w:u w:val="single"/>
        </w:rPr>
        <w:t xml:space="preserve">   </w:t>
      </w:r>
      <w:r>
        <w:rPr>
          <w:rFonts w:hint="eastAsia" w:ascii="宋体" w:hAnsi="宋体" w:eastAsia="宋体" w:cs="宋体"/>
          <w:sz w:val="24"/>
        </w:rPr>
        <w:t>为联合投标代理人，代理人在投标、开标、评标、合同谈判过程中所签署的一切文件和处理与这有关的一切事务， 联合投标各方均予以认可并遵守。</w:t>
      </w:r>
    </w:p>
    <w:p w14:paraId="35215C66">
      <w:pPr>
        <w:spacing w:line="360" w:lineRule="auto"/>
        <w:jc w:val="left"/>
        <w:rPr>
          <w:rFonts w:hint="eastAsia" w:ascii="宋体" w:hAnsi="宋体" w:eastAsia="宋体" w:cs="宋体"/>
          <w:sz w:val="24"/>
        </w:rPr>
      </w:pPr>
      <w:r>
        <w:rPr>
          <w:rFonts w:hint="eastAsia" w:ascii="宋体" w:hAnsi="宋体" w:eastAsia="宋体" w:cs="宋体"/>
          <w:sz w:val="24"/>
        </w:rPr>
        <w:t xml:space="preserve"> 特此委托。</w:t>
      </w:r>
    </w:p>
    <w:p w14:paraId="649691F2">
      <w:pPr>
        <w:spacing w:line="360" w:lineRule="auto"/>
        <w:jc w:val="left"/>
        <w:rPr>
          <w:rFonts w:hint="eastAsia" w:ascii="宋体" w:hAnsi="宋体" w:eastAsia="宋体" w:cs="宋体"/>
          <w:sz w:val="24"/>
        </w:rPr>
      </w:pPr>
    </w:p>
    <w:p w14:paraId="1D64630B">
      <w:pPr>
        <w:spacing w:line="360" w:lineRule="auto"/>
        <w:jc w:val="left"/>
        <w:rPr>
          <w:rFonts w:hint="eastAsia" w:ascii="宋体" w:hAnsi="宋体" w:eastAsia="宋体" w:cs="宋体"/>
          <w:sz w:val="24"/>
        </w:rPr>
      </w:pPr>
      <w:r>
        <w:rPr>
          <w:rFonts w:hint="eastAsia" w:ascii="宋体" w:hAnsi="宋体" w:eastAsia="宋体" w:cs="宋体"/>
          <w:sz w:val="24"/>
        </w:rPr>
        <w:t xml:space="preserve">授权人（签名）：               </w:t>
      </w:r>
    </w:p>
    <w:p w14:paraId="60BD60F8">
      <w:pPr>
        <w:spacing w:line="360" w:lineRule="auto"/>
        <w:jc w:val="left"/>
        <w:rPr>
          <w:rFonts w:hint="eastAsia" w:ascii="宋体" w:hAnsi="宋体" w:eastAsia="宋体" w:cs="宋体"/>
          <w:sz w:val="24"/>
        </w:rPr>
      </w:pPr>
    </w:p>
    <w:p w14:paraId="333F1224">
      <w:pPr>
        <w:spacing w:line="360" w:lineRule="auto"/>
        <w:jc w:val="left"/>
        <w:rPr>
          <w:rFonts w:hint="eastAsia" w:ascii="宋体" w:hAnsi="宋体" w:eastAsia="宋体" w:cs="宋体"/>
          <w:sz w:val="24"/>
        </w:rPr>
      </w:pPr>
      <w:r>
        <w:rPr>
          <w:rFonts w:hint="eastAsia" w:ascii="宋体" w:hAnsi="宋体" w:eastAsia="宋体" w:cs="宋体"/>
          <w:sz w:val="24"/>
        </w:rPr>
        <w:t>日期：    年  月  日</w:t>
      </w:r>
    </w:p>
    <w:p w14:paraId="5B842C2E">
      <w:pPr>
        <w:spacing w:line="360" w:lineRule="auto"/>
        <w:jc w:val="left"/>
        <w:rPr>
          <w:rFonts w:hint="eastAsia" w:ascii="宋体" w:hAnsi="宋体" w:eastAsia="宋体" w:cs="宋体"/>
          <w:sz w:val="24"/>
        </w:rPr>
      </w:pPr>
    </w:p>
    <w:p w14:paraId="18A01FC6">
      <w:pPr>
        <w:spacing w:line="360" w:lineRule="auto"/>
        <w:jc w:val="left"/>
        <w:rPr>
          <w:rFonts w:hint="eastAsia" w:ascii="宋体" w:hAnsi="宋体" w:eastAsia="宋体" w:cs="宋体"/>
          <w:sz w:val="24"/>
        </w:rPr>
      </w:pPr>
      <w:r>
        <w:rPr>
          <w:rFonts w:hint="eastAsia" w:ascii="宋体" w:hAnsi="宋体" w:eastAsia="宋体" w:cs="宋体"/>
          <w:sz w:val="24"/>
        </w:rPr>
        <w:t xml:space="preserve">授权代表（签名）；              </w:t>
      </w:r>
    </w:p>
    <w:p w14:paraId="1E003060">
      <w:pPr>
        <w:spacing w:line="360" w:lineRule="auto"/>
        <w:jc w:val="left"/>
        <w:rPr>
          <w:rFonts w:hint="eastAsia" w:ascii="宋体" w:hAnsi="宋体" w:eastAsia="宋体" w:cs="宋体"/>
          <w:sz w:val="24"/>
        </w:rPr>
      </w:pPr>
    </w:p>
    <w:p w14:paraId="467D70A3">
      <w:pPr>
        <w:spacing w:line="360" w:lineRule="auto"/>
        <w:jc w:val="left"/>
        <w:rPr>
          <w:rFonts w:hint="eastAsia" w:ascii="宋体" w:hAnsi="宋体" w:eastAsia="宋体" w:cs="宋体"/>
          <w:sz w:val="24"/>
        </w:rPr>
      </w:pPr>
      <w:r>
        <w:rPr>
          <w:rFonts w:hint="eastAsia" w:ascii="宋体" w:hAnsi="宋体" w:eastAsia="宋体" w:cs="宋体"/>
          <w:sz w:val="24"/>
        </w:rPr>
        <w:t>日期：    年  月  日</w:t>
      </w:r>
    </w:p>
    <w:p w14:paraId="7A4C24BA">
      <w:pPr>
        <w:spacing w:line="360" w:lineRule="auto"/>
        <w:jc w:val="left"/>
        <w:rPr>
          <w:rFonts w:hint="eastAsia" w:ascii="宋体" w:hAnsi="宋体" w:eastAsia="宋体" w:cs="宋体"/>
          <w:sz w:val="24"/>
        </w:rPr>
      </w:pPr>
    </w:p>
    <w:p w14:paraId="5612AC00">
      <w:pPr>
        <w:spacing w:line="360" w:lineRule="auto"/>
        <w:jc w:val="left"/>
        <w:rPr>
          <w:rFonts w:hint="eastAsia" w:ascii="宋体" w:hAnsi="宋体" w:eastAsia="宋体" w:cs="宋体"/>
          <w:sz w:val="24"/>
        </w:rPr>
      </w:pPr>
    </w:p>
    <w:tbl>
      <w:tblPr>
        <w:tblStyle w:val="28"/>
        <w:tblW w:w="8528" w:type="dxa"/>
        <w:jc w:val="center"/>
        <w:tblLayout w:type="fixed"/>
        <w:tblCellMar>
          <w:top w:w="0" w:type="dxa"/>
          <w:left w:w="108" w:type="dxa"/>
          <w:bottom w:w="0" w:type="dxa"/>
          <w:right w:w="108" w:type="dxa"/>
        </w:tblCellMar>
      </w:tblPr>
      <w:tblGrid>
        <w:gridCol w:w="4264"/>
        <w:gridCol w:w="4264"/>
      </w:tblGrid>
      <w:tr w14:paraId="6AF0BD45">
        <w:tblPrEx>
          <w:tblCellMar>
            <w:top w:w="0" w:type="dxa"/>
            <w:left w:w="108" w:type="dxa"/>
            <w:bottom w:w="0" w:type="dxa"/>
            <w:right w:w="108" w:type="dxa"/>
          </w:tblCellMar>
        </w:tblPrEx>
        <w:trPr>
          <w:jc w:val="center"/>
        </w:trPr>
        <w:tc>
          <w:tcPr>
            <w:tcW w:w="4264" w:type="dxa"/>
          </w:tcPr>
          <w:p w14:paraId="2286CFCB">
            <w:pPr>
              <w:spacing w:line="360" w:lineRule="auto"/>
              <w:jc w:val="left"/>
              <w:rPr>
                <w:rFonts w:hint="eastAsia" w:ascii="宋体" w:hAnsi="宋体" w:eastAsia="宋体" w:cs="宋体"/>
                <w:sz w:val="24"/>
              </w:rPr>
            </w:pPr>
          </w:p>
          <w:p w14:paraId="6A0C4925">
            <w:pPr>
              <w:spacing w:line="360" w:lineRule="auto"/>
              <w:jc w:val="left"/>
              <w:rPr>
                <w:rFonts w:hint="eastAsia" w:ascii="宋体" w:hAnsi="宋体" w:eastAsia="宋体" w:cs="宋体"/>
                <w:sz w:val="24"/>
              </w:rPr>
            </w:pPr>
          </w:p>
          <w:p w14:paraId="1677742C">
            <w:pPr>
              <w:spacing w:line="360" w:lineRule="auto"/>
              <w:jc w:val="left"/>
              <w:rPr>
                <w:rFonts w:hint="eastAsia" w:ascii="宋体" w:hAnsi="宋体" w:eastAsia="宋体" w:cs="宋体"/>
                <w:sz w:val="24"/>
              </w:rPr>
            </w:pPr>
            <w:r>
              <w:rPr>
                <w:rFonts w:hint="eastAsia" w:ascii="宋体" w:hAnsi="宋体" w:eastAsia="宋体" w:cs="宋体"/>
                <w:sz w:val="24"/>
              </w:rPr>
              <w:t>联合体甲方单位：   （公章）</w:t>
            </w:r>
          </w:p>
          <w:p w14:paraId="437520DF">
            <w:pPr>
              <w:spacing w:line="360" w:lineRule="auto"/>
              <w:jc w:val="left"/>
              <w:rPr>
                <w:rFonts w:hint="eastAsia" w:ascii="宋体" w:hAnsi="宋体" w:eastAsia="宋体" w:cs="宋体"/>
                <w:sz w:val="24"/>
              </w:rPr>
            </w:pPr>
          </w:p>
          <w:p w14:paraId="4C69CE0F">
            <w:pPr>
              <w:spacing w:line="360" w:lineRule="auto"/>
              <w:jc w:val="left"/>
              <w:rPr>
                <w:rFonts w:hint="eastAsia" w:ascii="宋体" w:hAnsi="宋体" w:eastAsia="宋体" w:cs="宋体"/>
                <w:sz w:val="24"/>
              </w:rPr>
            </w:pPr>
          </w:p>
          <w:p w14:paraId="3E148DE1">
            <w:pPr>
              <w:spacing w:line="360" w:lineRule="auto"/>
              <w:jc w:val="left"/>
              <w:rPr>
                <w:rFonts w:hint="eastAsia" w:ascii="宋体" w:hAnsi="宋体" w:eastAsia="宋体" w:cs="宋体"/>
                <w:sz w:val="24"/>
              </w:rPr>
            </w:pPr>
            <w:r>
              <w:rPr>
                <w:rFonts w:hint="eastAsia" w:ascii="宋体" w:hAnsi="宋体" w:eastAsia="宋体" w:cs="宋体"/>
                <w:sz w:val="24"/>
              </w:rPr>
              <w:t>法定代表人：     （签章）</w:t>
            </w:r>
          </w:p>
          <w:p w14:paraId="764AEA2E">
            <w:pPr>
              <w:spacing w:line="360" w:lineRule="auto"/>
              <w:jc w:val="left"/>
              <w:rPr>
                <w:rFonts w:hint="eastAsia" w:ascii="宋体" w:hAnsi="宋体" w:eastAsia="宋体" w:cs="宋体"/>
                <w:sz w:val="24"/>
              </w:rPr>
            </w:pPr>
          </w:p>
          <w:p w14:paraId="31F06523">
            <w:pPr>
              <w:spacing w:line="360" w:lineRule="auto"/>
              <w:jc w:val="left"/>
              <w:rPr>
                <w:rFonts w:hint="eastAsia" w:ascii="宋体" w:hAnsi="宋体" w:eastAsia="宋体" w:cs="宋体"/>
                <w:sz w:val="24"/>
              </w:rPr>
            </w:pPr>
          </w:p>
          <w:p w14:paraId="798A82B6">
            <w:pPr>
              <w:spacing w:line="360" w:lineRule="auto"/>
              <w:jc w:val="left"/>
              <w:rPr>
                <w:rFonts w:hint="eastAsia" w:ascii="宋体" w:hAnsi="宋体" w:eastAsia="宋体" w:cs="宋体"/>
                <w:sz w:val="24"/>
              </w:rPr>
            </w:pPr>
            <w:r>
              <w:rPr>
                <w:rFonts w:hint="eastAsia" w:ascii="宋体" w:hAnsi="宋体" w:eastAsia="宋体" w:cs="宋体"/>
                <w:sz w:val="24"/>
              </w:rPr>
              <w:t>日  期：  年  月  日</w:t>
            </w:r>
          </w:p>
        </w:tc>
        <w:tc>
          <w:tcPr>
            <w:tcW w:w="4264" w:type="dxa"/>
          </w:tcPr>
          <w:p w14:paraId="0BEEEF2C">
            <w:pPr>
              <w:spacing w:line="360" w:lineRule="auto"/>
              <w:jc w:val="left"/>
              <w:rPr>
                <w:rFonts w:hint="eastAsia" w:ascii="宋体" w:hAnsi="宋体" w:eastAsia="宋体" w:cs="宋体"/>
                <w:sz w:val="24"/>
              </w:rPr>
            </w:pPr>
          </w:p>
          <w:p w14:paraId="035B3357">
            <w:pPr>
              <w:spacing w:line="360" w:lineRule="auto"/>
              <w:jc w:val="left"/>
              <w:rPr>
                <w:rFonts w:hint="eastAsia" w:ascii="宋体" w:hAnsi="宋体" w:eastAsia="宋体" w:cs="宋体"/>
                <w:sz w:val="24"/>
              </w:rPr>
            </w:pPr>
          </w:p>
          <w:p w14:paraId="177E31E4">
            <w:pPr>
              <w:spacing w:line="360" w:lineRule="auto"/>
              <w:jc w:val="left"/>
              <w:rPr>
                <w:rFonts w:hint="eastAsia" w:ascii="宋体" w:hAnsi="宋体" w:eastAsia="宋体" w:cs="宋体"/>
                <w:sz w:val="24"/>
              </w:rPr>
            </w:pPr>
            <w:r>
              <w:rPr>
                <w:rFonts w:hint="eastAsia" w:ascii="宋体" w:hAnsi="宋体" w:eastAsia="宋体" w:cs="宋体"/>
                <w:sz w:val="24"/>
              </w:rPr>
              <w:t>联合体乙方单位：   （公章）</w:t>
            </w:r>
          </w:p>
          <w:p w14:paraId="148E8AFA">
            <w:pPr>
              <w:spacing w:line="360" w:lineRule="auto"/>
              <w:jc w:val="left"/>
              <w:rPr>
                <w:rFonts w:hint="eastAsia" w:ascii="宋体" w:hAnsi="宋体" w:eastAsia="宋体" w:cs="宋体"/>
                <w:sz w:val="24"/>
              </w:rPr>
            </w:pPr>
          </w:p>
          <w:p w14:paraId="6D37F92F">
            <w:pPr>
              <w:spacing w:line="360" w:lineRule="auto"/>
              <w:jc w:val="left"/>
              <w:rPr>
                <w:rFonts w:hint="eastAsia" w:ascii="宋体" w:hAnsi="宋体" w:eastAsia="宋体" w:cs="宋体"/>
                <w:sz w:val="24"/>
              </w:rPr>
            </w:pPr>
          </w:p>
          <w:p w14:paraId="0975F5AF">
            <w:pPr>
              <w:spacing w:line="360" w:lineRule="auto"/>
              <w:jc w:val="left"/>
              <w:rPr>
                <w:rFonts w:hint="eastAsia" w:ascii="宋体" w:hAnsi="宋体" w:eastAsia="宋体" w:cs="宋体"/>
                <w:sz w:val="24"/>
              </w:rPr>
            </w:pPr>
            <w:r>
              <w:rPr>
                <w:rFonts w:hint="eastAsia" w:ascii="宋体" w:hAnsi="宋体" w:eastAsia="宋体" w:cs="宋体"/>
                <w:sz w:val="24"/>
              </w:rPr>
              <w:t>法定代表人：     （签章）</w:t>
            </w:r>
          </w:p>
          <w:p w14:paraId="38A9228C">
            <w:pPr>
              <w:spacing w:line="360" w:lineRule="auto"/>
              <w:jc w:val="left"/>
              <w:rPr>
                <w:rFonts w:hint="eastAsia" w:ascii="宋体" w:hAnsi="宋体" w:eastAsia="宋体" w:cs="宋体"/>
                <w:sz w:val="24"/>
              </w:rPr>
            </w:pPr>
          </w:p>
          <w:p w14:paraId="4DC37184">
            <w:pPr>
              <w:spacing w:line="360" w:lineRule="auto"/>
              <w:jc w:val="left"/>
              <w:rPr>
                <w:rFonts w:hint="eastAsia" w:ascii="宋体" w:hAnsi="宋体" w:eastAsia="宋体" w:cs="宋体"/>
                <w:sz w:val="24"/>
              </w:rPr>
            </w:pPr>
          </w:p>
          <w:p w14:paraId="18856582">
            <w:pPr>
              <w:spacing w:line="360" w:lineRule="auto"/>
              <w:jc w:val="left"/>
              <w:rPr>
                <w:rFonts w:hint="eastAsia" w:ascii="宋体" w:hAnsi="宋体" w:eastAsia="宋体" w:cs="宋体"/>
                <w:sz w:val="24"/>
              </w:rPr>
            </w:pPr>
            <w:r>
              <w:rPr>
                <w:rFonts w:hint="eastAsia" w:ascii="宋体" w:hAnsi="宋体" w:eastAsia="宋体" w:cs="宋体"/>
                <w:sz w:val="24"/>
              </w:rPr>
              <w:t>日  期：  年  月  日</w:t>
            </w:r>
          </w:p>
        </w:tc>
      </w:tr>
    </w:tbl>
    <w:p w14:paraId="5BDF038E">
      <w:pPr>
        <w:rPr>
          <w:rFonts w:hint="eastAsia" w:ascii="宋体" w:hAnsi="宋体" w:eastAsia="宋体" w:cs="宋体"/>
          <w:b/>
          <w:bCs/>
          <w:sz w:val="36"/>
          <w:szCs w:val="36"/>
        </w:rPr>
      </w:pPr>
      <w:r>
        <w:rPr>
          <w:rFonts w:hint="eastAsia" w:ascii="宋体" w:hAnsi="宋体" w:eastAsia="宋体" w:cs="宋体"/>
          <w:b/>
          <w:bCs/>
          <w:sz w:val="36"/>
          <w:szCs w:val="36"/>
        </w:rPr>
        <w:br w:type="page"/>
      </w:r>
    </w:p>
    <w:p w14:paraId="6A8F39B3">
      <w:pPr>
        <w:spacing w:line="360" w:lineRule="auto"/>
        <w:jc w:val="center"/>
        <w:outlineLvl w:val="1"/>
        <w:rPr>
          <w:rFonts w:hint="eastAsia" w:ascii="宋体" w:hAnsi="宋体" w:eastAsia="宋体" w:cs="宋体"/>
          <w:sz w:val="36"/>
          <w:szCs w:val="36"/>
        </w:rPr>
      </w:pPr>
      <w:r>
        <w:rPr>
          <w:rFonts w:hint="eastAsia" w:ascii="宋体" w:hAnsi="宋体" w:eastAsia="宋体" w:cs="宋体"/>
          <w:b/>
          <w:bCs/>
          <w:sz w:val="36"/>
          <w:szCs w:val="36"/>
        </w:rPr>
        <w:t>投标人情况介绍</w:t>
      </w:r>
    </w:p>
    <w:p w14:paraId="5CCC8CF5">
      <w:pPr>
        <w:spacing w:line="360" w:lineRule="auto"/>
        <w:rPr>
          <w:rFonts w:hint="eastAsia" w:ascii="宋体" w:hAnsi="宋体" w:eastAsia="宋体" w:cs="宋体"/>
          <w:sz w:val="24"/>
        </w:rPr>
      </w:pPr>
      <w:r>
        <w:rPr>
          <w:rFonts w:hint="eastAsia" w:ascii="宋体" w:hAnsi="宋体" w:eastAsia="宋体" w:cs="宋体"/>
          <w:sz w:val="24"/>
        </w:rPr>
        <w:t>1、总体介绍、技术经济实力、服务能力、资格、资质、质量认证与本项目类似的实际项目的介绍、业绩等相关情况。</w:t>
      </w:r>
    </w:p>
    <w:p w14:paraId="235DB8B4">
      <w:pPr>
        <w:spacing w:line="360" w:lineRule="auto"/>
        <w:rPr>
          <w:rFonts w:hint="eastAsia" w:ascii="宋体" w:hAnsi="宋体" w:eastAsia="宋体" w:cs="宋体"/>
          <w:sz w:val="24"/>
        </w:rPr>
      </w:pPr>
      <w:r>
        <w:rPr>
          <w:rFonts w:hint="eastAsia" w:ascii="宋体" w:hAnsi="宋体" w:eastAsia="宋体" w:cs="宋体"/>
          <w:sz w:val="24"/>
        </w:rPr>
        <w:t>2、最近的财务报表、业绩表（含用户的联系方式）等相关说明资料复印件加盖电子签章后附后。</w:t>
      </w:r>
    </w:p>
    <w:p w14:paraId="5EB15A98">
      <w:pPr>
        <w:spacing w:line="360" w:lineRule="auto"/>
        <w:rPr>
          <w:rFonts w:hint="eastAsia" w:ascii="宋体" w:hAnsi="宋体" w:eastAsia="宋体" w:cs="宋体"/>
          <w:sz w:val="24"/>
        </w:rPr>
      </w:pPr>
      <w:r>
        <w:rPr>
          <w:rFonts w:hint="eastAsia" w:ascii="宋体" w:hAnsi="宋体" w:eastAsia="宋体" w:cs="宋体"/>
          <w:sz w:val="24"/>
        </w:rPr>
        <w:t>3、投标人认为有必要的声明和文件（荣誉证书等），复印件加盖电子签章后附后。</w:t>
      </w:r>
    </w:p>
    <w:p w14:paraId="0B268A04">
      <w:pPr>
        <w:spacing w:line="360" w:lineRule="auto"/>
        <w:rPr>
          <w:rFonts w:hint="eastAsia" w:ascii="宋体" w:hAnsi="宋体" w:eastAsia="宋体" w:cs="宋体"/>
          <w:sz w:val="24"/>
        </w:rPr>
      </w:pPr>
      <w:r>
        <w:rPr>
          <w:rFonts w:hint="eastAsia" w:ascii="宋体" w:hAnsi="宋体" w:eastAsia="宋体" w:cs="宋体"/>
          <w:sz w:val="24"/>
        </w:rPr>
        <w:br w:type="page"/>
      </w:r>
    </w:p>
    <w:p w14:paraId="3D8B5CA1">
      <w:pPr>
        <w:pStyle w:val="15"/>
        <w:spacing w:line="360" w:lineRule="auto"/>
        <w:jc w:val="center"/>
        <w:outlineLvl w:val="1"/>
        <w:rPr>
          <w:rFonts w:ascii="Times New Roman" w:hAnsi="Times New Roman" w:cs="Times New Roman" w:eastAsiaTheme="minorEastAsia"/>
          <w:b/>
          <w:bCs/>
          <w:sz w:val="36"/>
        </w:rPr>
      </w:pPr>
      <w:r>
        <w:rPr>
          <w:rFonts w:ascii="Times New Roman" w:hAnsi="Times New Roman" w:cs="Times New Roman" w:eastAsiaTheme="minorEastAsia"/>
          <w:b/>
          <w:bCs/>
          <w:sz w:val="36"/>
        </w:rPr>
        <w:t>项目实施方案</w:t>
      </w:r>
    </w:p>
    <w:p w14:paraId="76EEEB69">
      <w:r>
        <w:rPr>
          <w:rFonts w:ascii="Times New Roman" w:hAnsi="Times New Roman" w:cs="Times New Roman"/>
          <w:sz w:val="24"/>
        </w:rPr>
        <w:t>投标人名称（</w:t>
      </w:r>
      <w:r>
        <w:rPr>
          <w:rFonts w:hint="eastAsia" w:ascii="Times New Roman" w:hAnsi="Times New Roman" w:eastAsia="宋体" w:cs="Times New Roman"/>
          <w:sz w:val="24"/>
        </w:rPr>
        <w:t>电子签章</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采购编号：</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p>
    <w:p w14:paraId="29FC1C2F">
      <w:pPr>
        <w:pStyle w:val="15"/>
        <w:spacing w:line="360" w:lineRule="auto"/>
        <w:rPr>
          <w:rFonts w:ascii="Times New Roman" w:hAnsi="Times New Roman"/>
          <w:bCs/>
          <w:sz w:val="24"/>
          <w:szCs w:val="24"/>
        </w:rPr>
      </w:pPr>
    </w:p>
    <w:p w14:paraId="3CD41530">
      <w:pPr>
        <w:pStyle w:val="15"/>
        <w:spacing w:line="360" w:lineRule="auto"/>
        <w:rPr>
          <w:rFonts w:ascii="Times New Roman" w:hAnsi="Times New Roman"/>
          <w:bCs/>
          <w:sz w:val="24"/>
          <w:szCs w:val="24"/>
        </w:rPr>
      </w:pPr>
    </w:p>
    <w:p w14:paraId="488A31D3">
      <w:pPr>
        <w:pStyle w:val="15"/>
        <w:spacing w:line="360" w:lineRule="auto"/>
        <w:rPr>
          <w:rFonts w:ascii="Times New Roman" w:hAnsi="Times New Roman"/>
          <w:bCs/>
          <w:sz w:val="24"/>
          <w:szCs w:val="24"/>
        </w:rPr>
      </w:pPr>
    </w:p>
    <w:p w14:paraId="7970BE89">
      <w:pPr>
        <w:pStyle w:val="15"/>
        <w:spacing w:line="360" w:lineRule="auto"/>
        <w:rPr>
          <w:rFonts w:ascii="Times New Roman" w:hAnsi="Times New Roman"/>
          <w:bCs/>
          <w:sz w:val="24"/>
          <w:szCs w:val="24"/>
        </w:rPr>
      </w:pPr>
    </w:p>
    <w:p w14:paraId="66EA69D3">
      <w:pPr>
        <w:pStyle w:val="15"/>
        <w:spacing w:line="360" w:lineRule="auto"/>
        <w:rPr>
          <w:rFonts w:ascii="Times New Roman" w:hAnsi="Times New Roman"/>
          <w:bCs/>
          <w:sz w:val="24"/>
          <w:szCs w:val="24"/>
        </w:rPr>
      </w:pPr>
    </w:p>
    <w:p w14:paraId="02F730B0">
      <w:pPr>
        <w:pStyle w:val="15"/>
        <w:spacing w:line="360" w:lineRule="auto"/>
        <w:rPr>
          <w:rFonts w:ascii="Times New Roman" w:hAnsi="Times New Roman"/>
          <w:bCs/>
          <w:sz w:val="24"/>
          <w:szCs w:val="24"/>
        </w:rPr>
      </w:pPr>
    </w:p>
    <w:p w14:paraId="6C9899A4">
      <w:pPr>
        <w:pStyle w:val="15"/>
        <w:spacing w:line="360" w:lineRule="auto"/>
        <w:rPr>
          <w:rFonts w:ascii="Times New Roman" w:hAnsi="Times New Roman"/>
          <w:bCs/>
          <w:sz w:val="24"/>
          <w:szCs w:val="24"/>
        </w:rPr>
      </w:pPr>
    </w:p>
    <w:p w14:paraId="538B2689">
      <w:pPr>
        <w:pStyle w:val="15"/>
        <w:spacing w:line="360" w:lineRule="auto"/>
        <w:rPr>
          <w:rFonts w:ascii="Times New Roman" w:hAnsi="Times New Roman"/>
          <w:bCs/>
          <w:sz w:val="24"/>
          <w:szCs w:val="24"/>
        </w:rPr>
      </w:pPr>
      <w:r>
        <w:rPr>
          <w:rFonts w:ascii="Times New Roman" w:hAnsi="Times New Roman"/>
          <w:bCs/>
          <w:sz w:val="24"/>
          <w:szCs w:val="24"/>
        </w:rPr>
        <w:t>（包括主要工作内容、投入本项目人员及机构设置及任务分配、实施方案、成果目标、进度安排、质量保证等）</w:t>
      </w:r>
    </w:p>
    <w:p w14:paraId="55E5DA05">
      <w:pPr>
        <w:pStyle w:val="15"/>
        <w:spacing w:line="360" w:lineRule="auto"/>
        <w:jc w:val="center"/>
        <w:rPr>
          <w:rFonts w:ascii="Times New Roman" w:hAnsi="Times New Roman"/>
          <w:b/>
          <w:bCs/>
          <w:sz w:val="44"/>
          <w:szCs w:val="44"/>
        </w:rPr>
      </w:pPr>
    </w:p>
    <w:p w14:paraId="473CF587">
      <w:pPr>
        <w:pStyle w:val="15"/>
        <w:spacing w:line="360" w:lineRule="auto"/>
        <w:jc w:val="center"/>
        <w:rPr>
          <w:rFonts w:ascii="Times New Roman" w:hAnsi="Times New Roman"/>
          <w:b/>
          <w:bCs/>
          <w:sz w:val="44"/>
          <w:szCs w:val="44"/>
        </w:rPr>
      </w:pPr>
    </w:p>
    <w:p w14:paraId="6F586A35">
      <w:pPr>
        <w:pStyle w:val="15"/>
        <w:spacing w:line="360" w:lineRule="auto"/>
        <w:jc w:val="center"/>
        <w:rPr>
          <w:rFonts w:ascii="Times New Roman" w:hAnsi="Times New Roman"/>
          <w:b/>
          <w:bCs/>
          <w:sz w:val="44"/>
          <w:szCs w:val="44"/>
        </w:rPr>
      </w:pPr>
    </w:p>
    <w:p w14:paraId="7DF15037">
      <w:pPr>
        <w:pStyle w:val="15"/>
        <w:spacing w:line="360" w:lineRule="auto"/>
        <w:jc w:val="center"/>
        <w:rPr>
          <w:rFonts w:ascii="Times New Roman" w:hAnsi="Times New Roman"/>
          <w:b/>
          <w:bCs/>
          <w:sz w:val="44"/>
          <w:szCs w:val="44"/>
        </w:rPr>
      </w:pPr>
    </w:p>
    <w:p w14:paraId="6F3240C1">
      <w:pPr>
        <w:pStyle w:val="15"/>
        <w:spacing w:line="360" w:lineRule="auto"/>
        <w:jc w:val="center"/>
        <w:rPr>
          <w:rFonts w:ascii="Times New Roman" w:hAnsi="Times New Roman"/>
          <w:b/>
          <w:bCs/>
          <w:sz w:val="44"/>
          <w:szCs w:val="44"/>
        </w:rPr>
      </w:pPr>
    </w:p>
    <w:p w14:paraId="3988D7B8">
      <w:pPr>
        <w:pStyle w:val="15"/>
        <w:spacing w:line="360" w:lineRule="auto"/>
        <w:jc w:val="center"/>
        <w:rPr>
          <w:rFonts w:ascii="Times New Roman" w:hAnsi="Times New Roman"/>
          <w:b/>
          <w:bCs/>
          <w:sz w:val="44"/>
          <w:szCs w:val="44"/>
        </w:rPr>
      </w:pPr>
    </w:p>
    <w:p w14:paraId="1613A9B6">
      <w:pPr>
        <w:pStyle w:val="15"/>
        <w:spacing w:line="360" w:lineRule="auto"/>
        <w:jc w:val="center"/>
        <w:rPr>
          <w:rFonts w:ascii="Times New Roman" w:hAnsi="Times New Roman"/>
          <w:b/>
          <w:bCs/>
          <w:sz w:val="44"/>
          <w:szCs w:val="44"/>
        </w:rPr>
      </w:pPr>
    </w:p>
    <w:p w14:paraId="674166DA">
      <w:pPr>
        <w:pStyle w:val="15"/>
        <w:spacing w:line="360" w:lineRule="auto"/>
        <w:rPr>
          <w:rFonts w:ascii="Times New Roman" w:hAnsi="Times New Roman"/>
          <w:b/>
          <w:bCs/>
          <w:sz w:val="44"/>
          <w:szCs w:val="44"/>
        </w:rPr>
      </w:pPr>
    </w:p>
    <w:p w14:paraId="521BED77">
      <w:pPr>
        <w:pStyle w:val="15"/>
        <w:spacing w:line="360" w:lineRule="auto"/>
        <w:jc w:val="center"/>
        <w:rPr>
          <w:rFonts w:ascii="Times New Roman" w:hAnsi="Times New Roman"/>
          <w:b/>
          <w:bCs/>
          <w:sz w:val="44"/>
          <w:szCs w:val="44"/>
        </w:rPr>
      </w:pPr>
    </w:p>
    <w:p w14:paraId="599F515E">
      <w:pPr>
        <w:pStyle w:val="15"/>
        <w:spacing w:line="360" w:lineRule="auto"/>
        <w:rPr>
          <w:rFonts w:ascii="Times New Roman" w:hAnsi="Times New Roman"/>
          <w:spacing w:val="20"/>
          <w:sz w:val="24"/>
          <w:u w:val="single" w:color="000000"/>
        </w:rPr>
      </w:pPr>
      <w:r>
        <w:rPr>
          <w:rFonts w:ascii="Times New Roman" w:hAnsi="Times New Roman"/>
          <w:bCs/>
          <w:sz w:val="24"/>
          <w:szCs w:val="24"/>
        </w:rPr>
        <w:t>日    期：</w:t>
      </w:r>
      <w:r>
        <w:rPr>
          <w:rFonts w:ascii="Times New Roman" w:hAnsi="Times New Roman"/>
          <w:b/>
          <w:bCs/>
          <w:sz w:val="44"/>
          <w:szCs w:val="44"/>
        </w:rPr>
        <w:t xml:space="preserve">     </w:t>
      </w:r>
    </w:p>
    <w:p w14:paraId="67A4EE9D">
      <w:pPr>
        <w:pStyle w:val="15"/>
        <w:spacing w:line="460" w:lineRule="exact"/>
        <w:ind w:left="239" w:leftChars="114"/>
        <w:jc w:val="center"/>
        <w:rPr>
          <w:rFonts w:hint="eastAsia" w:ascii="Times New Roman" w:hAnsi="宋体"/>
          <w:b/>
          <w:bCs/>
          <w:sz w:val="36"/>
          <w:szCs w:val="36"/>
        </w:rPr>
      </w:pPr>
    </w:p>
    <w:p w14:paraId="50AC906C">
      <w:pPr>
        <w:rPr>
          <w:rFonts w:hint="eastAsia" w:ascii="Times New Roman" w:hAnsi="宋体"/>
          <w:b/>
          <w:bCs/>
          <w:sz w:val="36"/>
          <w:szCs w:val="36"/>
        </w:rPr>
      </w:pPr>
      <w:r>
        <w:rPr>
          <w:rFonts w:ascii="Times New Roman" w:hAnsi="宋体"/>
          <w:b/>
          <w:bCs/>
          <w:sz w:val="36"/>
          <w:szCs w:val="36"/>
        </w:rPr>
        <w:br w:type="page"/>
      </w:r>
    </w:p>
    <w:p w14:paraId="003245A0">
      <w:pPr>
        <w:pStyle w:val="15"/>
        <w:spacing w:line="460" w:lineRule="exact"/>
        <w:ind w:left="239" w:leftChars="114"/>
        <w:jc w:val="center"/>
        <w:outlineLvl w:val="1"/>
        <w:rPr>
          <w:rFonts w:hint="eastAsia" w:ascii="Times New Roman" w:hAnsi="宋体"/>
          <w:b/>
          <w:bCs/>
          <w:sz w:val="36"/>
          <w:szCs w:val="36"/>
        </w:rPr>
      </w:pPr>
      <w:r>
        <w:rPr>
          <w:rFonts w:ascii="Times New Roman" w:hAnsi="宋体"/>
          <w:b/>
          <w:bCs/>
          <w:sz w:val="36"/>
          <w:szCs w:val="36"/>
        </w:rPr>
        <w:t>拟投入的项目负责人简历表</w:t>
      </w:r>
    </w:p>
    <w:p w14:paraId="5D952553">
      <w:pPr>
        <w:rPr>
          <w:rFonts w:ascii="Times New Roman" w:hAnsi="Times New Roman" w:cs="Times New Roman"/>
          <w:sz w:val="24"/>
        </w:rPr>
      </w:pPr>
    </w:p>
    <w:p w14:paraId="377E5F9E">
      <w:r>
        <w:rPr>
          <w:rFonts w:ascii="Times New Roman" w:hAnsi="Times New Roman" w:cs="Times New Roman"/>
          <w:sz w:val="24"/>
        </w:rPr>
        <w:t>投标人名称（</w:t>
      </w:r>
      <w:r>
        <w:rPr>
          <w:rFonts w:hint="eastAsia" w:ascii="Times New Roman" w:hAnsi="Times New Roman" w:eastAsia="宋体" w:cs="Times New Roman"/>
          <w:sz w:val="24"/>
        </w:rPr>
        <w:t>电子签章</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采购编号：</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p>
    <w:p w14:paraId="3F8A4308"/>
    <w:tbl>
      <w:tblPr>
        <w:tblStyle w:val="28"/>
        <w:tblW w:w="0" w:type="auto"/>
        <w:jc w:val="center"/>
        <w:tblLayout w:type="fixed"/>
        <w:tblCellMar>
          <w:top w:w="57" w:type="dxa"/>
          <w:left w:w="57" w:type="dxa"/>
          <w:bottom w:w="57" w:type="dxa"/>
          <w:right w:w="57" w:type="dxa"/>
        </w:tblCellMar>
      </w:tblPr>
      <w:tblGrid>
        <w:gridCol w:w="1950"/>
        <w:gridCol w:w="1889"/>
        <w:gridCol w:w="730"/>
        <w:gridCol w:w="424"/>
        <w:gridCol w:w="296"/>
        <w:gridCol w:w="720"/>
        <w:gridCol w:w="180"/>
        <w:gridCol w:w="616"/>
        <w:gridCol w:w="644"/>
        <w:gridCol w:w="2249"/>
      </w:tblGrid>
      <w:tr w14:paraId="13D9225D">
        <w:tblPrEx>
          <w:tblCellMar>
            <w:top w:w="57" w:type="dxa"/>
            <w:left w:w="57" w:type="dxa"/>
            <w:bottom w:w="57" w:type="dxa"/>
            <w:right w:w="57" w:type="dxa"/>
          </w:tblCellMar>
        </w:tblPrEx>
        <w:trPr>
          <w:trHeight w:val="743" w:hRule="atLeast"/>
          <w:jc w:val="center"/>
        </w:trPr>
        <w:tc>
          <w:tcPr>
            <w:tcW w:w="1950" w:type="dxa"/>
            <w:tcBorders>
              <w:top w:val="single" w:color="auto" w:sz="6" w:space="0"/>
              <w:left w:val="single" w:color="auto" w:sz="6" w:space="0"/>
              <w:bottom w:val="single" w:color="auto" w:sz="6" w:space="0"/>
              <w:right w:val="single" w:color="auto" w:sz="6" w:space="0"/>
            </w:tcBorders>
            <w:vAlign w:val="center"/>
          </w:tcPr>
          <w:p w14:paraId="49712D9C">
            <w:pPr>
              <w:snapToGrid w:val="0"/>
              <w:rPr>
                <w:sz w:val="24"/>
                <w:szCs w:val="24"/>
              </w:rPr>
            </w:pPr>
            <w:r>
              <w:rPr>
                <w:rFonts w:hAnsi="宋体"/>
                <w:sz w:val="24"/>
                <w:szCs w:val="24"/>
              </w:rPr>
              <w:t>项目负责人姓名</w:t>
            </w:r>
          </w:p>
        </w:tc>
        <w:tc>
          <w:tcPr>
            <w:tcW w:w="1889" w:type="dxa"/>
            <w:tcBorders>
              <w:top w:val="single" w:color="auto" w:sz="6" w:space="0"/>
              <w:left w:val="single" w:color="auto" w:sz="6" w:space="0"/>
              <w:bottom w:val="single" w:color="auto" w:sz="6" w:space="0"/>
              <w:right w:val="single" w:color="auto" w:sz="6" w:space="0"/>
            </w:tcBorders>
            <w:vAlign w:val="center"/>
          </w:tcPr>
          <w:p w14:paraId="1BC73987">
            <w:pPr>
              <w:snapToGrid w:val="0"/>
              <w:jc w:val="center"/>
              <w:rPr>
                <w:sz w:val="24"/>
                <w:szCs w:val="24"/>
              </w:rPr>
            </w:pPr>
          </w:p>
        </w:tc>
        <w:tc>
          <w:tcPr>
            <w:tcW w:w="730" w:type="dxa"/>
            <w:tcBorders>
              <w:top w:val="single" w:color="auto" w:sz="6" w:space="0"/>
              <w:left w:val="single" w:color="auto" w:sz="6" w:space="0"/>
              <w:bottom w:val="single" w:color="auto" w:sz="6" w:space="0"/>
              <w:right w:val="single" w:color="auto" w:sz="6" w:space="0"/>
            </w:tcBorders>
            <w:vAlign w:val="center"/>
          </w:tcPr>
          <w:p w14:paraId="4809D088">
            <w:pPr>
              <w:snapToGrid w:val="0"/>
              <w:jc w:val="center"/>
              <w:rPr>
                <w:sz w:val="24"/>
                <w:szCs w:val="24"/>
              </w:rPr>
            </w:pPr>
            <w:r>
              <w:rPr>
                <w:rFonts w:hAnsi="宋体"/>
                <w:sz w:val="24"/>
                <w:szCs w:val="24"/>
              </w:rPr>
              <w:t>性别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5326CA40">
            <w:pPr>
              <w:snapToGrid w:val="0"/>
              <w:jc w:val="center"/>
              <w:rPr>
                <w:sz w:val="24"/>
                <w:szCs w:val="24"/>
              </w:rPr>
            </w:pPr>
          </w:p>
        </w:tc>
        <w:tc>
          <w:tcPr>
            <w:tcW w:w="720" w:type="dxa"/>
            <w:tcBorders>
              <w:top w:val="single" w:color="auto" w:sz="6" w:space="0"/>
              <w:left w:val="single" w:color="auto" w:sz="6" w:space="0"/>
              <w:bottom w:val="single" w:color="auto" w:sz="6" w:space="0"/>
              <w:right w:val="single" w:color="auto" w:sz="6" w:space="0"/>
            </w:tcBorders>
            <w:vAlign w:val="center"/>
          </w:tcPr>
          <w:p w14:paraId="285F0806">
            <w:pPr>
              <w:snapToGrid w:val="0"/>
              <w:jc w:val="center"/>
              <w:rPr>
                <w:sz w:val="24"/>
                <w:szCs w:val="24"/>
              </w:rPr>
            </w:pPr>
            <w:r>
              <w:rPr>
                <w:rFonts w:hAnsi="宋体"/>
                <w:sz w:val="24"/>
                <w:szCs w:val="24"/>
              </w:rPr>
              <w:t>年龄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52C96172">
            <w:pPr>
              <w:snapToGrid w:val="0"/>
              <w:jc w:val="center"/>
              <w:rPr>
                <w:sz w:val="24"/>
                <w:szCs w:val="24"/>
              </w:rPr>
            </w:pPr>
          </w:p>
        </w:tc>
        <w:tc>
          <w:tcPr>
            <w:tcW w:w="644" w:type="dxa"/>
            <w:tcBorders>
              <w:top w:val="single" w:color="auto" w:sz="6" w:space="0"/>
              <w:left w:val="single" w:color="auto" w:sz="6" w:space="0"/>
              <w:bottom w:val="single" w:color="auto" w:sz="6" w:space="0"/>
              <w:right w:val="single" w:color="auto" w:sz="6" w:space="0"/>
            </w:tcBorders>
            <w:vAlign w:val="center"/>
          </w:tcPr>
          <w:p w14:paraId="7690F44A">
            <w:pPr>
              <w:snapToGrid w:val="0"/>
              <w:jc w:val="center"/>
              <w:rPr>
                <w:sz w:val="24"/>
                <w:szCs w:val="24"/>
              </w:rPr>
            </w:pPr>
            <w:r>
              <w:rPr>
                <w:rFonts w:hAnsi="宋体"/>
                <w:sz w:val="24"/>
                <w:szCs w:val="24"/>
              </w:rPr>
              <w:t>学历</w:t>
            </w:r>
          </w:p>
        </w:tc>
        <w:tc>
          <w:tcPr>
            <w:tcW w:w="2249" w:type="dxa"/>
            <w:tcBorders>
              <w:top w:val="single" w:color="auto" w:sz="6" w:space="0"/>
              <w:left w:val="single" w:color="auto" w:sz="6" w:space="0"/>
              <w:bottom w:val="single" w:color="auto" w:sz="6" w:space="0"/>
              <w:right w:val="single" w:color="auto" w:sz="6" w:space="0"/>
            </w:tcBorders>
            <w:vAlign w:val="center"/>
          </w:tcPr>
          <w:p w14:paraId="6DDA202F">
            <w:pPr>
              <w:snapToGrid w:val="0"/>
              <w:jc w:val="center"/>
              <w:rPr>
                <w:sz w:val="24"/>
                <w:szCs w:val="24"/>
              </w:rPr>
            </w:pPr>
          </w:p>
        </w:tc>
      </w:tr>
      <w:tr w14:paraId="454BA17C">
        <w:tblPrEx>
          <w:tblCellMar>
            <w:top w:w="57" w:type="dxa"/>
            <w:left w:w="57" w:type="dxa"/>
            <w:bottom w:w="57" w:type="dxa"/>
            <w:right w:w="57" w:type="dxa"/>
          </w:tblCellMar>
        </w:tblPrEx>
        <w:trPr>
          <w:trHeight w:val="490" w:hRule="atLeast"/>
          <w:jc w:val="center"/>
        </w:trPr>
        <w:tc>
          <w:tcPr>
            <w:tcW w:w="1950" w:type="dxa"/>
            <w:tcBorders>
              <w:top w:val="single" w:color="auto" w:sz="6" w:space="0"/>
              <w:left w:val="single" w:color="auto" w:sz="6" w:space="0"/>
              <w:bottom w:val="single" w:color="auto" w:sz="6" w:space="0"/>
              <w:right w:val="single" w:color="auto" w:sz="6" w:space="0"/>
            </w:tcBorders>
            <w:vAlign w:val="center"/>
          </w:tcPr>
          <w:p w14:paraId="0C34C8B2">
            <w:pPr>
              <w:snapToGrid w:val="0"/>
              <w:jc w:val="distribute"/>
              <w:rPr>
                <w:sz w:val="24"/>
                <w:szCs w:val="24"/>
              </w:rPr>
            </w:pPr>
            <w:r>
              <w:rPr>
                <w:rFonts w:hAnsi="宋体"/>
                <w:sz w:val="24"/>
                <w:szCs w:val="24"/>
              </w:rPr>
              <w:t>行政职务</w:t>
            </w:r>
          </w:p>
        </w:tc>
        <w:tc>
          <w:tcPr>
            <w:tcW w:w="1889" w:type="dxa"/>
            <w:tcBorders>
              <w:top w:val="single" w:color="auto" w:sz="6" w:space="0"/>
              <w:left w:val="single" w:color="auto" w:sz="6" w:space="0"/>
              <w:bottom w:val="single" w:color="auto" w:sz="6" w:space="0"/>
              <w:right w:val="single" w:color="auto" w:sz="6" w:space="0"/>
            </w:tcBorders>
            <w:vAlign w:val="center"/>
          </w:tcPr>
          <w:p w14:paraId="3AB7B5FA">
            <w:pPr>
              <w:snapToGrid w:val="0"/>
              <w:jc w:val="center"/>
              <w:rPr>
                <w:sz w:val="24"/>
                <w:szCs w:val="24"/>
              </w:rPr>
            </w:pPr>
          </w:p>
        </w:tc>
        <w:tc>
          <w:tcPr>
            <w:tcW w:w="730" w:type="dxa"/>
            <w:tcBorders>
              <w:top w:val="single" w:color="auto" w:sz="6" w:space="0"/>
              <w:left w:val="single" w:color="auto" w:sz="6" w:space="0"/>
              <w:bottom w:val="single" w:color="auto" w:sz="6" w:space="0"/>
              <w:right w:val="single" w:color="auto" w:sz="6" w:space="0"/>
            </w:tcBorders>
            <w:vAlign w:val="center"/>
          </w:tcPr>
          <w:p w14:paraId="13E26674">
            <w:pPr>
              <w:snapToGrid w:val="0"/>
              <w:jc w:val="center"/>
              <w:rPr>
                <w:sz w:val="24"/>
                <w:szCs w:val="24"/>
              </w:rPr>
            </w:pPr>
            <w:r>
              <w:rPr>
                <w:rFonts w:hAnsi="宋体"/>
                <w:sz w:val="24"/>
                <w:szCs w:val="24"/>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804BB5D">
            <w:pPr>
              <w:snapToGrid w:val="0"/>
              <w:jc w:val="center"/>
              <w:rPr>
                <w:sz w:val="24"/>
                <w:szCs w:val="24"/>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125745F6">
            <w:pPr>
              <w:snapToGrid w:val="0"/>
              <w:jc w:val="center"/>
              <w:rPr>
                <w:sz w:val="24"/>
                <w:szCs w:val="24"/>
              </w:rPr>
            </w:pPr>
            <w:r>
              <w:rPr>
                <w:rFonts w:hAnsi="宋体"/>
                <w:sz w:val="24"/>
                <w:szCs w:val="24"/>
              </w:rPr>
              <w:t>专业年限</w:t>
            </w:r>
          </w:p>
        </w:tc>
        <w:tc>
          <w:tcPr>
            <w:tcW w:w="2249" w:type="dxa"/>
            <w:tcBorders>
              <w:top w:val="single" w:color="auto" w:sz="6" w:space="0"/>
              <w:left w:val="single" w:color="auto" w:sz="6" w:space="0"/>
              <w:bottom w:val="single" w:color="auto" w:sz="6" w:space="0"/>
              <w:right w:val="single" w:color="auto" w:sz="6" w:space="0"/>
            </w:tcBorders>
            <w:vAlign w:val="center"/>
          </w:tcPr>
          <w:p w14:paraId="4690BC31">
            <w:pPr>
              <w:snapToGrid w:val="0"/>
              <w:jc w:val="center"/>
              <w:rPr>
                <w:sz w:val="24"/>
                <w:szCs w:val="24"/>
              </w:rPr>
            </w:pPr>
          </w:p>
        </w:tc>
      </w:tr>
      <w:tr w14:paraId="094B1A98">
        <w:tblPrEx>
          <w:tblCellMar>
            <w:top w:w="57" w:type="dxa"/>
            <w:left w:w="57" w:type="dxa"/>
            <w:bottom w:w="57" w:type="dxa"/>
            <w:right w:w="57" w:type="dxa"/>
          </w:tblCellMar>
        </w:tblPrEx>
        <w:trPr>
          <w:cantSplit/>
          <w:trHeight w:val="469" w:hRule="atLeast"/>
          <w:jc w:val="center"/>
        </w:trPr>
        <w:tc>
          <w:tcPr>
            <w:tcW w:w="1950" w:type="dxa"/>
            <w:tcBorders>
              <w:top w:val="single" w:color="auto" w:sz="6" w:space="0"/>
              <w:left w:val="single" w:color="auto" w:sz="6" w:space="0"/>
              <w:bottom w:val="single" w:color="auto" w:sz="6" w:space="0"/>
              <w:right w:val="single" w:color="auto" w:sz="6" w:space="0"/>
            </w:tcBorders>
            <w:vAlign w:val="center"/>
          </w:tcPr>
          <w:p w14:paraId="1926622E">
            <w:pPr>
              <w:snapToGrid w:val="0"/>
              <w:jc w:val="center"/>
              <w:rPr>
                <w:sz w:val="24"/>
                <w:szCs w:val="24"/>
              </w:rPr>
            </w:pPr>
            <w:r>
              <w:rPr>
                <w:rFonts w:hAnsi="宋体"/>
                <w:sz w:val="24"/>
                <w:szCs w:val="24"/>
              </w:rPr>
              <w:t>工</w:t>
            </w:r>
            <w:r>
              <w:rPr>
                <w:sz w:val="24"/>
                <w:szCs w:val="24"/>
              </w:rPr>
              <w:t xml:space="preserve"> </w:t>
            </w:r>
            <w:r>
              <w:rPr>
                <w:rFonts w:hAnsi="宋体"/>
                <w:sz w:val="24"/>
                <w:szCs w:val="24"/>
              </w:rPr>
              <w:t>作</w:t>
            </w:r>
            <w:r>
              <w:rPr>
                <w:sz w:val="24"/>
                <w:szCs w:val="24"/>
              </w:rPr>
              <w:t xml:space="preserve"> </w:t>
            </w:r>
            <w:r>
              <w:rPr>
                <w:rFonts w:hAnsi="宋体"/>
                <w:sz w:val="24"/>
                <w:szCs w:val="24"/>
              </w:rPr>
              <w:t>单</w:t>
            </w:r>
            <w:r>
              <w:rPr>
                <w:sz w:val="24"/>
                <w:szCs w:val="24"/>
              </w:rPr>
              <w:t xml:space="preserve"> </w:t>
            </w:r>
            <w:r>
              <w:rPr>
                <w:rFonts w:hAnsi="宋体"/>
                <w:sz w:val="24"/>
                <w:szCs w:val="24"/>
              </w:rPr>
              <w:t>位</w:t>
            </w:r>
          </w:p>
        </w:tc>
        <w:tc>
          <w:tcPr>
            <w:tcW w:w="4059" w:type="dxa"/>
            <w:gridSpan w:val="5"/>
            <w:tcBorders>
              <w:top w:val="single" w:color="auto" w:sz="6" w:space="0"/>
              <w:left w:val="single" w:color="auto" w:sz="6" w:space="0"/>
              <w:bottom w:val="single" w:color="auto" w:sz="6" w:space="0"/>
              <w:right w:val="single" w:color="auto" w:sz="6" w:space="0"/>
            </w:tcBorders>
            <w:vAlign w:val="center"/>
          </w:tcPr>
          <w:p w14:paraId="2DB3C9D7">
            <w:pPr>
              <w:snapToGrid w:val="0"/>
              <w:jc w:val="center"/>
              <w:rPr>
                <w:sz w:val="24"/>
                <w:szCs w:val="24"/>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C7332F4">
            <w:pPr>
              <w:snapToGrid w:val="0"/>
              <w:jc w:val="center"/>
              <w:rPr>
                <w:sz w:val="24"/>
                <w:szCs w:val="24"/>
              </w:rPr>
            </w:pPr>
            <w:r>
              <w:rPr>
                <w:rFonts w:hAnsi="宋体"/>
                <w:sz w:val="24"/>
                <w:szCs w:val="24"/>
              </w:rPr>
              <w:t>电话</w:t>
            </w:r>
          </w:p>
        </w:tc>
        <w:tc>
          <w:tcPr>
            <w:tcW w:w="2249" w:type="dxa"/>
            <w:tcBorders>
              <w:top w:val="single" w:color="auto" w:sz="6" w:space="0"/>
              <w:left w:val="single" w:color="auto" w:sz="6" w:space="0"/>
              <w:bottom w:val="single" w:color="auto" w:sz="6" w:space="0"/>
              <w:right w:val="single" w:color="auto" w:sz="6" w:space="0"/>
            </w:tcBorders>
            <w:vAlign w:val="center"/>
          </w:tcPr>
          <w:p w14:paraId="37B7075A">
            <w:pPr>
              <w:snapToGrid w:val="0"/>
              <w:jc w:val="center"/>
              <w:rPr>
                <w:sz w:val="24"/>
                <w:szCs w:val="24"/>
              </w:rPr>
            </w:pPr>
          </w:p>
        </w:tc>
      </w:tr>
      <w:tr w14:paraId="3467EA51">
        <w:tblPrEx>
          <w:tblCellMar>
            <w:top w:w="57" w:type="dxa"/>
            <w:left w:w="57" w:type="dxa"/>
            <w:bottom w:w="57" w:type="dxa"/>
            <w:right w:w="57" w:type="dxa"/>
          </w:tblCellMar>
        </w:tblPrEx>
        <w:trPr>
          <w:trHeight w:val="469" w:hRule="atLeast"/>
          <w:jc w:val="center"/>
        </w:trPr>
        <w:tc>
          <w:tcPr>
            <w:tcW w:w="1950" w:type="dxa"/>
            <w:tcBorders>
              <w:top w:val="single" w:color="auto" w:sz="6" w:space="0"/>
              <w:left w:val="single" w:color="auto" w:sz="6" w:space="0"/>
              <w:bottom w:val="single" w:color="auto" w:sz="6" w:space="0"/>
              <w:right w:val="single" w:color="auto" w:sz="6" w:space="0"/>
            </w:tcBorders>
            <w:vAlign w:val="center"/>
          </w:tcPr>
          <w:p w14:paraId="3C8A9B9B">
            <w:pPr>
              <w:snapToGrid w:val="0"/>
              <w:jc w:val="distribute"/>
              <w:rPr>
                <w:sz w:val="24"/>
                <w:szCs w:val="24"/>
              </w:rPr>
            </w:pPr>
            <w:r>
              <w:rPr>
                <w:rFonts w:hAnsi="宋体"/>
                <w:sz w:val="24"/>
                <w:szCs w:val="24"/>
              </w:rPr>
              <w:t>通讯地址</w:t>
            </w:r>
          </w:p>
        </w:tc>
        <w:tc>
          <w:tcPr>
            <w:tcW w:w="4059" w:type="dxa"/>
            <w:gridSpan w:val="5"/>
            <w:tcBorders>
              <w:top w:val="single" w:color="auto" w:sz="6" w:space="0"/>
              <w:left w:val="single" w:color="auto" w:sz="6" w:space="0"/>
              <w:bottom w:val="single" w:color="auto" w:sz="6" w:space="0"/>
              <w:right w:val="single" w:color="auto" w:sz="6" w:space="0"/>
            </w:tcBorders>
            <w:vAlign w:val="center"/>
          </w:tcPr>
          <w:p w14:paraId="01BC0E9B">
            <w:pPr>
              <w:snapToGrid w:val="0"/>
              <w:jc w:val="center"/>
              <w:rPr>
                <w:sz w:val="24"/>
                <w:szCs w:val="24"/>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22C53075">
            <w:pPr>
              <w:snapToGrid w:val="0"/>
              <w:jc w:val="center"/>
              <w:rPr>
                <w:sz w:val="24"/>
                <w:szCs w:val="24"/>
              </w:rPr>
            </w:pPr>
            <w:r>
              <w:rPr>
                <w:rFonts w:hAnsi="宋体"/>
                <w:sz w:val="24"/>
                <w:szCs w:val="24"/>
              </w:rPr>
              <w:t>邮编</w:t>
            </w:r>
          </w:p>
        </w:tc>
        <w:tc>
          <w:tcPr>
            <w:tcW w:w="2249" w:type="dxa"/>
            <w:tcBorders>
              <w:top w:val="single" w:color="auto" w:sz="6" w:space="0"/>
              <w:left w:val="single" w:color="auto" w:sz="6" w:space="0"/>
              <w:bottom w:val="single" w:color="auto" w:sz="6" w:space="0"/>
              <w:right w:val="single" w:color="auto" w:sz="6" w:space="0"/>
            </w:tcBorders>
            <w:vAlign w:val="center"/>
          </w:tcPr>
          <w:p w14:paraId="7A201E93">
            <w:pPr>
              <w:snapToGrid w:val="0"/>
              <w:jc w:val="center"/>
              <w:rPr>
                <w:sz w:val="24"/>
                <w:szCs w:val="24"/>
              </w:rPr>
            </w:pPr>
          </w:p>
        </w:tc>
      </w:tr>
      <w:tr w14:paraId="5824AE9B">
        <w:tblPrEx>
          <w:tblCellMar>
            <w:top w:w="57" w:type="dxa"/>
            <w:left w:w="57" w:type="dxa"/>
            <w:bottom w:w="57" w:type="dxa"/>
            <w:right w:w="57" w:type="dxa"/>
          </w:tblCellMar>
        </w:tblPrEx>
        <w:trPr>
          <w:cantSplit/>
          <w:trHeight w:val="551" w:hRule="atLeast"/>
          <w:jc w:val="center"/>
        </w:trPr>
        <w:tc>
          <w:tcPr>
            <w:tcW w:w="9698" w:type="dxa"/>
            <w:gridSpan w:val="10"/>
            <w:tcBorders>
              <w:top w:val="single" w:color="auto" w:sz="6" w:space="0"/>
              <w:left w:val="single" w:color="auto" w:sz="6" w:space="0"/>
              <w:bottom w:val="nil"/>
              <w:right w:val="single" w:color="auto" w:sz="6" w:space="0"/>
            </w:tcBorders>
            <w:vAlign w:val="center"/>
          </w:tcPr>
          <w:p w14:paraId="39011140">
            <w:pPr>
              <w:snapToGrid w:val="0"/>
              <w:rPr>
                <w:sz w:val="24"/>
                <w:szCs w:val="24"/>
              </w:rPr>
            </w:pPr>
            <w:r>
              <w:rPr>
                <w:rFonts w:hAnsi="宋体"/>
                <w:sz w:val="24"/>
                <w:szCs w:val="24"/>
              </w:rPr>
              <w:t>类似项目工作经验</w:t>
            </w:r>
          </w:p>
        </w:tc>
      </w:tr>
      <w:tr w14:paraId="709A7CEC">
        <w:tblPrEx>
          <w:tblCellMar>
            <w:top w:w="57" w:type="dxa"/>
            <w:left w:w="57" w:type="dxa"/>
            <w:bottom w:w="57" w:type="dxa"/>
            <w:right w:w="57" w:type="dxa"/>
          </w:tblCellMar>
        </w:tblPrEx>
        <w:trPr>
          <w:cantSplit/>
          <w:trHeight w:val="795" w:hRule="atLeast"/>
          <w:jc w:val="center"/>
        </w:trPr>
        <w:tc>
          <w:tcPr>
            <w:tcW w:w="1950" w:type="dxa"/>
            <w:tcBorders>
              <w:top w:val="single" w:color="auto" w:sz="6" w:space="0"/>
              <w:left w:val="single" w:color="auto" w:sz="6" w:space="0"/>
              <w:bottom w:val="single" w:color="auto" w:sz="6" w:space="0"/>
              <w:right w:val="single" w:color="auto" w:sz="6" w:space="0"/>
            </w:tcBorders>
            <w:vAlign w:val="center"/>
          </w:tcPr>
          <w:p w14:paraId="7A617FCC">
            <w:pPr>
              <w:snapToGrid w:val="0"/>
              <w:jc w:val="center"/>
              <w:rPr>
                <w:sz w:val="24"/>
                <w:szCs w:val="24"/>
              </w:rPr>
            </w:pPr>
            <w:r>
              <w:rPr>
                <w:rFonts w:hAnsi="宋体"/>
                <w:sz w:val="24"/>
                <w:szCs w:val="24"/>
              </w:rPr>
              <w:t>时间</w:t>
            </w:r>
          </w:p>
        </w:tc>
        <w:tc>
          <w:tcPr>
            <w:tcW w:w="3043" w:type="dxa"/>
            <w:gridSpan w:val="3"/>
            <w:tcBorders>
              <w:top w:val="single" w:color="auto" w:sz="6" w:space="0"/>
              <w:left w:val="single" w:color="auto" w:sz="6" w:space="0"/>
              <w:bottom w:val="single" w:color="auto" w:sz="6" w:space="0"/>
              <w:right w:val="single" w:color="auto" w:sz="6" w:space="0"/>
            </w:tcBorders>
            <w:vAlign w:val="center"/>
          </w:tcPr>
          <w:p w14:paraId="7A584C94">
            <w:pPr>
              <w:snapToGrid w:val="0"/>
              <w:jc w:val="center"/>
              <w:rPr>
                <w:sz w:val="24"/>
                <w:szCs w:val="24"/>
              </w:rPr>
            </w:pPr>
            <w:r>
              <w:rPr>
                <w:rFonts w:hAnsi="宋体"/>
                <w:sz w:val="24"/>
                <w:szCs w:val="24"/>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20506454">
            <w:pPr>
              <w:snapToGrid w:val="0"/>
              <w:jc w:val="center"/>
              <w:rPr>
                <w:sz w:val="24"/>
                <w:szCs w:val="24"/>
              </w:rPr>
            </w:pPr>
            <w:r>
              <w:rPr>
                <w:rFonts w:hAnsi="宋体"/>
                <w:sz w:val="24"/>
                <w:szCs w:val="24"/>
              </w:rPr>
              <w:t>担任职务</w:t>
            </w:r>
          </w:p>
        </w:tc>
        <w:tc>
          <w:tcPr>
            <w:tcW w:w="3509" w:type="dxa"/>
            <w:gridSpan w:val="3"/>
            <w:tcBorders>
              <w:top w:val="single" w:color="auto" w:sz="6" w:space="0"/>
              <w:left w:val="single" w:color="auto" w:sz="6" w:space="0"/>
              <w:bottom w:val="single" w:color="auto" w:sz="6" w:space="0"/>
              <w:right w:val="single" w:color="auto" w:sz="6" w:space="0"/>
            </w:tcBorders>
            <w:vAlign w:val="center"/>
          </w:tcPr>
          <w:p w14:paraId="27C67A83">
            <w:pPr>
              <w:snapToGrid w:val="0"/>
              <w:rPr>
                <w:sz w:val="24"/>
                <w:szCs w:val="24"/>
              </w:rPr>
            </w:pPr>
            <w:r>
              <w:rPr>
                <w:rFonts w:hAnsi="宋体"/>
                <w:sz w:val="24"/>
                <w:szCs w:val="24"/>
              </w:rPr>
              <w:t>发包人及联系电话</w:t>
            </w:r>
          </w:p>
        </w:tc>
      </w:tr>
      <w:tr w14:paraId="63C14F56">
        <w:tblPrEx>
          <w:tblCellMar>
            <w:top w:w="57" w:type="dxa"/>
            <w:left w:w="57" w:type="dxa"/>
            <w:bottom w:w="57" w:type="dxa"/>
            <w:right w:w="57" w:type="dxa"/>
          </w:tblCellMar>
        </w:tblPrEx>
        <w:trPr>
          <w:cantSplit/>
          <w:trHeight w:val="639" w:hRule="atLeast"/>
          <w:jc w:val="center"/>
        </w:trPr>
        <w:tc>
          <w:tcPr>
            <w:tcW w:w="1950" w:type="dxa"/>
            <w:tcBorders>
              <w:top w:val="single" w:color="auto" w:sz="6" w:space="0"/>
              <w:left w:val="single" w:color="auto" w:sz="6" w:space="0"/>
              <w:bottom w:val="single" w:color="auto" w:sz="4" w:space="0"/>
              <w:right w:val="single" w:color="auto" w:sz="6" w:space="0"/>
            </w:tcBorders>
            <w:vAlign w:val="center"/>
          </w:tcPr>
          <w:p w14:paraId="0056E4FB">
            <w:pPr>
              <w:snapToGrid w:val="0"/>
              <w:jc w:val="center"/>
              <w:rPr>
                <w:sz w:val="24"/>
                <w:szCs w:val="24"/>
              </w:rPr>
            </w:pPr>
          </w:p>
          <w:p w14:paraId="6B4E80F3">
            <w:pPr>
              <w:snapToGrid w:val="0"/>
              <w:jc w:val="center"/>
              <w:rPr>
                <w:sz w:val="24"/>
                <w:szCs w:val="24"/>
              </w:rPr>
            </w:pPr>
          </w:p>
          <w:p w14:paraId="532E29FA">
            <w:pPr>
              <w:snapToGrid w:val="0"/>
              <w:jc w:val="center"/>
              <w:rPr>
                <w:sz w:val="24"/>
                <w:szCs w:val="24"/>
              </w:rPr>
            </w:pPr>
          </w:p>
          <w:p w14:paraId="04EE9F99">
            <w:pPr>
              <w:snapToGrid w:val="0"/>
              <w:jc w:val="center"/>
              <w:rPr>
                <w:sz w:val="24"/>
                <w:szCs w:val="24"/>
              </w:rPr>
            </w:pPr>
          </w:p>
          <w:p w14:paraId="2CD9E1DE">
            <w:pPr>
              <w:snapToGrid w:val="0"/>
              <w:jc w:val="center"/>
              <w:rPr>
                <w:sz w:val="24"/>
                <w:szCs w:val="24"/>
              </w:rPr>
            </w:pPr>
          </w:p>
          <w:p w14:paraId="6CECA612">
            <w:pPr>
              <w:snapToGrid w:val="0"/>
              <w:jc w:val="center"/>
              <w:rPr>
                <w:sz w:val="24"/>
                <w:szCs w:val="24"/>
              </w:rPr>
            </w:pPr>
          </w:p>
        </w:tc>
        <w:tc>
          <w:tcPr>
            <w:tcW w:w="3043" w:type="dxa"/>
            <w:gridSpan w:val="3"/>
            <w:tcBorders>
              <w:top w:val="single" w:color="auto" w:sz="6" w:space="0"/>
              <w:left w:val="single" w:color="auto" w:sz="6" w:space="0"/>
              <w:bottom w:val="single" w:color="auto" w:sz="4" w:space="0"/>
              <w:right w:val="single" w:color="auto" w:sz="6" w:space="0"/>
            </w:tcBorders>
            <w:vAlign w:val="center"/>
          </w:tcPr>
          <w:p w14:paraId="289FF9F8">
            <w:pPr>
              <w:snapToGrid w:val="0"/>
              <w:jc w:val="center"/>
              <w:rPr>
                <w:sz w:val="24"/>
                <w:szCs w:val="24"/>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670750F2">
            <w:pPr>
              <w:snapToGrid w:val="0"/>
              <w:jc w:val="center"/>
              <w:rPr>
                <w:sz w:val="24"/>
                <w:szCs w:val="24"/>
              </w:rPr>
            </w:pPr>
          </w:p>
        </w:tc>
        <w:tc>
          <w:tcPr>
            <w:tcW w:w="3509" w:type="dxa"/>
            <w:gridSpan w:val="3"/>
            <w:tcBorders>
              <w:top w:val="single" w:color="auto" w:sz="6" w:space="0"/>
              <w:left w:val="single" w:color="auto" w:sz="6" w:space="0"/>
              <w:bottom w:val="single" w:color="auto" w:sz="6" w:space="0"/>
              <w:right w:val="single" w:color="auto" w:sz="6" w:space="0"/>
            </w:tcBorders>
            <w:vAlign w:val="center"/>
          </w:tcPr>
          <w:p w14:paraId="048BC336">
            <w:pPr>
              <w:snapToGrid w:val="0"/>
              <w:jc w:val="center"/>
              <w:rPr>
                <w:sz w:val="24"/>
                <w:szCs w:val="24"/>
              </w:rPr>
            </w:pPr>
          </w:p>
        </w:tc>
      </w:tr>
    </w:tbl>
    <w:p w14:paraId="72C64CFF">
      <w:pPr>
        <w:spacing w:line="360" w:lineRule="auto"/>
        <w:rPr>
          <w:sz w:val="30"/>
        </w:rPr>
      </w:pPr>
    </w:p>
    <w:p w14:paraId="1D00B7E4">
      <w:pPr>
        <w:rPr>
          <w:rFonts w:hint="eastAsia" w:ascii="Times New Roman" w:hAnsi="宋体"/>
          <w:b/>
          <w:bCs/>
          <w:sz w:val="36"/>
          <w:szCs w:val="36"/>
        </w:rPr>
      </w:pPr>
      <w:r>
        <w:rPr>
          <w:rFonts w:ascii="Times New Roman" w:hAnsi="Times New Roman"/>
          <w:spacing w:val="20"/>
          <w:sz w:val="24"/>
          <w:szCs w:val="24"/>
        </w:rPr>
        <w:t xml:space="preserve"> </w:t>
      </w:r>
      <w:r>
        <w:rPr>
          <w:rFonts w:ascii="Times New Roman" w:hAnsi="宋体"/>
          <w:spacing w:val="20"/>
          <w:sz w:val="24"/>
          <w:szCs w:val="24"/>
        </w:rPr>
        <w:t>日</w:t>
      </w:r>
      <w:r>
        <w:rPr>
          <w:rFonts w:ascii="Times New Roman" w:hAnsi="Times New Roman"/>
          <w:spacing w:val="20"/>
          <w:sz w:val="24"/>
          <w:szCs w:val="24"/>
        </w:rPr>
        <w:t xml:space="preserve">    </w:t>
      </w:r>
      <w:r>
        <w:rPr>
          <w:rFonts w:ascii="Times New Roman" w:hAnsi="宋体"/>
          <w:spacing w:val="20"/>
          <w:sz w:val="24"/>
          <w:szCs w:val="24"/>
        </w:rPr>
        <w:t>期</w:t>
      </w:r>
      <w:r>
        <w:rPr>
          <w:rFonts w:ascii="Times New Roman" w:hAnsi="Times New Roman"/>
          <w:spacing w:val="20"/>
          <w:sz w:val="24"/>
          <w:szCs w:val="24"/>
        </w:rPr>
        <w:t>:</w:t>
      </w:r>
    </w:p>
    <w:p w14:paraId="01E4E4C1">
      <w:pPr>
        <w:rPr>
          <w:rFonts w:hint="eastAsia" w:ascii="Times New Roman" w:hAnsi="宋体"/>
          <w:b/>
          <w:bCs/>
          <w:sz w:val="36"/>
          <w:szCs w:val="36"/>
        </w:rPr>
      </w:pPr>
      <w:r>
        <w:rPr>
          <w:rFonts w:ascii="Times New Roman" w:hAnsi="宋体"/>
          <w:b/>
          <w:bCs/>
          <w:sz w:val="36"/>
          <w:szCs w:val="36"/>
        </w:rPr>
        <w:br w:type="page"/>
      </w:r>
    </w:p>
    <w:p w14:paraId="567F29FF">
      <w:pPr>
        <w:pStyle w:val="15"/>
        <w:spacing w:line="460" w:lineRule="exact"/>
        <w:ind w:left="239" w:leftChars="114"/>
        <w:jc w:val="center"/>
        <w:outlineLvl w:val="1"/>
        <w:rPr>
          <w:rFonts w:hint="eastAsia" w:ascii="Times New Roman" w:hAnsi="宋体"/>
          <w:b/>
          <w:bCs/>
          <w:sz w:val="36"/>
          <w:szCs w:val="36"/>
        </w:rPr>
      </w:pPr>
      <w:r>
        <w:rPr>
          <w:rFonts w:ascii="Times New Roman" w:hAnsi="宋体"/>
          <w:b/>
          <w:bCs/>
          <w:sz w:val="36"/>
          <w:szCs w:val="36"/>
        </w:rPr>
        <w:t>拟参加本项目实施人员情况表</w:t>
      </w:r>
    </w:p>
    <w:p w14:paraId="76A5EB60">
      <w:pPr>
        <w:rPr>
          <w:rFonts w:ascii="Times New Roman" w:hAnsi="Times New Roman" w:cs="Times New Roman"/>
          <w:sz w:val="24"/>
        </w:rPr>
      </w:pPr>
    </w:p>
    <w:p w14:paraId="0FFD34AF">
      <w:pPr>
        <w:rPr>
          <w:rFonts w:ascii="Times New Roman" w:hAnsi="Times New Roman" w:cs="Times New Roman"/>
          <w:sz w:val="24"/>
          <w:u w:val="single"/>
        </w:rPr>
      </w:pPr>
      <w:r>
        <w:rPr>
          <w:rFonts w:ascii="Times New Roman" w:hAnsi="Times New Roman" w:cs="Times New Roman"/>
          <w:sz w:val="24"/>
        </w:rPr>
        <w:t>投标人名称（</w:t>
      </w:r>
      <w:r>
        <w:rPr>
          <w:rFonts w:hint="eastAsia" w:ascii="Times New Roman" w:hAnsi="Times New Roman" w:eastAsia="宋体" w:cs="Times New Roman"/>
          <w:sz w:val="24"/>
        </w:rPr>
        <w:t>电子签章</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采购编号：</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p>
    <w:p w14:paraId="4A9591D5">
      <w:pPr>
        <w:pStyle w:val="10"/>
      </w:pP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16"/>
        <w:gridCol w:w="1276"/>
        <w:gridCol w:w="709"/>
        <w:gridCol w:w="850"/>
        <w:gridCol w:w="993"/>
        <w:gridCol w:w="850"/>
        <w:gridCol w:w="992"/>
        <w:gridCol w:w="1701"/>
        <w:gridCol w:w="1701"/>
      </w:tblGrid>
      <w:tr w14:paraId="2EFFC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529" w:hRule="atLeast"/>
          <w:jc w:val="center"/>
        </w:trPr>
        <w:tc>
          <w:tcPr>
            <w:tcW w:w="616" w:type="dxa"/>
            <w:vAlign w:val="center"/>
          </w:tcPr>
          <w:p w14:paraId="70DC5FD5">
            <w:pPr>
              <w:snapToGrid w:val="0"/>
              <w:rPr>
                <w:sz w:val="24"/>
                <w:szCs w:val="24"/>
              </w:rPr>
            </w:pPr>
            <w:r>
              <w:rPr>
                <w:sz w:val="24"/>
                <w:szCs w:val="24"/>
              </w:rPr>
              <w:t>序号</w:t>
            </w:r>
          </w:p>
        </w:tc>
        <w:tc>
          <w:tcPr>
            <w:tcW w:w="1276" w:type="dxa"/>
            <w:vAlign w:val="center"/>
          </w:tcPr>
          <w:p w14:paraId="7CF17A13">
            <w:pPr>
              <w:snapToGrid w:val="0"/>
              <w:jc w:val="center"/>
              <w:rPr>
                <w:sz w:val="24"/>
                <w:szCs w:val="24"/>
              </w:rPr>
            </w:pPr>
            <w:r>
              <w:rPr>
                <w:sz w:val="24"/>
                <w:szCs w:val="24"/>
              </w:rPr>
              <w:t>姓 名</w:t>
            </w:r>
          </w:p>
        </w:tc>
        <w:tc>
          <w:tcPr>
            <w:tcW w:w="709" w:type="dxa"/>
            <w:vAlign w:val="center"/>
          </w:tcPr>
          <w:p w14:paraId="5997D509">
            <w:pPr>
              <w:snapToGrid w:val="0"/>
              <w:jc w:val="center"/>
              <w:rPr>
                <w:sz w:val="24"/>
                <w:szCs w:val="24"/>
              </w:rPr>
            </w:pPr>
            <w:r>
              <w:rPr>
                <w:sz w:val="24"/>
                <w:szCs w:val="24"/>
              </w:rPr>
              <w:t>性别</w:t>
            </w:r>
          </w:p>
        </w:tc>
        <w:tc>
          <w:tcPr>
            <w:tcW w:w="850" w:type="dxa"/>
            <w:vAlign w:val="center"/>
          </w:tcPr>
          <w:p w14:paraId="38504089">
            <w:pPr>
              <w:snapToGrid w:val="0"/>
              <w:jc w:val="center"/>
              <w:rPr>
                <w:sz w:val="24"/>
                <w:szCs w:val="24"/>
              </w:rPr>
            </w:pPr>
            <w:r>
              <w:rPr>
                <w:sz w:val="24"/>
                <w:szCs w:val="24"/>
              </w:rPr>
              <w:t>年龄</w:t>
            </w:r>
          </w:p>
        </w:tc>
        <w:tc>
          <w:tcPr>
            <w:tcW w:w="993" w:type="dxa"/>
            <w:vAlign w:val="center"/>
          </w:tcPr>
          <w:p w14:paraId="4E9A86B7">
            <w:pPr>
              <w:snapToGrid w:val="0"/>
              <w:jc w:val="center"/>
              <w:rPr>
                <w:sz w:val="24"/>
                <w:szCs w:val="24"/>
              </w:rPr>
            </w:pPr>
            <w:r>
              <w:rPr>
                <w:sz w:val="24"/>
                <w:szCs w:val="24"/>
              </w:rPr>
              <w:t>学 历</w:t>
            </w:r>
          </w:p>
        </w:tc>
        <w:tc>
          <w:tcPr>
            <w:tcW w:w="850" w:type="dxa"/>
            <w:vAlign w:val="center"/>
          </w:tcPr>
          <w:p w14:paraId="73D900C5">
            <w:pPr>
              <w:snapToGrid w:val="0"/>
              <w:jc w:val="center"/>
              <w:rPr>
                <w:sz w:val="24"/>
                <w:szCs w:val="24"/>
              </w:rPr>
            </w:pPr>
            <w:r>
              <w:rPr>
                <w:sz w:val="24"/>
                <w:szCs w:val="24"/>
              </w:rPr>
              <w:t>专业</w:t>
            </w:r>
          </w:p>
        </w:tc>
        <w:tc>
          <w:tcPr>
            <w:tcW w:w="992" w:type="dxa"/>
            <w:vAlign w:val="center"/>
          </w:tcPr>
          <w:p w14:paraId="6412EC95">
            <w:pPr>
              <w:snapToGrid w:val="0"/>
              <w:jc w:val="center"/>
              <w:rPr>
                <w:sz w:val="24"/>
                <w:szCs w:val="24"/>
              </w:rPr>
            </w:pPr>
            <w:r>
              <w:rPr>
                <w:sz w:val="24"/>
                <w:szCs w:val="24"/>
              </w:rPr>
              <w:t>职称</w:t>
            </w:r>
          </w:p>
        </w:tc>
        <w:tc>
          <w:tcPr>
            <w:tcW w:w="1701" w:type="dxa"/>
            <w:vAlign w:val="center"/>
          </w:tcPr>
          <w:p w14:paraId="66350FA1">
            <w:pPr>
              <w:snapToGrid w:val="0"/>
              <w:jc w:val="center"/>
              <w:rPr>
                <w:sz w:val="24"/>
                <w:szCs w:val="24"/>
              </w:rPr>
            </w:pPr>
            <w:r>
              <w:rPr>
                <w:sz w:val="24"/>
                <w:szCs w:val="24"/>
              </w:rPr>
              <w:t>拟任本项目职务</w:t>
            </w:r>
          </w:p>
        </w:tc>
        <w:tc>
          <w:tcPr>
            <w:tcW w:w="1701" w:type="dxa"/>
            <w:vAlign w:val="center"/>
          </w:tcPr>
          <w:p w14:paraId="0BED6060">
            <w:pPr>
              <w:snapToGrid w:val="0"/>
              <w:jc w:val="center"/>
              <w:rPr>
                <w:sz w:val="24"/>
                <w:szCs w:val="24"/>
              </w:rPr>
            </w:pPr>
            <w:r>
              <w:rPr>
                <w:sz w:val="24"/>
                <w:szCs w:val="24"/>
              </w:rPr>
              <w:t>备    注</w:t>
            </w:r>
          </w:p>
        </w:tc>
      </w:tr>
      <w:tr w14:paraId="2E60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849" w:hRule="atLeast"/>
          <w:jc w:val="center"/>
        </w:trPr>
        <w:tc>
          <w:tcPr>
            <w:tcW w:w="616" w:type="dxa"/>
          </w:tcPr>
          <w:p w14:paraId="3D624649">
            <w:pPr>
              <w:snapToGrid w:val="0"/>
              <w:rPr>
                <w:sz w:val="24"/>
                <w:szCs w:val="24"/>
              </w:rPr>
            </w:pPr>
          </w:p>
        </w:tc>
        <w:tc>
          <w:tcPr>
            <w:tcW w:w="1276" w:type="dxa"/>
          </w:tcPr>
          <w:p w14:paraId="3A7FBFCD">
            <w:pPr>
              <w:snapToGrid w:val="0"/>
              <w:rPr>
                <w:sz w:val="24"/>
                <w:szCs w:val="24"/>
              </w:rPr>
            </w:pPr>
          </w:p>
        </w:tc>
        <w:tc>
          <w:tcPr>
            <w:tcW w:w="709" w:type="dxa"/>
          </w:tcPr>
          <w:p w14:paraId="2BBCC3FB">
            <w:pPr>
              <w:snapToGrid w:val="0"/>
              <w:rPr>
                <w:sz w:val="24"/>
                <w:szCs w:val="24"/>
              </w:rPr>
            </w:pPr>
          </w:p>
        </w:tc>
        <w:tc>
          <w:tcPr>
            <w:tcW w:w="850" w:type="dxa"/>
          </w:tcPr>
          <w:p w14:paraId="418D4625">
            <w:pPr>
              <w:snapToGrid w:val="0"/>
              <w:rPr>
                <w:sz w:val="24"/>
                <w:szCs w:val="24"/>
              </w:rPr>
            </w:pPr>
          </w:p>
        </w:tc>
        <w:tc>
          <w:tcPr>
            <w:tcW w:w="993" w:type="dxa"/>
          </w:tcPr>
          <w:p w14:paraId="0C6140D3">
            <w:pPr>
              <w:snapToGrid w:val="0"/>
              <w:rPr>
                <w:sz w:val="24"/>
                <w:szCs w:val="24"/>
              </w:rPr>
            </w:pPr>
          </w:p>
        </w:tc>
        <w:tc>
          <w:tcPr>
            <w:tcW w:w="850" w:type="dxa"/>
          </w:tcPr>
          <w:p w14:paraId="4933CCB0">
            <w:pPr>
              <w:snapToGrid w:val="0"/>
              <w:rPr>
                <w:sz w:val="24"/>
                <w:szCs w:val="24"/>
              </w:rPr>
            </w:pPr>
          </w:p>
        </w:tc>
        <w:tc>
          <w:tcPr>
            <w:tcW w:w="992" w:type="dxa"/>
          </w:tcPr>
          <w:p w14:paraId="254ED99B">
            <w:pPr>
              <w:snapToGrid w:val="0"/>
              <w:rPr>
                <w:sz w:val="24"/>
                <w:szCs w:val="24"/>
              </w:rPr>
            </w:pPr>
          </w:p>
        </w:tc>
        <w:tc>
          <w:tcPr>
            <w:tcW w:w="1701" w:type="dxa"/>
          </w:tcPr>
          <w:p w14:paraId="6C0732AE">
            <w:pPr>
              <w:snapToGrid w:val="0"/>
              <w:rPr>
                <w:sz w:val="24"/>
                <w:szCs w:val="24"/>
              </w:rPr>
            </w:pPr>
          </w:p>
        </w:tc>
        <w:tc>
          <w:tcPr>
            <w:tcW w:w="1701" w:type="dxa"/>
          </w:tcPr>
          <w:p w14:paraId="495F9351">
            <w:pPr>
              <w:snapToGrid w:val="0"/>
              <w:jc w:val="center"/>
              <w:rPr>
                <w:sz w:val="24"/>
                <w:szCs w:val="24"/>
              </w:rPr>
            </w:pPr>
          </w:p>
        </w:tc>
      </w:tr>
      <w:tr w14:paraId="55F9C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849" w:hRule="atLeast"/>
          <w:jc w:val="center"/>
        </w:trPr>
        <w:tc>
          <w:tcPr>
            <w:tcW w:w="616" w:type="dxa"/>
          </w:tcPr>
          <w:p w14:paraId="487F3CD3">
            <w:pPr>
              <w:snapToGrid w:val="0"/>
              <w:rPr>
                <w:sz w:val="24"/>
                <w:szCs w:val="24"/>
              </w:rPr>
            </w:pPr>
          </w:p>
        </w:tc>
        <w:tc>
          <w:tcPr>
            <w:tcW w:w="1276" w:type="dxa"/>
          </w:tcPr>
          <w:p w14:paraId="0052ED6C">
            <w:pPr>
              <w:snapToGrid w:val="0"/>
              <w:rPr>
                <w:sz w:val="24"/>
                <w:szCs w:val="24"/>
              </w:rPr>
            </w:pPr>
          </w:p>
        </w:tc>
        <w:tc>
          <w:tcPr>
            <w:tcW w:w="709" w:type="dxa"/>
          </w:tcPr>
          <w:p w14:paraId="49B5917E">
            <w:pPr>
              <w:snapToGrid w:val="0"/>
              <w:rPr>
                <w:sz w:val="24"/>
                <w:szCs w:val="24"/>
              </w:rPr>
            </w:pPr>
          </w:p>
        </w:tc>
        <w:tc>
          <w:tcPr>
            <w:tcW w:w="850" w:type="dxa"/>
          </w:tcPr>
          <w:p w14:paraId="3000FBBA">
            <w:pPr>
              <w:snapToGrid w:val="0"/>
              <w:rPr>
                <w:sz w:val="24"/>
                <w:szCs w:val="24"/>
              </w:rPr>
            </w:pPr>
          </w:p>
        </w:tc>
        <w:tc>
          <w:tcPr>
            <w:tcW w:w="993" w:type="dxa"/>
          </w:tcPr>
          <w:p w14:paraId="579ABC9B">
            <w:pPr>
              <w:snapToGrid w:val="0"/>
              <w:rPr>
                <w:sz w:val="24"/>
                <w:szCs w:val="24"/>
              </w:rPr>
            </w:pPr>
          </w:p>
        </w:tc>
        <w:tc>
          <w:tcPr>
            <w:tcW w:w="850" w:type="dxa"/>
          </w:tcPr>
          <w:p w14:paraId="71D4280F">
            <w:pPr>
              <w:snapToGrid w:val="0"/>
              <w:rPr>
                <w:sz w:val="24"/>
                <w:szCs w:val="24"/>
              </w:rPr>
            </w:pPr>
          </w:p>
        </w:tc>
        <w:tc>
          <w:tcPr>
            <w:tcW w:w="992" w:type="dxa"/>
          </w:tcPr>
          <w:p w14:paraId="2E48AA25">
            <w:pPr>
              <w:snapToGrid w:val="0"/>
              <w:rPr>
                <w:sz w:val="24"/>
                <w:szCs w:val="24"/>
              </w:rPr>
            </w:pPr>
          </w:p>
        </w:tc>
        <w:tc>
          <w:tcPr>
            <w:tcW w:w="1701" w:type="dxa"/>
          </w:tcPr>
          <w:p w14:paraId="0D14DEBF">
            <w:pPr>
              <w:snapToGrid w:val="0"/>
              <w:rPr>
                <w:sz w:val="24"/>
                <w:szCs w:val="24"/>
              </w:rPr>
            </w:pPr>
          </w:p>
        </w:tc>
        <w:tc>
          <w:tcPr>
            <w:tcW w:w="1701" w:type="dxa"/>
          </w:tcPr>
          <w:p w14:paraId="5F0D4FB1">
            <w:pPr>
              <w:snapToGrid w:val="0"/>
              <w:rPr>
                <w:sz w:val="24"/>
                <w:szCs w:val="24"/>
              </w:rPr>
            </w:pPr>
          </w:p>
        </w:tc>
      </w:tr>
      <w:tr w14:paraId="50BC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877" w:hRule="atLeast"/>
          <w:jc w:val="center"/>
        </w:trPr>
        <w:tc>
          <w:tcPr>
            <w:tcW w:w="616" w:type="dxa"/>
          </w:tcPr>
          <w:p w14:paraId="0DB1ACE6">
            <w:pPr>
              <w:snapToGrid w:val="0"/>
              <w:rPr>
                <w:sz w:val="24"/>
                <w:szCs w:val="24"/>
              </w:rPr>
            </w:pPr>
          </w:p>
        </w:tc>
        <w:tc>
          <w:tcPr>
            <w:tcW w:w="1276" w:type="dxa"/>
          </w:tcPr>
          <w:p w14:paraId="62356D01">
            <w:pPr>
              <w:snapToGrid w:val="0"/>
              <w:rPr>
                <w:sz w:val="24"/>
                <w:szCs w:val="24"/>
              </w:rPr>
            </w:pPr>
          </w:p>
        </w:tc>
        <w:tc>
          <w:tcPr>
            <w:tcW w:w="709" w:type="dxa"/>
          </w:tcPr>
          <w:p w14:paraId="65606C68">
            <w:pPr>
              <w:snapToGrid w:val="0"/>
              <w:rPr>
                <w:sz w:val="24"/>
                <w:szCs w:val="24"/>
              </w:rPr>
            </w:pPr>
          </w:p>
        </w:tc>
        <w:tc>
          <w:tcPr>
            <w:tcW w:w="850" w:type="dxa"/>
          </w:tcPr>
          <w:p w14:paraId="721AA456">
            <w:pPr>
              <w:snapToGrid w:val="0"/>
              <w:rPr>
                <w:sz w:val="24"/>
                <w:szCs w:val="24"/>
              </w:rPr>
            </w:pPr>
          </w:p>
        </w:tc>
        <w:tc>
          <w:tcPr>
            <w:tcW w:w="993" w:type="dxa"/>
          </w:tcPr>
          <w:p w14:paraId="41CFAB0B">
            <w:pPr>
              <w:snapToGrid w:val="0"/>
              <w:rPr>
                <w:sz w:val="24"/>
                <w:szCs w:val="24"/>
              </w:rPr>
            </w:pPr>
          </w:p>
        </w:tc>
        <w:tc>
          <w:tcPr>
            <w:tcW w:w="850" w:type="dxa"/>
          </w:tcPr>
          <w:p w14:paraId="18F7E39E">
            <w:pPr>
              <w:snapToGrid w:val="0"/>
              <w:rPr>
                <w:sz w:val="24"/>
                <w:szCs w:val="24"/>
              </w:rPr>
            </w:pPr>
          </w:p>
        </w:tc>
        <w:tc>
          <w:tcPr>
            <w:tcW w:w="992" w:type="dxa"/>
          </w:tcPr>
          <w:p w14:paraId="681E08EC">
            <w:pPr>
              <w:snapToGrid w:val="0"/>
              <w:rPr>
                <w:sz w:val="24"/>
                <w:szCs w:val="24"/>
              </w:rPr>
            </w:pPr>
          </w:p>
        </w:tc>
        <w:tc>
          <w:tcPr>
            <w:tcW w:w="1701" w:type="dxa"/>
          </w:tcPr>
          <w:p w14:paraId="68E4A0AB">
            <w:pPr>
              <w:snapToGrid w:val="0"/>
              <w:rPr>
                <w:sz w:val="24"/>
                <w:szCs w:val="24"/>
              </w:rPr>
            </w:pPr>
          </w:p>
        </w:tc>
        <w:tc>
          <w:tcPr>
            <w:tcW w:w="1701" w:type="dxa"/>
          </w:tcPr>
          <w:p w14:paraId="446D13F0">
            <w:pPr>
              <w:snapToGrid w:val="0"/>
              <w:rPr>
                <w:sz w:val="24"/>
                <w:szCs w:val="24"/>
              </w:rPr>
            </w:pPr>
          </w:p>
        </w:tc>
      </w:tr>
      <w:tr w14:paraId="05EA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905" w:hRule="atLeast"/>
          <w:jc w:val="center"/>
        </w:trPr>
        <w:tc>
          <w:tcPr>
            <w:tcW w:w="616" w:type="dxa"/>
          </w:tcPr>
          <w:p w14:paraId="769352AA">
            <w:pPr>
              <w:snapToGrid w:val="0"/>
              <w:rPr>
                <w:sz w:val="24"/>
                <w:szCs w:val="24"/>
              </w:rPr>
            </w:pPr>
          </w:p>
        </w:tc>
        <w:tc>
          <w:tcPr>
            <w:tcW w:w="1276" w:type="dxa"/>
          </w:tcPr>
          <w:p w14:paraId="67CA3BEA">
            <w:pPr>
              <w:snapToGrid w:val="0"/>
              <w:rPr>
                <w:sz w:val="24"/>
                <w:szCs w:val="24"/>
              </w:rPr>
            </w:pPr>
          </w:p>
        </w:tc>
        <w:tc>
          <w:tcPr>
            <w:tcW w:w="709" w:type="dxa"/>
          </w:tcPr>
          <w:p w14:paraId="41E2D08E">
            <w:pPr>
              <w:snapToGrid w:val="0"/>
              <w:rPr>
                <w:sz w:val="24"/>
                <w:szCs w:val="24"/>
              </w:rPr>
            </w:pPr>
          </w:p>
        </w:tc>
        <w:tc>
          <w:tcPr>
            <w:tcW w:w="850" w:type="dxa"/>
          </w:tcPr>
          <w:p w14:paraId="15213D00">
            <w:pPr>
              <w:snapToGrid w:val="0"/>
              <w:rPr>
                <w:sz w:val="24"/>
                <w:szCs w:val="24"/>
              </w:rPr>
            </w:pPr>
          </w:p>
        </w:tc>
        <w:tc>
          <w:tcPr>
            <w:tcW w:w="993" w:type="dxa"/>
          </w:tcPr>
          <w:p w14:paraId="6E49AE85">
            <w:pPr>
              <w:snapToGrid w:val="0"/>
              <w:rPr>
                <w:sz w:val="24"/>
                <w:szCs w:val="24"/>
              </w:rPr>
            </w:pPr>
          </w:p>
        </w:tc>
        <w:tc>
          <w:tcPr>
            <w:tcW w:w="850" w:type="dxa"/>
          </w:tcPr>
          <w:p w14:paraId="108526C8">
            <w:pPr>
              <w:snapToGrid w:val="0"/>
              <w:rPr>
                <w:sz w:val="24"/>
                <w:szCs w:val="24"/>
              </w:rPr>
            </w:pPr>
          </w:p>
        </w:tc>
        <w:tc>
          <w:tcPr>
            <w:tcW w:w="992" w:type="dxa"/>
          </w:tcPr>
          <w:p w14:paraId="7BA07E70">
            <w:pPr>
              <w:snapToGrid w:val="0"/>
              <w:rPr>
                <w:sz w:val="24"/>
                <w:szCs w:val="24"/>
              </w:rPr>
            </w:pPr>
          </w:p>
        </w:tc>
        <w:tc>
          <w:tcPr>
            <w:tcW w:w="1701" w:type="dxa"/>
          </w:tcPr>
          <w:p w14:paraId="5ABA39D7">
            <w:pPr>
              <w:snapToGrid w:val="0"/>
              <w:rPr>
                <w:sz w:val="24"/>
                <w:szCs w:val="24"/>
              </w:rPr>
            </w:pPr>
          </w:p>
        </w:tc>
        <w:tc>
          <w:tcPr>
            <w:tcW w:w="1701" w:type="dxa"/>
          </w:tcPr>
          <w:p w14:paraId="358AB422">
            <w:pPr>
              <w:snapToGrid w:val="0"/>
              <w:rPr>
                <w:sz w:val="24"/>
                <w:szCs w:val="24"/>
              </w:rPr>
            </w:pPr>
          </w:p>
        </w:tc>
      </w:tr>
      <w:tr w14:paraId="60BA3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905" w:hRule="atLeast"/>
          <w:jc w:val="center"/>
        </w:trPr>
        <w:tc>
          <w:tcPr>
            <w:tcW w:w="616" w:type="dxa"/>
          </w:tcPr>
          <w:p w14:paraId="20521EDD">
            <w:pPr>
              <w:snapToGrid w:val="0"/>
              <w:rPr>
                <w:sz w:val="24"/>
                <w:szCs w:val="24"/>
              </w:rPr>
            </w:pPr>
          </w:p>
        </w:tc>
        <w:tc>
          <w:tcPr>
            <w:tcW w:w="1276" w:type="dxa"/>
          </w:tcPr>
          <w:p w14:paraId="4DB12CAF">
            <w:pPr>
              <w:snapToGrid w:val="0"/>
              <w:rPr>
                <w:sz w:val="24"/>
                <w:szCs w:val="24"/>
              </w:rPr>
            </w:pPr>
          </w:p>
        </w:tc>
        <w:tc>
          <w:tcPr>
            <w:tcW w:w="709" w:type="dxa"/>
          </w:tcPr>
          <w:p w14:paraId="60AEAF97">
            <w:pPr>
              <w:snapToGrid w:val="0"/>
              <w:rPr>
                <w:sz w:val="24"/>
                <w:szCs w:val="24"/>
              </w:rPr>
            </w:pPr>
          </w:p>
        </w:tc>
        <w:tc>
          <w:tcPr>
            <w:tcW w:w="850" w:type="dxa"/>
          </w:tcPr>
          <w:p w14:paraId="7D4329F9">
            <w:pPr>
              <w:snapToGrid w:val="0"/>
              <w:rPr>
                <w:sz w:val="24"/>
                <w:szCs w:val="24"/>
              </w:rPr>
            </w:pPr>
          </w:p>
        </w:tc>
        <w:tc>
          <w:tcPr>
            <w:tcW w:w="993" w:type="dxa"/>
          </w:tcPr>
          <w:p w14:paraId="6B075E1C">
            <w:pPr>
              <w:snapToGrid w:val="0"/>
              <w:rPr>
                <w:sz w:val="24"/>
                <w:szCs w:val="24"/>
              </w:rPr>
            </w:pPr>
          </w:p>
        </w:tc>
        <w:tc>
          <w:tcPr>
            <w:tcW w:w="850" w:type="dxa"/>
          </w:tcPr>
          <w:p w14:paraId="5628D569">
            <w:pPr>
              <w:snapToGrid w:val="0"/>
              <w:rPr>
                <w:sz w:val="24"/>
                <w:szCs w:val="24"/>
              </w:rPr>
            </w:pPr>
          </w:p>
        </w:tc>
        <w:tc>
          <w:tcPr>
            <w:tcW w:w="992" w:type="dxa"/>
          </w:tcPr>
          <w:p w14:paraId="71C43A7D">
            <w:pPr>
              <w:snapToGrid w:val="0"/>
              <w:rPr>
                <w:sz w:val="24"/>
                <w:szCs w:val="24"/>
              </w:rPr>
            </w:pPr>
          </w:p>
        </w:tc>
        <w:tc>
          <w:tcPr>
            <w:tcW w:w="1701" w:type="dxa"/>
          </w:tcPr>
          <w:p w14:paraId="7807ECFF">
            <w:pPr>
              <w:snapToGrid w:val="0"/>
              <w:rPr>
                <w:sz w:val="24"/>
                <w:szCs w:val="24"/>
              </w:rPr>
            </w:pPr>
          </w:p>
        </w:tc>
        <w:tc>
          <w:tcPr>
            <w:tcW w:w="1701" w:type="dxa"/>
          </w:tcPr>
          <w:p w14:paraId="77B94EC3">
            <w:pPr>
              <w:snapToGrid w:val="0"/>
              <w:rPr>
                <w:sz w:val="24"/>
                <w:szCs w:val="24"/>
              </w:rPr>
            </w:pPr>
          </w:p>
        </w:tc>
      </w:tr>
      <w:tr w14:paraId="05E12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905" w:hRule="atLeast"/>
          <w:jc w:val="center"/>
        </w:trPr>
        <w:tc>
          <w:tcPr>
            <w:tcW w:w="616" w:type="dxa"/>
          </w:tcPr>
          <w:p w14:paraId="6E2FCB4E">
            <w:pPr>
              <w:snapToGrid w:val="0"/>
              <w:rPr>
                <w:sz w:val="24"/>
                <w:szCs w:val="24"/>
              </w:rPr>
            </w:pPr>
          </w:p>
        </w:tc>
        <w:tc>
          <w:tcPr>
            <w:tcW w:w="1276" w:type="dxa"/>
          </w:tcPr>
          <w:p w14:paraId="4F29E093">
            <w:pPr>
              <w:snapToGrid w:val="0"/>
              <w:rPr>
                <w:sz w:val="24"/>
                <w:szCs w:val="24"/>
              </w:rPr>
            </w:pPr>
          </w:p>
        </w:tc>
        <w:tc>
          <w:tcPr>
            <w:tcW w:w="709" w:type="dxa"/>
          </w:tcPr>
          <w:p w14:paraId="6066202D">
            <w:pPr>
              <w:snapToGrid w:val="0"/>
              <w:rPr>
                <w:sz w:val="24"/>
                <w:szCs w:val="24"/>
              </w:rPr>
            </w:pPr>
          </w:p>
        </w:tc>
        <w:tc>
          <w:tcPr>
            <w:tcW w:w="850" w:type="dxa"/>
          </w:tcPr>
          <w:p w14:paraId="0EA26178">
            <w:pPr>
              <w:snapToGrid w:val="0"/>
              <w:rPr>
                <w:sz w:val="24"/>
                <w:szCs w:val="24"/>
              </w:rPr>
            </w:pPr>
          </w:p>
        </w:tc>
        <w:tc>
          <w:tcPr>
            <w:tcW w:w="993" w:type="dxa"/>
          </w:tcPr>
          <w:p w14:paraId="336B529E">
            <w:pPr>
              <w:snapToGrid w:val="0"/>
              <w:rPr>
                <w:sz w:val="24"/>
                <w:szCs w:val="24"/>
              </w:rPr>
            </w:pPr>
          </w:p>
        </w:tc>
        <w:tc>
          <w:tcPr>
            <w:tcW w:w="850" w:type="dxa"/>
          </w:tcPr>
          <w:p w14:paraId="5B388089">
            <w:pPr>
              <w:snapToGrid w:val="0"/>
              <w:rPr>
                <w:sz w:val="24"/>
                <w:szCs w:val="24"/>
              </w:rPr>
            </w:pPr>
          </w:p>
        </w:tc>
        <w:tc>
          <w:tcPr>
            <w:tcW w:w="992" w:type="dxa"/>
          </w:tcPr>
          <w:p w14:paraId="7CF3A556">
            <w:pPr>
              <w:snapToGrid w:val="0"/>
              <w:rPr>
                <w:sz w:val="24"/>
                <w:szCs w:val="24"/>
              </w:rPr>
            </w:pPr>
          </w:p>
        </w:tc>
        <w:tc>
          <w:tcPr>
            <w:tcW w:w="1701" w:type="dxa"/>
          </w:tcPr>
          <w:p w14:paraId="70FE871B">
            <w:pPr>
              <w:snapToGrid w:val="0"/>
              <w:rPr>
                <w:sz w:val="24"/>
                <w:szCs w:val="24"/>
              </w:rPr>
            </w:pPr>
          </w:p>
        </w:tc>
        <w:tc>
          <w:tcPr>
            <w:tcW w:w="1701" w:type="dxa"/>
          </w:tcPr>
          <w:p w14:paraId="48284300">
            <w:pPr>
              <w:snapToGrid w:val="0"/>
              <w:rPr>
                <w:sz w:val="24"/>
                <w:szCs w:val="24"/>
              </w:rPr>
            </w:pPr>
          </w:p>
        </w:tc>
      </w:tr>
      <w:tr w14:paraId="4289A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905" w:hRule="atLeast"/>
          <w:jc w:val="center"/>
        </w:trPr>
        <w:tc>
          <w:tcPr>
            <w:tcW w:w="616" w:type="dxa"/>
          </w:tcPr>
          <w:p w14:paraId="171E512A">
            <w:pPr>
              <w:snapToGrid w:val="0"/>
              <w:rPr>
                <w:sz w:val="24"/>
                <w:szCs w:val="24"/>
              </w:rPr>
            </w:pPr>
          </w:p>
        </w:tc>
        <w:tc>
          <w:tcPr>
            <w:tcW w:w="1276" w:type="dxa"/>
          </w:tcPr>
          <w:p w14:paraId="454EF083">
            <w:pPr>
              <w:snapToGrid w:val="0"/>
              <w:rPr>
                <w:sz w:val="24"/>
                <w:szCs w:val="24"/>
              </w:rPr>
            </w:pPr>
          </w:p>
        </w:tc>
        <w:tc>
          <w:tcPr>
            <w:tcW w:w="709" w:type="dxa"/>
          </w:tcPr>
          <w:p w14:paraId="14CAA158">
            <w:pPr>
              <w:snapToGrid w:val="0"/>
              <w:rPr>
                <w:sz w:val="24"/>
                <w:szCs w:val="24"/>
              </w:rPr>
            </w:pPr>
          </w:p>
        </w:tc>
        <w:tc>
          <w:tcPr>
            <w:tcW w:w="850" w:type="dxa"/>
          </w:tcPr>
          <w:p w14:paraId="13013CE5">
            <w:pPr>
              <w:snapToGrid w:val="0"/>
              <w:rPr>
                <w:sz w:val="24"/>
                <w:szCs w:val="24"/>
              </w:rPr>
            </w:pPr>
          </w:p>
        </w:tc>
        <w:tc>
          <w:tcPr>
            <w:tcW w:w="993" w:type="dxa"/>
          </w:tcPr>
          <w:p w14:paraId="5F9E044C">
            <w:pPr>
              <w:snapToGrid w:val="0"/>
              <w:rPr>
                <w:sz w:val="24"/>
                <w:szCs w:val="24"/>
              </w:rPr>
            </w:pPr>
          </w:p>
        </w:tc>
        <w:tc>
          <w:tcPr>
            <w:tcW w:w="850" w:type="dxa"/>
          </w:tcPr>
          <w:p w14:paraId="52183AFD">
            <w:pPr>
              <w:snapToGrid w:val="0"/>
              <w:rPr>
                <w:sz w:val="24"/>
                <w:szCs w:val="24"/>
              </w:rPr>
            </w:pPr>
          </w:p>
        </w:tc>
        <w:tc>
          <w:tcPr>
            <w:tcW w:w="992" w:type="dxa"/>
          </w:tcPr>
          <w:p w14:paraId="7D1ABC42">
            <w:pPr>
              <w:snapToGrid w:val="0"/>
              <w:rPr>
                <w:sz w:val="24"/>
                <w:szCs w:val="24"/>
              </w:rPr>
            </w:pPr>
          </w:p>
        </w:tc>
        <w:tc>
          <w:tcPr>
            <w:tcW w:w="1701" w:type="dxa"/>
          </w:tcPr>
          <w:p w14:paraId="111FD96F">
            <w:pPr>
              <w:snapToGrid w:val="0"/>
              <w:rPr>
                <w:sz w:val="24"/>
                <w:szCs w:val="24"/>
              </w:rPr>
            </w:pPr>
          </w:p>
        </w:tc>
        <w:tc>
          <w:tcPr>
            <w:tcW w:w="1701" w:type="dxa"/>
          </w:tcPr>
          <w:p w14:paraId="0348864C">
            <w:pPr>
              <w:snapToGrid w:val="0"/>
              <w:rPr>
                <w:sz w:val="24"/>
                <w:szCs w:val="24"/>
              </w:rPr>
            </w:pPr>
          </w:p>
        </w:tc>
      </w:tr>
      <w:tr w14:paraId="047EF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905" w:hRule="atLeast"/>
          <w:jc w:val="center"/>
        </w:trPr>
        <w:tc>
          <w:tcPr>
            <w:tcW w:w="616" w:type="dxa"/>
          </w:tcPr>
          <w:p w14:paraId="3AB5A6CB">
            <w:pPr>
              <w:snapToGrid w:val="0"/>
              <w:rPr>
                <w:sz w:val="24"/>
                <w:szCs w:val="24"/>
              </w:rPr>
            </w:pPr>
          </w:p>
        </w:tc>
        <w:tc>
          <w:tcPr>
            <w:tcW w:w="1276" w:type="dxa"/>
          </w:tcPr>
          <w:p w14:paraId="7401B68D">
            <w:pPr>
              <w:snapToGrid w:val="0"/>
              <w:rPr>
                <w:sz w:val="24"/>
                <w:szCs w:val="24"/>
              </w:rPr>
            </w:pPr>
          </w:p>
        </w:tc>
        <w:tc>
          <w:tcPr>
            <w:tcW w:w="709" w:type="dxa"/>
          </w:tcPr>
          <w:p w14:paraId="25C9DB48">
            <w:pPr>
              <w:snapToGrid w:val="0"/>
              <w:rPr>
                <w:sz w:val="24"/>
                <w:szCs w:val="24"/>
              </w:rPr>
            </w:pPr>
          </w:p>
        </w:tc>
        <w:tc>
          <w:tcPr>
            <w:tcW w:w="850" w:type="dxa"/>
          </w:tcPr>
          <w:p w14:paraId="501FE88D">
            <w:pPr>
              <w:snapToGrid w:val="0"/>
              <w:rPr>
                <w:sz w:val="24"/>
                <w:szCs w:val="24"/>
              </w:rPr>
            </w:pPr>
          </w:p>
        </w:tc>
        <w:tc>
          <w:tcPr>
            <w:tcW w:w="993" w:type="dxa"/>
          </w:tcPr>
          <w:p w14:paraId="5C86D5B4">
            <w:pPr>
              <w:snapToGrid w:val="0"/>
              <w:rPr>
                <w:sz w:val="24"/>
                <w:szCs w:val="24"/>
              </w:rPr>
            </w:pPr>
          </w:p>
        </w:tc>
        <w:tc>
          <w:tcPr>
            <w:tcW w:w="850" w:type="dxa"/>
          </w:tcPr>
          <w:p w14:paraId="77E13184">
            <w:pPr>
              <w:snapToGrid w:val="0"/>
              <w:rPr>
                <w:sz w:val="24"/>
                <w:szCs w:val="24"/>
              </w:rPr>
            </w:pPr>
          </w:p>
        </w:tc>
        <w:tc>
          <w:tcPr>
            <w:tcW w:w="992" w:type="dxa"/>
          </w:tcPr>
          <w:p w14:paraId="343C4F77">
            <w:pPr>
              <w:snapToGrid w:val="0"/>
              <w:rPr>
                <w:sz w:val="24"/>
                <w:szCs w:val="24"/>
              </w:rPr>
            </w:pPr>
          </w:p>
        </w:tc>
        <w:tc>
          <w:tcPr>
            <w:tcW w:w="1701" w:type="dxa"/>
          </w:tcPr>
          <w:p w14:paraId="4AAD1E2E">
            <w:pPr>
              <w:snapToGrid w:val="0"/>
              <w:rPr>
                <w:sz w:val="24"/>
                <w:szCs w:val="24"/>
              </w:rPr>
            </w:pPr>
          </w:p>
        </w:tc>
        <w:tc>
          <w:tcPr>
            <w:tcW w:w="1701" w:type="dxa"/>
          </w:tcPr>
          <w:p w14:paraId="11EC7EF2">
            <w:pPr>
              <w:snapToGrid w:val="0"/>
              <w:rPr>
                <w:sz w:val="24"/>
                <w:szCs w:val="24"/>
              </w:rPr>
            </w:pPr>
          </w:p>
        </w:tc>
      </w:tr>
    </w:tbl>
    <w:p w14:paraId="298D5AA3">
      <w:pPr>
        <w:pStyle w:val="15"/>
        <w:spacing w:line="360" w:lineRule="auto"/>
        <w:rPr>
          <w:rFonts w:ascii="Times New Roman" w:hAnsi="Times New Roman"/>
          <w:spacing w:val="20"/>
          <w:sz w:val="24"/>
          <w:szCs w:val="24"/>
          <w:u w:val="single" w:color="000000"/>
        </w:rPr>
      </w:pPr>
      <w:r>
        <w:rPr>
          <w:rFonts w:ascii="Times New Roman" w:hAnsi="宋体"/>
          <w:spacing w:val="20"/>
          <w:sz w:val="24"/>
          <w:szCs w:val="24"/>
        </w:rPr>
        <w:t>日</w:t>
      </w:r>
      <w:r>
        <w:rPr>
          <w:rFonts w:ascii="Times New Roman" w:hAnsi="Times New Roman"/>
          <w:spacing w:val="20"/>
          <w:sz w:val="24"/>
          <w:szCs w:val="24"/>
        </w:rPr>
        <w:t xml:space="preserve">    </w:t>
      </w:r>
      <w:r>
        <w:rPr>
          <w:rFonts w:ascii="Times New Roman" w:hAnsi="宋体"/>
          <w:spacing w:val="20"/>
          <w:sz w:val="24"/>
          <w:szCs w:val="24"/>
        </w:rPr>
        <w:t>期</w:t>
      </w:r>
      <w:r>
        <w:rPr>
          <w:rFonts w:ascii="Times New Roman" w:hAnsi="Times New Roman"/>
          <w:spacing w:val="20"/>
          <w:sz w:val="24"/>
          <w:szCs w:val="24"/>
        </w:rPr>
        <w:t>:</w:t>
      </w:r>
    </w:p>
    <w:p w14:paraId="531F371C">
      <w:pPr>
        <w:pStyle w:val="15"/>
        <w:spacing w:line="360" w:lineRule="auto"/>
        <w:ind w:firstLine="2409" w:firstLineChars="800"/>
        <w:outlineLvl w:val="1"/>
        <w:rPr>
          <w:rFonts w:hint="eastAsia" w:hAnsi="宋体" w:cs="宋体"/>
          <w:b/>
          <w:sz w:val="32"/>
          <w:szCs w:val="32"/>
        </w:rPr>
      </w:pPr>
      <w:r>
        <w:rPr>
          <w:rFonts w:ascii="Times New Roman"/>
          <w:b/>
          <w:sz w:val="30"/>
          <w:szCs w:val="30"/>
        </w:rPr>
        <w:br w:type="page"/>
      </w:r>
      <w:r>
        <w:rPr>
          <w:rFonts w:hint="eastAsia" w:hAnsi="宋体" w:cs="宋体"/>
          <w:b/>
          <w:sz w:val="32"/>
          <w:szCs w:val="32"/>
        </w:rPr>
        <w:t>义乌市政府采购项目投标承诺书</w:t>
      </w:r>
    </w:p>
    <w:p w14:paraId="311A143E">
      <w:pPr>
        <w:spacing w:line="360" w:lineRule="auto"/>
        <w:ind w:firstLine="210" w:firstLineChars="100"/>
        <w:rPr>
          <w:rFonts w:hint="eastAsia" w:ascii="宋体" w:hAnsi="宋体" w:eastAsia="宋体" w:cs="宋体"/>
        </w:rPr>
      </w:pPr>
      <w:r>
        <w:rPr>
          <w:rFonts w:hint="eastAsia" w:ascii="宋体" w:hAnsi="宋体" w:eastAsia="宋体" w:cs="宋体"/>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eastAsia" w:ascii="宋体" w:hAnsi="宋体" w:eastAsia="宋体" w:cs="宋体"/>
          <w:szCs w:val="21"/>
        </w:rPr>
        <w:t>中标</w:t>
      </w:r>
      <w:r>
        <w:rPr>
          <w:rFonts w:hint="eastAsia" w:ascii="宋体" w:hAnsi="宋体" w:eastAsia="宋体" w:cs="宋体"/>
        </w:rPr>
        <w:t>；</w:t>
      </w:r>
    </w:p>
    <w:p w14:paraId="3E0E2BB1">
      <w:pPr>
        <w:spacing w:line="360" w:lineRule="auto"/>
        <w:ind w:firstLine="210" w:firstLineChars="100"/>
        <w:rPr>
          <w:rFonts w:hint="eastAsia" w:ascii="宋体" w:hAnsi="宋体" w:eastAsia="宋体" w:cs="宋体"/>
          <w:szCs w:val="21"/>
        </w:rPr>
      </w:pPr>
      <w:r>
        <w:rPr>
          <w:rFonts w:hint="eastAsia" w:ascii="宋体" w:hAnsi="宋体" w:eastAsia="宋体" w:cs="宋体"/>
        </w:rPr>
        <w:t>2、自愿接受义乌市财政局（以下简称市财政局）的管理，并严格遵守政府采购监管部门制定的招投标管理制度、规范和纪律。</w:t>
      </w:r>
    </w:p>
    <w:p w14:paraId="062ABCB7">
      <w:pPr>
        <w:spacing w:line="360" w:lineRule="auto"/>
        <w:ind w:left="-34" w:leftChars="-16" w:firstLine="210" w:firstLineChars="100"/>
        <w:rPr>
          <w:rFonts w:hint="eastAsia" w:ascii="宋体" w:hAnsi="宋体" w:eastAsia="宋体" w:cs="宋体"/>
          <w:szCs w:val="21"/>
        </w:rPr>
      </w:pPr>
      <w:r>
        <w:rPr>
          <w:rFonts w:hint="eastAsia" w:ascii="宋体" w:hAnsi="宋体" w:eastAsia="宋体" w:cs="宋体"/>
          <w:szCs w:val="21"/>
        </w:rPr>
        <w:t>3、我单位承诺参与本次投标的资格符合《中华人民共和国政府采购法》的规定，并承诺近三年内，在经营活动中没有重大违法记录。</w:t>
      </w:r>
    </w:p>
    <w:p w14:paraId="027EC9D6">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14:paraId="0AC109A6">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5、不转让、出借、涂改、伪造资质（资格）证书或者以其他方式允许其他单位（个人）以我单位（本人）名义承接业务。</w:t>
      </w:r>
    </w:p>
    <w:p w14:paraId="1313BDE0">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6、不与采购人或者其他投标人相互串通投标，围标，不以行贿等不正当手段谋取</w:t>
      </w:r>
      <w:r>
        <w:rPr>
          <w:rFonts w:hint="eastAsia" w:ascii="宋体" w:hAnsi="宋体" w:eastAsia="宋体" w:cs="宋体"/>
          <w:sz w:val="24"/>
        </w:rPr>
        <w:t>中标</w:t>
      </w:r>
      <w:r>
        <w:rPr>
          <w:rFonts w:hint="eastAsia" w:ascii="宋体" w:hAnsi="宋体" w:eastAsia="宋体" w:cs="宋体"/>
          <w:szCs w:val="21"/>
        </w:rPr>
        <w:t>。</w:t>
      </w:r>
    </w:p>
    <w:p w14:paraId="657805CF">
      <w:pPr>
        <w:spacing w:line="360" w:lineRule="auto"/>
        <w:ind w:left="-34" w:leftChars="-16" w:firstLine="210" w:firstLineChars="100"/>
        <w:rPr>
          <w:rFonts w:hint="eastAsia" w:ascii="宋体" w:hAnsi="宋体" w:eastAsia="宋体" w:cs="宋体"/>
          <w:szCs w:val="21"/>
        </w:rPr>
      </w:pPr>
      <w:r>
        <w:rPr>
          <w:rFonts w:hint="eastAsia" w:ascii="宋体" w:hAnsi="宋体" w:eastAsia="宋体" w:cs="宋体"/>
          <w:szCs w:val="21"/>
        </w:rPr>
        <w:t>7、在备案、招标、投标、报名、开标、评标、询标、中标、签订合同、合同备案等招投标预备和进行的全过程中提供的资料均真实、有效，不弄虚作假。</w:t>
      </w:r>
    </w:p>
    <w:p w14:paraId="40B3E568">
      <w:pPr>
        <w:tabs>
          <w:tab w:val="left" w:pos="8820"/>
        </w:tabs>
        <w:spacing w:line="360" w:lineRule="auto"/>
        <w:ind w:firstLine="210" w:firstLineChars="100"/>
        <w:rPr>
          <w:rFonts w:hint="eastAsia" w:ascii="宋体" w:hAnsi="宋体" w:eastAsia="宋体" w:cs="宋体"/>
        </w:rPr>
      </w:pPr>
      <w:r>
        <w:rPr>
          <w:rFonts w:hint="eastAsia" w:ascii="宋体" w:hAnsi="宋体" w:eastAsia="宋体" w:cs="宋体"/>
        </w:rPr>
        <w:t>8、我方已详细审核全部招标文件，包括修改文件（如果有的话），及有关附件，我方同意放弃提出含糊不清或误解的权利。 </w:t>
      </w:r>
    </w:p>
    <w:p w14:paraId="403E23F1">
      <w:pPr>
        <w:tabs>
          <w:tab w:val="left" w:pos="8820"/>
        </w:tabs>
        <w:spacing w:line="360" w:lineRule="auto"/>
        <w:ind w:firstLine="210" w:firstLineChars="100"/>
        <w:rPr>
          <w:rFonts w:hint="eastAsia" w:ascii="宋体" w:hAnsi="宋体" w:eastAsia="宋体" w:cs="宋体"/>
        </w:rPr>
      </w:pPr>
      <w:r>
        <w:rPr>
          <w:rFonts w:hint="eastAsia" w:ascii="宋体" w:hAnsi="宋体" w:eastAsia="宋体" w:cs="宋体"/>
        </w:rPr>
        <w:t>9、我方同意所递交的投标文件在招标期内有效，在此期间内我方有可能中标，我方将受此约束。</w:t>
      </w:r>
    </w:p>
    <w:p w14:paraId="2569F779">
      <w:pPr>
        <w:tabs>
          <w:tab w:val="left" w:pos="8820"/>
        </w:tabs>
        <w:spacing w:line="360" w:lineRule="auto"/>
        <w:ind w:firstLine="210" w:firstLineChars="100"/>
        <w:rPr>
          <w:rFonts w:hint="eastAsia" w:ascii="宋体" w:hAnsi="宋体" w:eastAsia="宋体" w:cs="宋体"/>
        </w:rPr>
      </w:pPr>
      <w:r>
        <w:rPr>
          <w:rFonts w:hint="eastAsia" w:ascii="宋体" w:hAnsi="宋体" w:eastAsia="宋体" w:cs="宋体"/>
        </w:rPr>
        <w:t>10、我方相信贵方的招标结果是公正、合法的，无论我方</w:t>
      </w:r>
      <w:r>
        <w:rPr>
          <w:rFonts w:hint="eastAsia" w:ascii="宋体" w:hAnsi="宋体" w:eastAsia="宋体" w:cs="宋体"/>
          <w:szCs w:val="21"/>
        </w:rPr>
        <w:t>中标</w:t>
      </w:r>
      <w:r>
        <w:rPr>
          <w:rFonts w:hint="eastAsia" w:ascii="宋体" w:hAnsi="宋体" w:eastAsia="宋体" w:cs="宋体"/>
        </w:rPr>
        <w:t>还是落标，我方将接受这一结果。 </w:t>
      </w:r>
    </w:p>
    <w:p w14:paraId="5348E8D1">
      <w:pPr>
        <w:tabs>
          <w:tab w:val="left" w:pos="8820"/>
        </w:tabs>
        <w:spacing w:line="360" w:lineRule="auto"/>
        <w:ind w:firstLine="210" w:firstLineChars="100"/>
        <w:rPr>
          <w:rFonts w:hint="eastAsia" w:ascii="宋体" w:hAnsi="宋体" w:eastAsia="宋体" w:cs="宋体"/>
        </w:rPr>
      </w:pPr>
      <w:r>
        <w:rPr>
          <w:rFonts w:hint="eastAsia" w:ascii="宋体" w:hAnsi="宋体" w:eastAsia="宋体" w:cs="宋体"/>
        </w:rPr>
        <w:t>11、一旦我方</w:t>
      </w:r>
      <w:r>
        <w:rPr>
          <w:rFonts w:hint="eastAsia" w:ascii="宋体" w:hAnsi="宋体" w:eastAsia="宋体" w:cs="宋体"/>
          <w:szCs w:val="21"/>
        </w:rPr>
        <w:t>中标</w:t>
      </w:r>
      <w:r>
        <w:rPr>
          <w:rFonts w:hint="eastAsia" w:ascii="宋体" w:hAnsi="宋体" w:eastAsia="宋体" w:cs="宋体"/>
        </w:rPr>
        <w:t>，我方将严格依照招标文件中的相关规定与招标方签订合同。</w:t>
      </w:r>
    </w:p>
    <w:p w14:paraId="49CD5A6D">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12、不低于企业成本价投标，不恶意过高报价，不扰乱招投标的正常秩序。</w:t>
      </w:r>
    </w:p>
    <w:p w14:paraId="61F979B8">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13、严格遵守开标会议纪律，不在开标会场吵闹、滋事，服从工作人员指挥。</w:t>
      </w:r>
    </w:p>
    <w:p w14:paraId="4E0E308E">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14、按照法律法规和本项目招标文件规定的程序和方式进行异议和投诉，不越级投诉，不无理投诉。如捏造事实、伪造材料或者以非法手段取得说明材料进行投诉，给他人造成损失的，依法承担赔偿责任。</w:t>
      </w:r>
    </w:p>
    <w:p w14:paraId="38CD83F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14:paraId="08846227">
      <w:pPr>
        <w:spacing w:line="360" w:lineRule="auto"/>
        <w:rPr>
          <w:rFonts w:hint="eastAsia" w:ascii="宋体" w:hAnsi="宋体" w:eastAsia="宋体" w:cs="宋体"/>
          <w:szCs w:val="21"/>
        </w:rPr>
      </w:pPr>
    </w:p>
    <w:p w14:paraId="67079142">
      <w:pPr>
        <w:pStyle w:val="35"/>
        <w:ind w:left="480" w:hanging="480" w:hangingChars="200"/>
        <w:rPr>
          <w:rFonts w:hint="eastAsia" w:ascii="宋体" w:hAnsi="宋体" w:eastAsia="宋体" w:cs="宋体"/>
          <w:szCs w:val="21"/>
        </w:rPr>
      </w:pPr>
      <w:r>
        <w:rPr>
          <w:rFonts w:hint="eastAsia" w:ascii="宋体" w:hAnsi="宋体" w:eastAsia="宋体" w:cs="宋体"/>
          <w:szCs w:val="21"/>
        </w:rPr>
        <w:t xml:space="preserve">投标人（电子签章）：      </w:t>
      </w:r>
      <w:r>
        <w:rPr>
          <w:rFonts w:hint="eastAsia" w:ascii="宋体" w:hAnsi="宋体" w:eastAsia="宋体" w:cs="宋体"/>
          <w:szCs w:val="21"/>
          <w:lang w:val="en-US"/>
        </w:rPr>
        <w:t xml:space="preserve">                          </w:t>
      </w:r>
      <w:r>
        <w:rPr>
          <w:rFonts w:hint="eastAsia" w:ascii="宋体" w:hAnsi="宋体" w:eastAsia="宋体" w:cs="宋体"/>
          <w:szCs w:val="21"/>
        </w:rPr>
        <w:t>年  月   日</w:t>
      </w:r>
    </w:p>
    <w:p w14:paraId="31CF64C0">
      <w:pPr>
        <w:spacing w:line="360" w:lineRule="auto"/>
        <w:rPr>
          <w:rFonts w:hint="eastAsia" w:ascii="宋体" w:hAnsi="宋体" w:eastAsia="宋体" w:cs="宋体"/>
          <w:b/>
          <w:bCs/>
          <w:sz w:val="36"/>
          <w:szCs w:val="36"/>
        </w:rPr>
      </w:pPr>
      <w:r>
        <w:rPr>
          <w:rFonts w:hint="eastAsia" w:ascii="宋体" w:hAnsi="宋体" w:eastAsia="宋体" w:cs="宋体"/>
          <w:b/>
          <w:bCs/>
          <w:sz w:val="36"/>
          <w:szCs w:val="36"/>
        </w:rPr>
        <w:br w:type="page"/>
      </w:r>
    </w:p>
    <w:p w14:paraId="210E4F3E">
      <w:pPr>
        <w:pStyle w:val="15"/>
        <w:spacing w:line="360" w:lineRule="auto"/>
        <w:ind w:firstLine="3253" w:firstLineChars="900"/>
        <w:outlineLvl w:val="1"/>
        <w:rPr>
          <w:rFonts w:hint="eastAsia" w:hAnsi="宋体" w:cs="宋体"/>
          <w:b/>
          <w:bCs/>
          <w:sz w:val="36"/>
          <w:szCs w:val="36"/>
        </w:rPr>
      </w:pPr>
      <w:r>
        <w:rPr>
          <w:rFonts w:hint="eastAsia" w:hAnsi="宋体" w:cs="宋体"/>
          <w:b/>
          <w:bCs/>
          <w:sz w:val="36"/>
          <w:szCs w:val="36"/>
        </w:rPr>
        <w:t>投标函（格式）</w:t>
      </w:r>
    </w:p>
    <w:p w14:paraId="277CCED6">
      <w:pPr>
        <w:pStyle w:val="15"/>
        <w:spacing w:line="360" w:lineRule="auto"/>
        <w:rPr>
          <w:rFonts w:hint="eastAsia" w:hAnsi="宋体" w:cs="宋体"/>
          <w:sz w:val="24"/>
        </w:rPr>
      </w:pPr>
      <w:r>
        <w:rPr>
          <w:rFonts w:hint="eastAsia" w:hAnsi="宋体" w:cs="宋体"/>
          <w:sz w:val="24"/>
        </w:rPr>
        <w:t>致：</w:t>
      </w:r>
    </w:p>
    <w:p w14:paraId="0F57D50D">
      <w:pPr>
        <w:pStyle w:val="15"/>
        <w:spacing w:line="360" w:lineRule="auto"/>
        <w:rPr>
          <w:rFonts w:hint="eastAsia" w:hAnsi="宋体" w:cs="宋体"/>
          <w:sz w:val="24"/>
        </w:rPr>
      </w:pPr>
      <w:r>
        <w:rPr>
          <w:rFonts w:hint="eastAsia" w:hAnsi="宋体" w:cs="宋体"/>
          <w:sz w:val="24"/>
        </w:rPr>
        <w:t xml:space="preserve">     _________________________（投标人全称）授权_________________（全名、职务）为全权代表参加贵方组织的_________________________项目（采购项目名称、采购编号）的招标、投标等有关活动，为此提交下述文件：</w:t>
      </w:r>
    </w:p>
    <w:p w14:paraId="1BABA093">
      <w:pPr>
        <w:spacing w:line="360" w:lineRule="auto"/>
        <w:ind w:firstLine="480" w:firstLineChars="200"/>
        <w:rPr>
          <w:rFonts w:hint="eastAsia" w:ascii="宋体" w:hAnsi="宋体" w:eastAsia="宋体" w:cs="宋体"/>
          <w:sz w:val="24"/>
        </w:rPr>
      </w:pPr>
      <w:r>
        <w:rPr>
          <w:rFonts w:hint="eastAsia" w:ascii="宋体" w:hAnsi="宋体" w:eastAsia="宋体" w:cs="宋体"/>
          <w:sz w:val="24"/>
        </w:rPr>
        <w:t>1、资格响应文件</w:t>
      </w:r>
    </w:p>
    <w:p w14:paraId="5B968217">
      <w:pPr>
        <w:spacing w:line="360" w:lineRule="auto"/>
        <w:ind w:firstLine="480" w:firstLineChars="200"/>
        <w:rPr>
          <w:rFonts w:hint="eastAsia" w:ascii="宋体" w:hAnsi="宋体" w:eastAsia="宋体" w:cs="宋体"/>
          <w:sz w:val="24"/>
        </w:rPr>
      </w:pPr>
      <w:r>
        <w:rPr>
          <w:rFonts w:hint="eastAsia" w:ascii="宋体" w:hAnsi="宋体" w:eastAsia="宋体" w:cs="宋体"/>
          <w:sz w:val="24"/>
        </w:rPr>
        <w:t>2、商务技术响应文件；</w:t>
      </w:r>
    </w:p>
    <w:p w14:paraId="210DCDA8">
      <w:pPr>
        <w:spacing w:line="360" w:lineRule="auto"/>
        <w:ind w:firstLine="480" w:firstLineChars="200"/>
        <w:rPr>
          <w:rFonts w:hint="eastAsia" w:ascii="宋体" w:hAnsi="宋体" w:eastAsia="宋体" w:cs="宋体"/>
          <w:sz w:val="24"/>
        </w:rPr>
      </w:pPr>
      <w:r>
        <w:rPr>
          <w:rFonts w:hint="eastAsia" w:ascii="宋体" w:hAnsi="宋体" w:eastAsia="宋体" w:cs="宋体"/>
          <w:sz w:val="24"/>
        </w:rPr>
        <w:t>3、报价响应文件；</w:t>
      </w:r>
    </w:p>
    <w:p w14:paraId="73F7ED73">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w:t>
      </w:r>
    </w:p>
    <w:p w14:paraId="5962070B">
      <w:pPr>
        <w:spacing w:line="360" w:lineRule="auto"/>
        <w:ind w:firstLine="480" w:firstLineChars="200"/>
        <w:rPr>
          <w:rFonts w:hint="eastAsia" w:ascii="宋体" w:hAnsi="宋体" w:eastAsia="宋体" w:cs="宋体"/>
          <w:sz w:val="24"/>
        </w:rPr>
      </w:pPr>
      <w:r>
        <w:rPr>
          <w:rFonts w:hint="eastAsia" w:ascii="宋体" w:hAnsi="宋体" w:eastAsia="宋体" w:cs="宋体"/>
          <w:sz w:val="24"/>
        </w:rPr>
        <w:t>5、据此函，我公司宣布同意如下：</w:t>
      </w:r>
    </w:p>
    <w:p w14:paraId="4B2407CE">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12"/>
          <w:sz w:val="24"/>
        </w:rPr>
        <w:t>所附投标报价表中规定的应提供和支付的服务投标总价为（人民币）</w:t>
      </w:r>
      <w:r>
        <w:rPr>
          <w:rFonts w:hint="eastAsia" w:ascii="宋体" w:hAnsi="宋体" w:eastAsia="宋体" w:cs="宋体"/>
          <w:sz w:val="24"/>
        </w:rPr>
        <w:t>_______，即 ______________________________________（大写）。</w:t>
      </w:r>
    </w:p>
    <w:p w14:paraId="56BEE4A3">
      <w:pPr>
        <w:spacing w:line="360" w:lineRule="auto"/>
        <w:rPr>
          <w:rFonts w:hint="eastAsia" w:ascii="宋体" w:hAnsi="宋体" w:eastAsia="宋体" w:cs="宋体"/>
          <w:sz w:val="24"/>
        </w:rPr>
      </w:pPr>
      <w:r>
        <w:rPr>
          <w:rFonts w:hint="eastAsia" w:ascii="宋体" w:hAnsi="宋体" w:eastAsia="宋体" w:cs="宋体"/>
          <w:sz w:val="24"/>
        </w:rPr>
        <w:t>（企业成本价为______________元）</w:t>
      </w:r>
    </w:p>
    <w:p w14:paraId="5D48C009">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（2）投标人已详细审查全部招标文件，我们完全理解并同意放弃对这方面有不明及误解的权利。</w:t>
      </w:r>
    </w:p>
    <w:p w14:paraId="32FC2CE5">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（3）投标人将按招标文件规定履行合同责任和义务。</w:t>
      </w:r>
    </w:p>
    <w:p w14:paraId="42B03B57">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（4）其投标自开标之日起有效期</w:t>
      </w:r>
      <w:r>
        <w:rPr>
          <w:rFonts w:hint="eastAsia" w:ascii="宋体" w:hAnsi="宋体" w:eastAsia="宋体" w:cs="宋体"/>
          <w:sz w:val="24"/>
          <w:u w:val="single"/>
        </w:rPr>
        <w:t>____</w:t>
      </w:r>
      <w:r>
        <w:rPr>
          <w:rFonts w:hint="eastAsia" w:ascii="宋体" w:hAnsi="宋体" w:eastAsia="宋体" w:cs="宋体"/>
          <w:sz w:val="24"/>
        </w:rPr>
        <w:t>个日历天。</w:t>
      </w:r>
    </w:p>
    <w:p w14:paraId="69BF9A43">
      <w:pPr>
        <w:spacing w:line="360" w:lineRule="auto"/>
        <w:ind w:firstLine="480" w:firstLineChars="200"/>
        <w:rPr>
          <w:rFonts w:hint="eastAsia" w:ascii="宋体" w:hAnsi="宋体" w:eastAsia="宋体" w:cs="宋体"/>
          <w:sz w:val="24"/>
        </w:rPr>
      </w:pPr>
      <w:r>
        <w:rPr>
          <w:rFonts w:hint="eastAsia" w:ascii="宋体" w:hAnsi="宋体" w:eastAsia="宋体" w:cs="宋体"/>
          <w:sz w:val="24"/>
        </w:rPr>
        <w:t>（5）如果在规定的开标时间后，投标人在投标有效期内撤回投标，将按失信行为上报信用办。</w:t>
      </w:r>
    </w:p>
    <w:p w14:paraId="44842673">
      <w:pPr>
        <w:spacing w:line="360" w:lineRule="auto"/>
        <w:ind w:firstLine="480" w:firstLineChars="200"/>
        <w:rPr>
          <w:rFonts w:hint="eastAsia" w:ascii="宋体" w:hAnsi="宋体" w:eastAsia="宋体" w:cs="宋体"/>
          <w:sz w:val="24"/>
        </w:rPr>
      </w:pPr>
      <w:r>
        <w:rPr>
          <w:rFonts w:hint="eastAsia" w:ascii="宋体" w:hAnsi="宋体" w:eastAsia="宋体" w:cs="宋体"/>
          <w:sz w:val="24"/>
        </w:rPr>
        <w:t>（6）投标人同意提供按照贵方可能要求的与其投标有关的一切数据或资料，理解贵方不一定要接受最低价的投标或收到的任何投标。</w:t>
      </w:r>
    </w:p>
    <w:p w14:paraId="0A4661C1">
      <w:pPr>
        <w:spacing w:line="360" w:lineRule="auto"/>
        <w:ind w:firstLine="480" w:firstLineChars="200"/>
        <w:rPr>
          <w:rFonts w:hint="eastAsia" w:ascii="宋体" w:hAnsi="宋体" w:eastAsia="宋体" w:cs="宋体"/>
          <w:sz w:val="24"/>
        </w:rPr>
      </w:pPr>
      <w:r>
        <w:rPr>
          <w:rFonts w:hint="eastAsia" w:ascii="宋体" w:hAnsi="宋体" w:eastAsia="宋体" w:cs="宋体"/>
          <w:sz w:val="24"/>
        </w:rPr>
        <w:t>（7）与本投标有关的一切正式往来通讯请寄：</w:t>
      </w:r>
    </w:p>
    <w:p w14:paraId="7D2087CB">
      <w:pPr>
        <w:spacing w:line="360" w:lineRule="auto"/>
        <w:rPr>
          <w:rFonts w:hint="eastAsia" w:ascii="宋体" w:hAnsi="宋体" w:eastAsia="宋体" w:cs="宋体"/>
          <w:sz w:val="24"/>
        </w:rPr>
      </w:pPr>
      <w:r>
        <w:rPr>
          <w:rFonts w:hint="eastAsia" w:ascii="宋体" w:hAnsi="宋体" w:eastAsia="宋体" w:cs="宋体"/>
          <w:sz w:val="24"/>
        </w:rPr>
        <w:t xml:space="preserve">地址：______________________邮编：______________________  </w:t>
      </w:r>
    </w:p>
    <w:p w14:paraId="5EB7F97F">
      <w:pPr>
        <w:spacing w:line="360" w:lineRule="auto"/>
        <w:rPr>
          <w:rFonts w:hint="eastAsia" w:ascii="宋体" w:hAnsi="宋体" w:eastAsia="宋体" w:cs="宋体"/>
          <w:sz w:val="24"/>
        </w:rPr>
      </w:pPr>
      <w:r>
        <w:rPr>
          <w:rFonts w:hint="eastAsia" w:ascii="宋体" w:hAnsi="宋体" w:eastAsia="宋体" w:cs="宋体"/>
          <w:sz w:val="24"/>
        </w:rPr>
        <w:t xml:space="preserve">电话：______________________传真：______________________ </w:t>
      </w:r>
    </w:p>
    <w:p w14:paraId="6B93E80B">
      <w:pPr>
        <w:spacing w:line="360" w:lineRule="auto"/>
        <w:rPr>
          <w:rFonts w:hint="eastAsia" w:ascii="宋体" w:hAnsi="宋体" w:eastAsia="宋体" w:cs="宋体"/>
          <w:sz w:val="24"/>
        </w:rPr>
      </w:pPr>
      <w:r>
        <w:rPr>
          <w:rFonts w:hint="eastAsia" w:ascii="宋体" w:hAnsi="宋体" w:eastAsia="宋体" w:cs="宋体"/>
          <w:sz w:val="24"/>
        </w:rPr>
        <w:t>投标人名称：__________________________ （电子签章）</w:t>
      </w:r>
    </w:p>
    <w:p w14:paraId="6C88CF20">
      <w:pPr>
        <w:spacing w:line="360" w:lineRule="auto"/>
        <w:jc w:val="left"/>
        <w:rPr>
          <w:rFonts w:hint="eastAsia" w:ascii="宋体" w:hAnsi="宋体" w:eastAsia="宋体" w:cs="宋体"/>
          <w:sz w:val="24"/>
        </w:rPr>
      </w:pPr>
      <w:r>
        <w:rPr>
          <w:rFonts w:hint="eastAsia" w:ascii="宋体" w:hAnsi="宋体" w:eastAsia="宋体" w:cs="宋体"/>
          <w:sz w:val="24"/>
        </w:rPr>
        <w:t>投标日期： _______年____月____日</w:t>
      </w:r>
    </w:p>
    <w:p w14:paraId="0E478EFF">
      <w:pPr>
        <w:spacing w:line="360" w:lineRule="auto"/>
        <w:jc w:val="center"/>
        <w:rPr>
          <w:rFonts w:hint="eastAsia" w:ascii="宋体" w:hAnsi="宋体" w:eastAsia="宋体" w:cs="宋体"/>
          <w:b/>
          <w:sz w:val="36"/>
          <w:szCs w:val="36"/>
        </w:rPr>
      </w:pPr>
    </w:p>
    <w:p w14:paraId="0EA1AF59">
      <w:pPr>
        <w:spacing w:line="360" w:lineRule="auto"/>
        <w:rPr>
          <w:rFonts w:hint="eastAsia" w:ascii="宋体" w:hAnsi="宋体" w:eastAsia="宋体" w:cs="宋体"/>
          <w:b/>
          <w:sz w:val="36"/>
          <w:szCs w:val="36"/>
        </w:rPr>
      </w:pPr>
      <w:r>
        <w:rPr>
          <w:rFonts w:hint="eastAsia" w:ascii="宋体" w:hAnsi="宋体" w:eastAsia="宋体" w:cs="宋体"/>
          <w:b/>
          <w:sz w:val="36"/>
          <w:szCs w:val="36"/>
        </w:rPr>
        <w:br w:type="page"/>
      </w:r>
    </w:p>
    <w:p w14:paraId="02721515">
      <w:pPr>
        <w:spacing w:line="360" w:lineRule="auto"/>
        <w:jc w:val="center"/>
        <w:outlineLvl w:val="1"/>
        <w:rPr>
          <w:rFonts w:hint="eastAsia" w:ascii="宋体" w:hAnsi="宋体" w:eastAsia="宋体" w:cs="宋体"/>
          <w:b/>
          <w:bCs/>
          <w:sz w:val="36"/>
        </w:rPr>
      </w:pPr>
      <w:r>
        <w:rPr>
          <w:rFonts w:hint="eastAsia" w:ascii="宋体" w:hAnsi="宋体" w:eastAsia="宋体" w:cs="宋体"/>
          <w:b/>
          <w:sz w:val="36"/>
          <w:szCs w:val="36"/>
        </w:rPr>
        <w:t>开标</w:t>
      </w:r>
      <w:r>
        <w:rPr>
          <w:rFonts w:hint="eastAsia" w:ascii="宋体" w:hAnsi="宋体" w:eastAsia="宋体" w:cs="宋体"/>
          <w:b/>
          <w:bCs/>
          <w:sz w:val="36"/>
        </w:rPr>
        <w:t>一览表</w:t>
      </w:r>
    </w:p>
    <w:p w14:paraId="2143B0D5">
      <w:pPr>
        <w:spacing w:line="360" w:lineRule="auto"/>
        <w:jc w:val="center"/>
        <w:rPr>
          <w:rFonts w:hint="eastAsia" w:ascii="宋体" w:hAnsi="宋体" w:eastAsia="宋体" w:cs="宋体"/>
          <w:sz w:val="28"/>
          <w:szCs w:val="28"/>
        </w:rPr>
      </w:pPr>
    </w:p>
    <w:p w14:paraId="7506A559">
      <w:pPr>
        <w:spacing w:line="360" w:lineRule="auto"/>
        <w:rPr>
          <w:rFonts w:hint="eastAsia" w:ascii="宋体" w:hAnsi="宋体" w:eastAsia="宋体" w:cs="宋体"/>
          <w:sz w:val="24"/>
        </w:rPr>
      </w:pPr>
      <w:r>
        <w:rPr>
          <w:rFonts w:hint="eastAsia" w:ascii="宋体" w:hAnsi="宋体" w:eastAsia="宋体" w:cs="宋体"/>
          <w:sz w:val="24"/>
        </w:rPr>
        <w:t>投标人名称（电子签章）：</w:t>
      </w:r>
    </w:p>
    <w:p w14:paraId="3A6088B1">
      <w:pPr>
        <w:spacing w:line="360" w:lineRule="auto"/>
        <w:rPr>
          <w:rFonts w:hint="eastAsia" w:ascii="宋体" w:hAnsi="宋体" w:eastAsia="宋体" w:cs="宋体"/>
          <w:sz w:val="24"/>
        </w:rPr>
      </w:pPr>
      <w:r>
        <w:rPr>
          <w:rFonts w:hint="eastAsia" w:ascii="宋体" w:hAnsi="宋体" w:eastAsia="宋体" w:cs="宋体"/>
          <w:sz w:val="24"/>
        </w:rPr>
        <w:t>采购编号：</w:t>
      </w:r>
    </w:p>
    <w:tbl>
      <w:tblPr>
        <w:tblStyle w:val="28"/>
        <w:tblpPr w:leftFromText="180" w:rightFromText="180" w:vertAnchor="text" w:horzAnchor="page" w:tblpX="1147" w:tblpY="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835"/>
        <w:gridCol w:w="1741"/>
        <w:gridCol w:w="967"/>
        <w:gridCol w:w="1741"/>
      </w:tblGrid>
      <w:tr w14:paraId="647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14:paraId="1CB5ECDE">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4835" w:type="dxa"/>
            <w:vAlign w:val="center"/>
          </w:tcPr>
          <w:p w14:paraId="5B76F4FF">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采购项目</w:t>
            </w:r>
          </w:p>
        </w:tc>
        <w:tc>
          <w:tcPr>
            <w:tcW w:w="1741" w:type="dxa"/>
            <w:vAlign w:val="center"/>
          </w:tcPr>
          <w:p w14:paraId="69B8D6F4">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投标单价（元）</w:t>
            </w:r>
          </w:p>
        </w:tc>
        <w:tc>
          <w:tcPr>
            <w:tcW w:w="967" w:type="dxa"/>
            <w:vAlign w:val="center"/>
          </w:tcPr>
          <w:p w14:paraId="53E96326">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数量</w:t>
            </w:r>
          </w:p>
        </w:tc>
        <w:tc>
          <w:tcPr>
            <w:tcW w:w="1741" w:type="dxa"/>
            <w:vAlign w:val="center"/>
          </w:tcPr>
          <w:p w14:paraId="67B15F27">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投标总价（元）</w:t>
            </w:r>
          </w:p>
        </w:tc>
      </w:tr>
      <w:tr w14:paraId="1AAA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vAlign w:val="center"/>
          </w:tcPr>
          <w:p w14:paraId="7D101903">
            <w:pPr>
              <w:wordWrap w:val="0"/>
              <w:spacing w:line="360" w:lineRule="exact"/>
              <w:jc w:val="center"/>
              <w:rPr>
                <w:rFonts w:ascii="Times New Roman" w:hAnsi="Times New Roman" w:eastAsia="宋体" w:cs="Times New Roman"/>
                <w:sz w:val="24"/>
              </w:rPr>
            </w:pPr>
          </w:p>
        </w:tc>
        <w:tc>
          <w:tcPr>
            <w:tcW w:w="4835" w:type="dxa"/>
            <w:vAlign w:val="center"/>
          </w:tcPr>
          <w:p w14:paraId="602CA16C">
            <w:pPr>
              <w:wordWrap w:val="0"/>
              <w:spacing w:line="360" w:lineRule="exact"/>
              <w:jc w:val="center"/>
              <w:rPr>
                <w:rFonts w:ascii="Times New Roman" w:hAnsi="Times New Roman" w:eastAsia="宋体" w:cs="Times New Roman"/>
                <w:sz w:val="24"/>
              </w:rPr>
            </w:pPr>
          </w:p>
        </w:tc>
        <w:tc>
          <w:tcPr>
            <w:tcW w:w="1741" w:type="dxa"/>
            <w:vAlign w:val="center"/>
          </w:tcPr>
          <w:p w14:paraId="0D850A96">
            <w:pPr>
              <w:wordWrap w:val="0"/>
              <w:spacing w:line="360" w:lineRule="exact"/>
              <w:jc w:val="center"/>
              <w:rPr>
                <w:rFonts w:ascii="Times New Roman" w:hAnsi="Times New Roman" w:eastAsia="宋体" w:cs="Times New Roman"/>
                <w:sz w:val="24"/>
              </w:rPr>
            </w:pPr>
          </w:p>
        </w:tc>
        <w:tc>
          <w:tcPr>
            <w:tcW w:w="967" w:type="dxa"/>
            <w:vAlign w:val="center"/>
          </w:tcPr>
          <w:p w14:paraId="7ADBAFBC">
            <w:pPr>
              <w:wordWrap w:val="0"/>
              <w:spacing w:line="360" w:lineRule="exact"/>
              <w:jc w:val="center"/>
              <w:rPr>
                <w:rFonts w:ascii="Times New Roman" w:hAnsi="Times New Roman" w:eastAsia="宋体" w:cs="Times New Roman"/>
                <w:sz w:val="24"/>
              </w:rPr>
            </w:pPr>
          </w:p>
        </w:tc>
        <w:tc>
          <w:tcPr>
            <w:tcW w:w="1741" w:type="dxa"/>
          </w:tcPr>
          <w:p w14:paraId="4A53B6AF">
            <w:pPr>
              <w:wordWrap w:val="0"/>
              <w:spacing w:line="360" w:lineRule="exact"/>
              <w:rPr>
                <w:rFonts w:ascii="Times New Roman" w:hAnsi="Times New Roman" w:eastAsia="宋体" w:cs="Times New Roman"/>
                <w:sz w:val="24"/>
              </w:rPr>
            </w:pPr>
          </w:p>
        </w:tc>
      </w:tr>
      <w:tr w14:paraId="35C9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13" w:type="dxa"/>
            <w:vAlign w:val="center"/>
          </w:tcPr>
          <w:p w14:paraId="732B29AF">
            <w:pPr>
              <w:wordWrap w:val="0"/>
              <w:spacing w:line="360" w:lineRule="exact"/>
              <w:jc w:val="center"/>
              <w:rPr>
                <w:rFonts w:ascii="Times New Roman" w:hAnsi="Times New Roman" w:eastAsia="宋体" w:cs="Times New Roman"/>
                <w:sz w:val="24"/>
              </w:rPr>
            </w:pPr>
          </w:p>
        </w:tc>
        <w:tc>
          <w:tcPr>
            <w:tcW w:w="4835" w:type="dxa"/>
            <w:vAlign w:val="center"/>
          </w:tcPr>
          <w:p w14:paraId="3B953212">
            <w:pPr>
              <w:wordWrap w:val="0"/>
              <w:spacing w:line="360" w:lineRule="exact"/>
              <w:jc w:val="center"/>
              <w:rPr>
                <w:rFonts w:ascii="Times New Roman" w:hAnsi="Times New Roman" w:eastAsia="宋体" w:cs="Times New Roman"/>
                <w:sz w:val="24"/>
              </w:rPr>
            </w:pPr>
          </w:p>
        </w:tc>
        <w:tc>
          <w:tcPr>
            <w:tcW w:w="1741" w:type="dxa"/>
          </w:tcPr>
          <w:p w14:paraId="75B8F299">
            <w:pPr>
              <w:wordWrap w:val="0"/>
              <w:spacing w:line="360" w:lineRule="exact"/>
              <w:jc w:val="center"/>
              <w:rPr>
                <w:rFonts w:ascii="Times New Roman" w:hAnsi="Times New Roman" w:eastAsia="宋体" w:cs="Times New Roman"/>
                <w:sz w:val="24"/>
              </w:rPr>
            </w:pPr>
          </w:p>
        </w:tc>
        <w:tc>
          <w:tcPr>
            <w:tcW w:w="967" w:type="dxa"/>
            <w:vAlign w:val="center"/>
          </w:tcPr>
          <w:p w14:paraId="7133EC12">
            <w:pPr>
              <w:wordWrap w:val="0"/>
              <w:spacing w:line="360" w:lineRule="exact"/>
              <w:jc w:val="center"/>
              <w:rPr>
                <w:rFonts w:ascii="Times New Roman" w:hAnsi="Times New Roman" w:eastAsia="宋体" w:cs="Times New Roman"/>
                <w:sz w:val="24"/>
              </w:rPr>
            </w:pPr>
          </w:p>
        </w:tc>
        <w:tc>
          <w:tcPr>
            <w:tcW w:w="1741" w:type="dxa"/>
          </w:tcPr>
          <w:p w14:paraId="604CF862">
            <w:pPr>
              <w:wordWrap w:val="0"/>
              <w:spacing w:line="360" w:lineRule="exact"/>
              <w:rPr>
                <w:rFonts w:ascii="Times New Roman" w:hAnsi="Times New Roman" w:eastAsia="宋体" w:cs="Times New Roman"/>
                <w:sz w:val="24"/>
              </w:rPr>
            </w:pPr>
          </w:p>
        </w:tc>
      </w:tr>
      <w:tr w14:paraId="0C0C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14:paraId="207A8B1F">
            <w:pPr>
              <w:wordWrap w:val="0"/>
              <w:spacing w:line="360" w:lineRule="exact"/>
              <w:jc w:val="center"/>
              <w:rPr>
                <w:rFonts w:ascii="Times New Roman" w:hAnsi="Times New Roman" w:eastAsia="宋体" w:cs="Times New Roman"/>
                <w:sz w:val="24"/>
              </w:rPr>
            </w:pPr>
            <w:r>
              <w:rPr>
                <w:rFonts w:ascii="Times New Roman" w:hAnsi="Times New Roman" w:eastAsia="宋体" w:cs="Times New Roman"/>
                <w:sz w:val="24"/>
              </w:rPr>
              <w:t>合计</w:t>
            </w:r>
          </w:p>
        </w:tc>
        <w:tc>
          <w:tcPr>
            <w:tcW w:w="9284" w:type="dxa"/>
            <w:gridSpan w:val="4"/>
            <w:vAlign w:val="center"/>
          </w:tcPr>
          <w:p w14:paraId="67FF9A70">
            <w:pPr>
              <w:wordWrap w:val="0"/>
              <w:spacing w:line="360" w:lineRule="exact"/>
              <w:rPr>
                <w:rFonts w:ascii="Times New Roman" w:hAnsi="Times New Roman" w:eastAsia="宋体" w:cs="Times New Roman"/>
                <w:sz w:val="24"/>
                <w:u w:val="single"/>
              </w:rPr>
            </w:pPr>
            <w:r>
              <w:rPr>
                <w:rFonts w:ascii="Times New Roman" w:hAnsi="Times New Roman" w:eastAsia="宋体" w:cs="Times New Roman"/>
                <w:sz w:val="24"/>
              </w:rPr>
              <w:t>￥：</w:t>
            </w:r>
            <w:r>
              <w:rPr>
                <w:rFonts w:ascii="Times New Roman" w:hAnsi="Times New Roman" w:eastAsia="宋体" w:cs="Times New Roman"/>
                <w:sz w:val="24"/>
                <w:u w:val="single"/>
              </w:rPr>
              <w:t xml:space="preserve">                                           </w:t>
            </w:r>
          </w:p>
          <w:p w14:paraId="0D0E635D">
            <w:pPr>
              <w:wordWrap w:val="0"/>
              <w:spacing w:line="360" w:lineRule="exact"/>
              <w:rPr>
                <w:rFonts w:ascii="Times New Roman" w:hAnsi="Times New Roman" w:eastAsia="宋体" w:cs="Times New Roman"/>
                <w:sz w:val="24"/>
              </w:rPr>
            </w:pPr>
            <w:r>
              <w:rPr>
                <w:rFonts w:ascii="Times New Roman" w:hAnsi="Times New Roman" w:eastAsia="宋体" w:cs="Times New Roman"/>
                <w:sz w:val="24"/>
              </w:rPr>
              <w:t>大写：</w:t>
            </w:r>
            <w:r>
              <w:rPr>
                <w:rFonts w:ascii="Times New Roman" w:hAnsi="Times New Roman" w:eastAsia="宋体" w:cs="Times New Roman"/>
                <w:sz w:val="24"/>
                <w:u w:val="single"/>
              </w:rPr>
              <w:t xml:space="preserve">                                         </w:t>
            </w:r>
          </w:p>
        </w:tc>
      </w:tr>
    </w:tbl>
    <w:p w14:paraId="618F38D4">
      <w:pPr>
        <w:spacing w:line="360" w:lineRule="auto"/>
        <w:rPr>
          <w:rFonts w:hint="eastAsia" w:ascii="宋体" w:hAnsi="宋体" w:eastAsia="宋体" w:cs="宋体"/>
          <w:sz w:val="24"/>
        </w:rPr>
      </w:pPr>
    </w:p>
    <w:p w14:paraId="11E318E7">
      <w:pPr>
        <w:spacing w:line="360" w:lineRule="auto"/>
        <w:rPr>
          <w:rFonts w:hint="eastAsia" w:ascii="宋体" w:hAnsi="宋体" w:eastAsia="宋体" w:cs="宋体"/>
          <w:sz w:val="24"/>
        </w:rPr>
      </w:pPr>
      <w:r>
        <w:rPr>
          <w:rFonts w:hint="eastAsia" w:ascii="宋体" w:hAnsi="宋体" w:eastAsia="宋体" w:cs="宋体"/>
          <w:sz w:val="24"/>
        </w:rPr>
        <w:t xml:space="preserve">  </w:t>
      </w:r>
    </w:p>
    <w:p w14:paraId="3B482A35">
      <w:pPr>
        <w:spacing w:line="360" w:lineRule="auto"/>
        <w:ind w:left="480" w:hanging="480" w:hangingChars="200"/>
        <w:rPr>
          <w:rFonts w:hint="eastAsia" w:ascii="宋体" w:hAnsi="宋体" w:eastAsia="宋体" w:cs="宋体"/>
          <w:sz w:val="24"/>
        </w:rPr>
      </w:pPr>
      <w:r>
        <w:rPr>
          <w:rFonts w:hint="eastAsia" w:ascii="宋体" w:hAnsi="宋体" w:eastAsia="宋体" w:cs="宋体"/>
          <w:sz w:val="24"/>
        </w:rPr>
        <w:t>注：</w:t>
      </w:r>
    </w:p>
    <w:p w14:paraId="3AA17DA4">
      <w:pPr>
        <w:pStyle w:val="15"/>
        <w:spacing w:line="360" w:lineRule="auto"/>
        <w:rPr>
          <w:rFonts w:hint="eastAsia" w:hAnsi="宋体" w:cs="宋体"/>
          <w:b/>
          <w:sz w:val="24"/>
        </w:rPr>
      </w:pPr>
      <w:r>
        <w:rPr>
          <w:rFonts w:hint="eastAsia" w:hAnsi="宋体" w:cs="宋体"/>
          <w:sz w:val="24"/>
        </w:rPr>
        <w:t>1、投标人应根据国家的有关规定和</w:t>
      </w:r>
      <w:r>
        <w:rPr>
          <w:rFonts w:hint="eastAsia" w:hAnsi="宋体" w:cs="宋体"/>
          <w:b/>
          <w:sz w:val="24"/>
          <w:shd w:val="pct10" w:color="auto" w:fill="FFFFFF"/>
        </w:rPr>
        <w:t>实际情况</w:t>
      </w:r>
      <w:r>
        <w:rPr>
          <w:rFonts w:hint="eastAsia" w:hAnsi="宋体" w:cs="宋体"/>
          <w:sz w:val="24"/>
        </w:rPr>
        <w:t>并结合企业的实际情况进行投标报价。</w:t>
      </w:r>
      <w:r>
        <w:rPr>
          <w:rFonts w:hint="eastAsia" w:hAnsi="宋体" w:cs="宋体"/>
          <w:b/>
          <w:sz w:val="24"/>
        </w:rPr>
        <w:t>投标报价为投标人所能承受的最低、最终一次性报价。</w:t>
      </w:r>
    </w:p>
    <w:p w14:paraId="0CFA819A">
      <w:pPr>
        <w:pStyle w:val="15"/>
        <w:spacing w:line="360" w:lineRule="auto"/>
        <w:rPr>
          <w:rFonts w:hint="eastAsia" w:hAnsi="宋体" w:cs="宋体"/>
          <w:b/>
          <w:sz w:val="24"/>
        </w:rPr>
      </w:pPr>
      <w:r>
        <w:rPr>
          <w:rFonts w:hint="eastAsia" w:hAnsi="宋体" w:cs="宋体"/>
          <w:b/>
          <w:sz w:val="24"/>
        </w:rPr>
        <w:t>2、投标报价低于自报成本价的，投标将被拒绝。</w:t>
      </w:r>
    </w:p>
    <w:p w14:paraId="062110E5">
      <w:pPr>
        <w:pStyle w:val="15"/>
        <w:spacing w:line="360" w:lineRule="auto"/>
        <w:ind w:left="240" w:hanging="240" w:hangingChars="100"/>
        <w:rPr>
          <w:rFonts w:hint="eastAsia" w:hAnsi="宋体" w:cs="宋体"/>
          <w:sz w:val="24"/>
        </w:rPr>
      </w:pPr>
      <w:r>
        <w:rPr>
          <w:rFonts w:hint="eastAsia" w:hAnsi="宋体" w:cs="宋体"/>
          <w:sz w:val="24"/>
        </w:rPr>
        <w:t>3、此表在不改变表式内容的情况下，可自行制作。</w:t>
      </w:r>
    </w:p>
    <w:p w14:paraId="324067DA">
      <w:r>
        <w:br w:type="page"/>
      </w:r>
    </w:p>
    <w:p w14:paraId="12FA1B9B">
      <w:pPr>
        <w:wordWrap w:val="0"/>
        <w:spacing w:line="360" w:lineRule="auto"/>
        <w:jc w:val="center"/>
        <w:outlineLvl w:val="1"/>
        <w:rPr>
          <w:rFonts w:hint="eastAsia" w:ascii="宋体" w:hAnsi="宋体" w:eastAsia="宋体" w:cs="宋体"/>
          <w:b/>
          <w:bCs/>
          <w:sz w:val="36"/>
          <w:szCs w:val="36"/>
        </w:rPr>
      </w:pPr>
      <w:r>
        <w:rPr>
          <w:rFonts w:hint="eastAsia" w:ascii="宋体" w:hAnsi="宋体" w:eastAsia="宋体" w:cs="宋体"/>
          <w:b/>
          <w:bCs/>
          <w:sz w:val="36"/>
          <w:szCs w:val="36"/>
        </w:rPr>
        <w:t>中小企业声明函</w:t>
      </w:r>
    </w:p>
    <w:p w14:paraId="6A5B89DD">
      <w:pPr>
        <w:widowControl/>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本公司郑重声明，根据《政府采购促进中小企业发展管理办法》（财库﹝2020﹞46 号）的规定，本公司参加</w:t>
      </w:r>
      <w:r>
        <w:rPr>
          <w:rFonts w:hint="eastAsia" w:ascii="宋体" w:hAnsi="宋体" w:eastAsia="宋体" w:cs="宋体"/>
          <w:i/>
          <w:kern w:val="0"/>
          <w:sz w:val="24"/>
          <w:szCs w:val="24"/>
          <w:u w:val="single"/>
          <w:lang w:bidi="ar"/>
        </w:rPr>
        <w:t>（单位名称）</w:t>
      </w:r>
      <w:r>
        <w:rPr>
          <w:rFonts w:hint="eastAsia" w:ascii="宋体" w:hAnsi="宋体" w:eastAsia="宋体" w:cs="宋体"/>
          <w:kern w:val="0"/>
          <w:sz w:val="24"/>
          <w:szCs w:val="24"/>
          <w:lang w:bidi="ar"/>
        </w:rPr>
        <w:t>的</w:t>
      </w:r>
      <w:r>
        <w:rPr>
          <w:rFonts w:hint="eastAsia" w:ascii="宋体" w:hAnsi="宋体" w:eastAsia="宋体" w:cs="宋体"/>
          <w:i/>
          <w:kern w:val="0"/>
          <w:sz w:val="24"/>
          <w:szCs w:val="24"/>
          <w:u w:val="single"/>
          <w:lang w:bidi="ar"/>
        </w:rPr>
        <w:t>（项目名称）</w:t>
      </w:r>
      <w:r>
        <w:rPr>
          <w:rFonts w:hint="eastAsia" w:ascii="宋体" w:hAnsi="宋体" w:eastAsia="宋体" w:cs="宋体"/>
          <w:kern w:val="0"/>
          <w:sz w:val="24"/>
          <w:szCs w:val="24"/>
          <w:lang w:bidi="ar"/>
        </w:rPr>
        <w:t xml:space="preserve">采购活动，服务全部由符合政策要求的中小企业承接。相关企业的具体情况如下： </w:t>
      </w:r>
    </w:p>
    <w:p w14:paraId="047437DC">
      <w:pPr>
        <w:widowControl/>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i/>
          <w:kern w:val="0"/>
          <w:sz w:val="24"/>
          <w:szCs w:val="24"/>
          <w:u w:val="single"/>
          <w:lang w:bidi="ar"/>
        </w:rPr>
        <w:t xml:space="preserve">（标的名称） </w:t>
      </w:r>
      <w:r>
        <w:rPr>
          <w:rFonts w:hint="eastAsia" w:ascii="宋体" w:hAnsi="宋体" w:eastAsia="宋体" w:cs="宋体"/>
          <w:kern w:val="0"/>
          <w:sz w:val="24"/>
          <w:szCs w:val="24"/>
          <w:lang w:bidi="ar"/>
        </w:rPr>
        <w:t>，属于</w:t>
      </w:r>
      <w:r>
        <w:rPr>
          <w:rFonts w:hint="eastAsia" w:ascii="宋体" w:hAnsi="宋体" w:eastAsia="宋体" w:cs="宋体"/>
          <w:i/>
          <w:kern w:val="0"/>
          <w:sz w:val="24"/>
          <w:szCs w:val="24"/>
          <w:u w:val="single"/>
          <w:lang w:bidi="ar"/>
        </w:rPr>
        <w:t>（采购文件中明确的所属行业）</w:t>
      </w:r>
      <w:r>
        <w:rPr>
          <w:rFonts w:hint="eastAsia" w:ascii="宋体" w:hAnsi="宋体" w:eastAsia="宋体" w:cs="宋体"/>
          <w:i/>
          <w:kern w:val="0"/>
          <w:sz w:val="24"/>
          <w:szCs w:val="24"/>
          <w:lang w:bidi="ar"/>
        </w:rPr>
        <w:t>行业</w:t>
      </w:r>
      <w:r>
        <w:rPr>
          <w:rFonts w:hint="eastAsia" w:ascii="宋体" w:hAnsi="宋体" w:eastAsia="宋体" w:cs="宋体"/>
          <w:kern w:val="0"/>
          <w:sz w:val="24"/>
          <w:szCs w:val="24"/>
          <w:lang w:bidi="ar"/>
        </w:rPr>
        <w:t>；承接企业为</w:t>
      </w:r>
      <w:r>
        <w:rPr>
          <w:rFonts w:hint="eastAsia" w:ascii="宋体" w:hAnsi="宋体" w:eastAsia="宋体" w:cs="宋体"/>
          <w:i/>
          <w:kern w:val="0"/>
          <w:sz w:val="24"/>
          <w:szCs w:val="24"/>
          <w:u w:val="single"/>
          <w:lang w:bidi="ar"/>
        </w:rPr>
        <w:t>（企业名称）</w:t>
      </w:r>
      <w:r>
        <w:rPr>
          <w:rFonts w:hint="eastAsia" w:ascii="宋体" w:hAnsi="宋体" w:eastAsia="宋体" w:cs="宋体"/>
          <w:kern w:val="0"/>
          <w:sz w:val="24"/>
          <w:szCs w:val="24"/>
          <w:lang w:bidi="ar"/>
        </w:rPr>
        <w:t>，从业人员</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人，营业收入为</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万元，资产总额为</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万元，属于</w:t>
      </w:r>
      <w:r>
        <w:rPr>
          <w:rFonts w:hint="eastAsia" w:ascii="宋体" w:hAnsi="宋体" w:eastAsia="宋体" w:cs="宋体"/>
          <w:i/>
          <w:kern w:val="0"/>
          <w:sz w:val="24"/>
          <w:szCs w:val="24"/>
          <w:u w:val="single"/>
          <w:lang w:bidi="ar"/>
        </w:rPr>
        <w:t>（中型企业、小型企业、微型企业）</w:t>
      </w:r>
      <w:r>
        <w:rPr>
          <w:rFonts w:hint="eastAsia" w:ascii="宋体" w:hAnsi="宋体" w:eastAsia="宋体" w:cs="宋体"/>
          <w:kern w:val="0"/>
          <w:sz w:val="24"/>
          <w:szCs w:val="24"/>
          <w:lang w:bidi="ar"/>
        </w:rPr>
        <w:t xml:space="preserve">； </w:t>
      </w:r>
    </w:p>
    <w:p w14:paraId="712D180A">
      <w:pPr>
        <w:widowControl/>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以上企业，不属于大企业的分支机构，不存在控股股东为大企业的情形，也不存在与大企业的负责人为同一人的情形。</w:t>
      </w:r>
    </w:p>
    <w:p w14:paraId="48B6BAEE">
      <w:pPr>
        <w:wordWrap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kern w:val="0"/>
          <w:sz w:val="24"/>
          <w:szCs w:val="24"/>
          <w:lang w:bidi="ar"/>
        </w:rPr>
        <w:t>本企业对上述声明内容的真实性负责。如有虚假，将依法承担相应责任。</w:t>
      </w:r>
    </w:p>
    <w:p w14:paraId="01C33470">
      <w:pPr>
        <w:wordWrap w:val="0"/>
        <w:spacing w:line="360" w:lineRule="auto"/>
        <w:ind w:firstLine="480" w:firstLineChars="200"/>
        <w:rPr>
          <w:rFonts w:hint="eastAsia" w:ascii="宋体" w:hAnsi="宋体" w:eastAsia="宋体" w:cs="宋体"/>
          <w:sz w:val="24"/>
        </w:rPr>
      </w:pPr>
    </w:p>
    <w:p w14:paraId="418FA38B">
      <w:pPr>
        <w:wordWrap w:val="0"/>
        <w:spacing w:line="360" w:lineRule="auto"/>
        <w:ind w:firstLine="480" w:firstLineChars="200"/>
        <w:rPr>
          <w:rFonts w:hint="eastAsia" w:ascii="宋体" w:hAnsi="宋体" w:eastAsia="宋体" w:cs="宋体"/>
          <w:sz w:val="24"/>
        </w:rPr>
      </w:pPr>
    </w:p>
    <w:p w14:paraId="74817306">
      <w:pPr>
        <w:widowControl/>
        <w:wordWrap w:val="0"/>
        <w:spacing w:line="360" w:lineRule="auto"/>
        <w:ind w:left="5626" w:leftChars="2679"/>
        <w:jc w:val="left"/>
        <w:rPr>
          <w:rFonts w:hint="eastAsia" w:ascii="宋体" w:hAnsi="宋体" w:eastAsia="宋体" w:cs="宋体"/>
          <w:kern w:val="0"/>
          <w:sz w:val="24"/>
          <w:u w:val="single"/>
        </w:rPr>
      </w:pPr>
      <w:r>
        <w:rPr>
          <w:rFonts w:hint="eastAsia" w:ascii="宋体" w:hAnsi="宋体" w:eastAsia="宋体" w:cs="宋体"/>
          <w:sz w:val="24"/>
        </w:rPr>
        <w:t>投标人名称（电子签章）</w:t>
      </w:r>
      <w:r>
        <w:rPr>
          <w:rFonts w:hint="eastAsia" w:ascii="宋体" w:hAnsi="宋体" w:eastAsia="宋体" w:cs="宋体"/>
          <w:sz w:val="24"/>
          <w:u w:val="single"/>
        </w:rPr>
        <w:t xml:space="preserve">                </w:t>
      </w:r>
    </w:p>
    <w:p w14:paraId="16439E95">
      <w:pPr>
        <w:widowControl/>
        <w:wordWrap w:val="0"/>
        <w:spacing w:line="360" w:lineRule="auto"/>
        <w:jc w:val="center"/>
        <w:rPr>
          <w:rFonts w:hint="eastAsia" w:ascii="宋体" w:hAnsi="宋体" w:eastAsia="宋体" w:cs="宋体"/>
          <w:kern w:val="0"/>
          <w:sz w:val="24"/>
          <w:szCs w:val="20"/>
        </w:rPr>
      </w:pPr>
      <w:r>
        <w:rPr>
          <w:rFonts w:hint="eastAsia" w:ascii="宋体" w:hAnsi="宋体" w:eastAsia="宋体" w:cs="宋体"/>
          <w:kern w:val="0"/>
          <w:sz w:val="24"/>
          <w:szCs w:val="20"/>
        </w:rPr>
        <w:t xml:space="preserve">                                              年     月      日</w:t>
      </w:r>
    </w:p>
    <w:p w14:paraId="0F4F50DF">
      <w:pPr>
        <w:wordWrap w:val="0"/>
        <w:spacing w:line="360" w:lineRule="auto"/>
        <w:ind w:firstLine="480" w:firstLineChars="200"/>
        <w:rPr>
          <w:rFonts w:hint="eastAsia" w:ascii="宋体" w:hAnsi="宋体" w:eastAsia="宋体" w:cs="宋体"/>
          <w:sz w:val="24"/>
        </w:rPr>
      </w:pPr>
    </w:p>
    <w:p w14:paraId="717928DB">
      <w:pPr>
        <w:wordWrap w:val="0"/>
        <w:spacing w:line="360" w:lineRule="auto"/>
        <w:ind w:firstLine="482" w:firstLineChars="200"/>
        <w:rPr>
          <w:rFonts w:hint="eastAsia" w:ascii="宋体" w:hAnsi="宋体" w:eastAsia="宋体" w:cs="宋体"/>
          <w:b/>
          <w:bCs/>
          <w:sz w:val="24"/>
        </w:rPr>
      </w:pPr>
    </w:p>
    <w:p w14:paraId="234551CE">
      <w:pPr>
        <w:wordWrap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w:t>
      </w:r>
    </w:p>
    <w:p w14:paraId="1BF9422D">
      <w:pPr>
        <w:numPr>
          <w:ilvl w:val="0"/>
          <w:numId w:val="6"/>
        </w:numPr>
        <w:wordWrap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从业人员、营业收入、资产总额填报上一年度数据，无上一年度数据的新成立企业可不填报。</w:t>
      </w:r>
    </w:p>
    <w:p w14:paraId="7D79A2E4">
      <w:pPr>
        <w:pStyle w:val="15"/>
        <w:wordWrap w:val="0"/>
        <w:adjustRightInd w:val="0"/>
        <w:spacing w:line="360" w:lineRule="auto"/>
        <w:ind w:firstLine="720" w:firstLineChars="300"/>
        <w:rPr>
          <w:rFonts w:hint="eastAsia" w:hAnsi="宋体" w:cs="宋体"/>
          <w:sz w:val="24"/>
          <w:szCs w:val="24"/>
        </w:rPr>
      </w:pPr>
    </w:p>
    <w:p w14:paraId="74546DF2">
      <w:pPr>
        <w:pStyle w:val="15"/>
        <w:wordWrap w:val="0"/>
        <w:adjustRightInd w:val="0"/>
        <w:spacing w:line="360" w:lineRule="auto"/>
        <w:ind w:firstLine="482" w:firstLineChars="200"/>
        <w:rPr>
          <w:rFonts w:hint="eastAsia" w:hAnsi="宋体" w:cs="宋体"/>
          <w:b/>
          <w:bCs/>
          <w:sz w:val="24"/>
          <w:szCs w:val="24"/>
        </w:rPr>
      </w:pPr>
    </w:p>
    <w:p w14:paraId="70D4B99B">
      <w:pPr>
        <w:pStyle w:val="15"/>
        <w:wordWrap w:val="0"/>
        <w:adjustRightInd w:val="0"/>
        <w:spacing w:line="360" w:lineRule="auto"/>
        <w:ind w:firstLine="420" w:firstLineChars="200"/>
        <w:rPr>
          <w:rFonts w:hint="eastAsia" w:hAnsi="宋体" w:cs="宋体"/>
        </w:rPr>
      </w:pPr>
      <w:r>
        <w:rPr>
          <w:rFonts w:hint="eastAsia" w:hAnsi="宋体" w:cs="宋体"/>
        </w:rPr>
        <w:br w:type="page"/>
      </w:r>
    </w:p>
    <w:p w14:paraId="4B3CB352">
      <w:pPr>
        <w:wordWrap w:val="0"/>
        <w:spacing w:line="360" w:lineRule="auto"/>
        <w:jc w:val="center"/>
        <w:outlineLvl w:val="1"/>
        <w:rPr>
          <w:rFonts w:hint="eastAsia" w:ascii="宋体" w:hAnsi="宋体" w:eastAsia="宋体" w:cs="宋体"/>
          <w:b/>
          <w:bCs/>
          <w:sz w:val="36"/>
          <w:szCs w:val="36"/>
        </w:rPr>
      </w:pPr>
      <w:r>
        <w:rPr>
          <w:rFonts w:hint="eastAsia" w:ascii="宋体" w:hAnsi="宋体" w:eastAsia="宋体" w:cs="宋体"/>
          <w:b/>
          <w:bCs/>
          <w:sz w:val="36"/>
          <w:szCs w:val="36"/>
        </w:rPr>
        <w:t>监狱企业声明函</w:t>
      </w:r>
    </w:p>
    <w:p w14:paraId="3B16C4F7">
      <w:pPr>
        <w:wordWrap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bCs/>
          <w:sz w:val="24"/>
        </w:rPr>
        <w:t>非监狱企业不用提供</w:t>
      </w:r>
      <w:r>
        <w:rPr>
          <w:rFonts w:hint="eastAsia" w:ascii="宋体" w:hAnsi="宋体" w:eastAsia="宋体" w:cs="宋体"/>
          <w:b/>
          <w:sz w:val="24"/>
        </w:rPr>
        <w:t>】</w:t>
      </w:r>
    </w:p>
    <w:p w14:paraId="4F36BC4E">
      <w:pPr>
        <w:widowControl/>
        <w:wordWrap w:val="0"/>
        <w:adjustRightInd w:val="0"/>
        <w:spacing w:line="360" w:lineRule="auto"/>
        <w:ind w:firstLine="480" w:firstLineChars="200"/>
        <w:rPr>
          <w:rFonts w:hint="eastAsia" w:ascii="宋体" w:hAnsi="宋体" w:eastAsia="宋体" w:cs="宋体"/>
          <w:sz w:val="24"/>
        </w:rPr>
      </w:pPr>
    </w:p>
    <w:p w14:paraId="26F9AB56">
      <w:pPr>
        <w:widowControl/>
        <w:wordWrap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本企业郑重声明，根据《关于政府采购支持监狱企业发展有关问题的通知》（财库[2014]68号）的规定，本企业为</w:t>
      </w:r>
      <w:r>
        <w:rPr>
          <w:rFonts w:hint="eastAsia" w:ascii="宋体" w:hAnsi="宋体" w:eastAsia="宋体" w:cs="宋体"/>
          <w:sz w:val="24"/>
          <w:u w:val="single"/>
        </w:rPr>
        <w:t>监狱企业</w:t>
      </w:r>
      <w:r>
        <w:rPr>
          <w:rFonts w:hint="eastAsia" w:ascii="宋体" w:hAnsi="宋体" w:eastAsia="宋体" w:cs="宋体"/>
          <w:sz w:val="24"/>
        </w:rPr>
        <w:t>。</w:t>
      </w:r>
    </w:p>
    <w:p w14:paraId="6D76A358">
      <w:pPr>
        <w:widowControl/>
        <w:wordWrap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根据上述标准，我企业属于</w:t>
      </w:r>
      <w:r>
        <w:rPr>
          <w:rFonts w:hint="eastAsia" w:ascii="宋体" w:hAnsi="宋体" w:eastAsia="宋体" w:cs="宋体"/>
          <w:sz w:val="24"/>
          <w:u w:val="single"/>
        </w:rPr>
        <w:t>监狱企业</w:t>
      </w:r>
      <w:r>
        <w:rPr>
          <w:rFonts w:hint="eastAsia" w:ascii="宋体" w:hAnsi="宋体" w:eastAsia="宋体" w:cs="宋体"/>
          <w:sz w:val="24"/>
        </w:rPr>
        <w:t>的理由为：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E656810">
      <w:pPr>
        <w:widowControl/>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本企业为参加（项目名称：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）采购活动提供本企业</w:t>
      </w:r>
      <w:r>
        <w:rPr>
          <w:rFonts w:hint="eastAsia" w:ascii="宋体" w:hAnsi="宋体" w:eastAsia="宋体" w:cs="宋体"/>
          <w:sz w:val="24"/>
          <w:u w:val="single"/>
        </w:rPr>
        <w:t>的服务</w:t>
      </w:r>
      <w:r>
        <w:rPr>
          <w:rFonts w:hint="eastAsia" w:ascii="宋体" w:hAnsi="宋体" w:eastAsia="宋体" w:cs="宋体"/>
          <w:sz w:val="24"/>
        </w:rPr>
        <w:t>。</w:t>
      </w:r>
    </w:p>
    <w:p w14:paraId="4A79AD27">
      <w:pPr>
        <w:widowControl/>
        <w:wordWrap w:val="0"/>
        <w:adjustRightInd w:val="0"/>
        <w:spacing w:line="360" w:lineRule="auto"/>
        <w:ind w:firstLine="482" w:firstLineChars="200"/>
        <w:rPr>
          <w:rFonts w:hint="eastAsia" w:ascii="宋体" w:hAnsi="宋体" w:eastAsia="宋体" w:cs="宋体"/>
          <w:sz w:val="24"/>
        </w:rPr>
      </w:pPr>
      <w:r>
        <w:rPr>
          <w:rFonts w:hint="eastAsia" w:ascii="宋体" w:hAnsi="宋体" w:eastAsia="宋体" w:cs="宋体"/>
          <w:b/>
          <w:sz w:val="24"/>
          <w:u w:val="single"/>
        </w:rPr>
        <w:t>本企业对上述声明的真实性负责。如有虚假，将依法承担相应责任</w:t>
      </w:r>
      <w:r>
        <w:rPr>
          <w:rFonts w:hint="eastAsia" w:ascii="宋体" w:hAnsi="宋体" w:eastAsia="宋体" w:cs="宋体"/>
          <w:sz w:val="24"/>
        </w:rPr>
        <w:t>。</w:t>
      </w:r>
    </w:p>
    <w:p w14:paraId="50A54433">
      <w:pPr>
        <w:wordWrap w:val="0"/>
        <w:adjustRightInd w:val="0"/>
        <w:spacing w:line="360" w:lineRule="auto"/>
        <w:ind w:firstLine="480" w:firstLineChars="200"/>
        <w:jc w:val="center"/>
        <w:rPr>
          <w:rFonts w:hint="eastAsia" w:ascii="宋体" w:hAnsi="宋体" w:eastAsia="宋体" w:cs="宋体"/>
          <w:sz w:val="24"/>
        </w:rPr>
      </w:pPr>
    </w:p>
    <w:p w14:paraId="227C9244">
      <w:pPr>
        <w:wordWrap w:val="0"/>
        <w:adjustRightIn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投标人名称（电子签章）：</w:t>
      </w:r>
      <w:r>
        <w:rPr>
          <w:rFonts w:hint="eastAsia" w:ascii="宋体" w:hAnsi="宋体" w:eastAsia="宋体" w:cs="宋体"/>
          <w:sz w:val="24"/>
          <w:u w:val="single"/>
        </w:rPr>
        <w:t xml:space="preserve">            </w:t>
      </w:r>
    </w:p>
    <w:p w14:paraId="58B3F3DB">
      <w:p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1E03F50F">
      <w:p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日期：   年  月  日</w:t>
      </w:r>
    </w:p>
    <w:p w14:paraId="7D787D1E">
      <w:pPr>
        <w:widowControl/>
        <w:wordWrap w:val="0"/>
        <w:spacing w:line="360" w:lineRule="auto"/>
        <w:ind w:firstLine="480" w:firstLineChars="200"/>
        <w:rPr>
          <w:rFonts w:hint="eastAsia" w:ascii="宋体" w:hAnsi="宋体" w:eastAsia="宋体" w:cs="宋体"/>
          <w:sz w:val="24"/>
        </w:rPr>
      </w:pPr>
    </w:p>
    <w:p w14:paraId="5127174F">
      <w:pPr>
        <w:widowControl/>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监狱企业参加政府采购活动时，应当提供由省级以上监狱管理局、戒毒管理局（含新疆生产建设兵团）出具的属于监狱企业的说明文件。</w:t>
      </w:r>
    </w:p>
    <w:p w14:paraId="7A591444">
      <w:pPr>
        <w:widowControl/>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42F07D">
      <w:pPr>
        <w:pStyle w:val="15"/>
        <w:wordWrap w:val="0"/>
        <w:adjustRightInd w:val="0"/>
        <w:spacing w:line="360" w:lineRule="auto"/>
        <w:ind w:firstLine="420" w:firstLineChars="200"/>
        <w:rPr>
          <w:rFonts w:hint="eastAsia" w:hAnsi="宋体" w:cs="宋体"/>
        </w:rPr>
      </w:pPr>
    </w:p>
    <w:p w14:paraId="51738AD1">
      <w:pPr>
        <w:pStyle w:val="15"/>
        <w:wordWrap w:val="0"/>
        <w:adjustRightInd w:val="0"/>
        <w:spacing w:line="360" w:lineRule="auto"/>
        <w:ind w:firstLine="420" w:firstLineChars="200"/>
        <w:rPr>
          <w:rFonts w:hint="eastAsia" w:hAnsi="宋体" w:cs="宋体"/>
        </w:rPr>
      </w:pPr>
    </w:p>
    <w:p w14:paraId="49338FDC">
      <w:pPr>
        <w:wordWrap w:val="0"/>
        <w:spacing w:line="360" w:lineRule="auto"/>
        <w:jc w:val="center"/>
        <w:outlineLvl w:val="1"/>
        <w:rPr>
          <w:rFonts w:hint="eastAsia" w:ascii="宋体" w:hAnsi="宋体" w:eastAsia="宋体" w:cs="宋体"/>
          <w:b/>
          <w:bCs/>
          <w:sz w:val="36"/>
          <w:szCs w:val="36"/>
        </w:rPr>
      </w:pPr>
      <w:r>
        <w:rPr>
          <w:rFonts w:hint="eastAsia" w:ascii="宋体" w:hAnsi="宋体" w:eastAsia="宋体" w:cs="宋体"/>
          <w:b/>
          <w:bCs/>
          <w:sz w:val="36"/>
          <w:szCs w:val="36"/>
        </w:rPr>
        <w:br w:type="page"/>
      </w:r>
      <w:r>
        <w:rPr>
          <w:rFonts w:hint="eastAsia" w:ascii="宋体" w:hAnsi="宋体" w:eastAsia="宋体" w:cs="宋体"/>
          <w:b/>
          <w:bCs/>
          <w:sz w:val="36"/>
          <w:szCs w:val="36"/>
        </w:rPr>
        <w:t>残疾人福利性单位声明函</w:t>
      </w:r>
    </w:p>
    <w:p w14:paraId="0DB5A98C">
      <w:pPr>
        <w:wordWrap w:val="0"/>
        <w:spacing w:line="360" w:lineRule="auto"/>
        <w:ind w:firstLine="444" w:firstLineChars="200"/>
        <w:rPr>
          <w:rFonts w:hint="eastAsia" w:ascii="宋体" w:hAnsi="宋体" w:eastAsia="宋体" w:cs="宋体"/>
          <w:spacing w:val="6"/>
          <w:szCs w:val="21"/>
        </w:rPr>
      </w:pPr>
    </w:p>
    <w:p w14:paraId="6F979272">
      <w:pPr>
        <w:wordWrap w:val="0"/>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本单位郑重声明，根据《财政部、民政部、中国残疾人联合会关于促进残疾人就业政府采购政策的通知》（财库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号）的规定，本单位为符合条件的残疾人福利性单位，且本单位参加</w:t>
      </w:r>
      <w:r>
        <w:rPr>
          <w:rFonts w:hint="eastAsia" w:ascii="宋体" w:hAnsi="宋体" w:eastAsia="宋体" w:cs="宋体"/>
          <w:spacing w:val="6"/>
          <w:sz w:val="24"/>
          <w:u w:val="single"/>
        </w:rPr>
        <w:t xml:space="preserve"> （采购人名称）  </w:t>
      </w:r>
      <w:r>
        <w:rPr>
          <w:rFonts w:hint="eastAsia" w:ascii="宋体" w:hAnsi="宋体" w:eastAsia="宋体" w:cs="宋体"/>
          <w:spacing w:val="6"/>
          <w:sz w:val="24"/>
        </w:rPr>
        <w:t>单位的</w:t>
      </w:r>
      <w:r>
        <w:rPr>
          <w:rFonts w:hint="eastAsia" w:ascii="宋体" w:hAnsi="宋体" w:eastAsia="宋体" w:cs="宋体"/>
          <w:spacing w:val="6"/>
          <w:sz w:val="24"/>
          <w:u w:val="single"/>
        </w:rPr>
        <w:t xml:space="preserve">   （项目名称）    </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14:paraId="264E033D">
      <w:pPr>
        <w:wordWrap w:val="0"/>
        <w:spacing w:line="360" w:lineRule="auto"/>
        <w:ind w:firstLine="506" w:firstLineChars="200"/>
        <w:rPr>
          <w:rFonts w:hint="eastAsia" w:ascii="宋体" w:hAnsi="宋体" w:eastAsia="宋体" w:cs="宋体"/>
          <w:spacing w:val="6"/>
          <w:sz w:val="24"/>
        </w:rPr>
      </w:pPr>
      <w:r>
        <w:rPr>
          <w:rFonts w:hint="eastAsia" w:ascii="宋体" w:hAnsi="宋体" w:eastAsia="宋体" w:cs="宋体"/>
          <w:b/>
          <w:spacing w:val="6"/>
          <w:sz w:val="24"/>
          <w:u w:val="single"/>
        </w:rPr>
        <w:t>本单位对上述声明的真实性负责。如有虚假，将依法承担相应责任</w:t>
      </w:r>
      <w:r>
        <w:rPr>
          <w:rFonts w:hint="eastAsia" w:ascii="宋体" w:hAnsi="宋体" w:eastAsia="宋体" w:cs="宋体"/>
          <w:spacing w:val="6"/>
          <w:sz w:val="24"/>
        </w:rPr>
        <w:t>。</w:t>
      </w:r>
    </w:p>
    <w:p w14:paraId="0052F4A9">
      <w:pPr>
        <w:wordWrap w:val="0"/>
        <w:spacing w:line="360" w:lineRule="auto"/>
        <w:ind w:firstLine="504" w:firstLineChars="200"/>
        <w:rPr>
          <w:rFonts w:hint="eastAsia" w:ascii="宋体" w:hAnsi="宋体" w:eastAsia="宋体" w:cs="宋体"/>
          <w:spacing w:val="6"/>
          <w:sz w:val="24"/>
        </w:rPr>
      </w:pPr>
    </w:p>
    <w:p w14:paraId="3999573E">
      <w:pPr>
        <w:wordWrap w:val="0"/>
        <w:spacing w:line="360" w:lineRule="auto"/>
        <w:ind w:firstLine="504" w:firstLineChars="200"/>
        <w:rPr>
          <w:rFonts w:hint="eastAsia" w:ascii="宋体" w:hAnsi="宋体" w:eastAsia="宋体" w:cs="宋体"/>
          <w:spacing w:val="6"/>
          <w:sz w:val="24"/>
        </w:rPr>
      </w:pPr>
    </w:p>
    <w:p w14:paraId="5C643980">
      <w:pPr>
        <w:wordWrap w:val="0"/>
        <w:adjustRightIn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投标人名称（电子签章）：</w:t>
      </w:r>
      <w:r>
        <w:rPr>
          <w:rFonts w:hint="eastAsia" w:ascii="宋体" w:hAnsi="宋体" w:eastAsia="宋体" w:cs="宋体"/>
          <w:sz w:val="24"/>
          <w:u w:val="single"/>
        </w:rPr>
        <w:t xml:space="preserve">            </w:t>
      </w:r>
    </w:p>
    <w:p w14:paraId="4C85285E">
      <w:p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45CD9E09">
      <w:p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日期：   年  月  日</w:t>
      </w:r>
    </w:p>
    <w:p w14:paraId="45740878">
      <w:pPr>
        <w:pStyle w:val="15"/>
        <w:wordWrap w:val="0"/>
        <w:adjustRightInd w:val="0"/>
        <w:spacing w:line="360" w:lineRule="auto"/>
        <w:ind w:firstLine="420" w:firstLineChars="200"/>
        <w:rPr>
          <w:rFonts w:hint="eastAsia" w:hAnsi="宋体" w:cs="宋体"/>
        </w:rPr>
      </w:pPr>
    </w:p>
    <w:p w14:paraId="29BFF640">
      <w:pPr>
        <w:pStyle w:val="15"/>
        <w:wordWrap w:val="0"/>
        <w:spacing w:line="360" w:lineRule="auto"/>
        <w:rPr>
          <w:rFonts w:hint="eastAsia" w:hAnsi="宋体" w:cs="宋体"/>
        </w:rPr>
      </w:pPr>
    </w:p>
    <w:p w14:paraId="7CDC811C">
      <w:pPr>
        <w:pStyle w:val="34"/>
        <w:rPr>
          <w:rFonts w:hint="eastAsia"/>
        </w:rPr>
      </w:pPr>
    </w:p>
    <w:sectPr>
      <w:headerReference r:id="rId5" w:type="default"/>
      <w:footerReference r:id="rId6" w:type="default"/>
      <w:pgSz w:w="11906" w:h="16838"/>
      <w:pgMar w:top="1134" w:right="1134" w:bottom="1134"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pingfang sc">
    <w:altName w:val="宋体"/>
    <w:panose1 w:val="00000000000000000000"/>
    <w:charset w:val="86"/>
    <w:family w:val="auto"/>
    <w:pitch w:val="default"/>
    <w:sig w:usb0="00000000" w:usb1="00000000" w:usb2="00000000" w:usb3="00000000" w:csb0="0016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6299">
    <w:pPr>
      <w:pStyle w:val="19"/>
      <w:tabs>
        <w:tab w:val="left" w:pos="465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927A2">
    <w:pPr>
      <w:pStyle w:val="19"/>
      <w:pBdr>
        <w:top w:val="single" w:color="auto" w:sz="4" w:space="1"/>
        <w:left w:val="none" w:color="auto" w:sz="0" w:space="4"/>
        <w:bottom w:val="none" w:color="auto" w:sz="0" w:space="1"/>
        <w:right w:val="none" w:color="auto" w:sz="0" w:space="4"/>
      </w:pBdr>
      <w:jc w:val="distribut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AFF9F">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8AFF9F">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公开 公平 公正                                                     浙江开平企业管理咨询有限公司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A72C">
    <w:pPr>
      <w:pStyle w:val="20"/>
      <w:pBdr>
        <w:bottom w:val="none" w:color="auto" w:sz="0" w:space="1"/>
      </w:pBdr>
      <w:tabs>
        <w:tab w:val="left" w:pos="6149"/>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77D2">
    <w:pPr>
      <w:pStyle w:val="20"/>
      <w:pBdr>
        <w:bottom w:val="thinThickSmallGap" w:color="auto" w:sz="12" w:space="1"/>
      </w:pBdr>
      <w:tabs>
        <w:tab w:val="left" w:pos="6559"/>
        <w:tab w:val="clear" w:pos="4153"/>
      </w:tabs>
      <w:jc w:val="distribute"/>
    </w:pPr>
    <w:r>
      <w:rPr>
        <w:rFonts w:hint="eastAsia"/>
      </w:rPr>
      <w:t>义乌市有限空间智慧监测预警系统采购                                  项目编号：ZJKP2024YW198G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1">
    <w:nsid w:val="FB6AE978"/>
    <w:multiLevelType w:val="singleLevel"/>
    <w:tmpl w:val="FB6AE978"/>
    <w:lvl w:ilvl="0" w:tentative="0">
      <w:start w:val="1"/>
      <w:numFmt w:val="decimal"/>
      <w:suff w:val="nothing"/>
      <w:lvlText w:val="（%1）"/>
      <w:lvlJc w:val="left"/>
      <w:pPr>
        <w:ind w:left="0" w:firstLine="420"/>
      </w:pPr>
      <w:rPr>
        <w:rFonts w:hint="default"/>
      </w:rPr>
    </w:lvl>
  </w:abstractNum>
  <w:abstractNum w:abstractNumId="2">
    <w:nsid w:val="14F59DA8"/>
    <w:multiLevelType w:val="singleLevel"/>
    <w:tmpl w:val="14F59DA8"/>
    <w:lvl w:ilvl="0" w:tentative="0">
      <w:start w:val="6"/>
      <w:numFmt w:val="decimal"/>
      <w:suff w:val="nothing"/>
      <w:lvlText w:val="%1、"/>
      <w:lvlJc w:val="left"/>
    </w:lvl>
  </w:abstractNum>
  <w:abstractNum w:abstractNumId="3">
    <w:nsid w:val="2BD7F4FF"/>
    <w:multiLevelType w:val="singleLevel"/>
    <w:tmpl w:val="2BD7F4FF"/>
    <w:lvl w:ilvl="0" w:tentative="0">
      <w:start w:val="1"/>
      <w:numFmt w:val="decimal"/>
      <w:suff w:val="nothing"/>
      <w:lvlText w:val="（%1）"/>
      <w:lvlJc w:val="left"/>
      <w:pPr>
        <w:ind w:left="0" w:firstLine="420"/>
      </w:pPr>
      <w:rPr>
        <w:rFonts w:hint="default"/>
      </w:rPr>
    </w:lvl>
  </w:abstractNum>
  <w:abstractNum w:abstractNumId="4">
    <w:nsid w:val="5AD7BAE5"/>
    <w:multiLevelType w:val="singleLevel"/>
    <w:tmpl w:val="5AD7BAE5"/>
    <w:lvl w:ilvl="0" w:tentative="0">
      <w:start w:val="3"/>
      <w:numFmt w:val="decimal"/>
      <w:suff w:val="nothing"/>
      <w:lvlText w:val="%1、"/>
      <w:lvlJc w:val="left"/>
      <w:pPr>
        <w:ind w:left="150"/>
      </w:pPr>
    </w:lvl>
  </w:abstractNum>
  <w:abstractNum w:abstractNumId="5">
    <w:nsid w:val="72F0E25B"/>
    <w:multiLevelType w:val="singleLevel"/>
    <w:tmpl w:val="72F0E25B"/>
    <w:lvl w:ilvl="0" w:tentative="0">
      <w:start w:val="1"/>
      <w:numFmt w:val="decimal"/>
      <w:suff w:val="nothing"/>
      <w:lvlText w:val="（%1）"/>
      <w:lvlJc w:val="left"/>
      <w:pPr>
        <w:ind w:left="0" w:firstLine="420"/>
      </w:pPr>
      <w:rPr>
        <w:rFonts w:hint="default"/>
        <w:sz w:val="24"/>
        <w:szCs w:val="24"/>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Nzc4OWY2M2E3MzQ3OTgxNDZlNWQ0YmNjNjc2YjcifQ=="/>
    <w:docVar w:name="KSO_WPS_MARK_KEY" w:val="f5cedcf6-0d9b-4c1c-ad7f-1f25f57051d9"/>
  </w:docVars>
  <w:rsids>
    <w:rsidRoot w:val="698A63C3"/>
    <w:rsid w:val="000023DD"/>
    <w:rsid w:val="00043CAA"/>
    <w:rsid w:val="00052D9C"/>
    <w:rsid w:val="001156CC"/>
    <w:rsid w:val="0012633E"/>
    <w:rsid w:val="001508C7"/>
    <w:rsid w:val="00166F45"/>
    <w:rsid w:val="00177C8D"/>
    <w:rsid w:val="0019336E"/>
    <w:rsid w:val="00230CDE"/>
    <w:rsid w:val="00232389"/>
    <w:rsid w:val="002755AF"/>
    <w:rsid w:val="00300D55"/>
    <w:rsid w:val="0030263F"/>
    <w:rsid w:val="00306C71"/>
    <w:rsid w:val="003328F6"/>
    <w:rsid w:val="003453CF"/>
    <w:rsid w:val="00374EBE"/>
    <w:rsid w:val="00385A4C"/>
    <w:rsid w:val="003D62B9"/>
    <w:rsid w:val="004F42C1"/>
    <w:rsid w:val="004F741F"/>
    <w:rsid w:val="00574B68"/>
    <w:rsid w:val="00577321"/>
    <w:rsid w:val="00587F60"/>
    <w:rsid w:val="005A190C"/>
    <w:rsid w:val="006007B8"/>
    <w:rsid w:val="00601FF5"/>
    <w:rsid w:val="00631A16"/>
    <w:rsid w:val="00636985"/>
    <w:rsid w:val="00671F56"/>
    <w:rsid w:val="006800BF"/>
    <w:rsid w:val="006B2BA4"/>
    <w:rsid w:val="006D1243"/>
    <w:rsid w:val="006D5C6F"/>
    <w:rsid w:val="00705032"/>
    <w:rsid w:val="00723B9D"/>
    <w:rsid w:val="00771E8E"/>
    <w:rsid w:val="00777261"/>
    <w:rsid w:val="00781751"/>
    <w:rsid w:val="00783F6B"/>
    <w:rsid w:val="00784037"/>
    <w:rsid w:val="007A01A2"/>
    <w:rsid w:val="008B63D5"/>
    <w:rsid w:val="008D5AC2"/>
    <w:rsid w:val="008F51D9"/>
    <w:rsid w:val="009204BE"/>
    <w:rsid w:val="00922505"/>
    <w:rsid w:val="00961A38"/>
    <w:rsid w:val="00993331"/>
    <w:rsid w:val="009A6BFA"/>
    <w:rsid w:val="009F135F"/>
    <w:rsid w:val="00A06F8F"/>
    <w:rsid w:val="00A40658"/>
    <w:rsid w:val="00B44E62"/>
    <w:rsid w:val="00B47EC5"/>
    <w:rsid w:val="00BB7391"/>
    <w:rsid w:val="00BE1CAB"/>
    <w:rsid w:val="00C12A32"/>
    <w:rsid w:val="00C93BD3"/>
    <w:rsid w:val="00CF5F02"/>
    <w:rsid w:val="00D07CF8"/>
    <w:rsid w:val="00D53908"/>
    <w:rsid w:val="00D82966"/>
    <w:rsid w:val="00DD420D"/>
    <w:rsid w:val="00E1374D"/>
    <w:rsid w:val="00E515E4"/>
    <w:rsid w:val="00E66E7B"/>
    <w:rsid w:val="00E92EA8"/>
    <w:rsid w:val="00EB443B"/>
    <w:rsid w:val="00F0722A"/>
    <w:rsid w:val="00F13316"/>
    <w:rsid w:val="00F803C7"/>
    <w:rsid w:val="00FB0521"/>
    <w:rsid w:val="00FE3BA0"/>
    <w:rsid w:val="010F3B4F"/>
    <w:rsid w:val="013E412A"/>
    <w:rsid w:val="01713FE9"/>
    <w:rsid w:val="019D2CB2"/>
    <w:rsid w:val="025A4B3C"/>
    <w:rsid w:val="02D91DE7"/>
    <w:rsid w:val="03497087"/>
    <w:rsid w:val="036C3B5C"/>
    <w:rsid w:val="038541E2"/>
    <w:rsid w:val="03A043CE"/>
    <w:rsid w:val="03E42333"/>
    <w:rsid w:val="041800B5"/>
    <w:rsid w:val="04360C8C"/>
    <w:rsid w:val="04702B56"/>
    <w:rsid w:val="048F7C19"/>
    <w:rsid w:val="04C04CDB"/>
    <w:rsid w:val="04E43663"/>
    <w:rsid w:val="04FE63B4"/>
    <w:rsid w:val="05082C9A"/>
    <w:rsid w:val="050A1175"/>
    <w:rsid w:val="05140A30"/>
    <w:rsid w:val="0521388A"/>
    <w:rsid w:val="05474F3F"/>
    <w:rsid w:val="05667EF8"/>
    <w:rsid w:val="057175C7"/>
    <w:rsid w:val="059258FC"/>
    <w:rsid w:val="05B73F07"/>
    <w:rsid w:val="05EF2466"/>
    <w:rsid w:val="06115A5B"/>
    <w:rsid w:val="062077BC"/>
    <w:rsid w:val="065E2D44"/>
    <w:rsid w:val="06640030"/>
    <w:rsid w:val="06A578DD"/>
    <w:rsid w:val="06CD24E2"/>
    <w:rsid w:val="06EE7673"/>
    <w:rsid w:val="06F9776E"/>
    <w:rsid w:val="07F5396F"/>
    <w:rsid w:val="08316AA1"/>
    <w:rsid w:val="0896541C"/>
    <w:rsid w:val="089963F4"/>
    <w:rsid w:val="08E616F2"/>
    <w:rsid w:val="08FB2C0B"/>
    <w:rsid w:val="09102534"/>
    <w:rsid w:val="093F0736"/>
    <w:rsid w:val="094C3466"/>
    <w:rsid w:val="095011A8"/>
    <w:rsid w:val="09614045"/>
    <w:rsid w:val="099866AB"/>
    <w:rsid w:val="09BC05EC"/>
    <w:rsid w:val="09C7792C"/>
    <w:rsid w:val="09D41C07"/>
    <w:rsid w:val="0A0F00BC"/>
    <w:rsid w:val="0A351ADB"/>
    <w:rsid w:val="0A3A36E4"/>
    <w:rsid w:val="0A7040CB"/>
    <w:rsid w:val="0A85770A"/>
    <w:rsid w:val="0AA30A0F"/>
    <w:rsid w:val="0AAF374D"/>
    <w:rsid w:val="0AF16201"/>
    <w:rsid w:val="0B080769"/>
    <w:rsid w:val="0B103E6C"/>
    <w:rsid w:val="0B745B79"/>
    <w:rsid w:val="0B9F3D21"/>
    <w:rsid w:val="0BA9743A"/>
    <w:rsid w:val="0BB528D2"/>
    <w:rsid w:val="0BFF2A12"/>
    <w:rsid w:val="0C546AA0"/>
    <w:rsid w:val="0C9E5D48"/>
    <w:rsid w:val="0CE045F1"/>
    <w:rsid w:val="0CEA0152"/>
    <w:rsid w:val="0CFB04D9"/>
    <w:rsid w:val="0CFD4282"/>
    <w:rsid w:val="0D216CF9"/>
    <w:rsid w:val="0D5541BD"/>
    <w:rsid w:val="0DDA3A9C"/>
    <w:rsid w:val="0EA578A0"/>
    <w:rsid w:val="0EA93835"/>
    <w:rsid w:val="0EAF6971"/>
    <w:rsid w:val="0EDD037B"/>
    <w:rsid w:val="0EFB4101"/>
    <w:rsid w:val="0F054513"/>
    <w:rsid w:val="0F0D04D1"/>
    <w:rsid w:val="0F291ACE"/>
    <w:rsid w:val="0F5512C6"/>
    <w:rsid w:val="0F68267D"/>
    <w:rsid w:val="0F81069C"/>
    <w:rsid w:val="0F880992"/>
    <w:rsid w:val="0F8D6C31"/>
    <w:rsid w:val="0FAB0EE6"/>
    <w:rsid w:val="0FD0204D"/>
    <w:rsid w:val="101414CD"/>
    <w:rsid w:val="108D73FC"/>
    <w:rsid w:val="109D121C"/>
    <w:rsid w:val="10C265EF"/>
    <w:rsid w:val="10D872D0"/>
    <w:rsid w:val="10E0696B"/>
    <w:rsid w:val="115D0B44"/>
    <w:rsid w:val="12445622"/>
    <w:rsid w:val="124E70EA"/>
    <w:rsid w:val="12667156"/>
    <w:rsid w:val="127342AB"/>
    <w:rsid w:val="12C81DAF"/>
    <w:rsid w:val="12DF2A88"/>
    <w:rsid w:val="12E070F9"/>
    <w:rsid w:val="13237DCA"/>
    <w:rsid w:val="132C3069"/>
    <w:rsid w:val="13BD3D12"/>
    <w:rsid w:val="13FE3816"/>
    <w:rsid w:val="1404150D"/>
    <w:rsid w:val="146E3FB0"/>
    <w:rsid w:val="146F2E2A"/>
    <w:rsid w:val="147A490B"/>
    <w:rsid w:val="148744BE"/>
    <w:rsid w:val="14933CD9"/>
    <w:rsid w:val="14997575"/>
    <w:rsid w:val="14C94C40"/>
    <w:rsid w:val="14C97054"/>
    <w:rsid w:val="152470FD"/>
    <w:rsid w:val="15415D5A"/>
    <w:rsid w:val="154D2279"/>
    <w:rsid w:val="15704A83"/>
    <w:rsid w:val="15705101"/>
    <w:rsid w:val="15714980"/>
    <w:rsid w:val="158D4A81"/>
    <w:rsid w:val="16385460"/>
    <w:rsid w:val="164627DB"/>
    <w:rsid w:val="166C5148"/>
    <w:rsid w:val="16F13135"/>
    <w:rsid w:val="172E54D0"/>
    <w:rsid w:val="17492063"/>
    <w:rsid w:val="175263C0"/>
    <w:rsid w:val="17C316A3"/>
    <w:rsid w:val="17DE3E23"/>
    <w:rsid w:val="17EB08DC"/>
    <w:rsid w:val="18037632"/>
    <w:rsid w:val="18085A29"/>
    <w:rsid w:val="180C2E6B"/>
    <w:rsid w:val="18297D6B"/>
    <w:rsid w:val="186D58D3"/>
    <w:rsid w:val="187F2042"/>
    <w:rsid w:val="18DD09E3"/>
    <w:rsid w:val="18E12F05"/>
    <w:rsid w:val="18E27E8B"/>
    <w:rsid w:val="19461664"/>
    <w:rsid w:val="19645E0A"/>
    <w:rsid w:val="197762DD"/>
    <w:rsid w:val="19E74BB9"/>
    <w:rsid w:val="19EC040D"/>
    <w:rsid w:val="19F45458"/>
    <w:rsid w:val="19F54F84"/>
    <w:rsid w:val="19F85670"/>
    <w:rsid w:val="1A143941"/>
    <w:rsid w:val="1A5B79AD"/>
    <w:rsid w:val="1A660226"/>
    <w:rsid w:val="1AB57272"/>
    <w:rsid w:val="1AC6529E"/>
    <w:rsid w:val="1AD31C39"/>
    <w:rsid w:val="1AD564D9"/>
    <w:rsid w:val="1AF37BE5"/>
    <w:rsid w:val="1B2B1543"/>
    <w:rsid w:val="1B441CB3"/>
    <w:rsid w:val="1B5A2BF2"/>
    <w:rsid w:val="1BF9122C"/>
    <w:rsid w:val="1C0E30F8"/>
    <w:rsid w:val="1C1F5136"/>
    <w:rsid w:val="1C2064B6"/>
    <w:rsid w:val="1C486871"/>
    <w:rsid w:val="1CA078F9"/>
    <w:rsid w:val="1CA53161"/>
    <w:rsid w:val="1CC96E50"/>
    <w:rsid w:val="1CED4BA9"/>
    <w:rsid w:val="1CEF2EE0"/>
    <w:rsid w:val="1CF36F7C"/>
    <w:rsid w:val="1CF60AE2"/>
    <w:rsid w:val="1CF87735"/>
    <w:rsid w:val="1D6D480A"/>
    <w:rsid w:val="1D742B1F"/>
    <w:rsid w:val="1DB43878"/>
    <w:rsid w:val="1DC01566"/>
    <w:rsid w:val="1DC47709"/>
    <w:rsid w:val="1DD145C1"/>
    <w:rsid w:val="1E250077"/>
    <w:rsid w:val="1E276524"/>
    <w:rsid w:val="1E2F53D8"/>
    <w:rsid w:val="1E562965"/>
    <w:rsid w:val="1E5E7A6C"/>
    <w:rsid w:val="1E6C05FA"/>
    <w:rsid w:val="1EA26524"/>
    <w:rsid w:val="1EAB0DB7"/>
    <w:rsid w:val="1EDF0BAD"/>
    <w:rsid w:val="1EEB7551"/>
    <w:rsid w:val="1F9244F1"/>
    <w:rsid w:val="1FBB73FE"/>
    <w:rsid w:val="1FBF7255"/>
    <w:rsid w:val="1FCA53B9"/>
    <w:rsid w:val="1FD679D1"/>
    <w:rsid w:val="200D1749"/>
    <w:rsid w:val="20340A84"/>
    <w:rsid w:val="203E5C30"/>
    <w:rsid w:val="2044711D"/>
    <w:rsid w:val="20AE0B72"/>
    <w:rsid w:val="20B816B5"/>
    <w:rsid w:val="20CE3F98"/>
    <w:rsid w:val="20D32E9C"/>
    <w:rsid w:val="210B7879"/>
    <w:rsid w:val="21134B3E"/>
    <w:rsid w:val="2123670D"/>
    <w:rsid w:val="21427BDE"/>
    <w:rsid w:val="21C57DA6"/>
    <w:rsid w:val="21D6512A"/>
    <w:rsid w:val="21FE5119"/>
    <w:rsid w:val="222A213F"/>
    <w:rsid w:val="2269487C"/>
    <w:rsid w:val="22741123"/>
    <w:rsid w:val="22EC024C"/>
    <w:rsid w:val="23600E90"/>
    <w:rsid w:val="237E662A"/>
    <w:rsid w:val="238B0497"/>
    <w:rsid w:val="23A128D5"/>
    <w:rsid w:val="23D83024"/>
    <w:rsid w:val="23DA5D9A"/>
    <w:rsid w:val="23EA508B"/>
    <w:rsid w:val="23FF75FB"/>
    <w:rsid w:val="246255D8"/>
    <w:rsid w:val="24A7216D"/>
    <w:rsid w:val="24D46EF7"/>
    <w:rsid w:val="24D9144B"/>
    <w:rsid w:val="250A26FB"/>
    <w:rsid w:val="254D5C61"/>
    <w:rsid w:val="257007B0"/>
    <w:rsid w:val="259A2BAD"/>
    <w:rsid w:val="2602467A"/>
    <w:rsid w:val="26D40073"/>
    <w:rsid w:val="26E74F9B"/>
    <w:rsid w:val="274D239C"/>
    <w:rsid w:val="275C548F"/>
    <w:rsid w:val="275F101D"/>
    <w:rsid w:val="27702963"/>
    <w:rsid w:val="27827BF6"/>
    <w:rsid w:val="278C7E6E"/>
    <w:rsid w:val="278E4F1E"/>
    <w:rsid w:val="27D30AF4"/>
    <w:rsid w:val="27E40FE2"/>
    <w:rsid w:val="286D48BD"/>
    <w:rsid w:val="28A702A1"/>
    <w:rsid w:val="290F0523"/>
    <w:rsid w:val="291E3D38"/>
    <w:rsid w:val="292267FB"/>
    <w:rsid w:val="293D6190"/>
    <w:rsid w:val="295C19E8"/>
    <w:rsid w:val="29A66A18"/>
    <w:rsid w:val="29F95A00"/>
    <w:rsid w:val="2A4404A5"/>
    <w:rsid w:val="2A662182"/>
    <w:rsid w:val="2A8133C3"/>
    <w:rsid w:val="2AEE5524"/>
    <w:rsid w:val="2B2C1CAA"/>
    <w:rsid w:val="2B3F744B"/>
    <w:rsid w:val="2B41325A"/>
    <w:rsid w:val="2B747753"/>
    <w:rsid w:val="2BC058C2"/>
    <w:rsid w:val="2BC26F54"/>
    <w:rsid w:val="2BCD57BE"/>
    <w:rsid w:val="2C3747D9"/>
    <w:rsid w:val="2C485341"/>
    <w:rsid w:val="2C4A1254"/>
    <w:rsid w:val="2C6C2FC3"/>
    <w:rsid w:val="2C7B379B"/>
    <w:rsid w:val="2C9F3729"/>
    <w:rsid w:val="2D167FFE"/>
    <w:rsid w:val="2D213D16"/>
    <w:rsid w:val="2D333A2D"/>
    <w:rsid w:val="2D8319E5"/>
    <w:rsid w:val="2D984D48"/>
    <w:rsid w:val="2D9A3EC9"/>
    <w:rsid w:val="2DCE4CFD"/>
    <w:rsid w:val="2DD85145"/>
    <w:rsid w:val="2DFB6D5B"/>
    <w:rsid w:val="2E3444CB"/>
    <w:rsid w:val="2E5F7614"/>
    <w:rsid w:val="2E6000D3"/>
    <w:rsid w:val="2E9279E9"/>
    <w:rsid w:val="2EB675F3"/>
    <w:rsid w:val="2EDE2C2F"/>
    <w:rsid w:val="2F2F0F1B"/>
    <w:rsid w:val="2F587684"/>
    <w:rsid w:val="2FDB0087"/>
    <w:rsid w:val="2FEB3810"/>
    <w:rsid w:val="302A5A00"/>
    <w:rsid w:val="30345C4D"/>
    <w:rsid w:val="303861A0"/>
    <w:rsid w:val="303F3688"/>
    <w:rsid w:val="3043685E"/>
    <w:rsid w:val="3053577E"/>
    <w:rsid w:val="309D1437"/>
    <w:rsid w:val="30A15E93"/>
    <w:rsid w:val="310D2F07"/>
    <w:rsid w:val="319375DC"/>
    <w:rsid w:val="31E82870"/>
    <w:rsid w:val="32024E86"/>
    <w:rsid w:val="320B14DF"/>
    <w:rsid w:val="32105B41"/>
    <w:rsid w:val="328D5C30"/>
    <w:rsid w:val="32B43E83"/>
    <w:rsid w:val="32E4633A"/>
    <w:rsid w:val="32EC4D02"/>
    <w:rsid w:val="33012F73"/>
    <w:rsid w:val="334F4191"/>
    <w:rsid w:val="337EC709"/>
    <w:rsid w:val="33BD648F"/>
    <w:rsid w:val="3402683F"/>
    <w:rsid w:val="340D5A45"/>
    <w:rsid w:val="349E7881"/>
    <w:rsid w:val="34B85623"/>
    <w:rsid w:val="34EE3B20"/>
    <w:rsid w:val="34F93133"/>
    <w:rsid w:val="35A2667D"/>
    <w:rsid w:val="35EB50AC"/>
    <w:rsid w:val="366C43C5"/>
    <w:rsid w:val="36963620"/>
    <w:rsid w:val="36B129D7"/>
    <w:rsid w:val="36B2466A"/>
    <w:rsid w:val="372C78A3"/>
    <w:rsid w:val="37301C4F"/>
    <w:rsid w:val="373430B3"/>
    <w:rsid w:val="37364379"/>
    <w:rsid w:val="373C1EF1"/>
    <w:rsid w:val="373D1D4E"/>
    <w:rsid w:val="374E0226"/>
    <w:rsid w:val="37521CFD"/>
    <w:rsid w:val="37735EDE"/>
    <w:rsid w:val="37FF3697"/>
    <w:rsid w:val="38411D1A"/>
    <w:rsid w:val="387129C9"/>
    <w:rsid w:val="388E785E"/>
    <w:rsid w:val="38AD675F"/>
    <w:rsid w:val="39016962"/>
    <w:rsid w:val="390E2362"/>
    <w:rsid w:val="39731517"/>
    <w:rsid w:val="39AB340D"/>
    <w:rsid w:val="39D11A2C"/>
    <w:rsid w:val="3A3F79CC"/>
    <w:rsid w:val="3A805D8E"/>
    <w:rsid w:val="3AA4577E"/>
    <w:rsid w:val="3ABF0D0A"/>
    <w:rsid w:val="3AC931EE"/>
    <w:rsid w:val="3AD90A06"/>
    <w:rsid w:val="3B047C46"/>
    <w:rsid w:val="3BAB0B19"/>
    <w:rsid w:val="3C2052F0"/>
    <w:rsid w:val="3C8F37BA"/>
    <w:rsid w:val="3C9B69B0"/>
    <w:rsid w:val="3CB957AD"/>
    <w:rsid w:val="3CDB7FC2"/>
    <w:rsid w:val="3D807F9A"/>
    <w:rsid w:val="3DA7050F"/>
    <w:rsid w:val="3DFC31DC"/>
    <w:rsid w:val="3E721703"/>
    <w:rsid w:val="3E7E19EA"/>
    <w:rsid w:val="3E8C3C1C"/>
    <w:rsid w:val="3EDC6612"/>
    <w:rsid w:val="3EE32846"/>
    <w:rsid w:val="3EE62697"/>
    <w:rsid w:val="3F253D28"/>
    <w:rsid w:val="3F3E09C3"/>
    <w:rsid w:val="3F47037C"/>
    <w:rsid w:val="3F6251B6"/>
    <w:rsid w:val="3FA30576"/>
    <w:rsid w:val="3FA81D06"/>
    <w:rsid w:val="40175FA1"/>
    <w:rsid w:val="401C5D5D"/>
    <w:rsid w:val="40596D74"/>
    <w:rsid w:val="40721299"/>
    <w:rsid w:val="40DD69F1"/>
    <w:rsid w:val="40FE3145"/>
    <w:rsid w:val="41455A01"/>
    <w:rsid w:val="41617729"/>
    <w:rsid w:val="419D381C"/>
    <w:rsid w:val="41DA218D"/>
    <w:rsid w:val="420D12B2"/>
    <w:rsid w:val="421A6551"/>
    <w:rsid w:val="422C218E"/>
    <w:rsid w:val="4253430E"/>
    <w:rsid w:val="427C557B"/>
    <w:rsid w:val="429C3EFE"/>
    <w:rsid w:val="42AE64FD"/>
    <w:rsid w:val="42BC0202"/>
    <w:rsid w:val="42BC2E2F"/>
    <w:rsid w:val="42E70446"/>
    <w:rsid w:val="43162980"/>
    <w:rsid w:val="43612BE5"/>
    <w:rsid w:val="437A75AA"/>
    <w:rsid w:val="43922586"/>
    <w:rsid w:val="43A050CE"/>
    <w:rsid w:val="43BF50FA"/>
    <w:rsid w:val="443C367F"/>
    <w:rsid w:val="4453445B"/>
    <w:rsid w:val="44A30F87"/>
    <w:rsid w:val="44B32928"/>
    <w:rsid w:val="44BA339E"/>
    <w:rsid w:val="44BE4401"/>
    <w:rsid w:val="44C279A9"/>
    <w:rsid w:val="44C77869"/>
    <w:rsid w:val="44D84EEA"/>
    <w:rsid w:val="44F73576"/>
    <w:rsid w:val="454722BC"/>
    <w:rsid w:val="456E00D8"/>
    <w:rsid w:val="462F1D53"/>
    <w:rsid w:val="46657CCF"/>
    <w:rsid w:val="467D6745"/>
    <w:rsid w:val="46B164C6"/>
    <w:rsid w:val="47637D8F"/>
    <w:rsid w:val="47672C71"/>
    <w:rsid w:val="47777325"/>
    <w:rsid w:val="47CB7671"/>
    <w:rsid w:val="48230E62"/>
    <w:rsid w:val="482379D2"/>
    <w:rsid w:val="485C1D4D"/>
    <w:rsid w:val="487F533A"/>
    <w:rsid w:val="48A203D1"/>
    <w:rsid w:val="48E00A0D"/>
    <w:rsid w:val="4909304D"/>
    <w:rsid w:val="49231459"/>
    <w:rsid w:val="49235BC9"/>
    <w:rsid w:val="49521DF7"/>
    <w:rsid w:val="49653EE4"/>
    <w:rsid w:val="49896216"/>
    <w:rsid w:val="49975A5C"/>
    <w:rsid w:val="49CF3C52"/>
    <w:rsid w:val="49DB4B3B"/>
    <w:rsid w:val="4A19010D"/>
    <w:rsid w:val="4A2644D8"/>
    <w:rsid w:val="4A5F3025"/>
    <w:rsid w:val="4A630D97"/>
    <w:rsid w:val="4A8617D4"/>
    <w:rsid w:val="4A8C0235"/>
    <w:rsid w:val="4B6A5854"/>
    <w:rsid w:val="4BBE3774"/>
    <w:rsid w:val="4BC74904"/>
    <w:rsid w:val="4C1B5F58"/>
    <w:rsid w:val="4C1C1F6D"/>
    <w:rsid w:val="4C213D84"/>
    <w:rsid w:val="4C382C99"/>
    <w:rsid w:val="4C4C38F4"/>
    <w:rsid w:val="4C5D79F9"/>
    <w:rsid w:val="4CC81A5D"/>
    <w:rsid w:val="4CCD4C51"/>
    <w:rsid w:val="4D1F46E6"/>
    <w:rsid w:val="4D471547"/>
    <w:rsid w:val="4D5554F7"/>
    <w:rsid w:val="4D84654B"/>
    <w:rsid w:val="4D896004"/>
    <w:rsid w:val="4DD728CB"/>
    <w:rsid w:val="4DEF408F"/>
    <w:rsid w:val="4E1B283B"/>
    <w:rsid w:val="4E3C7226"/>
    <w:rsid w:val="4E4802F3"/>
    <w:rsid w:val="4E4D2A0C"/>
    <w:rsid w:val="4E5D7015"/>
    <w:rsid w:val="4E7C589F"/>
    <w:rsid w:val="4F1418FD"/>
    <w:rsid w:val="4F365D17"/>
    <w:rsid w:val="4F77622F"/>
    <w:rsid w:val="4F786330"/>
    <w:rsid w:val="4FC0263A"/>
    <w:rsid w:val="50614595"/>
    <w:rsid w:val="50770396"/>
    <w:rsid w:val="509E4EC6"/>
    <w:rsid w:val="50B671B7"/>
    <w:rsid w:val="50C30779"/>
    <w:rsid w:val="50C80BA4"/>
    <w:rsid w:val="50EC3AC0"/>
    <w:rsid w:val="50EC52DB"/>
    <w:rsid w:val="51536EE0"/>
    <w:rsid w:val="51B30110"/>
    <w:rsid w:val="521C7AD9"/>
    <w:rsid w:val="5245699D"/>
    <w:rsid w:val="527252B8"/>
    <w:rsid w:val="52C363DA"/>
    <w:rsid w:val="52E86357"/>
    <w:rsid w:val="531C6FD2"/>
    <w:rsid w:val="531E2988"/>
    <w:rsid w:val="53426A39"/>
    <w:rsid w:val="53AD4229"/>
    <w:rsid w:val="53C27B7A"/>
    <w:rsid w:val="53EE47D4"/>
    <w:rsid w:val="53FD21BB"/>
    <w:rsid w:val="541A555E"/>
    <w:rsid w:val="54403F36"/>
    <w:rsid w:val="5445303A"/>
    <w:rsid w:val="5455310A"/>
    <w:rsid w:val="54790D3D"/>
    <w:rsid w:val="54843081"/>
    <w:rsid w:val="54AA0D3A"/>
    <w:rsid w:val="54BA105D"/>
    <w:rsid w:val="54D7298C"/>
    <w:rsid w:val="54DF7F18"/>
    <w:rsid w:val="54F974A5"/>
    <w:rsid w:val="55023F28"/>
    <w:rsid w:val="552B08E0"/>
    <w:rsid w:val="55362047"/>
    <w:rsid w:val="554D1797"/>
    <w:rsid w:val="554F18E1"/>
    <w:rsid w:val="5573148D"/>
    <w:rsid w:val="563C221F"/>
    <w:rsid w:val="56426DC7"/>
    <w:rsid w:val="565F45A6"/>
    <w:rsid w:val="568F2FC7"/>
    <w:rsid w:val="569E667C"/>
    <w:rsid w:val="56A03071"/>
    <w:rsid w:val="56A25A40"/>
    <w:rsid w:val="570F7913"/>
    <w:rsid w:val="575136EE"/>
    <w:rsid w:val="57536629"/>
    <w:rsid w:val="57601DDF"/>
    <w:rsid w:val="57646128"/>
    <w:rsid w:val="57710EBA"/>
    <w:rsid w:val="5778134F"/>
    <w:rsid w:val="57C33EC0"/>
    <w:rsid w:val="58472D43"/>
    <w:rsid w:val="58776B43"/>
    <w:rsid w:val="58B55221"/>
    <w:rsid w:val="58B6512E"/>
    <w:rsid w:val="58C13B8C"/>
    <w:rsid w:val="58ED0B9A"/>
    <w:rsid w:val="59062390"/>
    <w:rsid w:val="590F616B"/>
    <w:rsid w:val="593A6404"/>
    <w:rsid w:val="595E071B"/>
    <w:rsid w:val="598A2EE8"/>
    <w:rsid w:val="59E14D82"/>
    <w:rsid w:val="59ED6C35"/>
    <w:rsid w:val="5A062C10"/>
    <w:rsid w:val="5A2226FD"/>
    <w:rsid w:val="5A3D43FE"/>
    <w:rsid w:val="5A6670E6"/>
    <w:rsid w:val="5B0F3DD6"/>
    <w:rsid w:val="5B140DE8"/>
    <w:rsid w:val="5B234052"/>
    <w:rsid w:val="5B2D4472"/>
    <w:rsid w:val="5B305E0F"/>
    <w:rsid w:val="5B653457"/>
    <w:rsid w:val="5BA91AB3"/>
    <w:rsid w:val="5BAA15FC"/>
    <w:rsid w:val="5BD8226E"/>
    <w:rsid w:val="5BD92F2A"/>
    <w:rsid w:val="5BDB6301"/>
    <w:rsid w:val="5C223046"/>
    <w:rsid w:val="5C321785"/>
    <w:rsid w:val="5C3D515A"/>
    <w:rsid w:val="5C422339"/>
    <w:rsid w:val="5C5E02AA"/>
    <w:rsid w:val="5C6114F1"/>
    <w:rsid w:val="5C6A0DAE"/>
    <w:rsid w:val="5CA95708"/>
    <w:rsid w:val="5CB17125"/>
    <w:rsid w:val="5CC61628"/>
    <w:rsid w:val="5CDF79EE"/>
    <w:rsid w:val="5CF4729D"/>
    <w:rsid w:val="5D4D689A"/>
    <w:rsid w:val="5D612FD4"/>
    <w:rsid w:val="5D7F7F32"/>
    <w:rsid w:val="5DFF120B"/>
    <w:rsid w:val="5E1D7F38"/>
    <w:rsid w:val="5E4B6082"/>
    <w:rsid w:val="5E8425FB"/>
    <w:rsid w:val="5E9379A0"/>
    <w:rsid w:val="5EB44B9A"/>
    <w:rsid w:val="5EFA4C8C"/>
    <w:rsid w:val="5F192CD3"/>
    <w:rsid w:val="5F19651F"/>
    <w:rsid w:val="5F86531A"/>
    <w:rsid w:val="5F8731A9"/>
    <w:rsid w:val="5FE15C56"/>
    <w:rsid w:val="60544346"/>
    <w:rsid w:val="60693801"/>
    <w:rsid w:val="6098413C"/>
    <w:rsid w:val="60B27813"/>
    <w:rsid w:val="60D67F84"/>
    <w:rsid w:val="60E55A0C"/>
    <w:rsid w:val="61027D8C"/>
    <w:rsid w:val="614E0C9F"/>
    <w:rsid w:val="616218C1"/>
    <w:rsid w:val="61730705"/>
    <w:rsid w:val="61AD6848"/>
    <w:rsid w:val="61B84E22"/>
    <w:rsid w:val="61EA3E1A"/>
    <w:rsid w:val="61F64992"/>
    <w:rsid w:val="620A3BB6"/>
    <w:rsid w:val="624A0BDD"/>
    <w:rsid w:val="62920EA5"/>
    <w:rsid w:val="62C72F81"/>
    <w:rsid w:val="62E43D52"/>
    <w:rsid w:val="63096F22"/>
    <w:rsid w:val="631669F1"/>
    <w:rsid w:val="63474D9C"/>
    <w:rsid w:val="636528E3"/>
    <w:rsid w:val="636E7F56"/>
    <w:rsid w:val="63D716A7"/>
    <w:rsid w:val="640B4148"/>
    <w:rsid w:val="64174D4A"/>
    <w:rsid w:val="64191A38"/>
    <w:rsid w:val="642951BF"/>
    <w:rsid w:val="64430863"/>
    <w:rsid w:val="64460353"/>
    <w:rsid w:val="64532330"/>
    <w:rsid w:val="646C237D"/>
    <w:rsid w:val="64B07535"/>
    <w:rsid w:val="64C41B3A"/>
    <w:rsid w:val="64CC2881"/>
    <w:rsid w:val="64CF6311"/>
    <w:rsid w:val="652607BF"/>
    <w:rsid w:val="6530684D"/>
    <w:rsid w:val="6561340A"/>
    <w:rsid w:val="65B512EC"/>
    <w:rsid w:val="66503118"/>
    <w:rsid w:val="6659611C"/>
    <w:rsid w:val="665B66EF"/>
    <w:rsid w:val="66A41B50"/>
    <w:rsid w:val="66CF4630"/>
    <w:rsid w:val="67627F2D"/>
    <w:rsid w:val="67EF78EE"/>
    <w:rsid w:val="68152516"/>
    <w:rsid w:val="682820B4"/>
    <w:rsid w:val="68306478"/>
    <w:rsid w:val="683A3D2B"/>
    <w:rsid w:val="684C6800"/>
    <w:rsid w:val="686979DD"/>
    <w:rsid w:val="68F44821"/>
    <w:rsid w:val="69004F74"/>
    <w:rsid w:val="693D49F3"/>
    <w:rsid w:val="697B78E6"/>
    <w:rsid w:val="698A63C3"/>
    <w:rsid w:val="699A2B65"/>
    <w:rsid w:val="69DD5C88"/>
    <w:rsid w:val="69E403F2"/>
    <w:rsid w:val="6A1868E3"/>
    <w:rsid w:val="6A333BF9"/>
    <w:rsid w:val="6A436A18"/>
    <w:rsid w:val="6A59037F"/>
    <w:rsid w:val="6A5D008D"/>
    <w:rsid w:val="6ABE0C43"/>
    <w:rsid w:val="6ADE2941"/>
    <w:rsid w:val="6B587BBF"/>
    <w:rsid w:val="6B855C05"/>
    <w:rsid w:val="6B944C32"/>
    <w:rsid w:val="6BC124C7"/>
    <w:rsid w:val="6C2D4E30"/>
    <w:rsid w:val="6C580C23"/>
    <w:rsid w:val="6C6B4DFB"/>
    <w:rsid w:val="6C6D4AE4"/>
    <w:rsid w:val="6C81190A"/>
    <w:rsid w:val="6D066565"/>
    <w:rsid w:val="6D1127FF"/>
    <w:rsid w:val="6D3C2C45"/>
    <w:rsid w:val="6DF80910"/>
    <w:rsid w:val="6E881C94"/>
    <w:rsid w:val="6E8B1784"/>
    <w:rsid w:val="6E8F5FB4"/>
    <w:rsid w:val="6EC67C05"/>
    <w:rsid w:val="6ED05A0D"/>
    <w:rsid w:val="6ED250CA"/>
    <w:rsid w:val="6EF424EA"/>
    <w:rsid w:val="6EFB4CE2"/>
    <w:rsid w:val="6F207A55"/>
    <w:rsid w:val="6F433708"/>
    <w:rsid w:val="6F455F99"/>
    <w:rsid w:val="6F6B022E"/>
    <w:rsid w:val="6FAB19C4"/>
    <w:rsid w:val="6FFF6C9F"/>
    <w:rsid w:val="701964C1"/>
    <w:rsid w:val="70662737"/>
    <w:rsid w:val="706D25DF"/>
    <w:rsid w:val="707214C9"/>
    <w:rsid w:val="70776CBE"/>
    <w:rsid w:val="709A5CAE"/>
    <w:rsid w:val="70B50EAB"/>
    <w:rsid w:val="70BC4889"/>
    <w:rsid w:val="70CD071D"/>
    <w:rsid w:val="70E6151C"/>
    <w:rsid w:val="71325D0B"/>
    <w:rsid w:val="71397EC1"/>
    <w:rsid w:val="719105E3"/>
    <w:rsid w:val="71B94718"/>
    <w:rsid w:val="71CF4A91"/>
    <w:rsid w:val="71F80D38"/>
    <w:rsid w:val="722C0059"/>
    <w:rsid w:val="725F69F1"/>
    <w:rsid w:val="72833102"/>
    <w:rsid w:val="72B755AB"/>
    <w:rsid w:val="72B8066E"/>
    <w:rsid w:val="72DA12D3"/>
    <w:rsid w:val="72F773E8"/>
    <w:rsid w:val="732841DE"/>
    <w:rsid w:val="733A3CA3"/>
    <w:rsid w:val="733D59DF"/>
    <w:rsid w:val="736A4853"/>
    <w:rsid w:val="73B250BD"/>
    <w:rsid w:val="73CF4230"/>
    <w:rsid w:val="73FE6CCE"/>
    <w:rsid w:val="74122000"/>
    <w:rsid w:val="74124A43"/>
    <w:rsid w:val="74866CC7"/>
    <w:rsid w:val="74DB6895"/>
    <w:rsid w:val="74F67B27"/>
    <w:rsid w:val="75052962"/>
    <w:rsid w:val="75480322"/>
    <w:rsid w:val="75FE29B0"/>
    <w:rsid w:val="760B6CBC"/>
    <w:rsid w:val="761A46D2"/>
    <w:rsid w:val="765342DE"/>
    <w:rsid w:val="76894F0E"/>
    <w:rsid w:val="769B2359"/>
    <w:rsid w:val="76BF30C4"/>
    <w:rsid w:val="76F8372F"/>
    <w:rsid w:val="77051FF0"/>
    <w:rsid w:val="7731279D"/>
    <w:rsid w:val="7758241F"/>
    <w:rsid w:val="775D6A7E"/>
    <w:rsid w:val="77E9299E"/>
    <w:rsid w:val="77EE5C08"/>
    <w:rsid w:val="77F71266"/>
    <w:rsid w:val="781A1483"/>
    <w:rsid w:val="78210A63"/>
    <w:rsid w:val="783D6892"/>
    <w:rsid w:val="789C3464"/>
    <w:rsid w:val="78F35959"/>
    <w:rsid w:val="790F275E"/>
    <w:rsid w:val="792C7D4D"/>
    <w:rsid w:val="793A0A99"/>
    <w:rsid w:val="796C4DD0"/>
    <w:rsid w:val="79790445"/>
    <w:rsid w:val="797D2DA2"/>
    <w:rsid w:val="79B36374"/>
    <w:rsid w:val="79D37E35"/>
    <w:rsid w:val="7A293706"/>
    <w:rsid w:val="7A750FF3"/>
    <w:rsid w:val="7AD7296F"/>
    <w:rsid w:val="7B157363"/>
    <w:rsid w:val="7B30227E"/>
    <w:rsid w:val="7BB47905"/>
    <w:rsid w:val="7BB7240C"/>
    <w:rsid w:val="7BD5331E"/>
    <w:rsid w:val="7BFE3B4D"/>
    <w:rsid w:val="7C08209B"/>
    <w:rsid w:val="7C191616"/>
    <w:rsid w:val="7C6701DC"/>
    <w:rsid w:val="7CF85BA5"/>
    <w:rsid w:val="7CFC6284"/>
    <w:rsid w:val="7CFF1A5B"/>
    <w:rsid w:val="7D35603A"/>
    <w:rsid w:val="7D480840"/>
    <w:rsid w:val="7D810F35"/>
    <w:rsid w:val="7DD40B43"/>
    <w:rsid w:val="7DF76987"/>
    <w:rsid w:val="7DF7797A"/>
    <w:rsid w:val="7DFE3AEB"/>
    <w:rsid w:val="7E0C0CD7"/>
    <w:rsid w:val="7E3007DD"/>
    <w:rsid w:val="7E6E3C2E"/>
    <w:rsid w:val="7EAD29ED"/>
    <w:rsid w:val="7EC861C8"/>
    <w:rsid w:val="7EE822DB"/>
    <w:rsid w:val="7EF20417"/>
    <w:rsid w:val="7F1E7D70"/>
    <w:rsid w:val="7F5166E2"/>
    <w:rsid w:val="7F590092"/>
    <w:rsid w:val="7FA54475"/>
    <w:rsid w:val="7FBE4DEA"/>
    <w:rsid w:val="7FC06DB4"/>
    <w:rsid w:val="7FD33FBD"/>
    <w:rsid w:val="D7DD5B8E"/>
    <w:rsid w:val="DF67E55B"/>
    <w:rsid w:val="DFBE8930"/>
    <w:rsid w:val="FB7F9958"/>
    <w:rsid w:val="FDAF00A6"/>
    <w:rsid w:val="FDF74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sz w:val="21"/>
    </w:rPr>
  </w:style>
  <w:style w:type="paragraph" w:styleId="3">
    <w:name w:val="Body Text"/>
    <w:basedOn w:val="1"/>
    <w:next w:val="2"/>
    <w:qFormat/>
    <w:uiPriority w:val="0"/>
    <w:rPr>
      <w:sz w:val="24"/>
    </w:rPr>
  </w:style>
  <w:style w:type="paragraph" w:styleId="8">
    <w:name w:val="Normal Indent"/>
    <w:basedOn w:val="1"/>
    <w:next w:val="9"/>
    <w:qFormat/>
    <w:uiPriority w:val="0"/>
    <w:pPr>
      <w:ind w:firstLine="420"/>
    </w:pPr>
  </w:style>
  <w:style w:type="paragraph" w:styleId="9">
    <w:name w:val="Body Text Indent"/>
    <w:basedOn w:val="1"/>
    <w:next w:val="10"/>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10">
    <w:name w:val="Body Text First Indent 2"/>
    <w:basedOn w:val="9"/>
    <w:next w:val="1"/>
    <w:qFormat/>
    <w:uiPriority w:val="0"/>
  </w:style>
  <w:style w:type="paragraph" w:styleId="11">
    <w:name w:val="toa heading"/>
    <w:basedOn w:val="1"/>
    <w:next w:val="1"/>
    <w:qFormat/>
    <w:uiPriority w:val="0"/>
    <w:rPr>
      <w:rFonts w:ascii="Arial" w:hAnsi="Arial"/>
      <w:sz w:val="24"/>
      <w:szCs w:val="20"/>
    </w:rPr>
  </w:style>
  <w:style w:type="paragraph" w:styleId="12">
    <w:name w:val="annotation text"/>
    <w:basedOn w:val="1"/>
    <w:link w:val="55"/>
    <w:qFormat/>
    <w:uiPriority w:val="0"/>
    <w:pPr>
      <w:jc w:val="left"/>
    </w:pPr>
  </w:style>
  <w:style w:type="paragraph" w:styleId="13">
    <w:name w:val="List Continue"/>
    <w:basedOn w:val="1"/>
    <w:qFormat/>
    <w:uiPriority w:val="0"/>
    <w:pPr>
      <w:spacing w:after="120"/>
      <w:ind w:left="420"/>
    </w:pPr>
  </w:style>
  <w:style w:type="paragraph" w:styleId="14">
    <w:name w:val="toc 3"/>
    <w:basedOn w:val="1"/>
    <w:next w:val="1"/>
    <w:qFormat/>
    <w:uiPriority w:val="39"/>
    <w:pPr>
      <w:ind w:left="840" w:leftChars="400"/>
    </w:pPr>
  </w:style>
  <w:style w:type="paragraph" w:styleId="15">
    <w:name w:val="Plain Text"/>
    <w:basedOn w:val="1"/>
    <w:next w:val="1"/>
    <w:link w:val="40"/>
    <w:qFormat/>
    <w:uiPriority w:val="0"/>
    <w:rPr>
      <w:rFonts w:ascii="宋体" w:hAnsi="Courier New" w:eastAsia="宋体"/>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41"/>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szCs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344"/>
      </w:tabs>
      <w:spacing w:line="360" w:lineRule="auto"/>
    </w:pPr>
    <w:rPr>
      <w:rFonts w:ascii="Times New Roman" w:hAnsi="Times New Roman" w:eastAsia="宋体" w:cs="Times New Roman"/>
      <w:sz w:val="24"/>
      <w:szCs w:val="24"/>
    </w:rPr>
  </w:style>
  <w:style w:type="paragraph" w:styleId="22">
    <w:name w:val="toc 4"/>
    <w:basedOn w:val="1"/>
    <w:next w:val="1"/>
    <w:qFormat/>
    <w:uiPriority w:val="0"/>
    <w:pPr>
      <w:ind w:left="1260"/>
    </w:pPr>
    <w:rPr>
      <w:kern w:val="1"/>
    </w:rPr>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qFormat/>
    <w:uiPriority w:val="10"/>
    <w:pPr>
      <w:spacing w:before="240" w:after="60"/>
      <w:jc w:val="center"/>
      <w:outlineLvl w:val="0"/>
    </w:pPr>
    <w:rPr>
      <w:rFonts w:ascii="Cambria" w:hAnsi="Cambria"/>
      <w:b/>
      <w:bCs/>
      <w:sz w:val="32"/>
      <w:szCs w:val="32"/>
    </w:rPr>
  </w:style>
  <w:style w:type="paragraph" w:styleId="27">
    <w:name w:val="annotation subject"/>
    <w:basedOn w:val="12"/>
    <w:next w:val="12"/>
    <w:link w:val="56"/>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99"/>
    <w:rPr>
      <w:color w:val="0000FF"/>
      <w:u w:val="single"/>
    </w:rPr>
  </w:style>
  <w:style w:type="character" w:styleId="33">
    <w:name w:val="annotation reference"/>
    <w:basedOn w:val="30"/>
    <w:qFormat/>
    <w:uiPriority w:val="0"/>
    <w:rPr>
      <w:sz w:val="21"/>
      <w:szCs w:val="21"/>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首行缩进"/>
    <w:basedOn w:val="1"/>
    <w:next w:val="13"/>
    <w:qFormat/>
    <w:uiPriority w:val="0"/>
    <w:pPr>
      <w:spacing w:line="360" w:lineRule="auto"/>
      <w:ind w:firstLine="480" w:firstLineChars="200"/>
    </w:pPr>
    <w:rPr>
      <w:sz w:val="24"/>
      <w:lang w:val="zh-CN"/>
    </w:rPr>
  </w:style>
  <w:style w:type="paragraph" w:customStyle="1" w:styleId="36">
    <w:name w:val="正文（首行缩进2字符）"/>
    <w:basedOn w:val="1"/>
    <w:qFormat/>
    <w:uiPriority w:val="0"/>
    <w:pPr>
      <w:spacing w:line="360" w:lineRule="auto"/>
      <w:ind w:firstLine="420" w:firstLineChars="200"/>
    </w:pPr>
    <w:rPr>
      <w:szCs w:val="21"/>
    </w:rPr>
  </w:style>
  <w:style w:type="paragraph" w:customStyle="1" w:styleId="3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
    <w:name w:val="M正文"/>
    <w:basedOn w:val="1"/>
    <w:qFormat/>
    <w:uiPriority w:val="0"/>
    <w:pPr>
      <w:spacing w:line="360" w:lineRule="auto"/>
      <w:ind w:firstLine="480" w:firstLineChars="200"/>
    </w:pPr>
    <w:rPr>
      <w:sz w:val="24"/>
      <w:szCs w:val="24"/>
    </w:rPr>
  </w:style>
  <w:style w:type="paragraph" w:customStyle="1" w:styleId="39">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character" w:customStyle="1" w:styleId="40">
    <w:name w:val="纯文本 字符"/>
    <w:link w:val="15"/>
    <w:qFormat/>
    <w:uiPriority w:val="0"/>
    <w:rPr>
      <w:rFonts w:ascii="宋体" w:hAnsi="Courier New" w:cstheme="minorBidi"/>
      <w:kern w:val="2"/>
      <w:sz w:val="21"/>
      <w:szCs w:val="22"/>
    </w:rPr>
  </w:style>
  <w:style w:type="character" w:customStyle="1" w:styleId="41">
    <w:name w:val="批注框文本 字符"/>
    <w:basedOn w:val="30"/>
    <w:link w:val="18"/>
    <w:qFormat/>
    <w:uiPriority w:val="0"/>
    <w:rPr>
      <w:rFonts w:asciiTheme="minorHAnsi" w:hAnsiTheme="minorHAnsi" w:eastAsiaTheme="minorEastAsia" w:cstheme="minorBidi"/>
      <w:kern w:val="2"/>
      <w:sz w:val="18"/>
      <w:szCs w:val="18"/>
    </w:rPr>
  </w:style>
  <w:style w:type="paragraph" w:customStyle="1" w:styleId="4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3">
    <w:name w:val="标题 3 字符"/>
    <w:link w:val="6"/>
    <w:qFormat/>
    <w:uiPriority w:val="0"/>
    <w:rPr>
      <w:b/>
      <w:bCs/>
      <w:sz w:val="32"/>
      <w:szCs w:val="32"/>
    </w:rPr>
  </w:style>
  <w:style w:type="paragraph" w:customStyle="1" w:styleId="44">
    <w:name w:val="正文缩进样式"/>
    <w:basedOn w:val="8"/>
    <w:qFormat/>
    <w:uiPriority w:val="0"/>
    <w:pPr>
      <w:widowControl/>
      <w:snapToGrid w:val="0"/>
      <w:spacing w:line="360" w:lineRule="auto"/>
      <w:ind w:firstLine="480"/>
      <w:jc w:val="left"/>
    </w:pPr>
    <w:rPr>
      <w:rFonts w:ascii="Arial" w:hAnsi="宋体" w:cs="Arial"/>
      <w:kern w:val="0"/>
      <w:sz w:val="24"/>
      <w:szCs w:val="24"/>
      <w:lang w:bidi="en-US"/>
    </w:rPr>
  </w:style>
  <w:style w:type="paragraph" w:customStyle="1" w:styleId="45">
    <w:name w:val="one-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p1"/>
    <w:basedOn w:val="1"/>
    <w:qFormat/>
    <w:uiPriority w:val="0"/>
    <w:pPr>
      <w:ind w:left="1380"/>
      <w:jc w:val="left"/>
    </w:pPr>
    <w:rPr>
      <w:rFonts w:ascii="pingfang sc" w:hAnsi="pingfang sc" w:eastAsia="pingfang sc" w:cs="Times New Roman"/>
      <w:kern w:val="0"/>
      <w:sz w:val="24"/>
      <w:szCs w:val="24"/>
    </w:rPr>
  </w:style>
  <w:style w:type="paragraph" w:customStyle="1" w:styleId="47">
    <w:name w:val="正文-首行缩进"/>
    <w:basedOn w:val="1"/>
    <w:qFormat/>
    <w:uiPriority w:val="0"/>
    <w:pPr>
      <w:spacing w:line="360" w:lineRule="auto"/>
      <w:ind w:firstLine="560" w:firstLineChars="200"/>
    </w:pPr>
    <w:rPr>
      <w:rFonts w:ascii="仿宋_GB2312" w:eastAsia="仿宋_GB2312" w:cs="仿宋_GB2312"/>
      <w:szCs w:val="28"/>
    </w:rPr>
  </w:style>
  <w:style w:type="paragraph" w:customStyle="1" w:styleId="48">
    <w:name w:val="xl53"/>
    <w:basedOn w:val="1"/>
    <w:next w:val="1"/>
    <w:qFormat/>
    <w:uiPriority w:val="0"/>
    <w:pPr>
      <w:spacing w:before="280" w:after="280" w:line="100" w:lineRule="exact"/>
      <w:jc w:val="center"/>
    </w:pPr>
    <w:rPr>
      <w:b/>
      <w:sz w:val="20"/>
    </w:rPr>
  </w:style>
  <w:style w:type="paragraph" w:customStyle="1" w:styleId="49">
    <w:name w:val="*正文"/>
    <w:basedOn w:val="1"/>
    <w:qFormat/>
    <w:uiPriority w:val="0"/>
    <w:pPr>
      <w:spacing w:line="360" w:lineRule="auto"/>
      <w:ind w:firstLine="200" w:firstLineChars="200"/>
    </w:pPr>
    <w:rPr>
      <w:rFonts w:ascii="宋体" w:hAnsi="宋体"/>
    </w:rPr>
  </w:style>
  <w:style w:type="paragraph" w:customStyle="1" w:styleId="50">
    <w:name w:val="常用段落文字格式"/>
    <w:basedOn w:val="1"/>
    <w:qFormat/>
    <w:uiPriority w:val="99"/>
    <w:pPr>
      <w:spacing w:line="360" w:lineRule="auto"/>
      <w:ind w:firstLine="480" w:firstLineChars="200"/>
    </w:pPr>
    <w:rPr>
      <w:rFonts w:ascii="宋体" w:hAnsi="宋体"/>
    </w:rPr>
  </w:style>
  <w:style w:type="paragraph" w:customStyle="1" w:styleId="5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3">
    <w:name w:val="font11"/>
    <w:basedOn w:val="30"/>
    <w:qFormat/>
    <w:uiPriority w:val="0"/>
    <w:rPr>
      <w:rFonts w:hint="eastAsia" w:ascii="宋体" w:hAnsi="宋体" w:eastAsia="宋体" w:cs="宋体"/>
      <w:color w:val="000000"/>
      <w:sz w:val="22"/>
      <w:szCs w:val="22"/>
      <w:u w:val="none"/>
    </w:rPr>
  </w:style>
  <w:style w:type="character" w:customStyle="1" w:styleId="54">
    <w:name w:val="font01"/>
    <w:basedOn w:val="30"/>
    <w:qFormat/>
    <w:uiPriority w:val="0"/>
    <w:rPr>
      <w:rFonts w:hint="eastAsia" w:ascii="宋体" w:hAnsi="宋体" w:eastAsia="宋体" w:cs="宋体"/>
      <w:color w:val="000000"/>
      <w:sz w:val="22"/>
      <w:szCs w:val="22"/>
      <w:u w:val="none"/>
    </w:rPr>
  </w:style>
  <w:style w:type="character" w:customStyle="1" w:styleId="55">
    <w:name w:val="批注文字 字符"/>
    <w:basedOn w:val="30"/>
    <w:link w:val="12"/>
    <w:qFormat/>
    <w:uiPriority w:val="0"/>
    <w:rPr>
      <w:rFonts w:asciiTheme="minorHAnsi" w:hAnsiTheme="minorHAnsi" w:eastAsiaTheme="minorEastAsia" w:cstheme="minorBidi"/>
      <w:kern w:val="2"/>
      <w:sz w:val="21"/>
      <w:szCs w:val="22"/>
    </w:rPr>
  </w:style>
  <w:style w:type="character" w:customStyle="1" w:styleId="56">
    <w:name w:val="批注主题 字符"/>
    <w:basedOn w:val="55"/>
    <w:link w:val="27"/>
    <w:qFormat/>
    <w:uiPriority w:val="0"/>
    <w:rPr>
      <w:rFonts w:asciiTheme="minorHAnsi" w:hAnsiTheme="minorHAnsi" w:eastAsiaTheme="minorEastAsia" w:cstheme="minorBidi"/>
      <w:b/>
      <w:bCs/>
      <w:kern w:val="2"/>
      <w:sz w:val="21"/>
      <w:szCs w:val="22"/>
    </w:rPr>
  </w:style>
  <w:style w:type="paragraph" w:customStyle="1" w:styleId="57">
    <w:name w:val="样式  + 首行缩进:  2 字符"/>
    <w:basedOn w:val="1"/>
    <w:qFormat/>
    <w:uiPriority w:val="0"/>
    <w:pPr>
      <w:adjustRightInd w:val="0"/>
      <w:spacing w:line="360" w:lineRule="auto"/>
      <w:ind w:firstLine="524" w:firstLineChars="200"/>
    </w:pPr>
    <w:rPr>
      <w:rFonts w:ascii="宋体" w:hAnsi="宋体"/>
      <w:spacing w:val="11"/>
      <w:kern w:val="0"/>
      <w:sz w:val="24"/>
    </w:rPr>
  </w:style>
  <w:style w:type="paragraph" w:customStyle="1" w:styleId="58">
    <w:name w:val="表格格式"/>
    <w:basedOn w:val="1"/>
    <w:qFormat/>
    <w:uiPriority w:val="0"/>
    <w:pPr>
      <w:jc w:val="center"/>
    </w:pPr>
    <w:rPr>
      <w:bCs/>
      <w:sz w:val="24"/>
      <w:szCs w:val="24"/>
    </w:rPr>
  </w:style>
  <w:style w:type="paragraph" w:customStyle="1" w:styleId="59">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60">
    <w:name w:val="列表段落1"/>
    <w:basedOn w:val="1"/>
    <w:qFormat/>
    <w:uiPriority w:val="34"/>
    <w:pPr>
      <w:ind w:firstLine="420" w:firstLineChars="200"/>
    </w:pPr>
  </w:style>
  <w:style w:type="paragraph" w:styleId="61">
    <w:name w:val="List Paragraph"/>
    <w:basedOn w:val="1"/>
    <w:qFormat/>
    <w:uiPriority w:val="99"/>
    <w:pPr>
      <w:ind w:firstLine="420" w:firstLineChars="200"/>
    </w:pPr>
  </w:style>
  <w:style w:type="paragraph" w:customStyle="1" w:styleId="62">
    <w:name w:val="列出段落1"/>
    <w:basedOn w:val="1"/>
    <w:unhideWhenUsed/>
    <w:qFormat/>
    <w:uiPriority w:val="99"/>
    <w:pPr>
      <w:spacing w:after="160" w:line="259" w:lineRule="auto"/>
      <w:ind w:firstLine="420" w:firstLineChars="200"/>
    </w:pPr>
    <w:rPr>
      <w:rFonts w:ascii="Calibri" w:hAnsi="Calibri"/>
    </w:rPr>
  </w:style>
  <w:style w:type="paragraph" w:customStyle="1" w:styleId="63">
    <w:name w:val="4"/>
    <w:basedOn w:val="1"/>
    <w:next w:val="15"/>
    <w:qFormat/>
    <w:uiPriority w:val="0"/>
    <w:pPr>
      <w:spacing w:line="520" w:lineRule="exact"/>
    </w:pPr>
    <w:rPr>
      <w:rFonts w:ascii="宋体" w:hAnsi="Courier New"/>
    </w:rPr>
  </w:style>
  <w:style w:type="character" w:customStyle="1" w:styleId="64">
    <w:name w:val="font21"/>
    <w:basedOn w:val="30"/>
    <w:qFormat/>
    <w:uiPriority w:val="0"/>
    <w:rPr>
      <w:rFonts w:hint="eastAsia" w:ascii="宋体" w:hAnsi="宋体" w:eastAsia="宋体" w:cs="宋体"/>
      <w:color w:val="000000"/>
      <w:sz w:val="24"/>
      <w:szCs w:val="24"/>
      <w:u w:val="none"/>
    </w:rPr>
  </w:style>
  <w:style w:type="character" w:customStyle="1" w:styleId="65">
    <w:name w:val="font41"/>
    <w:basedOn w:val="30"/>
    <w:qFormat/>
    <w:uiPriority w:val="0"/>
    <w:rPr>
      <w:rFonts w:hint="default" w:ascii="Times New Roman" w:hAnsi="Times New Roman" w:cs="Times New Roman"/>
      <w:color w:val="000000"/>
      <w:sz w:val="24"/>
      <w:szCs w:val="24"/>
      <w:u w:val="none"/>
    </w:rPr>
  </w:style>
  <w:style w:type="paragraph" w:customStyle="1" w:styleId="66">
    <w:name w:val="hik 正文"/>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59</Pages>
  <Words>33578</Words>
  <Characters>35588</Characters>
  <Lines>280</Lines>
  <Paragraphs>78</Paragraphs>
  <TotalTime>111</TotalTime>
  <ScaleCrop>false</ScaleCrop>
  <LinksUpToDate>false</LinksUpToDate>
  <CharactersWithSpaces>37721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2024-08-18T06:10:00Z</dcterms:created>
  <dc:creator>诺</dc:creator>
  <cp:lastModifiedBy>陳驍</cp:lastModifiedBy>
  <cp:lastPrinted>2024-09-10T03:26:00Z</cp:lastPrinted>
  <dcterms:modified xsi:type="dcterms:W3CDTF">2024-09-19T07:49:25Z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B01A2549283E4F6A9CBB6DBD21432D0D_13</vt:lpwstr>
  </property>
</Properties>
</file>