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Theme="majorEastAsia" w:hAnsiTheme="majorEastAsia" w:eastAsiaTheme="majorEastAsia" w:cstheme="majorEastAsia"/>
          <w:color w:val="auto"/>
        </w:rPr>
      </w:pPr>
      <w:bookmarkStart w:id="0" w:name="_Toc381081805"/>
      <w:bookmarkStart w:id="1" w:name="_Toc380429933"/>
    </w:p>
    <w:p>
      <w:pPr>
        <w:spacing w:beforeLines="50"/>
        <w:jc w:val="center"/>
        <w:rPr>
          <w:rFonts w:asciiTheme="majorEastAsia" w:hAnsiTheme="majorEastAsia" w:eastAsiaTheme="majorEastAsia" w:cstheme="majorEastAsia"/>
          <w:b/>
          <w:color w:val="auto"/>
          <w:spacing w:val="-20"/>
          <w:sz w:val="52"/>
          <w:szCs w:val="52"/>
        </w:rPr>
      </w:pPr>
      <w:r>
        <w:rPr>
          <w:rFonts w:hint="eastAsia" w:asciiTheme="majorEastAsia" w:hAnsiTheme="majorEastAsia" w:eastAsiaTheme="majorEastAsia" w:cstheme="majorEastAsia"/>
          <w:b/>
          <w:color w:val="auto"/>
          <w:spacing w:val="-20"/>
          <w:sz w:val="52"/>
          <w:szCs w:val="52"/>
          <w:lang w:eastAsia="zh-CN"/>
        </w:rPr>
        <w:t>兰溪市财政局202</w:t>
      </w:r>
      <w:r>
        <w:rPr>
          <w:rFonts w:hint="default" w:asciiTheme="majorEastAsia" w:hAnsiTheme="majorEastAsia" w:eastAsiaTheme="majorEastAsia" w:cstheme="majorEastAsia"/>
          <w:b/>
          <w:color w:val="auto"/>
          <w:spacing w:val="-20"/>
          <w:sz w:val="52"/>
          <w:szCs w:val="52"/>
          <w:lang w:val="en" w:eastAsia="zh-CN"/>
        </w:rPr>
        <w:t>5</w:t>
      </w:r>
      <w:r>
        <w:rPr>
          <w:rFonts w:hint="eastAsia" w:asciiTheme="majorEastAsia" w:hAnsiTheme="majorEastAsia" w:eastAsiaTheme="majorEastAsia" w:cstheme="majorEastAsia"/>
          <w:b/>
          <w:color w:val="auto"/>
          <w:spacing w:val="-20"/>
          <w:sz w:val="52"/>
          <w:szCs w:val="52"/>
          <w:lang w:eastAsia="zh-CN"/>
        </w:rPr>
        <w:t>-202</w:t>
      </w:r>
      <w:r>
        <w:rPr>
          <w:rFonts w:hint="default" w:asciiTheme="majorEastAsia" w:hAnsiTheme="majorEastAsia" w:eastAsiaTheme="majorEastAsia" w:cstheme="majorEastAsia"/>
          <w:b/>
          <w:color w:val="auto"/>
          <w:spacing w:val="-20"/>
          <w:sz w:val="52"/>
          <w:szCs w:val="52"/>
          <w:lang w:val="en" w:eastAsia="zh-CN"/>
        </w:rPr>
        <w:t>6</w:t>
      </w:r>
      <w:r>
        <w:rPr>
          <w:rFonts w:hint="eastAsia" w:asciiTheme="majorEastAsia" w:hAnsiTheme="majorEastAsia" w:eastAsiaTheme="majorEastAsia" w:cstheme="majorEastAsia"/>
          <w:b/>
          <w:color w:val="auto"/>
          <w:spacing w:val="-20"/>
          <w:sz w:val="52"/>
          <w:szCs w:val="52"/>
          <w:lang w:eastAsia="zh-CN"/>
        </w:rPr>
        <w:t>年财政投资项目工程造价咨询服务</w:t>
      </w:r>
      <w:r>
        <w:rPr>
          <w:rFonts w:hint="eastAsia" w:asciiTheme="majorEastAsia" w:hAnsiTheme="majorEastAsia" w:eastAsiaTheme="majorEastAsia" w:cstheme="majorEastAsia"/>
          <w:b/>
          <w:color w:val="auto"/>
          <w:spacing w:val="-20"/>
          <w:sz w:val="52"/>
          <w:szCs w:val="52"/>
        </w:rPr>
        <w:t>框架协议采购</w:t>
      </w:r>
    </w:p>
    <w:p>
      <w:pPr>
        <w:spacing w:beforeLines="50"/>
        <w:rPr>
          <w:rFonts w:asciiTheme="majorEastAsia" w:hAnsiTheme="majorEastAsia" w:eastAsiaTheme="majorEastAsia" w:cstheme="majorEastAsia"/>
          <w:b/>
          <w:color w:val="auto"/>
          <w:sz w:val="48"/>
          <w:szCs w:val="48"/>
        </w:rPr>
      </w:pPr>
    </w:p>
    <w:p>
      <w:pPr>
        <w:spacing w:beforeLines="50"/>
        <w:jc w:val="center"/>
        <w:rPr>
          <w:rFonts w:asciiTheme="majorEastAsia" w:hAnsiTheme="majorEastAsia" w:eastAsiaTheme="majorEastAsia" w:cstheme="majorEastAsia"/>
          <w:b/>
          <w:color w:val="auto"/>
          <w:sz w:val="48"/>
          <w:szCs w:val="48"/>
        </w:rPr>
      </w:pPr>
    </w:p>
    <w:p>
      <w:pPr>
        <w:spacing w:beforeLines="50"/>
        <w:jc w:val="center"/>
        <w:rPr>
          <w:rFonts w:hint="eastAsia" w:asciiTheme="majorEastAsia" w:hAnsiTheme="majorEastAsia" w:eastAsiaTheme="majorEastAsia" w:cstheme="majorEastAsia"/>
          <w:b/>
          <w:color w:val="auto"/>
          <w:sz w:val="72"/>
          <w:szCs w:val="72"/>
        </w:rPr>
      </w:pPr>
      <w:r>
        <w:rPr>
          <w:rFonts w:hint="eastAsia" w:asciiTheme="majorEastAsia" w:hAnsiTheme="majorEastAsia" w:eastAsiaTheme="majorEastAsia" w:cstheme="majorEastAsia"/>
          <w:b/>
          <w:color w:val="auto"/>
          <w:sz w:val="72"/>
          <w:szCs w:val="72"/>
        </w:rPr>
        <w:t>征</w:t>
      </w:r>
    </w:p>
    <w:p>
      <w:pPr>
        <w:spacing w:beforeLines="50"/>
        <w:jc w:val="center"/>
        <w:rPr>
          <w:rFonts w:hint="eastAsia" w:asciiTheme="majorEastAsia" w:hAnsiTheme="majorEastAsia" w:eastAsiaTheme="majorEastAsia" w:cstheme="majorEastAsia"/>
          <w:b/>
          <w:color w:val="auto"/>
          <w:sz w:val="72"/>
          <w:szCs w:val="72"/>
        </w:rPr>
      </w:pPr>
      <w:r>
        <w:rPr>
          <w:rFonts w:hint="eastAsia" w:asciiTheme="majorEastAsia" w:hAnsiTheme="majorEastAsia" w:eastAsiaTheme="majorEastAsia" w:cstheme="majorEastAsia"/>
          <w:b/>
          <w:color w:val="auto"/>
          <w:sz w:val="72"/>
          <w:szCs w:val="72"/>
        </w:rPr>
        <w:t>集</w:t>
      </w:r>
    </w:p>
    <w:p>
      <w:pPr>
        <w:spacing w:beforeLines="50"/>
        <w:jc w:val="center"/>
        <w:rPr>
          <w:rFonts w:hint="eastAsia" w:asciiTheme="majorEastAsia" w:hAnsiTheme="majorEastAsia" w:eastAsiaTheme="majorEastAsia" w:cstheme="majorEastAsia"/>
          <w:b/>
          <w:color w:val="auto"/>
          <w:sz w:val="72"/>
          <w:szCs w:val="72"/>
        </w:rPr>
      </w:pPr>
      <w:r>
        <w:rPr>
          <w:rFonts w:hint="eastAsia" w:asciiTheme="majorEastAsia" w:hAnsiTheme="majorEastAsia" w:eastAsiaTheme="majorEastAsia" w:cstheme="majorEastAsia"/>
          <w:b/>
          <w:color w:val="auto"/>
          <w:sz w:val="72"/>
          <w:szCs w:val="72"/>
        </w:rPr>
        <w:t>文</w:t>
      </w:r>
    </w:p>
    <w:p>
      <w:pPr>
        <w:spacing w:beforeLines="50"/>
        <w:jc w:val="center"/>
        <w:rPr>
          <w:rFonts w:asciiTheme="majorEastAsia" w:hAnsiTheme="majorEastAsia" w:eastAsiaTheme="majorEastAsia" w:cstheme="majorEastAsia"/>
          <w:b/>
          <w:color w:val="auto"/>
          <w:sz w:val="48"/>
          <w:szCs w:val="48"/>
        </w:rPr>
      </w:pPr>
      <w:r>
        <w:rPr>
          <w:rFonts w:hint="eastAsia" w:asciiTheme="majorEastAsia" w:hAnsiTheme="majorEastAsia" w:eastAsiaTheme="majorEastAsia" w:cstheme="majorEastAsia"/>
          <w:b/>
          <w:color w:val="auto"/>
          <w:sz w:val="72"/>
          <w:szCs w:val="72"/>
        </w:rPr>
        <w:t>件</w:t>
      </w:r>
    </w:p>
    <w:p>
      <w:pPr>
        <w:snapToGrid w:val="0"/>
        <w:spacing w:beforeLines="50" w:line="360" w:lineRule="auto"/>
        <w:rPr>
          <w:rFonts w:asciiTheme="majorEastAsia" w:hAnsiTheme="majorEastAsia" w:eastAsiaTheme="majorEastAsia" w:cstheme="majorEastAsia"/>
          <w:color w:val="auto"/>
          <w:sz w:val="30"/>
          <w:szCs w:val="72"/>
        </w:rPr>
      </w:pPr>
    </w:p>
    <w:p>
      <w:pPr>
        <w:rPr>
          <w:rFonts w:asciiTheme="majorEastAsia" w:hAnsiTheme="majorEastAsia" w:eastAsiaTheme="majorEastAsia" w:cstheme="majorEastAsia"/>
          <w:color w:val="auto"/>
        </w:rPr>
      </w:pPr>
    </w:p>
    <w:p>
      <w:pPr>
        <w:spacing w:line="360" w:lineRule="auto"/>
        <w:jc w:val="left"/>
        <w:rPr>
          <w:rFonts w:hint="eastAsia" w:asciiTheme="majorEastAsia" w:hAnsiTheme="majorEastAsia" w:eastAsiaTheme="majorEastAsia" w:cstheme="majorEastAsia"/>
          <w:b/>
          <w:color w:val="auto"/>
          <w:sz w:val="36"/>
          <w:szCs w:val="36"/>
          <w:highlight w:val="none"/>
          <w:lang w:eastAsia="zh-CN"/>
        </w:rPr>
      </w:pPr>
      <w:r>
        <w:rPr>
          <w:rFonts w:hint="eastAsia" w:asciiTheme="majorEastAsia" w:hAnsiTheme="majorEastAsia" w:eastAsiaTheme="majorEastAsia" w:cstheme="majorEastAsia"/>
          <w:b/>
          <w:color w:val="auto"/>
          <w:sz w:val="36"/>
          <w:szCs w:val="36"/>
          <w:highlight w:val="none"/>
        </w:rPr>
        <w:t>项目编号：</w:t>
      </w:r>
      <w:r>
        <w:rPr>
          <w:rFonts w:hint="eastAsia" w:asciiTheme="majorEastAsia" w:hAnsiTheme="majorEastAsia" w:eastAsiaTheme="majorEastAsia" w:cstheme="majorEastAsia"/>
          <w:b/>
          <w:color w:val="auto"/>
          <w:sz w:val="36"/>
          <w:szCs w:val="36"/>
          <w:highlight w:val="none"/>
          <w:lang w:eastAsia="zh-CN"/>
        </w:rPr>
        <w:t>LX20241102-C2303000</w:t>
      </w:r>
    </w:p>
    <w:p>
      <w:pPr>
        <w:spacing w:line="360" w:lineRule="auto"/>
        <w:ind w:left="1506" w:hanging="1807" w:hangingChars="500"/>
        <w:jc w:val="left"/>
        <w:rPr>
          <w:rFonts w:asciiTheme="majorEastAsia" w:hAnsiTheme="majorEastAsia" w:eastAsiaTheme="majorEastAsia" w:cstheme="majorEastAsia"/>
          <w:b/>
          <w:color w:val="auto"/>
          <w:sz w:val="36"/>
          <w:szCs w:val="36"/>
          <w:highlight w:val="none"/>
        </w:rPr>
      </w:pPr>
      <w:r>
        <w:rPr>
          <w:rFonts w:hint="eastAsia" w:asciiTheme="majorEastAsia" w:hAnsiTheme="majorEastAsia" w:eastAsiaTheme="majorEastAsia" w:cstheme="majorEastAsia"/>
          <w:b/>
          <w:color w:val="auto"/>
          <w:sz w:val="36"/>
          <w:szCs w:val="36"/>
          <w:highlight w:val="none"/>
        </w:rPr>
        <w:t>项目名称：</w:t>
      </w:r>
      <w:r>
        <w:rPr>
          <w:rFonts w:hint="eastAsia" w:asciiTheme="majorEastAsia" w:hAnsiTheme="majorEastAsia" w:eastAsiaTheme="majorEastAsia" w:cstheme="majorEastAsia"/>
          <w:b/>
          <w:color w:val="auto"/>
          <w:sz w:val="36"/>
          <w:szCs w:val="36"/>
          <w:highlight w:val="none"/>
          <w:lang w:eastAsia="zh-CN"/>
        </w:rPr>
        <w:t>兰溪市财政局202</w:t>
      </w:r>
      <w:r>
        <w:rPr>
          <w:rFonts w:hint="default" w:asciiTheme="majorEastAsia" w:hAnsiTheme="majorEastAsia" w:eastAsiaTheme="majorEastAsia" w:cstheme="majorEastAsia"/>
          <w:b/>
          <w:color w:val="auto"/>
          <w:sz w:val="36"/>
          <w:szCs w:val="36"/>
          <w:highlight w:val="none"/>
          <w:lang w:val="en" w:eastAsia="zh-CN"/>
        </w:rPr>
        <w:t>5</w:t>
      </w:r>
      <w:r>
        <w:rPr>
          <w:rFonts w:hint="eastAsia" w:asciiTheme="majorEastAsia" w:hAnsiTheme="majorEastAsia" w:eastAsiaTheme="majorEastAsia" w:cstheme="majorEastAsia"/>
          <w:b/>
          <w:color w:val="auto"/>
          <w:sz w:val="36"/>
          <w:szCs w:val="36"/>
          <w:highlight w:val="none"/>
          <w:lang w:eastAsia="zh-CN"/>
        </w:rPr>
        <w:t>-202</w:t>
      </w:r>
      <w:r>
        <w:rPr>
          <w:rFonts w:hint="default" w:asciiTheme="majorEastAsia" w:hAnsiTheme="majorEastAsia" w:eastAsiaTheme="majorEastAsia" w:cstheme="majorEastAsia"/>
          <w:b/>
          <w:color w:val="auto"/>
          <w:sz w:val="36"/>
          <w:szCs w:val="36"/>
          <w:highlight w:val="none"/>
          <w:lang w:val="en" w:eastAsia="zh-CN"/>
        </w:rPr>
        <w:t>6</w:t>
      </w:r>
      <w:r>
        <w:rPr>
          <w:rFonts w:hint="eastAsia" w:asciiTheme="majorEastAsia" w:hAnsiTheme="majorEastAsia" w:eastAsiaTheme="majorEastAsia" w:cstheme="majorEastAsia"/>
          <w:b/>
          <w:color w:val="auto"/>
          <w:sz w:val="36"/>
          <w:szCs w:val="36"/>
          <w:highlight w:val="none"/>
          <w:lang w:eastAsia="zh-CN"/>
        </w:rPr>
        <w:t>年财政投资项目工程造价咨询服务框架协议采购项目</w:t>
      </w:r>
    </w:p>
    <w:p>
      <w:pPr>
        <w:spacing w:line="360" w:lineRule="auto"/>
        <w:jc w:val="left"/>
        <w:rPr>
          <w:rFonts w:hint="eastAsia" w:asciiTheme="majorEastAsia" w:hAnsiTheme="majorEastAsia" w:eastAsiaTheme="majorEastAsia" w:cstheme="majorEastAsia"/>
          <w:b/>
          <w:color w:val="auto"/>
          <w:sz w:val="36"/>
          <w:szCs w:val="36"/>
          <w:highlight w:val="none"/>
          <w:lang w:eastAsia="zh-CN"/>
        </w:rPr>
      </w:pPr>
      <w:r>
        <w:rPr>
          <w:rFonts w:hint="eastAsia" w:asciiTheme="majorEastAsia" w:hAnsiTheme="majorEastAsia" w:eastAsiaTheme="majorEastAsia" w:cstheme="majorEastAsia"/>
          <w:b/>
          <w:color w:val="auto"/>
          <w:sz w:val="36"/>
          <w:szCs w:val="36"/>
          <w:highlight w:val="none"/>
        </w:rPr>
        <w:t>征</w:t>
      </w:r>
      <w:r>
        <w:rPr>
          <w:rFonts w:hint="eastAsia" w:asciiTheme="majorEastAsia" w:hAnsiTheme="majorEastAsia" w:eastAsiaTheme="majorEastAsia" w:cstheme="majorEastAsia"/>
          <w:b/>
          <w:color w:val="auto"/>
          <w:sz w:val="36"/>
          <w:szCs w:val="36"/>
          <w:highlight w:val="none"/>
          <w:lang w:val="en-US" w:eastAsia="zh-CN"/>
        </w:rPr>
        <w:t xml:space="preserve"> </w:t>
      </w:r>
      <w:r>
        <w:rPr>
          <w:rFonts w:hint="eastAsia" w:asciiTheme="majorEastAsia" w:hAnsiTheme="majorEastAsia" w:eastAsiaTheme="majorEastAsia" w:cstheme="majorEastAsia"/>
          <w:b/>
          <w:color w:val="auto"/>
          <w:sz w:val="36"/>
          <w:szCs w:val="36"/>
          <w:highlight w:val="none"/>
        </w:rPr>
        <w:t>集</w:t>
      </w:r>
      <w:r>
        <w:rPr>
          <w:rFonts w:hint="eastAsia" w:asciiTheme="majorEastAsia" w:hAnsiTheme="majorEastAsia" w:eastAsiaTheme="majorEastAsia" w:cstheme="majorEastAsia"/>
          <w:b/>
          <w:color w:val="auto"/>
          <w:sz w:val="36"/>
          <w:szCs w:val="36"/>
          <w:highlight w:val="none"/>
          <w:lang w:val="en-US" w:eastAsia="zh-CN"/>
        </w:rPr>
        <w:t xml:space="preserve"> </w:t>
      </w:r>
      <w:r>
        <w:rPr>
          <w:rFonts w:hint="eastAsia" w:asciiTheme="majorEastAsia" w:hAnsiTheme="majorEastAsia" w:eastAsiaTheme="majorEastAsia" w:cstheme="majorEastAsia"/>
          <w:b/>
          <w:color w:val="auto"/>
          <w:sz w:val="36"/>
          <w:szCs w:val="36"/>
          <w:highlight w:val="none"/>
        </w:rPr>
        <w:t>人：</w:t>
      </w:r>
      <w:r>
        <w:rPr>
          <w:rFonts w:hint="eastAsia" w:asciiTheme="majorEastAsia" w:hAnsiTheme="majorEastAsia" w:eastAsiaTheme="majorEastAsia" w:cstheme="majorEastAsia"/>
          <w:b/>
          <w:color w:val="auto"/>
          <w:sz w:val="36"/>
          <w:szCs w:val="36"/>
          <w:highlight w:val="none"/>
          <w:lang w:eastAsia="zh-CN"/>
        </w:rPr>
        <w:t>金华市公共资源交易中心兰溪市分中心</w:t>
      </w:r>
    </w:p>
    <w:p>
      <w:pPr>
        <w:pStyle w:val="13"/>
        <w:snapToGrid w:val="0"/>
        <w:spacing w:before="120" w:after="120" w:line="240" w:lineRule="auto"/>
        <w:ind w:firstLine="613"/>
        <w:jc w:val="left"/>
        <w:rPr>
          <w:rFonts w:asciiTheme="majorEastAsia" w:hAnsiTheme="majorEastAsia" w:eastAsiaTheme="majorEastAsia" w:cstheme="majorEastAsia"/>
          <w:b/>
          <w:bCs/>
          <w:color w:val="auto"/>
          <w:w w:val="95"/>
          <w:sz w:val="36"/>
          <w:szCs w:val="36"/>
          <w:highlight w:val="none"/>
        </w:rPr>
      </w:pPr>
    </w:p>
    <w:p>
      <w:pPr>
        <w:pStyle w:val="13"/>
        <w:spacing w:before="120" w:after="120" w:line="600" w:lineRule="exact"/>
        <w:jc w:val="both"/>
        <w:rPr>
          <w:rFonts w:asciiTheme="majorEastAsia" w:hAnsiTheme="majorEastAsia" w:eastAsiaTheme="majorEastAsia" w:cstheme="majorEastAsia"/>
          <w:b/>
          <w:bCs/>
          <w:color w:val="auto"/>
          <w:w w:val="95"/>
          <w:sz w:val="36"/>
          <w:szCs w:val="36"/>
          <w:highlight w:val="none"/>
        </w:rPr>
      </w:pPr>
      <w:r>
        <w:rPr>
          <w:rFonts w:hint="eastAsia" w:asciiTheme="majorEastAsia" w:hAnsiTheme="majorEastAsia" w:eastAsiaTheme="majorEastAsia" w:cstheme="majorEastAsia"/>
          <w:b/>
          <w:bCs/>
          <w:color w:val="auto"/>
          <w:w w:val="95"/>
          <w:sz w:val="36"/>
          <w:szCs w:val="36"/>
          <w:highlight w:val="none"/>
        </w:rPr>
        <w:t xml:space="preserve"> 　　　　　　　　　</w:t>
      </w:r>
      <w:r>
        <w:rPr>
          <w:rFonts w:hint="eastAsia" w:asciiTheme="majorEastAsia" w:hAnsiTheme="majorEastAsia" w:eastAsiaTheme="majorEastAsia" w:cstheme="majorEastAsia"/>
          <w:b/>
          <w:bCs/>
          <w:color w:val="auto"/>
          <w:w w:val="95"/>
          <w:sz w:val="36"/>
          <w:szCs w:val="36"/>
          <w:highlight w:val="none"/>
          <w:lang w:eastAsia="zh-CN"/>
        </w:rPr>
        <w:t>二0二四年十一月</w:t>
      </w:r>
    </w:p>
    <w:p>
      <w:pPr>
        <w:jc w:val="center"/>
        <w:rPr>
          <w:color w:val="auto"/>
          <w:sz w:val="28"/>
          <w:szCs w:val="28"/>
          <w:highlight w:val="none"/>
        </w:rPr>
      </w:pPr>
      <w:r>
        <w:rPr>
          <w:color w:val="auto"/>
          <w:sz w:val="28"/>
          <w:szCs w:val="28"/>
          <w:highlight w:val="none"/>
        </w:rPr>
        <w:br w:type="page"/>
      </w:r>
    </w:p>
    <w:p>
      <w:pPr>
        <w:jc w:val="center"/>
        <w:rPr>
          <w:color w:val="auto"/>
          <w:sz w:val="28"/>
          <w:szCs w:val="28"/>
          <w:highlight w:val="none"/>
        </w:rPr>
      </w:pPr>
    </w:p>
    <w:p>
      <w:pPr>
        <w:pStyle w:val="13"/>
        <w:spacing w:before="120" w:after="120" w:line="360" w:lineRule="auto"/>
        <w:jc w:val="center"/>
        <w:rPr>
          <w:rFonts w:hAnsi="宋体"/>
          <w:b/>
          <w:sz w:val="44"/>
          <w:szCs w:val="44"/>
          <w:highlight w:val="none"/>
        </w:rPr>
      </w:pPr>
    </w:p>
    <w:p>
      <w:pPr>
        <w:pStyle w:val="13"/>
        <w:spacing w:before="120" w:after="120" w:line="360" w:lineRule="auto"/>
        <w:jc w:val="center"/>
        <w:rPr>
          <w:rFonts w:hAnsi="宋体"/>
          <w:b/>
          <w:sz w:val="44"/>
          <w:szCs w:val="44"/>
          <w:highlight w:val="none"/>
        </w:rPr>
      </w:pPr>
      <w:r>
        <w:rPr>
          <w:rFonts w:hAnsi="宋体"/>
          <w:b/>
          <w:sz w:val="44"/>
          <w:szCs w:val="44"/>
          <w:highlight w:val="none"/>
        </w:rPr>
        <w:t>目      录</w:t>
      </w:r>
    </w:p>
    <w:p>
      <w:pPr>
        <w:pStyle w:val="13"/>
        <w:snapToGrid w:val="0"/>
        <w:spacing w:before="120" w:after="120" w:line="240" w:lineRule="auto"/>
        <w:jc w:val="center"/>
        <w:outlineLvl w:val="0"/>
        <w:rPr>
          <w:rFonts w:hAnsi="宋体"/>
          <w:b/>
          <w:sz w:val="44"/>
          <w:szCs w:val="44"/>
          <w:highlight w:val="none"/>
        </w:rPr>
      </w:pPr>
    </w:p>
    <w:p>
      <w:pPr>
        <w:pStyle w:val="13"/>
        <w:snapToGrid w:val="0"/>
        <w:spacing w:before="120" w:after="120" w:line="600" w:lineRule="exact"/>
        <w:ind w:firstLine="562" w:firstLineChars="200"/>
        <w:jc w:val="both"/>
        <w:outlineLvl w:val="0"/>
        <w:rPr>
          <w:rFonts w:hAnsi="宋体"/>
          <w:b/>
          <w:sz w:val="28"/>
          <w:szCs w:val="28"/>
          <w:highlight w:val="none"/>
        </w:rPr>
      </w:pPr>
      <w:r>
        <w:rPr>
          <w:rFonts w:hint="eastAsia" w:hAnsi="宋体"/>
          <w:b/>
          <w:sz w:val="28"/>
          <w:szCs w:val="28"/>
          <w:highlight w:val="none"/>
        </w:rPr>
        <w:t xml:space="preserve">第一章  </w:t>
      </w:r>
      <w:r>
        <w:rPr>
          <w:rFonts w:hint="eastAsia" w:hAnsi="宋体"/>
          <w:b/>
          <w:sz w:val="28"/>
          <w:szCs w:val="28"/>
          <w:highlight w:val="none"/>
          <w:lang w:eastAsia="zh-CN"/>
        </w:rPr>
        <w:t>框架协议采购公告</w:t>
      </w:r>
      <w:r>
        <w:rPr>
          <w:rFonts w:hint="eastAsia" w:hAnsi="宋体"/>
          <w:b/>
          <w:sz w:val="28"/>
          <w:szCs w:val="28"/>
          <w:highlight w:val="none"/>
          <w:lang w:val="en-US" w:eastAsia="zh-CN"/>
        </w:rPr>
        <w:t xml:space="preserve"> </w:t>
      </w:r>
      <w:r>
        <w:rPr>
          <w:rFonts w:hint="eastAsia" w:hAnsi="宋体"/>
          <w:b/>
          <w:sz w:val="28"/>
          <w:szCs w:val="28"/>
          <w:highlight w:val="none"/>
        </w:rPr>
        <w:t>………………………………………2</w:t>
      </w:r>
    </w:p>
    <w:p>
      <w:pPr>
        <w:pStyle w:val="13"/>
        <w:snapToGrid w:val="0"/>
        <w:spacing w:before="120" w:after="120" w:line="600" w:lineRule="exact"/>
        <w:ind w:firstLine="562" w:firstLineChars="200"/>
        <w:jc w:val="both"/>
        <w:outlineLvl w:val="0"/>
        <w:rPr>
          <w:rFonts w:hAnsi="宋体"/>
          <w:b/>
          <w:sz w:val="28"/>
          <w:szCs w:val="28"/>
          <w:highlight w:val="none"/>
        </w:rPr>
      </w:pPr>
      <w:r>
        <w:rPr>
          <w:rFonts w:hint="eastAsia" w:hAnsi="宋体"/>
          <w:b/>
          <w:sz w:val="28"/>
          <w:szCs w:val="28"/>
          <w:highlight w:val="none"/>
        </w:rPr>
        <w:t>第二章</w:t>
      </w:r>
      <w:r>
        <w:rPr>
          <w:rFonts w:hint="eastAsia" w:hAnsi="宋体"/>
          <w:b/>
          <w:sz w:val="28"/>
          <w:szCs w:val="28"/>
          <w:highlight w:val="none"/>
          <w:lang w:val="en-US" w:eastAsia="zh-CN"/>
        </w:rPr>
        <w:t xml:space="preserve">  </w:t>
      </w:r>
      <w:r>
        <w:rPr>
          <w:rFonts w:hint="eastAsia" w:hAnsi="宋体"/>
          <w:b/>
          <w:sz w:val="28"/>
          <w:szCs w:val="28"/>
          <w:highlight w:val="none"/>
        </w:rPr>
        <w:t>框架协议采购需求</w:t>
      </w:r>
      <w:r>
        <w:rPr>
          <w:rFonts w:hint="eastAsia" w:hAnsi="宋体"/>
          <w:b/>
          <w:sz w:val="28"/>
          <w:szCs w:val="28"/>
          <w:highlight w:val="none"/>
          <w:lang w:val="en-US" w:eastAsia="zh-CN"/>
        </w:rPr>
        <w:t xml:space="preserve"> </w:t>
      </w:r>
      <w:r>
        <w:rPr>
          <w:rFonts w:hint="eastAsia" w:hAnsi="宋体"/>
          <w:b/>
          <w:sz w:val="28"/>
          <w:szCs w:val="28"/>
          <w:highlight w:val="none"/>
        </w:rPr>
        <w:t>………………………………………7</w:t>
      </w:r>
    </w:p>
    <w:p>
      <w:pPr>
        <w:pStyle w:val="13"/>
        <w:snapToGrid w:val="0"/>
        <w:spacing w:before="120" w:after="120" w:line="600" w:lineRule="exact"/>
        <w:ind w:firstLine="562" w:firstLineChars="200"/>
        <w:jc w:val="both"/>
        <w:outlineLvl w:val="0"/>
        <w:rPr>
          <w:rFonts w:hint="default" w:hAnsi="宋体" w:eastAsia="宋体"/>
          <w:b/>
          <w:sz w:val="28"/>
          <w:szCs w:val="28"/>
          <w:highlight w:val="none"/>
          <w:lang w:val="en-US" w:eastAsia="zh-CN"/>
        </w:rPr>
      </w:pPr>
      <w:r>
        <w:rPr>
          <w:rFonts w:hint="eastAsia" w:hAnsi="宋体"/>
          <w:b/>
          <w:sz w:val="28"/>
          <w:szCs w:val="28"/>
          <w:highlight w:val="none"/>
        </w:rPr>
        <w:t xml:space="preserve">第三章  </w:t>
      </w:r>
      <w:r>
        <w:rPr>
          <w:rFonts w:hint="eastAsia" w:hAnsi="宋体"/>
          <w:b/>
          <w:sz w:val="28"/>
          <w:szCs w:val="28"/>
          <w:highlight w:val="none"/>
          <w:lang w:val="en-US" w:eastAsia="zh-CN"/>
        </w:rPr>
        <w:t>供应商须知…</w:t>
      </w:r>
      <w:r>
        <w:rPr>
          <w:rFonts w:hint="eastAsia" w:hAnsi="宋体"/>
          <w:b/>
          <w:sz w:val="28"/>
          <w:szCs w:val="28"/>
          <w:highlight w:val="none"/>
        </w:rPr>
        <w:t>……………………………………………</w:t>
      </w:r>
      <w:r>
        <w:rPr>
          <w:rFonts w:hint="eastAsia" w:hAnsi="宋体"/>
          <w:b/>
          <w:sz w:val="28"/>
          <w:szCs w:val="28"/>
          <w:highlight w:val="none"/>
          <w:lang w:val="en-US" w:eastAsia="zh-CN"/>
        </w:rPr>
        <w:t>13</w:t>
      </w:r>
    </w:p>
    <w:p>
      <w:pPr>
        <w:pStyle w:val="13"/>
        <w:snapToGrid w:val="0"/>
        <w:spacing w:before="120" w:after="120" w:line="600" w:lineRule="exact"/>
        <w:ind w:firstLine="562" w:firstLineChars="200"/>
        <w:jc w:val="both"/>
        <w:outlineLvl w:val="0"/>
        <w:rPr>
          <w:rFonts w:hint="default" w:hAnsi="宋体" w:eastAsia="宋体"/>
          <w:b/>
          <w:sz w:val="28"/>
          <w:szCs w:val="28"/>
          <w:highlight w:val="none"/>
          <w:lang w:val="en-US" w:eastAsia="zh-CN"/>
        </w:rPr>
      </w:pPr>
      <w:r>
        <w:rPr>
          <w:rFonts w:hint="eastAsia" w:hAnsi="宋体"/>
          <w:b/>
          <w:sz w:val="28"/>
          <w:szCs w:val="28"/>
          <w:highlight w:val="none"/>
        </w:rPr>
        <w:t xml:space="preserve">第四章 </w:t>
      </w:r>
      <w:r>
        <w:rPr>
          <w:rFonts w:hint="eastAsia" w:hAnsi="宋体"/>
          <w:b/>
          <w:sz w:val="28"/>
          <w:szCs w:val="28"/>
          <w:highlight w:val="none"/>
          <w:lang w:val="en-US" w:eastAsia="zh-CN"/>
        </w:rPr>
        <w:t xml:space="preserve"> </w:t>
      </w:r>
      <w:r>
        <w:rPr>
          <w:rFonts w:hint="eastAsia" w:hAnsi="宋体"/>
          <w:b/>
          <w:sz w:val="28"/>
          <w:szCs w:val="28"/>
          <w:highlight w:val="none"/>
        </w:rPr>
        <w:t>评标办法及标准…………………………………………</w:t>
      </w:r>
      <w:r>
        <w:rPr>
          <w:rFonts w:hint="eastAsia" w:hAnsi="宋体"/>
          <w:b/>
          <w:sz w:val="28"/>
          <w:szCs w:val="28"/>
          <w:highlight w:val="none"/>
          <w:lang w:val="en-US" w:eastAsia="zh-CN"/>
        </w:rPr>
        <w:t>25</w:t>
      </w:r>
    </w:p>
    <w:p>
      <w:pPr>
        <w:pStyle w:val="13"/>
        <w:snapToGrid w:val="0"/>
        <w:spacing w:before="120" w:after="120" w:line="600" w:lineRule="exact"/>
        <w:ind w:firstLine="562" w:firstLineChars="200"/>
        <w:jc w:val="both"/>
        <w:outlineLvl w:val="0"/>
        <w:rPr>
          <w:rFonts w:hint="default" w:hAnsi="宋体" w:eastAsia="宋体"/>
          <w:b/>
          <w:sz w:val="28"/>
          <w:szCs w:val="28"/>
          <w:highlight w:val="none"/>
          <w:lang w:val="en-US" w:eastAsia="zh-CN"/>
        </w:rPr>
      </w:pPr>
      <w:r>
        <w:rPr>
          <w:rFonts w:hint="eastAsia" w:hAnsi="宋体"/>
          <w:b/>
          <w:sz w:val="28"/>
          <w:szCs w:val="28"/>
          <w:highlight w:val="none"/>
        </w:rPr>
        <w:t xml:space="preserve">第五章  </w:t>
      </w:r>
      <w:r>
        <w:rPr>
          <w:rFonts w:hint="eastAsia" w:hAnsi="宋体"/>
          <w:b/>
          <w:sz w:val="28"/>
          <w:szCs w:val="28"/>
          <w:highlight w:val="none"/>
          <w:lang w:val="en-US" w:eastAsia="zh-CN"/>
        </w:rPr>
        <w:t>框架协议主要</w:t>
      </w:r>
      <w:r>
        <w:rPr>
          <w:rFonts w:hint="eastAsia" w:hAnsi="宋体"/>
          <w:b/>
          <w:sz w:val="28"/>
          <w:szCs w:val="28"/>
          <w:highlight w:val="none"/>
        </w:rPr>
        <w:t>条款………………………………………</w:t>
      </w:r>
      <w:r>
        <w:rPr>
          <w:rFonts w:hint="eastAsia" w:hAnsi="宋体"/>
          <w:b/>
          <w:sz w:val="28"/>
          <w:szCs w:val="28"/>
          <w:highlight w:val="none"/>
          <w:lang w:val="en-US" w:eastAsia="zh-CN"/>
        </w:rPr>
        <w:t>29</w:t>
      </w:r>
    </w:p>
    <w:p>
      <w:pPr>
        <w:pStyle w:val="13"/>
        <w:snapToGrid w:val="0"/>
        <w:spacing w:before="120" w:after="120" w:line="600" w:lineRule="exact"/>
        <w:ind w:firstLine="562" w:firstLineChars="200"/>
        <w:jc w:val="both"/>
        <w:outlineLvl w:val="0"/>
        <w:rPr>
          <w:rFonts w:hint="default" w:hAnsi="宋体" w:eastAsia="宋体"/>
          <w:b/>
          <w:sz w:val="28"/>
          <w:szCs w:val="28"/>
          <w:highlight w:val="none"/>
          <w:lang w:val="en-US" w:eastAsia="zh-CN"/>
        </w:rPr>
        <w:sectPr>
          <w:headerReference r:id="rId4" w:type="first"/>
          <w:footerReference r:id="rId6" w:type="first"/>
          <w:headerReference r:id="rId3" w:type="default"/>
          <w:footerReference r:id="rId5" w:type="default"/>
          <w:pgSz w:w="11906" w:h="16838"/>
          <w:pgMar w:top="1134" w:right="1418" w:bottom="1134" w:left="1418" w:header="851" w:footer="851" w:gutter="0"/>
          <w:pgNumType w:start="0"/>
          <w:cols w:space="720" w:num="1"/>
          <w:titlePg/>
          <w:docGrid w:linePitch="312" w:charSpace="0"/>
        </w:sectPr>
      </w:pPr>
      <w:r>
        <w:rPr>
          <w:rFonts w:hint="eastAsia" w:hAnsi="宋体"/>
          <w:b/>
          <w:sz w:val="28"/>
          <w:szCs w:val="28"/>
          <w:highlight w:val="none"/>
        </w:rPr>
        <w:t xml:space="preserve">第六章  </w:t>
      </w:r>
      <w:r>
        <w:rPr>
          <w:rFonts w:hint="eastAsia" w:hAnsi="宋体"/>
          <w:b/>
          <w:sz w:val="28"/>
          <w:szCs w:val="28"/>
          <w:highlight w:val="none"/>
          <w:lang w:val="en-US" w:eastAsia="zh-CN"/>
        </w:rPr>
        <w:t>响应</w:t>
      </w:r>
      <w:r>
        <w:rPr>
          <w:rFonts w:hint="eastAsia" w:hAnsi="宋体"/>
          <w:b/>
          <w:sz w:val="28"/>
          <w:szCs w:val="28"/>
          <w:highlight w:val="none"/>
        </w:rPr>
        <w:t>文件格式……………………………………………</w:t>
      </w:r>
      <w:r>
        <w:rPr>
          <w:rFonts w:hint="eastAsia" w:hAnsi="宋体"/>
          <w:b/>
          <w:sz w:val="28"/>
          <w:szCs w:val="28"/>
          <w:highlight w:val="none"/>
          <w:lang w:val="en-US" w:eastAsia="zh-CN"/>
        </w:rPr>
        <w:t>34</w:t>
      </w:r>
      <w:r>
        <w:rPr>
          <w:rFonts w:hint="eastAsia" w:hAnsi="宋体"/>
          <w:b/>
          <w:sz w:val="28"/>
          <w:szCs w:val="28"/>
          <w:highlight w:val="none"/>
        </w:rPr>
        <w:t xml:space="preserve">   </w:t>
      </w:r>
    </w:p>
    <w:p>
      <w:pPr>
        <w:pStyle w:val="5"/>
        <w:numPr>
          <w:ilvl w:val="0"/>
          <w:numId w:val="0"/>
        </w:numPr>
        <w:jc w:val="center"/>
        <w:rPr>
          <w:rFonts w:hint="eastAsia" w:asciiTheme="majorEastAsia" w:hAnsiTheme="majorEastAsia" w:eastAsiaTheme="majorEastAsia" w:cstheme="majorEastAsia"/>
          <w:color w:val="000000" w:themeColor="text1"/>
          <w:sz w:val="28"/>
          <w:szCs w:val="28"/>
          <w:highlight w:val="none"/>
          <w:lang w:eastAsia="zh-CN"/>
          <w14:textFill>
            <w14:solidFill>
              <w14:schemeClr w14:val="tx1"/>
            </w14:solidFill>
          </w14:textFill>
        </w:rPr>
      </w:pPr>
      <w:bookmarkStart w:id="2" w:name="_Toc1308133736"/>
      <w:bookmarkStart w:id="3" w:name="_Toc1128344318"/>
      <w:r>
        <w:rPr>
          <w:rFonts w:hint="eastAsia" w:asciiTheme="majorEastAsia" w:hAnsiTheme="majorEastAsia" w:eastAsiaTheme="majorEastAsia" w:cstheme="majorEastAsia"/>
          <w:color w:val="000000" w:themeColor="text1"/>
          <w:sz w:val="28"/>
          <w:szCs w:val="28"/>
          <w:highlight w:val="none"/>
          <w:lang w:eastAsia="zh-CN"/>
          <w14:textFill>
            <w14:solidFill>
              <w14:schemeClr w14:val="tx1"/>
            </w14:solidFill>
          </w14:textFill>
        </w:rPr>
        <w:t>第一章  框架协议采购公告</w:t>
      </w:r>
      <w:bookmarkEnd w:id="2"/>
      <w:bookmarkEnd w:id="3"/>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ajorEastAsia" w:hAnsiTheme="majorEastAsia" w:eastAsiaTheme="majorEastAsia" w:cstheme="majorEastAsia"/>
          <w:color w:val="000000" w:themeColor="text1"/>
          <w:highlight w:val="none"/>
          <w14:textFill>
            <w14:solidFill>
              <w14:schemeClr w14:val="tx1"/>
            </w14:solidFill>
          </w14:textFill>
        </w:rPr>
      </w:pPr>
      <w:bookmarkStart w:id="4" w:name="_Toc439666950"/>
      <w:r>
        <w:rPr>
          <w:rFonts w:hint="eastAsia" w:asciiTheme="majorEastAsia" w:hAnsiTheme="majorEastAsia" w:eastAsiaTheme="majorEastAsia" w:cstheme="majorEastAsia"/>
          <w:color w:val="000000" w:themeColor="text1"/>
          <w:highlight w:val="none"/>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金华市公共资源交易中心兰溪市分中心受</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兰溪市财政局</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委托就</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兰溪市财政局202</w:t>
      </w:r>
      <w:r>
        <w:rPr>
          <w:rFonts w:hint="eastAsia" w:asciiTheme="majorEastAsia" w:hAnsiTheme="majorEastAsia" w:eastAsiaTheme="majorEastAsia" w:cstheme="majorEastAsia"/>
          <w:color w:val="000000" w:themeColor="text1"/>
          <w:highlight w:val="none"/>
          <w:u w:val="single"/>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-202</w:t>
      </w:r>
      <w:r>
        <w:rPr>
          <w:rFonts w:hint="eastAsia" w:asciiTheme="majorEastAsia" w:hAnsiTheme="majorEastAsia" w:eastAsiaTheme="majorEastAsia" w:cstheme="majorEastAsia"/>
          <w:color w:val="000000" w:themeColor="text1"/>
          <w:highlight w:val="none"/>
          <w:u w:val="single"/>
          <w:lang w:val="en-US" w:eastAsia="zh-CN"/>
          <w14:textFill>
            <w14:solidFill>
              <w14:schemeClr w14:val="tx1"/>
            </w14:solidFill>
          </w14:textFill>
        </w:rPr>
        <w:t>6</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年财政投资项目工程造价咨询服务框架协议采购项目</w:t>
      </w:r>
      <w:r>
        <w:rPr>
          <w:rFonts w:hint="eastAsia" w:asciiTheme="majorEastAsia" w:hAnsiTheme="majorEastAsia" w:eastAsiaTheme="majorEastAsia" w:cstheme="majorEastAsia"/>
          <w:color w:val="000000" w:themeColor="text1"/>
          <w:highlight w:val="none"/>
          <w:u w:val="none"/>
          <w:lang w:eastAsia="zh-CN"/>
          <w14:textFill>
            <w14:solidFill>
              <w14:schemeClr w14:val="tx1"/>
            </w14:solidFill>
          </w14:textFill>
        </w:rPr>
        <w:t>进行公开征集供应商，各</w:t>
      </w:r>
      <w:r>
        <w:rPr>
          <w:rFonts w:hint="eastAsia" w:asciiTheme="majorEastAsia" w:hAnsiTheme="majorEastAsia" w:eastAsiaTheme="majorEastAsia" w:cstheme="majorEastAsia"/>
          <w:color w:val="000000" w:themeColor="text1"/>
          <w:highlight w:val="none"/>
          <w14:textFill>
            <w14:solidFill>
              <w14:schemeClr w14:val="tx1"/>
            </w14:solidFill>
          </w14:textFill>
        </w:rPr>
        <w:t>潜在供应商应在</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政采云平台（https://www.zcygov.cn/）</w:t>
      </w:r>
      <w:r>
        <w:rPr>
          <w:rFonts w:hint="eastAsia" w:asciiTheme="majorEastAsia" w:hAnsiTheme="majorEastAsia" w:eastAsiaTheme="majorEastAsia" w:cstheme="majorEastAsia"/>
          <w:color w:val="000000" w:themeColor="text1"/>
          <w:highlight w:val="none"/>
          <w14:textFill>
            <w14:solidFill>
              <w14:schemeClr w14:val="tx1"/>
            </w14:solidFill>
          </w14:textFill>
        </w:rPr>
        <w:t>获取</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（下载）</w:t>
      </w:r>
      <w:r>
        <w:rPr>
          <w:rFonts w:hint="eastAsia" w:asciiTheme="majorEastAsia" w:hAnsiTheme="majorEastAsia" w:eastAsiaTheme="majorEastAsia" w:cstheme="majorEastAsia"/>
          <w:color w:val="000000" w:themeColor="text1"/>
          <w:highlight w:val="none"/>
          <w14:textFill>
            <w14:solidFill>
              <w14:schemeClr w14:val="tx1"/>
            </w14:solidFill>
          </w14:textFill>
        </w:rPr>
        <w:t>征集文件，并于</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2024年</w:t>
      </w:r>
      <w:r>
        <w:rPr>
          <w:rFonts w:hint="eastAsia" w:asciiTheme="majorEastAsia" w:hAnsiTheme="majorEastAsia" w:eastAsiaTheme="majorEastAsia" w:cstheme="majorEastAsia"/>
          <w:color w:val="000000" w:themeColor="text1"/>
          <w:highlight w:val="none"/>
          <w:u w:val="single"/>
          <w:lang w:val="en-US" w:eastAsia="zh-CN"/>
          <w14:textFill>
            <w14:solidFill>
              <w14:schemeClr w14:val="tx1"/>
            </w14:solidFill>
          </w14:textFill>
        </w:rPr>
        <w:t>12</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月</w:t>
      </w:r>
      <w:r>
        <w:rPr>
          <w:rFonts w:hint="eastAsia" w:asciiTheme="majorEastAsia" w:hAnsiTheme="majorEastAsia" w:eastAsiaTheme="majorEastAsia" w:cstheme="majorEastAsia"/>
          <w:color w:val="000000" w:themeColor="text1"/>
          <w:highlight w:val="none"/>
          <w:u w:val="single"/>
          <w:lang w:val="en-US" w:eastAsia="zh-CN"/>
          <w14:textFill>
            <w14:solidFill>
              <w14:schemeClr w14:val="tx1"/>
            </w14:solidFill>
          </w14:textFill>
        </w:rPr>
        <w:t>1</w:t>
      </w:r>
      <w:r>
        <w:rPr>
          <w:rFonts w:hint="default" w:asciiTheme="majorEastAsia" w:hAnsiTheme="majorEastAsia" w:eastAsiaTheme="majorEastAsia" w:cstheme="majorEastAsia"/>
          <w:color w:val="000000" w:themeColor="text1"/>
          <w:highlight w:val="none"/>
          <w:u w:val="single"/>
          <w:lang w:val="en" w:eastAsia="zh-CN"/>
          <w14:textFill>
            <w14:solidFill>
              <w14:schemeClr w14:val="tx1"/>
            </w14:solidFill>
          </w14:textFill>
        </w:rPr>
        <w:t>8</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日09：30</w:t>
      </w:r>
      <w:r>
        <w:rPr>
          <w:rFonts w:hint="eastAsia" w:asciiTheme="majorEastAsia" w:hAnsiTheme="majorEastAsia" w:eastAsiaTheme="majorEastAsia" w:cstheme="majorEastAsia"/>
          <w:bCs/>
          <w:color w:val="000000" w:themeColor="text1"/>
          <w:highlight w:val="none"/>
          <w:u w:val="single"/>
          <w14:textFill>
            <w14:solidFill>
              <w14:schemeClr w14:val="tx1"/>
            </w14:solidFill>
          </w14:textFill>
        </w:rPr>
        <w:t>（</w:t>
      </w:r>
      <w:r>
        <w:rPr>
          <w:rFonts w:hint="eastAsia" w:asciiTheme="majorEastAsia" w:hAnsiTheme="majorEastAsia" w:eastAsiaTheme="majorEastAsia" w:cstheme="majorEastAsia"/>
          <w:bCs/>
          <w:color w:val="000000" w:themeColor="text1"/>
          <w:highlight w:val="none"/>
          <w14:textFill>
            <w14:solidFill>
              <w14:schemeClr w14:val="tx1"/>
            </w14:solidFill>
          </w14:textFill>
        </w:rPr>
        <w:t>北京时间）前递交</w:t>
      </w:r>
      <w:r>
        <w:rPr>
          <w:rFonts w:hint="eastAsia" w:asciiTheme="majorEastAsia" w:hAnsiTheme="majorEastAsia" w:eastAsiaTheme="majorEastAsia" w:cstheme="majorEastAsia"/>
          <w:bCs/>
          <w:color w:val="000000" w:themeColor="text1"/>
          <w:highlight w:val="none"/>
          <w:lang w:eastAsia="zh-CN"/>
          <w14:textFill>
            <w14:solidFill>
              <w14:schemeClr w14:val="tx1"/>
            </w14:solidFill>
          </w14:textFill>
        </w:rPr>
        <w:t>（上传）</w:t>
      </w:r>
      <w:r>
        <w:rPr>
          <w:rFonts w:hint="eastAsia" w:asciiTheme="majorEastAsia" w:hAnsiTheme="majorEastAsia" w:eastAsiaTheme="majorEastAsia" w:cstheme="majorEastAsia"/>
          <w:bCs/>
          <w:color w:val="000000" w:themeColor="text1"/>
          <w:highlight w:val="none"/>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pPr>
        <w:pStyle w:val="6"/>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一、项目基本情况</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政府采购计划编号：</w:t>
      </w:r>
    </w:p>
    <w:p>
      <w:pPr>
        <w:spacing w:line="540" w:lineRule="exact"/>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项目编号：</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LX20241102-C2303000</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项目名称：</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兰溪市财政局202</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6</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年财政投资项目工程造价咨询服务</w:t>
      </w:r>
      <w:r>
        <w:rPr>
          <w:rFonts w:hint="eastAsia" w:asciiTheme="majorEastAsia" w:hAnsiTheme="majorEastAsia" w:eastAsiaTheme="majorEastAsia" w:cstheme="majorEastAsia"/>
          <w:color w:val="000000" w:themeColor="text1"/>
          <w:highlight w:val="none"/>
          <w14:textFill>
            <w14:solidFill>
              <w14:schemeClr w14:val="tx1"/>
            </w14:solidFill>
          </w14:textFill>
        </w:rPr>
        <w:t>框架协议采购</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预算金额：</w:t>
      </w:r>
      <w:r>
        <w:rPr>
          <w:rFonts w:hint="eastAsia" w:ascii="宋体" w:hAnsi="宋体" w:cs="仿宋"/>
          <w:color w:val="auto"/>
          <w:sz w:val="24"/>
          <w:szCs w:val="28"/>
          <w:highlight w:val="none"/>
          <w:u w:val="none"/>
          <w:lang w:val="en-US" w:eastAsia="zh-CN"/>
        </w:rPr>
        <w:t>200</w:t>
      </w:r>
      <w:r>
        <w:rPr>
          <w:rFonts w:hint="eastAsia" w:ascii="宋体" w:hAnsi="宋体" w:cs="仿宋"/>
          <w:color w:val="auto"/>
          <w:sz w:val="24"/>
          <w:szCs w:val="28"/>
          <w:highlight w:val="none"/>
          <w:u w:val="none"/>
        </w:rPr>
        <w:t>万</w:t>
      </w:r>
      <w:r>
        <w:rPr>
          <w:rFonts w:hint="eastAsia" w:ascii="宋体" w:hAnsi="宋体" w:cs="仿宋"/>
          <w:color w:val="auto"/>
          <w:sz w:val="24"/>
          <w:szCs w:val="28"/>
          <w:highlight w:val="none"/>
          <w:u w:val="none"/>
          <w:lang w:eastAsia="zh-CN"/>
        </w:rPr>
        <w:t>元</w:t>
      </w:r>
      <w:r>
        <w:rPr>
          <w:rFonts w:hint="eastAsia" w:ascii="宋体" w:hAnsi="宋体" w:cs="仿宋"/>
          <w:color w:val="auto"/>
          <w:sz w:val="24"/>
          <w:szCs w:val="28"/>
          <w:highlight w:val="none"/>
          <w:u w:val="none"/>
        </w:rPr>
        <w:t>/ 年</w:t>
      </w:r>
    </w:p>
    <w:p>
      <w:pPr>
        <w:widowControl w:val="0"/>
        <w:shd w:val="clear" w:color="auto" w:fill="auto"/>
        <w:tabs>
          <w:tab w:val="left" w:pos="840"/>
        </w:tabs>
        <w:adjustRightInd w:val="0"/>
        <w:spacing w:line="360" w:lineRule="auto"/>
        <w:ind w:firstLine="480" w:firstLineChars="200"/>
        <w:jc w:val="both"/>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采购需求：</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兰溪市财政局202</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6</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年财政投资项目工程造价咨询服务。</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服务内容</w:t>
      </w:r>
      <w:r>
        <w:rPr>
          <w:rFonts w:hint="eastAsia" w:ascii="宋体" w:hAnsi="宋体" w:cs="仿宋"/>
          <w:snapToGrid w:val="0"/>
          <w:color w:val="auto"/>
          <w:kern w:val="0"/>
          <w:sz w:val="24"/>
          <w:szCs w:val="24"/>
          <w:highlight w:val="none"/>
          <w:lang w:val="en-US" w:eastAsia="zh-CN" w:bidi="ar-SA"/>
        </w:rPr>
        <w:t>：</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1、工程结算审核：施工合同、工程结算书、工程量计算书、现场签证单、隐蔽工程验收单、设计变更、施工组织设计、施工图纸、开竣工报告、招标文件、投标文件等；</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2、工程预算或清单审核：工程预算书或工程量清单、工程量计算书、施工图纸、招标文件、有关合同或文件等；</w:t>
      </w:r>
    </w:p>
    <w:p>
      <w:pPr>
        <w:widowControl w:val="0"/>
        <w:shd w:val="clear" w:color="auto" w:fill="auto"/>
        <w:tabs>
          <w:tab w:val="left" w:pos="840"/>
        </w:tabs>
        <w:adjustRightInd w:val="0"/>
        <w:spacing w:line="360" w:lineRule="auto"/>
        <w:ind w:firstLine="480" w:firstLineChars="200"/>
        <w:jc w:val="both"/>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宋体" w:hAnsi="宋体" w:eastAsia="宋体" w:cs="仿宋"/>
          <w:snapToGrid w:val="0"/>
          <w:color w:val="auto"/>
          <w:kern w:val="0"/>
          <w:sz w:val="24"/>
          <w:szCs w:val="24"/>
          <w:highlight w:val="none"/>
          <w:lang w:val="en-US" w:eastAsia="zh-CN" w:bidi="ar-SA"/>
        </w:rPr>
        <w:t>3、项目概（估）算审核：初步设计文件及初步设计评审意见、工程概（估）算书、概（估）算工程量计算书、有关合同或文件等；</w:t>
      </w:r>
    </w:p>
    <w:p>
      <w:pPr>
        <w:widowControl w:val="0"/>
        <w:shd w:val="clear" w:color="auto" w:fill="auto"/>
        <w:tabs>
          <w:tab w:val="left" w:pos="840"/>
        </w:tabs>
        <w:adjustRightInd w:val="0"/>
        <w:spacing w:line="360" w:lineRule="auto"/>
        <w:ind w:firstLine="480" w:firstLineChars="200"/>
        <w:jc w:val="both"/>
        <w:rPr>
          <w:rFonts w:hint="eastAsia"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服务期限：服务期自协议签订之日起</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年</w:t>
      </w:r>
      <w:r>
        <w:rPr>
          <w:rFonts w:hint="default" w:asciiTheme="majorEastAsia" w:hAnsiTheme="majorEastAsia" w:eastAsiaTheme="majorEastAsia" w:cstheme="majorEastAsia"/>
          <w:color w:val="000000" w:themeColor="text1"/>
          <w:highlight w:val="none"/>
          <w14:textFill>
            <w14:solidFill>
              <w14:schemeClr w14:val="tx1"/>
            </w14:solidFill>
          </w14:textFill>
        </w:rPr>
        <w:t>，后续视上级政策法规调整情况酌情延长</w:t>
      </w:r>
      <w:r>
        <w:rPr>
          <w:rFonts w:hint="eastAsia" w:asciiTheme="majorEastAsia" w:hAnsiTheme="majorEastAsia" w:eastAsiaTheme="majorEastAsia" w:cstheme="majorEastAsia"/>
          <w:color w:val="000000" w:themeColor="text1"/>
          <w:highlight w:val="none"/>
          <w14:textFill>
            <w14:solidFill>
              <w14:schemeClr w14:val="tx1"/>
            </w14:solidFill>
          </w14:textFill>
        </w:rPr>
        <w:t>。单个合同为签订之日至分配的各项目造价审核完成</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或</w:t>
      </w:r>
      <w:r>
        <w:rPr>
          <w:rFonts w:hint="eastAsia" w:ascii="宋体" w:hAnsi="宋体" w:eastAsia="宋体" w:cs="宋体"/>
          <w:sz w:val="24"/>
          <w:szCs w:val="24"/>
          <w:highlight w:val="none"/>
          <w:lang w:eastAsia="zh-CN"/>
        </w:rPr>
        <w:t>结束审核时</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本项目接受联合体</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w:t>
      </w:r>
      <w:r>
        <w:rPr>
          <w:rFonts w:hint="eastAsia" w:asciiTheme="majorEastAsia" w:hAnsiTheme="majorEastAsia" w:eastAsiaTheme="majorEastAsia" w:cstheme="majorEastAsia"/>
          <w:color w:val="000000" w:themeColor="text1"/>
          <w:highlight w:val="none"/>
          <w14:textFill>
            <w14:solidFill>
              <w14:schemeClr w14:val="tx1"/>
            </w14:solidFill>
          </w14:textFill>
        </w:rPr>
        <w:sym w:font="Wingdings" w:char="00A8"/>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是，</w:t>
      </w:r>
      <w:r>
        <w:rPr>
          <w:rFonts w:hint="eastAsia" w:asciiTheme="majorEastAsia" w:hAnsiTheme="majorEastAsia" w:eastAsiaTheme="majorEastAsia" w:cstheme="majorEastAsia"/>
          <w:color w:val="000000" w:themeColor="text1"/>
          <w:highlight w:val="none"/>
          <w14:textFill>
            <w14:solidFill>
              <w14:schemeClr w14:val="tx1"/>
            </w14:solidFill>
          </w14:textFill>
        </w:rPr>
        <w:sym w:font="Wingdings" w:char="00FE"/>
      </w:r>
      <w:r>
        <w:rPr>
          <w:rFonts w:hint="eastAsia" w:asciiTheme="majorEastAsia" w:hAnsiTheme="majorEastAsia" w:eastAsiaTheme="majorEastAsia" w:cstheme="majorEastAsia"/>
          <w:color w:val="000000" w:themeColor="text1"/>
          <w:highlight w:val="none"/>
          <w14:textFill>
            <w14:solidFill>
              <w14:schemeClr w14:val="tx1"/>
            </w14:solidFill>
          </w14:textFill>
        </w:rPr>
        <w:t>否。</w:t>
      </w:r>
    </w:p>
    <w:p>
      <w:pPr>
        <w:pStyle w:val="6"/>
        <w:rPr>
          <w:rFonts w:asciiTheme="majorEastAsia" w:hAnsiTheme="majorEastAsia" w:eastAsiaTheme="majorEastAsia" w:cstheme="majorEastAsia"/>
          <w:color w:val="000000" w:themeColor="text1"/>
          <w:highlight w:val="none"/>
          <w14:textFill>
            <w14:solidFill>
              <w14:schemeClr w14:val="tx1"/>
            </w14:solidFill>
          </w14:textFill>
        </w:rPr>
      </w:pPr>
      <w:bookmarkStart w:id="5" w:name="_Toc28359080"/>
      <w:bookmarkStart w:id="6" w:name="_Toc28359003"/>
      <w:bookmarkStart w:id="7" w:name="_Toc35393622"/>
      <w:bookmarkStart w:id="8" w:name="_Toc35393791"/>
      <w:r>
        <w:rPr>
          <w:rFonts w:hint="eastAsia" w:asciiTheme="majorEastAsia" w:hAnsiTheme="majorEastAsia" w:eastAsiaTheme="majorEastAsia" w:cstheme="majorEastAsia"/>
          <w:color w:val="000000" w:themeColor="text1"/>
          <w:highlight w:val="none"/>
          <w14:textFill>
            <w14:solidFill>
              <w14:schemeClr w14:val="tx1"/>
            </w14:solidFill>
          </w14:textFill>
        </w:rPr>
        <w:t>二、申请人的资格要求</w:t>
      </w:r>
      <w:bookmarkEnd w:id="5"/>
      <w:bookmarkEnd w:id="6"/>
      <w:bookmarkEnd w:id="7"/>
      <w:bookmarkEnd w:id="8"/>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9" w:name="_Toc28359004"/>
      <w:bookmarkStart w:id="10" w:name="_Toc28359081"/>
      <w:r>
        <w:rPr>
          <w:rFonts w:hint="eastAsia" w:asciiTheme="majorEastAsia" w:hAnsiTheme="majorEastAsia" w:eastAsiaTheme="majorEastAsia" w:cstheme="majorEastAsia"/>
          <w:color w:val="000000" w:themeColor="text1"/>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2.本项目的特定资格要求：</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无 </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2"/>
        <w:ind w:left="0" w:leftChars="0" w:firstLine="464"/>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sz w:val="24"/>
          <w:highlight w:val="none"/>
          <w:lang w:val="en-US" w:eastAsia="zh-CN"/>
          <w14:textFill>
            <w14:solidFill>
              <w14:schemeClr w14:val="tx1"/>
            </w14:solidFill>
          </w14:textFill>
        </w:rPr>
        <w:t>4</w:t>
      </w:r>
      <w:bookmarkStart w:id="83" w:name="_GoBack"/>
      <w:bookmarkEnd w:id="83"/>
      <w:r>
        <w:rPr>
          <w:rFonts w:hint="eastAsia" w:asciiTheme="majorEastAsia" w:hAnsiTheme="majorEastAsia" w:eastAsiaTheme="majorEastAsia" w:cstheme="majorEastAsia"/>
          <w:color w:val="000000" w:themeColor="text1"/>
          <w:kern w:val="2"/>
          <w:sz w:val="24"/>
          <w:highlight w:val="none"/>
          <w14:textFill>
            <w14:solidFill>
              <w14:schemeClr w14:val="tx1"/>
            </w14:solidFill>
          </w14:textFill>
        </w:rPr>
        <w:t>.本项目不接受分公司（分支机构）申请。</w:t>
      </w:r>
      <w:bookmarkStart w:id="11" w:name="_Toc35393792"/>
      <w:bookmarkStart w:id="12" w:name="_Toc35393623"/>
    </w:p>
    <w:p>
      <w:pPr>
        <w:pStyle w:val="6"/>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三、获取</w:t>
      </w:r>
      <w:bookmarkEnd w:id="9"/>
      <w:bookmarkEnd w:id="10"/>
      <w:bookmarkEnd w:id="11"/>
      <w:bookmarkEnd w:id="12"/>
      <w:r>
        <w:rPr>
          <w:rFonts w:hint="eastAsia" w:asciiTheme="majorEastAsia" w:hAnsiTheme="majorEastAsia" w:eastAsiaTheme="majorEastAsia" w:cstheme="majorEastAsia"/>
          <w:color w:val="000000" w:themeColor="text1"/>
          <w:highlight w:val="none"/>
          <w14:textFill>
            <w14:solidFill>
              <w14:schemeClr w14:val="tx1"/>
            </w14:solidFill>
          </w14:textFill>
        </w:rPr>
        <w:t>征集文件</w:t>
      </w:r>
    </w:p>
    <w:p>
      <w:pPr>
        <w:spacing w:line="540" w:lineRule="exact"/>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时间：</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w:t>
      </w:r>
      <w:r>
        <w:rPr>
          <w:rFonts w:hint="eastAsia" w:asciiTheme="majorEastAsia" w:hAnsiTheme="majorEastAsia" w:eastAsiaTheme="majorEastAsia" w:cstheme="majorEastAsia"/>
          <w:color w:val="000000" w:themeColor="text1"/>
          <w:highlight w:val="none"/>
          <w14:textFill>
            <w14:solidFill>
              <w14:schemeClr w14:val="tx1"/>
            </w14:solidFill>
          </w14:textFill>
        </w:rPr>
        <w:t>至</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2024年12月1</w:t>
      </w:r>
      <w:r>
        <w:rPr>
          <w:rFonts w:hint="default" w:asciiTheme="majorEastAsia" w:hAnsiTheme="majorEastAsia" w:eastAsiaTheme="majorEastAsia" w:cstheme="majorEastAsia"/>
          <w:color w:val="000000" w:themeColor="text1"/>
          <w:highlight w:val="none"/>
          <w:lang w:val="en" w:eastAsia="zh-CN"/>
          <w14:textFill>
            <w14:solidFill>
              <w14:schemeClr w14:val="tx1"/>
            </w14:solidFill>
          </w14:textFill>
        </w:rPr>
        <w:t>8</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日09：30</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地点（网址）：政采云平台（https://www.zcygov.cn/） </w:t>
      </w:r>
    </w:p>
    <w:p>
      <w:pPr>
        <w:spacing w:line="540" w:lineRule="exact"/>
        <w:ind w:firstLine="480" w:firstLineChars="200"/>
        <w:rPr>
          <w:rFonts w:asciiTheme="majorEastAsia" w:hAnsiTheme="majorEastAsia" w:eastAsiaTheme="majorEastAsia" w:cstheme="majorEastAsia"/>
          <w:strike/>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方式：供应商登录政采云平台https://www.zcygov.cn/在线申请获取采购文件（进入“项目采购”应用，在获取采购文件菜单中选择项目，申请获取采购文件）。</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售价：免费。</w:t>
      </w:r>
    </w:p>
    <w:p>
      <w:pPr>
        <w:pStyle w:val="6"/>
        <w:rPr>
          <w:rFonts w:asciiTheme="majorEastAsia" w:hAnsiTheme="majorEastAsia" w:eastAsiaTheme="majorEastAsia" w:cstheme="majorEastAsia"/>
          <w:color w:val="000000" w:themeColor="text1"/>
          <w:highlight w:val="none"/>
          <w14:textFill>
            <w14:solidFill>
              <w14:schemeClr w14:val="tx1"/>
            </w14:solidFill>
          </w14:textFill>
        </w:rPr>
      </w:pPr>
      <w:bookmarkStart w:id="13" w:name="_Toc28359082"/>
      <w:bookmarkStart w:id="14" w:name="_Toc28359005"/>
      <w:bookmarkStart w:id="15" w:name="_Toc35393624"/>
      <w:bookmarkStart w:id="16" w:name="_Toc35393793"/>
      <w:r>
        <w:rPr>
          <w:rFonts w:hint="eastAsia" w:asciiTheme="majorEastAsia" w:hAnsiTheme="majorEastAsia" w:eastAsiaTheme="majorEastAsia" w:cstheme="majorEastAsia"/>
          <w:color w:val="000000" w:themeColor="text1"/>
          <w:highlight w:val="none"/>
          <w14:textFill>
            <w14:solidFill>
              <w14:schemeClr w14:val="tx1"/>
            </w14:solidFill>
          </w14:textFill>
        </w:rPr>
        <w:t>四、提交</w:t>
      </w:r>
      <w:bookmarkEnd w:id="13"/>
      <w:bookmarkEnd w:id="14"/>
      <w:r>
        <w:rPr>
          <w:rFonts w:hint="eastAsia" w:asciiTheme="majorEastAsia" w:hAnsiTheme="majorEastAsia" w:eastAsiaTheme="majorEastAsia" w:cstheme="majorEastAsia"/>
          <w:color w:val="000000" w:themeColor="text1"/>
          <w:highlight w:val="none"/>
          <w14:textFill>
            <w14:solidFill>
              <w14:schemeClr w14:val="tx1"/>
            </w14:solidFill>
          </w14:textFill>
        </w:rPr>
        <w:t>响应文件截止时间、开标时间和地点</w:t>
      </w:r>
      <w:bookmarkEnd w:id="15"/>
      <w:bookmarkEnd w:id="16"/>
    </w:p>
    <w:p>
      <w:pPr>
        <w:spacing w:line="540" w:lineRule="exact"/>
        <w:ind w:firstLine="482"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提交响应文件截止时间：</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2024年</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12月1</w:t>
      </w:r>
      <w:r>
        <w:rPr>
          <w:rFonts w:hint="default" w:asciiTheme="majorEastAsia" w:hAnsiTheme="majorEastAsia" w:eastAsiaTheme="majorEastAsia" w:cstheme="majorEastAsia"/>
          <w:color w:val="000000" w:themeColor="text1"/>
          <w:highlight w:val="none"/>
          <w:lang w:val="en" w:eastAsia="zh-CN"/>
          <w14:textFill>
            <w14:solidFill>
              <w14:schemeClr w14:val="tx1"/>
            </w14:solidFill>
          </w14:textFill>
        </w:rPr>
        <w:t>8</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日9</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点</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30</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分00秒（北京时间）</w:t>
      </w:r>
    </w:p>
    <w:p>
      <w:pPr>
        <w:spacing w:line="540" w:lineRule="exact"/>
        <w:ind w:firstLine="482"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投标地点（网址）：</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 xml:space="preserve">政采云平台（https://www.zcygov.cn/） </w:t>
      </w:r>
    </w:p>
    <w:p>
      <w:pPr>
        <w:spacing w:line="540" w:lineRule="exact"/>
        <w:ind w:firstLine="482"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开标时间：</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2024年</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12月</w:t>
      </w:r>
      <w:r>
        <w:rPr>
          <w:rFonts w:hint="default" w:asciiTheme="majorEastAsia" w:hAnsiTheme="majorEastAsia" w:eastAsiaTheme="majorEastAsia" w:cstheme="majorEastAsia"/>
          <w:color w:val="000000" w:themeColor="text1"/>
          <w:highlight w:val="none"/>
          <w:lang w:val="en" w:eastAsia="zh-CN"/>
          <w14:textFill>
            <w14:solidFill>
              <w14:schemeClr w14:val="tx1"/>
            </w14:solidFill>
          </w14:textFill>
        </w:rPr>
        <w:t>18</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日9</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点</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30</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分00秒</w:t>
      </w:r>
    </w:p>
    <w:p>
      <w:pPr>
        <w:spacing w:line="540" w:lineRule="exact"/>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开标地点（网址）</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：政采云平台（https://www.zcygov.cn/）</w:t>
      </w:r>
    </w:p>
    <w:p>
      <w:pPr>
        <w:pStyle w:val="6"/>
        <w:rPr>
          <w:rFonts w:asciiTheme="majorEastAsia" w:hAnsiTheme="majorEastAsia" w:eastAsiaTheme="majorEastAsia" w:cstheme="majorEastAsia"/>
          <w:color w:val="000000" w:themeColor="text1"/>
          <w:highlight w:val="none"/>
          <w14:textFill>
            <w14:solidFill>
              <w14:schemeClr w14:val="tx1"/>
            </w14:solidFill>
          </w14:textFill>
        </w:rPr>
      </w:pPr>
      <w:bookmarkStart w:id="17" w:name="_Toc35393625"/>
      <w:bookmarkStart w:id="18" w:name="_Toc28359007"/>
      <w:bookmarkStart w:id="19" w:name="_Toc35393794"/>
      <w:bookmarkStart w:id="20" w:name="_Toc28359084"/>
      <w:r>
        <w:rPr>
          <w:rFonts w:hint="eastAsia" w:asciiTheme="majorEastAsia" w:hAnsiTheme="majorEastAsia" w:eastAsiaTheme="majorEastAsia" w:cstheme="majorEastAsia"/>
          <w:color w:val="000000" w:themeColor="text1"/>
          <w:highlight w:val="none"/>
          <w14:textFill>
            <w14:solidFill>
              <w14:schemeClr w14:val="tx1"/>
            </w14:solidFill>
          </w14:textFill>
        </w:rPr>
        <w:t>五、公告期限</w:t>
      </w:r>
      <w:bookmarkEnd w:id="17"/>
      <w:bookmarkEnd w:id="18"/>
      <w:bookmarkEnd w:id="19"/>
      <w:bookmarkEnd w:id="20"/>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自本公告发布之日起5个工作日。</w:t>
      </w:r>
    </w:p>
    <w:p>
      <w:pPr>
        <w:pStyle w:val="6"/>
        <w:rPr>
          <w:rFonts w:asciiTheme="majorEastAsia" w:hAnsiTheme="majorEastAsia" w:eastAsiaTheme="majorEastAsia" w:cstheme="majorEastAsia"/>
          <w:color w:val="000000" w:themeColor="text1"/>
          <w:highlight w:val="none"/>
          <w14:textFill>
            <w14:solidFill>
              <w14:schemeClr w14:val="tx1"/>
            </w14:solidFill>
          </w14:textFill>
        </w:rPr>
      </w:pPr>
      <w:bookmarkStart w:id="21" w:name="_Toc35393626"/>
      <w:bookmarkStart w:id="22" w:name="_Toc35393795"/>
      <w:r>
        <w:rPr>
          <w:rFonts w:hint="eastAsia" w:asciiTheme="majorEastAsia" w:hAnsiTheme="majorEastAsia" w:eastAsiaTheme="majorEastAsia" w:cstheme="majorEastAsia"/>
          <w:color w:val="000000" w:themeColor="text1"/>
          <w:highlight w:val="none"/>
          <w14:textFill>
            <w14:solidFill>
              <w14:schemeClr w14:val="tx1"/>
            </w14:solidFill>
          </w14:textFill>
        </w:rPr>
        <w:t>六、其他补充事宜</w:t>
      </w:r>
      <w:bookmarkEnd w:id="21"/>
      <w:bookmarkEnd w:id="22"/>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供应商认为征集文件使自己的权益受到损害的，可以自获取征集文件之日或者征集文件公告期限届满之日（公告期限届满后获取征集文件的，以公告期限届满之日为准）起7个工作日内，以书面形式在政采云平台向征集人提出质疑。质疑供应商对征集人的答复不满意或者征集人未在规定的时间内作出答复的，可以在答复期满后十五个工作日内向同级政府采购监督管理部门投诉。质疑函范本、投诉书范本请到浙江政府采购网下载专区下载。</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2.其他事项：</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（1）需要落实的政府采购政策：包括节约资源、保护环境、支持创新、促进中小企业发展等。</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（2）电子</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标响应</w:t>
      </w:r>
      <w:r>
        <w:rPr>
          <w:rFonts w:hint="eastAsia" w:asciiTheme="majorEastAsia" w:hAnsiTheme="majorEastAsia" w:eastAsiaTheme="majorEastAsia" w:cstheme="majorEastAsia"/>
          <w:color w:val="000000" w:themeColor="text1"/>
          <w:highlight w:val="none"/>
          <w14:textFill>
            <w14:solidFill>
              <w14:schemeClr w14:val="tx1"/>
            </w14:solidFill>
          </w14:textFill>
        </w:rPr>
        <w:t>的说明：</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①电子</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标响应</w:t>
      </w:r>
      <w:r>
        <w:rPr>
          <w:rFonts w:hint="eastAsia" w:asciiTheme="majorEastAsia" w:hAnsiTheme="majorEastAsia" w:eastAsiaTheme="majorEastAsia" w:cstheme="majorEastAsia"/>
          <w:color w:val="000000" w:themeColor="text1"/>
          <w:highlight w:val="none"/>
          <w14:textFill>
            <w14:solidFill>
              <w14:schemeClr w14:val="tx1"/>
            </w14:solidFill>
          </w14:textFill>
        </w:rPr>
        <w:t>：本项目以数据电文形式，依托“政府采购云平台（www.zcygov.cn）”进行征集活动，不接受纸质响应文件；</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②</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③征集文件的获取：使用账号登录或者使用CA登录政采云平台；进入“项目采购”应用，在获取采购文件菜单中选择项目，获取征集文件；</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④响应文件的制作：在“政采云电子交易客户端”中完成“填写基本信息”、“导入响应文件”、“标书关联”、“标书检查”、“电子签名”、“生成电子标书”等操作；</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⑤征集人将依托政采云平台完成本项目的电子交易活动，平台不接受未按上述方式获取征集文件的供应商进行响应活动； </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⑥对未按上述方式获取征集文件的供应商对该文件提出的质疑，征集人将不予处理；</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⑦不提供征集文件纸质版；</w:t>
      </w:r>
    </w:p>
    <w:p>
      <w:pPr>
        <w:spacing w:line="400" w:lineRule="exact"/>
        <w:ind w:firstLine="480" w:firstLineChars="200"/>
        <w:jc w:val="left"/>
        <w:rPr>
          <w:rFonts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⑧</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的传输递交：供应商在</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截止时间前将加密的</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上传至政府采购云平台</w:t>
      </w:r>
      <w:r>
        <w:rPr>
          <w:rFonts w:hint="eastAsia"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t>，</w:t>
      </w:r>
      <w:r>
        <w:rPr>
          <w:rFonts w:hint="eastAsia" w:asciiTheme="majorEastAsia" w:hAnsiTheme="majorEastAsia" w:eastAsiaTheme="majorEastAsia" w:cstheme="majorEastAsia"/>
          <w:color w:val="000000" w:themeColor="text1"/>
          <w:highlight w:val="none"/>
          <w:shd w:val="clear" w:fill="FFFFFF" w:themeFill="background1"/>
          <w:lang w:eastAsia="zh-CN"/>
          <w14:textFill>
            <w14:solidFill>
              <w14:schemeClr w14:val="tx1"/>
            </w14:solidFill>
          </w14:textFill>
        </w:rPr>
        <w:t>为征集工作顺利进行</w:t>
      </w:r>
      <w:r>
        <w:rPr>
          <w:rFonts w:hint="eastAsia"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t>还可以在</w:t>
      </w:r>
      <w:r>
        <w:rPr>
          <w:rFonts w:hint="eastAsia" w:asciiTheme="majorEastAsia" w:hAnsiTheme="majorEastAsia" w:eastAsiaTheme="majorEastAsia" w:cstheme="majorEastAsia"/>
          <w:color w:val="000000" w:themeColor="text1"/>
          <w:highlight w:val="none"/>
          <w:shd w:val="clear" w:fill="FFFFFF" w:themeFill="background1"/>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t>截止时间前直接提交或者以</w:t>
      </w:r>
      <w:r>
        <w:rPr>
          <w:rFonts w:hint="eastAsia" w:asciiTheme="majorEastAsia" w:hAnsiTheme="majorEastAsia" w:eastAsiaTheme="majorEastAsia" w:cstheme="majorEastAsia"/>
          <w:b/>
          <w:bCs/>
          <w:color w:val="000000" w:themeColor="text1"/>
          <w:highlight w:val="none"/>
          <w:u w:val="single"/>
          <w:shd w:val="clear" w:fill="FFFFFF" w:themeFill="background1"/>
          <w14:textFill>
            <w14:solidFill>
              <w14:schemeClr w14:val="tx1"/>
            </w14:solidFill>
          </w14:textFill>
        </w:rPr>
        <w:t>EMS</w:t>
      </w:r>
      <w:r>
        <w:rPr>
          <w:rFonts w:hint="eastAsia"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t>方式递交备份</w:t>
      </w:r>
      <w:r>
        <w:rPr>
          <w:rFonts w:hint="eastAsia" w:asciiTheme="majorEastAsia" w:hAnsiTheme="majorEastAsia" w:eastAsiaTheme="majorEastAsia" w:cstheme="majorEastAsia"/>
          <w:color w:val="000000" w:themeColor="text1"/>
          <w:highlight w:val="none"/>
          <w:shd w:val="clear" w:fill="FFFFFF" w:themeFill="background1"/>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t>1份(地址：</w:t>
      </w:r>
      <w:r>
        <w:rPr>
          <w:rFonts w:hint="eastAsia" w:asciiTheme="majorEastAsia" w:hAnsiTheme="majorEastAsia" w:eastAsiaTheme="majorEastAsia" w:cstheme="majorEastAsia"/>
          <w:color w:val="000000" w:themeColor="text1"/>
          <w:highlight w:val="none"/>
          <w:shd w:val="clear" w:fill="FFFFFF" w:themeFill="background1"/>
          <w:lang w:eastAsia="zh-CN"/>
          <w14:textFill>
            <w14:solidFill>
              <w14:schemeClr w14:val="tx1"/>
            </w14:solidFill>
          </w14:textFill>
        </w:rPr>
        <w:t>兰溪市振兴路500号企业服务中心32</w:t>
      </w:r>
      <w:r>
        <w:rPr>
          <w:rFonts w:hint="default" w:asciiTheme="majorEastAsia" w:hAnsiTheme="majorEastAsia" w:eastAsiaTheme="majorEastAsia" w:cstheme="majorEastAsia"/>
          <w:color w:val="000000" w:themeColor="text1"/>
          <w:highlight w:val="none"/>
          <w:shd w:val="clear" w:fill="FFFFFF" w:themeFill="background1"/>
          <w:lang w:val="en" w:eastAsia="zh-CN"/>
          <w14:textFill>
            <w14:solidFill>
              <w14:schemeClr w14:val="tx1"/>
            </w14:solidFill>
          </w14:textFill>
        </w:rPr>
        <w:t>1</w:t>
      </w:r>
      <w:r>
        <w:rPr>
          <w:rFonts w:hint="eastAsia" w:asciiTheme="majorEastAsia" w:hAnsiTheme="majorEastAsia" w:eastAsiaTheme="majorEastAsia" w:cstheme="majorEastAsia"/>
          <w:color w:val="000000" w:themeColor="text1"/>
          <w:highlight w:val="none"/>
          <w:shd w:val="clear" w:fill="FFFFFF" w:themeFill="background1"/>
          <w:lang w:eastAsia="zh-CN"/>
          <w14:textFill>
            <w14:solidFill>
              <w14:schemeClr w14:val="tx1"/>
            </w14:solidFill>
          </w14:textFill>
        </w:rPr>
        <w:t>办公室</w:t>
      </w:r>
      <w:r>
        <w:rPr>
          <w:rFonts w:hint="eastAsia"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t>；收件人：</w:t>
      </w:r>
      <w:r>
        <w:rPr>
          <w:rFonts w:hint="eastAsia" w:asciiTheme="majorEastAsia" w:hAnsiTheme="majorEastAsia" w:eastAsiaTheme="majorEastAsia" w:cstheme="majorEastAsia"/>
          <w:color w:val="000000" w:themeColor="text1"/>
          <w:highlight w:val="none"/>
          <w:shd w:val="clear" w:fill="FFFFFF" w:themeFill="background1"/>
          <w:lang w:eastAsia="zh-CN"/>
          <w14:textFill>
            <w14:solidFill>
              <w14:schemeClr w14:val="tx1"/>
            </w14:solidFill>
          </w14:textFill>
        </w:rPr>
        <w:t>徐</w:t>
      </w:r>
      <w:r>
        <w:rPr>
          <w:rFonts w:hint="eastAsia"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t>女士；电话：057</w:t>
      </w:r>
      <w:r>
        <w:rPr>
          <w:rFonts w:hint="eastAsia" w:asciiTheme="majorEastAsia" w:hAnsiTheme="majorEastAsia" w:eastAsiaTheme="majorEastAsia" w:cstheme="majorEastAsia"/>
          <w:color w:val="000000" w:themeColor="text1"/>
          <w:highlight w:val="none"/>
          <w:shd w:val="clear" w:fill="FFFFFF" w:themeFill="background1"/>
          <w:lang w:val="en-US" w:eastAsia="zh-CN"/>
          <w14:textFill>
            <w14:solidFill>
              <w14:schemeClr w14:val="tx1"/>
            </w14:solidFill>
          </w14:textFill>
        </w:rPr>
        <w:t>9</w:t>
      </w:r>
      <w:r>
        <w:rPr>
          <w:rFonts w:hint="eastAsia"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t>-</w:t>
      </w:r>
      <w:r>
        <w:rPr>
          <w:rFonts w:hint="eastAsia" w:asciiTheme="majorEastAsia" w:hAnsiTheme="majorEastAsia" w:eastAsiaTheme="majorEastAsia" w:cstheme="majorEastAsia"/>
          <w:color w:val="000000" w:themeColor="text1"/>
          <w:highlight w:val="none"/>
          <w:shd w:val="clear" w:fill="FFFFFF" w:themeFill="background1"/>
          <w:lang w:val="en-US" w:eastAsia="zh-CN"/>
          <w14:textFill>
            <w14:solidFill>
              <w14:schemeClr w14:val="tx1"/>
            </w14:solidFill>
          </w14:textFill>
        </w:rPr>
        <w:t>88894355</w:t>
      </w:r>
      <w:r>
        <w:rPr>
          <w:rFonts w:hint="eastAsia" w:asciiTheme="majorEastAsia" w:hAnsiTheme="majorEastAsia" w:eastAsiaTheme="majorEastAsia" w:cstheme="majorEastAsia"/>
          <w:color w:val="000000" w:themeColor="text1"/>
          <w:highlight w:val="none"/>
          <w:shd w:val="clear" w:fill="FFFFFF" w:themeFill="background1"/>
          <w14:textFill>
            <w14:solidFill>
              <w14:schemeClr w14:val="tx1"/>
            </w14:solidFill>
          </w14:textFill>
        </w:rPr>
        <w:t>)</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备份</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递交须满足：外包装封面上应注明供应商名称、</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联系方式（授权代表手机）、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名称（备份</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项目名称、项目编号、标项及“开标时启封”字样，并加盖</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公章。</w:t>
      </w:r>
    </w:p>
    <w:p>
      <w:pPr>
        <w:spacing w:line="540" w:lineRule="exact"/>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b/>
          <w:bCs/>
          <w:color w:val="000000" w:themeColor="text1"/>
          <w:highlight w:val="none"/>
          <w14:textFill>
            <w14:solidFill>
              <w14:schemeClr w14:val="tx1"/>
            </w14:solidFill>
          </w14:textFill>
        </w:rPr>
        <w:t>递交的备份</w:t>
      </w: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b/>
          <w:bCs/>
          <w:color w:val="000000" w:themeColor="text1"/>
          <w:highlight w:val="none"/>
          <w14:textFill>
            <w14:solidFill>
              <w14:schemeClr w14:val="tx1"/>
            </w14:solidFill>
          </w14:textFill>
        </w:rPr>
        <w:t>，出现下列情况之一的，将被拒收：</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·未按规定密封或标记的；</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·由于包装不妥，在送交途中严重破损或失散的；</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·超过</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截止时间送达的；</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·快递方式：快递费到付，或以EMS以外的快递方式提交的。</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⑨响应文件的解密：供应商按照平台提示和征集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没有在电子交易平台传输递交响应文件的，响应无效；</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⑩具体操作指南：详见政采云平台“服务中心-帮助文档-项目采购-操作流程-电子招</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-政府采购项目电子交易管理操作指南-供应商”（浙江省“项目采购电子交易系统/不见面开评标”学习专题：</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"https://edu.zcygov.cn/luban/e-biding" </w:instrText>
      </w:r>
      <w:r>
        <w:rPr>
          <w:color w:val="000000" w:themeColor="text1"/>
          <w:highlight w:val="none"/>
          <w14:textFill>
            <w14:solidFill>
              <w14:schemeClr w14:val="tx1"/>
            </w14:solidFill>
          </w14:textFill>
        </w:rPr>
        <w:fldChar w:fldCharType="separate"/>
      </w:r>
      <w:r>
        <w:rPr>
          <w:rFonts w:hint="eastAsia" w:asciiTheme="majorEastAsia" w:hAnsiTheme="majorEastAsia" w:eastAsiaTheme="majorEastAsia" w:cstheme="majorEastAsia"/>
          <w:color w:val="000000" w:themeColor="text1"/>
          <w:highlight w:val="none"/>
          <w14:textFill>
            <w14:solidFill>
              <w14:schemeClr w14:val="tx1"/>
            </w14:solidFill>
          </w14:textFill>
        </w:rPr>
        <w:t>https://edu.zcygov.cn/luban/e-biding</w:t>
      </w:r>
      <w:r>
        <w:rPr>
          <w:rFonts w:hint="eastAsia" w:asciiTheme="majorEastAsia" w:hAnsiTheme="majorEastAsia" w:eastAsiaTheme="majorEastAsia" w:cstheme="majorEastAsia"/>
          <w:color w:val="000000" w:themeColor="text1"/>
          <w:highlight w:val="none"/>
          <w14:textFill>
            <w14:solidFill>
              <w14:schemeClr w14:val="tx1"/>
            </w14:solidFill>
          </w14:textFill>
        </w:rPr>
        <w:fldChar w:fldCharType="end"/>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23" w:name="_Toc28359085"/>
      <w:bookmarkStart w:id="24" w:name="_Toc35393796"/>
      <w:bookmarkStart w:id="25" w:name="_Toc28359008"/>
      <w:bookmarkStart w:id="26" w:name="_Toc35393627"/>
      <w:r>
        <w:rPr>
          <w:rFonts w:hint="eastAsia" w:asciiTheme="majorEastAsia" w:hAnsiTheme="majorEastAsia" w:eastAsiaTheme="majorEastAsia" w:cstheme="majorEastAsia"/>
          <w:color w:val="000000" w:themeColor="text1"/>
          <w:highlight w:val="none"/>
          <w14:textFill>
            <w14:solidFill>
              <w14:schemeClr w14:val="tx1"/>
            </w14:solidFill>
          </w14:textFill>
        </w:rPr>
        <w:t>3.惠企政策</w:t>
      </w:r>
    </w:p>
    <w:p>
      <w:pPr>
        <w:spacing w:line="540" w:lineRule="exact"/>
        <w:ind w:firstLine="480" w:firstLineChars="200"/>
        <w:rPr>
          <w:rFonts w:hint="eastAsia"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3.1为进一步发挥政府采购政策导向作用，有效缓解中小企业融资难等问题，根据《浙江省政府采购支持中小企业信用融资试点办法》(浙财采监[2012]13号)有关规定，中标供应商若有融资意向，可登录政府采购云平台(</w:t>
      </w:r>
      <w:r>
        <w:rPr>
          <w:rFonts w:hint="eastAsia" w:asciiTheme="majorEastAsia" w:hAnsiTheme="majorEastAsia" w:eastAsiaTheme="majorEastAsia" w:cstheme="majorEastAsia"/>
          <w:color w:val="000000" w:themeColor="text1"/>
          <w:highlight w:val="none"/>
          <w14:textFill>
            <w14:solidFill>
              <w14:schemeClr w14:val="tx1"/>
            </w14:solidFill>
          </w14:textFill>
        </w:rPr>
        <w:fldChar w:fldCharType="begin"/>
      </w:r>
      <w:r>
        <w:rPr>
          <w:rFonts w:hint="eastAsia" w:asciiTheme="majorEastAsia" w:hAnsiTheme="majorEastAsia" w:eastAsiaTheme="majorEastAsia" w:cstheme="majorEastAsia"/>
          <w:color w:val="000000" w:themeColor="text1"/>
          <w:highlight w:val="none"/>
          <w14:textFill>
            <w14:solidFill>
              <w14:schemeClr w14:val="tx1"/>
            </w14:solidFill>
          </w14:textFill>
        </w:rPr>
        <w:instrText xml:space="preserve"> HYPERLINK "https://www.zcygov.cn/" </w:instrText>
      </w:r>
      <w:r>
        <w:rPr>
          <w:rFonts w:hint="eastAsia" w:asciiTheme="majorEastAsia" w:hAnsiTheme="majorEastAsia" w:eastAsiaTheme="majorEastAsia" w:cstheme="majorEastAsia"/>
          <w:color w:val="000000" w:themeColor="text1"/>
          <w:highlight w:val="none"/>
          <w14:textFill>
            <w14:solidFill>
              <w14:schemeClr w14:val="tx1"/>
            </w14:solidFill>
          </w14:textFill>
        </w:rPr>
        <w:fldChar w:fldCharType="separate"/>
      </w:r>
      <w:r>
        <w:rPr>
          <w:rFonts w:hint="eastAsia" w:asciiTheme="majorEastAsia" w:hAnsiTheme="majorEastAsia" w:eastAsiaTheme="majorEastAsia" w:cstheme="majorEastAsia"/>
          <w:color w:val="000000" w:themeColor="text1"/>
          <w:highlight w:val="none"/>
          <w14:textFill>
            <w14:solidFill>
              <w14:schemeClr w14:val="tx1"/>
            </w14:solidFill>
          </w14:textFill>
        </w:rPr>
        <w:t>https://www.zcygov.cn/</w:t>
      </w:r>
      <w:r>
        <w:rPr>
          <w:rFonts w:hint="eastAsia" w:asciiTheme="majorEastAsia" w:hAnsiTheme="majorEastAsia" w:eastAsiaTheme="majorEastAsia" w:cstheme="majorEastAsia"/>
          <w:color w:val="000000" w:themeColor="text1"/>
          <w:highlight w:val="none"/>
          <w14:textFill>
            <w14:solidFill>
              <w14:schemeClr w14:val="tx1"/>
            </w14:solidFill>
          </w14:textFill>
        </w:rPr>
        <w:fldChar w:fldCharType="end"/>
      </w:r>
      <w:r>
        <w:rPr>
          <w:rFonts w:hint="eastAsia" w:asciiTheme="majorEastAsia" w:hAnsiTheme="majorEastAsia" w:eastAsiaTheme="majorEastAsia" w:cstheme="majorEastAsia"/>
          <w:color w:val="000000" w:themeColor="text1"/>
          <w:highlight w:val="none"/>
          <w14:textFill>
            <w14:solidFill>
              <w14:schemeClr w14:val="tx1"/>
            </w14:solidFill>
          </w14:textFill>
        </w:rPr>
        <w:t>)“融资贷款”栏目了解相关扶持政策信息。</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3.2本采购项目，入围供应商与征集人签订的政府采购合同适用于浙江省政府采购履约保函政策，具体内容可登录政采云平台（https://www.zcygov.cn/），点击右侧咨询小采。</w:t>
      </w:r>
    </w:p>
    <w:p>
      <w:pPr>
        <w:spacing w:line="540" w:lineRule="exact"/>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七、对本次</w:t>
      </w: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征集</w:t>
      </w:r>
      <w:r>
        <w:rPr>
          <w:rFonts w:hint="eastAsia" w:asciiTheme="majorEastAsia" w:hAnsiTheme="majorEastAsia" w:eastAsiaTheme="majorEastAsia" w:cstheme="majorEastAsia"/>
          <w:b/>
          <w:bCs/>
          <w:color w:val="000000" w:themeColor="text1"/>
          <w:highlight w:val="none"/>
          <w14:textFill>
            <w14:solidFill>
              <w14:schemeClr w14:val="tx1"/>
            </w14:solidFill>
          </w14:textFill>
        </w:rPr>
        <w:t>提出询问，请按以下方式联系</w:t>
      </w:r>
      <w:bookmarkEnd w:id="23"/>
      <w:bookmarkEnd w:id="24"/>
      <w:bookmarkEnd w:id="25"/>
      <w:bookmarkEnd w:id="26"/>
    </w:p>
    <w:p>
      <w:pPr>
        <w:spacing w:line="480" w:lineRule="exact"/>
        <w:ind w:firstLine="482" w:firstLineChars="200"/>
        <w:rPr>
          <w:rFonts w:hint="eastAsia" w:asciiTheme="majorEastAsia" w:hAnsiTheme="majorEastAsia" w:eastAsiaTheme="majorEastAsia" w:cstheme="majorEastAsia"/>
          <w:b/>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1.</w:t>
      </w:r>
      <w:r>
        <w:rPr>
          <w:rFonts w:hint="eastAsia" w:asciiTheme="majorEastAsia" w:hAnsiTheme="majorEastAsia" w:eastAsiaTheme="majorEastAsia" w:cstheme="majorEastAsia"/>
          <w:b/>
          <w:color w:val="000000" w:themeColor="text1"/>
          <w:highlight w:val="none"/>
          <w:lang w:eastAsia="zh-CN"/>
          <w14:textFill>
            <w14:solidFill>
              <w14:schemeClr w14:val="tx1"/>
            </w14:solidFill>
          </w14:textFill>
        </w:rPr>
        <w:t>主管预算单位信息</w:t>
      </w:r>
    </w:p>
    <w:p>
      <w:pPr>
        <w:spacing w:line="480" w:lineRule="exact"/>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名 称：</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兰溪市财政局</w:t>
      </w:r>
    </w:p>
    <w:p>
      <w:pPr>
        <w:spacing w:line="400" w:lineRule="exact"/>
        <w:ind w:firstLine="480" w:firstLineChars="200"/>
        <w:jc w:val="left"/>
        <w:rPr>
          <w:rFonts w:hint="default" w:asciiTheme="majorEastAsia" w:hAnsiTheme="majorEastAsia" w:eastAsiaTheme="majorEastAsia" w:cstheme="majorEastAsia"/>
          <w:color w:val="000000" w:themeColor="text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地 址：</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兰溪市丹溪大道</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28号</w:t>
      </w:r>
    </w:p>
    <w:p>
      <w:pPr>
        <w:spacing w:line="480" w:lineRule="exact"/>
        <w:ind w:firstLine="480" w:firstLineChars="200"/>
        <w:rPr>
          <w:rFonts w:hint="eastAsia" w:asciiTheme="majorEastAsia" w:hAnsiTheme="majorEastAsia" w:eastAsiaTheme="majorEastAsia" w:cstheme="majorEastAsia"/>
          <w:color w:val="000000" w:themeColor="text1"/>
          <w:highlight w:val="none"/>
          <w:lang w:val="en"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项目联系人：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章女士</w:t>
      </w:r>
    </w:p>
    <w:p>
      <w:pPr>
        <w:spacing w:line="480" w:lineRule="exact"/>
        <w:ind w:firstLine="480" w:firstLineChars="200"/>
        <w:rPr>
          <w:rFonts w:hint="default" w:asciiTheme="majorEastAsia" w:hAnsiTheme="majorEastAsia" w:eastAsiaTheme="majorEastAsia" w:cstheme="majorEastAsia"/>
          <w:color w:val="000000" w:themeColor="text1"/>
          <w:highlight w:val="none"/>
          <w:lang w:val="en"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电话：0579-889037</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1</w:t>
      </w:r>
      <w:r>
        <w:rPr>
          <w:rFonts w:hint="default" w:asciiTheme="majorEastAsia" w:hAnsiTheme="majorEastAsia" w:eastAsiaTheme="majorEastAsia" w:cstheme="majorEastAsia"/>
          <w:color w:val="000000" w:themeColor="text1"/>
          <w:highlight w:val="none"/>
          <w:lang w:val="en" w:eastAsia="zh-CN"/>
          <w14:textFill>
            <w14:solidFill>
              <w14:schemeClr w14:val="tx1"/>
            </w14:solidFill>
          </w14:textFill>
        </w:rPr>
        <w:t>2</w:t>
      </w:r>
    </w:p>
    <w:p>
      <w:pPr>
        <w:spacing w:line="540" w:lineRule="exact"/>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lang w:val="en-US" w:eastAsia="zh-CN"/>
          <w14:textFill>
            <w14:solidFill>
              <w14:schemeClr w14:val="tx1"/>
            </w14:solidFill>
          </w14:textFill>
        </w:rPr>
        <w:t>2.</w:t>
      </w:r>
      <w:r>
        <w:rPr>
          <w:rFonts w:hint="eastAsia" w:asciiTheme="majorEastAsia" w:hAnsiTheme="majorEastAsia" w:eastAsiaTheme="majorEastAsia" w:cstheme="majorEastAsia"/>
          <w:b/>
          <w:color w:val="000000" w:themeColor="text1"/>
          <w:highlight w:val="none"/>
          <w14:textFill>
            <w14:solidFill>
              <w14:schemeClr w14:val="tx1"/>
            </w14:solidFill>
          </w14:textFill>
        </w:rPr>
        <w:t>征集人信息</w:t>
      </w:r>
    </w:p>
    <w:p>
      <w:pPr>
        <w:spacing w:line="480" w:lineRule="exact"/>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名 称：</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金华市公共资源交易中心兰溪市分中心</w:t>
      </w:r>
    </w:p>
    <w:p>
      <w:pPr>
        <w:spacing w:line="400" w:lineRule="exact"/>
        <w:ind w:firstLine="480" w:firstLineChars="200"/>
        <w:jc w:val="left"/>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地 址：</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兰溪市振兴路500号企业服务中心32</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办公室</w:t>
      </w:r>
    </w:p>
    <w:p>
      <w:pPr>
        <w:spacing w:line="48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项目联系人：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徐</w:t>
      </w:r>
      <w:r>
        <w:rPr>
          <w:rFonts w:hint="eastAsia" w:asciiTheme="majorEastAsia" w:hAnsiTheme="majorEastAsia" w:eastAsiaTheme="majorEastAsia" w:cstheme="majorEastAsia"/>
          <w:color w:val="000000" w:themeColor="text1"/>
          <w:highlight w:val="none"/>
          <w14:textFill>
            <w14:solidFill>
              <w14:schemeClr w14:val="tx1"/>
            </w14:solidFill>
          </w14:textFill>
        </w:rPr>
        <w:t>女士</w:t>
      </w:r>
    </w:p>
    <w:p>
      <w:pPr>
        <w:spacing w:line="480" w:lineRule="exact"/>
        <w:ind w:firstLine="480" w:firstLineChars="200"/>
        <w:rPr>
          <w:rFonts w:hint="default" w:asciiTheme="majorEastAsia" w:hAnsiTheme="majorEastAsia" w:eastAsiaTheme="majorEastAsia" w:cstheme="majorEastAsia"/>
          <w:color w:val="000000" w:themeColor="text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电话：057</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9</w:t>
      </w:r>
      <w:r>
        <w:rPr>
          <w:rFonts w:hint="eastAsia" w:asciiTheme="majorEastAsia" w:hAnsiTheme="majorEastAsia" w:eastAsiaTheme="majorEastAsia" w:cstheme="majorEastAsia"/>
          <w:color w:val="000000" w:themeColor="text1"/>
          <w:highlight w:val="none"/>
          <w14:textFill>
            <w14:solidFill>
              <w14:schemeClr w14:val="tx1"/>
            </w14:solidFill>
          </w14:textFill>
        </w:rPr>
        <w:t>-</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88894355</w:t>
      </w:r>
    </w:p>
    <w:p>
      <w:pPr>
        <w:spacing w:line="480" w:lineRule="exact"/>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质疑函接收人：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倪先生</w:t>
      </w:r>
    </w:p>
    <w:p>
      <w:pPr>
        <w:spacing w:line="48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联系方式：057</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9</w:t>
      </w:r>
      <w:r>
        <w:rPr>
          <w:rFonts w:hint="eastAsia" w:asciiTheme="majorEastAsia" w:hAnsiTheme="majorEastAsia" w:eastAsiaTheme="majorEastAsia" w:cstheme="majorEastAsia"/>
          <w:color w:val="000000" w:themeColor="text1"/>
          <w:highlight w:val="none"/>
          <w14:textFill>
            <w14:solidFill>
              <w14:schemeClr w14:val="tx1"/>
            </w14:solidFill>
          </w14:textFill>
        </w:rPr>
        <w:t>-</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88894355</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w:t>
      </w:r>
    </w:p>
    <w:p>
      <w:pPr>
        <w:spacing w:line="540" w:lineRule="exact"/>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lang w:val="en-US" w:eastAsia="zh-CN"/>
          <w14:textFill>
            <w14:solidFill>
              <w14:schemeClr w14:val="tx1"/>
            </w14:solidFill>
          </w14:textFill>
        </w:rPr>
        <w:t>3.</w:t>
      </w:r>
      <w:r>
        <w:rPr>
          <w:rFonts w:hint="eastAsia" w:asciiTheme="majorEastAsia" w:hAnsiTheme="majorEastAsia" w:eastAsiaTheme="majorEastAsia" w:cstheme="majorEastAsia"/>
          <w:b/>
          <w:color w:val="000000" w:themeColor="text1"/>
          <w:highlight w:val="none"/>
          <w14:textFill>
            <w14:solidFill>
              <w14:schemeClr w14:val="tx1"/>
            </w14:solidFill>
          </w14:textFill>
        </w:rPr>
        <w:t>同级政府采购监督管理部门</w:t>
      </w:r>
    </w:p>
    <w:p>
      <w:pPr>
        <w:spacing w:line="540" w:lineRule="exact"/>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政府采购行政监管及投诉受理部门：</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兰溪</w:t>
      </w:r>
      <w:r>
        <w:rPr>
          <w:rFonts w:hint="eastAsia" w:asciiTheme="majorEastAsia" w:hAnsiTheme="majorEastAsia" w:eastAsiaTheme="majorEastAsia" w:cstheme="majorEastAsia"/>
          <w:color w:val="000000" w:themeColor="text1"/>
          <w:highlight w:val="none"/>
          <w14:textFill>
            <w14:solidFill>
              <w14:schemeClr w14:val="tx1"/>
            </w14:solidFill>
          </w14:textFill>
        </w:rPr>
        <w:t>市财政局政府采购</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管理办公室</w:t>
      </w:r>
    </w:p>
    <w:p>
      <w:pPr>
        <w:pStyle w:val="12"/>
        <w:spacing w:line="480" w:lineRule="exact"/>
        <w:ind w:left="0" w:right="204"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周</w:t>
      </w:r>
      <w:r>
        <w:rPr>
          <w:rFonts w:hint="eastAsia" w:asciiTheme="majorEastAsia" w:hAnsiTheme="majorEastAsia" w:eastAsiaTheme="majorEastAsia" w:cstheme="majorEastAsia"/>
          <w:color w:val="000000" w:themeColor="text1"/>
          <w:highlight w:val="none"/>
          <w14:textFill>
            <w14:solidFill>
              <w14:schemeClr w14:val="tx1"/>
            </w14:solidFill>
          </w14:textFill>
        </w:rPr>
        <w:t>女士</w:t>
      </w:r>
    </w:p>
    <w:p>
      <w:pPr>
        <w:pStyle w:val="12"/>
        <w:spacing w:line="480" w:lineRule="exact"/>
        <w:ind w:left="0" w:right="204" w:firstLine="480" w:firstLineChars="200"/>
        <w:rPr>
          <w:rFonts w:hint="default" w:asciiTheme="majorEastAsia" w:hAnsiTheme="majorEastAsia" w:eastAsiaTheme="majorEastAsia" w:cstheme="majorEastAsia"/>
          <w:color w:val="000000" w:themeColor="text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联系方式：057</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9</w:t>
      </w:r>
      <w:r>
        <w:rPr>
          <w:rFonts w:hint="eastAsia" w:asciiTheme="majorEastAsia" w:hAnsiTheme="majorEastAsia" w:eastAsiaTheme="majorEastAsia" w:cstheme="majorEastAsia"/>
          <w:color w:val="000000" w:themeColor="text1"/>
          <w:highlight w:val="none"/>
          <w14:textFill>
            <w14:solidFill>
              <w14:schemeClr w14:val="tx1"/>
            </w14:solidFill>
          </w14:textFill>
        </w:rPr>
        <w:t>-</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88903507</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pPr>
        <w:spacing w:line="54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CA问题联系电话（人工）：汇信CA 400-888-4636；天谷CA 400-087-8198。</w:t>
      </w:r>
    </w:p>
    <w:p>
      <w:pPr>
        <w:spacing w:line="540" w:lineRule="exact"/>
        <w:ind w:right="480"/>
        <w:jc w:val="right"/>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 xml:space="preserve"> </w:t>
      </w:r>
      <w:bookmarkStart w:id="27" w:name="_Toc532218222"/>
    </w:p>
    <w:p>
      <w:pPr>
        <w:spacing w:line="540" w:lineRule="exact"/>
        <w:ind w:left="4560" w:leftChars="1400" w:right="480" w:hanging="1200" w:hangingChars="5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金华市公共资源交易中心兰溪市分中心</w:t>
      </w:r>
      <w:r>
        <w:rPr>
          <w:rFonts w:hint="eastAsia" w:asciiTheme="majorEastAsia" w:hAnsiTheme="majorEastAsia" w:eastAsiaTheme="majorEastAsia" w:cstheme="majorEastAsia"/>
          <w:color w:val="000000" w:themeColor="text1"/>
          <w:highlight w:val="none"/>
          <w14:textFill>
            <w14:solidFill>
              <w14:schemeClr w14:val="tx1"/>
            </w14:solidFill>
          </w14:textFill>
        </w:rPr>
        <w:t>　　　　　　　　　　　</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202</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highlight w:val="none"/>
          <w14:textFill>
            <w14:solidFill>
              <w14:schemeClr w14:val="tx1"/>
            </w14:solidFill>
          </w14:textFill>
        </w:rPr>
        <w:t>年</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11</w:t>
      </w:r>
      <w:r>
        <w:rPr>
          <w:rFonts w:hint="eastAsia" w:asciiTheme="majorEastAsia" w:hAnsiTheme="majorEastAsia" w:eastAsiaTheme="majorEastAsia" w:cstheme="majorEastAsia"/>
          <w:color w:val="000000" w:themeColor="text1"/>
          <w:highlight w:val="none"/>
          <w14:textFill>
            <w14:solidFill>
              <w14:schemeClr w14:val="tx1"/>
            </w14:solidFill>
          </w14:textFill>
        </w:rPr>
        <w:t>月</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26</w:t>
      </w:r>
      <w:r>
        <w:rPr>
          <w:rFonts w:hint="eastAsia" w:asciiTheme="majorEastAsia" w:hAnsiTheme="majorEastAsia" w:eastAsiaTheme="majorEastAsia" w:cstheme="majorEastAsia"/>
          <w:color w:val="000000" w:themeColor="text1"/>
          <w:highlight w:val="none"/>
          <w14:textFill>
            <w14:solidFill>
              <w14:schemeClr w14:val="tx1"/>
            </w14:solidFill>
          </w14:textFill>
        </w:rPr>
        <w:t>日</w:t>
      </w:r>
    </w:p>
    <w:p>
      <w:pPr>
        <w:pStyle w:val="5"/>
        <w:numPr>
          <w:ilvl w:val="0"/>
          <w:numId w:val="2"/>
        </w:numPr>
        <w:jc w:val="center"/>
        <w:rPr>
          <w:rFonts w:hint="eastAsia" w:asciiTheme="majorEastAsia" w:hAnsiTheme="majorEastAsia" w:eastAsiaTheme="majorEastAsia" w:cstheme="majorEastAsia"/>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br w:type="page"/>
      </w:r>
      <w:bookmarkEnd w:id="27"/>
      <w:bookmarkStart w:id="28" w:name="_Toc1256940247"/>
      <w:bookmarkStart w:id="29" w:name="_Toc879588799"/>
      <w:r>
        <w:rPr>
          <w:rFonts w:hint="eastAsia" w:asciiTheme="majorEastAsia" w:hAnsiTheme="majorEastAsia" w:eastAsiaTheme="majorEastAsia" w:cstheme="majorEastAsia"/>
          <w:color w:val="000000" w:themeColor="text1"/>
          <w:sz w:val="28"/>
          <w:szCs w:val="28"/>
          <w:highlight w:val="none"/>
          <w14:textFill>
            <w14:solidFill>
              <w14:schemeClr w14:val="tx1"/>
            </w14:solidFill>
          </w14:textFill>
        </w:rPr>
        <w:t>框架协议采购需求</w:t>
      </w:r>
      <w:bookmarkEnd w:id="28"/>
      <w:bookmarkEnd w:id="29"/>
    </w:p>
    <w:p>
      <w:pPr>
        <w:shd w:val="clear" w:color="auto" w:fill="auto"/>
        <w:spacing w:line="360" w:lineRule="auto"/>
        <w:rPr>
          <w:rFonts w:hint="eastAsia" w:ascii="宋体" w:hAnsi="宋体" w:cs="仿宋"/>
          <w:color w:val="auto"/>
          <w:sz w:val="24"/>
          <w:highlight w:val="none"/>
        </w:rPr>
      </w:pPr>
      <w:r>
        <w:rPr>
          <w:rFonts w:hint="eastAsia" w:ascii="宋体" w:hAnsi="宋体" w:cs="仿宋"/>
          <w:color w:val="auto"/>
          <w:sz w:val="24"/>
          <w:highlight w:val="none"/>
        </w:rPr>
        <w:t>一、项目概况：</w:t>
      </w:r>
    </w:p>
    <w:p>
      <w:pPr>
        <w:keepNext w:val="0"/>
        <w:keepLines w:val="0"/>
        <w:pageBreakBefore w:val="0"/>
        <w:widowControl w:val="0"/>
        <w:kinsoku/>
        <w:wordWrap/>
        <w:overflowPunct/>
        <w:topLinePunct w:val="0"/>
        <w:autoSpaceDE/>
        <w:autoSpaceDN/>
        <w:bidi w:val="0"/>
        <w:adjustRightInd/>
        <w:snapToGrid/>
        <w:spacing w:line="360" w:lineRule="auto"/>
        <w:ind w:firstLine="720" w:firstLineChars="300"/>
        <w:jc w:val="both"/>
        <w:textAlignment w:val="auto"/>
        <w:rPr>
          <w:rFonts w:hint="eastAsia" w:ascii="宋体" w:hAnsi="宋体" w:cs="仿宋"/>
          <w:color w:val="auto"/>
          <w:highlight w:val="none"/>
        </w:rPr>
      </w:pP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兰溪市财政局202</w:t>
      </w:r>
      <w:r>
        <w:rPr>
          <w:rFonts w:hint="eastAsia" w:asciiTheme="majorEastAsia" w:hAnsiTheme="majorEastAsia" w:eastAsiaTheme="majorEastAsia" w:cstheme="majorEastAsia"/>
          <w:color w:val="000000" w:themeColor="text1"/>
          <w:highlight w:val="none"/>
          <w:u w:val="single"/>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202</w:t>
      </w:r>
      <w:r>
        <w:rPr>
          <w:rFonts w:hint="eastAsia" w:asciiTheme="majorEastAsia" w:hAnsiTheme="majorEastAsia" w:eastAsiaTheme="majorEastAsia" w:cstheme="majorEastAsia"/>
          <w:color w:val="000000" w:themeColor="text1"/>
          <w:highlight w:val="none"/>
          <w:u w:val="single"/>
          <w:lang w:val="en-US" w:eastAsia="zh-CN"/>
          <w14:textFill>
            <w14:solidFill>
              <w14:schemeClr w14:val="tx1"/>
            </w14:solidFill>
          </w14:textFill>
        </w:rPr>
        <w:t>6</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年财政投资项目工程造价咨询服务框架协议采购项目</w:t>
      </w:r>
      <w:r>
        <w:rPr>
          <w:rFonts w:hint="eastAsia" w:ascii="宋体" w:hAnsi="宋体" w:cs="仿宋"/>
          <w:color w:val="auto"/>
          <w:sz w:val="24"/>
          <w:szCs w:val="28"/>
          <w:highlight w:val="none"/>
          <w:u w:val="none"/>
        </w:rPr>
        <w:t xml:space="preserve"> ，公开征集</w:t>
      </w:r>
      <w:r>
        <w:rPr>
          <w:rFonts w:hint="eastAsia" w:ascii="宋体" w:hAnsi="宋体" w:cs="仿宋"/>
          <w:color w:val="auto"/>
          <w:sz w:val="24"/>
          <w:szCs w:val="28"/>
          <w:highlight w:val="none"/>
          <w:u w:val="none"/>
          <w:lang w:val="en-US" w:eastAsia="zh-CN"/>
        </w:rPr>
        <w:t>10</w:t>
      </w:r>
      <w:r>
        <w:rPr>
          <w:rFonts w:hint="eastAsia" w:ascii="宋体" w:hAnsi="宋体" w:cs="仿宋"/>
          <w:color w:val="auto"/>
          <w:sz w:val="24"/>
          <w:szCs w:val="28"/>
          <w:highlight w:val="none"/>
          <w:u w:val="none"/>
        </w:rPr>
        <w:t>家中介机构，要求每家中介机</w:t>
      </w:r>
      <w:r>
        <w:rPr>
          <w:rFonts w:hint="eastAsia" w:ascii="宋体" w:hAnsi="宋体" w:cs="仿宋"/>
          <w:i/>
          <w:iCs/>
          <w:color w:val="auto"/>
          <w:sz w:val="24"/>
          <w:szCs w:val="28"/>
          <w:highlight w:val="none"/>
          <w:u w:val="none"/>
        </w:rPr>
        <w:t>构派出不少于</w:t>
      </w:r>
      <w:r>
        <w:rPr>
          <w:rFonts w:hint="eastAsia" w:ascii="宋体" w:hAnsi="宋体" w:cs="仿宋"/>
          <w:i/>
          <w:iCs/>
          <w:color w:val="auto"/>
          <w:sz w:val="24"/>
          <w:szCs w:val="28"/>
          <w:highlight w:val="none"/>
          <w:u w:val="none"/>
          <w:lang w:val="en-US" w:eastAsia="zh-CN"/>
        </w:rPr>
        <w:t>6</w:t>
      </w:r>
      <w:r>
        <w:rPr>
          <w:rFonts w:hint="eastAsia" w:ascii="宋体" w:hAnsi="宋体" w:cs="仿宋"/>
          <w:i/>
          <w:iCs/>
          <w:color w:val="auto"/>
          <w:sz w:val="24"/>
          <w:szCs w:val="28"/>
          <w:highlight w:val="none"/>
          <w:u w:val="none"/>
        </w:rPr>
        <w:t>人</w:t>
      </w:r>
      <w:r>
        <w:rPr>
          <w:rFonts w:hint="eastAsia" w:ascii="宋体" w:hAnsi="宋体" w:cs="仿宋"/>
          <w:color w:val="auto"/>
          <w:sz w:val="24"/>
          <w:szCs w:val="28"/>
          <w:highlight w:val="none"/>
          <w:u w:val="none"/>
        </w:rPr>
        <w:t>的项目组成员，采购年限为二年（202</w:t>
      </w:r>
      <w:r>
        <w:rPr>
          <w:rFonts w:hint="eastAsia" w:ascii="宋体" w:hAnsi="宋体" w:cs="仿宋"/>
          <w:color w:val="auto"/>
          <w:sz w:val="24"/>
          <w:szCs w:val="28"/>
          <w:highlight w:val="none"/>
          <w:u w:val="none"/>
          <w:lang w:val="en-US" w:eastAsia="zh-CN"/>
        </w:rPr>
        <w:t>5</w:t>
      </w:r>
      <w:r>
        <w:rPr>
          <w:rFonts w:hint="eastAsia" w:ascii="宋体" w:hAnsi="宋体" w:cs="仿宋"/>
          <w:color w:val="auto"/>
          <w:sz w:val="24"/>
          <w:szCs w:val="28"/>
          <w:highlight w:val="none"/>
          <w:u w:val="none"/>
        </w:rPr>
        <w:t>-202</w:t>
      </w:r>
      <w:r>
        <w:rPr>
          <w:rFonts w:hint="eastAsia" w:ascii="宋体" w:hAnsi="宋体" w:cs="仿宋"/>
          <w:color w:val="auto"/>
          <w:sz w:val="24"/>
          <w:szCs w:val="28"/>
          <w:highlight w:val="none"/>
          <w:u w:val="none"/>
          <w:lang w:val="en-US" w:eastAsia="zh-CN"/>
        </w:rPr>
        <w:t>6</w:t>
      </w:r>
      <w:r>
        <w:rPr>
          <w:rFonts w:hint="eastAsia" w:ascii="宋体" w:hAnsi="宋体" w:cs="仿宋"/>
          <w:color w:val="auto"/>
          <w:sz w:val="24"/>
          <w:szCs w:val="28"/>
          <w:highlight w:val="none"/>
          <w:u w:val="none"/>
        </w:rPr>
        <w:t>年），有效期到期后，经采购人根据《</w:t>
      </w:r>
      <w:r>
        <w:rPr>
          <w:rFonts w:hint="eastAsia" w:ascii="宋体" w:hAnsi="宋体" w:eastAsia="宋体" w:cs="仿宋"/>
          <w:color w:val="auto"/>
          <w:sz w:val="24"/>
          <w:szCs w:val="28"/>
          <w:highlight w:val="none"/>
          <w:u w:val="none"/>
        </w:rPr>
        <w:t>兰溪市财政项目预算审核中心项目协审工作考核办法</w:t>
      </w:r>
      <w:r>
        <w:rPr>
          <w:rFonts w:hint="eastAsia" w:ascii="宋体" w:hAnsi="宋体" w:eastAsia="宋体" w:cs="仿宋"/>
          <w:color w:val="auto"/>
          <w:sz w:val="24"/>
          <w:szCs w:val="28"/>
          <w:highlight w:val="none"/>
          <w:u w:val="none"/>
          <w:lang w:eastAsia="zh-CN"/>
        </w:rPr>
        <w:t>（试行）</w:t>
      </w:r>
      <w:r>
        <w:rPr>
          <w:rFonts w:hint="eastAsia" w:ascii="宋体" w:hAnsi="宋体" w:cs="仿宋"/>
          <w:color w:val="auto"/>
          <w:sz w:val="24"/>
          <w:szCs w:val="28"/>
          <w:highlight w:val="none"/>
          <w:u w:val="none"/>
        </w:rPr>
        <w:t>》对</w:t>
      </w:r>
      <w:r>
        <w:rPr>
          <w:rFonts w:hint="eastAsia" w:ascii="宋体" w:hAnsi="宋体" w:cs="仿宋"/>
          <w:color w:val="auto"/>
          <w:sz w:val="24"/>
          <w:szCs w:val="28"/>
          <w:highlight w:val="none"/>
          <w:u w:val="none"/>
          <w:lang w:eastAsia="zh-CN"/>
        </w:rPr>
        <w:t>协议入围</w:t>
      </w:r>
      <w:r>
        <w:rPr>
          <w:rFonts w:hint="eastAsia" w:ascii="宋体" w:hAnsi="宋体" w:cs="仿宋"/>
          <w:color w:val="auto"/>
          <w:sz w:val="24"/>
          <w:szCs w:val="28"/>
          <w:highlight w:val="none"/>
          <w:u w:val="none"/>
        </w:rPr>
        <w:t>方进行考核，服务期考核结果为优秀或良好的，经双方协商一致，可继续签订年度服务合同（合同期为一年）。续签合同的让利率不得低于本次</w:t>
      </w:r>
      <w:r>
        <w:rPr>
          <w:rFonts w:hint="eastAsia" w:ascii="宋体" w:hAnsi="宋体" w:cs="仿宋"/>
          <w:color w:val="auto"/>
          <w:sz w:val="24"/>
          <w:szCs w:val="28"/>
          <w:highlight w:val="none"/>
          <w:u w:val="none"/>
          <w:lang w:eastAsia="zh-CN"/>
        </w:rPr>
        <w:t>征集</w:t>
      </w:r>
      <w:r>
        <w:rPr>
          <w:rFonts w:hint="eastAsia" w:ascii="宋体" w:hAnsi="宋体" w:cs="仿宋"/>
          <w:color w:val="auto"/>
          <w:sz w:val="24"/>
          <w:szCs w:val="28"/>
          <w:highlight w:val="none"/>
          <w:u w:val="none"/>
        </w:rPr>
        <w:t>结果，且续签次数不得超过一次。采购预算价约</w:t>
      </w:r>
      <w:r>
        <w:rPr>
          <w:rFonts w:hint="eastAsia" w:ascii="宋体" w:hAnsi="宋体" w:cs="仿宋"/>
          <w:color w:val="auto"/>
          <w:sz w:val="24"/>
          <w:szCs w:val="28"/>
          <w:highlight w:val="none"/>
          <w:u w:val="none"/>
          <w:lang w:val="en-US" w:eastAsia="zh-CN"/>
        </w:rPr>
        <w:t>200</w:t>
      </w:r>
      <w:r>
        <w:rPr>
          <w:rFonts w:hint="eastAsia" w:ascii="宋体" w:hAnsi="宋体" w:cs="仿宋"/>
          <w:color w:val="auto"/>
          <w:sz w:val="24"/>
          <w:szCs w:val="28"/>
          <w:highlight w:val="none"/>
          <w:u w:val="none"/>
        </w:rPr>
        <w:t>万</w:t>
      </w:r>
      <w:r>
        <w:rPr>
          <w:rFonts w:hint="eastAsia" w:ascii="宋体" w:hAnsi="宋体" w:cs="仿宋"/>
          <w:color w:val="auto"/>
          <w:sz w:val="24"/>
          <w:szCs w:val="28"/>
          <w:highlight w:val="none"/>
          <w:u w:val="none"/>
          <w:lang w:eastAsia="zh-CN"/>
        </w:rPr>
        <w:t>元</w:t>
      </w:r>
      <w:r>
        <w:rPr>
          <w:rFonts w:hint="eastAsia" w:ascii="宋体" w:hAnsi="宋体" w:cs="仿宋"/>
          <w:color w:val="auto"/>
          <w:sz w:val="24"/>
          <w:szCs w:val="28"/>
          <w:highlight w:val="none"/>
          <w:u w:val="none"/>
        </w:rPr>
        <w:t>/ 年</w:t>
      </w:r>
      <w:r>
        <w:rPr>
          <w:rFonts w:hint="eastAsia" w:ascii="宋体" w:hAnsi="宋体" w:cs="仿宋"/>
          <w:color w:val="auto"/>
          <w:sz w:val="24"/>
          <w:szCs w:val="28"/>
          <w:highlight w:val="none"/>
          <w:u w:val="none"/>
          <w:lang w:eastAsia="zh-CN"/>
        </w:rPr>
        <w:t>（以实际签订合同金额为准）</w:t>
      </w:r>
      <w:r>
        <w:rPr>
          <w:rFonts w:hint="eastAsia" w:ascii="宋体" w:hAnsi="宋体" w:cs="仿宋"/>
          <w:color w:val="auto"/>
          <w:sz w:val="24"/>
          <w:szCs w:val="28"/>
          <w:highlight w:val="none"/>
          <w:u w:val="none"/>
        </w:rPr>
        <w:t>。</w:t>
      </w:r>
      <w:r>
        <w:rPr>
          <w:rFonts w:hint="eastAsia" w:ascii="宋体" w:hAnsi="宋体" w:cs="仿宋"/>
          <w:color w:val="auto"/>
          <w:sz w:val="24"/>
          <w:highlight w:val="none"/>
        </w:rPr>
        <w:t xml:space="preserve"> </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二、服务内容</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1、工程结算审核：施工合同、工程结算书、工程量计算书、现场签证单、隐蔽工程验收单、设计变更、施工组织设计、施工图纸、开竣工报告、招标文件、投标文件等；</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2、工程预算或清单审核：工程预算书或工程量清单、工程量计算书、施工图纸、招标文件、有关合同或文件等；</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3、项目概（估）算审核：初步设计文件及初步设计评审意见、工程概（估）算书、概（估）算工程量计算书、有关合同或文件等；</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依据审查结果提出调整意见；出具审查结论。</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 xml:space="preserve">三、服务标准（审核时限）                                                                     </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按照审计行业规范要求及</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制定的考核标准履行协审职责，在现场审计实施阶段完成交办任务并提交相应成果。</w:t>
      </w:r>
    </w:p>
    <w:p>
      <w:pPr>
        <w:widowControl w:val="0"/>
        <w:numPr>
          <w:ilvl w:val="0"/>
          <w:numId w:val="3"/>
        </w:numPr>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结算审核：审价机构自受理之日起送审价500万元以内（含）的18个工作日内完成；500万元（不含）~2000万元（含）的28个工作日内完成；2000万元（不含）~5000万元（含）的33个工作日内完成；5000万元（不含）以上的45个工作日内完成，特大型项目及特殊情况另行协议。</w:t>
      </w:r>
    </w:p>
    <w:p>
      <w:pPr>
        <w:widowControl w:val="0"/>
        <w:numPr>
          <w:ilvl w:val="0"/>
          <w:numId w:val="0"/>
        </w:numPr>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工程预算或清单审核：审核机构自受理之日起送审价500万元（含）以内的10个工作日内完成，500万元（不含）~2000万元（含）的15个工作日内完成，2000万元（不含）以上的20个工作日内完成，特大型项目及特殊情况另行协议。</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3、概（估）算审核：审价机构自受理之日起送审</w:t>
      </w:r>
      <w:r>
        <w:rPr>
          <w:rFonts w:hint="eastAsia" w:ascii="宋体" w:hAnsi="宋体" w:cs="仿宋"/>
          <w:snapToGrid w:val="0"/>
          <w:color w:val="auto"/>
          <w:kern w:val="0"/>
          <w:sz w:val="24"/>
          <w:szCs w:val="24"/>
          <w:highlight w:val="none"/>
          <w:lang w:val="en-US" w:eastAsia="zh-CN" w:bidi="ar-SA"/>
        </w:rPr>
        <w:t>价</w:t>
      </w:r>
      <w:r>
        <w:rPr>
          <w:rFonts w:hint="eastAsia" w:ascii="宋体" w:hAnsi="宋体" w:eastAsia="宋体" w:cs="仿宋"/>
          <w:snapToGrid w:val="0"/>
          <w:color w:val="auto"/>
          <w:kern w:val="0"/>
          <w:sz w:val="24"/>
          <w:szCs w:val="24"/>
          <w:highlight w:val="none"/>
          <w:lang w:val="en-US" w:eastAsia="zh-CN" w:bidi="ar-SA"/>
        </w:rPr>
        <w:t>5000万元（含）以内的15个工作日内完成；5000万元（不含）以上的20个工作日内完成。特大型项目及特殊情况另行协议。</w:t>
      </w:r>
    </w:p>
    <w:p>
      <w:pPr>
        <w:pStyle w:val="2"/>
        <w:ind w:left="0" w:leftChars="0" w:firstLine="0" w:firstLineChars="0"/>
        <w:rPr>
          <w:rFonts w:hint="default"/>
          <w:highlight w:val="none"/>
          <w:lang w:val="en-US" w:eastAsia="zh-CN"/>
        </w:rPr>
      </w:pPr>
      <w:r>
        <w:rPr>
          <w:rFonts w:hint="eastAsia" w:hAnsi="宋体" w:cs="仿宋"/>
          <w:snapToGrid w:val="0"/>
          <w:color w:val="auto"/>
          <w:kern w:val="0"/>
          <w:sz w:val="24"/>
          <w:szCs w:val="24"/>
          <w:highlight w:val="none"/>
          <w:lang w:val="en-US" w:eastAsia="zh-CN" w:bidi="ar-SA"/>
        </w:rPr>
        <w:t xml:space="preserve">    4、结算抽查稽核：审核时限要求与结算审核相同。</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确有特殊原因不能按时限审结，需以书面形式向财政局说明情况，经财政局同意后方可延长审核期限，因项目建设需要，需中介机构提前出具审核报告的，在协议中另行注明。</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四、框架协议期限</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本协议期限2年。从202</w:t>
      </w:r>
      <w:r>
        <w:rPr>
          <w:rFonts w:hint="eastAsia" w:ascii="宋体" w:hAnsi="宋体" w:cs="仿宋"/>
          <w:snapToGrid w:val="0"/>
          <w:color w:val="auto"/>
          <w:kern w:val="0"/>
          <w:sz w:val="24"/>
          <w:szCs w:val="24"/>
          <w:highlight w:val="none"/>
          <w:lang w:val="en-US" w:eastAsia="zh-CN" w:bidi="ar-SA"/>
        </w:rPr>
        <w:t>5</w:t>
      </w:r>
      <w:r>
        <w:rPr>
          <w:rFonts w:hint="eastAsia" w:ascii="宋体" w:hAnsi="宋体" w:eastAsia="宋体" w:cs="仿宋"/>
          <w:snapToGrid w:val="0"/>
          <w:color w:val="auto"/>
          <w:kern w:val="0"/>
          <w:sz w:val="24"/>
          <w:szCs w:val="24"/>
          <w:highlight w:val="none"/>
          <w:lang w:val="en-US" w:eastAsia="zh-CN" w:bidi="ar-SA"/>
        </w:rPr>
        <w:t>年1月1日至202</w:t>
      </w:r>
      <w:r>
        <w:rPr>
          <w:rFonts w:hint="eastAsia" w:ascii="宋体" w:hAnsi="宋体" w:cs="仿宋"/>
          <w:snapToGrid w:val="0"/>
          <w:color w:val="auto"/>
          <w:kern w:val="0"/>
          <w:sz w:val="24"/>
          <w:szCs w:val="24"/>
          <w:highlight w:val="none"/>
          <w:lang w:val="en-US" w:eastAsia="zh-CN" w:bidi="ar-SA"/>
        </w:rPr>
        <w:t>6</w:t>
      </w:r>
      <w:r>
        <w:rPr>
          <w:rFonts w:hint="eastAsia" w:ascii="宋体" w:hAnsi="宋体" w:eastAsia="宋体" w:cs="仿宋"/>
          <w:snapToGrid w:val="0"/>
          <w:color w:val="auto"/>
          <w:kern w:val="0"/>
          <w:sz w:val="24"/>
          <w:szCs w:val="24"/>
          <w:highlight w:val="none"/>
          <w:lang w:val="en-US" w:eastAsia="zh-CN" w:bidi="ar-SA"/>
        </w:rPr>
        <w:t>年12月31日止。</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五、审核费用的让利</w:t>
      </w:r>
      <w:r>
        <w:rPr>
          <w:rFonts w:hint="eastAsia" w:ascii="宋体" w:hAnsi="宋体" w:eastAsia="宋体" w:cs="宋体"/>
          <w:sz w:val="24"/>
          <w:szCs w:val="24"/>
          <w:highlight w:val="none"/>
        </w:rPr>
        <w:t>（让利率不分档计算）</w:t>
      </w:r>
    </w:p>
    <w:p>
      <w:pPr>
        <w:widowControl w:val="0"/>
        <w:shd w:val="clear" w:color="auto" w:fill="auto"/>
        <w:tabs>
          <w:tab w:val="left" w:pos="840"/>
        </w:tabs>
        <w:adjustRightInd w:val="0"/>
        <w:spacing w:line="360" w:lineRule="auto"/>
        <w:ind w:firstLine="480" w:firstLineChars="200"/>
        <w:jc w:val="both"/>
        <w:rPr>
          <w:rFonts w:hint="eastAsia" w:ascii="新宋体" w:hAnsi="新宋体" w:eastAsia="新宋体" w:cs="新宋体"/>
          <w:b w:val="0"/>
          <w:bCs/>
          <w:iCs w:val="0"/>
          <w:color w:val="auto"/>
          <w:kern w:val="2"/>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1、结算审核让利率的确定</w:t>
      </w:r>
      <w:r>
        <w:rPr>
          <w:rFonts w:hint="eastAsia" w:ascii="宋体" w:hAnsi="宋体" w:cs="仿宋"/>
          <w:snapToGrid w:val="0"/>
          <w:color w:val="auto"/>
          <w:kern w:val="0"/>
          <w:sz w:val="24"/>
          <w:szCs w:val="24"/>
          <w:highlight w:val="none"/>
          <w:lang w:val="en-US" w:eastAsia="zh-CN" w:bidi="ar-SA"/>
        </w:rPr>
        <w:t>，</w:t>
      </w:r>
      <w:r>
        <w:rPr>
          <w:rFonts w:hint="eastAsia" w:ascii="宋体" w:hAnsi="宋体" w:eastAsia="宋体" w:cs="仿宋"/>
          <w:snapToGrid w:val="0"/>
          <w:color w:val="auto"/>
          <w:kern w:val="0"/>
          <w:sz w:val="24"/>
          <w:szCs w:val="24"/>
          <w:highlight w:val="none"/>
          <w:lang w:val="en-US" w:eastAsia="zh-CN" w:bidi="ar-SA"/>
        </w:rPr>
        <w:t>让利率以送审造价执行以下规定：超过50万元且不超过100万元（含）的，不让利；不超过500万元（含）的，让利率为10%；不超过1000万元（含）的，让利率为20%；不超过2000万元（含）的，让利率为30%；不超过5000万元（含）的，让利率为40%；不超过10000万元（含）的，让利率为50%；10000万元以上的，让利率为60%。结算审核费用由基本审核费用和追加费组成。项目审价结果经</w:t>
      </w:r>
      <w:r>
        <w:rPr>
          <w:rFonts w:hint="eastAsia" w:ascii="宋体" w:hAnsi="宋体" w:cs="仿宋"/>
          <w:snapToGrid w:val="0"/>
          <w:color w:val="auto"/>
          <w:kern w:val="0"/>
          <w:sz w:val="24"/>
          <w:szCs w:val="24"/>
          <w:highlight w:val="none"/>
          <w:lang w:val="en-US" w:eastAsia="zh-CN" w:bidi="ar-SA"/>
        </w:rPr>
        <w:t>财政局</w:t>
      </w:r>
      <w:r>
        <w:rPr>
          <w:rFonts w:hint="eastAsia" w:ascii="宋体" w:hAnsi="宋体" w:eastAsia="宋体" w:cs="仿宋"/>
          <w:snapToGrid w:val="0"/>
          <w:color w:val="auto"/>
          <w:kern w:val="0"/>
          <w:sz w:val="24"/>
          <w:szCs w:val="24"/>
          <w:highlight w:val="none"/>
          <w:lang w:val="en-US" w:eastAsia="zh-CN" w:bidi="ar-SA"/>
        </w:rPr>
        <w:t>确认后，追加费方可由施工单位直接支付给审价单位或由建设单位从应付工程款中扣缴。结算审核追加费用计取按浙价服【2009】84号文件规定执行，不让利。</w:t>
      </w:r>
      <w:r>
        <w:rPr>
          <w:rFonts w:hint="eastAsia" w:ascii="新宋体" w:hAnsi="新宋体" w:eastAsia="新宋体" w:cs="新宋体"/>
          <w:b w:val="0"/>
          <w:bCs/>
          <w:iCs w:val="0"/>
          <w:color w:val="auto"/>
          <w:kern w:val="2"/>
          <w:sz w:val="24"/>
          <w:szCs w:val="24"/>
          <w:highlight w:val="none"/>
          <w:lang w:val="en-US" w:eastAsia="zh-CN" w:bidi="ar-SA"/>
        </w:rPr>
        <w:t>按上述计算方式每件咨询造价服务基本收费不足2000元的，按2000元计算。</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概（估）算审核让利率的确定。以送审造价扣除业主直接提供的土地及拆迁等费用后的造价为计费基础。审核费分段计算：2000万元（含）以内让利率40%，2000万元~10000万元（含）让利率50%，10000万元以上让利率60%。特大项目审核费用另行协商确定。</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3、预算审核让利率的确定，让利率以送审造价执行以下规定：不超过500万元（含）的项目，让利率为30%，500~1000万元（含）的项目，让利率为40%；1000~5000万元（含）的，让利率为50%；大于5000万元的，让利率为60%，特大项目审核费用可以另行协商确定。</w:t>
      </w:r>
    </w:p>
    <w:p>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宋体" w:hAnsi="宋体" w:eastAsia="宋体" w:cs="仿宋"/>
          <w:snapToGrid w:val="0"/>
          <w:color w:val="auto"/>
          <w:kern w:val="0"/>
          <w:sz w:val="24"/>
          <w:szCs w:val="24"/>
          <w:highlight w:val="none"/>
          <w:lang w:val="en-US" w:eastAsia="zh-CN" w:bidi="ar-SA"/>
        </w:rPr>
      </w:pPr>
      <w:r>
        <w:rPr>
          <w:rFonts w:hint="eastAsia" w:hAnsi="宋体" w:cs="仿宋"/>
          <w:snapToGrid w:val="0"/>
          <w:color w:val="auto"/>
          <w:kern w:val="0"/>
          <w:sz w:val="24"/>
          <w:szCs w:val="24"/>
          <w:highlight w:val="none"/>
          <w:lang w:val="en-US" w:eastAsia="zh-CN" w:bidi="ar-SA"/>
        </w:rPr>
        <w:t xml:space="preserve">    4、结</w:t>
      </w:r>
      <w:r>
        <w:rPr>
          <w:rFonts w:hint="eastAsia" w:ascii="宋体" w:hAnsi="宋体" w:eastAsia="宋体" w:cs="仿宋"/>
          <w:snapToGrid w:val="0"/>
          <w:color w:val="auto"/>
          <w:kern w:val="0"/>
          <w:sz w:val="24"/>
          <w:szCs w:val="24"/>
          <w:highlight w:val="none"/>
          <w:lang w:val="en-US" w:eastAsia="zh-CN" w:bidi="ar-SA"/>
        </w:rPr>
        <w:t>算抽查稽核项目费用:由基本审核费用和追加费组成。基本审核费在结算审核让利率的基础上，打5折。项目审价结果经</w:t>
      </w:r>
      <w:r>
        <w:rPr>
          <w:rFonts w:hint="eastAsia" w:ascii="宋体" w:hAnsi="宋体" w:cs="仿宋"/>
          <w:snapToGrid w:val="0"/>
          <w:color w:val="auto"/>
          <w:kern w:val="0"/>
          <w:sz w:val="24"/>
          <w:szCs w:val="24"/>
          <w:highlight w:val="none"/>
          <w:lang w:val="en-US" w:eastAsia="zh-CN" w:bidi="ar-SA"/>
        </w:rPr>
        <w:t>财政局</w:t>
      </w:r>
      <w:r>
        <w:rPr>
          <w:rFonts w:hint="eastAsia" w:ascii="宋体" w:hAnsi="宋体" w:eastAsia="宋体" w:cs="仿宋"/>
          <w:snapToGrid w:val="0"/>
          <w:color w:val="auto"/>
          <w:kern w:val="0"/>
          <w:sz w:val="24"/>
          <w:szCs w:val="24"/>
          <w:highlight w:val="none"/>
          <w:lang w:val="en-US" w:eastAsia="zh-CN" w:bidi="ar-SA"/>
        </w:rPr>
        <w:t>确认后，追加费方可由施工单位直接支付给审价单位或由建设单位从应付工程款中扣缴。追加费根据审核结果按浙价服【2009】84号文件规定执行，不让利。</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cs="仿宋"/>
          <w:snapToGrid w:val="0"/>
          <w:color w:val="auto"/>
          <w:kern w:val="0"/>
          <w:sz w:val="24"/>
          <w:szCs w:val="24"/>
          <w:highlight w:val="none"/>
          <w:lang w:val="en-US" w:eastAsia="zh-CN" w:bidi="ar-SA"/>
        </w:rPr>
        <w:t>5、</w:t>
      </w:r>
      <w:r>
        <w:rPr>
          <w:rFonts w:hint="eastAsia" w:ascii="宋体" w:hAnsi="宋体" w:eastAsia="宋体" w:cs="仿宋"/>
          <w:snapToGrid w:val="0"/>
          <w:color w:val="auto"/>
          <w:kern w:val="0"/>
          <w:sz w:val="24"/>
          <w:szCs w:val="24"/>
          <w:highlight w:val="none"/>
          <w:lang w:val="en-US" w:eastAsia="zh-CN" w:bidi="ar-SA"/>
        </w:rPr>
        <w:t>复核核减额超过终审核减额1/3或超过20万元的，基本费用打九折。</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 xml:space="preserve">六、主管预算单位的权利和义务 </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 xml:space="preserve">1、负责选定第二阶段成交投标人。 </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2、负责对</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进行考核</w:t>
      </w:r>
      <w:r>
        <w:rPr>
          <w:rFonts w:hint="eastAsia" w:ascii="宋体" w:hAnsi="宋体" w:cs="仿宋"/>
          <w:snapToGrid w:val="0"/>
          <w:color w:val="auto"/>
          <w:kern w:val="0"/>
          <w:sz w:val="24"/>
          <w:szCs w:val="24"/>
          <w:highlight w:val="none"/>
          <w:lang w:val="en-US" w:eastAsia="zh-CN" w:bidi="ar-SA"/>
        </w:rPr>
        <w:t>与通报</w:t>
      </w:r>
      <w:r>
        <w:rPr>
          <w:rFonts w:hint="eastAsia" w:ascii="宋体" w:hAnsi="宋体" w:eastAsia="宋体" w:cs="仿宋"/>
          <w:snapToGrid w:val="0"/>
          <w:color w:val="auto"/>
          <w:kern w:val="0"/>
          <w:sz w:val="24"/>
          <w:szCs w:val="24"/>
          <w:highlight w:val="none"/>
          <w:lang w:val="en-US" w:eastAsia="zh-CN" w:bidi="ar-SA"/>
        </w:rPr>
        <w:t>。</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3、负责对</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 xml:space="preserve">及其派出人员完成的审计事项及工作结果进行审核验收评价。 </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4、有权要求</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派出投标书所列人员，并要求</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及其派出人员协助配合审计终结阶段相关工作。</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5、若</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未按要求派出投标书中项目负责人及项目组成员或未经</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同意更换人员，</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有权在协审业务分配中进行合理调整，取消</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当轮业务资格及下一轮业务安排资格。</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6、根据</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的有关要求，协调处理项目实施中的相关事宜。</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7、其他应该由</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履行的义务和承担的责任。</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七、</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的权利和义务</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可以要求</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提供与委托内容有关的资料。</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可以要求</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对有关问题作出解释和补充有关资料。</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3.</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在审计服务过程中应遵守审核纪律、规范审计行为，严格按照审计行业规范要求开展工作。</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4.</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应严格按照</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的有关规定和要求实施审计服务，接受</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的监督，按期完成服务任务，并确保结果真实、合法和准确</w:t>
      </w:r>
      <w:r>
        <w:rPr>
          <w:rFonts w:hint="eastAsia" w:ascii="宋体" w:hAnsi="宋体" w:cs="仿宋"/>
          <w:snapToGrid w:val="0"/>
          <w:color w:val="auto"/>
          <w:kern w:val="0"/>
          <w:sz w:val="24"/>
          <w:szCs w:val="24"/>
          <w:highlight w:val="none"/>
          <w:lang w:val="en-US" w:eastAsia="zh-CN" w:bidi="ar-SA"/>
        </w:rPr>
        <w:t>。</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5.在合同履行期间，</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应按</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要求开展工作，在工作中遵循公平、公正、公开、合法、独立的原则，认真、细致、周到的进行服务。</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6.审计相关资料移交给</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后，</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有义务对所有资料进行妥善保管，确保审计结束后完整移交送审资料。</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及其派出人员不得使用</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委托事项的资料和结果，用于与委托事项无关的目的。</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7.入围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无正当理由，不得主动放弃入围资格或者退出框架协议。</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8.</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有义务在本单位中选派投标书中所列的项目组成员（必须要有项目负责人带队）参与服务工作，在本协议履行期间不得自行更换服务人员。</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9.</w:t>
      </w:r>
      <w:r>
        <w:rPr>
          <w:rFonts w:hint="eastAsia" w:ascii="宋体" w:hAnsi="宋体" w:cs="仿宋"/>
          <w:snapToGrid w:val="0"/>
          <w:color w:val="auto"/>
          <w:kern w:val="0"/>
          <w:sz w:val="24"/>
          <w:szCs w:val="24"/>
          <w:highlight w:val="none"/>
          <w:lang w:val="en-US" w:eastAsia="zh-CN" w:bidi="ar-SA"/>
        </w:rPr>
        <w:t>协议入围方</w:t>
      </w:r>
      <w:r>
        <w:rPr>
          <w:rFonts w:hint="eastAsia" w:ascii="宋体" w:hAnsi="宋体" w:eastAsia="宋体" w:cs="仿宋"/>
          <w:snapToGrid w:val="0"/>
          <w:color w:val="auto"/>
          <w:kern w:val="0"/>
          <w:sz w:val="24"/>
          <w:szCs w:val="24"/>
          <w:highlight w:val="none"/>
          <w:lang w:val="en-US" w:eastAsia="zh-CN" w:bidi="ar-SA"/>
        </w:rPr>
        <w:t>对其出具的成果报告真实性、合法性负责。</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八、入围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 xml:space="preserve">的清退和补充规则 </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1、清退规则：在下列情形下</w:t>
      </w:r>
      <w:r>
        <w:rPr>
          <w:rFonts w:hint="eastAsia" w:ascii="宋体" w:hAnsi="宋体" w:cs="仿宋"/>
          <w:snapToGrid w:val="0"/>
          <w:color w:val="auto"/>
          <w:kern w:val="0"/>
          <w:sz w:val="24"/>
          <w:szCs w:val="24"/>
          <w:highlight w:val="none"/>
          <w:lang w:val="en-US" w:eastAsia="zh-CN" w:bidi="ar-SA"/>
        </w:rPr>
        <w:t>采购方</w:t>
      </w:r>
      <w:r>
        <w:rPr>
          <w:rFonts w:hint="eastAsia" w:ascii="宋体" w:hAnsi="宋体" w:eastAsia="宋体" w:cs="仿宋"/>
          <w:snapToGrid w:val="0"/>
          <w:color w:val="auto"/>
          <w:kern w:val="0"/>
          <w:sz w:val="24"/>
          <w:szCs w:val="24"/>
          <w:highlight w:val="none"/>
          <w:lang w:val="en-US" w:eastAsia="zh-CN" w:bidi="ar-SA"/>
        </w:rPr>
        <w:t>有权清退入围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，不需要承担任何责任：</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实质性违反本协议约定的；</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有违反合同约定或</w:t>
      </w:r>
      <w:r>
        <w:rPr>
          <w:rFonts w:hint="eastAsia" w:ascii="宋体" w:hAnsi="宋体" w:cs="仿宋"/>
          <w:snapToGrid w:val="0"/>
          <w:color w:val="auto"/>
          <w:kern w:val="0"/>
          <w:sz w:val="24"/>
          <w:szCs w:val="24"/>
          <w:highlight w:val="none"/>
          <w:lang w:val="en-US" w:eastAsia="zh-CN" w:bidi="ar-SA"/>
        </w:rPr>
        <w:t>不能履行</w:t>
      </w:r>
      <w:r>
        <w:rPr>
          <w:rFonts w:hint="eastAsia" w:ascii="宋体" w:hAnsi="宋体" w:eastAsia="宋体" w:cs="仿宋"/>
          <w:snapToGrid w:val="0"/>
          <w:color w:val="auto"/>
          <w:kern w:val="0"/>
          <w:sz w:val="24"/>
          <w:szCs w:val="24"/>
          <w:highlight w:val="none"/>
          <w:lang w:val="en-US" w:eastAsia="zh-CN" w:bidi="ar-SA"/>
        </w:rPr>
        <w:t xml:space="preserve">其职责、义务的行为，在采购人指定期限内未予以纠正或补救的； </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3）入围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资质吊销或注销的；</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4）入围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未严格执行保密制度，泄漏委托方的秘密或与第三方串通损害采购人利益的；由此造成的经济损失，入围方应予赔偿；存在违法违规行为的，由相关部门进行处理；</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5）采购人针对项目服务时限、质量有权提出要求并进行考核，由于入围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原因，项目服务时限超出委托时限或质量不合格导致考核结果不合格的；</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6）入围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与项目相关单位或个人私下交易，接受财物、吃请等违纪行为经查实的；存在违法违规行为的，由相关部门进行处理；</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7）入围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在审计过程中将审计资料丢失的；由此造成的经济损失，入围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应予赔偿；存在违法违规行为的，由相关部门进行处理；</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8）在入围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违约情形下，采购人有权对本项目合同进行必要的变更。 因入围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违约导致合同解除的，入围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应按本项目正常计算酬金的 20%支付违约金。</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9）入围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提供服务时，需按委托人要求时限完成，无正当理由，未按时完成的将解除合同。</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10）执行纠错机制，即因审计结果存在较大争议，相关单位提出投诉，并确认入围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为责任方的，采购人有权终止合同。</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11）确定入围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后，采购人有权对入围</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提供的人员名单、注册证明、执业资格、人事关系、业绩材料等相关资料到相关部门进行核实，如投标文件存在虚假情况，则取消入围投标人的</w:t>
      </w:r>
      <w:r>
        <w:rPr>
          <w:rFonts w:hint="eastAsia" w:ascii="宋体" w:hAnsi="宋体" w:cs="仿宋"/>
          <w:snapToGrid w:val="0"/>
          <w:color w:val="auto"/>
          <w:kern w:val="0"/>
          <w:sz w:val="24"/>
          <w:szCs w:val="24"/>
          <w:highlight w:val="none"/>
          <w:lang w:val="en-US" w:eastAsia="zh-CN" w:bidi="ar-SA"/>
        </w:rPr>
        <w:t>协议入围</w:t>
      </w:r>
      <w:r>
        <w:rPr>
          <w:rFonts w:hint="eastAsia" w:ascii="宋体" w:hAnsi="宋体" w:eastAsia="宋体" w:cs="仿宋"/>
          <w:snapToGrid w:val="0"/>
          <w:color w:val="auto"/>
          <w:kern w:val="0"/>
          <w:sz w:val="24"/>
          <w:szCs w:val="24"/>
          <w:highlight w:val="none"/>
          <w:lang w:val="en-US" w:eastAsia="zh-CN" w:bidi="ar-SA"/>
        </w:rPr>
        <w:t>资格，存在违法违规行为的，由相关部门进行处理；</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12）如遇到政策变化或者其他不可抗力因素，本协议自动解除。</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13）本协议有效期2年，有效期到期后，经采购人根据《兰溪市财政项目</w:t>
      </w:r>
      <w:r>
        <w:rPr>
          <w:rFonts w:hint="eastAsia" w:ascii="宋体" w:hAnsi="宋体" w:cs="仿宋"/>
          <w:snapToGrid w:val="0"/>
          <w:color w:val="auto"/>
          <w:kern w:val="0"/>
          <w:sz w:val="24"/>
          <w:szCs w:val="24"/>
          <w:highlight w:val="none"/>
          <w:lang w:val="en-US" w:eastAsia="zh-CN" w:bidi="ar-SA"/>
        </w:rPr>
        <w:t>协审工作考核办法</w:t>
      </w:r>
      <w:r>
        <w:rPr>
          <w:rFonts w:hint="eastAsia" w:ascii="宋体" w:hAnsi="宋体" w:eastAsia="宋体" w:cs="仿宋"/>
          <w:snapToGrid w:val="0"/>
          <w:color w:val="auto"/>
          <w:kern w:val="0"/>
          <w:sz w:val="24"/>
          <w:szCs w:val="24"/>
          <w:highlight w:val="none"/>
          <w:lang w:val="en-US" w:eastAsia="zh-CN" w:bidi="ar-SA"/>
        </w:rPr>
        <w:t>（试行）》对</w:t>
      </w:r>
      <w:r>
        <w:rPr>
          <w:rFonts w:hint="eastAsia" w:ascii="宋体" w:hAnsi="宋体" w:cs="仿宋"/>
          <w:snapToGrid w:val="0"/>
          <w:color w:val="auto"/>
          <w:kern w:val="0"/>
          <w:sz w:val="24"/>
          <w:szCs w:val="24"/>
          <w:highlight w:val="none"/>
          <w:lang w:val="en-US" w:eastAsia="zh-CN" w:bidi="ar-SA"/>
        </w:rPr>
        <w:t>协议入围</w:t>
      </w:r>
      <w:r>
        <w:rPr>
          <w:rFonts w:hint="eastAsia" w:ascii="宋体" w:hAnsi="宋体" w:eastAsia="宋体" w:cs="仿宋"/>
          <w:snapToGrid w:val="0"/>
          <w:color w:val="auto"/>
          <w:kern w:val="0"/>
          <w:sz w:val="24"/>
          <w:szCs w:val="24"/>
          <w:highlight w:val="none"/>
          <w:lang w:val="en-US" w:eastAsia="zh-CN" w:bidi="ar-SA"/>
        </w:rPr>
        <w:t>方进行考核，服务期考核结果为优秀或良好的，经双方协商一致，可继续签订年度服务合同（合同期为一年）。续签合同的让利率不得低于本次</w:t>
      </w:r>
      <w:r>
        <w:rPr>
          <w:rFonts w:hint="eastAsia" w:ascii="宋体" w:hAnsi="宋体" w:cs="仿宋"/>
          <w:snapToGrid w:val="0"/>
          <w:color w:val="auto"/>
          <w:kern w:val="0"/>
          <w:sz w:val="24"/>
          <w:szCs w:val="24"/>
          <w:highlight w:val="none"/>
          <w:lang w:val="en-US" w:eastAsia="zh-CN" w:bidi="ar-SA"/>
        </w:rPr>
        <w:t>征集</w:t>
      </w:r>
      <w:r>
        <w:rPr>
          <w:rFonts w:hint="eastAsia" w:ascii="宋体" w:hAnsi="宋体" w:eastAsia="宋体" w:cs="仿宋"/>
          <w:snapToGrid w:val="0"/>
          <w:color w:val="auto"/>
          <w:kern w:val="0"/>
          <w:sz w:val="24"/>
          <w:szCs w:val="24"/>
          <w:highlight w:val="none"/>
          <w:lang w:val="en-US" w:eastAsia="zh-CN" w:bidi="ar-SA"/>
        </w:rPr>
        <w:t>结果，且续签次数不得超过一次。</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2、补充规则：在框架协议有效期内，不再补充征集</w:t>
      </w:r>
      <w:r>
        <w:rPr>
          <w:rFonts w:hint="eastAsia" w:ascii="宋体" w:hAnsi="宋体" w:cs="仿宋"/>
          <w:snapToGrid w:val="0"/>
          <w:color w:val="auto"/>
          <w:kern w:val="0"/>
          <w:sz w:val="24"/>
          <w:szCs w:val="24"/>
          <w:highlight w:val="none"/>
          <w:lang w:val="en-US" w:eastAsia="zh-CN" w:bidi="ar-SA"/>
        </w:rPr>
        <w:t>投标人</w:t>
      </w:r>
      <w:r>
        <w:rPr>
          <w:rFonts w:hint="eastAsia" w:ascii="宋体" w:hAnsi="宋体" w:eastAsia="宋体" w:cs="仿宋"/>
          <w:snapToGrid w:val="0"/>
          <w:color w:val="auto"/>
          <w:kern w:val="0"/>
          <w:sz w:val="24"/>
          <w:szCs w:val="24"/>
          <w:highlight w:val="none"/>
          <w:lang w:val="en-US" w:eastAsia="zh-CN" w:bidi="ar-SA"/>
        </w:rPr>
        <w:t>。</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九、选定第二阶段成交供应商</w:t>
      </w:r>
    </w:p>
    <w:p>
      <w:pPr>
        <w:widowControl w:val="0"/>
        <w:shd w:val="clear" w:color="auto" w:fill="auto"/>
        <w:tabs>
          <w:tab w:val="left" w:pos="840"/>
        </w:tabs>
        <w:adjustRightInd w:val="0"/>
        <w:spacing w:line="360" w:lineRule="auto"/>
        <w:ind w:firstLine="480" w:firstLineChars="200"/>
        <w:jc w:val="both"/>
        <w:rPr>
          <w:rFonts w:hint="default"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本次招标完成后由</w:t>
      </w:r>
      <w:r>
        <w:rPr>
          <w:rFonts w:hint="eastAsia" w:ascii="宋体" w:hAnsi="宋体" w:cs="仿宋"/>
          <w:snapToGrid w:val="0"/>
          <w:color w:val="auto"/>
          <w:kern w:val="0"/>
          <w:sz w:val="24"/>
          <w:szCs w:val="24"/>
          <w:highlight w:val="none"/>
          <w:lang w:val="en-US" w:eastAsia="zh-CN" w:bidi="ar-SA"/>
        </w:rPr>
        <w:t>兰溪市财政局</w:t>
      </w:r>
      <w:r>
        <w:rPr>
          <w:rFonts w:hint="eastAsia" w:ascii="宋体" w:hAnsi="宋体" w:eastAsia="宋体" w:cs="仿宋"/>
          <w:snapToGrid w:val="0"/>
          <w:color w:val="auto"/>
          <w:kern w:val="0"/>
          <w:sz w:val="24"/>
          <w:szCs w:val="24"/>
          <w:highlight w:val="none"/>
          <w:lang w:val="en-US" w:eastAsia="zh-CN" w:bidi="ar-SA"/>
        </w:rPr>
        <w:t>与入围单位签订合同，合同签订后采取“对一段时期内的审核资格招标，以抽签方式确定项目分配”的方式</w:t>
      </w:r>
      <w:r>
        <w:rPr>
          <w:rFonts w:hint="eastAsia" w:ascii="宋体" w:hAnsi="宋体" w:cs="仿宋"/>
          <w:snapToGrid w:val="0"/>
          <w:color w:val="auto"/>
          <w:kern w:val="0"/>
          <w:sz w:val="24"/>
          <w:szCs w:val="24"/>
          <w:highlight w:val="none"/>
          <w:lang w:val="en-US" w:eastAsia="zh-CN" w:bidi="ar-SA"/>
        </w:rPr>
        <w:t>进行项目分配</w:t>
      </w:r>
      <w:r>
        <w:rPr>
          <w:rFonts w:hint="eastAsia" w:ascii="宋体" w:hAnsi="宋体" w:eastAsia="宋体" w:cs="仿宋"/>
          <w:snapToGrid w:val="0"/>
          <w:color w:val="auto"/>
          <w:kern w:val="0"/>
          <w:sz w:val="24"/>
          <w:szCs w:val="24"/>
          <w:highlight w:val="none"/>
          <w:lang w:val="en-US" w:eastAsia="zh-CN" w:bidi="ar-SA"/>
        </w:rPr>
        <w:t>。“对一段时期内的审核资格招标”指通过招标方式确定该段时期内参加工程造价审核的入围供应商；“以抽签方式确定项目分配”指对该段时期内收到的审价项目，由</w:t>
      </w:r>
      <w:r>
        <w:rPr>
          <w:rFonts w:hint="eastAsia" w:ascii="宋体" w:hAnsi="宋体" w:cs="仿宋"/>
          <w:snapToGrid w:val="0"/>
          <w:color w:val="auto"/>
          <w:kern w:val="0"/>
          <w:sz w:val="24"/>
          <w:szCs w:val="24"/>
          <w:highlight w:val="none"/>
          <w:lang w:val="en-US" w:eastAsia="zh-CN" w:bidi="ar-SA"/>
        </w:rPr>
        <w:t>财政局</w:t>
      </w:r>
      <w:r>
        <w:rPr>
          <w:rFonts w:hint="eastAsia" w:ascii="宋体" w:hAnsi="宋体" w:eastAsia="宋体" w:cs="仿宋"/>
          <w:snapToGrid w:val="0"/>
          <w:color w:val="auto"/>
          <w:kern w:val="0"/>
          <w:sz w:val="24"/>
          <w:szCs w:val="24"/>
          <w:highlight w:val="none"/>
          <w:lang w:val="en-US" w:eastAsia="zh-CN" w:bidi="ar-SA"/>
        </w:rPr>
        <w:t>召集中标的审价单位以抽签方式确定具体项目的分配，特殊项目</w:t>
      </w:r>
      <w:r>
        <w:rPr>
          <w:rFonts w:hint="eastAsia" w:ascii="宋体" w:hAnsi="宋体" w:cs="仿宋"/>
          <w:snapToGrid w:val="0"/>
          <w:color w:val="auto"/>
          <w:kern w:val="0"/>
          <w:sz w:val="24"/>
          <w:szCs w:val="24"/>
          <w:highlight w:val="none"/>
          <w:lang w:val="en-US" w:eastAsia="zh-CN" w:bidi="ar-SA"/>
        </w:rPr>
        <w:t>可以</w:t>
      </w:r>
      <w:r>
        <w:rPr>
          <w:rFonts w:hint="eastAsia" w:ascii="宋体" w:hAnsi="宋体" w:eastAsia="宋体" w:cs="仿宋"/>
          <w:snapToGrid w:val="0"/>
          <w:color w:val="auto"/>
          <w:kern w:val="0"/>
          <w:sz w:val="24"/>
          <w:szCs w:val="24"/>
          <w:highlight w:val="none"/>
          <w:lang w:val="en-US" w:eastAsia="zh-CN" w:bidi="ar-SA"/>
        </w:rPr>
        <w:t>采用评选方式确定。</w:t>
      </w:r>
    </w:p>
    <w:p>
      <w:pPr>
        <w:widowControl w:val="0"/>
        <w:numPr>
          <w:ilvl w:val="0"/>
          <w:numId w:val="4"/>
        </w:numPr>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其他要求</w:t>
      </w:r>
    </w:p>
    <w:p>
      <w:pPr>
        <w:widowControl w:val="0"/>
        <w:numPr>
          <w:ilvl w:val="0"/>
          <w:numId w:val="0"/>
        </w:numPr>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1、项目人员要求</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1.1投标时“拟参加审核人员”报6人及以上，所有人员必须具有造价师资格，其中一级注册造价师资格人员必须在3人及以上，具有建筑、安装、水利、交通运输专业造价师各一个及以上，允许一人多个资格参报，但人员一经确定不得变更。拟参加审核人员即为协议入围单位今后参加审核人员，以上人员必须是投标单位正式员工，</w:t>
      </w:r>
      <w:r>
        <w:rPr>
          <w:rFonts w:hint="eastAsia" w:ascii="宋体" w:hAnsi="宋体" w:cs="仿宋"/>
          <w:snapToGrid w:val="0"/>
          <w:color w:val="auto"/>
          <w:kern w:val="0"/>
          <w:sz w:val="24"/>
          <w:szCs w:val="24"/>
          <w:highlight w:val="none"/>
          <w:lang w:val="en-US" w:eastAsia="zh-CN" w:bidi="ar-SA"/>
        </w:rPr>
        <w:t>需提供</w:t>
      </w:r>
      <w:r>
        <w:rPr>
          <w:rFonts w:hint="eastAsia" w:ascii="宋体" w:hAnsi="宋体" w:eastAsia="宋体" w:cs="仿宋"/>
          <w:snapToGrid w:val="0"/>
          <w:color w:val="auto"/>
          <w:kern w:val="0"/>
          <w:sz w:val="24"/>
          <w:szCs w:val="24"/>
          <w:highlight w:val="none"/>
          <w:lang w:val="en-US" w:eastAsia="zh-CN" w:bidi="ar-SA"/>
        </w:rPr>
        <w:t>近</w:t>
      </w:r>
      <w:r>
        <w:rPr>
          <w:rFonts w:hint="eastAsia" w:ascii="宋体" w:hAnsi="宋体" w:cs="仿宋"/>
          <w:snapToGrid w:val="0"/>
          <w:color w:val="auto"/>
          <w:kern w:val="0"/>
          <w:sz w:val="24"/>
          <w:szCs w:val="24"/>
          <w:highlight w:val="none"/>
          <w:lang w:val="en-US" w:eastAsia="zh-CN" w:bidi="ar-SA"/>
        </w:rPr>
        <w:t>二</w:t>
      </w:r>
      <w:r>
        <w:rPr>
          <w:rFonts w:hint="eastAsia" w:ascii="宋体" w:hAnsi="宋体" w:eastAsia="宋体" w:cs="仿宋"/>
          <w:snapToGrid w:val="0"/>
          <w:color w:val="auto"/>
          <w:kern w:val="0"/>
          <w:sz w:val="24"/>
          <w:szCs w:val="24"/>
          <w:highlight w:val="none"/>
          <w:lang w:val="en-US" w:eastAsia="zh-CN" w:bidi="ar-SA"/>
        </w:rPr>
        <w:t>个月的在该单位任职的个人社保缴费清单，否则不予承认。（近</w:t>
      </w:r>
      <w:r>
        <w:rPr>
          <w:rFonts w:hint="eastAsia" w:ascii="宋体" w:hAnsi="宋体" w:cs="仿宋"/>
          <w:snapToGrid w:val="0"/>
          <w:color w:val="auto"/>
          <w:kern w:val="0"/>
          <w:sz w:val="24"/>
          <w:szCs w:val="24"/>
          <w:highlight w:val="none"/>
          <w:lang w:val="en-US" w:eastAsia="zh-CN" w:bidi="ar-SA"/>
        </w:rPr>
        <w:t>二</w:t>
      </w:r>
      <w:r>
        <w:rPr>
          <w:rFonts w:hint="eastAsia" w:ascii="宋体" w:hAnsi="宋体" w:eastAsia="宋体" w:cs="仿宋"/>
          <w:snapToGrid w:val="0"/>
          <w:color w:val="auto"/>
          <w:kern w:val="0"/>
          <w:sz w:val="24"/>
          <w:szCs w:val="24"/>
          <w:highlight w:val="none"/>
          <w:lang w:val="en-US" w:eastAsia="zh-CN" w:bidi="ar-SA"/>
        </w:rPr>
        <w:t>个月指的是从2024年07月01日至响应截止时止期间中任何一个连续</w:t>
      </w:r>
      <w:r>
        <w:rPr>
          <w:rFonts w:hint="eastAsia" w:ascii="宋体" w:hAnsi="宋体" w:cs="仿宋"/>
          <w:snapToGrid w:val="0"/>
          <w:color w:val="auto"/>
          <w:kern w:val="0"/>
          <w:sz w:val="24"/>
          <w:szCs w:val="24"/>
          <w:highlight w:val="none"/>
          <w:lang w:val="en-US" w:eastAsia="zh-CN" w:bidi="ar-SA"/>
        </w:rPr>
        <w:t>二</w:t>
      </w:r>
      <w:r>
        <w:rPr>
          <w:rFonts w:hint="eastAsia" w:ascii="宋体" w:hAnsi="宋体" w:eastAsia="宋体" w:cs="仿宋"/>
          <w:snapToGrid w:val="0"/>
          <w:color w:val="auto"/>
          <w:kern w:val="0"/>
          <w:sz w:val="24"/>
          <w:szCs w:val="24"/>
          <w:highlight w:val="none"/>
          <w:lang w:val="en-US" w:eastAsia="zh-CN" w:bidi="ar-SA"/>
        </w:rPr>
        <w:t>个月。</w:t>
      </w:r>
      <w:r>
        <w:rPr>
          <w:rFonts w:hint="default" w:ascii="宋体" w:hAnsi="宋体" w:eastAsia="宋体" w:cs="仿宋"/>
          <w:snapToGrid w:val="0"/>
          <w:color w:val="auto"/>
          <w:kern w:val="0"/>
          <w:sz w:val="24"/>
          <w:szCs w:val="24"/>
          <w:highlight w:val="none"/>
          <w:lang w:val="en-US" w:eastAsia="zh-CN" w:bidi="ar-SA"/>
        </w:rPr>
        <w:t>社保缴费清单需加盖缴费当地社保机构公章或业务章。</w:t>
      </w:r>
      <w:r>
        <w:rPr>
          <w:rFonts w:hint="eastAsia" w:ascii="宋体" w:hAnsi="宋体" w:eastAsia="宋体" w:cs="仿宋"/>
          <w:snapToGrid w:val="0"/>
          <w:color w:val="auto"/>
          <w:kern w:val="0"/>
          <w:sz w:val="24"/>
          <w:szCs w:val="24"/>
          <w:highlight w:val="none"/>
          <w:lang w:val="en-US" w:eastAsia="zh-CN" w:bidi="ar-SA"/>
        </w:rPr>
        <w:t>）</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1.2拟参加审核人员可以包括65周岁（含）内的退休返聘人员，但在评标办法中的审核人员不包含退休返聘人员，其名单列入拟参加审核退休返聘人员表中。</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1.3接受项目委托后，投标人根据项目工作的要求，配备一定数量的人员，这些人员从“拟参加审核人员”中选配，并且在项目审核期间，按需在兰溪市常驻。</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1.4预算、结算、概（估）算的编制与审价单位属同一单位时，该审价单位应回避，由另外协议入围的审价单位进行审价，以体现交叉审核的原则。</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1.5、项目主审必须具有注册造价师资格。</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2、合同执行要求</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2.1财政局通过复核、</w:t>
      </w:r>
      <w:r>
        <w:rPr>
          <w:rFonts w:hint="eastAsia" w:ascii="宋体" w:hAnsi="宋体" w:cs="仿宋"/>
          <w:snapToGrid w:val="0"/>
          <w:color w:val="auto"/>
          <w:kern w:val="0"/>
          <w:sz w:val="24"/>
          <w:szCs w:val="24"/>
          <w:highlight w:val="none"/>
          <w:lang w:val="en-US" w:eastAsia="zh-CN" w:bidi="ar-SA"/>
        </w:rPr>
        <w:t>抽查稽核</w:t>
      </w:r>
      <w:r>
        <w:rPr>
          <w:rFonts w:hint="eastAsia" w:ascii="宋体" w:hAnsi="宋体" w:eastAsia="宋体" w:cs="仿宋"/>
          <w:snapToGrid w:val="0"/>
          <w:color w:val="auto"/>
          <w:kern w:val="0"/>
          <w:sz w:val="24"/>
          <w:szCs w:val="24"/>
          <w:highlight w:val="none"/>
          <w:lang w:val="en-US" w:eastAsia="zh-CN" w:bidi="ar-SA"/>
        </w:rPr>
        <w:t>等方式对协议入围单位所承诺的审价结果误差率进行审核确认。除客观原因外，如协议入围单位审价结果单个项目误差率高于所承诺的审价结果误差率的，不支付审核费；高于5%或有违反有关规定的协议入围单位，不支付审核费并按照有关法规给予协议入围单位和直接责任人员警告、通报批评，取消参与下一轮兰溪市</w:t>
      </w:r>
      <w:r>
        <w:rPr>
          <w:rFonts w:hint="eastAsia" w:ascii="宋体" w:hAnsi="宋体" w:cs="仿宋"/>
          <w:snapToGrid w:val="0"/>
          <w:color w:val="auto"/>
          <w:kern w:val="0"/>
          <w:sz w:val="24"/>
          <w:szCs w:val="24"/>
          <w:highlight w:val="none"/>
          <w:lang w:val="en-US" w:eastAsia="zh-CN" w:bidi="ar-SA"/>
        </w:rPr>
        <w:t>财政</w:t>
      </w:r>
      <w:r>
        <w:rPr>
          <w:rFonts w:hint="eastAsia" w:ascii="宋体" w:hAnsi="宋体" w:eastAsia="宋体" w:cs="仿宋"/>
          <w:snapToGrid w:val="0"/>
          <w:color w:val="auto"/>
          <w:kern w:val="0"/>
          <w:sz w:val="24"/>
          <w:szCs w:val="24"/>
          <w:highlight w:val="none"/>
          <w:lang w:val="en-US" w:eastAsia="zh-CN" w:bidi="ar-SA"/>
        </w:rPr>
        <w:t>投资项目审价资格，对于严重违法违纪的社会中介审价机构，报行业主管部门按相关规定处理。</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2.2协议入围单位应在所承诺的审核期限内完成审核，因协议入围单位的原因造成逾期的，自逾期之日起，每日扣除该项目审核费的2%，并承担相应的利息和其它损失，累计赔偿不超过该项目审核费用的总和。</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2.3兰溪市政府采购管理办公室与</w:t>
      </w:r>
      <w:r>
        <w:rPr>
          <w:rFonts w:hint="eastAsia" w:ascii="宋体" w:hAnsi="宋体" w:cs="仿宋"/>
          <w:snapToGrid w:val="0"/>
          <w:color w:val="auto"/>
          <w:kern w:val="0"/>
          <w:sz w:val="24"/>
          <w:szCs w:val="24"/>
          <w:highlight w:val="none"/>
          <w:lang w:val="en-US" w:eastAsia="zh-CN" w:bidi="ar-SA"/>
        </w:rPr>
        <w:t>财政局</w:t>
      </w:r>
      <w:r>
        <w:rPr>
          <w:rFonts w:hint="eastAsia" w:ascii="宋体" w:hAnsi="宋体" w:eastAsia="宋体" w:cs="仿宋"/>
          <w:snapToGrid w:val="0"/>
          <w:color w:val="auto"/>
          <w:kern w:val="0"/>
          <w:sz w:val="24"/>
          <w:szCs w:val="24"/>
          <w:highlight w:val="none"/>
          <w:lang w:val="en-US" w:eastAsia="zh-CN" w:bidi="ar-SA"/>
        </w:rPr>
        <w:t>共同监督合同的执行，协调和处理履约过程中的问题。协议入围单位应本着“客观、公正、合理、科学”的原则，遵守国家法律法规和政府、部门有关文件规定，正确执行计价依据，正确履行审核职责，同时承担相应的法律责任。协议入围单位不得参加与受委托审价工程结算有关的经营活动，对项目审核实行回避制度。对协议入围单位滥用职权、徇私舞弊、玩忽职守应按情节轻重给予取消进入政府采购市场资格。情节严重，造成国家重大损失的，移送司法机关追究刑事责任。</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十</w:t>
      </w:r>
      <w:r>
        <w:rPr>
          <w:rFonts w:hint="eastAsia" w:ascii="宋体" w:hAnsi="宋体" w:cs="仿宋"/>
          <w:snapToGrid w:val="0"/>
          <w:color w:val="auto"/>
          <w:kern w:val="0"/>
          <w:sz w:val="24"/>
          <w:szCs w:val="24"/>
          <w:highlight w:val="none"/>
          <w:lang w:val="en-US" w:eastAsia="zh-CN" w:bidi="ar-SA"/>
        </w:rPr>
        <w:t>一</w:t>
      </w:r>
      <w:r>
        <w:rPr>
          <w:rFonts w:hint="eastAsia" w:ascii="宋体" w:hAnsi="宋体" w:eastAsia="宋体" w:cs="仿宋"/>
          <w:snapToGrid w:val="0"/>
          <w:color w:val="auto"/>
          <w:kern w:val="0"/>
          <w:sz w:val="24"/>
          <w:szCs w:val="24"/>
          <w:highlight w:val="none"/>
          <w:lang w:val="en-US" w:eastAsia="zh-CN" w:bidi="ar-SA"/>
        </w:rPr>
        <w:t>、争议解决方式</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trike/>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本协议履行过程中发生的任何争议，双方当事人均可通过和解或者调解解决；不愿和解、调解或者和解、调解不成的，可以选择下列方式解决：将争议提交兰溪仲裁委员会依申请仲裁时其现行有效的仲裁规则裁决；</w:t>
      </w:r>
    </w:p>
    <w:p>
      <w:pPr>
        <w:shd w:val="clear" w:color="auto" w:fill="auto"/>
        <w:snapToGrid w:val="0"/>
        <w:spacing w:line="360" w:lineRule="auto"/>
        <w:jc w:val="center"/>
        <w:rPr>
          <w:rFonts w:hint="eastAsia" w:ascii="宋体" w:hAnsi="宋体" w:cs="仿宋"/>
          <w:b/>
          <w:color w:val="auto"/>
          <w:sz w:val="28"/>
          <w:szCs w:val="28"/>
          <w:highlight w:val="none"/>
        </w:rPr>
      </w:pPr>
      <w:r>
        <w:rPr>
          <w:rFonts w:hint="eastAsia" w:ascii="宋体" w:hAnsi="宋体" w:cs="仿宋"/>
          <w:b/>
          <w:color w:val="auto"/>
          <w:sz w:val="32"/>
          <w:highlight w:val="none"/>
        </w:rPr>
        <w:t>商务要求</w:t>
      </w:r>
    </w:p>
    <w:p>
      <w:pPr>
        <w:widowControl/>
        <w:shd w:val="clear" w:color="auto" w:fill="auto"/>
        <w:snapToGrid w:val="0"/>
        <w:spacing w:line="360" w:lineRule="auto"/>
        <w:rPr>
          <w:rFonts w:hint="eastAsia" w:ascii="宋体" w:hAnsi="宋体" w:cs="仿宋"/>
          <w:b/>
          <w:bCs/>
          <w:color w:val="auto"/>
          <w:kern w:val="0"/>
          <w:sz w:val="24"/>
          <w:highlight w:val="none"/>
        </w:rPr>
      </w:pPr>
      <w:r>
        <w:rPr>
          <w:rFonts w:hint="eastAsia" w:ascii="宋体" w:hAnsi="宋体" w:cs="仿宋"/>
          <w:color w:val="auto"/>
          <w:sz w:val="24"/>
          <w:highlight w:val="none"/>
        </w:rPr>
        <w:t>▲</w:t>
      </w:r>
      <w:r>
        <w:rPr>
          <w:rFonts w:hint="eastAsia" w:ascii="宋体" w:hAnsi="宋体" w:cs="仿宋"/>
          <w:b/>
          <w:bCs/>
          <w:color w:val="auto"/>
          <w:kern w:val="0"/>
          <w:sz w:val="24"/>
          <w:highlight w:val="none"/>
        </w:rPr>
        <w:t>2.1服务期限</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仿宋"/>
          <w:snapToGrid w:val="0"/>
          <w:color w:val="auto"/>
          <w:kern w:val="0"/>
          <w:sz w:val="24"/>
          <w:szCs w:val="24"/>
          <w:highlight w:val="none"/>
          <w:lang w:val="en-US" w:eastAsia="zh-CN" w:bidi="ar-SA"/>
        </w:rPr>
        <w:t>本协议期限2年。从202</w:t>
      </w:r>
      <w:r>
        <w:rPr>
          <w:rFonts w:hint="eastAsia" w:ascii="宋体" w:hAnsi="宋体" w:cs="仿宋"/>
          <w:snapToGrid w:val="0"/>
          <w:color w:val="auto"/>
          <w:kern w:val="0"/>
          <w:sz w:val="24"/>
          <w:szCs w:val="24"/>
          <w:highlight w:val="none"/>
          <w:lang w:val="en-US" w:eastAsia="zh-CN" w:bidi="ar-SA"/>
        </w:rPr>
        <w:t>5</w:t>
      </w:r>
      <w:r>
        <w:rPr>
          <w:rFonts w:hint="eastAsia" w:ascii="宋体" w:hAnsi="宋体" w:eastAsia="宋体" w:cs="仿宋"/>
          <w:snapToGrid w:val="0"/>
          <w:color w:val="auto"/>
          <w:kern w:val="0"/>
          <w:sz w:val="24"/>
          <w:szCs w:val="24"/>
          <w:highlight w:val="none"/>
          <w:lang w:val="en-US" w:eastAsia="zh-CN" w:bidi="ar-SA"/>
        </w:rPr>
        <w:t>年1月1日至202</w:t>
      </w:r>
      <w:r>
        <w:rPr>
          <w:rFonts w:hint="eastAsia" w:ascii="宋体" w:hAnsi="宋体" w:cs="仿宋"/>
          <w:snapToGrid w:val="0"/>
          <w:color w:val="auto"/>
          <w:kern w:val="0"/>
          <w:sz w:val="24"/>
          <w:szCs w:val="24"/>
          <w:highlight w:val="none"/>
          <w:lang w:val="en-US" w:eastAsia="zh-CN" w:bidi="ar-SA"/>
        </w:rPr>
        <w:t>6</w:t>
      </w:r>
      <w:r>
        <w:rPr>
          <w:rFonts w:hint="eastAsia" w:ascii="宋体" w:hAnsi="宋体" w:eastAsia="宋体" w:cs="仿宋"/>
          <w:snapToGrid w:val="0"/>
          <w:color w:val="auto"/>
          <w:kern w:val="0"/>
          <w:sz w:val="24"/>
          <w:szCs w:val="24"/>
          <w:highlight w:val="none"/>
          <w:lang w:val="en-US" w:eastAsia="zh-CN" w:bidi="ar-SA"/>
        </w:rPr>
        <w:t>年12月31日止，有效期到期后，经采购人根据《兰溪市财政项目预算审核中心项目协审工作考核办法（试行）》对</w:t>
      </w:r>
      <w:r>
        <w:rPr>
          <w:rFonts w:hint="eastAsia" w:ascii="宋体" w:hAnsi="宋体" w:cs="仿宋"/>
          <w:snapToGrid w:val="0"/>
          <w:color w:val="auto"/>
          <w:kern w:val="0"/>
          <w:sz w:val="24"/>
          <w:szCs w:val="24"/>
          <w:highlight w:val="none"/>
          <w:lang w:val="en-US" w:eastAsia="zh-CN" w:bidi="ar-SA"/>
        </w:rPr>
        <w:t>协议入围</w:t>
      </w:r>
      <w:r>
        <w:rPr>
          <w:rFonts w:hint="eastAsia" w:ascii="宋体" w:hAnsi="宋体" w:eastAsia="宋体" w:cs="仿宋"/>
          <w:snapToGrid w:val="0"/>
          <w:color w:val="auto"/>
          <w:kern w:val="0"/>
          <w:sz w:val="24"/>
          <w:szCs w:val="24"/>
          <w:highlight w:val="none"/>
          <w:lang w:val="en-US" w:eastAsia="zh-CN" w:bidi="ar-SA"/>
        </w:rPr>
        <w:t>方进行考核，服务期考核结果为优秀或良好的，经双方协商一致，可继续签订年度服务合同（合同期为一年）。续签合同的让利率不得低于本次</w:t>
      </w:r>
      <w:r>
        <w:rPr>
          <w:rFonts w:hint="eastAsia" w:ascii="宋体" w:hAnsi="宋体" w:cs="仿宋"/>
          <w:snapToGrid w:val="0"/>
          <w:color w:val="auto"/>
          <w:kern w:val="0"/>
          <w:sz w:val="24"/>
          <w:szCs w:val="24"/>
          <w:highlight w:val="none"/>
          <w:lang w:val="en-US" w:eastAsia="zh-CN" w:bidi="ar-SA"/>
        </w:rPr>
        <w:t>征集</w:t>
      </w:r>
      <w:r>
        <w:rPr>
          <w:rFonts w:hint="eastAsia" w:ascii="宋体" w:hAnsi="宋体" w:eastAsia="宋体" w:cs="仿宋"/>
          <w:snapToGrid w:val="0"/>
          <w:color w:val="auto"/>
          <w:kern w:val="0"/>
          <w:sz w:val="24"/>
          <w:szCs w:val="24"/>
          <w:highlight w:val="none"/>
          <w:lang w:val="en-US" w:eastAsia="zh-CN" w:bidi="ar-SA"/>
        </w:rPr>
        <w:t>结果，且续签次数不得超过一次。</w:t>
      </w:r>
    </w:p>
    <w:p>
      <w:pPr>
        <w:widowControl/>
        <w:shd w:val="clear" w:color="auto" w:fill="auto"/>
        <w:snapToGrid w:val="0"/>
        <w:spacing w:line="360" w:lineRule="auto"/>
        <w:rPr>
          <w:rFonts w:hint="eastAsia" w:ascii="宋体" w:hAnsi="宋体" w:cs="仿宋"/>
          <w:b/>
          <w:bCs/>
          <w:color w:val="auto"/>
          <w:kern w:val="0"/>
          <w:sz w:val="24"/>
          <w:highlight w:val="none"/>
        </w:rPr>
      </w:pPr>
      <w:r>
        <w:rPr>
          <w:rFonts w:hint="eastAsia" w:ascii="宋体" w:hAnsi="宋体" w:cs="仿宋"/>
          <w:b/>
          <w:bCs/>
          <w:color w:val="auto"/>
          <w:kern w:val="0"/>
          <w:sz w:val="24"/>
          <w:highlight w:val="none"/>
        </w:rPr>
        <w:t>2.2付款方式</w:t>
      </w:r>
    </w:p>
    <w:p>
      <w:pPr>
        <w:widowControl/>
        <w:shd w:val="clear" w:color="auto" w:fill="auto"/>
        <w:snapToGrid w:val="0"/>
        <w:spacing w:line="360" w:lineRule="auto"/>
        <w:ind w:firstLine="480" w:firstLineChars="200"/>
        <w:rPr>
          <w:rFonts w:hint="eastAsia" w:ascii="宋体" w:hAnsi="宋体" w:eastAsia="宋体" w:cs="仿宋"/>
          <w:color w:val="auto"/>
          <w:kern w:val="0"/>
          <w:sz w:val="24"/>
          <w:highlight w:val="none"/>
          <w:lang w:eastAsia="zh-CN"/>
        </w:rPr>
      </w:pPr>
      <w:r>
        <w:rPr>
          <w:rFonts w:hint="eastAsia" w:ascii="宋体" w:hAnsi="宋体" w:cs="仿宋"/>
          <w:color w:val="auto"/>
          <w:kern w:val="0"/>
          <w:sz w:val="24"/>
          <w:highlight w:val="none"/>
        </w:rPr>
        <w:t>项目审核完毕提交审价结论，经</w:t>
      </w:r>
      <w:r>
        <w:rPr>
          <w:rFonts w:hint="eastAsia" w:ascii="宋体" w:hAnsi="宋体" w:cs="仿宋"/>
          <w:color w:val="auto"/>
          <w:kern w:val="0"/>
          <w:sz w:val="24"/>
          <w:highlight w:val="none"/>
          <w:lang w:eastAsia="zh-CN"/>
        </w:rPr>
        <w:t>财政局</w:t>
      </w:r>
      <w:r>
        <w:rPr>
          <w:rFonts w:hint="eastAsia" w:ascii="宋体" w:hAnsi="宋体" w:cs="仿宋"/>
          <w:color w:val="auto"/>
          <w:kern w:val="0"/>
          <w:sz w:val="24"/>
          <w:highlight w:val="none"/>
        </w:rPr>
        <w:t>确认后，由相关单位支付审核费</w:t>
      </w:r>
      <w:r>
        <w:rPr>
          <w:rFonts w:hint="eastAsia" w:ascii="宋体" w:hAnsi="宋体" w:cs="仿宋"/>
          <w:color w:val="auto"/>
          <w:kern w:val="0"/>
          <w:sz w:val="24"/>
          <w:highlight w:val="none"/>
          <w:lang w:eastAsia="zh-CN"/>
        </w:rPr>
        <w:t>，其中抽查稽核项目基本费由财政局支付</w:t>
      </w:r>
      <w:r>
        <w:rPr>
          <w:rFonts w:hint="eastAsia" w:ascii="宋体" w:hAnsi="宋体" w:cs="仿宋"/>
          <w:color w:val="auto"/>
          <w:kern w:val="0"/>
          <w:sz w:val="24"/>
          <w:highlight w:val="none"/>
        </w:rPr>
        <w:t>。</w:t>
      </w:r>
    </w:p>
    <w:p>
      <w:pPr>
        <w:widowControl w:val="0"/>
        <w:shd w:val="clear" w:color="auto" w:fill="auto"/>
        <w:autoSpaceDE w:val="0"/>
        <w:autoSpaceDN w:val="0"/>
        <w:adjustRightInd w:val="0"/>
        <w:spacing w:line="360" w:lineRule="auto"/>
        <w:jc w:val="both"/>
        <w:rPr>
          <w:rFonts w:hint="eastAsia" w:ascii="宋体" w:hAnsi="宋体" w:eastAsia="宋体" w:cs="仿宋"/>
          <w:b/>
          <w:bCs/>
          <w:snapToGrid w:val="0"/>
          <w:color w:val="auto"/>
          <w:kern w:val="0"/>
          <w:sz w:val="24"/>
          <w:szCs w:val="21"/>
          <w:highlight w:val="none"/>
          <w:lang w:val="zh-CN" w:eastAsia="zh-CN" w:bidi="ar-SA"/>
        </w:rPr>
      </w:pPr>
      <w:r>
        <w:rPr>
          <w:rFonts w:hint="eastAsia" w:ascii="宋体" w:hAnsi="宋体" w:cs="仿宋"/>
          <w:b/>
          <w:bCs/>
          <w:color w:val="auto"/>
          <w:sz w:val="24"/>
          <w:highlight w:val="none"/>
        </w:rPr>
        <w:t>2.3</w:t>
      </w:r>
      <w:r>
        <w:rPr>
          <w:rFonts w:hint="eastAsia" w:ascii="宋体" w:hAnsi="宋体" w:eastAsia="宋体" w:cs="仿宋"/>
          <w:b/>
          <w:bCs/>
          <w:snapToGrid w:val="0"/>
          <w:color w:val="auto"/>
          <w:kern w:val="0"/>
          <w:sz w:val="24"/>
          <w:szCs w:val="21"/>
          <w:highlight w:val="none"/>
          <w:lang w:val="zh-CN" w:eastAsia="zh-CN" w:bidi="ar-SA"/>
        </w:rPr>
        <w:t>检查</w:t>
      </w:r>
      <w:r>
        <w:rPr>
          <w:rFonts w:hint="eastAsia" w:ascii="宋体" w:hAnsi="宋体" w:cs="仿宋"/>
          <w:b/>
          <w:bCs/>
          <w:snapToGrid w:val="0"/>
          <w:color w:val="auto"/>
          <w:kern w:val="0"/>
          <w:sz w:val="24"/>
          <w:szCs w:val="21"/>
          <w:highlight w:val="none"/>
          <w:lang w:val="zh-CN" w:eastAsia="zh-CN" w:bidi="ar-SA"/>
        </w:rPr>
        <w:t>（</w:t>
      </w:r>
      <w:r>
        <w:rPr>
          <w:rFonts w:hint="eastAsia" w:ascii="宋体" w:hAnsi="宋体" w:eastAsia="宋体" w:cs="仿宋"/>
          <w:b/>
          <w:bCs/>
          <w:snapToGrid w:val="0"/>
          <w:color w:val="auto"/>
          <w:kern w:val="0"/>
          <w:sz w:val="24"/>
          <w:szCs w:val="21"/>
          <w:highlight w:val="none"/>
          <w:lang w:val="zh-CN" w:eastAsia="zh-CN" w:bidi="ar-SA"/>
        </w:rPr>
        <w:t>考核</w:t>
      </w:r>
      <w:r>
        <w:rPr>
          <w:rFonts w:hint="eastAsia" w:ascii="宋体" w:hAnsi="宋体" w:cs="仿宋"/>
          <w:b/>
          <w:bCs/>
          <w:snapToGrid w:val="0"/>
          <w:color w:val="auto"/>
          <w:kern w:val="0"/>
          <w:sz w:val="24"/>
          <w:szCs w:val="21"/>
          <w:highlight w:val="none"/>
          <w:lang w:val="zh-CN" w:eastAsia="zh-CN" w:bidi="ar-SA"/>
        </w:rPr>
        <w:t>）</w:t>
      </w:r>
    </w:p>
    <w:p>
      <w:pPr>
        <w:widowControl w:val="0"/>
        <w:shd w:val="clear" w:color="auto" w:fill="auto"/>
        <w:autoSpaceDE w:val="0"/>
        <w:autoSpaceDN w:val="0"/>
        <w:adjustRightInd w:val="0"/>
        <w:spacing w:line="360" w:lineRule="auto"/>
        <w:ind w:firstLine="420"/>
        <w:jc w:val="both"/>
        <w:rPr>
          <w:rFonts w:hint="eastAsia" w:ascii="宋体" w:hAnsi="宋体" w:eastAsia="宋体" w:cs="Times New Roman"/>
          <w:snapToGrid/>
          <w:color w:val="auto"/>
          <w:kern w:val="2"/>
          <w:sz w:val="24"/>
          <w:szCs w:val="20"/>
          <w:highlight w:val="none"/>
          <w:lang w:val="en-US" w:eastAsia="zh-CN" w:bidi="ar-SA"/>
        </w:rPr>
      </w:pPr>
      <w:r>
        <w:rPr>
          <w:rFonts w:hint="eastAsia" w:ascii="宋体" w:hAnsi="宋体" w:eastAsia="宋体" w:cs="Times New Roman"/>
          <w:snapToGrid/>
          <w:color w:val="auto"/>
          <w:kern w:val="2"/>
          <w:sz w:val="24"/>
          <w:szCs w:val="20"/>
          <w:highlight w:val="none"/>
          <w:lang w:val="en-US" w:eastAsia="zh-CN" w:bidi="ar-SA"/>
        </w:rPr>
        <w:t>由</w:t>
      </w:r>
      <w:r>
        <w:rPr>
          <w:rFonts w:hint="eastAsia" w:ascii="宋体" w:hAnsi="宋体" w:cs="Times New Roman"/>
          <w:snapToGrid/>
          <w:color w:val="auto"/>
          <w:kern w:val="2"/>
          <w:sz w:val="24"/>
          <w:szCs w:val="20"/>
          <w:highlight w:val="none"/>
          <w:lang w:val="en-US" w:eastAsia="zh-CN" w:bidi="ar-SA"/>
        </w:rPr>
        <w:t>采购方</w:t>
      </w:r>
      <w:r>
        <w:rPr>
          <w:rFonts w:hint="eastAsia" w:ascii="宋体" w:hAnsi="宋体" w:eastAsia="宋体" w:cs="Times New Roman"/>
          <w:snapToGrid/>
          <w:color w:val="auto"/>
          <w:kern w:val="2"/>
          <w:sz w:val="24"/>
          <w:szCs w:val="20"/>
          <w:highlight w:val="none"/>
          <w:lang w:val="en-US" w:eastAsia="zh-CN" w:bidi="ar-SA"/>
        </w:rPr>
        <w:t>对</w:t>
      </w:r>
      <w:r>
        <w:rPr>
          <w:rFonts w:hint="eastAsia" w:ascii="宋体" w:hAnsi="宋体" w:cs="Times New Roman"/>
          <w:snapToGrid/>
          <w:color w:val="auto"/>
          <w:kern w:val="2"/>
          <w:sz w:val="24"/>
          <w:szCs w:val="20"/>
          <w:highlight w:val="none"/>
          <w:lang w:val="en-US" w:eastAsia="zh-CN" w:bidi="ar-SA"/>
        </w:rPr>
        <w:t>协议入围方</w:t>
      </w:r>
      <w:r>
        <w:rPr>
          <w:rFonts w:hint="eastAsia" w:ascii="宋体" w:hAnsi="宋体" w:eastAsia="宋体" w:cs="Times New Roman"/>
          <w:snapToGrid/>
          <w:color w:val="auto"/>
          <w:kern w:val="2"/>
          <w:sz w:val="24"/>
          <w:szCs w:val="20"/>
          <w:highlight w:val="none"/>
          <w:lang w:val="en-US" w:eastAsia="zh-CN" w:bidi="ar-SA"/>
        </w:rPr>
        <w:t>进行检查和考核，</w:t>
      </w:r>
      <w:r>
        <w:rPr>
          <w:rFonts w:hint="eastAsia" w:ascii="宋体" w:hAnsi="宋体" w:cs="Times New Roman"/>
          <w:snapToGrid/>
          <w:color w:val="auto"/>
          <w:kern w:val="2"/>
          <w:sz w:val="24"/>
          <w:szCs w:val="20"/>
          <w:highlight w:val="none"/>
          <w:lang w:val="en-US" w:eastAsia="zh-CN" w:bidi="ar-SA"/>
        </w:rPr>
        <w:t>协议入围方应</w:t>
      </w:r>
      <w:r>
        <w:rPr>
          <w:rFonts w:hint="eastAsia" w:ascii="宋体" w:hAnsi="宋体" w:eastAsia="宋体" w:cs="Times New Roman"/>
          <w:snapToGrid/>
          <w:color w:val="auto"/>
          <w:kern w:val="2"/>
          <w:sz w:val="24"/>
          <w:szCs w:val="20"/>
          <w:highlight w:val="none"/>
          <w:lang w:val="en-US" w:eastAsia="zh-CN" w:bidi="ar-SA"/>
        </w:rPr>
        <w:t>无条件配合。</w:t>
      </w:r>
      <w:bookmarkStart w:id="30" w:name="_Toc1488663174"/>
      <w:bookmarkStart w:id="31" w:name="_Toc548118524"/>
      <w:bookmarkStart w:id="32" w:name="_Toc82873328"/>
      <w:bookmarkStart w:id="33" w:name="_Toc82338245"/>
      <w:bookmarkStart w:id="34" w:name="_Toc211745569"/>
      <w:bookmarkStart w:id="35" w:name="_Toc485648402"/>
    </w:p>
    <w:p>
      <w:pPr>
        <w:widowControl w:val="0"/>
        <w:shd w:val="clear" w:color="auto" w:fill="auto"/>
        <w:autoSpaceDE w:val="0"/>
        <w:autoSpaceDN w:val="0"/>
        <w:adjustRightInd w:val="0"/>
        <w:spacing w:line="360" w:lineRule="auto"/>
        <w:ind w:firstLine="3584" w:firstLineChars="1275"/>
        <w:jc w:val="both"/>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widowControl w:val="0"/>
        <w:shd w:val="clear" w:color="auto" w:fill="auto"/>
        <w:autoSpaceDE w:val="0"/>
        <w:autoSpaceDN w:val="0"/>
        <w:adjustRightInd w:val="0"/>
        <w:spacing w:line="360" w:lineRule="auto"/>
        <w:ind w:firstLine="3584" w:firstLineChars="1275"/>
        <w:jc w:val="both"/>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widowControl w:val="0"/>
        <w:shd w:val="clear" w:color="auto" w:fill="auto"/>
        <w:autoSpaceDE w:val="0"/>
        <w:autoSpaceDN w:val="0"/>
        <w:adjustRightInd w:val="0"/>
        <w:spacing w:line="360" w:lineRule="auto"/>
        <w:ind w:firstLine="3584" w:firstLineChars="1275"/>
        <w:jc w:val="both"/>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widowControl w:val="0"/>
        <w:shd w:val="clear" w:color="auto" w:fill="auto"/>
        <w:autoSpaceDE w:val="0"/>
        <w:autoSpaceDN w:val="0"/>
        <w:adjustRightInd w:val="0"/>
        <w:spacing w:line="360" w:lineRule="auto"/>
        <w:ind w:firstLine="3584" w:firstLineChars="1275"/>
        <w:jc w:val="both"/>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widowControl w:val="0"/>
        <w:shd w:val="clear" w:color="auto" w:fill="auto"/>
        <w:autoSpaceDE w:val="0"/>
        <w:autoSpaceDN w:val="0"/>
        <w:adjustRightInd w:val="0"/>
        <w:spacing w:line="360" w:lineRule="auto"/>
        <w:ind w:firstLine="3584" w:firstLineChars="1275"/>
        <w:jc w:val="both"/>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widowControl w:val="0"/>
        <w:shd w:val="clear" w:color="auto" w:fill="auto"/>
        <w:autoSpaceDE w:val="0"/>
        <w:autoSpaceDN w:val="0"/>
        <w:adjustRightInd w:val="0"/>
        <w:spacing w:line="360" w:lineRule="auto"/>
        <w:ind w:firstLine="3584" w:firstLineChars="1275"/>
        <w:jc w:val="both"/>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widowControl w:val="0"/>
        <w:shd w:val="clear" w:color="auto" w:fill="auto"/>
        <w:autoSpaceDE w:val="0"/>
        <w:autoSpaceDN w:val="0"/>
        <w:adjustRightInd w:val="0"/>
        <w:spacing w:line="360" w:lineRule="auto"/>
        <w:ind w:firstLine="3584" w:firstLineChars="1275"/>
        <w:jc w:val="both"/>
        <w:rPr>
          <w:rFonts w:asciiTheme="majorEastAsia" w:hAnsiTheme="majorEastAsia" w:eastAsiaTheme="majorEastAsia" w:cstheme="majorEastAsia"/>
          <w:b/>
          <w:bCs/>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t>第三章　供应商须知</w:t>
      </w:r>
      <w:bookmarkEnd w:id="30"/>
      <w:bookmarkEnd w:id="31"/>
    </w:p>
    <w:p>
      <w:pPr>
        <w:spacing w:line="360" w:lineRule="auto"/>
        <w:ind w:firstLine="240" w:firstLineChars="100"/>
        <w:jc w:val="center"/>
        <w:rPr>
          <w:rFonts w:asciiTheme="majorEastAsia" w:hAnsiTheme="majorEastAsia" w:eastAsiaTheme="majorEastAsia" w:cstheme="majorEastAsia"/>
          <w:b/>
          <w:bCs/>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shd w:val="clear" w:color="auto" w:fill="FFFFFF"/>
          <w14:textFill>
            <w14:solidFill>
              <w14:schemeClr w14:val="tx1"/>
            </w14:solidFill>
          </w14:textFill>
        </w:rPr>
        <w:t>　</w:t>
      </w:r>
      <w: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t>电子交易注意事项</w:t>
      </w:r>
    </w:p>
    <w:p>
      <w:pPr>
        <w:spacing w:line="360" w:lineRule="auto"/>
        <w:ind w:firstLine="240" w:firstLineChars="100"/>
        <w:jc w:val="left"/>
        <w:rPr>
          <w:rFonts w:asciiTheme="majorEastAsia" w:hAnsiTheme="majorEastAsia" w:eastAsiaTheme="majorEastAsia" w:cstheme="majorEastAsia"/>
          <w:color w:val="000000" w:themeColor="text1"/>
          <w:highlight w:val="none"/>
          <w:shd w:val="clear" w:color="auto" w:fill="FFFFFF"/>
          <w14:textFill>
            <w14:solidFill>
              <w14:schemeClr w14:val="tx1"/>
            </w14:solidFill>
          </w14:textFill>
        </w:rPr>
      </w:pPr>
      <w:r>
        <w:rPr>
          <w:rFonts w:hint="eastAsia" w:asciiTheme="majorEastAsia" w:hAnsiTheme="majorEastAsia" w:eastAsiaTheme="majorEastAsia" w:cstheme="majorEastAsia"/>
          <w:color w:val="000000" w:themeColor="text1"/>
          <w:highlight w:val="none"/>
          <w:shd w:val="clear" w:color="auto" w:fill="FFFFFF"/>
          <w14:textFill>
            <w14:solidFill>
              <w14:schemeClr w14:val="tx1"/>
            </w14:solidFill>
          </w14:textFill>
        </w:rPr>
        <w:t>　政府采购项目电子交易活动适用《浙江省政府采购项目电子交易管理暂行办法》，现将相关注意事项告知如下：</w:t>
      </w:r>
    </w:p>
    <w:p>
      <w:pPr>
        <w:spacing w:line="360" w:lineRule="auto"/>
        <w:ind w:firstLine="240" w:firstLineChars="1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1.</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征集人</w:t>
      </w:r>
      <w:r>
        <w:rPr>
          <w:rFonts w:hint="eastAsia" w:asciiTheme="majorEastAsia" w:hAnsiTheme="majorEastAsia" w:eastAsiaTheme="majorEastAsia" w:cstheme="majorEastAsia"/>
          <w:color w:val="000000" w:themeColor="text1"/>
          <w:highlight w:val="none"/>
          <w14:textFill>
            <w14:solidFill>
              <w14:schemeClr w14:val="tx1"/>
            </w14:solidFill>
          </w14:textFill>
        </w:rPr>
        <w:t>按照征集文件规定的时间通过电子交易平台组织开标、开启响应文件，所有供应商均应当准时在线参加，直至评审结束。</w:t>
      </w:r>
    </w:p>
    <w:p>
      <w:pPr>
        <w:pStyle w:val="24"/>
        <w:spacing w:beforeAutospacing="0" w:afterAutospacing="0" w:line="360" w:lineRule="auto"/>
        <w:ind w:firstLine="240" w:firstLineChars="1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　2. 响应文件未按时解密，供应商如提供备份响应文件的，以符合要求的备份响应文件作为依据，否则视为响应文件撤回。响应文件已按时解密的，备份响应文件自动失效。</w:t>
      </w:r>
    </w:p>
    <w:p>
      <w:pPr>
        <w:pStyle w:val="24"/>
        <w:spacing w:beforeAutospacing="0" w:afterAutospacing="0" w:line="360" w:lineRule="auto"/>
        <w:ind w:firstLine="240" w:firstLineChars="1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　3. 采购过程中出现以下情形，导致电子交易平台无法正常运行，或者无法保证电子交易的公平、公正和安全时，</w:t>
      </w:r>
      <w:r>
        <w:rPr>
          <w:rFonts w:hint="eastAsia" w:asciiTheme="majorEastAsia" w:hAnsiTheme="majorEastAsia" w:eastAsiaTheme="majorEastAsia" w:cstheme="majorEastAsia"/>
          <w:color w:val="000000" w:themeColor="text1"/>
          <w:kern w:val="2"/>
          <w:highlight w:val="none"/>
          <w:lang w:eastAsia="zh-CN"/>
          <w14:textFill>
            <w14:solidFill>
              <w14:schemeClr w14:val="tx1"/>
            </w14:solidFill>
          </w14:textFill>
        </w:rPr>
        <w:t>征集人</w:t>
      </w:r>
      <w:r>
        <w:rPr>
          <w:rFonts w:hint="eastAsia" w:asciiTheme="majorEastAsia" w:hAnsiTheme="majorEastAsia" w:eastAsiaTheme="majorEastAsia" w:cstheme="majorEastAsia"/>
          <w:color w:val="000000" w:themeColor="text1"/>
          <w:kern w:val="2"/>
          <w:highlight w:val="none"/>
          <w14:textFill>
            <w14:solidFill>
              <w14:schemeClr w14:val="tx1"/>
            </w14:solidFill>
          </w14:textFill>
        </w:rPr>
        <w:t>可中止电子交易活动：</w:t>
      </w:r>
    </w:p>
    <w:p>
      <w:pPr>
        <w:pStyle w:val="24"/>
        <w:spacing w:beforeAutospacing="0" w:afterAutospacing="0" w:line="360" w:lineRule="auto"/>
        <w:ind w:firstLine="645"/>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（一）电子交易平台发生故障而无法登录访问的。</w:t>
      </w:r>
    </w:p>
    <w:p>
      <w:pPr>
        <w:pStyle w:val="24"/>
        <w:spacing w:beforeAutospacing="0" w:afterAutospacing="0" w:line="360" w:lineRule="auto"/>
        <w:ind w:firstLine="645"/>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（二）电子交易平台应用或数据库出现错误，不能进行正常操作的。</w:t>
      </w:r>
    </w:p>
    <w:p>
      <w:pPr>
        <w:pStyle w:val="24"/>
        <w:spacing w:beforeAutospacing="0" w:afterAutospacing="0" w:line="360" w:lineRule="auto"/>
        <w:ind w:firstLine="645"/>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（三）电子交易平台发现严重安全漏洞，有潜在泄密危险的。</w:t>
      </w:r>
    </w:p>
    <w:p>
      <w:pPr>
        <w:pStyle w:val="24"/>
        <w:spacing w:beforeAutospacing="0" w:afterAutospacing="0" w:line="360" w:lineRule="auto"/>
        <w:ind w:firstLine="645"/>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（四）病毒发作导致不能进行正常操作的。 </w:t>
      </w:r>
    </w:p>
    <w:p>
      <w:pPr>
        <w:pStyle w:val="24"/>
        <w:spacing w:beforeAutospacing="0" w:afterAutospacing="0" w:line="360" w:lineRule="auto"/>
        <w:ind w:firstLine="645"/>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（五）其他无法保证电子交易的公平、公正和安全的情况。</w:t>
      </w:r>
    </w:p>
    <w:p>
      <w:pPr>
        <w:pStyle w:val="24"/>
        <w:spacing w:beforeAutospacing="0" w:afterAutospacing="0" w:line="360" w:lineRule="auto"/>
        <w:ind w:firstLine="48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出现前款规定情形，不影响采购公平、公正性的，</w:t>
      </w:r>
      <w:r>
        <w:rPr>
          <w:rFonts w:hint="eastAsia" w:asciiTheme="majorEastAsia" w:hAnsiTheme="majorEastAsia" w:eastAsiaTheme="majorEastAsia" w:cstheme="majorEastAsia"/>
          <w:color w:val="000000" w:themeColor="text1"/>
          <w:kern w:val="2"/>
          <w:highlight w:val="none"/>
          <w:lang w:eastAsia="zh-CN"/>
          <w14:textFill>
            <w14:solidFill>
              <w14:schemeClr w14:val="tx1"/>
            </w14:solidFill>
          </w14:textFill>
        </w:rPr>
        <w:t>征集人</w:t>
      </w:r>
      <w:r>
        <w:rPr>
          <w:rFonts w:hint="eastAsia" w:asciiTheme="majorEastAsia" w:hAnsiTheme="majorEastAsia" w:eastAsiaTheme="majorEastAsia" w:cstheme="majorEastAsia"/>
          <w:color w:val="000000" w:themeColor="text1"/>
          <w:kern w:val="2"/>
          <w:highlight w:val="none"/>
          <w14:textFill>
            <w14:solidFill>
              <w14:schemeClr w14:val="tx1"/>
            </w14:solidFill>
          </w14:textFill>
        </w:rPr>
        <w:t>可以待上述情形消除后继续组织电子交易活动，也可以决定某些环节以纸质形式进行；影响或可能影响采购公平、公正性的，应当重新采购。</w:t>
      </w:r>
    </w:p>
    <w:p>
      <w:pPr>
        <w:pStyle w:val="24"/>
        <w:numPr>
          <w:ilvl w:val="0"/>
          <w:numId w:val="5"/>
        </w:numPr>
        <w:spacing w:beforeAutospacing="0" w:afterAutospacing="0" w:line="360" w:lineRule="auto"/>
        <w:ind w:firstLine="480"/>
        <w:rPr>
          <w:rFonts w:asciiTheme="majorEastAsia" w:hAnsiTheme="majorEastAsia" w:eastAsiaTheme="majorEastAsia" w:cstheme="majorEastAsia"/>
          <w:color w:val="000000" w:themeColor="text1"/>
          <w:highlight w:val="none"/>
          <w:shd w:val="clear" w:color="auto" w:fill="FFFFFF"/>
          <w14:textFill>
            <w14:solidFill>
              <w14:schemeClr w14:val="tx1"/>
            </w14:solidFill>
          </w14:textFill>
        </w:rPr>
      </w:pPr>
      <w:r>
        <w:rPr>
          <w:rFonts w:hint="eastAsia" w:asciiTheme="majorEastAsia" w:hAnsiTheme="majorEastAsia" w:eastAsiaTheme="majorEastAsia" w:cstheme="majorEastAsia"/>
          <w:color w:val="000000" w:themeColor="text1"/>
          <w:highlight w:val="none"/>
          <w:shd w:val="clear" w:color="auto" w:fill="FFFFFF"/>
          <w14:textFill>
            <w14:solidFill>
              <w14:schemeClr w14:val="tx1"/>
            </w14:solidFill>
          </w14:textFill>
        </w:rPr>
        <w:t>评审中需要供应商对响应文件作出澄清、说明或者补正的，评审小组和供应商应当通过电子交易平台交换数据电文。供应商需在半小时内提交澄清说明或补正，供应商已经明确表示澄清说明或补正完毕的除外。</w:t>
      </w:r>
    </w:p>
    <w:p>
      <w:pPr>
        <w:pStyle w:val="24"/>
        <w:spacing w:beforeAutospacing="0" w:afterAutospacing="0" w:line="360" w:lineRule="auto"/>
        <w:ind w:firstLine="480"/>
        <w:jc w:val="center"/>
        <w:rPr>
          <w:rFonts w:asciiTheme="majorEastAsia" w:hAnsiTheme="majorEastAsia" w:eastAsiaTheme="majorEastAsia" w:cstheme="majorEastAsia"/>
          <w:b/>
          <w:color w:val="000000" w:themeColor="text1"/>
          <w:sz w:val="32"/>
          <w:szCs w:val="32"/>
          <w:highlight w:val="none"/>
          <w:shd w:val="clear" w:color="auto" w:fill="FFFFFF"/>
          <w14:textFill>
            <w14:solidFill>
              <w14:schemeClr w14:val="tx1"/>
            </w14:solidFill>
          </w14:textFill>
        </w:rPr>
      </w:pPr>
      <w:r>
        <w:rPr>
          <w:rFonts w:hint="eastAsia" w:asciiTheme="majorEastAsia" w:hAnsiTheme="majorEastAsia" w:eastAsiaTheme="majorEastAsia" w:cstheme="majorEastAsia"/>
          <w:color w:val="000000" w:themeColor="text1"/>
          <w:highlight w:val="none"/>
          <w:shd w:val="clear" w:color="auto" w:fill="FFFFFF"/>
          <w14:textFill>
            <w14:solidFill>
              <w14:schemeClr w14:val="tx1"/>
            </w14:solidFill>
          </w14:textFill>
        </w:rPr>
        <w:br w:type="page"/>
      </w:r>
      <w:r>
        <w:rPr>
          <w:rFonts w:hint="eastAsia" w:asciiTheme="majorEastAsia" w:hAnsiTheme="majorEastAsia" w:eastAsiaTheme="majorEastAsia" w:cstheme="majorEastAsia"/>
          <w:b/>
          <w:color w:val="000000" w:themeColor="text1"/>
          <w:sz w:val="32"/>
          <w:szCs w:val="32"/>
          <w:highlight w:val="none"/>
          <w:shd w:val="clear" w:color="auto" w:fill="FFFFFF"/>
          <w14:textFill>
            <w14:solidFill>
              <w14:schemeClr w14:val="tx1"/>
            </w14:solidFill>
          </w14:textFill>
        </w:rPr>
        <w:t>前　附　表</w:t>
      </w:r>
    </w:p>
    <w:tbl>
      <w:tblPr>
        <w:tblStyle w:val="26"/>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distribute"/>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项目名称</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兰溪市财政局202</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5</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-202</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6</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年财政投资项目工程造价咨询服务</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框架协议采购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firstLine="210" w:firstLineChars="100"/>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采购内容</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通过框架协议方式，产生</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兰溪市财政局202</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5</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-202</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6</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年财政投资项目工程造价咨询服务</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入围供应商，承担服务期内</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兰溪市财政局202</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5</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-202</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6</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年财政投资项目工程造价咨询服务</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工作。</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firstLine="210" w:firstLineChars="1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numPr>
                <w:ilvl w:val="0"/>
                <w:numId w:val="6"/>
              </w:numPr>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本项目</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征集采用质量优先法，</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报价采用固定费率</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（具体</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按采购需求第五条执行）</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，响应时提供《报价承诺函》；</w:t>
            </w:r>
          </w:p>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2.不论响应结果如何，供应商均应自行承担所有与响应有关的全部费用。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firstLine="422" w:firstLineChars="200"/>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sym w:font="Wingdings" w:char="00A8"/>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A同意将非主体、非关键性的工作分包。</w:t>
            </w:r>
          </w:p>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sym w:font="Wingdings" w:char="00FE"/>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B不同意分包。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开标前答疑会或现场踏勘</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sym w:font="Wingdings" w:char="00FE"/>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A不组织。</w:t>
            </w:r>
          </w:p>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sym w:font="Wingdings" w:char="00A8"/>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响应文件</w:t>
            </w:r>
            <w:r>
              <w:rPr>
                <w:rFonts w:hint="eastAsia" w:asciiTheme="majorEastAsia" w:hAnsiTheme="majorEastAsia" w:eastAsiaTheme="majorEastAsia" w:cstheme="majorEastAsia"/>
                <w:b/>
                <w:color w:val="000000" w:themeColor="text1"/>
                <w:sz w:val="21"/>
                <w:szCs w:val="21"/>
                <w:highlight w:val="none"/>
                <w:lang w:val="zh-CN"/>
                <w14:textFill>
                  <w14:solidFill>
                    <w14:schemeClr w14:val="tx1"/>
                  </w14:solidFill>
                </w14:textFill>
              </w:rPr>
              <w:t>组成</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电子响应文件和备份响应文件均由资格文件、商务技术文件及报价文件三部分组成。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p>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lang w:val="zh-CN"/>
                <w14:textFill>
                  <w14:solidFill>
                    <w14:schemeClr w14:val="tx1"/>
                  </w14:solidFill>
                </w14:textFill>
              </w:rPr>
              <w:t>开标时间及地点</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suppressLineNumbers w:val="0"/>
              <w:spacing w:before="0" w:beforeLines="50" w:beforeAutospacing="0" w:after="0" w:afterLines="50" w:afterAutospacing="0" w:line="240" w:lineRule="auto"/>
              <w:ind w:left="0" w:right="0" w:firstLine="0"/>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时间：202</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4</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年</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12</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月</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 xml:space="preserve"> </w:t>
            </w:r>
            <w:r>
              <w:rPr>
                <w:rFonts w:hint="default" w:asciiTheme="majorEastAsia" w:hAnsiTheme="majorEastAsia" w:eastAsiaTheme="majorEastAsia" w:cstheme="majorEastAsia"/>
                <w:snapToGrid w:val="0"/>
                <w:color w:val="000000" w:themeColor="text1"/>
                <w:spacing w:val="0"/>
                <w:sz w:val="21"/>
                <w:szCs w:val="21"/>
                <w:highlight w:val="none"/>
                <w:lang w:val="en" w:eastAsia="zh-CN"/>
                <w14:textFill>
                  <w14:solidFill>
                    <w14:schemeClr w14:val="tx1"/>
                  </w14:solidFill>
                </w14:textFill>
              </w:rPr>
              <w:t>18</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 xml:space="preserve"> </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日9</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w:t>
            </w:r>
            <w:r>
              <w:rPr>
                <w:rFonts w:hint="eastAsia" w:asciiTheme="majorEastAsia" w:hAnsiTheme="majorEastAsia" w:eastAsiaTheme="majorEastAsia" w:cstheme="majorEastAsia"/>
                <w:snapToGrid w:val="0"/>
                <w:color w:val="000000" w:themeColor="text1"/>
                <w:spacing w:val="0"/>
                <w:sz w:val="21"/>
                <w:szCs w:val="21"/>
                <w:highlight w:val="none"/>
                <w:lang w:val="en-US" w:eastAsia="zh-CN"/>
                <w14:textFill>
                  <w14:solidFill>
                    <w14:schemeClr w14:val="tx1"/>
                  </w14:solidFill>
                </w14:textFill>
              </w:rPr>
              <w:t>3</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0</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（北京时间）</w:t>
            </w:r>
          </w:p>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地点：政采云平台</w:t>
            </w:r>
          </w:p>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供应商无需到开标现场，但须准时在线参加，直至评审结束。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firstLine="210" w:firstLineChars="1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sym w:font="Wingdings" w:char="00FE"/>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A不组织。</w:t>
            </w:r>
          </w:p>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sym w:font="Wingdings" w:char="00A8"/>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sym w:font="Wingdings" w:char="F0FE"/>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本项目不允许采购进口产品。</w:t>
            </w:r>
          </w:p>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征集人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sym w:font="Wingdings" w:char="00A8"/>
            </w:r>
            <w:r>
              <w:rPr>
                <w:rFonts w:hint="eastAsia" w:asciiTheme="majorEastAsia" w:hAnsiTheme="majorEastAsia" w:eastAsiaTheme="majorEastAsia" w:cstheme="majorEastAsia"/>
                <w:color w:val="000000" w:themeColor="text1"/>
                <w:sz w:val="21"/>
                <w:szCs w:val="21"/>
                <w:highlight w:val="none"/>
                <w:lang w:val="zh-CN"/>
                <w14:textFill>
                  <w14:solidFill>
                    <w14:schemeClr w14:val="tx1"/>
                  </w14:solidFill>
                </w14:textFill>
              </w:rPr>
              <w:t>A货物类</w:t>
            </w:r>
          </w:p>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sym w:font="Wingdings" w:char="00FE"/>
            </w:r>
            <w:r>
              <w:rPr>
                <w:rFonts w:hint="eastAsia" w:asciiTheme="majorEastAsia" w:hAnsiTheme="majorEastAsia" w:eastAsiaTheme="majorEastAsia" w:cstheme="majorEastAsia"/>
                <w:color w:val="000000" w:themeColor="text1"/>
                <w:sz w:val="21"/>
                <w:szCs w:val="21"/>
                <w:highlight w:val="none"/>
                <w:lang w:val="zh-CN"/>
                <w14:textFill>
                  <w14:solidFill>
                    <w14:schemeClr w14:val="tx1"/>
                  </w14:solidFill>
                </w14:textFill>
              </w:rPr>
              <w:t>B服务类。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firstLine="210" w:firstLineChars="1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11</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采购标的所属行业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标的：</w:t>
            </w:r>
            <w:r>
              <w:rPr>
                <w:rFonts w:hint="eastAsia" w:asciiTheme="majorEastAsia" w:hAnsiTheme="majorEastAsia" w:eastAsiaTheme="majorEastAsia" w:cstheme="majorEastAsia"/>
                <w:color w:val="000000" w:themeColor="text1"/>
                <w:kern w:val="0"/>
                <w:sz w:val="21"/>
                <w:szCs w:val="21"/>
                <w:highlight w:val="none"/>
                <w:u w:val="single"/>
                <w14:textFill>
                  <w14:solidFill>
                    <w14:schemeClr w14:val="tx1"/>
                  </w14:solidFill>
                </w14:textFill>
              </w:rPr>
              <w:t>工程造价咨询</w:t>
            </w: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，属于其他未列明行业；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
              <w:keepNext w:val="0"/>
              <w:keepLines w:val="0"/>
              <w:suppressLineNumbers w:val="0"/>
              <w:spacing w:before="0" w:beforeLines="50" w:beforeAutospacing="0" w:after="0" w:afterLines="50" w:afterAutospacing="0" w:line="240" w:lineRule="auto"/>
              <w:ind w:left="0" w:right="0" w:firstLine="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按《节能产品政府采购品目清单》财库〔2019〕19号执行；政府采购节能产品、环境标志产品实施品目清单管理：</w:t>
            </w:r>
            <w:r>
              <w:rPr>
                <w:rFonts w:hint="eastAsia" w:asciiTheme="majorEastAsia" w:hAnsiTheme="majorEastAsia" w:eastAsiaTheme="majorEastAsia" w:cstheme="majorEastAsia"/>
                <w:snapToGrid w:val="0"/>
                <w:color w:val="000000" w:themeColor="text1"/>
                <w:spacing w:val="0"/>
                <w:sz w:val="21"/>
                <w:szCs w:val="21"/>
                <w:highlight w:val="none"/>
                <w:lang w:eastAsia="zh-CN"/>
                <w14:textFill>
                  <w14:solidFill>
                    <w14:schemeClr w14:val="tx1"/>
                  </w14:solidFill>
                </w14:textFill>
              </w:rPr>
              <w:t>响应</w:t>
            </w:r>
            <w:r>
              <w:rPr>
                <w:rFonts w:hint="eastAsia" w:asciiTheme="majorEastAsia" w:hAnsiTheme="majorEastAsia" w:eastAsiaTheme="majorEastAsia" w:cstheme="majorEastAsia"/>
                <w:snapToGrid w:val="0"/>
                <w:color w:val="000000" w:themeColor="text1"/>
                <w:spacing w:val="0"/>
                <w:sz w:val="21"/>
                <w:szCs w:val="21"/>
                <w:highlight w:val="none"/>
                <w14:textFill>
                  <w14:solidFill>
                    <w14:schemeClr w14:val="tx1"/>
                  </w14:solidFill>
                </w14:textFill>
              </w:rPr>
              <w:t>产品符合财库〔2019〕9号《关于调整优化节能产品、环境标志产品政府采购执行机制的通知》条件。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tcBorders>
              <w:left w:val="single" w:color="000000" w:sz="8"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13</w:t>
            </w:r>
          </w:p>
        </w:tc>
        <w:tc>
          <w:tcPr>
            <w:tcW w:w="1843" w:type="dxa"/>
            <w:tcBorders>
              <w:left w:val="single" w:color="000000" w:sz="2"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评标结果公告及入围通知书</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autoSpaceDE w:val="0"/>
              <w:autoSpaceDN w:val="0"/>
              <w:snapToGrid w:val="0"/>
              <w:spacing w:before="0" w:beforeAutospacing="0" w:after="0" w:afterAutospacing="0"/>
              <w:ind w:left="0" w:right="0"/>
              <w:textAlignment w:val="bottom"/>
              <w:rPr>
                <w:rFonts w:asciiTheme="majorEastAsia" w:hAnsiTheme="majorEastAsia" w:eastAsiaTheme="majorEastAsia" w:cstheme="majorEastAsia"/>
                <w:snapToGrid w:val="0"/>
                <w:color w:val="000000" w:themeColor="text1"/>
                <w:kern w:val="28"/>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评标结束后2个工作日内，评标结果公告于浙江政府采购网(http://www.zjzfcg.gov.cn/new/)。</w:t>
            </w: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入围公告期限为1个工作日。在公告入围结果的同时，</w:t>
            </w:r>
            <w:r>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t>征集人</w:t>
            </w: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在政采云系统向入围供应商发出入围通知书。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37"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autoSpaceDE w:val="0"/>
              <w:autoSpaceDN w:val="0"/>
              <w:snapToGrid w:val="0"/>
              <w:spacing w:before="0" w:beforeAutospacing="0" w:after="0" w:afterAutospacing="0"/>
              <w:ind w:left="0" w:right="0"/>
              <w:jc w:val="center"/>
              <w:textAlignment w:val="bottom"/>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履约保证金</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sym w:font="Wingdings" w:char="00FE"/>
            </w:r>
            <w:r>
              <w:rPr>
                <w:rFonts w:hint="eastAsia" w:asciiTheme="majorEastAsia" w:hAnsiTheme="majorEastAsia" w:eastAsiaTheme="majorEastAsia" w:cstheme="majorEastAsia"/>
                <w:color w:val="000000" w:themeColor="text1"/>
                <w:sz w:val="21"/>
                <w:szCs w:val="21"/>
                <w:highlight w:val="none"/>
                <w:lang w:val="zh-CN"/>
                <w14:textFill>
                  <w14:solidFill>
                    <w14:schemeClr w14:val="tx1"/>
                  </w14:solidFill>
                </w14:textFill>
              </w:rPr>
              <w:t>A无</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w:t>
            </w:r>
          </w:p>
          <w:p>
            <w:pPr>
              <w:pStyle w:val="40"/>
              <w:keepNext w:val="0"/>
              <w:keepLines w:val="0"/>
              <w:suppressLineNumbers w:val="0"/>
              <w:snapToGrid w:val="0"/>
              <w:spacing w:before="0" w:beforeLines="50" w:beforeAutospacing="0" w:after="0" w:afterLines="50" w:afterAutospacing="0" w:line="360" w:lineRule="auto"/>
              <w:ind w:left="0" w:right="0"/>
              <w:rPr>
                <w:rFonts w:hint="default" w:asciiTheme="majorEastAsia" w:hAnsiTheme="majorEastAsia" w:eastAsiaTheme="majorEastAsia" w:cstheme="majorEastAsia"/>
                <w:color w:val="000000" w:themeColor="text1"/>
                <w:szCs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Cs w:val="21"/>
                <w:highlight w:val="none"/>
                <w14:textFill>
                  <w14:solidFill>
                    <w14:schemeClr w14:val="tx1"/>
                  </w14:solidFill>
                </w14:textFill>
              </w:rPr>
              <w:sym w:font="Wingdings" w:char="00A8"/>
            </w:r>
            <w:r>
              <w:rPr>
                <w:rFonts w:hint="eastAsia" w:asciiTheme="majorEastAsia" w:hAnsiTheme="majorEastAsia" w:eastAsiaTheme="majorEastAsia" w:cstheme="majorEastAsia"/>
                <w:color w:val="000000" w:themeColor="text1"/>
                <w:szCs w:val="21"/>
                <w:highlight w:val="none"/>
                <w:lang w:val="zh-CN"/>
                <w14:textFill>
                  <w14:solidFill>
                    <w14:schemeClr w14:val="tx1"/>
                  </w14:solidFill>
                </w14:textFill>
              </w:rPr>
              <w:t>B</w:t>
            </w:r>
            <w:r>
              <w:rPr>
                <w:rFonts w:hint="eastAsia" w:asciiTheme="majorEastAsia" w:hAnsiTheme="majorEastAsia" w:eastAsiaTheme="majorEastAsia" w:cstheme="majorEastAsia"/>
                <w:color w:val="000000" w:themeColor="text1"/>
                <w:szCs w:val="21"/>
                <w:highlight w:val="none"/>
                <w14:textFill>
                  <w14:solidFill>
                    <w14:schemeClr w14:val="tx1"/>
                  </w14:solidFill>
                </w14:textFill>
              </w:rPr>
              <w:t>银行保函或保险公司保函或融资担保公司保函。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15</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strike/>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签订合同时间</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autoSpaceDE w:val="0"/>
              <w:autoSpaceDN w:val="0"/>
              <w:snapToGrid w:val="0"/>
              <w:spacing w:before="0" w:beforeAutospacing="0" w:after="0" w:afterAutospacing="0"/>
              <w:ind w:left="0" w:right="0"/>
              <w:textAlignment w:val="bottom"/>
              <w:rPr>
                <w:rFonts w:asciiTheme="majorEastAsia" w:hAnsiTheme="majorEastAsia" w:eastAsiaTheme="majorEastAsia" w:cstheme="majorEastAsia"/>
                <w:strike/>
                <w:color w:val="000000" w:themeColor="text1"/>
                <w:kern w:val="28"/>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入围通知书发出后</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0</w:t>
            </w:r>
            <w: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t>个工作</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日内。</w:t>
            </w:r>
            <w:r>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t>本项目主管预算单位</w:t>
            </w: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与入围供应商签订政府采购框架协议。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2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16</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strike/>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合同公告</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autoSpaceDE w:val="0"/>
              <w:autoSpaceDN w:val="0"/>
              <w:snapToGrid w:val="0"/>
              <w:spacing w:before="0" w:beforeAutospacing="0" w:after="0" w:afterAutospacing="0"/>
              <w:ind w:left="0" w:right="0"/>
              <w:textAlignment w:val="bottom"/>
              <w:rPr>
                <w:rFonts w:asciiTheme="majorEastAsia" w:hAnsiTheme="majorEastAsia" w:eastAsiaTheme="majorEastAsia" w:cstheme="majorEastAsia"/>
                <w:strike/>
                <w:color w:val="000000" w:themeColor="text1"/>
                <w:kern w:val="28"/>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本项目政府采购合同将于签订之日起2个工作日内发布于浙江政府采购网，但政府采购合同中涉及国家秘密、商业秘密的内容除外。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17</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本项目预算金额</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pPr>
            <w:r>
              <w:rPr>
                <w:rFonts w:hint="eastAsia" w:ascii="宋体" w:hAnsi="宋体" w:cs="仿宋"/>
                <w:color w:val="auto"/>
                <w:sz w:val="24"/>
                <w:szCs w:val="28"/>
                <w:highlight w:val="none"/>
                <w:u w:val="none"/>
                <w:lang w:val="en-US" w:eastAsia="zh-CN"/>
              </w:rPr>
              <w:t>200</w:t>
            </w:r>
            <w:r>
              <w:rPr>
                <w:rFonts w:hint="eastAsia" w:ascii="宋体" w:hAnsi="宋体" w:cs="仿宋"/>
                <w:color w:val="auto"/>
                <w:sz w:val="24"/>
                <w:szCs w:val="28"/>
                <w:highlight w:val="none"/>
                <w:u w:val="none"/>
              </w:rPr>
              <w:t>万</w:t>
            </w:r>
            <w:r>
              <w:rPr>
                <w:rFonts w:hint="eastAsia" w:ascii="宋体" w:hAnsi="宋体" w:cs="仿宋"/>
                <w:color w:val="auto"/>
                <w:sz w:val="24"/>
                <w:szCs w:val="28"/>
                <w:highlight w:val="none"/>
                <w:u w:val="none"/>
                <w:lang w:eastAsia="zh-CN"/>
              </w:rPr>
              <w:t>元</w:t>
            </w:r>
            <w:r>
              <w:rPr>
                <w:rFonts w:hint="eastAsia" w:ascii="宋体" w:hAnsi="宋体" w:cs="仿宋"/>
                <w:color w:val="auto"/>
                <w:sz w:val="24"/>
                <w:szCs w:val="28"/>
                <w:highlight w:val="none"/>
                <w:u w:val="none"/>
              </w:rPr>
              <w:t>/ 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2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18</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autoSpaceDE w:val="0"/>
              <w:autoSpaceDN w:val="0"/>
              <w:snapToGrid w:val="0"/>
              <w:spacing w:before="0" w:beforeAutospacing="0" w:after="0" w:afterAutospacing="0"/>
              <w:ind w:left="0" w:right="0"/>
              <w:jc w:val="center"/>
              <w:textAlignment w:val="bottom"/>
              <w:rPr>
                <w:rFonts w:asciiTheme="majorEastAsia" w:hAnsiTheme="majorEastAsia" w:eastAsiaTheme="majorEastAsia" w:cstheme="majorEastAsia"/>
                <w:b/>
                <w:strike/>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付款条件</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widowControl/>
              <w:suppressLineNumbers w:val="0"/>
              <w:shd w:val="clear" w:color="auto" w:fill="auto"/>
              <w:snapToGrid w:val="0"/>
              <w:spacing w:before="0" w:beforeAutospacing="0" w:after="0" w:afterAutospacing="0" w:line="360" w:lineRule="auto"/>
              <w:ind w:left="0" w:right="0"/>
              <w:rPr>
                <w:rFonts w:asciiTheme="majorEastAsia" w:hAnsiTheme="majorEastAsia" w:eastAsiaTheme="majorEastAsia" w:cstheme="majorEastAsia"/>
                <w:strike/>
                <w:color w:val="000000" w:themeColor="text1"/>
                <w:kern w:val="28"/>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项目审核完毕提交审价结论，经</w:t>
            </w:r>
            <w: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t>财政局</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确认后，由相关单位支付审核费。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19</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strike/>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响应文件有效期</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autoSpaceDE w:val="0"/>
              <w:autoSpaceDN w:val="0"/>
              <w:snapToGrid w:val="0"/>
              <w:spacing w:before="0" w:beforeAutospacing="0" w:after="0" w:afterAutospacing="0"/>
              <w:ind w:left="0" w:right="0"/>
              <w:textAlignment w:val="bottom"/>
              <w:rPr>
                <w:rFonts w:asciiTheme="majorEastAsia" w:hAnsiTheme="majorEastAsia" w:eastAsiaTheme="majorEastAsia" w:cstheme="majorEastAsia"/>
                <w:strike/>
                <w:color w:val="000000" w:themeColor="text1"/>
                <w:kern w:val="28"/>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u w:val="single"/>
                <w14:textFill>
                  <w14:solidFill>
                    <w14:schemeClr w14:val="tx1"/>
                  </w14:solidFill>
                </w14:textFill>
              </w:rPr>
              <w:t>90</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20</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asciiTheme="majorEastAsia" w:hAnsiTheme="majorEastAsia" w:eastAsiaTheme="majorEastAsia" w:cstheme="majorEastAsia"/>
                <w:b/>
                <w:strike/>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1"/>
                <w:szCs w:val="21"/>
                <w:highlight w:val="none"/>
                <w14:textFill>
                  <w14:solidFill>
                    <w14:schemeClr w14:val="tx1"/>
                  </w14:solidFill>
                </w14:textFill>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autoSpaceDE w:val="0"/>
              <w:autoSpaceDN w:val="0"/>
              <w:snapToGrid w:val="0"/>
              <w:spacing w:before="0" w:beforeAutospacing="0" w:after="0" w:afterAutospacing="0"/>
              <w:ind w:left="0" w:right="0"/>
              <w:textAlignment w:val="bottom"/>
              <w:rPr>
                <w:rFonts w:asciiTheme="majorEastAsia" w:hAnsiTheme="majorEastAsia" w:eastAsiaTheme="majorEastAsia" w:cstheme="majorEastAsia"/>
                <w:strike/>
                <w:color w:val="000000" w:themeColor="text1"/>
                <w:kern w:val="28"/>
                <w:sz w:val="21"/>
                <w:szCs w:val="21"/>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kern w:val="0"/>
                <w:sz w:val="21"/>
                <w:szCs w:val="21"/>
                <w:highlight w:val="none"/>
                <w14:textFill>
                  <w14:solidFill>
                    <w14:schemeClr w14:val="tx1"/>
                  </w14:solidFill>
                </w14:textFill>
              </w:rPr>
              <w:t>本征集文件的解释权属于征集人</w:t>
            </w:r>
          </w:p>
        </w:tc>
      </w:tr>
    </w:tbl>
    <w:p>
      <w:pPr>
        <w:pStyle w:val="6"/>
        <w:jc w:val="center"/>
        <w:rPr>
          <w:rFonts w:asciiTheme="majorEastAsia" w:hAnsiTheme="majorEastAsia" w:eastAsiaTheme="majorEastAsia" w:cstheme="majorEastAsia"/>
          <w:color w:val="000000" w:themeColor="text1"/>
          <w:sz w:val="28"/>
          <w:szCs w:val="36"/>
          <w:highlight w:val="none"/>
          <w14:textFill>
            <w14:solidFill>
              <w14:schemeClr w14:val="tx1"/>
            </w14:solidFill>
          </w14:textFill>
        </w:rPr>
      </w:pPr>
      <w:bookmarkStart w:id="36" w:name="_Toc439666965"/>
      <w:bookmarkStart w:id="37" w:name="_Toc384730989"/>
      <w:bookmarkStart w:id="38" w:name="_Toc380429945"/>
      <w:r>
        <w:rPr>
          <w:rFonts w:hint="eastAsia" w:asciiTheme="majorEastAsia" w:hAnsiTheme="majorEastAsia" w:eastAsiaTheme="majorEastAsia" w:cstheme="majorEastAsia"/>
          <w:color w:val="000000" w:themeColor="text1"/>
          <w:sz w:val="28"/>
          <w:szCs w:val="36"/>
          <w:highlight w:val="none"/>
          <w14:textFill>
            <w14:solidFill>
              <w14:schemeClr w14:val="tx1"/>
            </w14:solidFill>
          </w14:textFill>
        </w:rPr>
        <w:t>一、总则</w:t>
      </w:r>
    </w:p>
    <w:p>
      <w:pPr>
        <w:snapToGrid w:val="0"/>
        <w:spacing w:line="360" w:lineRule="auto"/>
        <w:ind w:firstLine="472" w:firstLineChars="196"/>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39" w:name="_Toc397670948"/>
      <w:bookmarkStart w:id="40" w:name="_Toc397670919"/>
      <w:r>
        <w:rPr>
          <w:rFonts w:hint="eastAsia" w:asciiTheme="majorEastAsia" w:hAnsiTheme="majorEastAsia" w:eastAsiaTheme="majorEastAsia" w:cstheme="majorEastAsia"/>
          <w:b/>
          <w:color w:val="000000" w:themeColor="text1"/>
          <w:highlight w:val="none"/>
          <w14:textFill>
            <w14:solidFill>
              <w14:schemeClr w14:val="tx1"/>
            </w14:solidFill>
          </w14:textFill>
        </w:rPr>
        <w:t>（一）适用范围</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本征集文件适用于该项目的征集、响应、评标、定标、考核、合同履约、付款等行为（法律、法规另有规定的，从其规定）。</w:t>
      </w:r>
    </w:p>
    <w:p>
      <w:pPr>
        <w:snapToGrid w:val="0"/>
        <w:spacing w:line="360" w:lineRule="auto"/>
        <w:ind w:firstLine="354" w:firstLineChars="147"/>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（二）定义</w:t>
      </w:r>
    </w:p>
    <w:p>
      <w:pPr>
        <w:snapToGrid w:val="0"/>
        <w:spacing w:line="360" w:lineRule="auto"/>
        <w:ind w:firstLine="480" w:firstLineChars="200"/>
        <w:jc w:val="left"/>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1.“征集人”系指征集公告中载明的</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集中采购机构及主管预算单位。</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.“供应商”系指向征集人提交响应文件的法人、其他组织或者自然人。</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highlight w:val="none"/>
          <w14:textFill>
            <w14:solidFill>
              <w14:schemeClr w14:val="tx1"/>
            </w14:solidFill>
          </w14:textFill>
        </w:rPr>
        <w:t>“负责人”系指法人企业的法定负责人，或其他组织为法律、行政法规规定代表单位行使职权的主要负责人，或自然人本人。</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highlight w:val="none"/>
          <w14:textFill>
            <w14:solidFill>
              <w14:schemeClr w14:val="tx1"/>
            </w14:solidFill>
          </w14:textFill>
        </w:rPr>
        <w:t>.“产品”系指供应商按征集文件规定，须向征集人提供的一切设备、保险、税金、备品备件、工具、手册及其他有关技术资料和材料。</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highlight w:val="none"/>
          <w14:textFill>
            <w14:solidFill>
              <w14:schemeClr w14:val="tx1"/>
            </w14:solidFill>
          </w14:textFill>
        </w:rPr>
        <w:t>.“服务”系指征集文件规定供应商须承担的技术协助、校准、培训、技术指导以及其他类似的义务。</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6</w:t>
      </w:r>
      <w:r>
        <w:rPr>
          <w:rFonts w:hint="eastAsia" w:asciiTheme="majorEastAsia" w:hAnsiTheme="majorEastAsia" w:eastAsiaTheme="majorEastAsia" w:cstheme="majorEastAsia"/>
          <w:color w:val="000000" w:themeColor="text1"/>
          <w:highlight w:val="none"/>
          <w14:textFill>
            <w14:solidFill>
              <w14:schemeClr w14:val="tx1"/>
            </w14:solidFill>
          </w14:textFill>
        </w:rPr>
        <w:t>.“项目”系指供应商按征集文件规定向征集人提供的产品和服务。</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7</w:t>
      </w:r>
      <w:r>
        <w:rPr>
          <w:rFonts w:hint="eastAsia" w:asciiTheme="majorEastAsia" w:hAnsiTheme="majorEastAsia" w:eastAsiaTheme="majorEastAsia" w:cstheme="majorEastAsia"/>
          <w:color w:val="000000" w:themeColor="text1"/>
          <w:highlight w:val="none"/>
          <w14:textFill>
            <w14:solidFill>
              <w14:schemeClr w14:val="tx1"/>
            </w14:solidFill>
          </w14:textFill>
        </w:rPr>
        <w:t>.“书面形式”包括信函、传真、电报等。</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8</w:t>
      </w:r>
      <w:r>
        <w:rPr>
          <w:rFonts w:hint="eastAsia" w:asciiTheme="majorEastAsia" w:hAnsiTheme="majorEastAsia" w:eastAsiaTheme="majorEastAsia" w:cstheme="majorEastAsia"/>
          <w:color w:val="000000" w:themeColor="text1"/>
          <w:highlight w:val="none"/>
          <w14:textFill>
            <w14:solidFill>
              <w14:schemeClr w14:val="tx1"/>
            </w14:solidFill>
          </w14:textFill>
        </w:rPr>
        <w:t>.“电子签名”系指数据电文中以电子形式所含、所附用于识别签名人身份并表明签名人认可其中内容的数据；“公章”系指单位法定名称章。</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9</w:t>
      </w:r>
      <w:r>
        <w:rPr>
          <w:rFonts w:hint="eastAsia" w:asciiTheme="majorEastAsia" w:hAnsiTheme="majorEastAsia" w:eastAsiaTheme="majorEastAsia" w:cstheme="majorEastAsia"/>
          <w:color w:val="000000" w:themeColor="text1"/>
          <w:highlight w:val="none"/>
          <w14:textFill>
            <w14:solidFill>
              <w14:schemeClr w14:val="tx1"/>
            </w14:solidFill>
          </w14:textFill>
        </w:rPr>
        <w:t>.“电子交易平台”是指本项目政府采购活动所依托的政府采购云平台（https://www.zcygov.cn/）。</w:t>
      </w:r>
    </w:p>
    <w:p>
      <w:pPr>
        <w:snapToGrid w:val="0"/>
        <w:spacing w:line="360" w:lineRule="auto"/>
        <w:ind w:left="240" w:leftChars="100" w:firstLine="240" w:firstLineChars="1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0</w:t>
      </w:r>
      <w:r>
        <w:rPr>
          <w:rFonts w:hint="eastAsia" w:asciiTheme="majorEastAsia" w:hAnsiTheme="majorEastAsia" w:eastAsiaTheme="majorEastAsia" w:cstheme="majorEastAsia"/>
          <w:color w:val="000000" w:themeColor="text1"/>
          <w:highlight w:val="none"/>
          <w14:textFill>
            <w14:solidFill>
              <w14:schemeClr w14:val="tx1"/>
            </w14:solidFill>
          </w14:textFill>
        </w:rPr>
        <w:t>.“▲”系指实质性要求条款，不满足实行性要求条款的响应文件无效。“</w:t>
      </w: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sym w:font="Wingdings" w:char="00FE"/>
      </w:r>
      <w:r>
        <w:rPr>
          <w:rFonts w:hint="eastAsia" w:asciiTheme="majorEastAsia" w:hAnsiTheme="majorEastAsia" w:eastAsiaTheme="majorEastAsia" w:cstheme="majorEastAsia"/>
          <w:color w:val="000000" w:themeColor="text1"/>
          <w:highlight w:val="none"/>
          <w14:textFill>
            <w14:solidFill>
              <w14:schemeClr w14:val="tx1"/>
            </w14:solidFill>
          </w14:textFill>
        </w:rPr>
        <w:t>”系指适用本项目的要求，“</w:t>
      </w:r>
      <w:r>
        <w:rPr>
          <w:rFonts w:hint="eastAsia" w:asciiTheme="majorEastAsia" w:hAnsiTheme="majorEastAsia" w:eastAsiaTheme="majorEastAsia" w:cstheme="majorEastAsia"/>
          <w:color w:val="000000" w:themeColor="text1"/>
          <w:highlight w:val="none"/>
          <w14:textFill>
            <w14:solidFill>
              <w14:schemeClr w14:val="tx1"/>
            </w14:solidFill>
          </w14:textFill>
        </w:rPr>
        <w:sym w:font="Wingdings" w:char="00A8"/>
      </w:r>
      <w:r>
        <w:rPr>
          <w:rFonts w:hint="eastAsia" w:asciiTheme="majorEastAsia" w:hAnsiTheme="majorEastAsia" w:eastAsiaTheme="majorEastAsia" w:cstheme="majorEastAsia"/>
          <w:color w:val="000000" w:themeColor="text1"/>
          <w:highlight w:val="none"/>
          <w14:textFill>
            <w14:solidFill>
              <w14:schemeClr w14:val="tx1"/>
            </w14:solidFill>
          </w14:textFill>
        </w:rPr>
        <w:t>” 系指不适用本项目的要求。</w:t>
      </w:r>
    </w:p>
    <w:bookmarkEnd w:id="39"/>
    <w:bookmarkEnd w:id="40"/>
    <w:p>
      <w:pPr>
        <w:snapToGrid w:val="0"/>
        <w:spacing w:line="360" w:lineRule="auto"/>
        <w:ind w:firstLine="472" w:firstLineChars="196"/>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41" w:name="_Toc397670920"/>
      <w:bookmarkStart w:id="42" w:name="_Toc397670949"/>
      <w:r>
        <w:rPr>
          <w:rFonts w:hint="eastAsia" w:asciiTheme="majorEastAsia" w:hAnsiTheme="majorEastAsia" w:eastAsiaTheme="majorEastAsia" w:cstheme="majorEastAsia"/>
          <w:b/>
          <w:color w:val="000000" w:themeColor="text1"/>
          <w:highlight w:val="none"/>
          <w14:textFill>
            <w14:solidFill>
              <w14:schemeClr w14:val="tx1"/>
            </w14:solidFill>
          </w14:textFill>
        </w:rPr>
        <w:t>（三）采购方式</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采用框架协议方式进行。</w:t>
      </w:r>
    </w:p>
    <w:bookmarkEnd w:id="41"/>
    <w:bookmarkEnd w:id="42"/>
    <w:p>
      <w:pPr>
        <w:snapToGrid w:val="0"/>
        <w:spacing w:beforeLines="50" w:line="360" w:lineRule="auto"/>
        <w:ind w:firstLine="472" w:firstLineChars="196"/>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43" w:name="_Toc397670950"/>
      <w:bookmarkStart w:id="44" w:name="_Toc397670921"/>
      <w:r>
        <w:rPr>
          <w:rFonts w:hint="eastAsia" w:asciiTheme="majorEastAsia" w:hAnsiTheme="majorEastAsia" w:eastAsiaTheme="majorEastAsia" w:cstheme="majorEastAsia"/>
          <w:b/>
          <w:color w:val="000000" w:themeColor="text1"/>
          <w:highlight w:val="none"/>
          <w14:textFill>
            <w14:solidFill>
              <w14:schemeClr w14:val="tx1"/>
            </w14:solidFill>
          </w14:textFill>
        </w:rPr>
        <w:t>（四）响应费用</w:t>
      </w:r>
      <w:bookmarkEnd w:id="43"/>
      <w:bookmarkEnd w:id="44"/>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不论响应结果如何，供应商均应自行承担所有与响应有关的全部费用（征集文件有</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相关</w:t>
      </w:r>
      <w:r>
        <w:rPr>
          <w:rFonts w:hint="eastAsia" w:asciiTheme="majorEastAsia" w:hAnsiTheme="majorEastAsia" w:eastAsiaTheme="majorEastAsia" w:cstheme="majorEastAsia"/>
          <w:color w:val="000000" w:themeColor="text1"/>
          <w:highlight w:val="none"/>
          <w14:textFill>
            <w14:solidFill>
              <w14:schemeClr w14:val="tx1"/>
            </w14:solidFill>
          </w14:textFill>
        </w:rPr>
        <w:t>规定除外）。</w:t>
      </w:r>
    </w:p>
    <w:p>
      <w:pPr>
        <w:snapToGrid w:val="0"/>
        <w:spacing w:beforeLines="50" w:line="360" w:lineRule="auto"/>
        <w:ind w:firstLine="472" w:firstLineChars="196"/>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（五）相关政府采购政策</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1.本项目原则上采购本国生产的货物、工程和服务。</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2.支持绿色发展</w:t>
      </w:r>
    </w:p>
    <w:p>
      <w:pPr>
        <w:snapToGrid w:val="0"/>
        <w:spacing w:line="360" w:lineRule="auto"/>
        <w:ind w:firstLine="480" w:firstLineChars="200"/>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2.1征集人拟采购的产品属于品目清单范围的，征集人将依据国家确定的认证机构出具的、处于有效期之内的节能产品、环境标志产品认证证书，对获得证书的产品实施政府优先采购或强制采购。供应商须按征集文件要求提供相关产品认证证书。▲</w:t>
      </w:r>
      <w:r>
        <w:rPr>
          <w:rFonts w:hint="eastAsia" w:asciiTheme="majorEastAsia" w:hAnsiTheme="majorEastAsia" w:eastAsiaTheme="majorEastAsia" w:cstheme="majorEastAsia"/>
          <w:b/>
          <w:color w:val="000000" w:themeColor="text1"/>
          <w:highlight w:val="none"/>
          <w14:textFill>
            <w14:solidFill>
              <w14:schemeClr w14:val="tx1"/>
            </w14:solidFill>
          </w14:textFill>
        </w:rPr>
        <w:t>征集人拟采购的产品属于政府强制采购的节能产品品目清单范围的，供应商未按征集文件要求提供国家确定的认证机构出具的、处于有效期之内的节能产品认证证书的，响应无效。</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 修缮、装修类项目采购建材的，征集人应将绿色建筑和绿色建材性能、指标等作为实质性条件纳入征集文件和合同。</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napToGrid w:val="0"/>
        <w:spacing w:line="360" w:lineRule="auto"/>
        <w:ind w:firstLine="472" w:firstLineChars="196"/>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（六）特别说明：</w:t>
      </w:r>
    </w:p>
    <w:p>
      <w:pPr>
        <w:pStyle w:val="13"/>
        <w:snapToGrid w:val="0"/>
        <w:spacing w:before="120" w:after="120" w:line="360" w:lineRule="auto"/>
        <w:ind w:left="2" w:leftChars="1"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1.供应商响应所使用的资格、信誉、荣誉、业绩与企业认证必须为本法人所拥有。供应商响应所使用的采购项目实施人员必须为本法人员工（或必须为本法人或控股供应商正式员工）。</w:t>
      </w:r>
    </w:p>
    <w:p>
      <w:pPr>
        <w:pStyle w:val="13"/>
        <w:snapToGrid w:val="0"/>
        <w:spacing w:before="120" w:after="120" w:line="360" w:lineRule="auto"/>
        <w:ind w:left="2" w:leftChars="1"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2.供应商应仔细阅读征集文件的所有内容，按照征集文件的要求提交响应文件，并对所提供的全部资料的真实性承担法律责任。</w:t>
      </w:r>
    </w:p>
    <w:p>
      <w:pPr>
        <w:pStyle w:val="13"/>
        <w:snapToGrid w:val="0"/>
        <w:spacing w:before="120" w:after="120" w:line="360" w:lineRule="auto"/>
        <w:ind w:left="2" w:leftChars="1"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供应商在征集活动中提供任何虚假材料，其响应无效，并报监管部门查处；入围后发现的，入围供应商须依照《中华人民共和国消费者权益保护法》第49条之规定双倍赔偿征集人，且民事赔偿并不免除违法供应商的行政与刑事责任。</w:t>
      </w:r>
    </w:p>
    <w:p>
      <w:pPr>
        <w:spacing w:line="360" w:lineRule="auto"/>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 xml:space="preserve">   （七）质疑和投诉</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45" w:name="_Toc532218224"/>
      <w:bookmarkStart w:id="46" w:name="_Toc406402943"/>
      <w:bookmarkStart w:id="47" w:name="_Toc406402987"/>
      <w:r>
        <w:rPr>
          <w:rFonts w:hint="eastAsia" w:asciiTheme="majorEastAsia" w:hAnsiTheme="majorEastAsia" w:eastAsiaTheme="majorEastAsia" w:cstheme="majorEastAsia"/>
          <w:color w:val="000000" w:themeColor="text1"/>
          <w:highlight w:val="none"/>
          <w14:textFill>
            <w14:solidFill>
              <w14:schemeClr w14:val="tx1"/>
            </w14:solidFill>
          </w14:textFill>
        </w:rPr>
        <w:t>1.质疑和投诉应当满足《政府采购质疑和投诉办法》（中华人民共和国财政部令第94号）要求。</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2.采购文件质疑：供应商可在获取采购文件之日或者采购文件公告期限届满之日（公告期限届满后获取采购文件的，以公告期限届满之日为准）起7个工作日内发起；采购过程质疑：</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供应商可在</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截止时间后，采购结果公告发布</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之日</w:t>
      </w:r>
      <w:r>
        <w:rPr>
          <w:rFonts w:hint="eastAsia" w:asciiTheme="majorEastAsia" w:hAnsiTheme="majorEastAsia" w:eastAsiaTheme="majorEastAsia" w:cstheme="majorEastAsia"/>
          <w:color w:val="000000" w:themeColor="text1"/>
          <w:highlight w:val="none"/>
          <w14:textFill>
            <w14:solidFill>
              <w14:schemeClr w14:val="tx1"/>
            </w14:solidFill>
          </w14:textFill>
        </w:rPr>
        <w:t>起7个工作日内发起；采购结果质疑：</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供应商可在采购结果公告期限届满之日起7个工作日内发起。</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3.供应商须在法定质疑期内一次性提出针对同一采购程序环节的质疑。</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供应商须按上述规定，在政采云系统里提出质疑。询问路径为：政采云-项目采购-询问质疑投诉-询问列表；质疑路径为：政采云-项目采购-询问质疑投诉-质疑列表。质疑供应商对在线质疑答复不满意的，可在线提起投诉，路径为：浙江政府服务网-政府采购投诉处理-在线办理。</w:t>
      </w:r>
    </w:p>
    <w:p>
      <w:pPr>
        <w:pStyle w:val="13"/>
        <w:snapToGrid w:val="0"/>
        <w:spacing w:before="120" w:after="120" w:line="360" w:lineRule="auto"/>
        <w:ind w:firstLine="482" w:firstLineChars="200"/>
        <w:jc w:val="both"/>
        <w:outlineLvl w:val="1"/>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w:t>
      </w:r>
      <w:bookmarkEnd w:id="45"/>
      <w:bookmarkEnd w:id="46"/>
      <w:bookmarkEnd w:id="47"/>
      <w:r>
        <w:rPr>
          <w:rFonts w:hint="eastAsia" w:asciiTheme="majorEastAsia" w:hAnsiTheme="majorEastAsia" w:eastAsiaTheme="majorEastAsia" w:cstheme="majorEastAsia"/>
          <w:b/>
          <w:color w:val="000000" w:themeColor="text1"/>
          <w:highlight w:val="none"/>
          <w14:textFill>
            <w14:solidFill>
              <w14:schemeClr w14:val="tx1"/>
            </w14:solidFill>
          </w14:textFill>
        </w:rPr>
        <w:t>征集文件</w:t>
      </w:r>
    </w:p>
    <w:p>
      <w:pPr>
        <w:snapToGrid w:val="0"/>
        <w:spacing w:line="360" w:lineRule="auto"/>
        <w:ind w:firstLine="472" w:firstLineChars="196"/>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（一）征集文件的构成。</w:t>
      </w:r>
    </w:p>
    <w:p>
      <w:pPr>
        <w:snapToGrid w:val="0"/>
        <w:spacing w:line="360" w:lineRule="auto"/>
        <w:ind w:firstLine="472" w:firstLineChars="196"/>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本征集文件由以下部分组成：</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1.框架协议采购公告</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2.框架协议采购需求</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3.供应商须知</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4.评标办法及标准</w:t>
      </w:r>
    </w:p>
    <w:p>
      <w:pPr>
        <w:snapToGrid w:val="0"/>
        <w:spacing w:line="360" w:lineRule="auto"/>
        <w:ind w:firstLine="480" w:firstLineChars="200"/>
        <w:jc w:val="left"/>
        <w:rPr>
          <w:rFonts w:hint="default" w:asciiTheme="majorEastAsia" w:hAnsiTheme="majorEastAsia" w:eastAsiaTheme="majorEastAsia" w:cstheme="majorEastAsia"/>
          <w:color w:val="000000" w:themeColor="text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5.框架协议主要条款</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6</w:t>
      </w:r>
      <w:r>
        <w:rPr>
          <w:rFonts w:hint="eastAsia" w:asciiTheme="majorEastAsia" w:hAnsiTheme="majorEastAsia" w:eastAsiaTheme="majorEastAsia" w:cstheme="majorEastAsia"/>
          <w:color w:val="000000" w:themeColor="text1"/>
          <w:highlight w:val="none"/>
          <w14:textFill>
            <w14:solidFill>
              <w14:schemeClr w14:val="tx1"/>
            </w14:solidFill>
          </w14:textFill>
        </w:rPr>
        <w:t>.合同主要条款</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7</w:t>
      </w:r>
      <w:r>
        <w:rPr>
          <w:rFonts w:hint="eastAsia" w:asciiTheme="majorEastAsia" w:hAnsiTheme="majorEastAsia" w:eastAsiaTheme="majorEastAsia" w:cstheme="majorEastAsia"/>
          <w:color w:val="000000" w:themeColor="text1"/>
          <w:highlight w:val="none"/>
          <w14:textFill>
            <w14:solidFill>
              <w14:schemeClr w14:val="tx1"/>
            </w14:solidFill>
          </w14:textFill>
        </w:rPr>
        <w:t>.响应文件格式</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8</w:t>
      </w:r>
      <w:r>
        <w:rPr>
          <w:rFonts w:hint="eastAsia" w:asciiTheme="majorEastAsia" w:hAnsiTheme="majorEastAsia" w:eastAsiaTheme="majorEastAsia" w:cstheme="majorEastAsia"/>
          <w:color w:val="000000" w:themeColor="text1"/>
          <w:highlight w:val="none"/>
          <w14:textFill>
            <w14:solidFill>
              <w14:schemeClr w14:val="tx1"/>
            </w14:solidFill>
          </w14:textFill>
        </w:rPr>
        <w:t>.本项目征集文件的澄清、答复、修改、补充的内容</w:t>
      </w:r>
    </w:p>
    <w:p>
      <w:pPr>
        <w:snapToGrid w:val="0"/>
        <w:spacing w:line="360" w:lineRule="auto"/>
        <w:ind w:firstLine="472" w:firstLineChars="196"/>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（二）供应商的风险</w:t>
      </w:r>
    </w:p>
    <w:p>
      <w:pPr>
        <w:pStyle w:val="23"/>
        <w:spacing w:line="360"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供应商没有按照征集文件要求提供全部资料，或者供应商没有对征集文件在各方面做出实质性响应是供应商的风险，并可能导致其响应为无效响应。</w:t>
      </w:r>
    </w:p>
    <w:p>
      <w:pPr>
        <w:pStyle w:val="33"/>
        <w:snapToGrid w:val="0"/>
        <w:spacing w:before="0"/>
        <w:ind w:firstLine="48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（三）征集文件的澄清与修改</w:t>
      </w:r>
    </w:p>
    <w:p>
      <w:pPr>
        <w:pStyle w:val="33"/>
        <w:snapToGrid w:val="0"/>
        <w:spacing w:before="0"/>
        <w:ind w:firstLine="48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供应商应认真阅读本征集文件，发现其中有误或有不合理要求的，可要求征集人澄清。征集人对已发出的征集文件进行必要澄清或者修改的，应当在征集文件要求提交响应文件截止十五日前，在财政部门指定的政府采购信息发布媒体上发布更正公告，并以书面形式通知所有征集文件获取人。</w:t>
      </w:r>
    </w:p>
    <w:p>
      <w:pPr>
        <w:pStyle w:val="13"/>
        <w:snapToGrid w:val="0"/>
        <w:spacing w:before="120"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2.征集文件澄清或者修改的内容为征集文件的组成部分。当征集文件与澄清或者修改就同一内容的表述不一致时，以最后发出的书面文件为准。</w:t>
      </w:r>
    </w:p>
    <w:p>
      <w:pPr>
        <w:pStyle w:val="13"/>
        <w:snapToGrid w:val="0"/>
        <w:spacing w:before="120"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3.对征集文件的澄清、答复、修改或补充都应该通过</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征集人</w:t>
      </w:r>
      <w:r>
        <w:rPr>
          <w:rFonts w:hint="eastAsia" w:asciiTheme="majorEastAsia" w:hAnsiTheme="majorEastAsia" w:eastAsiaTheme="majorEastAsia" w:cstheme="majorEastAsia"/>
          <w:color w:val="000000" w:themeColor="text1"/>
          <w:highlight w:val="none"/>
          <w14:textFill>
            <w14:solidFill>
              <w14:schemeClr w14:val="tx1"/>
            </w14:solidFill>
          </w14:textFill>
        </w:rPr>
        <w:t>以法定形式发布，征集人非通过本机构，不得擅自澄清、答复、修改或补充征集文件。</w:t>
      </w:r>
    </w:p>
    <w:p>
      <w:pPr>
        <w:pStyle w:val="13"/>
        <w:snapToGrid w:val="0"/>
        <w:spacing w:before="120" w:after="120" w:line="360" w:lineRule="auto"/>
        <w:ind w:firstLine="472" w:firstLineChars="196"/>
        <w:jc w:val="center"/>
        <w:outlineLvl w:val="1"/>
        <w:rPr>
          <w:rFonts w:asciiTheme="majorEastAsia" w:hAnsiTheme="majorEastAsia" w:eastAsiaTheme="majorEastAsia" w:cstheme="majorEastAsia"/>
          <w:b/>
          <w:bCs/>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2"/>
          <w:highlight w:val="none"/>
          <w14:textFill>
            <w14:solidFill>
              <w14:schemeClr w14:val="tx1"/>
            </w14:solidFill>
          </w14:textFill>
        </w:rPr>
        <w:t>三、响应文件的编制</w:t>
      </w:r>
    </w:p>
    <w:p>
      <w:pPr>
        <w:pStyle w:val="13"/>
        <w:snapToGrid w:val="0"/>
        <w:spacing w:before="120" w:after="12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bookmarkStart w:id="48" w:name="_Toc21392"/>
      <w:bookmarkStart w:id="49" w:name="_Toc14074"/>
      <w:bookmarkStart w:id="50" w:name="_Toc406402944"/>
      <w:bookmarkStart w:id="51" w:name="_Toc406402988"/>
      <w:bookmarkStart w:id="52" w:name="_Toc532218225"/>
      <w:r>
        <w:rPr>
          <w:rFonts w:hint="eastAsia" w:asciiTheme="majorEastAsia" w:hAnsiTheme="majorEastAsia" w:eastAsiaTheme="majorEastAsia" w:cstheme="majorEastAsia"/>
          <w:b/>
          <w:color w:val="000000" w:themeColor="text1"/>
          <w:highlight w:val="none"/>
          <w14:textFill>
            <w14:solidFill>
              <w14:schemeClr w14:val="tx1"/>
            </w14:solidFill>
          </w14:textFill>
        </w:rPr>
        <w:t>本项目所涉响应文件格式请详见第六章，未给出的格式请自拟。商务、资信及其他及技术文件中不得出现报价，否则响应文件将被视为无效。</w:t>
      </w:r>
      <w:r>
        <w:rPr>
          <w:rFonts w:hint="eastAsia" w:asciiTheme="majorEastAsia" w:hAnsiTheme="majorEastAsia" w:eastAsiaTheme="majorEastAsia" w:cstheme="majorEastAsia"/>
          <w:b/>
          <w:color w:val="000000" w:themeColor="text1"/>
          <w:highlight w:val="none"/>
          <w14:textFill>
            <w14:solidFill>
              <w14:schemeClr w14:val="tx1"/>
            </w14:solidFill>
          </w14:textFill>
        </w:rPr>
        <w:br w:type="textWrapping"/>
      </w:r>
      <w:r>
        <w:rPr>
          <w:rFonts w:hint="eastAsia" w:asciiTheme="majorEastAsia" w:hAnsiTheme="majorEastAsia" w:eastAsiaTheme="majorEastAsia" w:cstheme="majorEastAsia"/>
          <w:b/>
          <w:color w:val="000000" w:themeColor="text1"/>
          <w:highlight w:val="none"/>
          <w14:textFill>
            <w14:solidFill>
              <w14:schemeClr w14:val="tx1"/>
            </w14:solidFill>
          </w14:textFill>
        </w:rPr>
        <w:t xml:space="preserve">    注：电子响应文件按政采云平台供应商电子招</w:t>
      </w:r>
      <w:r>
        <w:rPr>
          <w:rFonts w:hint="eastAsia" w:asciiTheme="majorEastAsia" w:hAnsiTheme="majorEastAsia" w:eastAsiaTheme="majorEastAsia" w:cstheme="majorEastAsia"/>
          <w:b/>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b/>
          <w:color w:val="000000" w:themeColor="text1"/>
          <w:highlight w:val="none"/>
          <w14:textFill>
            <w14:solidFill>
              <w14:schemeClr w14:val="tx1"/>
            </w14:solidFill>
          </w14:textFill>
        </w:rPr>
        <w:t>操作指南及本征集文件规定的格式和顺序编制电子响应文件并进行关联。建议根据征集文件合格供应商的资格要求、响应文件的编制及评分标准等内容一一关联。</w:t>
      </w:r>
    </w:p>
    <w:p>
      <w:pPr>
        <w:pStyle w:val="13"/>
        <w:snapToGrid w:val="0"/>
        <w:spacing w:before="120" w:after="12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路径：浙江省“项目采购电子交易系统/不见面开评标”学习专题-操作指南-供应商</w:t>
      </w:r>
    </w:p>
    <w:p>
      <w:pPr>
        <w:pStyle w:val="13"/>
        <w:snapToGrid w:val="0"/>
        <w:spacing w:before="120" w:after="12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网址：</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help.zcygov.cn/web/site_2/2018/12-28/2573.html%EF%BC%89%E5%8F%8A%E6%9C%AC%E6%8B%9B%E6%A0%87%E6%96%87%E4%BB%B6%E8%A7%84%E5%AE%9A%E7%9A%84%E6%A0%BC%E5%BC%8F%E5%92%8C%E9%A1%BA%E5%BA%8F%E7%BC%96%E5%88%B6%E7%94%B5%E5%AD%90%E6%8A%95%E6%A0%87%E6%96%87%E4%BB%B6%E5%B9%B6%E8%BF%9B%E8%A1%8C%E5%85%B3%E8%81%94%E5%AE%9A" \t "_blank" </w:instrText>
      </w:r>
      <w:r>
        <w:rPr>
          <w:color w:val="000000" w:themeColor="text1"/>
          <w:highlight w:val="none"/>
          <w14:textFill>
            <w14:solidFill>
              <w14:schemeClr w14:val="tx1"/>
            </w14:solidFill>
          </w14:textFill>
        </w:rPr>
        <w:fldChar w:fldCharType="separate"/>
      </w:r>
      <w:r>
        <w:rPr>
          <w:rFonts w:hint="eastAsia" w:asciiTheme="majorEastAsia" w:hAnsiTheme="majorEastAsia" w:eastAsiaTheme="majorEastAsia" w:cstheme="majorEastAsia"/>
          <w:b/>
          <w:color w:val="000000" w:themeColor="text1"/>
          <w:highlight w:val="none"/>
          <w14:textFill>
            <w14:solidFill>
              <w14:schemeClr w14:val="tx1"/>
            </w14:solidFill>
          </w14:textFill>
        </w:rPr>
        <w:t>https://edu.zcygov.cn/luban/e-biding</w:t>
      </w:r>
      <w:r>
        <w:rPr>
          <w:rFonts w:hint="eastAsia" w:asciiTheme="majorEastAsia" w:hAnsiTheme="majorEastAsia" w:eastAsiaTheme="majorEastAsia" w:cstheme="majorEastAsia"/>
          <w:b/>
          <w:color w:val="000000" w:themeColor="text1"/>
          <w:highlight w:val="none"/>
          <w14:textFill>
            <w14:solidFill>
              <w14:schemeClr w14:val="tx1"/>
            </w14:solidFill>
          </w14:textFill>
        </w:rPr>
        <w:fldChar w:fldCharType="end"/>
      </w:r>
    </w:p>
    <w:p>
      <w:pPr>
        <w:pStyle w:val="13"/>
        <w:snapToGrid w:val="0"/>
        <w:spacing w:before="120"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总体要求：</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1.供应商应仔细阅读征集文件的所有内容，按本文件的要求提供响应文件，并保证所提供的全部资料的真实性，以使其响应文件对征集文件作出实质性响应，否则，响应文件可能视为无效响应文件。 </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2.响应文件及供应商与采购有关的来往通知，函件和文件均应使用中文。</w:t>
      </w:r>
    </w:p>
    <w:p>
      <w:pPr>
        <w:spacing w:line="360" w:lineRule="auto"/>
        <w:ind w:firstLine="480" w:firstLineChars="200"/>
        <w:rPr>
          <w:rFonts w:asciiTheme="majorEastAsia" w:hAnsiTheme="majorEastAsia" w:eastAsiaTheme="majorEastAsia" w:cstheme="majorEastAsia"/>
          <w:b/>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3.供应商应按本文件中提供的文件格式、内容和要求制作响应文件</w:t>
      </w:r>
      <w:r>
        <w:rPr>
          <w:rFonts w:hint="eastAsia" w:asciiTheme="majorEastAsia" w:hAnsiTheme="majorEastAsia" w:eastAsiaTheme="majorEastAsia" w:cstheme="majorEastAsia"/>
          <w:b/>
          <w:color w:val="000000" w:themeColor="text1"/>
          <w:highlight w:val="none"/>
          <w14:textFill>
            <w14:solidFill>
              <w14:schemeClr w14:val="tx1"/>
            </w14:solidFill>
          </w14:textFill>
        </w:rPr>
        <w:t>。</w:t>
      </w:r>
    </w:p>
    <w:p>
      <w:pPr>
        <w:snapToGrid w:val="0"/>
        <w:spacing w:line="360" w:lineRule="auto"/>
        <w:ind w:firstLine="472" w:firstLineChars="196"/>
        <w:jc w:val="left"/>
        <w:outlineLvl w:val="2"/>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（一）响应文件的组成</w:t>
      </w:r>
      <w:bookmarkEnd w:id="48"/>
      <w:bookmarkEnd w:id="49"/>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电子响应文件和备份响应文件均由资信商务文件、技术文件及响应报价文件三部分组成。响应文件中所须加盖公章部分均采用CA签章。</w:t>
      </w:r>
    </w:p>
    <w:bookmarkEnd w:id="50"/>
    <w:bookmarkEnd w:id="51"/>
    <w:bookmarkEnd w:id="52"/>
    <w:p>
      <w:pPr>
        <w:snapToGrid w:val="0"/>
        <w:spacing w:line="360" w:lineRule="auto"/>
        <w:ind w:firstLine="472" w:firstLineChars="196"/>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w:t>
      </w:r>
      <w:r>
        <w:rPr>
          <w:rFonts w:hint="eastAsia" w:asciiTheme="majorEastAsia" w:hAnsiTheme="majorEastAsia" w:eastAsiaTheme="majorEastAsia" w:cstheme="majorEastAsia"/>
          <w:b/>
          <w:bCs/>
          <w:color w:val="000000" w:themeColor="text1"/>
          <w:highlight w:val="none"/>
          <w14:textFill>
            <w14:solidFill>
              <w14:schemeClr w14:val="tx1"/>
            </w14:solidFill>
          </w14:textFill>
        </w:rPr>
        <w:t>响应文件的编制</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1响应文件分为资格文件、商务技术文件、报价文件三部分。各供应商在编制响应文件时请按照征集文件规定的格式进行，混乱的编排导致响应文件被误读或评标委员会查找不到有效文件是供应商的风险。</w:t>
      </w:r>
    </w:p>
    <w:p>
      <w:pPr>
        <w:snapToGrid w:val="0"/>
        <w:spacing w:line="360" w:lineRule="auto"/>
        <w:ind w:firstLine="480" w:firstLineChars="200"/>
        <w:rPr>
          <w:rFonts w:asciiTheme="majorEastAsia" w:hAnsiTheme="majorEastAsia" w:eastAsiaTheme="majorEastAsia" w:cstheme="majorEastAsia"/>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2供应商进行电子响应应安装客户端软件—“政采云电子交易客户端”，并按照征集文件和电子交易平台的要求编制并加密响应文件。供应商未按规定加密的响应文件，电子交易平台将拒收并提示。</w:t>
      </w:r>
    </w:p>
    <w:p>
      <w:pPr>
        <w:snapToGrid w:val="0"/>
        <w:spacing w:line="360" w:lineRule="auto"/>
        <w:ind w:firstLine="480" w:firstLineChars="200"/>
        <w:rPr>
          <w:rFonts w:asciiTheme="majorEastAsia" w:hAnsiTheme="majorEastAsia" w:eastAsiaTheme="majorEastAsia" w:cstheme="majorEastAsia"/>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4响应文件按照征集文件要求进行签署、盖章。</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5为确保网上操作合法、有效和安全，供应商应当在响应截止时间前完成在“政府采购云平台”的身份认证，确保在电子</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过程中能够对相关数据电文进行加密和使用电子签名。</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6征集文件对响应文件签署、盖章的要求适用于电子签名。</w:t>
      </w:r>
    </w:p>
    <w:p>
      <w:pPr>
        <w:snapToGrid w:val="0"/>
        <w:spacing w:line="360" w:lineRule="auto"/>
        <w:ind w:firstLine="472" w:firstLineChars="196"/>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53" w:name="_Toc385854146"/>
      <w:bookmarkStart w:id="54" w:name="_Toc532218227"/>
      <w:bookmarkStart w:id="55" w:name="_Toc406402990"/>
      <w:bookmarkStart w:id="56" w:name="_Toc402963084"/>
      <w:bookmarkStart w:id="57" w:name="_Toc385854100"/>
      <w:bookmarkStart w:id="58" w:name="_Toc402963117"/>
      <w:bookmarkStart w:id="59" w:name="_Toc406402946"/>
      <w:r>
        <w:rPr>
          <w:rFonts w:hint="eastAsia" w:asciiTheme="majorEastAsia" w:hAnsiTheme="majorEastAsia" w:eastAsiaTheme="majorEastAsia" w:cstheme="majorEastAsia"/>
          <w:b/>
          <w:color w:val="000000" w:themeColor="text1"/>
          <w:highlight w:val="none"/>
          <w14:textFill>
            <w14:solidFill>
              <w14:schemeClr w14:val="tx1"/>
            </w14:solidFill>
          </w14:textFill>
        </w:rPr>
        <w:t>（三）响应文件的语言及计量</w:t>
      </w:r>
      <w:bookmarkEnd w:id="53"/>
      <w:bookmarkEnd w:id="54"/>
      <w:bookmarkEnd w:id="55"/>
      <w:bookmarkEnd w:id="56"/>
      <w:bookmarkEnd w:id="57"/>
      <w:bookmarkEnd w:id="58"/>
      <w:bookmarkEnd w:id="59"/>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1．响应文件以及采购人与征集人就有关征集事宜的所有来往函电，均应以中文汉语书写。除签名、盖章、专用名称等特殊情形外，以中文汉语以外的文字表述的响应文件视同未提供。</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2．响应计量单位，征集文件已有明确规定的，使用征集文件规定的计量单位；征集文件没有规定的，应采用中华人民共和国法定计量单位（货币单位：人民币元），否则视同未响应。</w:t>
      </w:r>
    </w:p>
    <w:p>
      <w:pPr>
        <w:pStyle w:val="33"/>
        <w:spacing w:before="0"/>
        <w:ind w:firstLine="482"/>
        <w:rPr>
          <w:rFonts w:asciiTheme="majorEastAsia" w:hAnsiTheme="majorEastAsia" w:eastAsiaTheme="majorEastAsia" w:cstheme="majorEastAsia"/>
          <w:b/>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（四</w:t>
      </w:r>
      <w:r>
        <w:rPr>
          <w:rFonts w:hint="eastAsia" w:asciiTheme="majorEastAsia" w:hAnsiTheme="majorEastAsia" w:eastAsiaTheme="majorEastAsia" w:cstheme="majorEastAsia"/>
          <w:b/>
          <w:color w:val="000000" w:themeColor="text1"/>
          <w:szCs w:val="24"/>
          <w:highlight w:val="none"/>
          <w14:textFill>
            <w14:solidFill>
              <w14:schemeClr w14:val="tx1"/>
            </w14:solidFill>
          </w14:textFill>
        </w:rPr>
        <w:t>）响应文件的提交、补充、修改、撤回</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2.电子交易平台收到响应文件，将妥善保存并即时向供应商发出确认回执通知。在响应截止时间前，除供应商补充、修改或者撤回响应文件外，任何单位和个人不得解密或提取响应文件。</w:t>
      </w:r>
    </w:p>
    <w:p>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3.征集人、采购机构可以视情况延长响应文件提交的截止时间。在上述情况下，采购机构与供应商以前在响应截止期方面的全部权利、责任和义务，将适用于延长至新的响应截止期。</w:t>
      </w:r>
    </w:p>
    <w:p>
      <w:pPr>
        <w:snapToGrid w:val="0"/>
        <w:spacing w:line="360" w:lineRule="auto"/>
        <w:ind w:firstLine="472" w:firstLineChars="196"/>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60" w:name="_Toc406402947"/>
      <w:bookmarkStart w:id="61" w:name="_Toc402963118"/>
      <w:bookmarkStart w:id="62" w:name="_Toc402963085"/>
      <w:bookmarkStart w:id="63" w:name="_Toc406402991"/>
      <w:bookmarkStart w:id="64" w:name="_Toc532218228"/>
      <w:bookmarkStart w:id="65" w:name="_Toc385854147"/>
      <w:bookmarkStart w:id="66" w:name="_Toc385854101"/>
      <w:r>
        <w:rPr>
          <w:rFonts w:hint="eastAsia" w:asciiTheme="majorEastAsia" w:hAnsiTheme="majorEastAsia" w:eastAsiaTheme="majorEastAsia" w:cstheme="majorEastAsia"/>
          <w:b/>
          <w:color w:val="000000" w:themeColor="text1"/>
          <w:highlight w:val="none"/>
          <w14:textFill>
            <w14:solidFill>
              <w14:schemeClr w14:val="tx1"/>
            </w14:solidFill>
          </w14:textFill>
        </w:rPr>
        <w:t>（五）</w:t>
      </w:r>
      <w:bookmarkEnd w:id="60"/>
      <w:bookmarkEnd w:id="61"/>
      <w:bookmarkEnd w:id="62"/>
      <w:bookmarkEnd w:id="63"/>
      <w:bookmarkEnd w:id="64"/>
      <w:bookmarkEnd w:id="65"/>
      <w:bookmarkEnd w:id="66"/>
      <w:r>
        <w:rPr>
          <w:rFonts w:hint="eastAsia" w:asciiTheme="majorEastAsia" w:hAnsiTheme="majorEastAsia" w:eastAsiaTheme="majorEastAsia" w:cstheme="majorEastAsia"/>
          <w:b/>
          <w:color w:val="000000" w:themeColor="text1"/>
          <w:highlight w:val="none"/>
          <w14:textFill>
            <w14:solidFill>
              <w14:schemeClr w14:val="tx1"/>
            </w14:solidFill>
          </w14:textFill>
        </w:rPr>
        <w:t>响应报价</w:t>
      </w:r>
    </w:p>
    <w:p>
      <w:pPr>
        <w:pStyle w:val="13"/>
        <w:snapToGrid w:val="0"/>
        <w:spacing w:before="120" w:after="120" w:line="360" w:lineRule="auto"/>
        <w:ind w:firstLine="480" w:firstLineChars="200"/>
        <w:jc w:val="left"/>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响应报价应按征集文件中相关附表格式填写。</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（附件</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12</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w:t>
      </w:r>
    </w:p>
    <w:p>
      <w:pPr>
        <w:snapToGrid w:val="0"/>
        <w:spacing w:line="360" w:lineRule="auto"/>
        <w:ind w:firstLine="472" w:firstLineChars="196"/>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（六）响应文件的有效期</w:t>
      </w:r>
    </w:p>
    <w:p>
      <w:pPr>
        <w:pStyle w:val="8"/>
        <w:numPr>
          <w:ilvl w:val="0"/>
          <w:numId w:val="0"/>
        </w:numPr>
        <w:tabs>
          <w:tab w:val="left" w:pos="720"/>
        </w:tabs>
        <w:snapToGrid w:val="0"/>
        <w:spacing w:after="120" w:line="360" w:lineRule="auto"/>
        <w:ind w:left="480" w:left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1.自响应截止日起</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90</w:t>
      </w:r>
      <w:r>
        <w:rPr>
          <w:rFonts w:hint="eastAsia" w:asciiTheme="majorEastAsia" w:hAnsiTheme="majorEastAsia" w:eastAsiaTheme="majorEastAsia" w:cstheme="majorEastAsia"/>
          <w:color w:val="000000" w:themeColor="text1"/>
          <w:highlight w:val="none"/>
          <w14:textFill>
            <w14:solidFill>
              <w14:schemeClr w14:val="tx1"/>
            </w14:solidFill>
          </w14:textFill>
        </w:rPr>
        <w:t>天响应文件应保持有效。有效期不足的响应文件将被拒绝。</w:t>
      </w:r>
    </w:p>
    <w:p>
      <w:pPr>
        <w:pStyle w:val="8"/>
        <w:numPr>
          <w:ilvl w:val="0"/>
          <w:numId w:val="0"/>
        </w:numPr>
        <w:tabs>
          <w:tab w:val="left" w:pos="720"/>
        </w:tabs>
        <w:snapToGrid w:val="0"/>
        <w:spacing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2.在特殊情况下，征集人可与供应商协商延长响应文件的有效期，这种要求和答复均以书面形式进行。</w:t>
      </w:r>
    </w:p>
    <w:p>
      <w:pPr>
        <w:pStyle w:val="8"/>
        <w:numPr>
          <w:ilvl w:val="0"/>
          <w:numId w:val="0"/>
        </w:numPr>
        <w:tabs>
          <w:tab w:val="left" w:pos="720"/>
        </w:tabs>
        <w:snapToGrid w:val="0"/>
        <w:spacing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67" w:name="_Toc402963120"/>
      <w:bookmarkStart w:id="68" w:name="_Toc406402993"/>
      <w:bookmarkStart w:id="69" w:name="_Toc385854103"/>
      <w:bookmarkStart w:id="70" w:name="_Toc402963087"/>
      <w:bookmarkStart w:id="71" w:name="_Toc385854149"/>
      <w:bookmarkStart w:id="72" w:name="_Toc406402949"/>
      <w:bookmarkStart w:id="73" w:name="_Toc532218229"/>
      <w:r>
        <w:rPr>
          <w:rFonts w:hint="eastAsia" w:asciiTheme="majorEastAsia" w:hAnsiTheme="majorEastAsia" w:eastAsiaTheme="majorEastAsia" w:cstheme="majorEastAsia"/>
          <w:color w:val="000000" w:themeColor="text1"/>
          <w:highlight w:val="none"/>
          <w14:textFill>
            <w14:solidFill>
              <w14:schemeClr w14:val="tx1"/>
            </w14:solidFill>
          </w14:textFill>
        </w:rPr>
        <w:t>3.入围供应商的响应文件自开标之日起至合同履行完毕止均应保持有效。</w:t>
      </w:r>
      <w:bookmarkEnd w:id="67"/>
      <w:bookmarkEnd w:id="68"/>
      <w:bookmarkEnd w:id="69"/>
      <w:bookmarkEnd w:id="70"/>
      <w:bookmarkEnd w:id="71"/>
      <w:bookmarkEnd w:id="72"/>
      <w:bookmarkEnd w:id="73"/>
    </w:p>
    <w:p>
      <w:pPr>
        <w:pStyle w:val="33"/>
        <w:spacing w:before="0"/>
        <w:ind w:firstLine="48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4.在原定响应有效期满之前，如果出现特殊情况，采购机构可以以书面形式通知供应商延长响应有效期。供应商同意延长的，不得要求或被允许修改其响应文件，供应商拒绝延长的，其响应无效。</w:t>
      </w:r>
    </w:p>
    <w:p>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（七）响应无效的情形</w:t>
      </w:r>
    </w:p>
    <w:p>
      <w:pPr>
        <w:snapToGrid w:val="0"/>
        <w:spacing w:line="480" w:lineRule="exact"/>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1.电子响应文件解密失败的，且未在规定时间内提交有效备份响应文件的。</w:t>
      </w:r>
    </w:p>
    <w:p>
      <w:pPr>
        <w:snapToGrid w:val="0"/>
        <w:spacing w:line="480" w:lineRule="exact"/>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2.仅提交备份响应文件，没有在电子交易平台传输递交响应文件的。</w:t>
      </w:r>
    </w:p>
    <w:p>
      <w:pPr>
        <w:snapToGrid w:val="0"/>
        <w:spacing w:line="480" w:lineRule="exact"/>
        <w:ind w:firstLine="472" w:firstLineChars="196"/>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3.没有通过资格审查的，响应文件将被视为无效。</w:t>
      </w:r>
    </w:p>
    <w:p>
      <w:pPr>
        <w:snapToGrid w:val="0"/>
        <w:spacing w:line="480" w:lineRule="exact"/>
        <w:ind w:firstLine="472" w:firstLineChars="196"/>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4.在符合性审查和商务评审时，如发现下列情形之一的，响应文件将被视为无效：</w:t>
      </w:r>
    </w:p>
    <w:p>
      <w:pPr>
        <w:snapToGrid w:val="0"/>
        <w:spacing w:line="480" w:lineRule="exact"/>
        <w:ind w:firstLine="470" w:firstLineChars="196"/>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w:t>
      </w:r>
      <w:r>
        <w:rPr>
          <w:rFonts w:hint="eastAsia" w:asciiTheme="majorEastAsia" w:hAnsiTheme="majorEastAsia" w:eastAsiaTheme="majorEastAsia" w:cstheme="majorEastAsia"/>
          <w:color w:val="000000" w:themeColor="text1"/>
          <w:highlight w:val="none"/>
          <w14:textFill>
            <w14:solidFill>
              <w14:schemeClr w14:val="tx1"/>
            </w14:solidFill>
          </w14:textFill>
        </w:rPr>
        <w:t>电子响应文件未按规定要求提供电子签章的。</w:t>
      </w:r>
    </w:p>
    <w:p>
      <w:pPr>
        <w:snapToGrid w:val="0"/>
        <w:spacing w:line="48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（2）未按要求对资格文件进行承诺，或虚假承诺的。</w:t>
      </w:r>
    </w:p>
    <w:p>
      <w:pPr>
        <w:snapToGrid w:val="0"/>
        <w:spacing w:line="480" w:lineRule="exact"/>
        <w:ind w:firstLine="470" w:firstLineChars="196"/>
        <w:rPr>
          <w:rFonts w:asciiTheme="majorEastAsia" w:hAnsiTheme="majorEastAsia" w:eastAsiaTheme="majorEastAsia" w:cstheme="majorEastAsia"/>
          <w:bCs/>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（3）未</w:t>
      </w:r>
      <w:r>
        <w:rPr>
          <w:rFonts w:hint="eastAsia" w:asciiTheme="majorEastAsia" w:hAnsiTheme="majorEastAsia" w:eastAsiaTheme="majorEastAsia" w:cstheme="majorEastAsia"/>
          <w:bCs/>
          <w:color w:val="000000" w:themeColor="text1"/>
          <w:kern w:val="0"/>
          <w:highlight w:val="none"/>
          <w14:textFill>
            <w14:solidFill>
              <w14:schemeClr w14:val="tx1"/>
            </w14:solidFill>
          </w14:textFill>
        </w:rPr>
        <w:t>提供法定代表人授权委托书、</w:t>
      </w:r>
      <w:r>
        <w:rPr>
          <w:rFonts w:hint="eastAsia" w:asciiTheme="majorEastAsia" w:hAnsiTheme="majorEastAsia" w:eastAsiaTheme="majorEastAsia" w:cstheme="majorEastAsia"/>
          <w:bCs/>
          <w:color w:val="000000" w:themeColor="text1"/>
          <w:kern w:val="0"/>
          <w:highlight w:val="none"/>
          <w:lang w:eastAsia="zh-CN"/>
          <w14:textFill>
            <w14:solidFill>
              <w14:schemeClr w14:val="tx1"/>
            </w14:solidFill>
          </w14:textFill>
        </w:rPr>
        <w:t>响应</w:t>
      </w:r>
      <w:r>
        <w:rPr>
          <w:rFonts w:hint="eastAsia" w:asciiTheme="majorEastAsia" w:hAnsiTheme="majorEastAsia" w:eastAsiaTheme="majorEastAsia" w:cstheme="majorEastAsia"/>
          <w:bCs/>
          <w:color w:val="000000" w:themeColor="text1"/>
          <w:kern w:val="0"/>
          <w:highlight w:val="none"/>
          <w14:textFill>
            <w14:solidFill>
              <w14:schemeClr w14:val="tx1"/>
            </w14:solidFill>
          </w14:textFill>
        </w:rPr>
        <w:t>函或者填写项目不齐全的。</w:t>
      </w:r>
    </w:p>
    <w:p>
      <w:pPr>
        <w:pStyle w:val="3"/>
        <w:snapToGrid w:val="0"/>
        <w:spacing w:line="480" w:lineRule="exact"/>
        <w:ind w:firstLine="454" w:firstLineChars="196"/>
        <w:rPr>
          <w:rFonts w:asciiTheme="majorEastAsia" w:hAnsiTheme="majorEastAsia" w:eastAsiaTheme="majorEastAsia" w:cstheme="majorEastAsia"/>
          <w:snapToGrid w:val="0"/>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（4）响应文件格式不规范、项目不齐全或者内容虚假的。</w:t>
      </w:r>
    </w:p>
    <w:p>
      <w:pPr>
        <w:pStyle w:val="3"/>
        <w:snapToGrid w:val="0"/>
        <w:spacing w:line="480" w:lineRule="exact"/>
        <w:ind w:firstLine="454" w:firstLineChars="196"/>
        <w:rPr>
          <w:rFonts w:asciiTheme="majorEastAsia" w:hAnsiTheme="majorEastAsia" w:eastAsiaTheme="majorEastAsia" w:cstheme="majorEastAsia"/>
          <w:snapToGrid w:val="0"/>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w:t>
      </w:r>
      <w:r>
        <w:rPr>
          <w:rFonts w:hint="eastAsia" w:asciiTheme="majorEastAsia" w:hAnsiTheme="majorEastAsia" w:eastAsiaTheme="majorEastAsia" w:cstheme="majorEastAsia"/>
          <w:snapToGrid w:val="0"/>
          <w:color w:val="000000" w:themeColor="text1"/>
          <w:sz w:val="24"/>
          <w:szCs w:val="24"/>
          <w:highlight w:val="none"/>
          <w14:textFill>
            <w14:solidFill>
              <w14:schemeClr w14:val="tx1"/>
            </w14:solidFill>
          </w14:textFill>
        </w:rPr>
        <w:t>5）</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响应文件的实质性内容未使用中文表述、意思表述不明确、前后矛盾或者使用计量单位不符合征集文件要求的（经评标委员会认定并允许其当场更正的笔误除外）。</w:t>
      </w:r>
    </w:p>
    <w:p>
      <w:pPr>
        <w:pStyle w:val="3"/>
        <w:snapToGrid w:val="0"/>
        <w:spacing w:line="480" w:lineRule="exact"/>
        <w:ind w:firstLine="454" w:firstLineChars="196"/>
        <w:rPr>
          <w:rFonts w:asciiTheme="majorEastAsia" w:hAnsiTheme="majorEastAsia" w:eastAsiaTheme="majorEastAsia" w:cstheme="majorEastAsia"/>
          <w:snapToGrid w:val="0"/>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（6）</w:t>
      </w:r>
      <w:r>
        <w:rPr>
          <w:rFonts w:hint="eastAsia" w:asciiTheme="majorEastAsia" w:hAnsiTheme="majorEastAsia" w:eastAsiaTheme="majorEastAsia" w:cstheme="majorEastAsia"/>
          <w:snapToGrid w:val="0"/>
          <w:color w:val="000000" w:themeColor="text1"/>
          <w:sz w:val="24"/>
          <w:szCs w:val="24"/>
          <w:highlight w:val="none"/>
          <w14:textFill>
            <w14:solidFill>
              <w14:schemeClr w14:val="tx1"/>
            </w14:solidFill>
          </w14:textFill>
        </w:rPr>
        <w:t>响应有效期、服务承诺等商务条款不能满足征集文件要求的。</w:t>
      </w:r>
    </w:p>
    <w:p>
      <w:pPr>
        <w:pStyle w:val="3"/>
        <w:snapToGrid w:val="0"/>
        <w:spacing w:line="480" w:lineRule="exact"/>
        <w:ind w:firstLine="454"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（7）未实质性响应征集文件要求或者响应文件有征集人不能接受的附加条件的。</w:t>
      </w:r>
    </w:p>
    <w:p>
      <w:pPr>
        <w:pStyle w:val="3"/>
        <w:snapToGrid w:val="0"/>
        <w:spacing w:line="360" w:lineRule="auto"/>
        <w:ind w:firstLine="454"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（8）不符合本征集文件中的实质性要求条款。</w:t>
      </w:r>
    </w:p>
    <w:p>
      <w:pPr>
        <w:pStyle w:val="3"/>
        <w:snapToGrid w:val="0"/>
        <w:spacing w:line="360" w:lineRule="auto"/>
        <w:ind w:firstLine="457" w:firstLineChars="196"/>
        <w:rPr>
          <w:rFonts w:asciiTheme="majorEastAsia" w:hAnsiTheme="majorEastAsia" w:eastAsiaTheme="majorEastAsia" w:cstheme="majorEastAsia"/>
          <w:b/>
          <w:bCs/>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4"/>
          <w:szCs w:val="24"/>
          <w:highlight w:val="none"/>
          <w14:textFill>
            <w14:solidFill>
              <w14:schemeClr w14:val="tx1"/>
            </w14:solidFill>
          </w14:textFill>
        </w:rPr>
        <w:t>5.在技术评审时，如发现下列情形之一的，响应文件将被视为无效：</w:t>
      </w:r>
    </w:p>
    <w:p>
      <w:pPr>
        <w:pStyle w:val="3"/>
        <w:snapToGrid w:val="0"/>
        <w:spacing w:line="480" w:lineRule="exact"/>
        <w:ind w:firstLine="454"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（1）未提供或未如实提供货物的技术参数</w:t>
      </w:r>
      <w:r>
        <w:rPr>
          <w:rFonts w:hint="eastAsia" w:asciiTheme="majorEastAsia" w:hAnsiTheme="majorEastAsia" w:eastAsiaTheme="majorEastAsia" w:cstheme="majorEastAsia"/>
          <w:color w:val="000000" w:themeColor="text1"/>
          <w:sz w:val="24"/>
          <w:szCs w:val="24"/>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偏离响应文件</w:t>
      </w:r>
      <w:r>
        <w:rPr>
          <w:rFonts w:hint="eastAsia" w:asciiTheme="majorEastAsia" w:hAnsiTheme="majorEastAsia" w:eastAsiaTheme="majorEastAsia" w:cstheme="majorEastAsia"/>
          <w:color w:val="000000" w:themeColor="text1"/>
          <w:sz w:val="24"/>
          <w:szCs w:val="24"/>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与</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事实不符或虚假响应的。</w:t>
      </w:r>
    </w:p>
    <w:p>
      <w:pPr>
        <w:pStyle w:val="3"/>
        <w:snapToGrid w:val="0"/>
        <w:spacing w:line="480" w:lineRule="exact"/>
        <w:ind w:firstLine="454"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（2）</w:t>
      </w:r>
      <w:r>
        <w:rPr>
          <w:rFonts w:hint="eastAsia" w:asciiTheme="majorEastAsia" w:hAnsiTheme="majorEastAsia" w:eastAsiaTheme="majorEastAsia" w:cstheme="majorEastAsia"/>
          <w:snapToGrid w:val="0"/>
          <w:color w:val="000000" w:themeColor="text1"/>
          <w:sz w:val="24"/>
          <w:szCs w:val="24"/>
          <w:highlight w:val="none"/>
          <w14:textFill>
            <w14:solidFill>
              <w14:schemeClr w14:val="tx1"/>
            </w14:solidFill>
          </w14:textFill>
        </w:rPr>
        <w:t>明显不符合征集文件要求的规格型号、质量标准，或者与</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征集文件入围“▲”的技术指标、主要功能项目发生实质性偏离的。</w:t>
      </w:r>
    </w:p>
    <w:p>
      <w:pPr>
        <w:pStyle w:val="3"/>
        <w:snapToGrid w:val="0"/>
        <w:spacing w:line="480" w:lineRule="exact"/>
        <w:ind w:firstLine="454"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z w:val="24"/>
          <w:szCs w:val="24"/>
          <w:highlight w:val="none"/>
          <w14:textFill>
            <w14:solidFill>
              <w14:schemeClr w14:val="tx1"/>
            </w14:solidFill>
          </w14:textFill>
        </w:rPr>
        <w:t>（3）</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响应技术方案不明确，存在一个或一个以上备选（替代）响应方案的。</w:t>
      </w:r>
    </w:p>
    <w:p>
      <w:pPr>
        <w:pStyle w:val="3"/>
        <w:snapToGrid w:val="0"/>
        <w:spacing w:line="480" w:lineRule="exact"/>
        <w:ind w:firstLine="457" w:firstLineChars="196"/>
        <w:rPr>
          <w:rFonts w:asciiTheme="majorEastAsia" w:hAnsiTheme="majorEastAsia" w:eastAsiaTheme="majorEastAsia" w:cstheme="majorEastAsia"/>
          <w:b/>
          <w:bCs/>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4"/>
          <w:szCs w:val="24"/>
          <w:highlight w:val="none"/>
          <w14:textFill>
            <w14:solidFill>
              <w14:schemeClr w14:val="tx1"/>
            </w14:solidFill>
          </w14:textFill>
        </w:rPr>
        <w:t>6.在报价评审时，如发现下列情形之一的，响应文件将被视为无效：</w:t>
      </w:r>
    </w:p>
    <w:p>
      <w:pPr>
        <w:pStyle w:val="3"/>
        <w:snapToGrid w:val="0"/>
        <w:spacing w:line="480" w:lineRule="exact"/>
        <w:ind w:firstLine="454"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 xml:space="preserve"> 没有按照要求提供《报价承诺函》</w:t>
      </w:r>
      <w:r>
        <w:rPr>
          <w:rFonts w:hint="eastAsia" w:asciiTheme="majorEastAsia" w:hAnsiTheme="majorEastAsia" w:eastAsiaTheme="majorEastAsia" w:cstheme="majorEastAsia"/>
          <w:color w:val="000000" w:themeColor="text1"/>
          <w:sz w:val="24"/>
          <w:szCs w:val="24"/>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误差</w:t>
      </w:r>
      <w:r>
        <w:rPr>
          <w:rFonts w:hint="eastAsia" w:asciiTheme="majorEastAsia" w:hAnsiTheme="majorEastAsia" w:eastAsiaTheme="majorEastAsia" w:cstheme="majorEastAsia"/>
          <w:color w:val="000000" w:themeColor="text1"/>
          <w:sz w:val="24"/>
          <w:szCs w:val="24"/>
          <w:highlight w:val="none"/>
          <w:lang w:eastAsia="zh-CN"/>
          <w14:textFill>
            <w14:solidFill>
              <w14:schemeClr w14:val="tx1"/>
            </w14:solidFill>
          </w14:textFill>
        </w:rPr>
        <w:t>承诺函》</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7.</w:t>
      </w:r>
      <w:r>
        <w:rPr>
          <w:rFonts w:hint="eastAsia" w:asciiTheme="majorEastAsia" w:hAnsiTheme="majorEastAsia" w:eastAsiaTheme="majorEastAsia" w:cstheme="majorEastAsia"/>
          <w:b/>
          <w:bCs/>
          <w:color w:val="000000" w:themeColor="text1"/>
          <w:highlight w:val="none"/>
          <w14:textFill>
            <w14:solidFill>
              <w14:schemeClr w14:val="tx1"/>
            </w14:solidFill>
          </w14:textFill>
        </w:rPr>
        <w:t>供应商有恶意串通、妨碍其他供应商的竞争行为、损害征集人或者其他供应商的合法权益情形的，响应文件将被视为无效</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w:t>
      </w:r>
    </w:p>
    <w:p>
      <w:pPr>
        <w:pStyle w:val="3"/>
        <w:snapToGrid w:val="0"/>
        <w:spacing w:line="480" w:lineRule="exact"/>
        <w:ind w:firstLine="457"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4"/>
          <w:szCs w:val="24"/>
          <w:highlight w:val="none"/>
          <w14:textFill>
            <w14:solidFill>
              <w14:schemeClr w14:val="tx1"/>
            </w14:solidFill>
          </w14:textFill>
        </w:rPr>
        <w:t>8.法律、法规、规章（适用本市的）及省级以上规范性文件（适用本市的）规定的其他无效情形。</w:t>
      </w:r>
    </w:p>
    <w:p>
      <w:pPr>
        <w:pStyle w:val="3"/>
        <w:snapToGrid w:val="0"/>
        <w:spacing w:line="480" w:lineRule="exact"/>
        <w:ind w:firstLine="466" w:firstLineChars="200"/>
        <w:rPr>
          <w:rFonts w:asciiTheme="majorEastAsia" w:hAnsiTheme="majorEastAsia" w:eastAsiaTheme="majorEastAsia" w:cstheme="majorEastAsia"/>
          <w:b/>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4"/>
          <w:szCs w:val="24"/>
          <w:highlight w:val="none"/>
          <w14:textFill>
            <w14:solidFill>
              <w14:schemeClr w14:val="tx1"/>
            </w14:solidFill>
          </w14:textFill>
        </w:rPr>
        <w:t>9.被拒绝的响应文件为无效。</w:t>
      </w:r>
    </w:p>
    <w:p>
      <w:pPr>
        <w:pStyle w:val="3"/>
        <w:snapToGrid w:val="0"/>
        <w:spacing w:line="480" w:lineRule="exact"/>
        <w:ind w:firstLine="466" w:firstLineChars="200"/>
        <w:rPr>
          <w:rFonts w:asciiTheme="majorEastAsia" w:hAnsiTheme="majorEastAsia" w:eastAsiaTheme="majorEastAsia" w:cstheme="majorEastAsia"/>
          <w:b/>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4"/>
          <w:szCs w:val="24"/>
          <w:highlight w:val="none"/>
          <w14:textFill>
            <w14:solidFill>
              <w14:schemeClr w14:val="tx1"/>
            </w14:solidFill>
          </w14:textFill>
        </w:rPr>
        <w:t>（八）废标的情形</w:t>
      </w:r>
    </w:p>
    <w:p>
      <w:pPr>
        <w:pStyle w:val="3"/>
        <w:snapToGrid w:val="0"/>
        <w:spacing w:line="480" w:lineRule="exact"/>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根据《中华人民共和国政府采购法》第三十六条之规定，在采购中，出现下列情形之一的，应予废标：</w:t>
      </w:r>
    </w:p>
    <w:p>
      <w:pPr>
        <w:pStyle w:val="3"/>
        <w:snapToGrid w:val="0"/>
        <w:spacing w:line="480" w:lineRule="exact"/>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1.符合专业条件的供应商或者对征集文件作实质响应的供应商不足3家的；</w:t>
      </w:r>
    </w:p>
    <w:p>
      <w:pPr>
        <w:pStyle w:val="3"/>
        <w:snapToGrid w:val="0"/>
        <w:spacing w:line="480" w:lineRule="exact"/>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2.出现影响采购公正的违法、违规行为的；</w:t>
      </w:r>
    </w:p>
    <w:p>
      <w:pPr>
        <w:pStyle w:val="3"/>
        <w:snapToGrid w:val="0"/>
        <w:spacing w:line="480" w:lineRule="exact"/>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3.因重大变故，采购任务取消的。</w:t>
      </w:r>
    </w:p>
    <w:p>
      <w:pPr>
        <w:pStyle w:val="3"/>
        <w:snapToGrid w:val="0"/>
        <w:spacing w:line="480" w:lineRule="exact"/>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废标后，采购机构应当将废标理由通知所有供应商。</w:t>
      </w:r>
    </w:p>
    <w:p>
      <w:pPr>
        <w:rPr>
          <w:rFonts w:asciiTheme="majorEastAsia" w:hAnsiTheme="majorEastAsia" w:eastAsiaTheme="majorEastAsia" w:cstheme="majorEastAsia"/>
          <w:color w:val="000000" w:themeColor="text1"/>
          <w:highlight w:val="none"/>
          <w14:textFill>
            <w14:solidFill>
              <w14:schemeClr w14:val="tx1"/>
            </w14:solidFill>
          </w14:textFill>
        </w:rPr>
      </w:pPr>
    </w:p>
    <w:p>
      <w:pPr>
        <w:pStyle w:val="13"/>
        <w:snapToGrid w:val="0"/>
        <w:spacing w:before="120" w:after="120" w:line="360" w:lineRule="auto"/>
        <w:ind w:firstLine="472" w:firstLineChars="196"/>
        <w:jc w:val="center"/>
        <w:outlineLvl w:val="1"/>
        <w:rPr>
          <w:rFonts w:asciiTheme="majorEastAsia" w:hAnsiTheme="majorEastAsia" w:eastAsiaTheme="majorEastAsia" w:cstheme="majorEastAsia"/>
          <w:b/>
          <w:strike/>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四、开标</w:t>
      </w:r>
    </w:p>
    <w:p>
      <w:pPr>
        <w:pStyle w:val="3"/>
        <w:snapToGrid w:val="0"/>
        <w:spacing w:line="480" w:lineRule="exact"/>
        <w:ind w:firstLine="454"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1.本项目实行电子开评标，供应商无需到开标现场，但须准时在线参加，直至评审结束。供应商不足3家的，不得开标。</w:t>
      </w:r>
    </w:p>
    <w:p>
      <w:pPr>
        <w:pStyle w:val="3"/>
        <w:snapToGrid w:val="0"/>
        <w:spacing w:line="480" w:lineRule="exact"/>
        <w:ind w:firstLine="454"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2.响应截止时间后的半小时内，由各供应商自行对电子响应文件进行解密请各供应商务必在规定时间内完成电子响应文件的解密工作；开启报价环节，供应商须在15分钟内在系统里CA签字确认。</w:t>
      </w:r>
    </w:p>
    <w:p>
      <w:pPr>
        <w:pStyle w:val="3"/>
        <w:snapToGrid w:val="0"/>
        <w:spacing w:line="480" w:lineRule="exact"/>
        <w:ind w:firstLine="454" w:firstLineChars="196"/>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3.响应文件未按时解密，供应商提供了备份响应文件的，以备份响应文件作为依据，否则视为响应文件撤回。响应文件已按时解密的，备份响应文件自动失效。</w:t>
      </w:r>
    </w:p>
    <w:p>
      <w:pPr>
        <w:pStyle w:val="33"/>
        <w:spacing w:before="0"/>
        <w:ind w:firstLine="482"/>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　</w:t>
      </w:r>
    </w:p>
    <w:p>
      <w:pPr>
        <w:pStyle w:val="13"/>
        <w:snapToGrid w:val="0"/>
        <w:spacing w:before="120" w:after="120" w:line="360" w:lineRule="auto"/>
        <w:ind w:firstLine="472" w:firstLineChars="196"/>
        <w:jc w:val="center"/>
        <w:outlineLvl w:val="1"/>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五、评标</w:t>
      </w:r>
    </w:p>
    <w:p>
      <w:pPr>
        <w:pStyle w:val="13"/>
        <w:snapToGrid w:val="0"/>
        <w:spacing w:before="120" w:after="120" w:line="360" w:lineRule="auto"/>
        <w:ind w:left="788" w:leftChars="228" w:hanging="241" w:hangingChars="1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（一）组建评标委员会</w:t>
      </w:r>
    </w:p>
    <w:p>
      <w:pPr>
        <w:widowControl/>
        <w:shd w:val="clear" w:color="auto" w:fill="FFFFFF"/>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评标委员会由征集人代表和评审专家组成，政府采购评审专家</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kern w:val="0"/>
          <w:highlight w:val="none"/>
          <w:u w:val="single"/>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人</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和</w:t>
      </w:r>
      <w:r>
        <w:rPr>
          <w:rFonts w:hint="eastAsia" w:asciiTheme="majorEastAsia" w:hAnsiTheme="majorEastAsia" w:eastAsiaTheme="majorEastAsia" w:cstheme="majorEastAsia"/>
          <w:color w:val="000000" w:themeColor="text1"/>
          <w:kern w:val="0"/>
          <w:highlight w:val="none"/>
          <w:lang w:eastAsia="zh-CN"/>
          <w14:textFill>
            <w14:solidFill>
              <w14:schemeClr w14:val="tx1"/>
            </w14:solidFill>
          </w14:textFill>
        </w:rPr>
        <w:t>主管预算单位</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代表</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kern w:val="0"/>
          <w:highlight w:val="none"/>
          <w:u w:val="single"/>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 xml:space="preserve"> 人</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，共</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kern w:val="0"/>
          <w:highlight w:val="none"/>
          <w:u w:val="single"/>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人</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组成。</w:t>
      </w:r>
    </w:p>
    <w:p>
      <w:pPr>
        <w:widowControl/>
        <w:shd w:val="clear" w:color="auto" w:fill="FFFFFF"/>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评标委员会负责具体评标事务，并独立履行下列职责：</w:t>
      </w:r>
    </w:p>
    <w:p>
      <w:pPr>
        <w:widowControl/>
        <w:shd w:val="clear" w:color="auto" w:fill="FFFFFF"/>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1.审查、评价响应文件是否符合征集文件的商务、技术等实质性要求。</w:t>
      </w:r>
    </w:p>
    <w:p>
      <w:pPr>
        <w:widowControl/>
        <w:shd w:val="clear" w:color="auto" w:fill="FFFFFF"/>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2.要求供应商对响应文件有关事项做出澄清或者说明。</w:t>
      </w:r>
    </w:p>
    <w:p>
      <w:pPr>
        <w:widowControl/>
        <w:shd w:val="clear" w:color="auto" w:fill="FFFFFF"/>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3.对响应文件进行比较和评价。</w:t>
      </w:r>
    </w:p>
    <w:p>
      <w:pPr>
        <w:widowControl/>
        <w:shd w:val="clear" w:color="auto" w:fill="FFFFFF"/>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4.确定入围供应商名单，以及根据征集人委托直接确定入围供应商。</w:t>
      </w:r>
    </w:p>
    <w:p>
      <w:pPr>
        <w:widowControl/>
        <w:shd w:val="clear" w:color="auto" w:fill="FFFFFF"/>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5.向征集人或者有关部门报告评标中发现的违法行为。</w:t>
      </w:r>
    </w:p>
    <w:p>
      <w:pPr>
        <w:widowControl/>
        <w:shd w:val="clear" w:color="auto" w:fill="FFFFFF"/>
        <w:spacing w:line="360" w:lineRule="auto"/>
        <w:ind w:firstLine="482" w:firstLineChars="200"/>
        <w:jc w:val="left"/>
        <w:rPr>
          <w:rFonts w:asciiTheme="majorEastAsia" w:hAnsiTheme="majorEastAsia" w:eastAsiaTheme="majorEastAsia" w:cstheme="majorEastAsia"/>
          <w:b/>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highlight w:val="none"/>
          <w14:textFill>
            <w14:solidFill>
              <w14:schemeClr w14:val="tx1"/>
            </w14:solidFill>
          </w14:textFill>
        </w:rPr>
        <w:t>除征集人代表、评标现场组织人员外，征集人的其他工作人员以及与评标工作无关的人员不得进入评标现场。</w:t>
      </w:r>
    </w:p>
    <w:p>
      <w:pPr>
        <w:pStyle w:val="13"/>
        <w:snapToGrid w:val="0"/>
        <w:spacing w:before="120" w:after="120" w:line="360" w:lineRule="auto"/>
        <w:ind w:left="788" w:leftChars="228" w:hanging="241" w:hangingChars="1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（二）评标的方式</w:t>
      </w:r>
    </w:p>
    <w:p>
      <w:pPr>
        <w:pStyle w:val="13"/>
        <w:snapToGrid w:val="0"/>
        <w:spacing w:before="120" w:after="120" w:line="360" w:lineRule="auto"/>
        <w:ind w:left="787" w:leftChars="228" w:hanging="240" w:hangingChars="1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本项目采用不公开方式评标，评标的依据为征集文件和响应文件。</w:t>
      </w:r>
    </w:p>
    <w:p>
      <w:pPr>
        <w:pStyle w:val="13"/>
        <w:snapToGrid w:val="0"/>
        <w:spacing w:before="120" w:after="120" w:line="360" w:lineRule="auto"/>
        <w:ind w:left="788" w:leftChars="228" w:hanging="241" w:hangingChars="1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（三）</w:t>
      </w:r>
      <w:r>
        <w:rPr>
          <w:rFonts w:hint="eastAsia" w:asciiTheme="majorEastAsia" w:hAnsiTheme="majorEastAsia" w:eastAsiaTheme="majorEastAsia" w:cstheme="majorEastAsia"/>
          <w:b/>
          <w:bCs/>
          <w:color w:val="000000" w:themeColor="text1"/>
          <w:highlight w:val="none"/>
          <w14:textFill>
            <w14:solidFill>
              <w14:schemeClr w14:val="tx1"/>
            </w14:solidFill>
          </w14:textFill>
        </w:rPr>
        <w:t>评标程序</w:t>
      </w:r>
    </w:p>
    <w:p>
      <w:pPr>
        <w:pStyle w:val="13"/>
        <w:snapToGrid w:val="0"/>
        <w:spacing w:before="120" w:after="120"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征集人可以在评标前说明项目背景和采购需求，说明内容不得含有歧视性、倾向性意见，不得超出征集文件所述范围。说明应当提交书面材料，并随采购文件一并存档。</w:t>
      </w:r>
    </w:p>
    <w:p>
      <w:pPr>
        <w:snapToGrid w:val="0"/>
        <w:spacing w:line="360" w:lineRule="auto"/>
        <w:ind w:firstLine="472" w:firstLineChars="196"/>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1.形式审查</w:t>
      </w:r>
    </w:p>
    <w:p>
      <w:pPr>
        <w:snapToGrid w:val="0"/>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1.1形式审查包括资格审查（除符合性审查以外的关于供应商资格条件等内容）和符合性审查，即对供应商的资格和响应文件的完整性、合法性等进行审查。响应文件形式审查未通过的供应商，其响应文件将不再评审。合格供应商不足3家的，不再评标。</w:t>
      </w:r>
    </w:p>
    <w:p>
      <w:pPr>
        <w:snapToGrid w:val="0"/>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1.2信用信息查询</w:t>
      </w:r>
    </w:p>
    <w:p>
      <w:pPr>
        <w:snapToGrid w:val="0"/>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1.2.1信用信息查询渠道及截止时间：征集人将通过“信用中国”网站(www.creditchina.gov.cn)、中国政府采购网(www.ccgp.gov.cn)渠道查询供应商响应截止时间当天的信用记录。</w:t>
      </w:r>
    </w:p>
    <w:p>
      <w:pPr>
        <w:snapToGrid w:val="0"/>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1.2.2信用信息查询记录和证据留存的具体方式：现场查询的供应商的信用记录、查询结果经确认后将与采购文件一起存档。</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1.2.3信用信息的使用规则：经查询列入失信被执行人名单、重大税收违法案件当事人名单、政府采购严重违法失信行为记录名单的供应商将被拒绝参与政府采购活动。</w:t>
      </w:r>
    </w:p>
    <w:p>
      <w:pPr>
        <w:snapToGrid w:val="0"/>
        <w:spacing w:line="360" w:lineRule="auto"/>
        <w:ind w:firstLine="472" w:firstLineChars="196"/>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2.实质审查</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2.1评标委员会审查响应文件的实质性内容是否符合征集文件的实质性要求。</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2.2评标委员会将根据供应商的响应文件进行审查、核对，如有疑问，将对供应商进行询标，供应商要向评标委员会澄清有关问题，并最终以书面形式进行答复。</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询标时，供应商代表未到场或者拒绝澄清或者澄清的内容改变了响应文件的实质性内容的，评标委员会有权对该响应文件做出不利于供应商的评判。</w:t>
      </w:r>
    </w:p>
    <w:p>
      <w:pPr>
        <w:snapToGrid w:val="0"/>
        <w:spacing w:line="360" w:lineRule="auto"/>
        <w:ind w:firstLine="480" w:firstLineChars="200"/>
        <w:rPr>
          <w:rFonts w:asciiTheme="majorEastAsia" w:hAnsiTheme="majorEastAsia" w:eastAsiaTheme="majorEastAsia" w:cstheme="majorEastAsia"/>
          <w:strike/>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2.3</w:t>
      </w:r>
      <w:r>
        <w:rPr>
          <w:rFonts w:hint="eastAsia" w:asciiTheme="majorEastAsia" w:hAnsiTheme="majorEastAsia" w:eastAsiaTheme="majorEastAsia" w:cstheme="majorEastAsia"/>
          <w:color w:val="000000" w:themeColor="text1"/>
          <w:highlight w:val="none"/>
          <w14:textFill>
            <w14:solidFill>
              <w14:schemeClr w14:val="tx1"/>
            </w14:solidFill>
          </w14:textFill>
        </w:rPr>
        <w:t>评标委员会各成员应当独立对每个供应商的商务和技术文件进行评价，并汇总商务技术得分情况。</w:t>
      </w:r>
    </w:p>
    <w:p>
      <w:pPr>
        <w:pStyle w:val="6"/>
        <w:ind w:firstLine="482" w:firstLineChars="200"/>
        <w:rPr>
          <w:rFonts w:asciiTheme="majorEastAsia" w:hAnsiTheme="majorEastAsia" w:eastAsiaTheme="majorEastAsia" w:cstheme="majorEastAsia"/>
          <w:color w:val="000000" w:themeColor="text1"/>
          <w:kern w:val="2"/>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szCs w:val="24"/>
          <w:highlight w:val="none"/>
          <w14:textFill>
            <w14:solidFill>
              <w14:schemeClr w14:val="tx1"/>
            </w14:solidFill>
          </w14:textFill>
        </w:rPr>
        <w:t>3.报价审查</w:t>
      </w:r>
    </w:p>
    <w:p>
      <w:pPr>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本项目采用固定费率，评审时须审查《报价承诺函》。</w:t>
      </w:r>
    </w:p>
    <w:p>
      <w:pPr>
        <w:pStyle w:val="6"/>
        <w:ind w:firstLine="482" w:firstLineChars="200"/>
        <w:rPr>
          <w:rFonts w:asciiTheme="majorEastAsia" w:hAnsiTheme="majorEastAsia" w:eastAsiaTheme="majorEastAsia" w:cstheme="majorEastAsia"/>
          <w:color w:val="000000" w:themeColor="text1"/>
          <w:kern w:val="2"/>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szCs w:val="24"/>
          <w:highlight w:val="none"/>
          <w14:textFill>
            <w14:solidFill>
              <w14:schemeClr w14:val="tx1"/>
            </w14:solidFill>
          </w14:textFill>
        </w:rPr>
        <w:t>4.比较和推荐</w:t>
      </w:r>
    </w:p>
    <w:p>
      <w:pPr>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spacing w:line="360" w:lineRule="auto"/>
        <w:ind w:firstLine="480" w:firstLineChars="200"/>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评标委员会按评标原则推荐入围供应商同时起草评标报告。</w:t>
      </w:r>
    </w:p>
    <w:p>
      <w:pPr>
        <w:snapToGrid w:val="0"/>
        <w:spacing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（四）澄清问题的形式</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对响应文件中含义不明确、同类问题表述不一致或者有明显文字和计算错误的内容，评标委员会可要求供应商作出必要的澄清、说明或者纠正。</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评标委员会可以在“政采云”平台在线询标或其他有效形式要求供应商对同一份响应文件含义不明确或同类问题表述不一致的内容（征集文件其他地方有规定处理方法的除外）作必要的澄清或说明。供应商应采用在线回复或其他有效形式在询标规定时间内进行澄清或说明，但不得超出响应文件的范围或改变响应文件的实质性内容。凡属于评标委员会在评标中发现的计算错误并进行核实的修改不在此列。</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2.如果供应商代表拒绝或未按评标委员会要求在“政采云”平台作出在线回复且无其他有效回复方式的，评标委员会可以对其作出无效响应处理。</w:t>
      </w:r>
    </w:p>
    <w:p>
      <w:pPr>
        <w:pStyle w:val="13"/>
        <w:tabs>
          <w:tab w:val="left" w:pos="630"/>
        </w:tabs>
        <w:snapToGrid w:val="0"/>
        <w:spacing w:before="120" w:after="120" w:line="360" w:lineRule="auto"/>
        <w:ind w:firstLine="472" w:firstLineChars="196"/>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（五）评标原则和评标办法</w:t>
      </w:r>
    </w:p>
    <w:p>
      <w:pPr>
        <w:pStyle w:val="13"/>
        <w:snapToGrid w:val="0"/>
        <w:spacing w:before="120"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pPr>
        <w:pStyle w:val="13"/>
        <w:snapToGrid w:val="0"/>
        <w:spacing w:before="120"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2.评标办法。本项目评标办法是质量优先法，具体评标内容及评分标准等详见《第四章：评标办法及评分标准》。</w:t>
      </w:r>
    </w:p>
    <w:p>
      <w:pPr>
        <w:pStyle w:val="13"/>
        <w:snapToGrid w:val="0"/>
        <w:spacing w:before="120" w:after="120" w:line="360" w:lineRule="auto"/>
        <w:ind w:firstLine="472" w:firstLineChars="196"/>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（六）评标过程的监控</w:t>
      </w:r>
    </w:p>
    <w:p>
      <w:pPr>
        <w:pStyle w:val="13"/>
        <w:snapToGrid w:val="0"/>
        <w:spacing w:before="120"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本项目评标过程实行全程录音、录像监控。供应商在评标过程中所进行的试图影响评标结果的不公正活动，可能导致其响应被拒绝。</w:t>
      </w:r>
    </w:p>
    <w:p>
      <w:pPr>
        <w:rPr>
          <w:rFonts w:asciiTheme="majorEastAsia" w:hAnsiTheme="majorEastAsia" w:eastAsiaTheme="majorEastAsia" w:cstheme="majorEastAsia"/>
          <w:color w:val="000000" w:themeColor="text1"/>
          <w:highlight w:val="none"/>
          <w14:textFill>
            <w14:solidFill>
              <w14:schemeClr w14:val="tx1"/>
            </w14:solidFill>
          </w14:textFill>
        </w:rPr>
      </w:pPr>
    </w:p>
    <w:p>
      <w:pPr>
        <w:pStyle w:val="13"/>
        <w:snapToGrid w:val="0"/>
        <w:spacing w:before="120" w:after="120" w:line="360" w:lineRule="auto"/>
        <w:ind w:firstLine="472" w:firstLineChars="196"/>
        <w:jc w:val="center"/>
        <w:outlineLvl w:val="1"/>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六、定标</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1.评标结束后</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，征集人在</w:t>
      </w:r>
      <w:r>
        <w:rPr>
          <w:rFonts w:hint="eastAsia" w:asciiTheme="majorEastAsia" w:hAnsiTheme="majorEastAsia" w:eastAsiaTheme="majorEastAsia" w:cstheme="majorEastAsia"/>
          <w:color w:val="000000" w:themeColor="text1"/>
          <w:highlight w:val="none"/>
          <w14:textFill>
            <w14:solidFill>
              <w14:schemeClr w14:val="tx1"/>
            </w14:solidFill>
          </w14:textFill>
        </w:rPr>
        <w:t>2个工作日内在发布框架协议采购公告的网站上对评标结果进行公告。</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2.供应商对评标结果无异议的，征集人应在收到评标报告后5个工作日内对评标结果进行确认。如有供应商对评标结果提出质疑的，征集人可在质疑处理完毕后确定入围供应商。</w:t>
      </w:r>
    </w:p>
    <w:p>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 在公告中标结果的同时，</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征集人</w:t>
      </w:r>
      <w:r>
        <w:rPr>
          <w:rFonts w:hint="eastAsia" w:asciiTheme="majorEastAsia" w:hAnsiTheme="majorEastAsia" w:eastAsiaTheme="majorEastAsia" w:cstheme="majorEastAsia"/>
          <w:color w:val="000000" w:themeColor="text1"/>
          <w:highlight w:val="none"/>
          <w14:textFill>
            <w14:solidFill>
              <w14:schemeClr w14:val="tx1"/>
            </w14:solidFill>
          </w14:textFill>
        </w:rPr>
        <w:t>在政采云系统向入围供应商发出入围通知书。</w:t>
      </w:r>
    </w:p>
    <w:p>
      <w:pPr>
        <w:pStyle w:val="13"/>
        <w:snapToGrid w:val="0"/>
        <w:spacing w:before="120" w:after="120" w:line="360" w:lineRule="auto"/>
        <w:jc w:val="center"/>
        <w:outlineLvl w:val="1"/>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七、框架协议授予</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1.征集人与入围供应商应当在《入围通知书》发出之日起</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0</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个工作</w:t>
      </w:r>
      <w:r>
        <w:rPr>
          <w:rFonts w:hint="eastAsia" w:asciiTheme="majorEastAsia" w:hAnsiTheme="majorEastAsia" w:eastAsiaTheme="majorEastAsia" w:cstheme="majorEastAsia"/>
          <w:color w:val="000000" w:themeColor="text1"/>
          <w:highlight w:val="none"/>
          <w14:textFill>
            <w14:solidFill>
              <w14:schemeClr w14:val="tx1"/>
            </w14:solidFill>
          </w14:textFill>
        </w:rPr>
        <w:t>日内签订政府采购框架协议（框架协议一式</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三</w:t>
      </w:r>
      <w:r>
        <w:rPr>
          <w:rFonts w:hint="eastAsia" w:asciiTheme="majorEastAsia" w:hAnsiTheme="majorEastAsia" w:eastAsiaTheme="majorEastAsia" w:cstheme="majorEastAsia"/>
          <w:color w:val="000000" w:themeColor="text1"/>
          <w:highlight w:val="none"/>
          <w14:textFill>
            <w14:solidFill>
              <w14:schemeClr w14:val="tx1"/>
            </w14:solidFill>
          </w14:textFill>
        </w:rPr>
        <w:t>份，</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主管预算单位</w:t>
      </w:r>
      <w:r>
        <w:rPr>
          <w:rFonts w:hint="eastAsia" w:asciiTheme="majorEastAsia" w:hAnsiTheme="majorEastAsia" w:eastAsiaTheme="majorEastAsia" w:cstheme="majorEastAsia"/>
          <w:color w:val="000000" w:themeColor="text1"/>
          <w:highlight w:val="none"/>
          <w14:textFill>
            <w14:solidFill>
              <w14:schemeClr w14:val="tx1"/>
            </w14:solidFill>
          </w14:textFill>
        </w:rPr>
        <w:t>与入围供应商各执</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一</w:t>
      </w:r>
      <w:r>
        <w:rPr>
          <w:rFonts w:hint="eastAsia" w:asciiTheme="majorEastAsia" w:hAnsiTheme="majorEastAsia" w:eastAsiaTheme="majorEastAsia" w:cstheme="majorEastAsia"/>
          <w:color w:val="000000" w:themeColor="text1"/>
          <w:highlight w:val="none"/>
          <w14:textFill>
            <w14:solidFill>
              <w14:schemeClr w14:val="tx1"/>
            </w14:solidFill>
          </w14:textFill>
        </w:rPr>
        <w:t>份，集中采购代理机构留存一份），</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主管预算单位</w:t>
      </w:r>
      <w:r>
        <w:rPr>
          <w:rFonts w:hint="eastAsia" w:asciiTheme="majorEastAsia" w:hAnsiTheme="majorEastAsia" w:eastAsiaTheme="majorEastAsia" w:cstheme="majorEastAsia"/>
          <w:color w:val="000000" w:themeColor="text1"/>
          <w:highlight w:val="none"/>
          <w14:textFill>
            <w14:solidFill>
              <w14:schemeClr w14:val="tx1"/>
            </w14:solidFill>
          </w14:textFill>
        </w:rPr>
        <w:t>对框架协议内容进行审查，如发现与采购结果和响应承诺内容不一致的，予以纠正。</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２.入围供应商拖延、拒签合同的，将被取消入围资格，并报监督管理部门依法处理。</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3.征集人须在本项目政府采购合同签订之日起2个工作日内将合同发布于浙江政府采购网，但政府采购合同中涉及国家秘密、商业秘密的内容除外。</w:t>
      </w:r>
    </w:p>
    <w:bookmarkEnd w:id="36"/>
    <w:bookmarkEnd w:id="37"/>
    <w:bookmarkEnd w:id="38"/>
    <w:p>
      <w:pPr>
        <w:pStyle w:val="13"/>
        <w:snapToGrid w:val="0"/>
        <w:spacing w:before="120" w:after="120" w:line="360" w:lineRule="auto"/>
        <w:ind w:firstLine="472" w:firstLineChars="196"/>
        <w:jc w:val="center"/>
        <w:outlineLvl w:val="1"/>
        <w:rPr>
          <w:rFonts w:hint="eastAsia"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八、验收（考核）</w:t>
      </w:r>
    </w:p>
    <w:p>
      <w:pPr>
        <w:keepNext w:val="0"/>
        <w:keepLines w:val="0"/>
        <w:pageBreakBefore w:val="0"/>
        <w:widowControl w:val="0"/>
        <w:kinsoku/>
        <w:overflowPunct/>
        <w:topLinePunct w:val="0"/>
        <w:autoSpaceDE/>
        <w:autoSpaceDN/>
        <w:bidi w:val="0"/>
        <w:adjustRightInd/>
        <w:snapToGrid/>
        <w:spacing w:beforeAutospacing="0" w:afterAutospacing="0" w:line="460" w:lineRule="exact"/>
        <w:ind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新宋体" w:hAnsi="新宋体" w:eastAsia="新宋体" w:cs="新宋体"/>
          <w:b w:val="0"/>
          <w:bCs/>
          <w:color w:val="auto"/>
          <w:sz w:val="24"/>
          <w:szCs w:val="24"/>
          <w:highlight w:val="none"/>
          <w:lang w:val="en-US" w:eastAsia="zh-CN"/>
        </w:rPr>
        <w:t>根据中华人民共和国现行技术标准，按征集文件以及合同规定的验收评定标准等规范，由征集人组织验收（考核）。</w:t>
      </w:r>
    </w:p>
    <w:p>
      <w:pPr>
        <w:rPr>
          <w:highlight w:val="none"/>
        </w:rPr>
      </w:pPr>
    </w:p>
    <w:p>
      <w:pPr>
        <w:pStyle w:val="5"/>
        <w:bidi w:val="0"/>
        <w:spacing w:line="240" w:lineRule="auto"/>
        <w:rPr>
          <w:rFonts w:hint="eastAsia" w:asciiTheme="majorEastAsia" w:hAnsiTheme="majorEastAsia" w:eastAsiaTheme="majorEastAsia" w:cstheme="majorEastAsia"/>
          <w:color w:val="000000" w:themeColor="text1"/>
          <w:sz w:val="28"/>
          <w:szCs w:val="28"/>
          <w:highlight w:val="none"/>
          <w14:textFill>
            <w14:solidFill>
              <w14:schemeClr w14:val="tx1"/>
            </w14:solidFill>
          </w14:textFill>
        </w:rPr>
      </w:pPr>
      <w:bookmarkStart w:id="74" w:name="_Toc35352908"/>
      <w:bookmarkStart w:id="75" w:name="_Toc787367862"/>
      <w:r>
        <w:rPr>
          <w:rFonts w:hint="eastAsia" w:asciiTheme="majorEastAsia" w:hAnsiTheme="majorEastAsia" w:eastAsiaTheme="majorEastAsia" w:cstheme="majorEastAsia"/>
          <w:color w:val="000000" w:themeColor="text1"/>
          <w:sz w:val="28"/>
          <w:szCs w:val="28"/>
          <w:highlight w:val="none"/>
          <w14:textFill>
            <w14:solidFill>
              <w14:schemeClr w14:val="tx1"/>
            </w14:solidFill>
          </w14:textFill>
        </w:rPr>
        <w:t>第四章 评标办法及标准</w:t>
      </w:r>
      <w:bookmarkEnd w:id="74"/>
      <w:bookmarkEnd w:id="75"/>
    </w:p>
    <w:p>
      <w:pPr>
        <w:spacing w:beforeLines="50" w:afterLines="50" w:line="360"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为公正、公平地选择入围供应商，根据《中华人民共和国政府采购法》、《中华人民共和国政府采购法实施条例》、《政府采购货物和服务招标</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管理办法》（财政部87号令）、《政府采购框架协议采购方式管理暂行办法》（财政部110号令）等规定等有关法律法规的规定，并结合本项目的实际，制定本办法。</w:t>
      </w:r>
    </w:p>
    <w:p>
      <w:pPr>
        <w:spacing w:beforeLines="50" w:afterLines="50" w:line="360" w:lineRule="auto"/>
        <w:ind w:firstLine="42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本办法适用于本项目的评标。</w:t>
      </w:r>
    </w:p>
    <w:p>
      <w:pPr>
        <w:spacing w:beforeLines="50" w:afterLines="50" w:line="360" w:lineRule="auto"/>
        <w:ind w:firstLine="482"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一、总则</w:t>
      </w:r>
    </w:p>
    <w:p>
      <w:pPr>
        <w:spacing w:beforeLines="50" w:afterLines="5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根据中华人民共和国财政部令第 110 号《政府采购框架协议采购方式管理暂行办法》，确定第一阶段入围供应商的评审方法为质量优先法。</w:t>
      </w:r>
    </w:p>
    <w:p>
      <w:pPr>
        <w:spacing w:beforeLines="50" w:afterLines="50" w:line="360" w:lineRule="auto"/>
        <w:ind w:firstLine="480" w:firstLineChars="200"/>
        <w:rPr>
          <w:rFonts w:asciiTheme="majorEastAsia" w:hAnsiTheme="majorEastAsia" w:eastAsiaTheme="majorEastAsia" w:cstheme="majorEastAsia"/>
          <w:strike/>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质量优先法是指对满足采购需求且响应报价不超过最高限制单价的货物、服务进行质量综合评分，按照质量评分从高到低排序，根据征集文件规定的淘汰率或者入围供应商数量上限，确定入围供应商的评审方法。</w:t>
      </w:r>
    </w:p>
    <w:p>
      <w:pPr>
        <w:spacing w:beforeLines="50" w:afterLines="5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供应商评标综合得分=技术分+</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商务</w:t>
      </w:r>
      <w:r>
        <w:rPr>
          <w:rFonts w:hint="eastAsia" w:asciiTheme="majorEastAsia" w:hAnsiTheme="majorEastAsia" w:eastAsiaTheme="majorEastAsia" w:cstheme="majorEastAsia"/>
          <w:color w:val="000000" w:themeColor="text1"/>
          <w:highlight w:val="none"/>
          <w14:textFill>
            <w14:solidFill>
              <w14:schemeClr w14:val="tx1"/>
            </w14:solidFill>
          </w14:textFill>
        </w:rPr>
        <w:t>资信及其他分</w:t>
      </w:r>
    </w:p>
    <w:p>
      <w:pPr>
        <w:spacing w:beforeLines="50" w:afterLines="50" w:line="360" w:lineRule="auto"/>
        <w:ind w:firstLine="482" w:firstLineChars="200"/>
        <w:jc w:val="left"/>
        <w:rPr>
          <w:rFonts w:hint="eastAsia"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二、评标内容</w:t>
      </w:r>
      <w:r>
        <w:rPr>
          <w:rFonts w:hint="eastAsia" w:asciiTheme="majorEastAsia" w:hAnsiTheme="majorEastAsia" w:eastAsiaTheme="majorEastAsia" w:cstheme="majorEastAsia"/>
          <w:b/>
          <w:color w:val="000000" w:themeColor="text1"/>
          <w:highlight w:val="none"/>
          <w:lang w:eastAsia="zh-CN"/>
          <w14:textFill>
            <w14:solidFill>
              <w14:schemeClr w14:val="tx1"/>
            </w14:solidFill>
          </w14:textFill>
        </w:rPr>
        <w:t>、细则及定标</w:t>
      </w:r>
    </w:p>
    <w:p>
      <w:pPr>
        <w:widowControl/>
        <w:shd w:val="clear" w:color="auto" w:fill="auto"/>
        <w:snapToGrid w:val="0"/>
        <w:spacing w:line="360" w:lineRule="auto"/>
        <w:ind w:firstLine="480" w:firstLineChars="200"/>
        <w:rPr>
          <w:rFonts w:hint="eastAsia" w:ascii="宋体" w:hAnsi="宋体" w:eastAsia="宋体" w:cs="仿宋"/>
          <w:color w:val="auto"/>
          <w:kern w:val="0"/>
          <w:sz w:val="24"/>
          <w:highlight w:val="none"/>
        </w:rPr>
      </w:pPr>
      <w:r>
        <w:rPr>
          <w:rFonts w:hint="eastAsia" w:asciiTheme="majorEastAsia" w:hAnsiTheme="majorEastAsia" w:eastAsiaTheme="majorEastAsia" w:cstheme="majorEastAsia"/>
          <w:color w:val="000000" w:themeColor="text1"/>
          <w:highlight w:val="none"/>
          <w14:textFill>
            <w14:solidFill>
              <w14:schemeClr w14:val="tx1"/>
            </w14:solidFill>
          </w14:textFill>
        </w:rPr>
        <w:t>本项目采用质量优先法。评标总分值由商务</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资信</w:t>
      </w:r>
      <w:r>
        <w:rPr>
          <w:rFonts w:hint="eastAsia" w:asciiTheme="majorEastAsia" w:hAnsiTheme="majorEastAsia" w:eastAsiaTheme="majorEastAsia" w:cstheme="majorEastAsia"/>
          <w:color w:val="000000" w:themeColor="text1"/>
          <w:highlight w:val="none"/>
          <w14:textFill>
            <w14:solidFill>
              <w14:schemeClr w14:val="tx1"/>
            </w14:solidFill>
          </w14:textFill>
        </w:rPr>
        <w:t>技术分（资信商务得分+技术得分）组成，总分值100分。</w:t>
      </w:r>
      <w:r>
        <w:rPr>
          <w:rFonts w:hint="eastAsia" w:ascii="宋体" w:hAnsi="宋体" w:eastAsia="宋体" w:cs="仿宋"/>
          <w:color w:val="auto"/>
          <w:kern w:val="0"/>
          <w:sz w:val="24"/>
          <w:highlight w:val="none"/>
        </w:rPr>
        <w:t>评标小组根据商务</w:t>
      </w:r>
      <w:r>
        <w:rPr>
          <w:rFonts w:hint="eastAsia" w:ascii="宋体" w:hAnsi="宋体" w:eastAsia="宋体" w:cs="仿宋"/>
          <w:color w:val="auto"/>
          <w:kern w:val="0"/>
          <w:sz w:val="24"/>
          <w:highlight w:val="none"/>
          <w:lang w:eastAsia="zh-CN"/>
        </w:rPr>
        <w:t>资信</w:t>
      </w:r>
      <w:r>
        <w:rPr>
          <w:rFonts w:hint="eastAsia" w:ascii="宋体" w:hAnsi="宋体" w:eastAsia="宋体" w:cs="仿宋"/>
          <w:color w:val="auto"/>
          <w:kern w:val="0"/>
          <w:sz w:val="24"/>
          <w:highlight w:val="none"/>
        </w:rPr>
        <w:t>技术</w:t>
      </w:r>
      <w:r>
        <w:rPr>
          <w:rFonts w:hint="eastAsia" w:ascii="宋体" w:hAnsi="宋体" w:eastAsia="宋体" w:cs="仿宋"/>
          <w:color w:val="auto"/>
          <w:kern w:val="0"/>
          <w:sz w:val="24"/>
          <w:highlight w:val="none"/>
          <w:lang w:val="en-US" w:eastAsia="zh-CN"/>
        </w:rPr>
        <w:t>得分</w:t>
      </w:r>
      <w:r>
        <w:rPr>
          <w:rFonts w:hint="eastAsia" w:ascii="宋体" w:hAnsi="宋体" w:eastAsia="宋体" w:cs="仿宋"/>
          <w:color w:val="auto"/>
          <w:kern w:val="0"/>
          <w:sz w:val="24"/>
          <w:highlight w:val="none"/>
        </w:rPr>
        <w:t>从高到低选择10家为</w:t>
      </w:r>
      <w:r>
        <w:rPr>
          <w:rFonts w:hint="eastAsia" w:ascii="宋体" w:hAnsi="宋体" w:eastAsia="宋体" w:cs="仿宋"/>
          <w:color w:val="auto"/>
          <w:kern w:val="0"/>
          <w:sz w:val="24"/>
          <w:highlight w:val="none"/>
          <w:lang w:eastAsia="zh-CN"/>
        </w:rPr>
        <w:t>协议入围</w:t>
      </w:r>
      <w:r>
        <w:rPr>
          <w:rFonts w:hint="eastAsia" w:ascii="宋体" w:hAnsi="宋体" w:eastAsia="宋体" w:cs="仿宋"/>
          <w:color w:val="auto"/>
          <w:kern w:val="0"/>
          <w:sz w:val="24"/>
          <w:highlight w:val="none"/>
        </w:rPr>
        <w:t>单位，若投标单位少于等于10家，则按总分倒序淘汰一家。</w:t>
      </w:r>
    </w:p>
    <w:p>
      <w:pPr>
        <w:widowControl/>
        <w:shd w:val="clear" w:color="auto" w:fill="auto"/>
        <w:snapToGrid w:val="0"/>
        <w:spacing w:line="360" w:lineRule="auto"/>
        <w:ind w:firstLine="480" w:firstLineChars="20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lang w:eastAsia="zh-CN"/>
        </w:rPr>
        <w:t>若最后一名的综合得分相同，抽签决定协议入围单位。</w:t>
      </w:r>
    </w:p>
    <w:p>
      <w:pPr>
        <w:pStyle w:val="15"/>
        <w:spacing w:line="400" w:lineRule="exact"/>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宋体" w:hAnsi="宋体" w:eastAsia="宋体" w:cs="仿宋"/>
          <w:color w:val="auto"/>
          <w:kern w:val="0"/>
          <w:sz w:val="24"/>
          <w:highlight w:val="none"/>
        </w:rPr>
        <w:t>当确定的</w:t>
      </w:r>
      <w:r>
        <w:rPr>
          <w:rFonts w:hint="eastAsia" w:ascii="宋体" w:hAnsi="宋体" w:eastAsia="宋体" w:cs="仿宋"/>
          <w:color w:val="auto"/>
          <w:kern w:val="0"/>
          <w:sz w:val="24"/>
          <w:highlight w:val="none"/>
          <w:lang w:eastAsia="zh-CN"/>
        </w:rPr>
        <w:t>协议入围单位</w:t>
      </w:r>
      <w:r>
        <w:rPr>
          <w:rFonts w:hint="eastAsia" w:ascii="宋体" w:hAnsi="宋体" w:eastAsia="宋体" w:cs="仿宋"/>
          <w:color w:val="auto"/>
          <w:kern w:val="0"/>
          <w:sz w:val="24"/>
          <w:highlight w:val="none"/>
        </w:rPr>
        <w:t>放弃</w:t>
      </w:r>
      <w:r>
        <w:rPr>
          <w:rFonts w:hint="eastAsia" w:ascii="宋体" w:hAnsi="宋体" w:eastAsia="宋体" w:cs="仿宋"/>
          <w:color w:val="auto"/>
          <w:kern w:val="0"/>
          <w:sz w:val="24"/>
          <w:highlight w:val="none"/>
          <w:lang w:eastAsia="zh-CN"/>
        </w:rPr>
        <w:t>协议入围</w:t>
      </w:r>
      <w:r>
        <w:rPr>
          <w:rFonts w:hint="eastAsia" w:ascii="宋体" w:hAnsi="宋体" w:eastAsia="宋体" w:cs="仿宋"/>
          <w:color w:val="auto"/>
          <w:kern w:val="0"/>
          <w:sz w:val="24"/>
          <w:highlight w:val="none"/>
        </w:rPr>
        <w:t>时，</w:t>
      </w:r>
      <w:r>
        <w:rPr>
          <w:rFonts w:hint="eastAsia" w:cs="仿宋"/>
          <w:color w:val="auto"/>
          <w:kern w:val="0"/>
          <w:sz w:val="24"/>
          <w:highlight w:val="none"/>
          <w:lang w:val="en-US" w:eastAsia="zh-CN"/>
        </w:rPr>
        <w:t>或</w:t>
      </w:r>
      <w:r>
        <w:rPr>
          <w:rFonts w:hint="eastAsia" w:ascii="宋体" w:hAnsi="宋体" w:eastAsia="宋体" w:cs="仿宋"/>
          <w:color w:val="auto"/>
          <w:kern w:val="0"/>
          <w:sz w:val="24"/>
          <w:highlight w:val="none"/>
        </w:rPr>
        <w:t>因不可抗力提出不能履行合同，或者招标文件规定应当提交履约保证金而在规定期限内未能提交的，采购人可以依序选取得分次高者为</w:t>
      </w:r>
      <w:r>
        <w:rPr>
          <w:rFonts w:hint="eastAsia" w:ascii="宋体" w:hAnsi="宋体" w:eastAsia="宋体" w:cs="仿宋"/>
          <w:color w:val="auto"/>
          <w:kern w:val="0"/>
          <w:sz w:val="24"/>
          <w:highlight w:val="none"/>
          <w:lang w:eastAsia="zh-CN"/>
        </w:rPr>
        <w:t>协议入围</w:t>
      </w:r>
      <w:r>
        <w:rPr>
          <w:rFonts w:hint="eastAsia" w:ascii="宋体" w:hAnsi="宋体" w:eastAsia="宋体" w:cs="仿宋"/>
          <w:color w:val="auto"/>
          <w:kern w:val="0"/>
          <w:sz w:val="24"/>
          <w:highlight w:val="none"/>
        </w:rPr>
        <w:t>候选人。</w:t>
      </w:r>
    </w:p>
    <w:p>
      <w:pPr>
        <w:ind w:left="480"/>
        <w:rPr>
          <w:rFonts w:hint="eastAsia" w:asciiTheme="majorEastAsia" w:hAnsiTheme="majorEastAsia" w:eastAsiaTheme="majorEastAsia" w:cstheme="majorEastAsia"/>
          <w:b/>
          <w:bCs/>
          <w:color w:val="000000" w:themeColor="text1"/>
          <w:highlight w:val="none"/>
          <w14:textFill>
            <w14:solidFill>
              <w14:schemeClr w14:val="tx1"/>
            </w14:solidFill>
          </w14:textFill>
        </w:rPr>
      </w:pPr>
    </w:p>
    <w:p>
      <w:pPr>
        <w:ind w:left="48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技术、商务资信及其他分</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10</w:t>
      </w:r>
      <w:r>
        <w:rPr>
          <w:rFonts w:hint="eastAsia" w:asciiTheme="majorEastAsia" w:hAnsiTheme="majorEastAsia" w:eastAsiaTheme="majorEastAsia" w:cstheme="majorEastAsia"/>
          <w:b/>
          <w:bCs/>
          <w:color w:val="000000" w:themeColor="text1"/>
          <w:highlight w:val="none"/>
          <w14:textFill>
            <w14:solidFill>
              <w14:schemeClr w14:val="tx1"/>
            </w14:solidFill>
          </w14:textFill>
        </w:rPr>
        <w:t>0分</w:t>
      </w:r>
    </w:p>
    <w:bookmarkEnd w:id="0"/>
    <w:bookmarkEnd w:id="1"/>
    <w:bookmarkEnd w:id="4"/>
    <w:bookmarkEnd w:id="32"/>
    <w:bookmarkEnd w:id="33"/>
    <w:bookmarkEnd w:id="34"/>
    <w:bookmarkEnd w:id="35"/>
    <w:tbl>
      <w:tblPr>
        <w:tblStyle w:val="26"/>
        <w:tblW w:w="5211" w:type="pct"/>
        <w:tblInd w:w="45" w:type="dxa"/>
        <w:tblLayout w:type="fixed"/>
        <w:tblCellMar>
          <w:top w:w="0" w:type="dxa"/>
          <w:left w:w="108" w:type="dxa"/>
          <w:bottom w:w="0" w:type="dxa"/>
          <w:right w:w="108" w:type="dxa"/>
        </w:tblCellMar>
      </w:tblPr>
      <w:tblGrid>
        <w:gridCol w:w="713"/>
        <w:gridCol w:w="1266"/>
        <w:gridCol w:w="6801"/>
        <w:gridCol w:w="900"/>
      </w:tblGrid>
      <w:tr>
        <w:tblPrEx>
          <w:tblCellMar>
            <w:top w:w="0" w:type="dxa"/>
            <w:left w:w="108" w:type="dxa"/>
            <w:bottom w:w="0" w:type="dxa"/>
            <w:right w:w="108" w:type="dxa"/>
          </w:tblCellMar>
        </w:tblPrEx>
        <w:trPr>
          <w:trHeight w:val="688" w:hRule="atLeast"/>
        </w:trPr>
        <w:tc>
          <w:tcPr>
            <w:tcW w:w="713" w:type="dxa"/>
            <w:tcBorders>
              <w:top w:val="single" w:color="auto" w:sz="8" w:space="0"/>
              <w:left w:val="single" w:color="auto" w:sz="8" w:space="0"/>
              <w:bottom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b/>
                <w:color w:val="auto"/>
                <w:kern w:val="0"/>
                <w:sz w:val="24"/>
                <w:highlight w:val="none"/>
              </w:rPr>
            </w:pPr>
            <w:bookmarkStart w:id="76" w:name="_Toc979480569"/>
            <w:bookmarkStart w:id="77" w:name="_Toc12032"/>
            <w:bookmarkStart w:id="78" w:name="_Toc455"/>
            <w:r>
              <w:rPr>
                <w:rFonts w:hint="eastAsia" w:ascii="宋体" w:hAnsi="宋体" w:eastAsia="宋体" w:cs="仿宋"/>
                <w:b/>
                <w:color w:val="auto"/>
                <w:kern w:val="0"/>
                <w:sz w:val="24"/>
                <w:highlight w:val="none"/>
              </w:rPr>
              <w:t>序号</w:t>
            </w:r>
          </w:p>
        </w:tc>
        <w:tc>
          <w:tcPr>
            <w:tcW w:w="1266" w:type="dxa"/>
            <w:tcBorders>
              <w:top w:val="single" w:color="auto" w:sz="8" w:space="0"/>
              <w:left w:val="nil"/>
              <w:bottom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b/>
                <w:color w:val="auto"/>
                <w:kern w:val="0"/>
                <w:sz w:val="24"/>
                <w:highlight w:val="none"/>
              </w:rPr>
            </w:pPr>
            <w:r>
              <w:rPr>
                <w:rFonts w:hint="eastAsia" w:ascii="宋体" w:hAnsi="宋体" w:eastAsia="宋体" w:cs="仿宋"/>
                <w:b/>
                <w:color w:val="auto"/>
                <w:kern w:val="0"/>
                <w:sz w:val="24"/>
                <w:highlight w:val="none"/>
              </w:rPr>
              <w:t>评分内容</w:t>
            </w:r>
          </w:p>
        </w:tc>
        <w:tc>
          <w:tcPr>
            <w:tcW w:w="6801" w:type="dxa"/>
            <w:tcBorders>
              <w:top w:val="single" w:color="auto" w:sz="8" w:space="0"/>
              <w:left w:val="nil"/>
              <w:bottom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b/>
                <w:color w:val="auto"/>
                <w:kern w:val="0"/>
                <w:sz w:val="24"/>
                <w:highlight w:val="none"/>
              </w:rPr>
            </w:pPr>
            <w:r>
              <w:rPr>
                <w:rFonts w:hint="eastAsia" w:ascii="宋体" w:hAnsi="宋体" w:eastAsia="宋体" w:cs="仿宋"/>
                <w:b/>
                <w:color w:val="auto"/>
                <w:kern w:val="0"/>
                <w:sz w:val="24"/>
                <w:highlight w:val="none"/>
              </w:rPr>
              <w:t>评审标准</w:t>
            </w:r>
          </w:p>
        </w:tc>
        <w:tc>
          <w:tcPr>
            <w:tcW w:w="900" w:type="dxa"/>
            <w:tcBorders>
              <w:top w:val="single" w:color="auto" w:sz="8" w:space="0"/>
              <w:left w:val="nil"/>
              <w:bottom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highlight w:val="none"/>
              </w:rPr>
            </w:pPr>
            <w:r>
              <w:rPr>
                <w:rFonts w:hint="eastAsia"/>
                <w:highlight w:val="none"/>
              </w:rPr>
              <w:t>分值</w:t>
            </w:r>
          </w:p>
        </w:tc>
      </w:tr>
      <w:tr>
        <w:tblPrEx>
          <w:tblCellMar>
            <w:top w:w="0" w:type="dxa"/>
            <w:left w:w="108" w:type="dxa"/>
            <w:bottom w:w="0" w:type="dxa"/>
            <w:right w:w="108" w:type="dxa"/>
          </w:tblCellMar>
        </w:tblPrEx>
        <w:trPr>
          <w:trHeight w:val="404" w:hRule="atLeast"/>
        </w:trPr>
        <w:tc>
          <w:tcPr>
            <w:tcW w:w="9680" w:type="dxa"/>
            <w:gridSpan w:val="4"/>
            <w:tcBorders>
              <w:top w:val="single" w:color="auto" w:sz="8" w:space="0"/>
              <w:left w:val="single" w:color="auto" w:sz="8" w:space="0"/>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sz w:val="24"/>
                <w:highlight w:val="none"/>
                <w:lang w:eastAsia="zh-CN"/>
              </w:rPr>
            </w:pPr>
            <w:r>
              <w:rPr>
                <w:rFonts w:hint="eastAsia" w:ascii="宋体" w:hAnsi="宋体" w:cs="仿宋"/>
                <w:color w:val="auto"/>
                <w:sz w:val="24"/>
                <w:highlight w:val="none"/>
                <w:lang w:eastAsia="zh-CN"/>
              </w:rPr>
              <w:t>商务资信部分</w:t>
            </w:r>
          </w:p>
        </w:tc>
      </w:tr>
      <w:tr>
        <w:tblPrEx>
          <w:tblCellMar>
            <w:top w:w="0" w:type="dxa"/>
            <w:left w:w="108" w:type="dxa"/>
            <w:bottom w:w="0" w:type="dxa"/>
            <w:right w:w="108" w:type="dxa"/>
          </w:tblCellMar>
        </w:tblPrEx>
        <w:trPr>
          <w:trHeight w:val="2417" w:hRule="atLeast"/>
        </w:trPr>
        <w:tc>
          <w:tcPr>
            <w:tcW w:w="713" w:type="dxa"/>
            <w:tcBorders>
              <w:top w:val="single" w:color="auto" w:sz="4" w:space="0"/>
              <w:left w:val="single" w:color="auto" w:sz="8" w:space="0"/>
              <w:bottom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bCs/>
                <w:color w:val="auto"/>
                <w:kern w:val="0"/>
                <w:sz w:val="24"/>
                <w:szCs w:val="24"/>
                <w:highlight w:val="none"/>
                <w:lang w:val="en-US" w:eastAsia="zh-CN" w:bidi="ar-SA"/>
              </w:rPr>
            </w:pPr>
            <w:r>
              <w:rPr>
                <w:rFonts w:hint="eastAsia" w:ascii="宋体" w:hAnsi="宋体" w:eastAsia="宋体" w:cs="仿宋"/>
                <w:bCs/>
                <w:color w:val="auto"/>
                <w:kern w:val="0"/>
                <w:sz w:val="24"/>
                <w:highlight w:val="none"/>
                <w:lang w:val="en-US" w:eastAsia="zh-CN"/>
              </w:rPr>
              <w:t>1</w:t>
            </w:r>
          </w:p>
        </w:tc>
        <w:tc>
          <w:tcPr>
            <w:tcW w:w="1266" w:type="dxa"/>
            <w:tcBorders>
              <w:top w:val="single" w:color="auto" w:sz="4" w:space="0"/>
              <w:left w:val="nil"/>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spacing w:val="11"/>
                <w:sz w:val="24"/>
                <w:highlight w:val="none"/>
              </w:rPr>
              <w:t>企业业绩</w:t>
            </w:r>
          </w:p>
        </w:tc>
        <w:tc>
          <w:tcPr>
            <w:tcW w:w="6801" w:type="dxa"/>
            <w:tcBorders>
              <w:top w:val="single" w:color="auto" w:sz="4" w:space="0"/>
              <w:left w:val="nil"/>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cs="仿宋"/>
                <w:color w:val="auto"/>
                <w:sz w:val="24"/>
                <w:highlight w:val="none"/>
                <w:lang w:eastAsia="zh-CN"/>
              </w:rPr>
            </w:pPr>
            <w:r>
              <w:rPr>
                <w:rFonts w:hint="eastAsia" w:ascii="宋体" w:hAnsi="宋体" w:eastAsia="宋体" w:cs="仿宋"/>
                <w:color w:val="auto"/>
                <w:sz w:val="24"/>
                <w:highlight w:val="none"/>
              </w:rPr>
              <w:t>供应商自202</w:t>
            </w:r>
            <w:r>
              <w:rPr>
                <w:rFonts w:hint="eastAsia" w:ascii="宋体" w:hAnsi="宋体" w:cs="仿宋"/>
                <w:color w:val="auto"/>
                <w:sz w:val="24"/>
                <w:highlight w:val="none"/>
                <w:lang w:val="en-US" w:eastAsia="zh-CN"/>
              </w:rPr>
              <w:t>3</w:t>
            </w:r>
            <w:r>
              <w:rPr>
                <w:rFonts w:hint="eastAsia" w:ascii="宋体" w:hAnsi="宋体" w:eastAsia="宋体" w:cs="仿宋"/>
                <w:color w:val="auto"/>
                <w:sz w:val="24"/>
                <w:highlight w:val="none"/>
              </w:rPr>
              <w:t>年</w:t>
            </w:r>
            <w:r>
              <w:rPr>
                <w:rFonts w:hint="eastAsia" w:ascii="宋体" w:hAnsi="宋体" w:cs="仿宋"/>
                <w:color w:val="auto"/>
                <w:sz w:val="24"/>
                <w:highlight w:val="none"/>
                <w:lang w:val="en-US" w:eastAsia="zh-CN"/>
              </w:rPr>
              <w:t>01</w:t>
            </w:r>
            <w:r>
              <w:rPr>
                <w:rFonts w:hint="eastAsia" w:ascii="宋体" w:hAnsi="宋体" w:eastAsia="宋体" w:cs="仿宋"/>
                <w:color w:val="auto"/>
                <w:sz w:val="24"/>
                <w:highlight w:val="none"/>
              </w:rPr>
              <w:t>月</w:t>
            </w:r>
            <w:r>
              <w:rPr>
                <w:rFonts w:hint="eastAsia" w:ascii="宋体" w:hAnsi="宋体" w:cs="仿宋"/>
                <w:color w:val="auto"/>
                <w:sz w:val="24"/>
                <w:highlight w:val="none"/>
                <w:lang w:val="en-US" w:eastAsia="zh-CN"/>
              </w:rPr>
              <w:t>0</w:t>
            </w:r>
            <w:r>
              <w:rPr>
                <w:rFonts w:hint="eastAsia" w:ascii="宋体" w:hAnsi="宋体" w:eastAsia="宋体" w:cs="仿宋"/>
                <w:color w:val="auto"/>
                <w:sz w:val="24"/>
                <w:highlight w:val="none"/>
              </w:rPr>
              <w:t>1日至响应截止时止期间（以正式审核报告日期为准）独立完成政府投资项目工程造价咨询服务（概算、预算、结算），每提供一份有效的业绩资料得0.2分，最高得3分。</w:t>
            </w:r>
            <w:r>
              <w:rPr>
                <w:rFonts w:hint="eastAsia" w:ascii="宋体" w:hAnsi="宋体" w:cs="仿宋"/>
                <w:color w:val="auto"/>
                <w:sz w:val="24"/>
                <w:highlight w:val="none"/>
                <w:lang w:eastAsia="zh-CN"/>
              </w:rPr>
              <w:t>（</w:t>
            </w:r>
            <w:r>
              <w:rPr>
                <w:rFonts w:hint="eastAsia" w:ascii="宋体" w:hAnsi="宋体" w:cs="仿宋"/>
                <w:color w:val="auto"/>
                <w:sz w:val="24"/>
                <w:highlight w:val="none"/>
                <w:lang w:val="en-US" w:eastAsia="zh-CN"/>
              </w:rPr>
              <w:t>0-3分</w:t>
            </w:r>
            <w:r>
              <w:rPr>
                <w:rFonts w:hint="eastAsia" w:ascii="宋体" w:hAnsi="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2"/>
                <w:sz w:val="24"/>
                <w:szCs w:val="24"/>
                <w:highlight w:val="none"/>
                <w:lang w:val="en-US" w:eastAsia="zh-CN" w:bidi="ar-SA"/>
              </w:rPr>
            </w:pPr>
            <w:r>
              <w:rPr>
                <w:rFonts w:hint="eastAsia" w:ascii="宋体" w:hAnsi="宋体" w:cs="仿宋"/>
                <w:color w:val="auto"/>
                <w:sz w:val="24"/>
                <w:highlight w:val="none"/>
                <w:lang w:eastAsia="zh-CN"/>
              </w:rPr>
              <w:t>以上所有业绩材料需提供项目对应的委托合同和工程造价咨询报告（响应文件技术商务响应文件中提供合同和报告的扫描件加盖响应方电子签章），注：如无项目对应的委托合同或审定单，工程造价咨询报告的有效性需经委托方盖章确认。资料是否有效以评标小组认定为准。同一项目不得重复计分）</w:t>
            </w:r>
          </w:p>
        </w:tc>
        <w:tc>
          <w:tcPr>
            <w:tcW w:w="900" w:type="dxa"/>
            <w:tcBorders>
              <w:top w:val="single" w:color="auto" w:sz="4" w:space="0"/>
              <w:left w:val="nil"/>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2"/>
                <w:sz w:val="24"/>
                <w:szCs w:val="24"/>
                <w:highlight w:val="none"/>
                <w:lang w:val="en-US" w:eastAsia="zh-CN" w:bidi="ar-SA"/>
              </w:rPr>
            </w:pPr>
            <w:r>
              <w:rPr>
                <w:rFonts w:hint="eastAsia" w:ascii="宋体" w:hAnsi="宋体" w:eastAsia="宋体" w:cs="仿宋"/>
                <w:color w:val="auto"/>
                <w:sz w:val="24"/>
                <w:highlight w:val="none"/>
                <w:lang w:val="en-US" w:eastAsia="zh-CN"/>
              </w:rPr>
              <w:t>3</w:t>
            </w:r>
            <w:r>
              <w:rPr>
                <w:rFonts w:hint="eastAsia" w:ascii="宋体" w:hAnsi="宋体" w:cs="仿宋"/>
                <w:color w:val="auto"/>
                <w:sz w:val="24"/>
                <w:highlight w:val="none"/>
                <w:lang w:val="en-US" w:eastAsia="zh-CN"/>
              </w:rPr>
              <w:t>分</w:t>
            </w:r>
          </w:p>
        </w:tc>
      </w:tr>
      <w:tr>
        <w:tblPrEx>
          <w:tblCellMar>
            <w:top w:w="0" w:type="dxa"/>
            <w:left w:w="108" w:type="dxa"/>
            <w:bottom w:w="0" w:type="dxa"/>
            <w:right w:w="108" w:type="dxa"/>
          </w:tblCellMar>
        </w:tblPrEx>
        <w:trPr>
          <w:trHeight w:val="90" w:hRule="atLeast"/>
        </w:trPr>
        <w:tc>
          <w:tcPr>
            <w:tcW w:w="713" w:type="dxa"/>
            <w:tcBorders>
              <w:top w:val="single" w:color="auto" w:sz="8" w:space="0"/>
              <w:left w:val="single" w:color="auto" w:sz="8" w:space="0"/>
              <w:bottom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bCs/>
                <w:color w:val="auto"/>
                <w:kern w:val="0"/>
                <w:sz w:val="24"/>
                <w:highlight w:val="none"/>
                <w:lang w:eastAsia="zh-CN"/>
              </w:rPr>
            </w:pPr>
            <w:r>
              <w:rPr>
                <w:rFonts w:hint="eastAsia" w:ascii="宋体" w:hAnsi="宋体" w:eastAsia="宋体" w:cs="仿宋"/>
                <w:bCs/>
                <w:color w:val="auto"/>
                <w:kern w:val="0"/>
                <w:sz w:val="24"/>
                <w:highlight w:val="none"/>
                <w:lang w:val="en-US" w:eastAsia="zh-CN"/>
              </w:rPr>
              <w:t>2</w:t>
            </w:r>
          </w:p>
        </w:tc>
        <w:tc>
          <w:tcPr>
            <w:tcW w:w="1266" w:type="dxa"/>
            <w:tcBorders>
              <w:top w:val="single" w:color="auto" w:sz="8" w:space="0"/>
              <w:left w:val="nil"/>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default" w:ascii="宋体" w:hAnsi="宋体" w:eastAsia="宋体" w:cs="仿宋"/>
                <w:color w:val="auto"/>
                <w:kern w:val="0"/>
                <w:sz w:val="24"/>
                <w:highlight w:val="none"/>
                <w:lang w:val="en-US" w:eastAsia="zh-CN"/>
              </w:rPr>
            </w:pPr>
            <w:r>
              <w:rPr>
                <w:rFonts w:hint="eastAsia" w:ascii="宋体" w:hAnsi="宋体" w:eastAsia="宋体" w:cs="仿宋"/>
                <w:color w:val="auto"/>
                <w:kern w:val="0"/>
                <w:sz w:val="24"/>
                <w:highlight w:val="none"/>
                <w:lang w:val="en-US" w:eastAsia="zh-CN"/>
              </w:rPr>
              <w:t>企业人员</w:t>
            </w:r>
          </w:p>
        </w:tc>
        <w:tc>
          <w:tcPr>
            <w:tcW w:w="6801" w:type="dxa"/>
            <w:tcBorders>
              <w:top w:val="single" w:color="auto" w:sz="8" w:space="0"/>
              <w:left w:val="nil"/>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lang w:val="en-US" w:eastAsia="zh-CN"/>
              </w:rPr>
              <w:t>一级</w:t>
            </w:r>
            <w:r>
              <w:rPr>
                <w:rFonts w:hint="eastAsia" w:ascii="宋体" w:hAnsi="宋体" w:eastAsia="宋体" w:cs="仿宋"/>
                <w:color w:val="auto"/>
                <w:sz w:val="24"/>
                <w:highlight w:val="none"/>
              </w:rPr>
              <w:t>注册造价师每人得1分，最高得</w:t>
            </w:r>
            <w:r>
              <w:rPr>
                <w:rFonts w:hint="eastAsia" w:ascii="宋体" w:hAnsi="宋体" w:eastAsia="宋体" w:cs="仿宋"/>
                <w:color w:val="auto"/>
                <w:sz w:val="24"/>
                <w:highlight w:val="none"/>
                <w:lang w:val="en-US" w:eastAsia="zh-CN"/>
              </w:rPr>
              <w:t>8</w:t>
            </w:r>
            <w:r>
              <w:rPr>
                <w:rFonts w:hint="eastAsia" w:ascii="宋体" w:hAnsi="宋体" w:eastAsia="宋体" w:cs="仿宋"/>
                <w:color w:val="auto"/>
                <w:sz w:val="24"/>
                <w:highlight w:val="none"/>
              </w:rPr>
              <w:t>分（以造价管理站登记的现注册单位和养老保险为准，注册单位未变更至现单位的无效，缺一不可）。</w:t>
            </w:r>
            <w:r>
              <w:rPr>
                <w:rFonts w:hint="eastAsia" w:ascii="宋体" w:hAnsi="宋体" w:cs="仿宋"/>
                <w:color w:val="auto"/>
                <w:sz w:val="24"/>
                <w:highlight w:val="none"/>
                <w:lang w:eastAsia="zh-CN"/>
              </w:rPr>
              <w:t>（</w:t>
            </w:r>
            <w:r>
              <w:rPr>
                <w:rFonts w:hint="eastAsia" w:ascii="宋体" w:hAnsi="宋体" w:cs="仿宋"/>
                <w:color w:val="auto"/>
                <w:sz w:val="24"/>
                <w:highlight w:val="none"/>
                <w:lang w:val="en-US" w:eastAsia="zh-CN"/>
              </w:rPr>
              <w:t>0-8分</w:t>
            </w:r>
            <w:r>
              <w:rPr>
                <w:rFonts w:hint="eastAsia" w:ascii="宋体" w:hAnsi="宋体" w:cs="仿宋"/>
                <w:color w:val="auto"/>
                <w:sz w:val="24"/>
                <w:highlight w:val="none"/>
                <w:lang w:eastAsia="zh-CN"/>
              </w:rPr>
              <w:t>）</w:t>
            </w:r>
          </w:p>
        </w:tc>
        <w:tc>
          <w:tcPr>
            <w:tcW w:w="900" w:type="dxa"/>
            <w:tcBorders>
              <w:top w:val="single" w:color="auto" w:sz="8" w:space="0"/>
              <w:left w:val="nil"/>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lang w:val="en-US" w:eastAsia="zh-CN"/>
              </w:rPr>
              <w:t>8</w:t>
            </w:r>
            <w:r>
              <w:rPr>
                <w:rFonts w:hint="eastAsia" w:ascii="宋体" w:hAnsi="宋体" w:cs="仿宋"/>
                <w:color w:val="auto"/>
                <w:sz w:val="24"/>
                <w:highlight w:val="none"/>
                <w:lang w:val="en-US" w:eastAsia="zh-CN"/>
              </w:rPr>
              <w:t>分</w:t>
            </w:r>
          </w:p>
        </w:tc>
      </w:tr>
      <w:tr>
        <w:tblPrEx>
          <w:tblCellMar>
            <w:top w:w="0" w:type="dxa"/>
            <w:left w:w="108" w:type="dxa"/>
            <w:bottom w:w="0" w:type="dxa"/>
            <w:right w:w="108" w:type="dxa"/>
          </w:tblCellMar>
        </w:tblPrEx>
        <w:trPr>
          <w:trHeight w:val="90" w:hRule="atLeast"/>
        </w:trPr>
        <w:tc>
          <w:tcPr>
            <w:tcW w:w="713" w:type="dxa"/>
            <w:tcBorders>
              <w:top w:val="single" w:color="auto" w:sz="8" w:space="0"/>
              <w:left w:val="single" w:color="auto" w:sz="8" w:space="0"/>
              <w:bottom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lang w:eastAsia="zh-CN"/>
              </w:rPr>
            </w:pPr>
            <w:r>
              <w:rPr>
                <w:rFonts w:hint="eastAsia" w:ascii="宋体" w:hAnsi="宋体" w:cs="仿宋"/>
                <w:color w:val="auto"/>
                <w:kern w:val="0"/>
                <w:sz w:val="24"/>
                <w:highlight w:val="none"/>
                <w:lang w:val="en-US" w:eastAsia="zh-CN"/>
              </w:rPr>
              <w:t>3</w:t>
            </w:r>
          </w:p>
        </w:tc>
        <w:tc>
          <w:tcPr>
            <w:tcW w:w="1266" w:type="dxa"/>
            <w:tcBorders>
              <w:left w:val="nil"/>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default" w:ascii="宋体" w:hAnsi="宋体" w:eastAsia="宋体" w:cs="仿宋"/>
                <w:color w:val="auto"/>
                <w:kern w:val="0"/>
                <w:sz w:val="24"/>
                <w:highlight w:val="none"/>
                <w:lang w:val="en-US" w:eastAsia="zh-CN"/>
              </w:rPr>
            </w:pPr>
            <w:r>
              <w:rPr>
                <w:rFonts w:hint="eastAsia" w:ascii="宋体" w:hAnsi="宋体" w:eastAsia="宋体" w:cs="仿宋"/>
                <w:color w:val="auto"/>
                <w:kern w:val="0"/>
                <w:sz w:val="24"/>
                <w:highlight w:val="none"/>
                <w:lang w:val="en-US" w:eastAsia="zh-CN"/>
              </w:rPr>
              <w:t>项目人员配置</w:t>
            </w:r>
          </w:p>
        </w:tc>
        <w:tc>
          <w:tcPr>
            <w:tcW w:w="6801" w:type="dxa"/>
            <w:tcBorders>
              <w:top w:val="single" w:color="auto" w:sz="8" w:space="0"/>
              <w:left w:val="nil"/>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1、拟派项目负责人具有高级及以上职称的，得1分；拟派项目负责人具有注册一级造价工程师执业资格的得3分。（0-4分）拟派项目负责人具有负责2000万（含）以上政府投资项目工程造价咨询服务业绩的，每提供一份业绩资料得0.5分，最高得2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2、拟派本项目的项目组成员（项目负责人除外）按以下方式得分：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拥有建筑、安装、水利、交通运输专业一级注册造价师资格证书的，每一专业得3分最高得9分.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拥有建筑、安装、水利、交通运输专业二级注册造价师资格证书的，每一专业得2分最高得6分。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项目组成员同时具有注册一级造价工程师执业资格及高级工程师职称的，每个得2分，最高得6分。                                                                                                                                                                                                                                                                                                                                                                                                                                       注：（1）拟参加审核人员即为协议入围单位今后参加审核人员，以上人员必须是投标单位正式员工，</w:t>
            </w:r>
            <w:r>
              <w:rPr>
                <w:rFonts w:hint="eastAsia" w:ascii="宋体" w:hAnsi="宋体" w:cs="仿宋"/>
                <w:color w:val="auto"/>
                <w:sz w:val="24"/>
                <w:highlight w:val="none"/>
                <w:lang w:eastAsia="zh-CN"/>
              </w:rPr>
              <w:t>需提供</w:t>
            </w:r>
            <w:r>
              <w:rPr>
                <w:rFonts w:hint="eastAsia" w:ascii="宋体" w:hAnsi="宋体" w:eastAsia="宋体" w:cs="仿宋"/>
                <w:color w:val="auto"/>
                <w:sz w:val="24"/>
                <w:highlight w:val="none"/>
              </w:rPr>
              <w:t>近二个月的在该单位任职的个人社保缴费清单，否则不予承认。（近二个月指的是从2024年07月01日至响应截止时止期间中任何一个连续二个月。）（2）响应文件技术商务响应文件中提供证书、业绩等相应资料扫描件加盖响应供应商电子签章。（3）业绩如无项目对应的委托合同或审定单，工程造价咨询报告的有效性需经委托方盖章确认。（</w:t>
            </w:r>
            <w:r>
              <w:rPr>
                <w:rFonts w:hint="default" w:ascii="宋体" w:hAnsi="宋体" w:eastAsia="宋体" w:cs="仿宋"/>
                <w:color w:val="auto"/>
                <w:sz w:val="24"/>
                <w:highlight w:val="none"/>
                <w:lang w:val="en"/>
              </w:rPr>
              <w:t>4</w:t>
            </w:r>
            <w:r>
              <w:rPr>
                <w:rFonts w:hint="eastAsia" w:ascii="宋体" w:hAnsi="宋体" w:eastAsia="宋体" w:cs="仿宋"/>
                <w:color w:val="auto"/>
                <w:sz w:val="24"/>
                <w:highlight w:val="none"/>
              </w:rPr>
              <w:t>）对于一级注册造价师资格已达到三个以上不同专业获得满分9分，但二级注册造价师专业资格不足三个的单位，可用同一专业的一级注册造价师资格按每一专业2分计分，最高得6分。每本证书只能得分一次，不可重复使用。</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b/>
                <w:bCs/>
                <w:color w:val="auto"/>
                <w:kern w:val="2"/>
                <w:sz w:val="24"/>
                <w:szCs w:val="24"/>
                <w:highlight w:val="none"/>
                <w:lang w:val="en-US" w:eastAsia="zh-CN" w:bidi="ar-SA"/>
              </w:rPr>
            </w:pPr>
            <w:r>
              <w:rPr>
                <w:rFonts w:hint="eastAsia" w:ascii="宋体" w:hAnsi="宋体" w:cs="仿宋"/>
                <w:color w:val="auto"/>
                <w:sz w:val="24"/>
                <w:highlight w:val="none"/>
                <w:lang w:eastAsia="zh-CN"/>
              </w:rPr>
              <w:t>（</w:t>
            </w:r>
            <w:r>
              <w:rPr>
                <w:rFonts w:hint="eastAsia" w:ascii="宋体" w:hAnsi="宋体" w:cs="仿宋"/>
                <w:color w:val="auto"/>
                <w:sz w:val="24"/>
                <w:highlight w:val="none"/>
                <w:lang w:val="en-US" w:eastAsia="zh-CN"/>
              </w:rPr>
              <w:t>0-27分</w:t>
            </w:r>
            <w:r>
              <w:rPr>
                <w:rFonts w:hint="eastAsia" w:ascii="宋体" w:hAnsi="宋体" w:cs="仿宋"/>
                <w:color w:val="auto"/>
                <w:sz w:val="24"/>
                <w:highlight w:val="none"/>
                <w:lang w:eastAsia="zh-CN"/>
              </w:rPr>
              <w:t>）</w:t>
            </w:r>
          </w:p>
        </w:tc>
        <w:tc>
          <w:tcPr>
            <w:tcW w:w="900" w:type="dxa"/>
            <w:tcBorders>
              <w:top w:val="single" w:color="auto" w:sz="8" w:space="0"/>
              <w:left w:val="nil"/>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default" w:ascii="宋体" w:hAnsi="宋体" w:eastAsia="宋体" w:cs="仿宋"/>
                <w:color w:val="auto"/>
                <w:kern w:val="0"/>
                <w:sz w:val="24"/>
                <w:highlight w:val="none"/>
                <w:lang w:val="en-US" w:eastAsia="zh-CN"/>
              </w:rPr>
            </w:pPr>
            <w:r>
              <w:rPr>
                <w:rFonts w:hint="eastAsia" w:ascii="宋体" w:hAnsi="宋体" w:cs="仿宋"/>
                <w:color w:val="auto"/>
                <w:kern w:val="0"/>
                <w:sz w:val="24"/>
                <w:highlight w:val="none"/>
                <w:lang w:val="en-US" w:eastAsia="zh-CN"/>
              </w:rPr>
              <w:t>27分</w:t>
            </w:r>
          </w:p>
        </w:tc>
      </w:tr>
      <w:tr>
        <w:tblPrEx>
          <w:tblCellMar>
            <w:top w:w="0" w:type="dxa"/>
            <w:left w:w="108" w:type="dxa"/>
            <w:bottom w:w="0" w:type="dxa"/>
            <w:right w:w="108" w:type="dxa"/>
          </w:tblCellMar>
        </w:tblPrEx>
        <w:trPr>
          <w:trHeight w:val="90" w:hRule="atLeast"/>
        </w:trPr>
        <w:tc>
          <w:tcPr>
            <w:tcW w:w="9680" w:type="dxa"/>
            <w:gridSpan w:val="4"/>
            <w:tcBorders>
              <w:top w:val="single" w:color="auto" w:sz="8" w:space="0"/>
              <w:left w:val="single" w:color="auto" w:sz="8" w:space="0"/>
              <w:bottom w:val="single" w:color="auto" w:sz="8"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val="en-US" w:eastAsia="zh-CN"/>
              </w:rPr>
            </w:pPr>
            <w:r>
              <w:rPr>
                <w:rFonts w:hint="eastAsia" w:ascii="宋体" w:hAnsi="宋体" w:cs="仿宋"/>
                <w:color w:val="auto"/>
                <w:kern w:val="0"/>
                <w:sz w:val="24"/>
                <w:highlight w:val="none"/>
                <w:lang w:val="en-US" w:eastAsia="zh-CN"/>
              </w:rPr>
              <w:t>技术部分</w:t>
            </w:r>
          </w:p>
        </w:tc>
      </w:tr>
      <w:tr>
        <w:tblPrEx>
          <w:tblCellMar>
            <w:top w:w="0" w:type="dxa"/>
            <w:left w:w="108" w:type="dxa"/>
            <w:bottom w:w="0" w:type="dxa"/>
            <w:right w:w="108" w:type="dxa"/>
          </w:tblCellMar>
        </w:tblPrEx>
        <w:trPr>
          <w:trHeight w:val="359" w:hRule="atLeast"/>
        </w:trPr>
        <w:tc>
          <w:tcPr>
            <w:tcW w:w="713" w:type="dxa"/>
            <w:vMerge w:val="restart"/>
            <w:tcBorders>
              <w:top w:val="single" w:color="auto" w:sz="8" w:space="0"/>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lang w:eastAsia="zh-CN"/>
              </w:rPr>
            </w:pPr>
            <w:r>
              <w:rPr>
                <w:rFonts w:hint="eastAsia" w:ascii="宋体" w:hAnsi="宋体" w:cs="仿宋"/>
                <w:color w:val="auto"/>
                <w:kern w:val="0"/>
                <w:sz w:val="24"/>
                <w:highlight w:val="none"/>
                <w:lang w:val="en-US" w:eastAsia="zh-CN"/>
              </w:rPr>
              <w:t>4</w:t>
            </w:r>
          </w:p>
        </w:tc>
        <w:tc>
          <w:tcPr>
            <w:tcW w:w="1266" w:type="dxa"/>
            <w:vMerge w:val="restart"/>
            <w:tcBorders>
              <w:top w:val="single" w:color="auto" w:sz="8" w:space="0"/>
              <w:left w:val="nil"/>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val="zh-CN"/>
              </w:rPr>
            </w:pPr>
            <w:r>
              <w:rPr>
                <w:rFonts w:hint="eastAsia" w:ascii="宋体" w:hAnsi="宋体" w:eastAsia="宋体" w:cs="仿宋"/>
                <w:color w:val="auto"/>
                <w:kern w:val="0"/>
                <w:sz w:val="24"/>
                <w:highlight w:val="none"/>
              </w:rPr>
              <w:t>服务方案</w:t>
            </w:r>
          </w:p>
        </w:tc>
        <w:tc>
          <w:tcPr>
            <w:tcW w:w="7701" w:type="dxa"/>
            <w:gridSpan w:val="2"/>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sz w:val="24"/>
                <w:highlight w:val="none"/>
              </w:rPr>
            </w:pPr>
            <w:r>
              <w:rPr>
                <w:rFonts w:hint="eastAsia" w:ascii="宋体" w:hAnsi="宋体" w:cs="仿宋"/>
                <w:color w:val="auto"/>
                <w:kern w:val="0"/>
                <w:sz w:val="24"/>
                <w:highlight w:val="none"/>
                <w:lang w:eastAsia="zh-CN"/>
              </w:rPr>
              <w:t>投标人</w:t>
            </w:r>
            <w:r>
              <w:rPr>
                <w:rFonts w:hint="eastAsia" w:ascii="宋体" w:hAnsi="宋体" w:eastAsia="宋体" w:cs="仿宋"/>
                <w:color w:val="auto"/>
                <w:kern w:val="0"/>
                <w:sz w:val="24"/>
                <w:highlight w:val="none"/>
              </w:rPr>
              <w:t>根据以往协审经验，针对工程</w:t>
            </w:r>
            <w:r>
              <w:rPr>
                <w:rFonts w:hint="eastAsia" w:ascii="宋体" w:hAnsi="宋体" w:cs="仿宋"/>
                <w:color w:val="auto"/>
                <w:kern w:val="0"/>
                <w:sz w:val="24"/>
                <w:highlight w:val="none"/>
                <w:lang w:val="en-US" w:eastAsia="zh-CN"/>
              </w:rPr>
              <w:t>项目</w:t>
            </w:r>
            <w:r>
              <w:rPr>
                <w:rFonts w:hint="eastAsia" w:ascii="宋体" w:hAnsi="宋体" w:eastAsia="宋体" w:cs="仿宋"/>
                <w:color w:val="auto"/>
                <w:kern w:val="0"/>
                <w:sz w:val="24"/>
                <w:highlight w:val="none"/>
              </w:rPr>
              <w:t>真实性、合规性、准确性、规范性等内容提出服务方案，内容包含：</w:t>
            </w:r>
          </w:p>
        </w:tc>
      </w:tr>
      <w:tr>
        <w:tblPrEx>
          <w:tblCellMar>
            <w:top w:w="0" w:type="dxa"/>
            <w:left w:w="108" w:type="dxa"/>
            <w:bottom w:w="0" w:type="dxa"/>
            <w:right w:w="108" w:type="dxa"/>
          </w:tblCellMar>
        </w:tblPrEx>
        <w:trPr>
          <w:trHeight w:val="359" w:hRule="atLeast"/>
        </w:trPr>
        <w:tc>
          <w:tcPr>
            <w:tcW w:w="713" w:type="dxa"/>
            <w:vMerge w:val="continue"/>
            <w:tcBorders>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left w:val="nil"/>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p>
        </w:tc>
        <w:tc>
          <w:tcPr>
            <w:tcW w:w="6801"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left"/>
              <w:outlineLvl w:val="0"/>
              <w:rPr>
                <w:rFonts w:hint="eastAsia" w:ascii="宋体" w:hAnsi="宋体" w:eastAsia="宋体" w:cs="仿宋"/>
                <w:color w:val="auto"/>
                <w:kern w:val="0"/>
                <w:sz w:val="24"/>
                <w:highlight w:val="none"/>
              </w:rPr>
            </w:pPr>
            <w:r>
              <w:rPr>
                <w:rFonts w:hint="eastAsia" w:ascii="宋体" w:hAnsi="宋体" w:eastAsia="宋体" w:cs="仿宋"/>
                <w:color w:val="auto"/>
                <w:kern w:val="0"/>
                <w:sz w:val="24"/>
                <w:highlight w:val="none"/>
              </w:rPr>
              <w:t>①投标人基本情况；基本情况各方面比较。</w:t>
            </w:r>
          </w:p>
          <w:p>
            <w:pPr>
              <w:keepNext w:val="0"/>
              <w:keepLines w:val="0"/>
              <w:suppressLineNumbers w:val="0"/>
              <w:shd w:val="clear" w:color="auto" w:fill="auto"/>
              <w:adjustRightInd/>
              <w:spacing w:before="0" w:beforeAutospacing="0" w:after="0" w:afterAutospacing="0" w:line="360" w:lineRule="auto"/>
              <w:ind w:left="0" w:right="0"/>
              <w:jc w:val="left"/>
              <w:outlineLvl w:val="0"/>
              <w:rPr>
                <w:rFonts w:hint="eastAsia" w:ascii="宋体" w:hAnsi="宋体" w:eastAsia="宋体" w:cs="仿宋"/>
                <w:color w:val="auto"/>
                <w:kern w:val="0"/>
                <w:sz w:val="24"/>
                <w:highlight w:val="none"/>
              </w:rPr>
            </w:pPr>
            <w:r>
              <w:rPr>
                <w:rFonts w:hint="eastAsia" w:ascii="宋体" w:hAnsi="宋体" w:eastAsia="宋体" w:cs="仿宋"/>
                <w:color w:val="auto"/>
                <w:kern w:val="0"/>
                <w:sz w:val="24"/>
                <w:highlight w:val="none"/>
              </w:rPr>
              <w:t>情况良好，超过主管预算单位要求的得4-5分；</w:t>
            </w:r>
          </w:p>
          <w:p>
            <w:pPr>
              <w:keepNext w:val="0"/>
              <w:keepLines w:val="0"/>
              <w:suppressLineNumbers w:val="0"/>
              <w:shd w:val="clear" w:color="auto" w:fill="auto"/>
              <w:adjustRightInd/>
              <w:spacing w:before="0" w:beforeAutospacing="0" w:after="0" w:afterAutospacing="0" w:line="360" w:lineRule="auto"/>
              <w:ind w:left="0" w:right="0"/>
              <w:jc w:val="left"/>
              <w:outlineLvl w:val="0"/>
              <w:rPr>
                <w:rFonts w:hint="eastAsia" w:ascii="宋体" w:hAnsi="宋体" w:eastAsia="宋体" w:cs="仿宋"/>
                <w:color w:val="auto"/>
                <w:kern w:val="0"/>
                <w:sz w:val="24"/>
                <w:highlight w:val="none"/>
              </w:rPr>
            </w:pPr>
            <w:r>
              <w:rPr>
                <w:rFonts w:hint="eastAsia" w:ascii="宋体" w:hAnsi="宋体" w:eastAsia="宋体" w:cs="仿宋"/>
                <w:color w:val="auto"/>
                <w:kern w:val="0"/>
                <w:sz w:val="24"/>
                <w:highlight w:val="none"/>
              </w:rPr>
              <w:t>情况基本良好，基本满足主管预算单位要求的得2-4分；</w:t>
            </w:r>
          </w:p>
          <w:p>
            <w:pPr>
              <w:keepNext w:val="0"/>
              <w:keepLines w:val="0"/>
              <w:suppressLineNumbers w:val="0"/>
              <w:shd w:val="clear" w:color="auto" w:fill="auto"/>
              <w:adjustRightInd/>
              <w:spacing w:before="0" w:beforeAutospacing="0" w:after="0" w:afterAutospacing="0" w:line="360" w:lineRule="auto"/>
              <w:ind w:left="0" w:right="0"/>
              <w:jc w:val="left"/>
              <w:outlineLvl w:val="0"/>
              <w:rPr>
                <w:rFonts w:hint="eastAsia" w:ascii="宋体" w:hAnsi="宋体" w:eastAsia="宋体" w:cs="仿宋"/>
                <w:color w:val="auto"/>
                <w:kern w:val="0"/>
                <w:sz w:val="24"/>
                <w:highlight w:val="none"/>
              </w:rPr>
            </w:pPr>
            <w:r>
              <w:rPr>
                <w:rFonts w:hint="eastAsia" w:ascii="宋体" w:hAnsi="宋体" w:eastAsia="宋体" w:cs="仿宋"/>
                <w:color w:val="auto"/>
                <w:kern w:val="0"/>
                <w:sz w:val="24"/>
                <w:highlight w:val="none"/>
              </w:rPr>
              <w:t xml:space="preserve">情况基本良好，基本满足主管预算单位要求，但存在瑕疵的得0-2分。                                                                                                                                                                                                                                                                                                                                                                                                                     </w:t>
            </w:r>
          </w:p>
        </w:tc>
        <w:tc>
          <w:tcPr>
            <w:tcW w:w="900"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r>
        <w:tblPrEx>
          <w:tblCellMar>
            <w:top w:w="0" w:type="dxa"/>
            <w:left w:w="108" w:type="dxa"/>
            <w:bottom w:w="0" w:type="dxa"/>
            <w:right w:w="108" w:type="dxa"/>
          </w:tblCellMar>
        </w:tblPrEx>
        <w:trPr>
          <w:trHeight w:val="359" w:hRule="atLeast"/>
        </w:trPr>
        <w:tc>
          <w:tcPr>
            <w:tcW w:w="713" w:type="dxa"/>
            <w:vMerge w:val="continue"/>
            <w:tcBorders>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left w:val="nil"/>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p>
        </w:tc>
        <w:tc>
          <w:tcPr>
            <w:tcW w:w="6801"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②协审亮点工作:亮点工作各方面比较</w:t>
            </w:r>
            <w:r>
              <w:rPr>
                <w:rFonts w:hint="eastAsia" w:ascii="宋体" w:hAnsi="宋体" w:eastAsia="宋体" w:cs="仿宋"/>
                <w:color w:val="auto"/>
                <w:kern w:val="0"/>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0"/>
                <w:sz w:val="24"/>
                <w:highlight w:val="none"/>
                <w:lang w:val="en-US" w:eastAsia="zh-CN"/>
              </w:rPr>
            </w:pPr>
            <w:r>
              <w:rPr>
                <w:rFonts w:hint="eastAsia" w:ascii="宋体" w:hAnsi="宋体" w:eastAsia="宋体" w:cs="仿宋"/>
                <w:color w:val="auto"/>
                <w:kern w:val="0"/>
                <w:sz w:val="24"/>
                <w:highlight w:val="none"/>
                <w:lang w:val="en-US" w:eastAsia="zh-CN"/>
              </w:rPr>
              <w:t>亮点工作突出，贴合本项目要求的得4-5分；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0"/>
                <w:sz w:val="24"/>
                <w:highlight w:val="none"/>
                <w:lang w:val="en-US" w:eastAsia="zh-CN"/>
              </w:rPr>
            </w:pPr>
            <w:r>
              <w:rPr>
                <w:rFonts w:hint="eastAsia" w:ascii="宋体" w:hAnsi="宋体" w:eastAsia="宋体" w:cs="仿宋"/>
                <w:color w:val="auto"/>
                <w:kern w:val="0"/>
                <w:sz w:val="24"/>
                <w:highlight w:val="none"/>
                <w:lang w:val="en-US" w:eastAsia="zh-CN"/>
              </w:rPr>
              <w:t>亮点工作良好，基本贴合本项目要求的得2-4分；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0"/>
                <w:sz w:val="24"/>
                <w:highlight w:val="none"/>
              </w:rPr>
            </w:pPr>
            <w:r>
              <w:rPr>
                <w:rFonts w:hint="eastAsia" w:ascii="宋体" w:hAnsi="宋体" w:eastAsia="宋体" w:cs="仿宋"/>
                <w:color w:val="auto"/>
                <w:kern w:val="0"/>
                <w:sz w:val="24"/>
                <w:highlight w:val="none"/>
                <w:lang w:val="en-US" w:eastAsia="zh-CN"/>
              </w:rPr>
              <w:t xml:space="preserve">亮点工作一般的得0-2分。            </w:t>
            </w:r>
          </w:p>
        </w:tc>
        <w:tc>
          <w:tcPr>
            <w:tcW w:w="900"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r>
        <w:tblPrEx>
          <w:tblCellMar>
            <w:top w:w="0" w:type="dxa"/>
            <w:left w:w="108" w:type="dxa"/>
            <w:bottom w:w="0" w:type="dxa"/>
            <w:right w:w="108" w:type="dxa"/>
          </w:tblCellMar>
        </w:tblPrEx>
        <w:trPr>
          <w:trHeight w:val="359" w:hRule="atLeast"/>
        </w:trPr>
        <w:tc>
          <w:tcPr>
            <w:tcW w:w="713" w:type="dxa"/>
            <w:vMerge w:val="continue"/>
            <w:tcBorders>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left w:val="nil"/>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p>
        </w:tc>
        <w:tc>
          <w:tcPr>
            <w:tcW w:w="6801"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③审计重点、难点判断及解决方案:方案各方面比较</w:t>
            </w:r>
            <w:r>
              <w:rPr>
                <w:rFonts w:hint="eastAsia" w:ascii="宋体" w:hAnsi="宋体" w:eastAsia="宋体" w:cs="仿宋"/>
                <w:color w:val="auto"/>
                <w:kern w:val="0"/>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lang w:val="en-US" w:eastAsia="zh-CN"/>
              </w:rPr>
              <w:t>方案突出，贴合本项目要求的得4-</w:t>
            </w:r>
            <w:r>
              <w:rPr>
                <w:rFonts w:hint="eastAsia" w:ascii="宋体" w:hAnsi="宋体" w:eastAsia="宋体" w:cs="仿宋"/>
                <w:color w:val="auto"/>
                <w:kern w:val="0"/>
                <w:sz w:val="24"/>
                <w:highlight w:val="none"/>
              </w:rPr>
              <w:t>5分</w:t>
            </w:r>
            <w:r>
              <w:rPr>
                <w:rFonts w:hint="eastAsia" w:ascii="宋体" w:hAnsi="宋体" w:eastAsia="宋体" w:cs="仿宋"/>
                <w:color w:val="auto"/>
                <w:kern w:val="0"/>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lang w:val="en-US" w:eastAsia="zh-CN"/>
              </w:rPr>
              <w:t>方案良好，基本贴合本项目要求的得2-4</w:t>
            </w:r>
            <w:r>
              <w:rPr>
                <w:rFonts w:hint="eastAsia" w:ascii="宋体" w:hAnsi="宋体" w:eastAsia="宋体" w:cs="仿宋"/>
                <w:color w:val="auto"/>
                <w:kern w:val="0"/>
                <w:sz w:val="24"/>
                <w:highlight w:val="none"/>
              </w:rPr>
              <w:t>分</w:t>
            </w:r>
            <w:r>
              <w:rPr>
                <w:rFonts w:hint="eastAsia" w:ascii="宋体" w:hAnsi="宋体" w:eastAsia="宋体" w:cs="仿宋"/>
                <w:color w:val="auto"/>
                <w:kern w:val="0"/>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0"/>
                <w:sz w:val="24"/>
                <w:highlight w:val="none"/>
              </w:rPr>
            </w:pPr>
            <w:r>
              <w:rPr>
                <w:rFonts w:hint="eastAsia" w:ascii="宋体" w:hAnsi="宋体" w:eastAsia="宋体" w:cs="仿宋"/>
                <w:color w:val="auto"/>
                <w:kern w:val="0"/>
                <w:sz w:val="24"/>
                <w:highlight w:val="none"/>
                <w:lang w:val="en-US" w:eastAsia="zh-CN"/>
              </w:rPr>
              <w:t>方案</w:t>
            </w:r>
            <w:r>
              <w:rPr>
                <w:rFonts w:hint="eastAsia" w:ascii="宋体" w:hAnsi="宋体" w:eastAsia="宋体" w:cs="仿宋"/>
                <w:color w:val="auto"/>
                <w:kern w:val="0"/>
                <w:sz w:val="24"/>
                <w:highlight w:val="none"/>
              </w:rPr>
              <w:t>一般</w:t>
            </w:r>
            <w:r>
              <w:rPr>
                <w:rFonts w:hint="eastAsia" w:ascii="宋体" w:hAnsi="宋体" w:eastAsia="宋体" w:cs="仿宋"/>
                <w:color w:val="auto"/>
                <w:kern w:val="0"/>
                <w:sz w:val="24"/>
                <w:highlight w:val="none"/>
                <w:lang w:val="en-US" w:eastAsia="zh-CN"/>
              </w:rPr>
              <w:t>的得0-2</w:t>
            </w:r>
            <w:r>
              <w:rPr>
                <w:rFonts w:hint="eastAsia" w:ascii="宋体" w:hAnsi="宋体" w:eastAsia="宋体" w:cs="仿宋"/>
                <w:color w:val="auto"/>
                <w:kern w:val="0"/>
                <w:sz w:val="24"/>
                <w:highlight w:val="none"/>
              </w:rPr>
              <w:t>分。</w:t>
            </w:r>
          </w:p>
        </w:tc>
        <w:tc>
          <w:tcPr>
            <w:tcW w:w="900"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r>
        <w:tblPrEx>
          <w:tblCellMar>
            <w:top w:w="0" w:type="dxa"/>
            <w:left w:w="108" w:type="dxa"/>
            <w:bottom w:w="0" w:type="dxa"/>
            <w:right w:w="108" w:type="dxa"/>
          </w:tblCellMar>
        </w:tblPrEx>
        <w:trPr>
          <w:trHeight w:val="359" w:hRule="atLeast"/>
        </w:trPr>
        <w:tc>
          <w:tcPr>
            <w:tcW w:w="713" w:type="dxa"/>
            <w:vMerge w:val="continue"/>
            <w:tcBorders>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left w:val="nil"/>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p>
        </w:tc>
        <w:tc>
          <w:tcPr>
            <w:tcW w:w="6801"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left"/>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④投标人服务能力：                                                                                                     1、投标人承诺服从项目分配率达到100%的，得1分，否则不得</w:t>
            </w:r>
            <w:r>
              <w:rPr>
                <w:rFonts w:hint="eastAsia" w:ascii="宋体" w:hAnsi="宋体" w:cs="仿宋"/>
                <w:color w:val="auto"/>
                <w:kern w:val="0"/>
                <w:sz w:val="24"/>
                <w:highlight w:val="none"/>
                <w:lang w:eastAsia="zh-CN"/>
              </w:rPr>
              <w:t>分</w:t>
            </w:r>
            <w:r>
              <w:rPr>
                <w:rFonts w:hint="eastAsia" w:ascii="宋体" w:hAnsi="宋体" w:eastAsia="宋体" w:cs="仿宋"/>
                <w:color w:val="auto"/>
                <w:kern w:val="0"/>
                <w:sz w:val="24"/>
                <w:highlight w:val="none"/>
              </w:rPr>
              <w:t>；                                                                                                                                                                                                                                                                                                                                                                                                      2、投标人审核进度控制机制（0-2分）：其中完整性0.5分、合理性0.5分、可操作性0.5分、对采购单位的针对性0.5分，如供应商未提出审核进度控制机制的，得0分。                                                                                                                                                                                                                                                                                                        3.针对影响项目审核进度问题的主要因素提供解决措施与方案（0-2分）：其中完整性0.5分；合理性0.5分；可操作性0.5分；对采购单位的针对性0.5分，解决措施与方案完全无可实施性的，得0分。</w:t>
            </w:r>
            <w:r>
              <w:rPr>
                <w:rFonts w:hint="eastAsia" w:ascii="宋体" w:hAnsi="宋体" w:cs="仿宋"/>
                <w:color w:val="auto"/>
                <w:kern w:val="0"/>
                <w:sz w:val="24"/>
                <w:highlight w:val="none"/>
                <w:lang w:eastAsia="zh-CN"/>
              </w:rPr>
              <w:t>（</w:t>
            </w:r>
            <w:r>
              <w:rPr>
                <w:rFonts w:hint="eastAsia" w:ascii="宋体" w:hAnsi="宋体" w:cs="仿宋"/>
                <w:color w:val="auto"/>
                <w:kern w:val="0"/>
                <w:sz w:val="24"/>
                <w:highlight w:val="none"/>
                <w:lang w:val="en-US" w:eastAsia="zh-CN"/>
              </w:rPr>
              <w:t>0-5分</w:t>
            </w:r>
            <w:r>
              <w:rPr>
                <w:rFonts w:hint="eastAsia" w:ascii="宋体" w:hAnsi="宋体" w:cs="仿宋"/>
                <w:color w:val="auto"/>
                <w:kern w:val="0"/>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kern w:val="0"/>
                <w:sz w:val="24"/>
                <w:highlight w:val="none"/>
              </w:rPr>
            </w:pPr>
          </w:p>
        </w:tc>
        <w:tc>
          <w:tcPr>
            <w:tcW w:w="900"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r>
        <w:tblPrEx>
          <w:tblCellMar>
            <w:top w:w="0" w:type="dxa"/>
            <w:left w:w="108" w:type="dxa"/>
            <w:bottom w:w="0" w:type="dxa"/>
            <w:right w:w="108" w:type="dxa"/>
          </w:tblCellMar>
        </w:tblPrEx>
        <w:trPr>
          <w:trHeight w:val="359" w:hRule="atLeast"/>
        </w:trPr>
        <w:tc>
          <w:tcPr>
            <w:tcW w:w="713" w:type="dxa"/>
            <w:vMerge w:val="continue"/>
            <w:tcBorders>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left w:val="nil"/>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p>
        </w:tc>
        <w:tc>
          <w:tcPr>
            <w:tcW w:w="6801"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val="en-US" w:eastAsia="zh-CN"/>
              </w:rPr>
            </w:pPr>
            <w:r>
              <w:rPr>
                <w:rFonts w:hint="eastAsia" w:ascii="宋体" w:hAnsi="宋体" w:eastAsia="宋体" w:cs="仿宋"/>
                <w:color w:val="auto"/>
                <w:sz w:val="24"/>
                <w:highlight w:val="none"/>
              </w:rPr>
              <w:t>⑤</w:t>
            </w:r>
            <w:r>
              <w:rPr>
                <w:rFonts w:hint="eastAsia" w:ascii="宋体" w:hAnsi="宋体" w:eastAsia="宋体" w:cs="仿宋"/>
                <w:color w:val="auto"/>
                <w:sz w:val="24"/>
                <w:highlight w:val="none"/>
                <w:lang w:val="en-US" w:eastAsia="zh-CN"/>
              </w:rPr>
              <w:t>服务响应情况：根据投标人服务响应情与协调能力进行打分。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val="en-US" w:eastAsia="zh-CN"/>
              </w:rPr>
            </w:pPr>
            <w:r>
              <w:rPr>
                <w:rFonts w:hint="eastAsia" w:ascii="宋体" w:hAnsi="宋体" w:eastAsia="宋体" w:cs="仿宋"/>
                <w:color w:val="auto"/>
                <w:sz w:val="24"/>
                <w:highlight w:val="none"/>
                <w:lang w:val="en-US" w:eastAsia="zh-CN"/>
              </w:rPr>
              <w:t>1.响应速度≤2个小时）的得4分；2＜响应速度≤4个小时）的得2分；4＜响应速度≤8小时的得1分，超过8小时的不得分。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val="en-US" w:eastAsia="zh-CN"/>
              </w:rPr>
            </w:pPr>
            <w:r>
              <w:rPr>
                <w:rFonts w:hint="eastAsia" w:ascii="宋体" w:hAnsi="宋体" w:eastAsia="宋体" w:cs="仿宋"/>
                <w:color w:val="auto"/>
                <w:sz w:val="24"/>
                <w:highlight w:val="none"/>
                <w:lang w:val="en-US" w:eastAsia="zh-CN"/>
              </w:rPr>
              <w:t>提供相应的响应时间的说明材料或证明材料，评标委员会根据供应商提供的响应时间的说明材料或注明材料判断响应时间承诺的真实性。仅提供响应承诺书无说明材料或注明材料的按照最低档打分。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val="en-US" w:eastAsia="zh-CN"/>
              </w:rPr>
            </w:pPr>
            <w:r>
              <w:rPr>
                <w:rFonts w:hint="eastAsia" w:ascii="宋体" w:hAnsi="宋体" w:eastAsia="宋体" w:cs="仿宋"/>
                <w:color w:val="auto"/>
                <w:sz w:val="24"/>
                <w:highlight w:val="none"/>
                <w:lang w:val="en-US" w:eastAsia="zh-CN"/>
              </w:rPr>
              <w:t>2.快速响应方案：投标人根据业务情况尽可能组织协审人员快速响应采购方需求，并在服务方案中对不同项目情况（概算、预算、结算）的快速响应方案进行描述：</w:t>
            </w:r>
          </w:p>
          <w:p>
            <w:pPr>
              <w:keepNext w:val="0"/>
              <w:keepLines w:val="0"/>
              <w:suppressLineNumbers w:val="0"/>
              <w:shd w:val="clear" w:color="auto" w:fill="auto"/>
              <w:adjustRightInd/>
              <w:spacing w:before="0" w:beforeAutospacing="0" w:after="0" w:afterAutospacing="0" w:line="360" w:lineRule="auto"/>
              <w:ind w:left="0" w:right="0"/>
              <w:jc w:val="left"/>
              <w:outlineLvl w:val="0"/>
              <w:rPr>
                <w:rFonts w:hint="default" w:ascii="宋体" w:hAnsi="宋体" w:eastAsia="宋体" w:cs="仿宋"/>
                <w:color w:val="auto"/>
                <w:sz w:val="24"/>
                <w:highlight w:val="none"/>
                <w:lang w:val="en-US" w:eastAsia="zh-CN"/>
              </w:rPr>
            </w:pPr>
            <w:r>
              <w:rPr>
                <w:rFonts w:hint="eastAsia" w:ascii="宋体" w:hAnsi="宋体" w:eastAsia="宋体" w:cs="仿宋"/>
                <w:color w:val="auto"/>
                <w:sz w:val="24"/>
                <w:highlight w:val="none"/>
                <w:lang w:val="en-US" w:eastAsia="zh-CN"/>
              </w:rPr>
              <w:t>快速响应方案完善，贴合采购人要求的得5-6分；快速响应方案良好，基本贴合本项目要求的得2-4分；快速响应方案一般，存在瑕疵的0-2分。                                                                                                                                                                                                                                                                                                                                 3.外部协调确能力（2分）：投标人对征集人与外部沟通相关事项提出配合、协调、解决方案，方案具有可操作性的得1-2分，方案无可操作性的不得分。</w:t>
            </w:r>
          </w:p>
        </w:tc>
        <w:tc>
          <w:tcPr>
            <w:tcW w:w="900" w:type="dxa"/>
            <w:tcBorders>
              <w:top w:val="single" w:color="auto" w:sz="8"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default" w:ascii="宋体" w:hAnsi="宋体" w:eastAsia="宋体" w:cs="仿宋"/>
                <w:color w:val="auto"/>
                <w:kern w:val="0"/>
                <w:sz w:val="24"/>
                <w:highlight w:val="none"/>
                <w:lang w:val="en-US" w:eastAsia="zh-CN"/>
              </w:rPr>
            </w:pPr>
            <w:r>
              <w:rPr>
                <w:rFonts w:hint="eastAsia" w:ascii="宋体" w:hAnsi="宋体" w:cs="仿宋"/>
                <w:color w:val="auto"/>
                <w:kern w:val="0"/>
                <w:sz w:val="24"/>
                <w:highlight w:val="none"/>
                <w:lang w:val="en-US" w:eastAsia="zh-CN"/>
              </w:rPr>
              <w:t>12分</w:t>
            </w:r>
          </w:p>
        </w:tc>
      </w:tr>
      <w:tr>
        <w:tblPrEx>
          <w:tblCellMar>
            <w:top w:w="0" w:type="dxa"/>
            <w:left w:w="108" w:type="dxa"/>
            <w:bottom w:w="0" w:type="dxa"/>
            <w:right w:w="108" w:type="dxa"/>
          </w:tblCellMar>
        </w:tblPrEx>
        <w:trPr>
          <w:trHeight w:val="245" w:hRule="atLeast"/>
        </w:trPr>
        <w:tc>
          <w:tcPr>
            <w:tcW w:w="713" w:type="dxa"/>
            <w:vMerge w:val="continue"/>
            <w:tcBorders>
              <w:top w:val="single" w:color="auto" w:sz="4" w:space="0"/>
              <w:left w:val="single" w:color="auto" w:sz="8" w:space="0"/>
              <w:bottom w:val="single" w:color="auto" w:sz="4"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val="zh-CN"/>
              </w:rPr>
            </w:pPr>
          </w:p>
        </w:tc>
        <w:tc>
          <w:tcPr>
            <w:tcW w:w="6801"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⑥投标单位对属地</w:t>
            </w:r>
            <w:r>
              <w:rPr>
                <w:rFonts w:hint="eastAsia" w:ascii="宋体" w:hAnsi="宋体" w:cs="仿宋"/>
                <w:color w:val="auto"/>
                <w:sz w:val="24"/>
                <w:highlight w:val="none"/>
                <w:lang w:val="en-US" w:eastAsia="zh-CN"/>
              </w:rPr>
              <w:t>财政</w:t>
            </w:r>
            <w:r>
              <w:rPr>
                <w:rFonts w:hint="eastAsia" w:ascii="宋体" w:hAnsi="宋体" w:eastAsia="宋体" w:cs="仿宋"/>
                <w:color w:val="auto"/>
                <w:sz w:val="24"/>
                <w:highlight w:val="none"/>
              </w:rPr>
              <w:t>投资项目审计要求的了解程度、提供合理化建议</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lang w:val="en-US" w:eastAsia="zh-CN"/>
              </w:rPr>
              <w:t>建议合理，贴合本地化要求的得4-</w:t>
            </w:r>
            <w:r>
              <w:rPr>
                <w:rFonts w:hint="eastAsia" w:ascii="宋体" w:hAnsi="宋体" w:eastAsia="宋体" w:cs="仿宋"/>
                <w:color w:val="auto"/>
                <w:sz w:val="24"/>
                <w:highlight w:val="none"/>
              </w:rPr>
              <w:t>5分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lang w:val="en-US" w:eastAsia="zh-CN"/>
              </w:rPr>
              <w:t>建议合理，基本贴合本地化要求的得2-4</w:t>
            </w:r>
            <w:r>
              <w:rPr>
                <w:rFonts w:hint="eastAsia" w:ascii="宋体" w:hAnsi="宋体" w:eastAsia="宋体" w:cs="仿宋"/>
                <w:color w:val="auto"/>
                <w:sz w:val="24"/>
                <w:highlight w:val="none"/>
              </w:rPr>
              <w:t>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lang w:val="en-US" w:eastAsia="zh-CN"/>
              </w:rPr>
              <w:t>建议</w:t>
            </w:r>
            <w:r>
              <w:rPr>
                <w:rFonts w:hint="eastAsia" w:ascii="宋体" w:hAnsi="宋体" w:eastAsia="宋体" w:cs="仿宋"/>
                <w:color w:val="auto"/>
                <w:sz w:val="24"/>
                <w:highlight w:val="none"/>
              </w:rPr>
              <w:t>一般</w:t>
            </w:r>
            <w:r>
              <w:rPr>
                <w:rFonts w:hint="eastAsia" w:ascii="宋体" w:hAnsi="宋体" w:eastAsia="宋体" w:cs="仿宋"/>
                <w:color w:val="auto"/>
                <w:sz w:val="24"/>
                <w:highlight w:val="none"/>
                <w:lang w:val="en-US" w:eastAsia="zh-CN"/>
              </w:rPr>
              <w:t>的得0-2</w:t>
            </w:r>
            <w:r>
              <w:rPr>
                <w:rFonts w:hint="eastAsia" w:ascii="宋体" w:hAnsi="宋体" w:eastAsia="宋体" w:cs="仿宋"/>
                <w:color w:val="auto"/>
                <w:sz w:val="24"/>
                <w:highlight w:val="none"/>
              </w:rPr>
              <w:t>分。</w:t>
            </w:r>
          </w:p>
        </w:tc>
        <w:tc>
          <w:tcPr>
            <w:tcW w:w="900"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strike/>
                <w:color w:val="auto"/>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r>
        <w:tblPrEx>
          <w:tblCellMar>
            <w:top w:w="0" w:type="dxa"/>
            <w:left w:w="108" w:type="dxa"/>
            <w:bottom w:w="0" w:type="dxa"/>
            <w:right w:w="108" w:type="dxa"/>
          </w:tblCellMar>
        </w:tblPrEx>
        <w:trPr>
          <w:trHeight w:val="245" w:hRule="atLeast"/>
        </w:trPr>
        <w:tc>
          <w:tcPr>
            <w:tcW w:w="713" w:type="dxa"/>
            <w:vMerge w:val="restart"/>
            <w:tcBorders>
              <w:top w:val="single" w:color="auto" w:sz="4" w:space="0"/>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lang w:eastAsia="zh-CN"/>
              </w:rPr>
            </w:pPr>
            <w:r>
              <w:rPr>
                <w:rFonts w:hint="eastAsia" w:ascii="宋体" w:hAnsi="宋体" w:cs="仿宋"/>
                <w:color w:val="auto"/>
                <w:kern w:val="0"/>
                <w:sz w:val="24"/>
                <w:highlight w:val="none"/>
                <w:lang w:val="en-US" w:eastAsia="zh-CN"/>
              </w:rPr>
              <w:t>5</w:t>
            </w:r>
          </w:p>
        </w:tc>
        <w:tc>
          <w:tcPr>
            <w:tcW w:w="1266" w:type="dxa"/>
            <w:vMerge w:val="restart"/>
            <w:tcBorders>
              <w:top w:val="single" w:color="auto" w:sz="4" w:space="0"/>
              <w:left w:val="nil"/>
              <w:right w:val="single" w:color="auto" w:sz="8" w:space="0"/>
            </w:tcBorders>
            <w:noWrap w:val="0"/>
            <w:vAlign w:val="center"/>
          </w:tcPr>
          <w:p>
            <w:pPr>
              <w:keepNext w:val="0"/>
              <w:keepLines w:val="0"/>
              <w:suppressLineNumbers w:val="0"/>
              <w:shd w:val="clear" w:color="auto" w:fill="auto"/>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r>
              <w:rPr>
                <w:rFonts w:hint="eastAsia" w:ascii="宋体" w:hAnsi="宋体" w:eastAsia="宋体" w:cs="仿宋"/>
                <w:color w:val="auto"/>
                <w:kern w:val="0"/>
                <w:sz w:val="24"/>
                <w:highlight w:val="none"/>
              </w:rPr>
              <w:t>质量保证措施</w:t>
            </w:r>
          </w:p>
        </w:tc>
        <w:tc>
          <w:tcPr>
            <w:tcW w:w="7701" w:type="dxa"/>
            <w:gridSpan w:val="2"/>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lang w:eastAsia="zh-CN"/>
              </w:rPr>
              <w:t>投标人</w:t>
            </w:r>
            <w:r>
              <w:rPr>
                <w:rFonts w:hint="eastAsia" w:ascii="宋体" w:hAnsi="宋体" w:eastAsia="宋体" w:cs="仿宋"/>
                <w:color w:val="auto"/>
                <w:sz w:val="24"/>
                <w:highlight w:val="none"/>
              </w:rPr>
              <w:t xml:space="preserve">建立良好的内部控制措施，确保提供稳定、良好的服务质量： </w:t>
            </w:r>
          </w:p>
        </w:tc>
      </w:tr>
      <w:tr>
        <w:tblPrEx>
          <w:tblCellMar>
            <w:top w:w="0" w:type="dxa"/>
            <w:left w:w="108" w:type="dxa"/>
            <w:bottom w:w="0" w:type="dxa"/>
            <w:right w:w="108" w:type="dxa"/>
          </w:tblCellMar>
        </w:tblPrEx>
        <w:trPr>
          <w:trHeight w:val="245" w:hRule="atLeast"/>
        </w:trPr>
        <w:tc>
          <w:tcPr>
            <w:tcW w:w="713" w:type="dxa"/>
            <w:vMerge w:val="continue"/>
            <w:tcBorders>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left w:val="nil"/>
              <w:right w:val="single" w:color="auto" w:sz="8" w:space="0"/>
            </w:tcBorders>
            <w:noWrap w:val="0"/>
            <w:vAlign w:val="center"/>
          </w:tcPr>
          <w:p>
            <w:pPr>
              <w:keepNext w:val="0"/>
              <w:keepLines w:val="0"/>
              <w:suppressLineNumbers w:val="0"/>
              <w:shd w:val="clear" w:color="auto" w:fill="auto"/>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p>
        </w:tc>
        <w:tc>
          <w:tcPr>
            <w:tcW w:w="6801"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cs="仿宋"/>
                <w:color w:val="auto"/>
                <w:sz w:val="24"/>
                <w:highlight w:val="none"/>
                <w:lang w:eastAsia="zh-CN"/>
              </w:rPr>
            </w:pPr>
            <w:r>
              <w:rPr>
                <w:rFonts w:hint="eastAsia" w:ascii="宋体" w:hAnsi="宋体" w:eastAsia="宋体" w:cs="仿宋"/>
                <w:color w:val="auto"/>
                <w:sz w:val="24"/>
                <w:highlight w:val="none"/>
              </w:rPr>
              <w:t>①质量复核制度，分级对协审成果质量进行复核</w:t>
            </w:r>
            <w:r>
              <w:rPr>
                <w:rFonts w:hint="eastAsia" w:ascii="宋体" w:hAnsi="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质量复核制度先进、完善的得</w:t>
            </w:r>
            <w:r>
              <w:rPr>
                <w:rFonts w:hint="eastAsia" w:ascii="宋体" w:hAnsi="宋体" w:eastAsia="宋体" w:cs="仿宋"/>
                <w:color w:val="auto"/>
                <w:sz w:val="24"/>
                <w:highlight w:val="none"/>
                <w:lang w:val="en-US" w:eastAsia="zh-CN"/>
              </w:rPr>
              <w:t>4-</w:t>
            </w:r>
            <w:r>
              <w:rPr>
                <w:rFonts w:hint="eastAsia" w:ascii="宋体" w:hAnsi="宋体" w:eastAsia="宋体" w:cs="仿宋"/>
                <w:color w:val="auto"/>
                <w:sz w:val="24"/>
                <w:highlight w:val="none"/>
              </w:rPr>
              <w:t>5分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质量复核制度基本合理、基本完整的得</w:t>
            </w:r>
            <w:r>
              <w:rPr>
                <w:rFonts w:hint="eastAsia" w:ascii="宋体" w:hAnsi="宋体" w:eastAsia="宋体" w:cs="仿宋"/>
                <w:color w:val="auto"/>
                <w:sz w:val="24"/>
                <w:highlight w:val="none"/>
                <w:lang w:val="en-US" w:eastAsia="zh-CN"/>
              </w:rPr>
              <w:t>2-4</w:t>
            </w:r>
            <w:r>
              <w:rPr>
                <w:rFonts w:hint="eastAsia" w:ascii="宋体" w:hAnsi="宋体" w:eastAsia="宋体" w:cs="仿宋"/>
                <w:color w:val="auto"/>
                <w:sz w:val="24"/>
                <w:highlight w:val="none"/>
              </w:rPr>
              <w:t>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质量复核制度存在瑕疵、制度不完整的得</w:t>
            </w:r>
            <w:r>
              <w:rPr>
                <w:rFonts w:hint="eastAsia" w:ascii="宋体" w:hAnsi="宋体" w:eastAsia="宋体" w:cs="仿宋"/>
                <w:color w:val="auto"/>
                <w:sz w:val="24"/>
                <w:highlight w:val="none"/>
                <w:lang w:val="en-US" w:eastAsia="zh-CN"/>
              </w:rPr>
              <w:t>0-2</w:t>
            </w:r>
            <w:r>
              <w:rPr>
                <w:rFonts w:hint="eastAsia" w:ascii="宋体" w:hAnsi="宋体" w:eastAsia="宋体" w:cs="仿宋"/>
                <w:color w:val="auto"/>
                <w:sz w:val="24"/>
                <w:highlight w:val="none"/>
              </w:rPr>
              <w:t>分。</w:t>
            </w:r>
          </w:p>
        </w:tc>
        <w:tc>
          <w:tcPr>
            <w:tcW w:w="900"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r>
        <w:tblPrEx>
          <w:tblCellMar>
            <w:top w:w="0" w:type="dxa"/>
            <w:left w:w="108" w:type="dxa"/>
            <w:bottom w:w="0" w:type="dxa"/>
            <w:right w:w="108" w:type="dxa"/>
          </w:tblCellMar>
        </w:tblPrEx>
        <w:trPr>
          <w:trHeight w:val="245" w:hRule="atLeast"/>
        </w:trPr>
        <w:tc>
          <w:tcPr>
            <w:tcW w:w="713" w:type="dxa"/>
            <w:vMerge w:val="continue"/>
            <w:tcBorders>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left w:val="nil"/>
              <w:right w:val="single" w:color="auto" w:sz="8" w:space="0"/>
            </w:tcBorders>
            <w:noWrap w:val="0"/>
            <w:vAlign w:val="center"/>
          </w:tcPr>
          <w:p>
            <w:pPr>
              <w:keepNext w:val="0"/>
              <w:keepLines w:val="0"/>
              <w:suppressLineNumbers w:val="0"/>
              <w:shd w:val="clear" w:color="auto" w:fill="auto"/>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p>
        </w:tc>
        <w:tc>
          <w:tcPr>
            <w:tcW w:w="6801"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②档案保管制度，对协审档案分类长效管理</w:t>
            </w:r>
            <w:r>
              <w:rPr>
                <w:rFonts w:hint="eastAsia" w:ascii="宋体" w:hAnsi="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档案保管制度先进、完善的得</w:t>
            </w:r>
            <w:r>
              <w:rPr>
                <w:rFonts w:hint="eastAsia" w:ascii="宋体" w:hAnsi="宋体" w:eastAsia="宋体" w:cs="仿宋"/>
                <w:color w:val="auto"/>
                <w:sz w:val="24"/>
                <w:highlight w:val="none"/>
                <w:lang w:val="en-US" w:eastAsia="zh-CN"/>
              </w:rPr>
              <w:t>4-</w:t>
            </w:r>
            <w:r>
              <w:rPr>
                <w:rFonts w:hint="eastAsia" w:ascii="宋体" w:hAnsi="宋体" w:eastAsia="宋体" w:cs="仿宋"/>
                <w:color w:val="auto"/>
                <w:sz w:val="24"/>
                <w:highlight w:val="none"/>
              </w:rPr>
              <w:t>5分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档案保管制度基本合理、基本完整的得</w:t>
            </w:r>
            <w:r>
              <w:rPr>
                <w:rFonts w:hint="eastAsia" w:ascii="宋体" w:hAnsi="宋体" w:eastAsia="宋体" w:cs="仿宋"/>
                <w:color w:val="auto"/>
                <w:sz w:val="24"/>
                <w:highlight w:val="none"/>
                <w:lang w:val="en-US" w:eastAsia="zh-CN"/>
              </w:rPr>
              <w:t>2-4</w:t>
            </w:r>
            <w:r>
              <w:rPr>
                <w:rFonts w:hint="eastAsia" w:ascii="宋体" w:hAnsi="宋体" w:eastAsia="宋体" w:cs="仿宋"/>
                <w:color w:val="auto"/>
                <w:sz w:val="24"/>
                <w:highlight w:val="none"/>
              </w:rPr>
              <w:t>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档案保管制度存在瑕疵、制度不完整的得</w:t>
            </w:r>
            <w:r>
              <w:rPr>
                <w:rFonts w:hint="eastAsia" w:ascii="宋体" w:hAnsi="宋体" w:eastAsia="宋体" w:cs="仿宋"/>
                <w:color w:val="auto"/>
                <w:sz w:val="24"/>
                <w:highlight w:val="none"/>
                <w:lang w:val="en-US" w:eastAsia="zh-CN"/>
              </w:rPr>
              <w:t>0-2</w:t>
            </w:r>
            <w:r>
              <w:rPr>
                <w:rFonts w:hint="eastAsia" w:ascii="宋体" w:hAnsi="宋体" w:eastAsia="宋体" w:cs="仿宋"/>
                <w:color w:val="auto"/>
                <w:sz w:val="24"/>
                <w:highlight w:val="none"/>
              </w:rPr>
              <w:t>分。</w:t>
            </w:r>
          </w:p>
        </w:tc>
        <w:tc>
          <w:tcPr>
            <w:tcW w:w="900"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r>
        <w:tblPrEx>
          <w:tblCellMar>
            <w:top w:w="0" w:type="dxa"/>
            <w:left w:w="108" w:type="dxa"/>
            <w:bottom w:w="0" w:type="dxa"/>
            <w:right w:w="108" w:type="dxa"/>
          </w:tblCellMar>
        </w:tblPrEx>
        <w:trPr>
          <w:trHeight w:val="245" w:hRule="atLeast"/>
        </w:trPr>
        <w:tc>
          <w:tcPr>
            <w:tcW w:w="713" w:type="dxa"/>
            <w:vMerge w:val="continue"/>
            <w:tcBorders>
              <w:left w:val="single" w:color="auto" w:sz="8"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left w:val="nil"/>
              <w:right w:val="single" w:color="auto" w:sz="8" w:space="0"/>
            </w:tcBorders>
            <w:noWrap w:val="0"/>
            <w:vAlign w:val="center"/>
          </w:tcPr>
          <w:p>
            <w:pPr>
              <w:keepNext w:val="0"/>
              <w:keepLines w:val="0"/>
              <w:suppressLineNumbers w:val="0"/>
              <w:shd w:val="clear" w:color="auto" w:fill="auto"/>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p>
        </w:tc>
        <w:tc>
          <w:tcPr>
            <w:tcW w:w="6801"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③廉政教育制度，对参与财政投资项目审核人员定期进行廉政风险教育和排查；</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廉政教育制度先进、完善的得</w:t>
            </w:r>
            <w:r>
              <w:rPr>
                <w:rFonts w:hint="eastAsia" w:ascii="宋体" w:hAnsi="宋体" w:eastAsia="宋体" w:cs="仿宋"/>
                <w:color w:val="auto"/>
                <w:sz w:val="24"/>
                <w:highlight w:val="none"/>
                <w:lang w:val="en-US" w:eastAsia="zh-CN"/>
              </w:rPr>
              <w:t>4-</w:t>
            </w:r>
            <w:r>
              <w:rPr>
                <w:rFonts w:hint="eastAsia" w:ascii="宋体" w:hAnsi="宋体" w:eastAsia="宋体" w:cs="仿宋"/>
                <w:color w:val="auto"/>
                <w:sz w:val="24"/>
                <w:highlight w:val="none"/>
              </w:rPr>
              <w:t>5分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廉政教育制度基本合理、基本完整的得</w:t>
            </w:r>
            <w:r>
              <w:rPr>
                <w:rFonts w:hint="eastAsia" w:ascii="宋体" w:hAnsi="宋体" w:eastAsia="宋体" w:cs="仿宋"/>
                <w:color w:val="auto"/>
                <w:sz w:val="24"/>
                <w:highlight w:val="none"/>
                <w:lang w:val="en-US" w:eastAsia="zh-CN"/>
              </w:rPr>
              <w:t>2-4</w:t>
            </w:r>
            <w:r>
              <w:rPr>
                <w:rFonts w:hint="eastAsia" w:ascii="宋体" w:hAnsi="宋体" w:eastAsia="宋体" w:cs="仿宋"/>
                <w:color w:val="auto"/>
                <w:sz w:val="24"/>
                <w:highlight w:val="none"/>
              </w:rPr>
              <w:t>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廉政教育制度存在瑕疵、制度不完整的得</w:t>
            </w:r>
            <w:r>
              <w:rPr>
                <w:rFonts w:hint="eastAsia" w:ascii="宋体" w:hAnsi="宋体" w:eastAsia="宋体" w:cs="仿宋"/>
                <w:color w:val="auto"/>
                <w:sz w:val="24"/>
                <w:highlight w:val="none"/>
                <w:lang w:val="en-US" w:eastAsia="zh-CN"/>
              </w:rPr>
              <w:t>0-2</w:t>
            </w:r>
            <w:r>
              <w:rPr>
                <w:rFonts w:hint="eastAsia" w:ascii="宋体" w:hAnsi="宋体" w:eastAsia="宋体" w:cs="仿宋"/>
                <w:color w:val="auto"/>
                <w:sz w:val="24"/>
                <w:highlight w:val="none"/>
              </w:rPr>
              <w:t>分。</w:t>
            </w:r>
          </w:p>
        </w:tc>
        <w:tc>
          <w:tcPr>
            <w:tcW w:w="900"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r>
        <w:tblPrEx>
          <w:tblCellMar>
            <w:top w:w="0" w:type="dxa"/>
            <w:left w:w="108" w:type="dxa"/>
            <w:bottom w:w="0" w:type="dxa"/>
            <w:right w:w="108" w:type="dxa"/>
          </w:tblCellMar>
        </w:tblPrEx>
        <w:trPr>
          <w:trHeight w:val="245" w:hRule="atLeast"/>
        </w:trPr>
        <w:tc>
          <w:tcPr>
            <w:tcW w:w="713" w:type="dxa"/>
            <w:vMerge w:val="continue"/>
            <w:tcBorders>
              <w:left w:val="single" w:color="auto" w:sz="8" w:space="0"/>
              <w:bottom w:val="single" w:color="auto" w:sz="4"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rPr>
            </w:pPr>
          </w:p>
        </w:tc>
        <w:tc>
          <w:tcPr>
            <w:tcW w:w="1266" w:type="dxa"/>
            <w:vMerge w:val="continue"/>
            <w:tcBorders>
              <w:left w:val="nil"/>
              <w:bottom w:val="single" w:color="auto" w:sz="4" w:space="0"/>
              <w:right w:val="single" w:color="auto" w:sz="8" w:space="0"/>
            </w:tcBorders>
            <w:noWrap w:val="0"/>
            <w:vAlign w:val="center"/>
          </w:tcPr>
          <w:p>
            <w:pPr>
              <w:keepNext w:val="0"/>
              <w:keepLines w:val="0"/>
              <w:suppressLineNumbers w:val="0"/>
              <w:shd w:val="clear" w:color="auto" w:fill="auto"/>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p>
        </w:tc>
        <w:tc>
          <w:tcPr>
            <w:tcW w:w="6801"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④保密制度，对取得资料和数据进行有效保密；</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保密制度先进、完善的得</w:t>
            </w:r>
            <w:r>
              <w:rPr>
                <w:rFonts w:hint="eastAsia" w:ascii="宋体" w:hAnsi="宋体" w:eastAsia="宋体" w:cs="仿宋"/>
                <w:color w:val="auto"/>
                <w:sz w:val="24"/>
                <w:highlight w:val="none"/>
                <w:lang w:val="en-US" w:eastAsia="zh-CN"/>
              </w:rPr>
              <w:t>4-</w:t>
            </w:r>
            <w:r>
              <w:rPr>
                <w:rFonts w:hint="eastAsia" w:ascii="宋体" w:hAnsi="宋体" w:eastAsia="宋体" w:cs="仿宋"/>
                <w:color w:val="auto"/>
                <w:sz w:val="24"/>
                <w:highlight w:val="none"/>
              </w:rPr>
              <w:t>5分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lang w:eastAsia="zh-CN"/>
              </w:rPr>
            </w:pPr>
            <w:r>
              <w:rPr>
                <w:rFonts w:hint="eastAsia" w:ascii="宋体" w:hAnsi="宋体" w:eastAsia="宋体" w:cs="仿宋"/>
                <w:color w:val="auto"/>
                <w:sz w:val="24"/>
                <w:highlight w:val="none"/>
              </w:rPr>
              <w:t>保密制度基本合理、基本完整的得</w:t>
            </w:r>
            <w:r>
              <w:rPr>
                <w:rFonts w:hint="eastAsia" w:ascii="宋体" w:hAnsi="宋体" w:eastAsia="宋体" w:cs="仿宋"/>
                <w:color w:val="auto"/>
                <w:sz w:val="24"/>
                <w:highlight w:val="none"/>
                <w:lang w:val="en-US" w:eastAsia="zh-CN"/>
              </w:rPr>
              <w:t>2-4</w:t>
            </w:r>
            <w:r>
              <w:rPr>
                <w:rFonts w:hint="eastAsia" w:ascii="宋体" w:hAnsi="宋体" w:eastAsia="宋体" w:cs="仿宋"/>
                <w:color w:val="auto"/>
                <w:sz w:val="24"/>
                <w:highlight w:val="none"/>
              </w:rPr>
              <w:t>分</w:t>
            </w:r>
            <w:r>
              <w:rPr>
                <w:rFonts w:hint="eastAsia" w:ascii="宋体" w:hAnsi="宋体" w:eastAsia="宋体" w:cs="仿宋"/>
                <w:color w:val="auto"/>
                <w:sz w:val="24"/>
                <w:highlight w:val="none"/>
                <w:lang w:eastAsia="zh-CN"/>
              </w:rPr>
              <w:t>；</w:t>
            </w:r>
          </w:p>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保密制度存在瑕疵、制度不完整</w:t>
            </w:r>
            <w:r>
              <w:rPr>
                <w:rFonts w:hint="eastAsia" w:ascii="宋体" w:hAnsi="宋体" w:eastAsia="宋体" w:cs="仿宋"/>
                <w:color w:val="auto"/>
                <w:sz w:val="24"/>
                <w:highlight w:val="none"/>
                <w:lang w:eastAsia="zh-CN"/>
              </w:rPr>
              <w:t>、</w:t>
            </w:r>
            <w:r>
              <w:rPr>
                <w:rFonts w:hint="eastAsia" w:ascii="宋体" w:hAnsi="宋体" w:eastAsia="宋体" w:cs="仿宋"/>
                <w:color w:val="auto"/>
                <w:sz w:val="24"/>
                <w:highlight w:val="none"/>
                <w:lang w:val="en-US" w:eastAsia="zh-CN"/>
              </w:rPr>
              <w:t>出现过泄密情况</w:t>
            </w:r>
            <w:r>
              <w:rPr>
                <w:rFonts w:hint="eastAsia" w:ascii="宋体" w:hAnsi="宋体" w:eastAsia="宋体" w:cs="仿宋"/>
                <w:color w:val="auto"/>
                <w:sz w:val="24"/>
                <w:highlight w:val="none"/>
              </w:rPr>
              <w:t>的得</w:t>
            </w:r>
            <w:r>
              <w:rPr>
                <w:rFonts w:hint="eastAsia" w:ascii="宋体" w:hAnsi="宋体" w:eastAsia="宋体" w:cs="仿宋"/>
                <w:color w:val="auto"/>
                <w:sz w:val="24"/>
                <w:highlight w:val="none"/>
                <w:lang w:val="en-US" w:eastAsia="zh-CN"/>
              </w:rPr>
              <w:t>0-2</w:t>
            </w:r>
            <w:r>
              <w:rPr>
                <w:rFonts w:hint="eastAsia" w:ascii="宋体" w:hAnsi="宋体" w:eastAsia="宋体" w:cs="仿宋"/>
                <w:color w:val="auto"/>
                <w:sz w:val="24"/>
                <w:highlight w:val="none"/>
              </w:rPr>
              <w:t>分。</w:t>
            </w:r>
          </w:p>
        </w:tc>
        <w:tc>
          <w:tcPr>
            <w:tcW w:w="900"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r>
        <w:tblPrEx>
          <w:tblCellMar>
            <w:top w:w="0" w:type="dxa"/>
            <w:left w:w="108" w:type="dxa"/>
            <w:bottom w:w="0" w:type="dxa"/>
            <w:right w:w="108" w:type="dxa"/>
          </w:tblCellMar>
        </w:tblPrEx>
        <w:trPr>
          <w:trHeight w:val="251" w:hRule="atLeast"/>
        </w:trPr>
        <w:tc>
          <w:tcPr>
            <w:tcW w:w="713" w:type="dxa"/>
            <w:tcBorders>
              <w:top w:val="single" w:color="auto" w:sz="4" w:space="0"/>
              <w:left w:val="single" w:color="auto" w:sz="8" w:space="0"/>
              <w:bottom w:val="single" w:color="auto" w:sz="4" w:space="0"/>
              <w:right w:val="single" w:color="auto" w:sz="8" w:space="0"/>
            </w:tcBorders>
            <w:noWrap w:val="0"/>
            <w:vAlign w:val="center"/>
          </w:tcPr>
          <w:p>
            <w:pPr>
              <w:keepNext w:val="0"/>
              <w:keepLines w:val="0"/>
              <w:widowControl/>
              <w:suppressLineNumbers w:val="0"/>
              <w:shd w:val="clear" w:color="auto" w:fill="auto"/>
              <w:adjustRightInd/>
              <w:spacing w:before="0" w:beforeAutospacing="0" w:after="0" w:afterAutospacing="0" w:line="360" w:lineRule="auto"/>
              <w:ind w:left="0" w:right="0"/>
              <w:jc w:val="center"/>
              <w:rPr>
                <w:rFonts w:hint="eastAsia" w:ascii="宋体" w:hAnsi="宋体" w:eastAsia="宋体" w:cs="仿宋"/>
                <w:color w:val="auto"/>
                <w:kern w:val="0"/>
                <w:sz w:val="24"/>
                <w:highlight w:val="none"/>
                <w:lang w:eastAsia="zh-CN"/>
              </w:rPr>
            </w:pPr>
            <w:r>
              <w:rPr>
                <w:rFonts w:hint="eastAsia" w:ascii="宋体" w:hAnsi="宋体" w:cs="仿宋"/>
                <w:color w:val="auto"/>
                <w:kern w:val="0"/>
                <w:sz w:val="24"/>
                <w:highlight w:val="none"/>
                <w:lang w:val="en-US" w:eastAsia="zh-CN"/>
              </w:rPr>
              <w:t>6</w:t>
            </w:r>
          </w:p>
        </w:tc>
        <w:tc>
          <w:tcPr>
            <w:tcW w:w="1266"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rPr>
            </w:pPr>
            <w:r>
              <w:rPr>
                <w:rFonts w:hint="eastAsia" w:ascii="宋体" w:hAnsi="宋体" w:eastAsia="宋体" w:cs="仿宋"/>
                <w:color w:val="auto"/>
                <w:kern w:val="0"/>
                <w:sz w:val="24"/>
                <w:highlight w:val="none"/>
              </w:rPr>
              <w:t>服务承诺</w:t>
            </w:r>
          </w:p>
        </w:tc>
        <w:tc>
          <w:tcPr>
            <w:tcW w:w="6801"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adjustRightInd/>
              <w:spacing w:before="0" w:beforeAutospacing="0" w:after="0" w:afterAutospacing="0" w:line="360" w:lineRule="auto"/>
              <w:ind w:left="0" w:right="0"/>
              <w:outlineLvl w:val="0"/>
              <w:rPr>
                <w:rFonts w:hint="eastAsia" w:ascii="宋体" w:hAnsi="宋体" w:eastAsia="宋体" w:cs="仿宋"/>
                <w:color w:val="auto"/>
                <w:sz w:val="24"/>
                <w:highlight w:val="none"/>
              </w:rPr>
            </w:pPr>
            <w:r>
              <w:rPr>
                <w:rFonts w:hint="eastAsia" w:ascii="宋体" w:hAnsi="宋体" w:eastAsia="宋体" w:cs="仿宋"/>
                <w:color w:val="auto"/>
                <w:sz w:val="24"/>
                <w:highlight w:val="none"/>
              </w:rPr>
              <w:t>投标时投标文件中</w:t>
            </w:r>
            <w:r>
              <w:rPr>
                <w:rFonts w:hint="eastAsia" w:ascii="宋体" w:hAnsi="宋体" w:eastAsia="宋体" w:cs="仿宋"/>
                <w:color w:val="auto"/>
                <w:sz w:val="24"/>
                <w:highlight w:val="none"/>
                <w:lang w:eastAsia="zh-CN"/>
              </w:rPr>
              <w:t>投标人</w:t>
            </w:r>
            <w:r>
              <w:rPr>
                <w:rFonts w:hint="eastAsia" w:ascii="宋体" w:hAnsi="宋体" w:eastAsia="宋体" w:cs="仿宋"/>
                <w:color w:val="auto"/>
                <w:sz w:val="24"/>
                <w:highlight w:val="none"/>
              </w:rPr>
              <w:t>承诺积极响应服务价格标准、采购人考核要求，如有不称职或不能胜任审计任务</w:t>
            </w:r>
            <w:r>
              <w:rPr>
                <w:rFonts w:hint="eastAsia" w:ascii="宋体" w:hAnsi="宋体" w:cs="仿宋"/>
                <w:color w:val="auto"/>
                <w:sz w:val="24"/>
                <w:highlight w:val="none"/>
                <w:lang w:val="en-US" w:eastAsia="zh-CN"/>
              </w:rPr>
              <w:t>应</w:t>
            </w:r>
            <w:r>
              <w:rPr>
                <w:rFonts w:hint="eastAsia" w:ascii="宋体" w:hAnsi="宋体" w:eastAsia="宋体" w:cs="仿宋"/>
                <w:color w:val="auto"/>
                <w:sz w:val="24"/>
                <w:highlight w:val="none"/>
              </w:rPr>
              <w:t>无条件更换</w:t>
            </w:r>
            <w:r>
              <w:rPr>
                <w:rFonts w:hint="eastAsia" w:ascii="宋体" w:hAnsi="宋体" w:cs="仿宋"/>
                <w:color w:val="auto"/>
                <w:sz w:val="24"/>
                <w:highlight w:val="none"/>
                <w:lang w:val="en-US" w:eastAsia="zh-CN"/>
              </w:rPr>
              <w:t>审核人员</w:t>
            </w:r>
            <w:r>
              <w:rPr>
                <w:rFonts w:hint="eastAsia" w:ascii="宋体" w:hAnsi="宋体" w:eastAsia="宋体" w:cs="仿宋"/>
                <w:color w:val="auto"/>
                <w:sz w:val="24"/>
                <w:highlight w:val="none"/>
              </w:rPr>
              <w:t>，直到采购人满意为止。在接受委托后能按征集文件给定的承诺格式承诺得5分，否则本项得0分。</w:t>
            </w:r>
          </w:p>
        </w:tc>
        <w:tc>
          <w:tcPr>
            <w:tcW w:w="900" w:type="dxa"/>
            <w:tcBorders>
              <w:top w:val="single" w:color="auto" w:sz="4" w:space="0"/>
              <w:left w:val="nil"/>
              <w:bottom w:val="single" w:color="auto" w:sz="4" w:space="0"/>
              <w:right w:val="single" w:color="auto" w:sz="8" w:space="0"/>
            </w:tcBorders>
            <w:noWrap w:val="0"/>
            <w:vAlign w:val="center"/>
          </w:tcPr>
          <w:p>
            <w:pPr>
              <w:keepNext w:val="0"/>
              <w:keepLines w:val="0"/>
              <w:suppressLineNumbers w:val="0"/>
              <w:shd w:val="clear" w:color="auto" w:fill="auto"/>
              <w:spacing w:before="0" w:beforeAutospacing="0" w:after="0" w:afterAutospacing="0" w:line="360" w:lineRule="auto"/>
              <w:ind w:left="0" w:right="0"/>
              <w:jc w:val="center"/>
              <w:outlineLvl w:val="0"/>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5</w:t>
            </w:r>
            <w:r>
              <w:rPr>
                <w:rFonts w:hint="eastAsia" w:ascii="宋体" w:hAnsi="宋体" w:cs="仿宋"/>
                <w:color w:val="auto"/>
                <w:kern w:val="0"/>
                <w:sz w:val="24"/>
                <w:highlight w:val="none"/>
                <w:lang w:eastAsia="zh-CN"/>
              </w:rPr>
              <w:t>分</w:t>
            </w:r>
          </w:p>
        </w:tc>
      </w:tr>
    </w:tbl>
    <w:p>
      <w:pPr>
        <w:rPr>
          <w:rFonts w:hint="eastAsia"/>
          <w:highlight w:val="none"/>
        </w:rPr>
      </w:pPr>
      <w:bookmarkStart w:id="79" w:name="_Toc1057582860"/>
    </w:p>
    <w:p>
      <w:pPr>
        <w:pStyle w:val="5"/>
        <w:ind w:firstLine="2530" w:firstLineChars="900"/>
        <w:jc w:val="both"/>
        <w:rPr>
          <w:rFonts w:hint="eastAsia" w:asciiTheme="majorEastAsia" w:hAnsiTheme="majorEastAsia" w:eastAsiaTheme="majorEastAsia" w:cstheme="majorEastAsia"/>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color w:val="000000" w:themeColor="text1"/>
          <w:sz w:val="28"/>
          <w:szCs w:val="28"/>
          <w:highlight w:val="none"/>
          <w14:textFill>
            <w14:solidFill>
              <w14:schemeClr w14:val="tx1"/>
            </w14:solidFill>
          </w14:textFill>
        </w:rPr>
        <w:t>第五章</w:t>
      </w:r>
      <w:r>
        <w:rPr>
          <w:rFonts w:hint="eastAsia" w:asciiTheme="majorEastAsia" w:hAnsiTheme="majorEastAsia" w:eastAsiaTheme="majorEastAsia" w:cstheme="majorEastAsia"/>
          <w:color w:val="000000" w:themeColor="text1"/>
          <w:sz w:val="28"/>
          <w:szCs w:val="28"/>
          <w:highlight w:val="none"/>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z w:val="28"/>
          <w:szCs w:val="28"/>
          <w:highlight w:val="none"/>
          <w14:textFill>
            <w14:solidFill>
              <w14:schemeClr w14:val="tx1"/>
            </w14:solidFill>
          </w14:textFill>
        </w:rPr>
        <w:t>框架协议主要条款</w:t>
      </w:r>
      <w:bookmarkEnd w:id="79"/>
    </w:p>
    <w:p>
      <w:pPr>
        <w:spacing w:line="400" w:lineRule="exact"/>
        <w:ind w:firstLine="48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（此稿为框架协议样本，最终定稿待双方协商后商定）</w:t>
      </w:r>
    </w:p>
    <w:p>
      <w:pPr>
        <w:spacing w:line="400" w:lineRule="exact"/>
        <w:ind w:firstLine="480" w:firstLineChars="200"/>
        <w:rPr>
          <w:rFonts w:ascii="宋体" w:hAnsi="宋体" w:eastAsia="宋体" w:cs="宋体"/>
          <w:color w:val="000000" w:themeColor="text1"/>
          <w:highlight w:val="none"/>
          <w14:textFill>
            <w14:solidFill>
              <w14:schemeClr w14:val="tx1"/>
            </w14:solidFill>
          </w14:textFill>
        </w:rPr>
      </w:pPr>
    </w:p>
    <w:p>
      <w:pPr>
        <w:adjustRightInd/>
        <w:spacing w:line="400" w:lineRule="exact"/>
        <w:jc w:val="center"/>
        <w:rPr>
          <w:rFonts w:hint="eastAsia" w:ascii="宋体" w:hAnsi="宋体" w:eastAsia="宋体" w:cs="Times New Roman"/>
          <w:b/>
          <w:sz w:val="28"/>
          <w:szCs w:val="28"/>
          <w:highlight w:val="none"/>
        </w:rPr>
      </w:pPr>
      <w:r>
        <w:rPr>
          <w:rFonts w:hint="eastAsia" w:ascii="宋体" w:hAnsi="宋体" w:eastAsia="宋体" w:cs="Times New Roman"/>
          <w:b/>
          <w:sz w:val="28"/>
          <w:szCs w:val="28"/>
          <w:highlight w:val="none"/>
        </w:rPr>
        <w:t>兰溪市</w:t>
      </w:r>
      <w:r>
        <w:rPr>
          <w:rFonts w:hint="eastAsia" w:ascii="宋体" w:hAnsi="宋体" w:cs="Times New Roman"/>
          <w:b/>
          <w:sz w:val="28"/>
          <w:szCs w:val="28"/>
          <w:highlight w:val="none"/>
          <w:lang w:val="en-US" w:eastAsia="zh-CN"/>
        </w:rPr>
        <w:t>财政</w:t>
      </w:r>
      <w:r>
        <w:rPr>
          <w:rFonts w:hint="eastAsia" w:ascii="宋体" w:hAnsi="宋体" w:eastAsia="宋体" w:cs="Times New Roman"/>
          <w:b/>
          <w:sz w:val="28"/>
          <w:szCs w:val="28"/>
          <w:highlight w:val="none"/>
        </w:rPr>
        <w:t>投资项目工程造价</w:t>
      </w:r>
      <w:r>
        <w:rPr>
          <w:rFonts w:hint="eastAsia" w:ascii="宋体" w:hAnsi="宋体" w:cs="Times New Roman"/>
          <w:b/>
          <w:sz w:val="28"/>
          <w:szCs w:val="28"/>
          <w:highlight w:val="none"/>
          <w:lang w:val="en-US" w:eastAsia="zh-CN"/>
        </w:rPr>
        <w:t>咨询服务</w:t>
      </w:r>
      <w:r>
        <w:rPr>
          <w:rFonts w:hint="eastAsia" w:ascii="宋体" w:hAnsi="宋体" w:eastAsia="宋体" w:cs="Times New Roman"/>
          <w:b/>
          <w:sz w:val="28"/>
          <w:szCs w:val="28"/>
          <w:highlight w:val="none"/>
          <w:lang w:eastAsia="zh-CN"/>
        </w:rPr>
        <w:t>框架</w:t>
      </w:r>
      <w:r>
        <w:rPr>
          <w:rFonts w:hint="eastAsia" w:ascii="宋体" w:hAnsi="宋体" w:eastAsia="宋体" w:cs="Times New Roman"/>
          <w:b/>
          <w:sz w:val="28"/>
          <w:szCs w:val="28"/>
          <w:highlight w:val="none"/>
        </w:rPr>
        <w:t>协议书</w:t>
      </w:r>
    </w:p>
    <w:p>
      <w:pPr>
        <w:adjustRightInd/>
        <w:spacing w:line="400" w:lineRule="exact"/>
        <w:jc w:val="center"/>
        <w:rPr>
          <w:rFonts w:hint="eastAsia" w:ascii="宋体" w:hAnsi="宋体" w:eastAsia="宋体" w:cs="Times New Roman"/>
          <w:b/>
          <w:sz w:val="28"/>
          <w:szCs w:val="28"/>
          <w:highlight w:val="none"/>
        </w:rPr>
      </w:pPr>
      <w:r>
        <w:rPr>
          <w:rFonts w:hint="eastAsia" w:ascii="宋体" w:hAnsi="宋体" w:eastAsia="宋体" w:cs="Times New Roman"/>
          <w:b/>
          <w:sz w:val="28"/>
          <w:szCs w:val="28"/>
          <w:highlight w:val="none"/>
        </w:rPr>
        <w:t>（202</w:t>
      </w:r>
      <w:r>
        <w:rPr>
          <w:rFonts w:hint="eastAsia" w:ascii="宋体" w:hAnsi="宋体" w:cs="Times New Roman"/>
          <w:b/>
          <w:sz w:val="28"/>
          <w:szCs w:val="28"/>
          <w:highlight w:val="none"/>
          <w:lang w:val="en-US" w:eastAsia="zh-CN"/>
        </w:rPr>
        <w:t>5</w:t>
      </w:r>
      <w:r>
        <w:rPr>
          <w:rFonts w:hint="eastAsia" w:ascii="宋体" w:hAnsi="宋体" w:eastAsia="宋体" w:cs="Times New Roman"/>
          <w:b/>
          <w:sz w:val="28"/>
          <w:szCs w:val="28"/>
          <w:highlight w:val="none"/>
        </w:rPr>
        <w:t>-202</w:t>
      </w:r>
      <w:r>
        <w:rPr>
          <w:rFonts w:hint="eastAsia" w:ascii="宋体" w:hAnsi="宋体" w:cs="Times New Roman"/>
          <w:b/>
          <w:sz w:val="28"/>
          <w:szCs w:val="28"/>
          <w:highlight w:val="none"/>
          <w:lang w:val="en-US" w:eastAsia="zh-CN"/>
        </w:rPr>
        <w:t>6</w:t>
      </w:r>
      <w:r>
        <w:rPr>
          <w:rFonts w:hint="eastAsia" w:ascii="宋体" w:hAnsi="宋体" w:eastAsia="宋体" w:cs="Times New Roman"/>
          <w:b/>
          <w:sz w:val="28"/>
          <w:szCs w:val="28"/>
          <w:highlight w:val="none"/>
        </w:rPr>
        <w:t>年度）</w:t>
      </w:r>
    </w:p>
    <w:p>
      <w:pPr>
        <w:adjustRightInd/>
        <w:spacing w:line="400" w:lineRule="exact"/>
        <w:jc w:val="center"/>
        <w:rPr>
          <w:rFonts w:hint="eastAsia" w:ascii="宋体" w:hAnsi="宋体" w:eastAsia="宋体" w:cs="Times New Roman"/>
          <w:b/>
          <w:sz w:val="28"/>
          <w:szCs w:val="28"/>
          <w:highlight w:val="none"/>
        </w:rPr>
      </w:pP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甲方：</w:t>
      </w:r>
      <w:r>
        <w:rPr>
          <w:rFonts w:hint="eastAsia" w:ascii="宋体" w:hAnsi="宋体" w:cs="Times New Roman"/>
          <w:sz w:val="24"/>
          <w:szCs w:val="24"/>
          <w:highlight w:val="none"/>
          <w:u w:val="single"/>
          <w:lang w:eastAsia="zh-CN"/>
        </w:rPr>
        <w:t>兰溪市财政局</w:t>
      </w:r>
      <w:r>
        <w:rPr>
          <w:rFonts w:hint="eastAsia" w:ascii="宋体" w:hAnsi="宋体" w:eastAsia="宋体" w:cs="Times New Roman"/>
          <w:sz w:val="24"/>
          <w:szCs w:val="24"/>
          <w:highlight w:val="none"/>
        </w:rPr>
        <w:t xml:space="preserve">  （以下简称“</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乙方：</w:t>
      </w:r>
      <w:r>
        <w:rPr>
          <w:rFonts w:hint="eastAsia" w:ascii="宋体" w:hAnsi="宋体" w:eastAsia="宋体" w:cs="Times New Roman"/>
          <w:sz w:val="24"/>
          <w:szCs w:val="24"/>
          <w:highlight w:val="none"/>
          <w:u w:val="single"/>
        </w:rPr>
        <w:t xml:space="preserve">                           </w:t>
      </w:r>
      <w:r>
        <w:rPr>
          <w:rFonts w:hint="eastAsia" w:ascii="宋体" w:hAnsi="宋体" w:eastAsia="宋体" w:cs="Times New Roman"/>
          <w:sz w:val="24"/>
          <w:szCs w:val="24"/>
          <w:highlight w:val="none"/>
        </w:rPr>
        <w:t xml:space="preserve"> （以下简称“审核机构”）</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 xml:space="preserve">甲、乙双方根据______年_____月_____日兰溪市政府投资项目造价审核采购招标项目招标结果和招标文件（采购编号： </w:t>
      </w:r>
      <w:r>
        <w:rPr>
          <w:rFonts w:hint="eastAsia" w:ascii="宋体" w:hAnsi="宋体" w:cs="Times New Roman"/>
          <w:sz w:val="24"/>
          <w:szCs w:val="24"/>
          <w:highlight w:val="none"/>
          <w:lang w:eastAsia="zh-CN"/>
        </w:rPr>
        <w:t>LX20241102-C2303000</w:t>
      </w:r>
      <w:r>
        <w:rPr>
          <w:rFonts w:hint="eastAsia" w:ascii="宋体" w:hAnsi="宋体" w:eastAsia="宋体" w:cs="Times New Roman"/>
          <w:sz w:val="24"/>
          <w:szCs w:val="24"/>
          <w:highlight w:val="none"/>
        </w:rPr>
        <w:t xml:space="preserve"> ）的要求，并经双方协调一致，签订本协议书。</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一、合同文件：招标文件、投标文件的所有内容是构成本协议不可分割的部分。</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二、</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委托审价机构的工程概况如下：</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以抽签顺序安排工程审价项目，实际项目以送审资料清单交接为准。</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三、审价业务：</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1、工程概（估）算、预算、结算审核。</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2、审价质量：误差率不大于_</w:t>
      </w:r>
      <w:r>
        <w:rPr>
          <w:rFonts w:hint="eastAsia" w:ascii="宋体" w:hAnsi="宋体" w:cs="Times New Roman"/>
          <w:sz w:val="24"/>
          <w:szCs w:val="24"/>
          <w:highlight w:val="none"/>
          <w:u w:val="single"/>
          <w:lang w:val="en-US" w:eastAsia="zh-CN"/>
        </w:rPr>
        <w:t>2</w:t>
      </w:r>
      <w:r>
        <w:rPr>
          <w:rFonts w:hint="eastAsia" w:ascii="宋体" w:hAnsi="宋体" w:eastAsia="宋体" w:cs="Times New Roman"/>
          <w:sz w:val="24"/>
          <w:szCs w:val="24"/>
          <w:highlight w:val="none"/>
          <w:u w:val="single"/>
        </w:rPr>
        <w:t>_</w:t>
      </w:r>
      <w:r>
        <w:rPr>
          <w:rFonts w:hint="eastAsia" w:ascii="宋体" w:hAnsi="宋体" w:eastAsia="宋体" w:cs="Times New Roman"/>
          <w:sz w:val="24"/>
          <w:szCs w:val="24"/>
          <w:highlight w:val="none"/>
        </w:rPr>
        <w:t>%。</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3、审核时限：</w:t>
      </w:r>
    </w:p>
    <w:p>
      <w:pPr>
        <w:adjustRightInd/>
        <w:spacing w:line="360" w:lineRule="auto"/>
        <w:ind w:firstLine="480" w:firstLineChars="200"/>
        <w:jc w:val="both"/>
        <w:rPr>
          <w:rFonts w:hint="eastAsia" w:ascii="宋体" w:hAnsi="宋体" w:cs="Times New Roman"/>
          <w:sz w:val="24"/>
          <w:szCs w:val="24"/>
          <w:highlight w:val="none"/>
          <w:lang w:val="en-US" w:eastAsia="zh-CN"/>
        </w:rPr>
      </w:pPr>
      <w:r>
        <w:rPr>
          <w:rFonts w:hint="eastAsia" w:ascii="宋体" w:hAnsi="宋体" w:eastAsia="宋体" w:cs="Times New Roman"/>
          <w:sz w:val="24"/>
          <w:szCs w:val="24"/>
          <w:highlight w:val="none"/>
        </w:rPr>
        <w:t>（1）结算审核：审价机构自受理之日起送审价500万元以内（含）的18个工作日内完成；500万元（不含）~2000万元（含）的28个工作日内完成；2000万元（不含）~5000万元（含）的33个工作日内完成；5000万元（不含）以上的45个工作日内完成，特大型项目及特殊情况另行协议。</w:t>
      </w:r>
      <w:r>
        <w:rPr>
          <w:rFonts w:hint="eastAsia" w:ascii="宋体" w:hAnsi="宋体" w:cs="Times New Roman"/>
          <w:sz w:val="24"/>
          <w:szCs w:val="24"/>
          <w:highlight w:val="none"/>
          <w:lang w:val="en-US" w:eastAsia="zh-CN"/>
        </w:rPr>
        <w:t xml:space="preserve">           </w:t>
      </w:r>
    </w:p>
    <w:p>
      <w:pPr>
        <w:adjustRightInd/>
        <w:spacing w:line="360" w:lineRule="auto"/>
        <w:ind w:firstLine="480" w:firstLineChars="200"/>
        <w:jc w:val="both"/>
        <w:rPr>
          <w:rFonts w:hint="eastAsia" w:ascii="宋体" w:hAnsi="宋体" w:eastAsia="宋体" w:cs="Times New Roman"/>
          <w:b w:val="0"/>
          <w:bCs w:val="0"/>
          <w:sz w:val="24"/>
          <w:szCs w:val="24"/>
          <w:highlight w:val="none"/>
        </w:rPr>
      </w:pPr>
      <w:r>
        <w:rPr>
          <w:rFonts w:hint="eastAsia" w:ascii="宋体" w:hAnsi="宋体" w:cs="Times New Roman"/>
          <w:sz w:val="24"/>
          <w:szCs w:val="24"/>
          <w:highlight w:val="none"/>
          <w:lang w:val="en-US" w:eastAsia="zh-CN"/>
        </w:rPr>
        <w:t>（2）</w:t>
      </w:r>
      <w:r>
        <w:rPr>
          <w:rFonts w:hint="eastAsia" w:ascii="宋体" w:hAnsi="宋体" w:eastAsia="宋体" w:cs="Times New Roman"/>
          <w:sz w:val="24"/>
          <w:szCs w:val="24"/>
          <w:highlight w:val="none"/>
        </w:rPr>
        <w:t>工程预算或清单审核：审核机构自受理之日起送审价500万</w:t>
      </w:r>
      <w:r>
        <w:rPr>
          <w:rFonts w:hint="eastAsia" w:ascii="宋体" w:hAnsi="宋体" w:eastAsia="宋体" w:cs="Times New Roman"/>
          <w:sz w:val="24"/>
          <w:szCs w:val="24"/>
          <w:highlight w:val="none"/>
          <w:lang w:val="en-US" w:eastAsia="zh-CN"/>
        </w:rPr>
        <w:t>元</w:t>
      </w:r>
      <w:r>
        <w:rPr>
          <w:rFonts w:hint="eastAsia" w:ascii="宋体" w:hAnsi="宋体" w:eastAsia="宋体" w:cs="Times New Roman"/>
          <w:sz w:val="24"/>
          <w:szCs w:val="24"/>
          <w:highlight w:val="none"/>
        </w:rPr>
        <w:t>（含）以内的10个工作日内完成，500万</w:t>
      </w:r>
      <w:r>
        <w:rPr>
          <w:rFonts w:hint="eastAsia" w:ascii="宋体" w:hAnsi="宋体" w:eastAsia="宋体" w:cs="Times New Roman"/>
          <w:sz w:val="24"/>
          <w:szCs w:val="24"/>
          <w:highlight w:val="none"/>
          <w:lang w:val="en-US" w:eastAsia="zh-CN"/>
        </w:rPr>
        <w:t>元</w:t>
      </w:r>
      <w:r>
        <w:rPr>
          <w:rFonts w:hint="eastAsia" w:ascii="宋体" w:hAnsi="宋体" w:eastAsia="宋体" w:cs="Times New Roman"/>
          <w:sz w:val="24"/>
          <w:szCs w:val="24"/>
          <w:highlight w:val="none"/>
        </w:rPr>
        <w:t>（不含）~2000万</w:t>
      </w:r>
      <w:r>
        <w:rPr>
          <w:rFonts w:hint="eastAsia" w:ascii="宋体" w:hAnsi="宋体" w:eastAsia="宋体" w:cs="Times New Roman"/>
          <w:sz w:val="24"/>
          <w:szCs w:val="24"/>
          <w:highlight w:val="none"/>
          <w:lang w:val="en-US" w:eastAsia="zh-CN"/>
        </w:rPr>
        <w:t>元</w:t>
      </w:r>
      <w:r>
        <w:rPr>
          <w:rFonts w:hint="eastAsia" w:ascii="宋体" w:hAnsi="宋体" w:eastAsia="宋体" w:cs="Times New Roman"/>
          <w:sz w:val="24"/>
          <w:szCs w:val="24"/>
          <w:highlight w:val="none"/>
        </w:rPr>
        <w:t>（含）的15个工作日内完成，2000万</w:t>
      </w:r>
      <w:r>
        <w:rPr>
          <w:rFonts w:hint="eastAsia" w:ascii="宋体" w:hAnsi="宋体" w:eastAsia="宋体" w:cs="Times New Roman"/>
          <w:sz w:val="24"/>
          <w:szCs w:val="24"/>
          <w:highlight w:val="none"/>
          <w:lang w:val="en-US" w:eastAsia="zh-CN"/>
        </w:rPr>
        <w:t>元</w:t>
      </w:r>
      <w:r>
        <w:rPr>
          <w:rFonts w:hint="eastAsia" w:ascii="宋体" w:hAnsi="宋体" w:eastAsia="宋体" w:cs="Times New Roman"/>
          <w:sz w:val="24"/>
          <w:szCs w:val="24"/>
          <w:highlight w:val="none"/>
        </w:rPr>
        <w:t>（不含）以上的20个工作日内完成，特大型项目及特殊情况另行协议。</w:t>
      </w:r>
    </w:p>
    <w:p>
      <w:pPr>
        <w:adjustRightInd/>
        <w:spacing w:line="360" w:lineRule="auto"/>
        <w:ind w:firstLine="480" w:firstLineChars="200"/>
        <w:rPr>
          <w:rFonts w:hint="eastAsia" w:ascii="宋体" w:hAnsi="宋体" w:eastAsia="宋体" w:cs="Times New Roman"/>
          <w:b w:val="0"/>
          <w:bCs w:val="0"/>
          <w:sz w:val="24"/>
          <w:szCs w:val="24"/>
          <w:highlight w:val="none"/>
        </w:rPr>
      </w:pPr>
      <w:r>
        <w:rPr>
          <w:rFonts w:hint="eastAsia" w:ascii="宋体" w:hAnsi="宋体" w:eastAsia="宋体" w:cs="Times New Roman"/>
          <w:b w:val="0"/>
          <w:bCs w:val="0"/>
          <w:sz w:val="24"/>
          <w:szCs w:val="24"/>
          <w:highlight w:val="none"/>
        </w:rPr>
        <w:t>（3）概（估）算审核：审价机构自受理之日起送审</w:t>
      </w:r>
      <w:r>
        <w:rPr>
          <w:rFonts w:hint="eastAsia" w:ascii="宋体" w:hAnsi="宋体" w:cs="Times New Roman"/>
          <w:b w:val="0"/>
          <w:bCs w:val="0"/>
          <w:sz w:val="24"/>
          <w:szCs w:val="24"/>
          <w:highlight w:val="none"/>
          <w:lang w:val="en-US" w:eastAsia="zh-CN"/>
        </w:rPr>
        <w:t>价</w:t>
      </w:r>
      <w:r>
        <w:rPr>
          <w:rFonts w:hint="eastAsia" w:ascii="宋体" w:hAnsi="宋体" w:eastAsia="宋体" w:cs="Times New Roman"/>
          <w:b w:val="0"/>
          <w:bCs w:val="0"/>
          <w:sz w:val="24"/>
          <w:szCs w:val="24"/>
          <w:highlight w:val="none"/>
        </w:rPr>
        <w:t>5000万</w:t>
      </w:r>
      <w:r>
        <w:rPr>
          <w:rFonts w:hint="eastAsia" w:ascii="宋体" w:hAnsi="宋体" w:eastAsia="宋体" w:cs="Times New Roman"/>
          <w:b w:val="0"/>
          <w:bCs w:val="0"/>
          <w:sz w:val="24"/>
          <w:szCs w:val="24"/>
          <w:highlight w:val="none"/>
          <w:lang w:val="en-US" w:eastAsia="zh-CN"/>
        </w:rPr>
        <w:t>元</w:t>
      </w:r>
      <w:r>
        <w:rPr>
          <w:rFonts w:hint="eastAsia" w:ascii="宋体" w:hAnsi="宋体" w:eastAsia="宋体" w:cs="Times New Roman"/>
          <w:b w:val="0"/>
          <w:bCs w:val="0"/>
          <w:sz w:val="24"/>
          <w:szCs w:val="24"/>
          <w:highlight w:val="none"/>
        </w:rPr>
        <w:t>（含）以内的15个工作日内完成；5000万</w:t>
      </w:r>
      <w:r>
        <w:rPr>
          <w:rFonts w:hint="eastAsia" w:ascii="宋体" w:hAnsi="宋体" w:eastAsia="宋体" w:cs="Times New Roman"/>
          <w:b w:val="0"/>
          <w:bCs w:val="0"/>
          <w:sz w:val="24"/>
          <w:szCs w:val="24"/>
          <w:highlight w:val="none"/>
          <w:lang w:val="en-US" w:eastAsia="zh-CN"/>
        </w:rPr>
        <w:t>元</w:t>
      </w:r>
      <w:r>
        <w:rPr>
          <w:rFonts w:hint="eastAsia" w:ascii="宋体" w:hAnsi="宋体" w:eastAsia="宋体" w:cs="Times New Roman"/>
          <w:b w:val="0"/>
          <w:bCs w:val="0"/>
          <w:sz w:val="24"/>
          <w:szCs w:val="24"/>
          <w:highlight w:val="none"/>
        </w:rPr>
        <w:t>（不含）以上的20个工作日内完成。特大型项目及特殊情况另行协议。</w:t>
      </w:r>
    </w:p>
    <w:p>
      <w:pPr>
        <w:pStyle w:val="2"/>
        <w:ind w:left="0" w:leftChars="0" w:firstLine="464" w:firstLineChars="200"/>
        <w:rPr>
          <w:rFonts w:hint="default"/>
          <w:highlight w:val="none"/>
          <w:lang w:val="en-US" w:eastAsia="zh-CN"/>
        </w:rPr>
      </w:pPr>
      <w:r>
        <w:rPr>
          <w:rFonts w:hint="eastAsia" w:hAnsi="宋体" w:cs="Times New Roman"/>
          <w:b w:val="0"/>
          <w:bCs w:val="0"/>
          <w:sz w:val="24"/>
          <w:szCs w:val="24"/>
          <w:highlight w:val="none"/>
          <w:lang w:eastAsia="zh-CN"/>
        </w:rPr>
        <w:t>（</w:t>
      </w:r>
      <w:r>
        <w:rPr>
          <w:rFonts w:hint="eastAsia" w:hAnsi="宋体" w:cs="Times New Roman"/>
          <w:b w:val="0"/>
          <w:bCs w:val="0"/>
          <w:sz w:val="24"/>
          <w:szCs w:val="24"/>
          <w:highlight w:val="none"/>
          <w:lang w:val="en-US" w:eastAsia="zh-CN"/>
        </w:rPr>
        <w:t>4</w:t>
      </w:r>
      <w:r>
        <w:rPr>
          <w:rFonts w:hint="eastAsia" w:hAnsi="宋体" w:cs="Times New Roman"/>
          <w:b w:val="0"/>
          <w:bCs w:val="0"/>
          <w:sz w:val="24"/>
          <w:szCs w:val="24"/>
          <w:highlight w:val="none"/>
          <w:lang w:eastAsia="zh-CN"/>
        </w:rPr>
        <w:t>）</w:t>
      </w:r>
      <w:r>
        <w:rPr>
          <w:rFonts w:hint="eastAsia" w:hAnsi="宋体" w:cs="仿宋"/>
          <w:snapToGrid w:val="0"/>
          <w:color w:val="auto"/>
          <w:kern w:val="0"/>
          <w:sz w:val="24"/>
          <w:szCs w:val="24"/>
          <w:highlight w:val="none"/>
          <w:lang w:val="en-US" w:eastAsia="zh-CN" w:bidi="ar-SA"/>
        </w:rPr>
        <w:t>结算抽查稽核：审核时限要求与结算审核相同。</w:t>
      </w:r>
    </w:p>
    <w:p>
      <w:pPr>
        <w:adjustRightInd/>
        <w:snapToGrid w:val="0"/>
        <w:spacing w:line="360" w:lineRule="auto"/>
        <w:ind w:firstLine="480" w:firstLineChars="200"/>
        <w:jc w:val="left"/>
        <w:rPr>
          <w:rFonts w:hint="eastAsia" w:ascii="宋体" w:hAnsi="宋体" w:eastAsia="宋体" w:cs="Times New Roman"/>
          <w:b w:val="0"/>
          <w:bCs w:val="0"/>
          <w:sz w:val="24"/>
          <w:szCs w:val="24"/>
          <w:highlight w:val="none"/>
        </w:rPr>
      </w:pPr>
      <w:r>
        <w:rPr>
          <w:rFonts w:hint="eastAsia" w:ascii="宋体" w:hAnsi="宋体" w:eastAsia="宋体" w:cs="Times New Roman"/>
          <w:b w:val="0"/>
          <w:bCs w:val="0"/>
          <w:sz w:val="24"/>
          <w:szCs w:val="24"/>
          <w:highlight w:val="none"/>
        </w:rPr>
        <w:t>确有特殊原因不能按时限审结，需以书面形式向财政局说明情况，经财政局同意后方可延长审核期限，因项目建设需要，需中介机构提前出具审核报告的，在协议中另行注明。</w:t>
      </w:r>
    </w:p>
    <w:p>
      <w:pPr>
        <w:adjustRightInd/>
        <w:snapToGrid w:val="0"/>
        <w:spacing w:line="360" w:lineRule="auto"/>
        <w:ind w:firstLine="480" w:firstLineChars="200"/>
        <w:jc w:val="left"/>
        <w:rPr>
          <w:rFonts w:hint="eastAsia"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4、审核费用的让利</w:t>
      </w:r>
    </w:p>
    <w:p>
      <w:pPr>
        <w:widowControl w:val="0"/>
        <w:shd w:val="clear" w:color="auto" w:fill="auto"/>
        <w:tabs>
          <w:tab w:val="left" w:pos="840"/>
        </w:tabs>
        <w:adjustRightInd w:val="0"/>
        <w:spacing w:line="360" w:lineRule="auto"/>
        <w:ind w:firstLine="480" w:firstLineChars="200"/>
        <w:jc w:val="both"/>
        <w:rPr>
          <w:rFonts w:hint="eastAsia" w:ascii="宋体" w:hAnsi="宋体" w:eastAsia="宋体" w:cs="仿宋"/>
          <w:snapToGrid w:val="0"/>
          <w:color w:val="auto"/>
          <w:kern w:val="0"/>
          <w:sz w:val="24"/>
          <w:szCs w:val="24"/>
          <w:highlight w:val="none"/>
          <w:lang w:val="en-US" w:eastAsia="zh-CN" w:bidi="ar-SA"/>
        </w:rPr>
      </w:pPr>
      <w:r>
        <w:rPr>
          <w:rFonts w:hint="eastAsia" w:ascii="宋体" w:hAnsi="宋体" w:eastAsia="宋体" w:cs="Times New Roman"/>
          <w:sz w:val="24"/>
          <w:szCs w:val="24"/>
          <w:highlight w:val="none"/>
          <w:lang w:val="en-US" w:eastAsia="zh-CN"/>
        </w:rPr>
        <w:t>（1）结算审核让利率以送审造价执行以下规定：超过50万元且不超过100万元（含）的，不让利；不超过500万元（含）的，让利率为10%；不超过1000万元（含）的，让利率为20%；不超过2000万元（含）的，让利率为30%；不超过5000万元（含）的，让利率为40%；不超过10000万元（含）的，让利率为50%；10000万元以上的，让利率为60%。</w:t>
      </w:r>
      <w:r>
        <w:rPr>
          <w:rFonts w:hint="eastAsia" w:ascii="宋体" w:hAnsi="宋体" w:eastAsia="宋体" w:cs="仿宋"/>
          <w:snapToGrid w:val="0"/>
          <w:color w:val="auto"/>
          <w:kern w:val="0"/>
          <w:sz w:val="24"/>
          <w:szCs w:val="24"/>
          <w:highlight w:val="none"/>
          <w:lang w:val="en-US" w:eastAsia="zh-CN" w:bidi="ar-SA"/>
        </w:rPr>
        <w:t>结算审核费用由基本审核费用和追加费组成。项目审价结果经</w:t>
      </w:r>
      <w:r>
        <w:rPr>
          <w:rFonts w:hint="eastAsia" w:ascii="宋体" w:hAnsi="宋体" w:cs="仿宋"/>
          <w:snapToGrid w:val="0"/>
          <w:color w:val="auto"/>
          <w:kern w:val="0"/>
          <w:sz w:val="24"/>
          <w:szCs w:val="24"/>
          <w:highlight w:val="none"/>
          <w:lang w:val="en-US" w:eastAsia="zh-CN" w:bidi="ar-SA"/>
        </w:rPr>
        <w:t>财政局</w:t>
      </w:r>
      <w:r>
        <w:rPr>
          <w:rFonts w:hint="eastAsia" w:ascii="宋体" w:hAnsi="宋体" w:eastAsia="宋体" w:cs="仿宋"/>
          <w:snapToGrid w:val="0"/>
          <w:color w:val="auto"/>
          <w:kern w:val="0"/>
          <w:sz w:val="24"/>
          <w:szCs w:val="24"/>
          <w:highlight w:val="none"/>
          <w:lang w:val="en-US" w:eastAsia="zh-CN" w:bidi="ar-SA"/>
        </w:rPr>
        <w:t>确认后，追加费方可由施工单位直接支付给审价单位或由建设单位从应付工程款中扣缴。结算审核追加费用计取按浙价服【2009】84号文件规定执行，不让利。</w:t>
      </w:r>
      <w:r>
        <w:rPr>
          <w:rFonts w:hint="eastAsia" w:ascii="新宋体" w:hAnsi="新宋体" w:eastAsia="新宋体" w:cs="新宋体"/>
          <w:b w:val="0"/>
          <w:bCs/>
          <w:iCs w:val="0"/>
          <w:color w:val="auto"/>
          <w:kern w:val="2"/>
          <w:sz w:val="24"/>
          <w:szCs w:val="24"/>
          <w:highlight w:val="none"/>
          <w:lang w:val="en-US" w:eastAsia="zh-CN" w:bidi="ar-SA"/>
        </w:rPr>
        <w:t>按上述计算方式每件咨询造价服务基本收费不足2000元的，按2000元计算。</w:t>
      </w:r>
    </w:p>
    <w:p>
      <w:pPr>
        <w:adjustRightInd/>
        <w:snapToGrid w:val="0"/>
        <w:spacing w:line="360" w:lineRule="auto"/>
        <w:ind w:firstLine="480" w:firstLineChars="200"/>
        <w:jc w:val="left"/>
        <w:rPr>
          <w:rFonts w:hint="eastAsia"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2）概（估）算审核让利率以送审造价扣除业主直接提供的土地及拆迁等费用后的造价为计费基础。审核费分段计算：2000万元（含）以内让利率40%，2000万元~10000万元（含）让利率50%，10000万元以上让利率60%。特大项目审核费用可以另行协商确定。</w:t>
      </w:r>
    </w:p>
    <w:p>
      <w:pPr>
        <w:adjustRightInd/>
        <w:snapToGrid w:val="0"/>
        <w:spacing w:line="360" w:lineRule="auto"/>
        <w:ind w:firstLine="480" w:firstLineChars="200"/>
        <w:jc w:val="left"/>
        <w:rPr>
          <w:rFonts w:hint="eastAsia"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（3）预算审核让利率以送审造价执行以下规定：不超过1000万元（含）的，让利率为40%；1000~5000万元（含）的，让利率为50%；大于5000万元的，让利率为60%，特大项目审核费用可以另行协商确定。</w:t>
      </w:r>
    </w:p>
    <w:p>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464" w:firstLineChars="200"/>
        <w:textAlignment w:val="auto"/>
        <w:rPr>
          <w:rFonts w:hint="default" w:ascii="宋体" w:hAnsi="宋体" w:eastAsia="宋体" w:cs="仿宋"/>
          <w:snapToGrid w:val="0"/>
          <w:color w:val="auto"/>
          <w:kern w:val="0"/>
          <w:sz w:val="24"/>
          <w:szCs w:val="24"/>
          <w:highlight w:val="none"/>
          <w:lang w:val="en-US" w:eastAsia="zh-CN" w:bidi="ar-SA"/>
        </w:rPr>
      </w:pPr>
      <w:r>
        <w:rPr>
          <w:rFonts w:hint="eastAsia" w:hAnsi="宋体" w:cs="仿宋"/>
          <w:snapToGrid w:val="0"/>
          <w:color w:val="auto"/>
          <w:kern w:val="0"/>
          <w:sz w:val="24"/>
          <w:szCs w:val="24"/>
          <w:highlight w:val="none"/>
          <w:lang w:val="en-US" w:eastAsia="zh-CN" w:bidi="ar-SA"/>
        </w:rPr>
        <w:t xml:space="preserve"> （4）结</w:t>
      </w:r>
      <w:r>
        <w:rPr>
          <w:rFonts w:hint="eastAsia" w:ascii="宋体" w:hAnsi="宋体" w:eastAsia="宋体" w:cs="仿宋"/>
          <w:snapToGrid w:val="0"/>
          <w:color w:val="auto"/>
          <w:kern w:val="0"/>
          <w:sz w:val="24"/>
          <w:szCs w:val="24"/>
          <w:highlight w:val="none"/>
          <w:lang w:val="en-US" w:eastAsia="zh-CN" w:bidi="ar-SA"/>
        </w:rPr>
        <w:t>算抽查稽核项目费用:由基本审核费用和追加费组成。基本审核费在结算审核让利率的基础上，打5折。项目审价结果经</w:t>
      </w:r>
      <w:r>
        <w:rPr>
          <w:rFonts w:hint="eastAsia" w:ascii="宋体" w:hAnsi="宋体" w:cs="仿宋"/>
          <w:snapToGrid w:val="0"/>
          <w:color w:val="auto"/>
          <w:kern w:val="0"/>
          <w:sz w:val="24"/>
          <w:szCs w:val="24"/>
          <w:highlight w:val="none"/>
          <w:lang w:val="en-US" w:eastAsia="zh-CN" w:bidi="ar-SA"/>
        </w:rPr>
        <w:t>财政局</w:t>
      </w:r>
      <w:r>
        <w:rPr>
          <w:rFonts w:hint="eastAsia" w:ascii="宋体" w:hAnsi="宋体" w:eastAsia="宋体" w:cs="仿宋"/>
          <w:snapToGrid w:val="0"/>
          <w:color w:val="auto"/>
          <w:kern w:val="0"/>
          <w:sz w:val="24"/>
          <w:szCs w:val="24"/>
          <w:highlight w:val="none"/>
          <w:lang w:val="en-US" w:eastAsia="zh-CN" w:bidi="ar-SA"/>
        </w:rPr>
        <w:t>确认后，追加费方可由施工单位直接支付给审价单位或由建设单位从应付工程款中扣缴。追加费根据审核结果按浙价服【2009】84号文件规定执行，不让利。</w:t>
      </w:r>
    </w:p>
    <w:p>
      <w:pPr>
        <w:adjustRightInd/>
        <w:snapToGrid w:val="0"/>
        <w:spacing w:line="360" w:lineRule="auto"/>
        <w:ind w:firstLine="480" w:firstLineChars="200"/>
        <w:jc w:val="left"/>
        <w:rPr>
          <w:rFonts w:hint="eastAsia"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w:t>
      </w:r>
      <w:r>
        <w:rPr>
          <w:rFonts w:hint="eastAsia" w:ascii="宋体" w:hAnsi="宋体" w:cs="Times New Roman"/>
          <w:sz w:val="24"/>
          <w:szCs w:val="24"/>
          <w:highlight w:val="none"/>
          <w:lang w:val="en-US" w:eastAsia="zh-CN"/>
        </w:rPr>
        <w:t>5</w:t>
      </w:r>
      <w:r>
        <w:rPr>
          <w:rFonts w:hint="eastAsia" w:ascii="宋体" w:hAnsi="宋体" w:eastAsia="宋体" w:cs="Times New Roman"/>
          <w:sz w:val="24"/>
          <w:szCs w:val="24"/>
          <w:highlight w:val="none"/>
          <w:lang w:val="en-US" w:eastAsia="zh-CN"/>
        </w:rPr>
        <w:t>）复核核减额超过终审核减额1/3或超过20万元的，基本费用打九折。</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四、双方约定的由</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提供的工程造价资料及提供的时间：单位工程造价资料经建设单位、施工单位、审价机构三方签字确认后移交给审价机构。审核时间从审核资料交接之日起计。</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五、审价机构的义务：</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1、向</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报送完成协议中的审价业务工作情况。</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2、在协议的期限内，实现审价目标，公正维护各方的合法权益。遵守法律、法规，遵守标准定额和计价规程，努力做到公正、准确地提供工程审价结果。</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3、在协议书的有效期内，不得泄露与该工程审价业务有关的保密数据资料。</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4、审价机构必须每月向</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反馈审核项目的情况。</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六、</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的义务：</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1、</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应当在双方协议期限内，移交经有关单位确认后的工程造价审价范围内所需的详实的工程资料。</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2、在协议的期限内，</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应授权选派一名熟悉业务的，知晓法律的、法规的联系代表，为实现工程造价审核目标，予以配合。</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3、</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应当在双方协议的期限内，对审价机构提出的问题，5日内作出答复。</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七、 审价机构的权利：</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1、依据国家有关法律、法规、政策和工程造价管理部门规定的计价方法、指标、参数及定额，进行工程造价计算或核实工程量。</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2、对工程造价编制使用不准确标准、指标、参数及定额，有权向</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提出修正建议，并受</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委托与有关方面交涉。</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3、有权对由于利息、贴息、汇率等因素变化，提出工程造价调整的建议。</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4、有权拒绝不符合国家法律、政策、技术经济指标和定额的人为干涉。</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5、有权向</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提出更换不称职的联络人员。</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6、有权向</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提出更换审核人员的建议。</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八、</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的权利：</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1、有权要求审价机构更换不称职或应回避的人员。</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2、有权要求审价机构提供阶段或专项书面成果或说明。</w:t>
      </w:r>
    </w:p>
    <w:p>
      <w:pPr>
        <w:adjustRightInd/>
        <w:spacing w:line="360" w:lineRule="auto"/>
        <w:ind w:firstLine="480" w:firstLineChars="200"/>
        <w:rPr>
          <w:rFonts w:hint="eastAsia" w:ascii="宋体" w:hAnsi="宋体" w:cs="Times New Roman"/>
          <w:sz w:val="24"/>
          <w:szCs w:val="24"/>
          <w:highlight w:val="none"/>
          <w:lang w:eastAsia="zh-CN"/>
        </w:rPr>
      </w:pPr>
      <w:r>
        <w:rPr>
          <w:rFonts w:hint="eastAsia" w:ascii="宋体" w:hAnsi="宋体" w:eastAsia="宋体" w:cs="Times New Roman"/>
          <w:sz w:val="24"/>
          <w:szCs w:val="24"/>
          <w:highlight w:val="none"/>
        </w:rPr>
        <w:t>3、有权对审价机构进行考核，并以考核结果作为分配项目的参考因素</w:t>
      </w:r>
      <w:r>
        <w:rPr>
          <w:rFonts w:hint="eastAsia" w:ascii="宋体" w:hAnsi="宋体" w:cs="Times New Roman"/>
          <w:sz w:val="24"/>
          <w:szCs w:val="24"/>
          <w:highlight w:val="none"/>
          <w:lang w:eastAsia="zh-CN"/>
        </w:rPr>
        <w:t>。</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九、审核机构的责任：</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审价机构的责任期即项目审核协议书的有效期。审价机构在责任期内，应当履行项目审价协议书中的义务。如果因审价机构而造成逾期的，自逾期之日起，每日扣除该标2%的审核费，并承担相应的利息和其它损失，应当由受理的审价单位负责赔偿，累计赔偿不应超过审价费用的总数（扣除税金）。</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审价机构应本着“客观、公正、合理、科学”的原则，正确履行审核职责，同时承担相应的法律责任。审价机构结果误差率高于承诺的审价结果误差率的，不支付审核费；高于5%或有违反有关规定的审价结构，不支付审核费并按照有关法规给予审价机构和直接责任人警告、通报批评，停止参与财政</w:t>
      </w:r>
      <w:r>
        <w:rPr>
          <w:rFonts w:hint="eastAsia" w:ascii="宋体" w:hAnsi="宋体" w:cs="Times New Roman"/>
          <w:sz w:val="24"/>
          <w:szCs w:val="24"/>
          <w:highlight w:val="none"/>
          <w:lang w:eastAsia="zh-CN"/>
        </w:rPr>
        <w:t>投资项目工程造价咨询服务</w:t>
      </w:r>
      <w:r>
        <w:rPr>
          <w:rFonts w:hint="eastAsia" w:ascii="宋体" w:hAnsi="宋体" w:eastAsia="宋体" w:cs="Times New Roman"/>
          <w:sz w:val="24"/>
          <w:szCs w:val="24"/>
          <w:highlight w:val="none"/>
        </w:rPr>
        <w:t>一年，对于严重违法违纪的，报有关部门按管理权限降低资质或吊销资质证书。</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十、</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的责任：</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应当履行协议书中的义务，如有违反则应当承担违约责任，应赔偿审价机构的经济损失。</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十一、审核费用：</w:t>
      </w:r>
    </w:p>
    <w:p>
      <w:pPr>
        <w:adjustRightInd/>
        <w:spacing w:line="360" w:lineRule="auto"/>
        <w:ind w:firstLine="480" w:firstLineChars="200"/>
        <w:rPr>
          <w:rFonts w:hint="eastAsia"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rPr>
        <w:t>1、审价业务费的计算：按《</w:t>
      </w:r>
      <w:r>
        <w:rPr>
          <w:rFonts w:hint="eastAsia" w:ascii="宋体" w:hAnsi="宋体" w:cs="Times New Roman"/>
          <w:sz w:val="24"/>
          <w:szCs w:val="24"/>
          <w:highlight w:val="none"/>
          <w:lang w:val="en-US" w:eastAsia="zh-CN"/>
        </w:rPr>
        <w:t>供应商</w:t>
      </w:r>
      <w:r>
        <w:rPr>
          <w:rFonts w:hint="eastAsia" w:ascii="宋体" w:hAnsi="宋体" w:eastAsia="宋体" w:cs="Times New Roman"/>
          <w:sz w:val="24"/>
          <w:szCs w:val="24"/>
          <w:highlight w:val="none"/>
        </w:rPr>
        <w:t>须知》第</w:t>
      </w:r>
      <w:r>
        <w:rPr>
          <w:rFonts w:hint="eastAsia" w:ascii="宋体" w:hAnsi="宋体" w:cs="Times New Roman"/>
          <w:sz w:val="24"/>
          <w:szCs w:val="24"/>
          <w:highlight w:val="none"/>
          <w:lang w:val="en-US" w:eastAsia="zh-CN"/>
        </w:rPr>
        <w:t>三</w:t>
      </w:r>
      <w:r>
        <w:rPr>
          <w:rFonts w:hint="eastAsia" w:ascii="宋体" w:hAnsi="宋体" w:eastAsia="宋体" w:cs="Times New Roman"/>
          <w:sz w:val="24"/>
          <w:szCs w:val="24"/>
          <w:highlight w:val="none"/>
        </w:rPr>
        <w:t>条</w:t>
      </w:r>
      <w:r>
        <w:rPr>
          <w:rFonts w:hint="eastAsia" w:ascii="宋体" w:hAnsi="宋体" w:eastAsia="宋体" w:cs="Times New Roman"/>
          <w:sz w:val="24"/>
          <w:szCs w:val="24"/>
          <w:highlight w:val="none"/>
          <w:lang w:val="en-US" w:eastAsia="zh-CN"/>
        </w:rPr>
        <w:t>。</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2、项目审核完毕提交审核结论后，经</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审核确认后予以支付。</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3、以上价款用人民币结算。</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十二、协议书的生效、变更、终止：</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1、本协议书自签字之日起生效。</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2、由于第三方的原因使审价工作延误或延长了时间，则审价机构应当将此情况与可能产生的影响及时通知</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，由此完成审价业务的时间，经</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同意后可相应延长。</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3、当</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认为审价机构无正当理由又未履行审价义务时，可向审价机构发出指明其未履行义务的通知。若</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发出通知后5天内未得到满意答复，经兰溪市财政局同意，可在第一个通知发出后10天内发出终止协议书的通知，协议自行终止。</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4、协议的终止并不影响各方应有的权利和应当承担的责任。</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5、合同到期后，经甲方根据</w:t>
      </w:r>
      <w:r>
        <w:rPr>
          <w:rFonts w:hint="eastAsia" w:ascii="宋体" w:hAnsi="宋体" w:cs="Times New Roman"/>
          <w:sz w:val="24"/>
          <w:szCs w:val="24"/>
          <w:highlight w:val="none"/>
          <w:lang w:eastAsia="zh-CN"/>
        </w:rPr>
        <w:t>《</w:t>
      </w:r>
      <w:r>
        <w:rPr>
          <w:rFonts w:hint="eastAsia" w:ascii="宋体" w:hAnsi="宋体" w:eastAsia="宋体" w:cs="Times New Roman"/>
          <w:sz w:val="24"/>
          <w:szCs w:val="24"/>
          <w:highlight w:val="none"/>
        </w:rPr>
        <w:t>兰溪市财政项目协审工作考核办法</w:t>
      </w:r>
      <w:r>
        <w:rPr>
          <w:rFonts w:hint="eastAsia" w:ascii="宋体" w:hAnsi="宋体" w:eastAsia="宋体" w:cs="Times New Roman"/>
          <w:sz w:val="24"/>
          <w:szCs w:val="24"/>
          <w:highlight w:val="none"/>
          <w:lang w:eastAsia="zh-CN"/>
        </w:rPr>
        <w:t>（试行）</w:t>
      </w:r>
      <w:r>
        <w:rPr>
          <w:rFonts w:hint="eastAsia" w:ascii="宋体" w:hAnsi="宋体" w:eastAsia="宋体" w:cs="Times New Roman"/>
          <w:sz w:val="24"/>
          <w:szCs w:val="24"/>
          <w:highlight w:val="none"/>
        </w:rPr>
        <w:t>》对中标方进行考核，服务期考核结果为优秀或良好的，经双方协商一致，可继续签订年度服务合同（合同期为一年）。续签合同的让利率不得低于本次招标结果，且续签次数不得超过一次。</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十三、争议的解决：</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因违反或终止协议书而引起的对方损失和损害的赔偿，</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与审价机构应协商解决。如未能达成一致，可提交兰溪市财政局协调，仍不能达到一致时，</w:t>
      </w:r>
      <w:r>
        <w:rPr>
          <w:rFonts w:hint="eastAsia" w:ascii="宋体" w:hAnsi="宋体" w:eastAsia="宋体" w:cs="Times New Roman"/>
          <w:sz w:val="24"/>
          <w:szCs w:val="24"/>
          <w:highlight w:val="none"/>
          <w:lang w:val="en-US" w:eastAsia="zh-CN"/>
        </w:rPr>
        <w:t>提交兰溪仲裁委员会依申请仲裁时其现行有效的仲裁规则裁决</w:t>
      </w:r>
      <w:r>
        <w:rPr>
          <w:rFonts w:hint="eastAsia" w:ascii="宋体" w:hAnsi="宋体" w:eastAsia="宋体" w:cs="Times New Roman"/>
          <w:sz w:val="24"/>
          <w:szCs w:val="24"/>
          <w:highlight w:val="none"/>
        </w:rPr>
        <w:t>。</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十四、本协议书一式五份，具有同等法律效力，由审价机构、</w:t>
      </w:r>
      <w:r>
        <w:rPr>
          <w:rFonts w:hint="eastAsia" w:ascii="宋体" w:hAnsi="宋体" w:cs="Times New Roman"/>
          <w:sz w:val="24"/>
          <w:szCs w:val="24"/>
          <w:highlight w:val="none"/>
          <w:lang w:eastAsia="zh-CN"/>
        </w:rPr>
        <w:t>财政局</w:t>
      </w:r>
      <w:r>
        <w:rPr>
          <w:rFonts w:hint="eastAsia" w:ascii="宋体" w:hAnsi="宋体" w:eastAsia="宋体" w:cs="Times New Roman"/>
          <w:sz w:val="24"/>
          <w:szCs w:val="24"/>
          <w:highlight w:val="none"/>
        </w:rPr>
        <w:t>、市公共资源交易中心各执一份，市政府采购办备案一份。</w:t>
      </w:r>
    </w:p>
    <w:p>
      <w:pPr>
        <w:adjustRightInd/>
        <w:spacing w:line="360" w:lineRule="auto"/>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十五、本协议书未尽事宜，另行协商。</w:t>
      </w:r>
    </w:p>
    <w:p>
      <w:pPr>
        <w:adjustRightInd/>
        <w:spacing w:line="360" w:lineRule="auto"/>
        <w:ind w:firstLine="480" w:firstLineChars="200"/>
        <w:rPr>
          <w:rFonts w:hint="eastAsia" w:ascii="宋体" w:hAnsi="宋体" w:eastAsia="宋体" w:cs="Times New Roman"/>
          <w:sz w:val="24"/>
          <w:szCs w:val="24"/>
          <w:highlight w:val="none"/>
        </w:rPr>
      </w:pPr>
    </w:p>
    <w:p>
      <w:pPr>
        <w:adjustRightInd/>
        <w:spacing w:line="360" w:lineRule="auto"/>
        <w:ind w:firstLine="480" w:firstLineChars="200"/>
        <w:rPr>
          <w:rFonts w:hint="eastAsia" w:ascii="宋体" w:hAnsi="宋体" w:eastAsia="宋体" w:cs="Times New Roman"/>
          <w:sz w:val="24"/>
          <w:szCs w:val="24"/>
          <w:highlight w:val="none"/>
        </w:rPr>
      </w:pP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甲  方：_______________________           乙    方：_____________________</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 xml:space="preserve">地  址：_______________________          </w:t>
      </w:r>
      <w:r>
        <w:rPr>
          <w:rFonts w:hint="eastAsia" w:ascii="宋体" w:hAnsi="宋体" w:cs="Times New Roman"/>
          <w:sz w:val="24"/>
          <w:szCs w:val="24"/>
          <w:highlight w:val="none"/>
          <w:lang w:val="en-US" w:eastAsia="zh-CN"/>
        </w:rPr>
        <w:t xml:space="preserve"> </w:t>
      </w:r>
      <w:r>
        <w:rPr>
          <w:rFonts w:hint="eastAsia" w:ascii="宋体" w:hAnsi="宋体" w:eastAsia="宋体" w:cs="Times New Roman"/>
          <w:sz w:val="24"/>
          <w:szCs w:val="24"/>
          <w:highlight w:val="none"/>
        </w:rPr>
        <w:t>地    址：_____________________</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 xml:space="preserve">法人代表：_____________________          </w:t>
      </w:r>
      <w:r>
        <w:rPr>
          <w:rFonts w:hint="eastAsia" w:ascii="宋体" w:hAnsi="宋体" w:cs="Times New Roman"/>
          <w:sz w:val="24"/>
          <w:szCs w:val="24"/>
          <w:highlight w:val="none"/>
          <w:lang w:val="en-US" w:eastAsia="zh-CN"/>
        </w:rPr>
        <w:t xml:space="preserve"> </w:t>
      </w:r>
      <w:r>
        <w:rPr>
          <w:rFonts w:hint="eastAsia" w:ascii="宋体" w:hAnsi="宋体" w:eastAsia="宋体" w:cs="Times New Roman"/>
          <w:sz w:val="24"/>
          <w:szCs w:val="24"/>
          <w:highlight w:val="none"/>
        </w:rPr>
        <w:t>法人代表：_____________________</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 xml:space="preserve">委托代理人：___________________         </w:t>
      </w:r>
      <w:r>
        <w:rPr>
          <w:rFonts w:hint="eastAsia" w:ascii="宋体" w:hAnsi="宋体" w:cs="Times New Roman"/>
          <w:sz w:val="24"/>
          <w:szCs w:val="24"/>
          <w:highlight w:val="none"/>
          <w:lang w:val="en-US" w:eastAsia="zh-CN"/>
        </w:rPr>
        <w:t xml:space="preserve">  </w:t>
      </w:r>
      <w:r>
        <w:rPr>
          <w:rFonts w:hint="eastAsia" w:ascii="宋体" w:hAnsi="宋体" w:eastAsia="宋体" w:cs="Times New Roman"/>
          <w:sz w:val="24"/>
          <w:szCs w:val="24"/>
          <w:highlight w:val="none"/>
        </w:rPr>
        <w:t>委托代理人：___________________</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 xml:space="preserve">电  话：_______________________         </w:t>
      </w:r>
      <w:r>
        <w:rPr>
          <w:rFonts w:hint="eastAsia" w:ascii="宋体" w:hAnsi="宋体" w:cs="Times New Roman"/>
          <w:sz w:val="24"/>
          <w:szCs w:val="24"/>
          <w:highlight w:val="none"/>
          <w:lang w:val="en-US" w:eastAsia="zh-CN"/>
        </w:rPr>
        <w:t xml:space="preserve">  </w:t>
      </w:r>
      <w:r>
        <w:rPr>
          <w:rFonts w:hint="eastAsia" w:ascii="宋体" w:hAnsi="宋体" w:eastAsia="宋体" w:cs="Times New Roman"/>
          <w:sz w:val="24"/>
          <w:szCs w:val="24"/>
          <w:highlight w:val="none"/>
        </w:rPr>
        <w:t>电      话：___________________</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 xml:space="preserve">开户名称：_____________________           </w:t>
      </w:r>
      <w:r>
        <w:rPr>
          <w:rFonts w:hint="eastAsia" w:ascii="宋体" w:hAnsi="宋体" w:eastAsia="宋体" w:cs="Times New Roman"/>
          <w:w w:val="110"/>
          <w:sz w:val="24"/>
          <w:szCs w:val="24"/>
          <w:highlight w:val="none"/>
        </w:rPr>
        <w:t>开户名称</w:t>
      </w:r>
      <w:r>
        <w:rPr>
          <w:rFonts w:hint="eastAsia" w:ascii="宋体" w:hAnsi="宋体" w:eastAsia="宋体" w:cs="Times New Roman"/>
          <w:sz w:val="24"/>
          <w:szCs w:val="24"/>
          <w:highlight w:val="none"/>
        </w:rPr>
        <w:t>：____________________</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 xml:space="preserve">开户银行：_____________________          </w:t>
      </w:r>
      <w:r>
        <w:rPr>
          <w:rFonts w:hint="eastAsia" w:ascii="宋体" w:hAnsi="宋体" w:cs="Times New Roman"/>
          <w:sz w:val="24"/>
          <w:szCs w:val="24"/>
          <w:highlight w:val="none"/>
          <w:lang w:val="en-US" w:eastAsia="zh-CN"/>
        </w:rPr>
        <w:t xml:space="preserve"> </w:t>
      </w:r>
      <w:r>
        <w:rPr>
          <w:rFonts w:hint="eastAsia" w:ascii="宋体" w:hAnsi="宋体" w:eastAsia="宋体" w:cs="Times New Roman"/>
          <w:sz w:val="24"/>
          <w:szCs w:val="24"/>
          <w:highlight w:val="none"/>
        </w:rPr>
        <w:t>开户银行：_____________________</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 xml:space="preserve">账    号：_____________________           </w:t>
      </w:r>
      <w:r>
        <w:rPr>
          <w:rFonts w:hint="eastAsia" w:ascii="宋体" w:hAnsi="宋体" w:cs="Times New Roman"/>
          <w:sz w:val="24"/>
          <w:szCs w:val="24"/>
          <w:highlight w:val="none"/>
          <w:lang w:eastAsia="zh-CN"/>
        </w:rPr>
        <w:t>帐</w:t>
      </w:r>
      <w:r>
        <w:rPr>
          <w:rFonts w:hint="eastAsia" w:ascii="宋体" w:hAnsi="宋体" w:eastAsia="宋体" w:cs="Times New Roman"/>
          <w:sz w:val="24"/>
          <w:szCs w:val="24"/>
          <w:highlight w:val="none"/>
        </w:rPr>
        <w:t xml:space="preserve">    号：_____________________</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签约时间：_____________________           签约时间：_____________________</w:t>
      </w:r>
    </w:p>
    <w:p>
      <w:pPr>
        <w:adjustRightInd/>
        <w:spacing w:line="360" w:lineRule="auto"/>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 xml:space="preserve">签约地点：_____________________    </w:t>
      </w:r>
    </w:p>
    <w:p>
      <w:pPr>
        <w:rPr>
          <w:rFonts w:hint="eastAsia" w:asciiTheme="majorEastAsia" w:hAnsiTheme="majorEastAsia" w:eastAsiaTheme="majorEastAsia" w:cstheme="majorEastAsia"/>
          <w:color w:val="000000" w:themeColor="text1"/>
          <w:highlight w:val="none"/>
          <w14:textFill>
            <w14:solidFill>
              <w14:schemeClr w14:val="tx1"/>
            </w14:solidFill>
          </w14:textFill>
        </w:rPr>
      </w:pPr>
    </w:p>
    <w:p>
      <w:pPr>
        <w:pStyle w:val="3"/>
        <w:rPr>
          <w:rFonts w:hint="eastAsia" w:asciiTheme="majorEastAsia" w:hAnsiTheme="majorEastAsia" w:eastAsiaTheme="majorEastAsia" w:cstheme="majorEastAsia"/>
          <w:color w:val="000000" w:themeColor="text1"/>
          <w:highlight w:val="none"/>
          <w14:textFill>
            <w14:solidFill>
              <w14:schemeClr w14:val="tx1"/>
            </w14:solidFill>
          </w14:textFill>
        </w:rPr>
      </w:pPr>
    </w:p>
    <w:bookmarkEnd w:id="76"/>
    <w:bookmarkEnd w:id="77"/>
    <w:bookmarkEnd w:id="78"/>
    <w:p>
      <w:pPr>
        <w:jc w:val="cente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bookmarkStart w:id="80" w:name="_Toc7432608"/>
      <w:bookmarkStart w:id="81" w:name="_Toc1409419452"/>
      <w:bookmarkStart w:id="82" w:name="_Toc221845977"/>
    </w:p>
    <w:p>
      <w:pPr>
        <w:jc w:val="cente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jc w:val="cente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jc w:val="cente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jc w:val="cente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jc w:val="cente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jc w:val="cente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pPr>
    </w:p>
    <w:p>
      <w:pPr>
        <w:jc w:val="center"/>
        <w:rPr>
          <w:rFonts w:hint="default" w:asciiTheme="majorEastAsia" w:hAnsiTheme="majorEastAsia" w:eastAsiaTheme="majorEastAsia" w:cstheme="majorEastAsia"/>
          <w:b/>
          <w:bCs/>
          <w:color w:val="000000" w:themeColor="text1"/>
          <w:sz w:val="28"/>
          <w:szCs w:val="28"/>
          <w:highlight w:val="none"/>
          <w:lang w:val="en-US" w:eastAsia="zh-CN"/>
          <w14:textFill>
            <w14:solidFill>
              <w14:schemeClr w14:val="tx1"/>
            </w14:solidFill>
          </w14:textFill>
        </w:rPr>
      </w:pPr>
      <w: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t>第</w:t>
      </w:r>
      <w:r>
        <w:rPr>
          <w:rFonts w:hint="eastAsia" w:asciiTheme="majorEastAsia" w:hAnsiTheme="majorEastAsia" w:eastAsiaTheme="majorEastAsia" w:cstheme="majorEastAsia"/>
          <w:b/>
          <w:bCs/>
          <w:color w:val="000000" w:themeColor="text1"/>
          <w:sz w:val="28"/>
          <w:szCs w:val="28"/>
          <w:highlight w:val="none"/>
          <w:lang w:eastAsia="zh-CN"/>
          <w14:textFill>
            <w14:solidFill>
              <w14:schemeClr w14:val="tx1"/>
            </w14:solidFill>
          </w14:textFill>
        </w:rPr>
        <w:t>六</w:t>
      </w:r>
      <w: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t>章 响应文件</w:t>
      </w:r>
      <w:r>
        <w:rPr>
          <w:rFonts w:hint="eastAsia" w:asciiTheme="majorEastAsia" w:hAnsiTheme="majorEastAsia" w:eastAsiaTheme="majorEastAsia" w:cstheme="majorEastAsia"/>
          <w:b/>
          <w:bCs/>
          <w:color w:val="000000" w:themeColor="text1"/>
          <w:sz w:val="28"/>
          <w:szCs w:val="28"/>
          <w:highlight w:val="none"/>
          <w:lang w:eastAsia="zh-CN"/>
          <w14:textFill>
            <w14:solidFill>
              <w14:schemeClr w14:val="tx1"/>
            </w14:solidFill>
          </w14:textFill>
        </w:rPr>
        <w:t>部分</w:t>
      </w:r>
      <w: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t>格式</w:t>
      </w:r>
      <w:bookmarkEnd w:id="80"/>
      <w:bookmarkEnd w:id="81"/>
      <w:bookmarkEnd w:id="82"/>
    </w:p>
    <w:p>
      <w:pPr>
        <w:pStyle w:val="13"/>
        <w:snapToGrid w:val="0"/>
        <w:spacing w:beforeLines="0" w:afterLines="0" w:line="300" w:lineRule="exact"/>
        <w:ind w:firstLine="470" w:firstLineChars="195"/>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响应文件的编制</w:t>
      </w:r>
    </w:p>
    <w:p>
      <w:pPr>
        <w:spacing w:line="400" w:lineRule="exact"/>
        <w:ind w:firstLine="480" w:firstLineChars="200"/>
        <w:rPr>
          <w:rFonts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（一）响应文件的组成</w:t>
      </w:r>
    </w:p>
    <w:p>
      <w:pPr>
        <w:widowControl/>
        <w:spacing w:line="400" w:lineRule="exact"/>
        <w:ind w:firstLine="482" w:firstLineChars="200"/>
        <w:jc w:val="left"/>
        <w:rPr>
          <w:rFonts w:asciiTheme="majorEastAsia" w:hAnsiTheme="majorEastAsia" w:eastAsiaTheme="majorEastAsia" w:cstheme="majorEastAsia"/>
          <w:b/>
          <w:bCs/>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0"/>
          <w:highlight w:val="none"/>
          <w14:textFill>
            <w14:solidFill>
              <w14:schemeClr w14:val="tx1"/>
            </w14:solidFill>
          </w14:textFill>
        </w:rPr>
        <w:t>响应文件由资格证明文件、技术商务文件、报价文件组成。以下</w:t>
      </w: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资格证明文件及技术商务文件目录格式仅供参考。</w:t>
      </w:r>
    </w:p>
    <w:p>
      <w:pPr>
        <w:spacing w:line="400" w:lineRule="exact"/>
        <w:ind w:firstLine="482" w:firstLineChars="200"/>
        <w:rPr>
          <w:rFonts w:asciiTheme="majorEastAsia" w:hAnsiTheme="majorEastAsia" w:eastAsiaTheme="majorEastAsia" w:cstheme="majorEastAsia"/>
          <w:b/>
          <w:bCs/>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1、资格证明文件目录：</w:t>
      </w:r>
    </w:p>
    <w:p>
      <w:pPr>
        <w:spacing w:line="400" w:lineRule="exact"/>
        <w:ind w:firstLine="480" w:firstLineChars="200"/>
        <w:rPr>
          <w:rFonts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（1）</w:t>
      </w:r>
      <w:r>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t>投标</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声明书(格式见附件1，含重大违法记录声明)；</w:t>
      </w:r>
    </w:p>
    <w:p>
      <w:pPr>
        <w:snapToGrid w:val="0"/>
        <w:spacing w:line="460" w:lineRule="exact"/>
        <w:ind w:firstLine="470" w:firstLineChars="196"/>
        <w:jc w:val="left"/>
        <w:rPr>
          <w:rFonts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（2）提供法定代表人授权委托书(原件、格式见附件2、附件3)、授权代理人有效身份证明（复印件）以及授权代理人个人社保缴纳证明（缴纳凭证或人社部门出具的证明）；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（3）</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不存在以下情况声明函（格式自拟）：</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1、单位负责人为同一人或者存在直接控股、管理关系的不同供应商参加同一合同项下的政府采购活动的；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2、为采购项目提供整体设计、规范编制或者项目管理、监理、检测等服务后再参加该采购项目的其他采购活动的。</w:t>
      </w:r>
    </w:p>
    <w:p>
      <w:pPr>
        <w:spacing w:line="400" w:lineRule="exact"/>
        <w:ind w:firstLine="482" w:firstLineChars="200"/>
        <w:rPr>
          <w:rFonts w:asciiTheme="majorEastAsia" w:hAnsiTheme="majorEastAsia" w:eastAsiaTheme="majorEastAsia" w:cstheme="majorEastAsia"/>
          <w:b/>
          <w:bCs/>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请将以上资格部分材料上传政采云平台做资格审查，采购人或评标委员会仅根据上传的资格部分文件材料进行审查。</w:t>
      </w:r>
    </w:p>
    <w:p>
      <w:pPr>
        <w:spacing w:line="400" w:lineRule="exact"/>
        <w:ind w:firstLine="482" w:firstLineChars="200"/>
        <w:rPr>
          <w:rFonts w:asciiTheme="majorEastAsia" w:hAnsiTheme="majorEastAsia" w:eastAsiaTheme="majorEastAsia" w:cstheme="majorEastAsia"/>
          <w:b/>
          <w:bCs/>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2、商务及技术部分：</w:t>
      </w:r>
    </w:p>
    <w:p>
      <w:pPr>
        <w:snapToGrid w:val="0"/>
        <w:spacing w:line="460" w:lineRule="exact"/>
        <w:ind w:firstLine="470" w:firstLineChars="196"/>
        <w:jc w:val="left"/>
        <w:rPr>
          <w:rFonts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（1）评分索引表（格式见附件4，主要用于评委对应评分内容，包括商务部分、技术部分）</w:t>
      </w:r>
    </w:p>
    <w:p>
      <w:pPr>
        <w:snapToGrid w:val="0"/>
        <w:spacing w:line="460" w:lineRule="exact"/>
        <w:ind w:firstLine="470" w:firstLineChars="196"/>
        <w:jc w:val="left"/>
        <w:rPr>
          <w:rFonts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（2）企业业绩（见附件5）；</w:t>
      </w:r>
    </w:p>
    <w:p>
      <w:pPr>
        <w:snapToGrid w:val="0"/>
        <w:spacing w:line="460" w:lineRule="exact"/>
        <w:ind w:firstLine="470" w:firstLineChars="196"/>
        <w:jc w:val="left"/>
        <w:rPr>
          <w:rFonts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（3）商务、合同条款偏离表（格式见附件</w:t>
      </w: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6</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w:t>
      </w:r>
    </w:p>
    <w:p>
      <w:pPr>
        <w:snapToGrid w:val="0"/>
        <w:spacing w:line="460" w:lineRule="exact"/>
        <w:ind w:firstLine="470" w:firstLineChars="196"/>
        <w:jc w:val="left"/>
        <w:rPr>
          <w:rFonts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（4）企业证书（复印件，如有）;</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（5）企业基本情况表（见附件</w:t>
      </w: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7</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w:t>
      </w:r>
    </w:p>
    <w:p>
      <w:pPr>
        <w:pStyle w:val="6"/>
        <w:rPr>
          <w:rFonts w:hint="default" w:eastAsiaTheme="majorEastAsia"/>
          <w:highlight w:val="none"/>
          <w:lang w:val="en-US" w:eastAsia="zh-CN"/>
        </w:rPr>
      </w:pP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 xml:space="preserve">    </w:t>
      </w:r>
      <w:r>
        <w:rPr>
          <w:rFonts w:hint="eastAsia" w:asciiTheme="majorEastAsia" w:hAnsiTheme="majorEastAsia" w:eastAsiaTheme="majorEastAsia" w:cstheme="majorEastAsia"/>
          <w:b w:val="0"/>
          <w:bCs w:val="0"/>
          <w:color w:val="000000" w:themeColor="text1"/>
          <w:kern w:val="1"/>
          <w:sz w:val="24"/>
          <w:szCs w:val="24"/>
          <w:highlight w:val="none"/>
          <w:lang w:val="en-US" w:eastAsia="zh-CN" w:bidi="ar-SA"/>
          <w14:textFill>
            <w14:solidFill>
              <w14:schemeClr w14:val="tx1"/>
            </w14:solidFill>
          </w14:textFill>
        </w:rPr>
        <w:t>（6）企业人员配备表(格式自拟)；</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w:t>
      </w: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7</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）技术偏离表（见附件</w:t>
      </w: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8</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w:t>
      </w: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8</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）服务</w:t>
      </w:r>
      <w:r>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t>方案</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(格式自拟)；</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t>该部分按第四章评标办法及标准中评分内容“服务方案”的评审标准进行具体阐述。</w:t>
      </w:r>
    </w:p>
    <w:p>
      <w:pPr>
        <w:numPr>
          <w:ilvl w:val="0"/>
          <w:numId w:val="7"/>
        </w:num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服务质量</w:t>
      </w:r>
      <w:r>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t>保证措施</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(格式自拟)；</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t>该部分按第四章评标办法及标准中评分内容“</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服务质量</w:t>
      </w:r>
      <w:r>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t>保证措施”的评审标准进行具体阐述。</w:t>
      </w:r>
    </w:p>
    <w:p>
      <w:pPr>
        <w:pStyle w:val="2"/>
        <w:numPr>
          <w:ilvl w:val="0"/>
          <w:numId w:val="7"/>
        </w:numPr>
        <w:ind w:left="0" w:leftChars="0" w:firstLine="454" w:firstLineChars="196"/>
        <w:rPr>
          <w:rFonts w:hint="eastAsia" w:ascii="宋体" w:hAnsi="宋体" w:eastAsia="宋体" w:cs="仿宋"/>
          <w:color w:val="auto"/>
          <w:kern w:val="0"/>
          <w:sz w:val="24"/>
          <w:highlight w:val="none"/>
          <w:lang w:eastAsia="zh-CN"/>
        </w:rPr>
      </w:pPr>
      <w:r>
        <w:rPr>
          <w:rFonts w:hint="eastAsia" w:ascii="宋体" w:hAnsi="宋体" w:eastAsia="宋体" w:cs="仿宋"/>
          <w:color w:val="auto"/>
          <w:kern w:val="0"/>
          <w:sz w:val="24"/>
          <w:highlight w:val="none"/>
        </w:rPr>
        <w:t>服务承诺</w:t>
      </w:r>
      <w:r>
        <w:rPr>
          <w:rFonts w:hint="eastAsia" w:ascii="宋体" w:hAnsi="宋体" w:eastAsia="宋体" w:cs="仿宋"/>
          <w:color w:val="auto"/>
          <w:kern w:val="0"/>
          <w:sz w:val="24"/>
          <w:highlight w:val="none"/>
          <w:lang w:eastAsia="zh-CN"/>
        </w:rPr>
        <w:t>（格式自拟）</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t>该部分按第四章评标办法及标准中评分内容“服务承诺”的评审标准进行具体阐述。</w:t>
      </w:r>
    </w:p>
    <w:p>
      <w:pPr>
        <w:snapToGrid w:val="0"/>
        <w:spacing w:line="460" w:lineRule="exact"/>
        <w:ind w:firstLine="480" w:firstLineChars="200"/>
        <w:jc w:val="left"/>
        <w:rPr>
          <w:rFonts w:hint="eastAsia" w:asciiTheme="majorEastAsia" w:hAnsiTheme="majorEastAsia" w:eastAsiaTheme="majorEastAsia" w:cstheme="majorEastAsia"/>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w:t>
      </w: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11</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）拟投入本项目人员配备表（格式见附件</w:t>
      </w: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9</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（12）拟参加组织审核返聘退休人员表(格式自拟)；</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（13）误差率承诺书（附件11）；</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（14）审核时限承诺书（附件12）；</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（15）响应方认为需要的其他文件资料。</w:t>
      </w:r>
    </w:p>
    <w:p>
      <w:pPr>
        <w:snapToGrid w:val="0"/>
        <w:spacing w:line="460" w:lineRule="exact"/>
        <w:ind w:firstLine="472" w:firstLineChars="196"/>
        <w:jc w:val="left"/>
        <w:rPr>
          <w:rFonts w:asciiTheme="majorEastAsia" w:hAnsiTheme="majorEastAsia" w:eastAsiaTheme="majorEastAsia" w:cstheme="majorEastAsia"/>
          <w:b/>
          <w:bCs/>
          <w:color w:val="000000" w:themeColor="text1"/>
          <w:kern w:val="1"/>
          <w:highlight w:val="none"/>
          <w:u w:val="single"/>
          <w14:textFill>
            <w14:solidFill>
              <w14:schemeClr w14:val="tx1"/>
            </w14:solidFill>
          </w14:textFill>
        </w:rPr>
      </w:pP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注：法定代表人授权委托书、</w:t>
      </w:r>
      <w:r>
        <w:rPr>
          <w:rFonts w:hint="eastAsia" w:asciiTheme="majorEastAsia" w:hAnsiTheme="majorEastAsia" w:eastAsiaTheme="majorEastAsia" w:cstheme="majorEastAsia"/>
          <w:b/>
          <w:bCs/>
          <w:color w:val="000000" w:themeColor="text1"/>
          <w:kern w:val="1"/>
          <w:highlight w:val="none"/>
          <w:lang w:eastAsia="zh-CN"/>
          <w14:textFill>
            <w14:solidFill>
              <w14:schemeClr w14:val="tx1"/>
            </w14:solidFill>
          </w14:textFill>
        </w:rPr>
        <w:t>响应</w:t>
      </w: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声明书、</w:t>
      </w:r>
      <w:r>
        <w:rPr>
          <w:rFonts w:hint="eastAsia" w:asciiTheme="majorEastAsia" w:hAnsiTheme="majorEastAsia" w:eastAsiaTheme="majorEastAsia" w:cstheme="majorEastAsia"/>
          <w:b/>
          <w:bCs/>
          <w:color w:val="000000" w:themeColor="text1"/>
          <w:kern w:val="1"/>
          <w:highlight w:val="none"/>
          <w:lang w:eastAsia="zh-CN"/>
          <w14:textFill>
            <w14:solidFill>
              <w14:schemeClr w14:val="tx1"/>
            </w14:solidFill>
          </w14:textFill>
        </w:rPr>
        <w:t>响应</w:t>
      </w: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项目报价明细表必须按</w:t>
      </w:r>
      <w:r>
        <w:rPr>
          <w:rFonts w:hint="eastAsia" w:asciiTheme="majorEastAsia" w:hAnsiTheme="majorEastAsia" w:eastAsiaTheme="majorEastAsia" w:cstheme="majorEastAsia"/>
          <w:b/>
          <w:bCs/>
          <w:color w:val="000000" w:themeColor="text1"/>
          <w:kern w:val="1"/>
          <w:highlight w:val="none"/>
          <w:lang w:eastAsia="zh-CN"/>
          <w14:textFill>
            <w14:solidFill>
              <w14:schemeClr w14:val="tx1"/>
            </w14:solidFill>
          </w14:textFill>
        </w:rPr>
        <w:t>征集文件</w:t>
      </w: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格式要求正确签署并加盖</w:t>
      </w:r>
      <w:r>
        <w:rPr>
          <w:rFonts w:hint="eastAsia" w:asciiTheme="majorEastAsia" w:hAnsiTheme="majorEastAsia" w:eastAsiaTheme="majorEastAsia" w:cstheme="majorEastAsia"/>
          <w:b/>
          <w:bCs/>
          <w:color w:val="000000" w:themeColor="text1"/>
          <w:kern w:val="1"/>
          <w:highlight w:val="none"/>
          <w:lang w:eastAsia="zh-CN"/>
          <w14:textFill>
            <w14:solidFill>
              <w14:schemeClr w14:val="tx1"/>
            </w14:solidFill>
          </w14:textFill>
        </w:rPr>
        <w:t>供应商</w:t>
      </w: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电子签章。</w:t>
      </w:r>
      <w:r>
        <w:rPr>
          <w:rFonts w:hint="eastAsia" w:asciiTheme="majorEastAsia" w:hAnsiTheme="majorEastAsia" w:eastAsiaTheme="majorEastAsia" w:cstheme="majorEastAsia"/>
          <w:b/>
          <w:bCs/>
          <w:color w:val="000000" w:themeColor="text1"/>
          <w:kern w:val="1"/>
          <w:highlight w:val="none"/>
          <w:u w:val="single"/>
          <w14:textFill>
            <w14:solidFill>
              <w14:schemeClr w14:val="tx1"/>
            </w14:solidFill>
          </w14:textFill>
        </w:rPr>
        <w:t>资格部分、商务部分及技术部分中不得出现项目价格部分内容，否则将作无效标处理。</w:t>
      </w:r>
    </w:p>
    <w:p>
      <w:pPr>
        <w:snapToGrid w:val="0"/>
        <w:spacing w:line="460" w:lineRule="exact"/>
        <w:ind w:firstLine="472" w:firstLineChars="196"/>
        <w:jc w:val="left"/>
        <w:rPr>
          <w:rFonts w:asciiTheme="majorEastAsia" w:hAnsiTheme="majorEastAsia" w:eastAsiaTheme="majorEastAsia" w:cstheme="majorEastAsia"/>
          <w:b/>
          <w:bCs/>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3、价格部分主要包括下列内容：</w:t>
      </w:r>
    </w:p>
    <w:p>
      <w:pPr>
        <w:snapToGrid w:val="0"/>
        <w:spacing w:line="460" w:lineRule="exact"/>
        <w:ind w:firstLine="470" w:firstLineChars="196"/>
        <w:jc w:val="left"/>
        <w:rPr>
          <w:rFonts w:hint="eastAsia" w:asciiTheme="majorEastAsia" w:hAnsiTheme="majorEastAsia" w:eastAsiaTheme="majorEastAsia" w:cstheme="majorEastAsia"/>
          <w:color w:val="000000" w:themeColor="text1"/>
          <w:kern w:val="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kern w:val="1"/>
          <w:highlight w:val="none"/>
          <w14:textFill>
            <w14:solidFill>
              <w14:schemeClr w14:val="tx1"/>
            </w14:solidFill>
          </w14:textFill>
        </w:rPr>
        <w:t>报价承诺函（附件</w:t>
      </w:r>
      <w:r>
        <w:rPr>
          <w:rFonts w:hint="eastAsia" w:asciiTheme="majorEastAsia" w:hAnsiTheme="majorEastAsia" w:eastAsiaTheme="majorEastAsia" w:cstheme="majorEastAsia"/>
          <w:color w:val="000000" w:themeColor="text1"/>
          <w:kern w:val="1"/>
          <w:highlight w:val="none"/>
          <w:lang w:val="en-US" w:eastAsia="zh-CN"/>
          <w14:textFill>
            <w14:solidFill>
              <w14:schemeClr w14:val="tx1"/>
            </w14:solidFill>
          </w14:textFill>
        </w:rPr>
        <w:t>10</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w:t>
      </w:r>
    </w:p>
    <w:p>
      <w:pPr>
        <w:snapToGrid w:val="0"/>
        <w:spacing w:line="460" w:lineRule="exact"/>
        <w:ind w:firstLine="472" w:firstLineChars="196"/>
        <w:jc w:val="left"/>
        <w:rPr>
          <w:rFonts w:asciiTheme="majorEastAsia" w:hAnsiTheme="majorEastAsia" w:eastAsiaTheme="majorEastAsia" w:cstheme="majorEastAsia"/>
          <w:b/>
          <w:bCs/>
          <w:color w:val="000000" w:themeColor="text1"/>
          <w:kern w:val="1"/>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1"/>
          <w:highlight w:val="none"/>
          <w14:textFill>
            <w14:solidFill>
              <w14:schemeClr w14:val="tx1"/>
            </w14:solidFill>
          </w14:textFill>
        </w:rPr>
        <w:t>以上响应文件组成内容中的复印件均须加盖供应商电子签章。</w:t>
      </w:r>
    </w:p>
    <w:p>
      <w:pPr>
        <w:spacing w:line="360" w:lineRule="auto"/>
        <w:rPr>
          <w:rFonts w:asciiTheme="majorEastAsia" w:hAnsiTheme="majorEastAsia" w:eastAsiaTheme="majorEastAsia" w:cstheme="majorEastAsia"/>
          <w:color w:val="000000" w:themeColor="text1"/>
          <w:highlight w:val="none"/>
          <w14:textFill>
            <w14:solidFill>
              <w14:schemeClr w14:val="tx1"/>
            </w14:solidFill>
          </w14:textFill>
        </w:rPr>
      </w:pPr>
    </w:p>
    <w:p>
      <w:pPr>
        <w:pStyle w:val="6"/>
        <w:rPr>
          <w:rFonts w:asciiTheme="majorEastAsia" w:hAnsiTheme="majorEastAsia" w:eastAsiaTheme="majorEastAsia" w:cstheme="majorEastAsia"/>
          <w:color w:val="000000" w:themeColor="text1"/>
          <w:highlight w:val="none"/>
          <w14:textFill>
            <w14:solidFill>
              <w14:schemeClr w14:val="tx1"/>
            </w14:solidFill>
          </w14:textFill>
        </w:rPr>
      </w:pPr>
    </w:p>
    <w:p>
      <w:pPr>
        <w:rPr>
          <w:rFonts w:asciiTheme="majorEastAsia" w:hAnsiTheme="majorEastAsia" w:eastAsiaTheme="majorEastAsia" w:cstheme="majorEastAsia"/>
          <w:color w:val="000000" w:themeColor="text1"/>
          <w:highlight w:val="none"/>
          <w14:textFill>
            <w14:solidFill>
              <w14:schemeClr w14:val="tx1"/>
            </w14:solidFill>
          </w14:textFill>
        </w:rPr>
      </w:pPr>
    </w:p>
    <w:p>
      <w:pPr>
        <w:pStyle w:val="6"/>
        <w:rPr>
          <w:rFonts w:asciiTheme="majorEastAsia" w:hAnsiTheme="majorEastAsia" w:eastAsiaTheme="majorEastAsia" w:cstheme="majorEastAsia"/>
          <w:color w:val="000000" w:themeColor="text1"/>
          <w:highlight w:val="none"/>
          <w14:textFill>
            <w14:solidFill>
              <w14:schemeClr w14:val="tx1"/>
            </w14:solidFill>
          </w14:textFill>
        </w:rPr>
      </w:pPr>
    </w:p>
    <w:p>
      <w:pPr>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spacing w:before="50" w:afterLines="50"/>
        <w:jc w:val="left"/>
        <w:rPr>
          <w:rFonts w:hint="eastAsia" w:asciiTheme="majorEastAsia" w:hAnsiTheme="majorEastAsia" w:eastAsiaTheme="majorEastAsia" w:cstheme="majorEastAsia"/>
          <w:b/>
          <w:color w:val="000000" w:themeColor="text1"/>
          <w:highlight w:val="none"/>
          <w14:textFill>
            <w14:solidFill>
              <w14:schemeClr w14:val="tx1"/>
            </w14:solidFill>
          </w14:textFill>
        </w:rPr>
      </w:pPr>
    </w:p>
    <w:p>
      <w:pPr>
        <w:snapToGrid w:val="0"/>
        <w:spacing w:before="50" w:afterLines="50"/>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附件1：</w:t>
      </w:r>
    </w:p>
    <w:p>
      <w:pPr>
        <w:snapToGrid w:val="0"/>
        <w:spacing w:before="50" w:afterLines="5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投 标 声 明 书</w:t>
      </w:r>
    </w:p>
    <w:p>
      <w:pPr>
        <w:snapToGrid w:val="0"/>
        <w:spacing w:before="50" w:after="50"/>
        <w:jc w:val="center"/>
        <w:rPr>
          <w:rFonts w:asciiTheme="majorEastAsia" w:hAnsiTheme="majorEastAsia" w:eastAsiaTheme="majorEastAsia" w:cstheme="majorEastAsia"/>
          <w:b/>
          <w:color w:val="000000" w:themeColor="text1"/>
          <w:highlight w:val="none"/>
          <w14:textFill>
            <w14:solidFill>
              <w14:schemeClr w14:val="tx1"/>
            </w14:solidFill>
          </w14:textFill>
        </w:rPr>
      </w:pPr>
    </w:p>
    <w:p>
      <w:pPr>
        <w:snapToGrid w:val="0"/>
        <w:spacing w:line="360" w:lineRule="auto"/>
        <w:rPr>
          <w:rFonts w:asciiTheme="majorEastAsia" w:hAnsiTheme="majorEastAsia" w:eastAsiaTheme="majorEastAsia" w:cstheme="majorEastAsia"/>
          <w:snapToGrid w:val="0"/>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致</w:t>
      </w:r>
      <w:r>
        <w:rPr>
          <w:rFonts w:hint="eastAsia" w:asciiTheme="majorEastAsia" w:hAnsiTheme="majorEastAsia" w:eastAsiaTheme="majorEastAsia" w:cstheme="majorEastAsia"/>
          <w:snapToGrid w:val="0"/>
          <w:color w:val="000000" w:themeColor="text1"/>
          <w:kern w:val="0"/>
          <w:highlight w:val="none"/>
          <w:lang w:eastAsia="zh-CN"/>
          <w14:textFill>
            <w14:solidFill>
              <w14:schemeClr w14:val="tx1"/>
            </w14:solidFill>
          </w14:textFill>
        </w:rPr>
        <w:t>金华市公共资源交易中心兰溪市分中心</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w:t>
      </w:r>
    </w:p>
    <w:p>
      <w:pPr>
        <w:snapToGrid w:val="0"/>
        <w:spacing w:line="360" w:lineRule="auto"/>
        <w:ind w:firstLine="480" w:firstLineChars="200"/>
        <w:jc w:val="left"/>
        <w:rPr>
          <w:rFonts w:asciiTheme="majorEastAsia" w:hAnsiTheme="majorEastAsia" w:eastAsiaTheme="majorEastAsia" w:cstheme="majorEastAsia"/>
          <w:snapToGrid w:val="0"/>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w:t>
      </w:r>
      <w:r>
        <w:rPr>
          <w:rFonts w:hint="eastAsia" w:asciiTheme="majorEastAsia" w:hAnsiTheme="majorEastAsia" w:eastAsiaTheme="majorEastAsia" w:cstheme="majorEastAsia"/>
          <w:snapToGrid w:val="0"/>
          <w:color w:val="000000" w:themeColor="text1"/>
          <w:kern w:val="0"/>
          <w:highlight w:val="none"/>
          <w:u w:val="single"/>
          <w:lang w:val="en-US" w:eastAsia="zh-CN"/>
          <w14:textFill>
            <w14:solidFill>
              <w14:schemeClr w14:val="tx1"/>
            </w14:solidFill>
          </w14:textFill>
        </w:rPr>
        <w:t>供应商</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 xml:space="preserve">名称）               </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系中华人民共和国合法企业，经营地址</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 xml:space="preserve">                            </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w:t>
      </w:r>
    </w:p>
    <w:p>
      <w:pPr>
        <w:snapToGrid w:val="0"/>
        <w:spacing w:line="360" w:lineRule="auto"/>
        <w:ind w:firstLine="480" w:firstLineChars="200"/>
        <w:rPr>
          <w:rFonts w:asciiTheme="majorEastAsia" w:hAnsiTheme="majorEastAsia" w:eastAsiaTheme="majorEastAsia" w:cstheme="majorEastAsia"/>
          <w:snapToGrid w:val="0"/>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我</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（姓名）</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系</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w:t>
      </w:r>
      <w:r>
        <w:rPr>
          <w:rFonts w:hint="eastAsia" w:asciiTheme="majorEastAsia" w:hAnsiTheme="majorEastAsia" w:eastAsiaTheme="majorEastAsia" w:cstheme="majorEastAsia"/>
          <w:snapToGrid w:val="0"/>
          <w:color w:val="000000" w:themeColor="text1"/>
          <w:kern w:val="0"/>
          <w:highlight w:val="none"/>
          <w:u w:val="single"/>
          <w:lang w:val="en-US" w:eastAsia="zh-CN"/>
          <w14:textFill>
            <w14:solidFill>
              <w14:schemeClr w14:val="tx1"/>
            </w14:solidFill>
          </w14:textFill>
        </w:rPr>
        <w:t>供应商</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名称）</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的法定代表人，我方愿意参加贵方组织的</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w:t>
      </w:r>
      <w:r>
        <w:rPr>
          <w:rFonts w:hint="eastAsia" w:asciiTheme="majorEastAsia" w:hAnsiTheme="majorEastAsia" w:eastAsiaTheme="majorEastAsia" w:cstheme="majorEastAsia"/>
          <w:snapToGrid w:val="0"/>
          <w:color w:val="000000" w:themeColor="text1"/>
          <w:kern w:val="0"/>
          <w:highlight w:val="none"/>
          <w:u w:val="single"/>
          <w:lang w:eastAsia="zh-CN"/>
          <w14:textFill>
            <w14:solidFill>
              <w14:schemeClr w14:val="tx1"/>
            </w14:solidFill>
          </w14:textFill>
        </w:rPr>
        <w:t>征集</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项目名称：</w:t>
      </w:r>
      <w:r>
        <w:rPr>
          <w:rFonts w:hint="eastAsia" w:asciiTheme="majorEastAsia" w:hAnsiTheme="majorEastAsia" w:eastAsiaTheme="majorEastAsia" w:cstheme="majorEastAsia"/>
          <w:snapToGrid w:val="0"/>
          <w:color w:val="000000" w:themeColor="text1"/>
          <w:kern w:val="0"/>
          <w:highlight w:val="none"/>
          <w:u w:val="single"/>
          <w:lang w:eastAsia="zh-CN"/>
          <w14:textFill>
            <w14:solidFill>
              <w14:schemeClr w14:val="tx1"/>
            </w14:solidFill>
          </w14:textFill>
        </w:rPr>
        <w:t>兰溪市财政局202</w:t>
      </w:r>
      <w:r>
        <w:rPr>
          <w:rFonts w:hint="eastAsia" w:asciiTheme="majorEastAsia" w:hAnsiTheme="majorEastAsia" w:eastAsiaTheme="majorEastAsia" w:cstheme="majorEastAsia"/>
          <w:snapToGrid w:val="0"/>
          <w:color w:val="000000" w:themeColor="text1"/>
          <w:kern w:val="0"/>
          <w:highlight w:val="none"/>
          <w:u w:val="single"/>
          <w:lang w:val="en-US" w:eastAsia="zh-CN"/>
          <w14:textFill>
            <w14:solidFill>
              <w14:schemeClr w14:val="tx1"/>
            </w14:solidFill>
          </w14:textFill>
        </w:rPr>
        <w:t>5</w:t>
      </w:r>
      <w:r>
        <w:rPr>
          <w:rFonts w:hint="eastAsia" w:asciiTheme="majorEastAsia" w:hAnsiTheme="majorEastAsia" w:eastAsiaTheme="majorEastAsia" w:cstheme="majorEastAsia"/>
          <w:snapToGrid w:val="0"/>
          <w:color w:val="000000" w:themeColor="text1"/>
          <w:kern w:val="0"/>
          <w:highlight w:val="none"/>
          <w:u w:val="single"/>
          <w:lang w:eastAsia="zh-CN"/>
          <w14:textFill>
            <w14:solidFill>
              <w14:schemeClr w14:val="tx1"/>
            </w14:solidFill>
          </w14:textFill>
        </w:rPr>
        <w:t>-202</w:t>
      </w:r>
      <w:r>
        <w:rPr>
          <w:rFonts w:hint="eastAsia" w:asciiTheme="majorEastAsia" w:hAnsiTheme="majorEastAsia" w:eastAsiaTheme="majorEastAsia" w:cstheme="majorEastAsia"/>
          <w:snapToGrid w:val="0"/>
          <w:color w:val="000000" w:themeColor="text1"/>
          <w:kern w:val="0"/>
          <w:highlight w:val="none"/>
          <w:u w:val="single"/>
          <w:lang w:val="en-US" w:eastAsia="zh-CN"/>
          <w14:textFill>
            <w14:solidFill>
              <w14:schemeClr w14:val="tx1"/>
            </w14:solidFill>
          </w14:textFill>
        </w:rPr>
        <w:t>6</w:t>
      </w:r>
      <w:r>
        <w:rPr>
          <w:rFonts w:hint="eastAsia" w:asciiTheme="majorEastAsia" w:hAnsiTheme="majorEastAsia" w:eastAsiaTheme="majorEastAsia" w:cstheme="majorEastAsia"/>
          <w:snapToGrid w:val="0"/>
          <w:color w:val="000000" w:themeColor="text1"/>
          <w:kern w:val="0"/>
          <w:highlight w:val="none"/>
          <w:u w:val="single"/>
          <w:lang w:eastAsia="zh-CN"/>
          <w14:textFill>
            <w14:solidFill>
              <w14:schemeClr w14:val="tx1"/>
            </w14:solidFill>
          </w14:textFill>
        </w:rPr>
        <w:t>年财政投资项目工程造价咨询服务框架协议采购项目</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）（编号：</w:t>
      </w:r>
      <w:r>
        <w:rPr>
          <w:rFonts w:hint="eastAsia" w:asciiTheme="majorEastAsia" w:hAnsiTheme="majorEastAsia" w:eastAsiaTheme="majorEastAsia" w:cstheme="majorEastAsia"/>
          <w:snapToGrid w:val="0"/>
          <w:color w:val="000000" w:themeColor="text1"/>
          <w:kern w:val="0"/>
          <w:highlight w:val="none"/>
          <w:u w:val="single"/>
          <w:lang w:eastAsia="zh-CN"/>
          <w14:textFill>
            <w14:solidFill>
              <w14:schemeClr w14:val="tx1"/>
            </w14:solidFill>
          </w14:textFill>
        </w:rPr>
        <w:t>LX20241102-C2303000</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的</w:t>
      </w:r>
      <w:r>
        <w:rPr>
          <w:rFonts w:hint="eastAsia" w:asciiTheme="majorEastAsia" w:hAnsiTheme="majorEastAsia" w:eastAsiaTheme="majorEastAsia" w:cstheme="majorEastAsia"/>
          <w:snapToGrid w:val="0"/>
          <w:color w:val="000000" w:themeColor="text1"/>
          <w:kern w:val="0"/>
          <w:highlight w:val="none"/>
          <w:lang w:eastAsia="zh-CN"/>
          <w14:textFill>
            <w14:solidFill>
              <w14:schemeClr w14:val="tx1"/>
            </w14:solidFill>
          </w14:textFill>
        </w:rPr>
        <w:t>响应</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，为此，我方就本次</w:t>
      </w:r>
      <w:r>
        <w:rPr>
          <w:rFonts w:hint="eastAsia" w:asciiTheme="majorEastAsia" w:hAnsiTheme="majorEastAsia" w:eastAsiaTheme="majorEastAsia" w:cstheme="majorEastAsia"/>
          <w:snapToGrid w:val="0"/>
          <w:color w:val="000000" w:themeColor="text1"/>
          <w:kern w:val="0"/>
          <w:highlight w:val="none"/>
          <w:lang w:eastAsia="zh-CN"/>
          <w14:textFill>
            <w14:solidFill>
              <w14:schemeClr w14:val="tx1"/>
            </w14:solidFill>
          </w14:textFill>
        </w:rPr>
        <w:t>响应</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有关事项郑重声明如下：</w:t>
      </w:r>
    </w:p>
    <w:p>
      <w:pPr>
        <w:snapToGrid w:val="0"/>
        <w:spacing w:line="360" w:lineRule="auto"/>
        <w:ind w:firstLine="480" w:firstLineChars="200"/>
        <w:rPr>
          <w:rFonts w:asciiTheme="majorEastAsia" w:hAnsiTheme="majorEastAsia" w:eastAsiaTheme="majorEastAsia" w:cstheme="majorEastAsia"/>
          <w:snapToGrid w:val="0"/>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1、我方已详细审查全部</w:t>
      </w:r>
      <w:r>
        <w:rPr>
          <w:rFonts w:hint="eastAsia" w:asciiTheme="majorEastAsia" w:hAnsiTheme="majorEastAsia" w:eastAsiaTheme="majorEastAsia" w:cstheme="majorEastAsia"/>
          <w:snapToGrid w:val="0"/>
          <w:color w:val="000000" w:themeColor="text1"/>
          <w:kern w:val="0"/>
          <w:highlight w:val="none"/>
          <w:lang w:val="en-US" w:eastAsia="zh-CN"/>
          <w14:textFill>
            <w14:solidFill>
              <w14:schemeClr w14:val="tx1"/>
            </w14:solidFill>
          </w14:textFill>
        </w:rPr>
        <w:t>征集</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文件，同意</w:t>
      </w:r>
      <w:r>
        <w:rPr>
          <w:rFonts w:hint="eastAsia" w:asciiTheme="majorEastAsia" w:hAnsiTheme="majorEastAsia" w:eastAsiaTheme="majorEastAsia" w:cstheme="majorEastAsia"/>
          <w:snapToGrid w:val="0"/>
          <w:color w:val="000000" w:themeColor="text1"/>
          <w:kern w:val="0"/>
          <w:highlight w:val="none"/>
          <w:lang w:val="en-US" w:eastAsia="zh-CN"/>
          <w14:textFill>
            <w14:solidFill>
              <w14:schemeClr w14:val="tx1"/>
            </w14:solidFill>
          </w14:textFill>
        </w:rPr>
        <w:t>征集</w:t>
      </w:r>
      <w:r>
        <w:rPr>
          <w:rFonts w:hint="eastAsia" w:asciiTheme="majorEastAsia" w:hAnsiTheme="majorEastAsia" w:eastAsiaTheme="majorEastAsia" w:cstheme="majorEastAsia"/>
          <w:snapToGrid w:val="0"/>
          <w:color w:val="000000" w:themeColor="text1"/>
          <w:kern w:val="0"/>
          <w:highlight w:val="none"/>
          <w14:textFill>
            <w14:solidFill>
              <w14:schemeClr w14:val="tx1"/>
            </w14:solidFill>
          </w14:textFill>
        </w:rPr>
        <w:t>文件的各项要求。</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2、我方向贵方提交的所有</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、资料都是准确的和真实的。</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3、若中标，我方将按</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征集</w:t>
      </w:r>
      <w:r>
        <w:rPr>
          <w:rFonts w:hint="eastAsia" w:asciiTheme="majorEastAsia" w:hAnsiTheme="majorEastAsia" w:eastAsiaTheme="majorEastAsia" w:cstheme="majorEastAsia"/>
          <w:color w:val="000000" w:themeColor="text1"/>
          <w:highlight w:val="none"/>
          <w14:textFill>
            <w14:solidFill>
              <w14:schemeClr w14:val="tx1"/>
            </w14:solidFill>
          </w14:textFill>
        </w:rPr>
        <w:t>文件规定履行合同责任和义务。</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4、我方不是采购人的附属机构，在获知本项目采购信息后，与采购人聘请的为此项目提供咨询服务的公司及其附属机构没有任何联系。</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5、</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自开标日起有效期为</w:t>
      </w:r>
      <w:r>
        <w:rPr>
          <w:rFonts w:hint="default" w:asciiTheme="majorEastAsia" w:hAnsiTheme="majorEastAsia" w:eastAsiaTheme="majorEastAsia" w:cstheme="majorEastAsia"/>
          <w:color w:val="000000" w:themeColor="text1"/>
          <w:highlight w:val="none"/>
          <w:lang w:val="en"/>
          <w14:textFill>
            <w14:solidFill>
              <w14:schemeClr w14:val="tx1"/>
            </w14:solidFill>
          </w14:textFill>
        </w:rPr>
        <w:t>90</w:t>
      </w:r>
      <w:r>
        <w:rPr>
          <w:rFonts w:hint="eastAsia" w:asciiTheme="majorEastAsia" w:hAnsiTheme="majorEastAsia" w:eastAsiaTheme="majorEastAsia" w:cstheme="majorEastAsia"/>
          <w:color w:val="000000" w:themeColor="text1"/>
          <w:highlight w:val="none"/>
          <w14:textFill>
            <w14:solidFill>
              <w14:schemeClr w14:val="tx1"/>
            </w14:solidFill>
          </w14:textFill>
        </w:rPr>
        <w:t>天。</w:t>
      </w:r>
    </w:p>
    <w:p>
      <w:pPr>
        <w:snapToGrid w:val="0"/>
        <w:spacing w:line="360" w:lineRule="auto"/>
        <w:ind w:firstLine="472" w:firstLineChars="196"/>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6、符合《中华人民共和国政府采购法》第二十二条：参加政府采购活动应当具备的条件；</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7、我方通过“信用中国”网站（www.creditchina.gov.cn）、中国政府采购网（www.ccgp.gov.cn）查询，未被列入失信被执行人、重大税收违法案件当事人名单、政府采购严重违法失信行为记录名单。</w:t>
      </w:r>
    </w:p>
    <w:p>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8、以上事项如有虚假或隐瞒，我方愿意承担一切后果，并不再寻求任何旨在减轻或免除法律责任的辩解。</w:t>
      </w:r>
    </w:p>
    <w:p>
      <w:pPr>
        <w:snapToGrid w:val="0"/>
        <w:ind w:right="600" w:firstLine="120" w:firstLineChars="50"/>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ind w:right="600" w:firstLine="120" w:firstLineChars="50"/>
        <w:rPr>
          <w:rFonts w:asciiTheme="majorEastAsia" w:hAnsiTheme="majorEastAsia" w:eastAsiaTheme="majorEastAsia" w:cstheme="majorEastAsia"/>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法定代表人签名（或签名章）：</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日 期：</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p>
    <w:p>
      <w:pPr>
        <w:snapToGrid w:val="0"/>
        <w:ind w:firstLine="120" w:firstLineChars="5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全称（电子签章）：</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br w:type="page"/>
      </w:r>
    </w:p>
    <w:p>
      <w:pPr>
        <w:snapToGrid w:val="0"/>
        <w:rPr>
          <w:rFonts w:asciiTheme="majorEastAsia" w:hAnsiTheme="majorEastAsia" w:eastAsiaTheme="majorEastAsia" w:cstheme="majorEastAsia"/>
          <w:b/>
          <w:bCs/>
          <w:color w:val="000000" w:themeColor="text1"/>
          <w:spacing w:val="24"/>
          <w:highlight w:val="none"/>
          <w14:textFill>
            <w14:solidFill>
              <w14:schemeClr w14:val="tx1"/>
            </w14:solidFill>
          </w14:textFill>
        </w:rPr>
      </w:pPr>
      <w:r>
        <w:rPr>
          <w:rFonts w:hint="eastAsia" w:asciiTheme="majorEastAsia" w:hAnsiTheme="majorEastAsia" w:eastAsiaTheme="majorEastAsia" w:cstheme="majorEastAsia"/>
          <w:b/>
          <w:bCs/>
          <w:color w:val="000000" w:themeColor="text1"/>
          <w:spacing w:val="24"/>
          <w:highlight w:val="none"/>
          <w14:textFill>
            <w14:solidFill>
              <w14:schemeClr w14:val="tx1"/>
            </w14:solidFill>
          </w14:textFill>
        </w:rPr>
        <w:t>附件2：</w:t>
      </w:r>
    </w:p>
    <w:p>
      <w:pPr>
        <w:snapToGrid w:val="0"/>
        <w:spacing w:before="50" w:after="5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pacing w:val="24"/>
          <w:highlight w:val="none"/>
          <w14:textFill>
            <w14:solidFill>
              <w14:schemeClr w14:val="tx1"/>
            </w14:solidFill>
          </w14:textFill>
        </w:rPr>
        <w:t>法定代表人有效身份证明书</w:t>
      </w:r>
    </w:p>
    <w:p>
      <w:pPr>
        <w:pStyle w:val="9"/>
        <w:spacing w:line="500" w:lineRule="exact"/>
        <w:ind w:firstLine="451" w:firstLineChars="156"/>
        <w:jc w:val="center"/>
        <w:rPr>
          <w:rFonts w:asciiTheme="majorEastAsia" w:hAnsiTheme="majorEastAsia" w:eastAsiaTheme="majorEastAsia" w:cstheme="majorEastAsia"/>
          <w:b/>
          <w:bCs/>
          <w:color w:val="000000" w:themeColor="text1"/>
          <w:spacing w:val="24"/>
          <w:szCs w:val="24"/>
          <w:highlight w:val="none"/>
          <w14:textFill>
            <w14:solidFill>
              <w14:schemeClr w14:val="tx1"/>
            </w14:solidFill>
          </w14:textFill>
        </w:rPr>
      </w:pPr>
    </w:p>
    <w:p>
      <w:pPr>
        <w:pStyle w:val="9"/>
        <w:spacing w:line="500" w:lineRule="exact"/>
        <w:ind w:firstLine="451" w:firstLineChars="156"/>
        <w:jc w:val="center"/>
        <w:rPr>
          <w:rFonts w:asciiTheme="majorEastAsia" w:hAnsiTheme="majorEastAsia" w:eastAsiaTheme="majorEastAsia" w:cstheme="majorEastAsia"/>
          <w:b/>
          <w:bCs/>
          <w:color w:val="000000" w:themeColor="text1"/>
          <w:spacing w:val="24"/>
          <w:szCs w:val="24"/>
          <w:highlight w:val="none"/>
          <w14:textFill>
            <w14:solidFill>
              <w14:schemeClr w14:val="tx1"/>
            </w14:solidFill>
          </w14:textFill>
        </w:rPr>
      </w:pPr>
    </w:p>
    <w:p>
      <w:pPr>
        <w:pStyle w:val="9"/>
        <w:spacing w:line="500" w:lineRule="exact"/>
        <w:ind w:firstLine="1080" w:firstLineChars="450"/>
        <w:rPr>
          <w:rFonts w:asciiTheme="majorEastAsia" w:hAnsiTheme="majorEastAsia" w:eastAsiaTheme="majorEastAsia" w:cstheme="majorEastAsia"/>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u w:val="single"/>
          <w14:textFill>
            <w14:solidFill>
              <w14:schemeClr w14:val="tx1"/>
            </w14:solidFill>
          </w14:textFill>
        </w:rPr>
        <w:t>（姓名）</w:t>
      </w: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是 （单位全称）</w:t>
      </w: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的法定代表人，身份证号码为 。</w:t>
      </w: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 xml:space="preserve">    特此证明</w:t>
      </w: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 xml:space="preserve">         </w:t>
      </w:r>
      <w:r>
        <w:rPr>
          <w:rFonts w:hint="eastAsia" w:asciiTheme="majorEastAsia" w:hAnsiTheme="majorEastAsia" w:eastAsiaTheme="majorEastAsia" w:cstheme="majorEastAsia"/>
          <w:color w:val="000000" w:themeColor="text1"/>
          <w:szCs w:val="24"/>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：（电子签章）</w:t>
      </w: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1454" w:firstLineChars="606"/>
        <w:rPr>
          <w:rFonts w:asciiTheme="majorEastAsia" w:hAnsiTheme="majorEastAsia" w:eastAsiaTheme="majorEastAsia" w:cstheme="majorEastAsia"/>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法定代表人或其授权代理人（签名或盖章）</w:t>
      </w:r>
    </w:p>
    <w:p>
      <w:pPr>
        <w:pStyle w:val="9"/>
        <w:spacing w:line="500" w:lineRule="exact"/>
        <w:ind w:firstLine="374" w:firstLineChars="156"/>
        <w:jc w:val="center"/>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 xml:space="preserve">              日期：    年   月   日</w:t>
      </w:r>
    </w:p>
    <w:p>
      <w:pPr>
        <w:pStyle w:val="9"/>
        <w:spacing w:line="500" w:lineRule="exact"/>
        <w:ind w:firstLine="374" w:firstLineChars="156"/>
        <w:jc w:val="center"/>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w:t>
      </w:r>
    </w:p>
    <w:p>
      <w:pPr>
        <w:pStyle w:val="9"/>
        <w:spacing w:line="500" w:lineRule="exact"/>
        <w:ind w:firstLine="0"/>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jc w:val="center"/>
        <w:rPr>
          <w:rFonts w:asciiTheme="majorEastAsia" w:hAnsiTheme="majorEastAsia" w:eastAsiaTheme="majorEastAsia" w:cstheme="majorEastAsia"/>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有效身份证明复印件粘贴处</w:t>
      </w:r>
    </w:p>
    <w:p>
      <w:pPr>
        <w:pStyle w:val="9"/>
        <w:spacing w:line="500" w:lineRule="exact"/>
        <w:ind w:firstLine="374" w:firstLineChars="156"/>
        <w:jc w:val="center"/>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374" w:firstLineChars="156"/>
        <w:jc w:val="center"/>
        <w:rPr>
          <w:rFonts w:asciiTheme="majorEastAsia" w:hAnsiTheme="majorEastAsia" w:eastAsiaTheme="majorEastAsia" w:cstheme="majorEastAsia"/>
          <w:color w:val="000000" w:themeColor="text1"/>
          <w:szCs w:val="24"/>
          <w:highlight w:val="none"/>
          <w14:textFill>
            <w14:solidFill>
              <w14:schemeClr w14:val="tx1"/>
            </w14:solidFill>
          </w14:textFill>
        </w:rPr>
      </w:pPr>
    </w:p>
    <w:p>
      <w:pPr>
        <w:pStyle w:val="9"/>
        <w:spacing w:line="500" w:lineRule="exact"/>
        <w:ind w:firstLine="451" w:firstLineChars="156"/>
        <w:jc w:val="center"/>
        <w:rPr>
          <w:rFonts w:asciiTheme="majorEastAsia" w:hAnsiTheme="majorEastAsia" w:eastAsiaTheme="majorEastAsia" w:cstheme="majorEastAsia"/>
          <w:b/>
          <w:bCs/>
          <w:color w:val="000000" w:themeColor="text1"/>
          <w:spacing w:val="24"/>
          <w:szCs w:val="24"/>
          <w:highlight w:val="none"/>
          <w14:textFill>
            <w14:solidFill>
              <w14:schemeClr w14:val="tx1"/>
            </w14:solidFill>
          </w14:textFill>
        </w:rPr>
      </w:pPr>
    </w:p>
    <w:p>
      <w:pPr>
        <w:pStyle w:val="9"/>
        <w:spacing w:line="500" w:lineRule="exact"/>
        <w:ind w:firstLine="451" w:firstLineChars="156"/>
        <w:jc w:val="center"/>
        <w:rPr>
          <w:rFonts w:asciiTheme="majorEastAsia" w:hAnsiTheme="majorEastAsia" w:eastAsiaTheme="majorEastAsia" w:cstheme="majorEastAsia"/>
          <w:b/>
          <w:bCs/>
          <w:color w:val="000000" w:themeColor="text1"/>
          <w:spacing w:val="24"/>
          <w:szCs w:val="24"/>
          <w:highlight w:val="none"/>
          <w14:textFill>
            <w14:solidFill>
              <w14:schemeClr w14:val="tx1"/>
            </w14:solidFill>
          </w14:textFill>
        </w:rPr>
      </w:pPr>
    </w:p>
    <w:p>
      <w:pPr>
        <w:snapToGrid w:val="0"/>
        <w:spacing w:beforeLines="50" w:after="50" w:line="460" w:lineRule="exact"/>
        <w:rPr>
          <w:rFonts w:asciiTheme="majorEastAsia" w:hAnsiTheme="majorEastAsia" w:eastAsiaTheme="majorEastAsia" w:cstheme="majorEastAsia"/>
          <w:color w:val="000000" w:themeColor="text1"/>
          <w:highlight w:val="none"/>
          <w14:textFill>
            <w14:solidFill>
              <w14:schemeClr w14:val="tx1"/>
            </w14:solidFill>
          </w14:textFill>
        </w:rPr>
      </w:pPr>
    </w:p>
    <w:p>
      <w:pPr>
        <w:pStyle w:val="25"/>
        <w:ind w:firstLine="240"/>
        <w:rPr>
          <w:color w:val="000000" w:themeColor="text1"/>
          <w:highlight w:val="none"/>
          <w14:textFill>
            <w14:solidFill>
              <w14:schemeClr w14:val="tx1"/>
            </w14:solidFill>
          </w14:textFill>
        </w:rPr>
      </w:pPr>
    </w:p>
    <w:p>
      <w:pPr>
        <w:snapToGrid w:val="0"/>
        <w:spacing w:beforeLines="50" w:after="50" w:line="460" w:lineRule="exac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附件3：</w:t>
      </w:r>
    </w:p>
    <w:p>
      <w:pPr>
        <w:snapToGrid w:val="0"/>
        <w:spacing w:before="50" w:after="5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法定代表人授权委托书</w:t>
      </w:r>
    </w:p>
    <w:p>
      <w:pPr>
        <w:snapToGrid w:val="0"/>
        <w:spacing w:beforeLines="50" w:after="50"/>
        <w:jc w:val="center"/>
        <w:rPr>
          <w:rFonts w:asciiTheme="majorEastAsia" w:hAnsiTheme="majorEastAsia" w:eastAsiaTheme="majorEastAsia" w:cstheme="majorEastAsia"/>
          <w:b/>
          <w:color w:val="000000" w:themeColor="text1"/>
          <w:highlight w:val="none"/>
          <w14:textFill>
            <w14:solidFill>
              <w14:schemeClr w14:val="tx1"/>
            </w14:solidFill>
          </w14:textFill>
        </w:rPr>
      </w:pPr>
    </w:p>
    <w:p>
      <w:pPr>
        <w:snapToGrid w:val="0"/>
        <w:spacing w:line="360" w:lineRule="auto"/>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eastAsia="zh-CN"/>
          <w14:textFill>
            <w14:solidFill>
              <w14:schemeClr w14:val="tx1"/>
            </w14:solidFill>
          </w14:textFill>
        </w:rPr>
        <w:t>金华市公共资源交易中心兰溪市分中心</w:t>
      </w:r>
      <w:r>
        <w:rPr>
          <w:rFonts w:hint="eastAsia" w:asciiTheme="majorEastAsia" w:hAnsiTheme="majorEastAsia" w:eastAsiaTheme="majorEastAsia" w:cstheme="majorEastAsia"/>
          <w:bCs/>
          <w:color w:val="000000" w:themeColor="text1"/>
          <w:highlight w:val="none"/>
          <w14:textFill>
            <w14:solidFill>
              <w14:schemeClr w14:val="tx1"/>
            </w14:solidFill>
          </w14:textFill>
        </w:rPr>
        <w:t>：</w:t>
      </w:r>
    </w:p>
    <w:p>
      <w:pPr>
        <w:snapToGrid w:val="0"/>
        <w:spacing w:line="360" w:lineRule="auto"/>
        <w:ind w:firstLine="720" w:firstLineChars="300"/>
        <w:rPr>
          <w:rFonts w:asciiTheme="majorEastAsia" w:hAnsiTheme="majorEastAsia" w:eastAsiaTheme="majorEastAsia" w:cstheme="majorEastAsia"/>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我（姓名）系（</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名称）的法定代表人，现授权委托本单位在职职工 </w:t>
      </w:r>
      <w:r>
        <w:rPr>
          <w:rFonts w:hint="eastAsia" w:asciiTheme="majorEastAsia" w:hAnsiTheme="majorEastAsia" w:eastAsiaTheme="majorEastAsia" w:cstheme="majorEastAsia"/>
          <w:b/>
          <w:color w:val="000000" w:themeColor="text1"/>
          <w:highlight w:val="none"/>
          <w14:textFill>
            <w14:solidFill>
              <w14:schemeClr w14:val="tx1"/>
            </w14:solidFill>
          </w14:textFill>
        </w:rPr>
        <w:t xml:space="preserve">(提供个人在本单位缴纳社保的证明) </w:t>
      </w:r>
    </w:p>
    <w:p>
      <w:pPr>
        <w:snapToGrid w:val="0"/>
        <w:spacing w:line="360"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（姓名）为授权代表，以我方的名义参加项目编号：</w:t>
      </w: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LX20241102-C2303000</w:t>
      </w:r>
      <w:r>
        <w:rPr>
          <w:rFonts w:hint="eastAsia" w:asciiTheme="majorEastAsia" w:hAnsiTheme="majorEastAsia" w:eastAsiaTheme="majorEastAsia" w:cstheme="majorEastAsia"/>
          <w:color w:val="000000" w:themeColor="text1"/>
          <w:highlight w:val="none"/>
          <w14:textFill>
            <w14:solidFill>
              <w14:schemeClr w14:val="tx1"/>
            </w14:solidFill>
          </w14:textFill>
        </w:rPr>
        <w:t>项目名称</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w:t>
      </w:r>
      <w:r>
        <w:rPr>
          <w:rFonts w:hint="eastAsia" w:asciiTheme="majorEastAsia" w:hAnsiTheme="majorEastAsia" w:eastAsiaTheme="majorEastAsia" w:cstheme="majorEastAsia"/>
          <w:snapToGrid w:val="0"/>
          <w:color w:val="000000" w:themeColor="text1"/>
          <w:kern w:val="0"/>
          <w:highlight w:val="none"/>
          <w:u w:val="single"/>
          <w:lang w:eastAsia="zh-CN"/>
          <w14:textFill>
            <w14:solidFill>
              <w14:schemeClr w14:val="tx1"/>
            </w14:solidFill>
          </w14:textFill>
        </w:rPr>
        <w:t>兰溪市财政局202</w:t>
      </w:r>
      <w:r>
        <w:rPr>
          <w:rFonts w:hint="eastAsia" w:asciiTheme="majorEastAsia" w:hAnsiTheme="majorEastAsia" w:eastAsiaTheme="majorEastAsia" w:cstheme="majorEastAsia"/>
          <w:snapToGrid w:val="0"/>
          <w:color w:val="000000" w:themeColor="text1"/>
          <w:kern w:val="0"/>
          <w:highlight w:val="none"/>
          <w:u w:val="single"/>
          <w:lang w:val="en-US" w:eastAsia="zh-CN"/>
          <w14:textFill>
            <w14:solidFill>
              <w14:schemeClr w14:val="tx1"/>
            </w14:solidFill>
          </w14:textFill>
        </w:rPr>
        <w:t>5</w:t>
      </w:r>
      <w:r>
        <w:rPr>
          <w:rFonts w:hint="eastAsia" w:asciiTheme="majorEastAsia" w:hAnsiTheme="majorEastAsia" w:eastAsiaTheme="majorEastAsia" w:cstheme="majorEastAsia"/>
          <w:snapToGrid w:val="0"/>
          <w:color w:val="000000" w:themeColor="text1"/>
          <w:kern w:val="0"/>
          <w:highlight w:val="none"/>
          <w:u w:val="single"/>
          <w:lang w:eastAsia="zh-CN"/>
          <w14:textFill>
            <w14:solidFill>
              <w14:schemeClr w14:val="tx1"/>
            </w14:solidFill>
          </w14:textFill>
        </w:rPr>
        <w:t>-202</w:t>
      </w:r>
      <w:r>
        <w:rPr>
          <w:rFonts w:hint="eastAsia" w:asciiTheme="majorEastAsia" w:hAnsiTheme="majorEastAsia" w:eastAsiaTheme="majorEastAsia" w:cstheme="majorEastAsia"/>
          <w:snapToGrid w:val="0"/>
          <w:color w:val="000000" w:themeColor="text1"/>
          <w:kern w:val="0"/>
          <w:highlight w:val="none"/>
          <w:u w:val="single"/>
          <w:lang w:val="en-US" w:eastAsia="zh-CN"/>
          <w14:textFill>
            <w14:solidFill>
              <w14:schemeClr w14:val="tx1"/>
            </w14:solidFill>
          </w14:textFill>
        </w:rPr>
        <w:t>6</w:t>
      </w:r>
      <w:r>
        <w:rPr>
          <w:rFonts w:hint="eastAsia" w:asciiTheme="majorEastAsia" w:hAnsiTheme="majorEastAsia" w:eastAsiaTheme="majorEastAsia" w:cstheme="majorEastAsia"/>
          <w:snapToGrid w:val="0"/>
          <w:color w:val="000000" w:themeColor="text1"/>
          <w:kern w:val="0"/>
          <w:highlight w:val="none"/>
          <w:u w:val="single"/>
          <w:lang w:eastAsia="zh-CN"/>
          <w14:textFill>
            <w14:solidFill>
              <w14:schemeClr w14:val="tx1"/>
            </w14:solidFill>
          </w14:textFill>
        </w:rPr>
        <w:t>年财政投资项目工程造价咨询服务</w:t>
      </w:r>
      <w:r>
        <w:rPr>
          <w:rFonts w:hint="eastAsia" w:asciiTheme="majorEastAsia" w:hAnsiTheme="majorEastAsia" w:eastAsiaTheme="majorEastAsia" w:cstheme="majorEastAsia"/>
          <w:snapToGrid w:val="0"/>
          <w:color w:val="000000" w:themeColor="text1"/>
          <w:kern w:val="0"/>
          <w:highlight w:val="none"/>
          <w:u w:val="single"/>
          <w14:textFill>
            <w14:solidFill>
              <w14:schemeClr w14:val="tx1"/>
            </w14:solidFill>
          </w14:textFill>
        </w:rPr>
        <w:t>框架协议采购</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项目的</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活动，并代表我方全权办理针对上述项目的</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、开标、评标、签约等具体事务和签署相关文件。我方对授权代表的签名事项负全部责任。</w:t>
      </w:r>
    </w:p>
    <w:p>
      <w:pPr>
        <w:snapToGrid w:val="0"/>
        <w:spacing w:line="360" w:lineRule="auto"/>
        <w:ind w:firstLine="48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在撤销授权的书面通知以前，本授权书一直有效。授权代表在授权书有效期内签署的所有文件不因授权的撤销而失效。</w:t>
      </w:r>
    </w:p>
    <w:p>
      <w:pPr>
        <w:snapToGrid w:val="0"/>
        <w:spacing w:line="360" w:lineRule="auto"/>
        <w:ind w:firstLine="48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授权代表无转委托权，特此委托。</w:t>
      </w:r>
    </w:p>
    <w:p>
      <w:pPr>
        <w:snapToGrid w:val="0"/>
        <w:spacing w:beforeLines="50" w:after="50" w:line="460" w:lineRule="exact"/>
        <w:ind w:firstLine="480"/>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spacing w:beforeLines="50" w:after="50" w:line="460" w:lineRule="exac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授权代表签名：     职务：</w:t>
      </w:r>
    </w:p>
    <w:p>
      <w:pPr>
        <w:snapToGrid w:val="0"/>
        <w:spacing w:beforeLines="50" w:after="50" w:line="460" w:lineRule="exac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联系手机：（开评标期间务必保持通畅，用以询标联系）</w:t>
      </w:r>
    </w:p>
    <w:p>
      <w:pPr>
        <w:snapToGrid w:val="0"/>
        <w:spacing w:beforeLines="50" w:after="50" w:line="460" w:lineRule="exac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授权代表身份证号码：</w:t>
      </w:r>
    </w:p>
    <w:p>
      <w:pPr>
        <w:snapToGrid w:val="0"/>
        <w:spacing w:beforeLines="50" w:after="50" w:line="460" w:lineRule="exac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法定代表人签名（或签名章）：   职务：</w:t>
      </w:r>
    </w:p>
    <w:p>
      <w:pPr>
        <w:snapToGrid w:val="0"/>
        <w:spacing w:beforeLines="50" w:after="50" w:line="460" w:lineRule="exact"/>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spacing w:beforeLines="50" w:after="50" w:line="460" w:lineRule="exact"/>
        <w:rPr>
          <w:rFonts w:asciiTheme="majorEastAsia" w:hAnsiTheme="majorEastAsia" w:eastAsiaTheme="majorEastAsia" w:cstheme="majorEastAsia"/>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全称（电子签章）：         日  期：</w:t>
      </w:r>
    </w:p>
    <w:p>
      <w:pPr>
        <w:pStyle w:val="9"/>
        <w:spacing w:line="600" w:lineRule="exact"/>
        <w:ind w:firstLine="374" w:firstLineChars="156"/>
        <w:rPr>
          <w:rFonts w:asciiTheme="majorEastAsia" w:hAnsiTheme="majorEastAsia" w:eastAsiaTheme="majorEastAsia" w:cstheme="majorEastAsia"/>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w:t>
      </w:r>
    </w:p>
    <w:p>
      <w:pPr>
        <w:snapToGrid w:val="0"/>
        <w:spacing w:beforeLines="50" w:after="50" w:line="46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授权代理人有效身份证明复印件粘贴处</w:t>
      </w:r>
    </w:p>
    <w:p>
      <w:pPr>
        <w:pStyle w:val="25"/>
        <w:ind w:firstLine="240"/>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spacing w:before="50" w:after="50"/>
        <w:rPr>
          <w:rFonts w:asciiTheme="majorEastAsia" w:hAnsiTheme="majorEastAsia" w:eastAsiaTheme="majorEastAsia" w:cstheme="majorEastAsia"/>
          <w:b/>
          <w:color w:val="000000" w:themeColor="text1"/>
          <w:highlight w:val="none"/>
          <w14:textFill>
            <w14:solidFill>
              <w14:schemeClr w14:val="tx1"/>
            </w14:solidFill>
          </w14:textFill>
        </w:rPr>
      </w:pPr>
    </w:p>
    <w:p>
      <w:pPr>
        <w:pStyle w:val="25"/>
        <w:rPr>
          <w:rFonts w:asciiTheme="majorEastAsia" w:hAnsiTheme="majorEastAsia" w:eastAsiaTheme="majorEastAsia" w:cstheme="majorEastAsia"/>
          <w:b/>
          <w:color w:val="000000" w:themeColor="text1"/>
          <w:highlight w:val="none"/>
          <w14:textFill>
            <w14:solidFill>
              <w14:schemeClr w14:val="tx1"/>
            </w14:solidFill>
          </w14:textFill>
        </w:rPr>
      </w:pPr>
    </w:p>
    <w:p>
      <w:pPr>
        <w:pStyle w:val="22"/>
        <w:rPr>
          <w:rFonts w:asciiTheme="majorEastAsia" w:hAnsiTheme="majorEastAsia" w:eastAsiaTheme="majorEastAsia" w:cstheme="majorEastAsia"/>
          <w:b/>
          <w:color w:val="000000" w:themeColor="text1"/>
          <w:highlight w:val="none"/>
          <w14:textFill>
            <w14:solidFill>
              <w14:schemeClr w14:val="tx1"/>
            </w14:solidFill>
          </w14:textFill>
        </w:rPr>
      </w:pPr>
    </w:p>
    <w:p/>
    <w:p>
      <w:pPr>
        <w:rPr>
          <w:color w:val="000000" w:themeColor="text1"/>
          <w:highlight w:val="none"/>
          <w14:textFill>
            <w14:solidFill>
              <w14:schemeClr w14:val="tx1"/>
            </w14:solidFill>
          </w14:textFill>
        </w:rPr>
      </w:pPr>
    </w:p>
    <w:p>
      <w:pPr>
        <w:snapToGrid w:val="0"/>
        <w:spacing w:before="50" w:after="50"/>
        <w:rPr>
          <w:rFonts w:asciiTheme="majorEastAsia" w:hAnsiTheme="majorEastAsia" w:eastAsiaTheme="majorEastAsia" w:cstheme="majorEastAsia"/>
          <w:b/>
          <w:color w:val="000000" w:themeColor="text1"/>
          <w:highlight w:val="none"/>
          <w14:textFill>
            <w14:solidFill>
              <w14:schemeClr w14:val="tx1"/>
            </w14:solidFill>
          </w14:textFill>
        </w:rPr>
      </w:pPr>
    </w:p>
    <w:p>
      <w:pPr>
        <w:snapToGrid w:val="0"/>
        <w:spacing w:before="50" w:after="5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附件4：</w:t>
      </w:r>
    </w:p>
    <w:p>
      <w:pPr>
        <w:snapToGrid w:val="0"/>
        <w:spacing w:before="50" w:after="5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评分索引表</w:t>
      </w:r>
    </w:p>
    <w:p>
      <w:pPr>
        <w:snapToGrid w:val="0"/>
        <w:spacing w:before="50"/>
        <w:jc w:val="center"/>
        <w:rPr>
          <w:rFonts w:asciiTheme="majorEastAsia" w:hAnsiTheme="majorEastAsia" w:eastAsiaTheme="majorEastAsia" w:cstheme="majorEastAsia"/>
          <w:b/>
          <w:color w:val="000000" w:themeColor="text1"/>
          <w:highlight w:val="none"/>
          <w14:textFill>
            <w14:solidFill>
              <w14:schemeClr w14:val="tx1"/>
            </w14:solidFill>
          </w14:textFill>
        </w:rPr>
      </w:pPr>
    </w:p>
    <w:p>
      <w:pPr>
        <w:pStyle w:val="10"/>
        <w:snapToGrid w:val="0"/>
        <w:rPr>
          <w:rFonts w:asciiTheme="majorEastAsia" w:hAnsiTheme="majorEastAsia" w:eastAsiaTheme="majorEastAsia" w:cstheme="majorEastAsia"/>
          <w:color w:val="000000" w:themeColor="text1"/>
          <w:sz w:val="24"/>
          <w:szCs w:val="24"/>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全称（电子签章）：</w:t>
      </w:r>
    </w:p>
    <w:tbl>
      <w:tblPr>
        <w:tblStyle w:val="26"/>
        <w:tblW w:w="875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27"/>
        <w:gridCol w:w="2977"/>
        <w:gridCol w:w="1275"/>
        <w:gridCol w:w="12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22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Lines="5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评分项目</w:t>
            </w:r>
          </w:p>
        </w:tc>
        <w:tc>
          <w:tcPr>
            <w:tcW w:w="297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Lines="5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对应资料</w:t>
            </w:r>
          </w:p>
          <w:p>
            <w:pPr>
              <w:keepNext w:val="0"/>
              <w:keepLines w:val="0"/>
              <w:suppressLineNumbers w:val="0"/>
              <w:snapToGrid w:val="0"/>
              <w:spacing w:before="0" w:beforeLines="5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（请详细列明评分项中各小项）</w:t>
            </w: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自评分</w:t>
            </w:r>
          </w:p>
        </w:tc>
        <w:tc>
          <w:tcPr>
            <w:tcW w:w="12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Lines="5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22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对应第</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四</w:t>
            </w:r>
            <w:r>
              <w:rPr>
                <w:rFonts w:hint="eastAsia" w:asciiTheme="majorEastAsia" w:hAnsiTheme="majorEastAsia" w:eastAsiaTheme="majorEastAsia" w:cstheme="majorEastAsia"/>
                <w:color w:val="000000" w:themeColor="text1"/>
                <w:highlight w:val="none"/>
                <w14:textFill>
                  <w14:solidFill>
                    <w14:schemeClr w14:val="tx1"/>
                  </w14:solidFill>
                </w14:textFill>
              </w:rPr>
              <w:t>章评分办法及标准（报价除外）</w:t>
            </w:r>
          </w:p>
        </w:tc>
        <w:tc>
          <w:tcPr>
            <w:tcW w:w="297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22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w:t>
            </w:r>
          </w:p>
        </w:tc>
        <w:tc>
          <w:tcPr>
            <w:tcW w:w="297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43"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43"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22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97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43"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43"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22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97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43"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43"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22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97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22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97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22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97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22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97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22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977"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0" w:afterAutospacing="0"/>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bl>
    <w:p>
      <w:pPr>
        <w:snapToGrid w:val="0"/>
        <w:spacing w:beforeLines="50"/>
        <w:jc w:val="right"/>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spacing w:beforeLines="50"/>
        <w:ind w:right="1350"/>
        <w:jc w:val="right"/>
        <w:rPr>
          <w:rFonts w:asciiTheme="majorEastAsia" w:hAnsiTheme="majorEastAsia" w:eastAsiaTheme="majorEastAsia" w:cstheme="majorEastAsia"/>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日期：</w:t>
      </w:r>
    </w:p>
    <w:p>
      <w:pPr>
        <w:snapToGrid w:val="0"/>
        <w:spacing w:before="50" w:afterLines="50"/>
        <w:jc w:val="left"/>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spacing w:before="50" w:afterLines="50"/>
        <w:jc w:val="left"/>
        <w:rPr>
          <w:rFonts w:asciiTheme="majorEastAsia" w:hAnsiTheme="majorEastAsia" w:eastAsiaTheme="majorEastAsia" w:cstheme="majorEastAsia"/>
          <w:color w:val="000000" w:themeColor="text1"/>
          <w:highlight w:val="none"/>
          <w14:textFill>
            <w14:solidFill>
              <w14:schemeClr w14:val="tx1"/>
            </w14:solidFill>
          </w14:textFill>
        </w:rPr>
      </w:pPr>
    </w:p>
    <w:p>
      <w:pPr>
        <w:snapToGrid w:val="0"/>
        <w:spacing w:beforeLines="50" w:after="50" w:line="460" w:lineRule="exact"/>
        <w:rPr>
          <w:rFonts w:asciiTheme="majorEastAsia" w:hAnsiTheme="majorEastAsia" w:eastAsiaTheme="majorEastAsia" w:cstheme="majorEastAsia"/>
          <w:color w:val="000000" w:themeColor="text1"/>
          <w:highlight w:val="none"/>
          <w:u w:val="single"/>
          <w14:textFill>
            <w14:solidFill>
              <w14:schemeClr w14:val="tx1"/>
            </w14:solidFill>
          </w14:textFill>
        </w:rPr>
      </w:pPr>
    </w:p>
    <w:p>
      <w:pPr>
        <w:snapToGrid w:val="0"/>
        <w:spacing w:beforeLines="50" w:after="50" w:line="460" w:lineRule="exact"/>
        <w:rPr>
          <w:rFonts w:asciiTheme="majorEastAsia" w:hAnsiTheme="majorEastAsia" w:eastAsiaTheme="majorEastAsia" w:cstheme="majorEastAsia"/>
          <w:color w:val="000000" w:themeColor="text1"/>
          <w:highlight w:val="none"/>
          <w:u w:val="single"/>
          <w14:textFill>
            <w14:solidFill>
              <w14:schemeClr w14:val="tx1"/>
            </w14:solidFill>
          </w14:textFill>
        </w:rPr>
      </w:pPr>
    </w:p>
    <w:p>
      <w:pPr>
        <w:snapToGrid w:val="0"/>
        <w:spacing w:beforeLines="50" w:after="50" w:line="460" w:lineRule="exact"/>
        <w:rPr>
          <w:rFonts w:asciiTheme="majorEastAsia" w:hAnsiTheme="majorEastAsia" w:eastAsiaTheme="majorEastAsia" w:cstheme="majorEastAsia"/>
          <w:color w:val="000000" w:themeColor="text1"/>
          <w:highlight w:val="none"/>
          <w:u w:val="single"/>
          <w14:textFill>
            <w14:solidFill>
              <w14:schemeClr w14:val="tx1"/>
            </w14:solidFill>
          </w14:textFill>
        </w:rPr>
        <w:sectPr>
          <w:headerReference r:id="rId7" w:type="default"/>
          <w:footerReference r:id="rId8" w:type="default"/>
          <w:footerReference r:id="rId9" w:type="even"/>
          <w:pgSz w:w="11906" w:h="16838"/>
          <w:pgMar w:top="1440" w:right="1417" w:bottom="1440" w:left="1417" w:header="1088" w:footer="992" w:gutter="0"/>
          <w:pgNumType w:fmt="numberInDash"/>
          <w:cols w:space="720" w:num="1"/>
          <w:docGrid w:linePitch="312" w:charSpace="0"/>
        </w:sectPr>
      </w:pPr>
    </w:p>
    <w:p>
      <w:pPr>
        <w:rPr>
          <w:rFonts w:asciiTheme="majorEastAsia" w:hAnsiTheme="majorEastAsia" w:eastAsiaTheme="majorEastAsia" w:cstheme="majorEastAsia"/>
          <w:b/>
          <w:bCs/>
          <w:color w:val="000000" w:themeColor="text1"/>
          <w:spacing w:val="14"/>
          <w:highlight w:val="none"/>
          <w14:textFill>
            <w14:solidFill>
              <w14:schemeClr w14:val="tx1"/>
            </w14:solidFill>
          </w14:textFill>
        </w:rPr>
      </w:pPr>
      <w:r>
        <w:rPr>
          <w:rFonts w:hint="eastAsia" w:asciiTheme="majorEastAsia" w:hAnsiTheme="majorEastAsia" w:eastAsiaTheme="majorEastAsia" w:cstheme="majorEastAsia"/>
          <w:b/>
          <w:bCs/>
          <w:color w:val="000000" w:themeColor="text1"/>
          <w:spacing w:val="14"/>
          <w:highlight w:val="none"/>
          <w14:textFill>
            <w14:solidFill>
              <w14:schemeClr w14:val="tx1"/>
            </w14:solidFill>
          </w14:textFill>
        </w:rPr>
        <w:t>附件</w:t>
      </w:r>
      <w:r>
        <w:rPr>
          <w:rFonts w:hint="eastAsia" w:asciiTheme="majorEastAsia" w:hAnsiTheme="majorEastAsia" w:eastAsiaTheme="majorEastAsia" w:cstheme="majorEastAsia"/>
          <w:b/>
          <w:bCs/>
          <w:color w:val="000000" w:themeColor="text1"/>
          <w:spacing w:val="14"/>
          <w:highlight w:val="none"/>
          <w:lang w:val="en-US" w:eastAsia="zh-CN"/>
          <w14:textFill>
            <w14:solidFill>
              <w14:schemeClr w14:val="tx1"/>
            </w14:solidFill>
          </w14:textFill>
        </w:rPr>
        <w:t>5</w:t>
      </w:r>
      <w:r>
        <w:rPr>
          <w:rFonts w:hint="eastAsia" w:asciiTheme="majorEastAsia" w:hAnsiTheme="majorEastAsia" w:eastAsiaTheme="majorEastAsia" w:cstheme="majorEastAsia"/>
          <w:b/>
          <w:bCs/>
          <w:color w:val="000000" w:themeColor="text1"/>
          <w:spacing w:val="14"/>
          <w:highlight w:val="none"/>
          <w14:textFill>
            <w14:solidFill>
              <w14:schemeClr w14:val="tx1"/>
            </w14:solidFill>
          </w14:textFill>
        </w:rPr>
        <w:t>：</w:t>
      </w:r>
    </w:p>
    <w:p>
      <w:pPr>
        <w:snapToGrid w:val="0"/>
        <w:spacing w:before="50" w:after="5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企业业绩</w:t>
      </w:r>
    </w:p>
    <w:p>
      <w:pPr>
        <w:spacing w:line="360" w:lineRule="auto"/>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全称（电子签章）：           </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编号：</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LX20241102-C2303000</w:t>
      </w:r>
    </w:p>
    <w:p>
      <w:pPr>
        <w:autoSpaceDE w:val="0"/>
        <w:autoSpaceDN w:val="0"/>
        <w:adjustRightInd w:val="0"/>
        <w:jc w:val="center"/>
        <w:rPr>
          <w:rFonts w:asciiTheme="majorEastAsia" w:hAnsiTheme="majorEastAsia" w:eastAsiaTheme="majorEastAsia" w:cstheme="majorEastAsia"/>
          <w:b/>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1．业绩汇总表</w:t>
      </w:r>
    </w:p>
    <w:tbl>
      <w:tblPr>
        <w:tblStyle w:val="26"/>
        <w:tblW w:w="985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89"/>
        <w:gridCol w:w="3270"/>
        <w:gridCol w:w="2176"/>
        <w:gridCol w:w="1181"/>
        <w:gridCol w:w="1537"/>
        <w:gridCol w:w="109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89" w:type="dxa"/>
            <w:vAlign w:val="center"/>
          </w:tcPr>
          <w:p>
            <w:pPr>
              <w:keepNext w:val="0"/>
              <w:keepLines w:val="0"/>
              <w:suppressLineNumbers w:val="0"/>
              <w:autoSpaceDE w:val="0"/>
              <w:autoSpaceDN w:val="0"/>
              <w:adjustRightInd w:val="0"/>
              <w:spacing w:before="0" w:beforeAutospacing="0" w:after="0" w:afterAutospacing="0"/>
              <w:ind w:left="0" w:right="0"/>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序号</w:t>
            </w:r>
          </w:p>
        </w:tc>
        <w:tc>
          <w:tcPr>
            <w:tcW w:w="3270" w:type="dxa"/>
            <w:vAlign w:val="center"/>
          </w:tcPr>
          <w:p>
            <w:pPr>
              <w:keepNext w:val="0"/>
              <w:keepLines w:val="0"/>
              <w:suppressLineNumbers w:val="0"/>
              <w:autoSpaceDE w:val="0"/>
              <w:autoSpaceDN w:val="0"/>
              <w:adjustRightInd w:val="0"/>
              <w:spacing w:before="0" w:beforeAutospacing="0" w:after="0" w:afterAutospacing="0"/>
              <w:ind w:left="0" w:right="0"/>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项目名称</w:t>
            </w:r>
          </w:p>
        </w:tc>
        <w:tc>
          <w:tcPr>
            <w:tcW w:w="2176" w:type="dxa"/>
            <w:vAlign w:val="center"/>
          </w:tcPr>
          <w:p>
            <w:pPr>
              <w:keepNext w:val="0"/>
              <w:keepLines w:val="0"/>
              <w:suppressLineNumbers w:val="0"/>
              <w:autoSpaceDE w:val="0"/>
              <w:autoSpaceDN w:val="0"/>
              <w:adjustRightInd w:val="0"/>
              <w:spacing w:before="0" w:beforeAutospacing="0" w:after="0" w:afterAutospacing="0"/>
              <w:ind w:left="0" w:right="0"/>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合同内容</w:t>
            </w:r>
          </w:p>
        </w:tc>
        <w:tc>
          <w:tcPr>
            <w:tcW w:w="1181" w:type="dxa"/>
            <w:vAlign w:val="center"/>
          </w:tcPr>
          <w:p>
            <w:pPr>
              <w:keepNext w:val="0"/>
              <w:keepLines w:val="0"/>
              <w:suppressLineNumbers w:val="0"/>
              <w:autoSpaceDE w:val="0"/>
              <w:autoSpaceDN w:val="0"/>
              <w:adjustRightInd w:val="0"/>
              <w:spacing w:before="0" w:beforeAutospacing="0" w:after="0" w:afterAutospacing="0"/>
              <w:ind w:left="0" w:right="0"/>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合同价</w:t>
            </w:r>
          </w:p>
        </w:tc>
        <w:tc>
          <w:tcPr>
            <w:tcW w:w="1537" w:type="dxa"/>
            <w:vAlign w:val="center"/>
          </w:tcPr>
          <w:p>
            <w:pPr>
              <w:keepNext w:val="0"/>
              <w:keepLines w:val="0"/>
              <w:suppressLineNumbers w:val="0"/>
              <w:autoSpaceDE w:val="0"/>
              <w:autoSpaceDN w:val="0"/>
              <w:adjustRightInd w:val="0"/>
              <w:spacing w:before="0" w:beforeAutospacing="0" w:after="0" w:afterAutospacing="0"/>
              <w:ind w:left="0" w:right="0"/>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签订日期</w:t>
            </w:r>
          </w:p>
        </w:tc>
        <w:tc>
          <w:tcPr>
            <w:tcW w:w="1098" w:type="dxa"/>
            <w:vAlign w:val="center"/>
          </w:tcPr>
          <w:p>
            <w:pPr>
              <w:keepNext w:val="0"/>
              <w:keepLines w:val="0"/>
              <w:suppressLineNumbers w:val="0"/>
              <w:autoSpaceDE w:val="0"/>
              <w:autoSpaceDN w:val="0"/>
              <w:adjustRightInd w:val="0"/>
              <w:spacing w:before="0" w:beforeAutospacing="0" w:after="0" w:afterAutospacing="0"/>
              <w:ind w:left="0" w:right="0"/>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589" w:type="dxa"/>
            <w:vAlign w:val="center"/>
          </w:tcPr>
          <w:p>
            <w:pPr>
              <w:keepNext w:val="0"/>
              <w:keepLines w:val="0"/>
              <w:suppressLineNumbers w:val="0"/>
              <w:autoSpaceDE w:val="0"/>
              <w:autoSpaceDN w:val="0"/>
              <w:adjustRightInd w:val="0"/>
              <w:spacing w:before="0" w:beforeAutospacing="0" w:after="0" w:afterAutospacing="0"/>
              <w:ind w:left="0" w:right="0"/>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w:t>
            </w:r>
          </w:p>
        </w:tc>
        <w:tc>
          <w:tcPr>
            <w:tcW w:w="3270"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2176"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181"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537"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098"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589" w:type="dxa"/>
            <w:vAlign w:val="center"/>
          </w:tcPr>
          <w:p>
            <w:pPr>
              <w:keepNext w:val="0"/>
              <w:keepLines w:val="0"/>
              <w:suppressLineNumbers w:val="0"/>
              <w:autoSpaceDE w:val="0"/>
              <w:autoSpaceDN w:val="0"/>
              <w:adjustRightInd w:val="0"/>
              <w:spacing w:before="0" w:beforeAutospacing="0" w:after="0" w:afterAutospacing="0"/>
              <w:ind w:left="0" w:right="0"/>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w:t>
            </w:r>
          </w:p>
        </w:tc>
        <w:tc>
          <w:tcPr>
            <w:tcW w:w="3270"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2176"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181"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537"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098"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589" w:type="dxa"/>
            <w:vAlign w:val="center"/>
          </w:tcPr>
          <w:p>
            <w:pPr>
              <w:keepNext w:val="0"/>
              <w:keepLines w:val="0"/>
              <w:suppressLineNumbers w:val="0"/>
              <w:autoSpaceDE w:val="0"/>
              <w:autoSpaceDN w:val="0"/>
              <w:adjustRightInd w:val="0"/>
              <w:spacing w:before="0" w:beforeAutospacing="0" w:after="0" w:afterAutospacing="0"/>
              <w:ind w:left="0" w:right="0"/>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w:t>
            </w:r>
          </w:p>
        </w:tc>
        <w:tc>
          <w:tcPr>
            <w:tcW w:w="3270"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2176"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181"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537"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098"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3859" w:type="dxa"/>
            <w:gridSpan w:val="2"/>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总计</w:t>
            </w:r>
          </w:p>
        </w:tc>
        <w:tc>
          <w:tcPr>
            <w:tcW w:w="2176"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181"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537"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c>
          <w:tcPr>
            <w:tcW w:w="1098" w:type="dxa"/>
            <w:vAlign w:val="center"/>
          </w:tcPr>
          <w:p>
            <w:pPr>
              <w:keepNext w:val="0"/>
              <w:keepLines w:val="0"/>
              <w:suppressLineNumbers w:val="0"/>
              <w:autoSpaceDE w:val="0"/>
              <w:autoSpaceDN w:val="0"/>
              <w:adjustRightInd w:val="0"/>
              <w:spacing w:before="0" w:beforeAutospacing="0" w:after="0" w:afterAutospacing="0"/>
              <w:ind w:left="0" w:right="0"/>
              <w:rPr>
                <w:rFonts w:asciiTheme="majorEastAsia" w:hAnsiTheme="majorEastAsia" w:eastAsiaTheme="majorEastAsia" w:cstheme="majorEastAsia"/>
                <w:color w:val="000000" w:themeColor="text1"/>
                <w:kern w:val="0"/>
                <w:highlight w:val="none"/>
                <w14:textFill>
                  <w14:solidFill>
                    <w14:schemeClr w14:val="tx1"/>
                  </w14:solidFill>
                </w14:textFill>
              </w:rPr>
            </w:pPr>
          </w:p>
        </w:tc>
      </w:tr>
    </w:tbl>
    <w:p>
      <w:pPr>
        <w:autoSpaceDE w:val="0"/>
        <w:autoSpaceDN w:val="0"/>
        <w:adjustRightInd w:val="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注：1.按</w:t>
      </w:r>
      <w:r>
        <w:rPr>
          <w:rFonts w:hint="eastAsia" w:asciiTheme="majorEastAsia" w:hAnsiTheme="majorEastAsia" w:eastAsiaTheme="majorEastAsia" w:cstheme="majorEastAsia"/>
          <w:color w:val="000000" w:themeColor="text1"/>
          <w:highlight w:val="none"/>
          <w14:textFill>
            <w14:solidFill>
              <w14:schemeClr w14:val="tx1"/>
            </w14:solidFill>
          </w14:textFill>
        </w:rPr>
        <w:t>合同签订时间先后填写。</w:t>
      </w:r>
    </w:p>
    <w:p>
      <w:pPr>
        <w:autoSpaceDE w:val="0"/>
        <w:autoSpaceDN w:val="0"/>
        <w:adjustRightInd w:val="0"/>
        <w:jc w:val="center"/>
        <w:rPr>
          <w:rFonts w:asciiTheme="majorEastAsia" w:hAnsiTheme="majorEastAsia" w:eastAsiaTheme="majorEastAsia" w:cstheme="majorEastAsia"/>
          <w:b/>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2．单项业绩概况</w:t>
      </w:r>
    </w:p>
    <w:tbl>
      <w:tblPr>
        <w:tblStyle w:val="26"/>
        <w:tblW w:w="10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8"/>
        <w:gridCol w:w="7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项目名称</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项目所在地</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发包人名称</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发包人地址</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发包人联系人及电话</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合同价格</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服务期</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承担的工作</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项目团队人员</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技术负责人</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项目描述</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3158"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备注</w:t>
            </w:r>
          </w:p>
        </w:tc>
        <w:tc>
          <w:tcPr>
            <w:tcW w:w="7060"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bl>
    <w:p>
      <w:pP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备注：1、本表后附合同协议书的复印件，具体年份要求为20</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23</w:t>
      </w:r>
      <w:r>
        <w:rPr>
          <w:rFonts w:hint="eastAsia" w:asciiTheme="majorEastAsia" w:hAnsiTheme="majorEastAsia" w:eastAsiaTheme="majorEastAsia" w:cstheme="majorEastAsia"/>
          <w:color w:val="000000" w:themeColor="text1"/>
          <w:highlight w:val="none"/>
          <w14:textFill>
            <w14:solidFill>
              <w14:schemeClr w14:val="tx1"/>
            </w14:solidFill>
          </w14:textFill>
        </w:rPr>
        <w:t>年以来。每张表格只填写一个项目，并标明序号，且与“1．业绩汇总表”对应。(结合第</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四</w:t>
      </w:r>
      <w:r>
        <w:rPr>
          <w:rFonts w:hint="eastAsia" w:asciiTheme="majorEastAsia" w:hAnsiTheme="majorEastAsia" w:eastAsiaTheme="majorEastAsia" w:cstheme="majorEastAsia"/>
          <w:color w:val="000000" w:themeColor="text1"/>
          <w:highlight w:val="none"/>
          <w14:textFill>
            <w14:solidFill>
              <w14:schemeClr w14:val="tx1"/>
            </w14:solidFill>
          </w14:textFill>
        </w:rPr>
        <w:t>章评审办法填写）</w:t>
      </w:r>
    </w:p>
    <w:p>
      <w:pPr>
        <w:pStyle w:val="25"/>
        <w:ind w:firstLine="240"/>
        <w:rPr>
          <w:rFonts w:asciiTheme="majorEastAsia" w:hAnsiTheme="majorEastAsia" w:eastAsiaTheme="majorEastAsia" w:cstheme="majorEastAsia"/>
          <w:color w:val="000000" w:themeColor="text1"/>
          <w:highlight w:val="none"/>
          <w14:textFill>
            <w14:solidFill>
              <w14:schemeClr w14:val="tx1"/>
            </w14:solidFill>
          </w14:textFill>
        </w:rPr>
      </w:pPr>
    </w:p>
    <w:p>
      <w:pPr>
        <w:pStyle w:val="22"/>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pStyle w:val="22"/>
        <w:rPr>
          <w:color w:val="000000" w:themeColor="text1"/>
          <w:highlight w:val="none"/>
          <w14:textFill>
            <w14:solidFill>
              <w14:schemeClr w14:val="tx1"/>
            </w14:solidFill>
          </w14:textFill>
        </w:rPr>
      </w:pPr>
    </w:p>
    <w:p>
      <w:pPr>
        <w:pStyle w:val="9"/>
        <w:spacing w:line="500" w:lineRule="exact"/>
        <w:ind w:firstLine="0"/>
        <w:rPr>
          <w:rFonts w:asciiTheme="majorEastAsia" w:hAnsiTheme="majorEastAsia" w:eastAsiaTheme="majorEastAsia" w:cstheme="majorEastAsia"/>
          <w:b/>
          <w:bCs/>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szCs w:val="24"/>
          <w:highlight w:val="none"/>
          <w14:textFill>
            <w14:solidFill>
              <w14:schemeClr w14:val="tx1"/>
            </w14:solidFill>
          </w14:textFill>
        </w:rPr>
        <w:t>附件</w:t>
      </w:r>
      <w:r>
        <w:rPr>
          <w:rFonts w:hint="eastAsia" w:asciiTheme="majorEastAsia" w:hAnsiTheme="majorEastAsia" w:eastAsiaTheme="majorEastAsia" w:cstheme="majorEastAsia"/>
          <w:b/>
          <w:color w:val="000000" w:themeColor="text1"/>
          <w:szCs w:val="24"/>
          <w:highlight w:val="none"/>
          <w:lang w:val="en-US" w:eastAsia="zh-CN"/>
          <w14:textFill>
            <w14:solidFill>
              <w14:schemeClr w14:val="tx1"/>
            </w14:solidFill>
          </w14:textFill>
        </w:rPr>
        <w:t>6</w:t>
      </w:r>
      <w:r>
        <w:rPr>
          <w:rFonts w:hint="eastAsia" w:asciiTheme="majorEastAsia" w:hAnsiTheme="majorEastAsia" w:eastAsiaTheme="majorEastAsia" w:cstheme="majorEastAsia"/>
          <w:b/>
          <w:color w:val="000000" w:themeColor="text1"/>
          <w:szCs w:val="24"/>
          <w:highlight w:val="none"/>
          <w14:textFill>
            <w14:solidFill>
              <w14:schemeClr w14:val="tx1"/>
            </w14:solidFill>
          </w14:textFill>
        </w:rPr>
        <w:t>：</w:t>
      </w:r>
    </w:p>
    <w:p>
      <w:pPr>
        <w:snapToGrid w:val="0"/>
        <w:spacing w:before="50" w:after="5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商务、合同条款偏离表</w:t>
      </w:r>
    </w:p>
    <w:p>
      <w:pPr>
        <w:spacing w:line="360" w:lineRule="auto"/>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全称（电子签章）：           </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征集</w:t>
      </w:r>
      <w:r>
        <w:rPr>
          <w:rFonts w:hint="eastAsia" w:asciiTheme="majorEastAsia" w:hAnsiTheme="majorEastAsia" w:eastAsiaTheme="majorEastAsia" w:cstheme="majorEastAsia"/>
          <w:color w:val="000000" w:themeColor="text1"/>
          <w:highlight w:val="none"/>
          <w14:textFill>
            <w14:solidFill>
              <w14:schemeClr w14:val="tx1"/>
            </w14:solidFill>
          </w14:textFill>
        </w:rPr>
        <w:t>文件编号：</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LX20241102-C2303000</w:t>
      </w:r>
    </w:p>
    <w:tbl>
      <w:tblPr>
        <w:tblStyle w:val="26"/>
        <w:tblW w:w="997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3479"/>
        <w:gridCol w:w="4245"/>
        <w:gridCol w:w="14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序号</w:t>
            </w:r>
          </w:p>
        </w:tc>
        <w:tc>
          <w:tcPr>
            <w:tcW w:w="347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征集</w:t>
            </w:r>
            <w:r>
              <w:rPr>
                <w:rFonts w:hint="eastAsia" w:asciiTheme="majorEastAsia" w:hAnsiTheme="majorEastAsia" w:eastAsiaTheme="majorEastAsia" w:cstheme="majorEastAsia"/>
                <w:color w:val="000000" w:themeColor="text1"/>
                <w:highlight w:val="none"/>
                <w14:textFill>
                  <w14:solidFill>
                    <w14:schemeClr w14:val="tx1"/>
                  </w14:solidFill>
                </w14:textFill>
              </w:rPr>
              <w:t>文件的商务、合同条款</w:t>
            </w:r>
          </w:p>
        </w:tc>
        <w:tc>
          <w:tcPr>
            <w:tcW w:w="424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文件</w:t>
            </w:r>
            <w:r>
              <w:rPr>
                <w:rFonts w:hint="eastAsia" w:asciiTheme="majorEastAsia" w:hAnsiTheme="majorEastAsia" w:eastAsiaTheme="majorEastAsia" w:cstheme="majorEastAsia"/>
                <w:color w:val="000000" w:themeColor="text1"/>
                <w:highlight w:val="none"/>
                <w14:textFill>
                  <w14:solidFill>
                    <w14:schemeClr w14:val="tx1"/>
                  </w14:solidFill>
                </w14:textFill>
              </w:rPr>
              <w:t>的商务、合同条款</w:t>
            </w:r>
          </w:p>
        </w:tc>
        <w:tc>
          <w:tcPr>
            <w:tcW w:w="142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偏离原因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3479"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424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c>
          <w:tcPr>
            <w:tcW w:w="1425"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tc>
      </w:tr>
    </w:tbl>
    <w:p>
      <w:pPr>
        <w:spacing w:line="360" w:lineRule="auto"/>
        <w:rPr>
          <w:rFonts w:asciiTheme="majorEastAsia" w:hAnsiTheme="majorEastAsia" w:eastAsiaTheme="majorEastAsia" w:cstheme="majorEastAsia"/>
          <w:color w:val="000000" w:themeColor="text1"/>
          <w:highlight w:val="none"/>
          <w14:textFill>
            <w14:solidFill>
              <w14:schemeClr w14:val="tx1"/>
            </w14:solidFill>
          </w14:textFill>
        </w:rPr>
      </w:pPr>
    </w:p>
    <w:p>
      <w:pPr>
        <w:spacing w:line="360"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日期：    年  月  日</w:t>
      </w:r>
    </w:p>
    <w:p>
      <w:pPr>
        <w:rPr>
          <w:rFonts w:asciiTheme="majorEastAsia" w:hAnsiTheme="majorEastAsia" w:eastAsiaTheme="majorEastAsia" w:cstheme="majorEastAsia"/>
          <w:color w:val="000000" w:themeColor="text1"/>
          <w:highlight w:val="none"/>
          <w14:textFill>
            <w14:solidFill>
              <w14:schemeClr w14:val="tx1"/>
            </w14:solidFill>
          </w14:textFill>
        </w:rPr>
      </w:pPr>
    </w:p>
    <w:p>
      <w:pPr>
        <w:jc w:val="left"/>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注：</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投标人</w:t>
      </w:r>
      <w:r>
        <w:rPr>
          <w:rFonts w:hint="eastAsia" w:asciiTheme="majorEastAsia" w:hAnsiTheme="majorEastAsia" w:eastAsiaTheme="majorEastAsia" w:cstheme="majorEastAsia"/>
          <w:color w:val="000000" w:themeColor="text1"/>
          <w:highlight w:val="none"/>
          <w14:textFill>
            <w14:solidFill>
              <w14:schemeClr w14:val="tx1"/>
            </w14:solidFill>
          </w14:textFill>
        </w:rPr>
        <w:t>除</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商务、合同条款</w:t>
      </w:r>
      <w:r>
        <w:rPr>
          <w:rFonts w:hint="eastAsia" w:asciiTheme="majorEastAsia" w:hAnsiTheme="majorEastAsia" w:eastAsiaTheme="majorEastAsia" w:cstheme="majorEastAsia"/>
          <w:color w:val="000000" w:themeColor="text1"/>
          <w:highlight w:val="none"/>
          <w14:textFill>
            <w14:solidFill>
              <w14:schemeClr w14:val="tx1"/>
            </w14:solidFill>
          </w14:textFill>
        </w:rPr>
        <w:t>表列出的偏离外，</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响应招标文件的全部要求</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w:t>
      </w:r>
    </w:p>
    <w:p>
      <w:pPr>
        <w:spacing w:line="360" w:lineRule="auto"/>
        <w:ind w:firstLine="480" w:firstLineChars="200"/>
        <w:jc w:val="both"/>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此表仅提供了表格形式，</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应根据需要准备足够数量的表格来填写。</w:t>
      </w:r>
    </w:p>
    <w:p>
      <w:pPr>
        <w:rPr>
          <w:rFonts w:hint="eastAsia" w:asciiTheme="majorEastAsia" w:hAnsiTheme="majorEastAsia" w:eastAsiaTheme="majorEastAsia" w:cstheme="majorEastAsia"/>
          <w:b/>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szCs w:val="24"/>
          <w:highlight w:val="none"/>
          <w14:textFill>
            <w14:solidFill>
              <w14:schemeClr w14:val="tx1"/>
            </w14:solidFill>
          </w14:textFill>
        </w:rPr>
        <w:br w:type="page"/>
      </w:r>
    </w:p>
    <w:p>
      <w:pPr>
        <w:pStyle w:val="9"/>
        <w:spacing w:line="500" w:lineRule="exact"/>
        <w:ind w:firstLine="0"/>
        <w:rPr>
          <w:rFonts w:asciiTheme="majorEastAsia" w:hAnsiTheme="majorEastAsia" w:eastAsiaTheme="majorEastAsia" w:cstheme="majorEastAsia"/>
          <w:b/>
          <w:bCs/>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szCs w:val="24"/>
          <w:highlight w:val="none"/>
          <w14:textFill>
            <w14:solidFill>
              <w14:schemeClr w14:val="tx1"/>
            </w14:solidFill>
          </w14:textFill>
        </w:rPr>
        <w:t>附件</w:t>
      </w:r>
      <w:r>
        <w:rPr>
          <w:rFonts w:hint="eastAsia" w:asciiTheme="majorEastAsia" w:hAnsiTheme="majorEastAsia" w:eastAsiaTheme="majorEastAsia" w:cstheme="majorEastAsia"/>
          <w:b/>
          <w:color w:val="000000" w:themeColor="text1"/>
          <w:szCs w:val="24"/>
          <w:highlight w:val="none"/>
          <w:lang w:val="en-US" w:eastAsia="zh-CN"/>
          <w14:textFill>
            <w14:solidFill>
              <w14:schemeClr w14:val="tx1"/>
            </w14:solidFill>
          </w14:textFill>
        </w:rPr>
        <w:t>7</w:t>
      </w:r>
      <w:r>
        <w:rPr>
          <w:rFonts w:hint="eastAsia" w:asciiTheme="majorEastAsia" w:hAnsiTheme="majorEastAsia" w:eastAsiaTheme="majorEastAsia" w:cstheme="majorEastAsia"/>
          <w:b/>
          <w:color w:val="000000" w:themeColor="text1"/>
          <w:szCs w:val="24"/>
          <w:highlight w:val="none"/>
          <w14:textFill>
            <w14:solidFill>
              <w14:schemeClr w14:val="tx1"/>
            </w14:solidFill>
          </w14:textFill>
        </w:rPr>
        <w:t>：</w:t>
      </w:r>
    </w:p>
    <w:p>
      <w:pPr>
        <w:pStyle w:val="41"/>
        <w:jc w:val="center"/>
        <w:rPr>
          <w:rFonts w:asciiTheme="majorEastAsia" w:hAnsiTheme="majorEastAsia" w:eastAsiaTheme="majorEastAsia" w:cstheme="majorEastAsia"/>
          <w:b/>
          <w:color w:val="000000" w:themeColor="text1"/>
          <w:kern w:val="2"/>
          <w:sz w:val="24"/>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2"/>
          <w:sz w:val="24"/>
          <w:szCs w:val="24"/>
          <w:highlight w:val="none"/>
          <w14:textFill>
            <w14:solidFill>
              <w14:schemeClr w14:val="tx1"/>
            </w14:solidFill>
          </w14:textFill>
        </w:rPr>
        <w:t>企业基本情况表</w:t>
      </w:r>
    </w:p>
    <w:p>
      <w:pPr>
        <w:spacing w:line="360" w:lineRule="auto"/>
        <w:rPr>
          <w:rFonts w:hint="eastAsia" w:asciiTheme="majorEastAsia" w:hAnsiTheme="majorEastAsia" w:eastAsiaTheme="majorEastAsia" w:cstheme="majorEastAsia"/>
          <w:b/>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全称（电子签章）：           </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编号：</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LX20241102-C2303000</w:t>
      </w:r>
    </w:p>
    <w:tbl>
      <w:tblPr>
        <w:tblStyle w:val="26"/>
        <w:tblW w:w="98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1"/>
        <w:gridCol w:w="1078"/>
        <w:gridCol w:w="2625"/>
        <w:gridCol w:w="1053"/>
        <w:gridCol w:w="2103"/>
        <w:gridCol w:w="1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名称</w:t>
            </w:r>
          </w:p>
        </w:tc>
        <w:tc>
          <w:tcPr>
            <w:tcW w:w="8032" w:type="dxa"/>
            <w:gridSpan w:val="5"/>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企业资质</w:t>
            </w:r>
          </w:p>
        </w:tc>
        <w:tc>
          <w:tcPr>
            <w:tcW w:w="8032" w:type="dxa"/>
            <w:gridSpan w:val="5"/>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1、等级：  2、证书号：   3、发证单位：   4、业务范围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营业执照</w:t>
            </w:r>
          </w:p>
        </w:tc>
        <w:tc>
          <w:tcPr>
            <w:tcW w:w="8032" w:type="dxa"/>
            <w:gridSpan w:val="5"/>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1、编号：  2、发证机关：   4、营业范围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成立日期</w:t>
            </w:r>
          </w:p>
        </w:tc>
        <w:tc>
          <w:tcPr>
            <w:tcW w:w="1078" w:type="dxa"/>
            <w:vAlign w:val="center"/>
          </w:tcPr>
          <w:p>
            <w:pPr>
              <w:keepNext w:val="0"/>
              <w:keepLines w:val="0"/>
              <w:suppressLineNumbers w:val="0"/>
              <w:spacing w:before="0" w:beforeAutospacing="0" w:after="0" w:afterAutospacing="0" w:line="480" w:lineRule="auto"/>
              <w:ind w:left="0" w:right="0" w:firstLine="6415"/>
              <w:rPr>
                <w:rFonts w:asciiTheme="majorEastAsia" w:hAnsiTheme="majorEastAsia" w:eastAsiaTheme="majorEastAsia" w:cstheme="majorEastAsia"/>
                <w:color w:val="000000" w:themeColor="text1"/>
                <w:highlight w:val="none"/>
                <w14:textFill>
                  <w14:solidFill>
                    <w14:schemeClr w14:val="tx1"/>
                  </w14:solidFill>
                </w14:textFill>
              </w:rPr>
            </w:pPr>
          </w:p>
        </w:tc>
        <w:tc>
          <w:tcPr>
            <w:tcW w:w="2625"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现有职工总人数（人）</w:t>
            </w:r>
          </w:p>
        </w:tc>
        <w:tc>
          <w:tcPr>
            <w:tcW w:w="1053"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103"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技术人员人数（人）</w:t>
            </w:r>
          </w:p>
        </w:tc>
        <w:tc>
          <w:tcPr>
            <w:tcW w:w="1173" w:type="dxa"/>
            <w:vAlign w:val="center"/>
          </w:tcPr>
          <w:p>
            <w:pPr>
              <w:keepNext w:val="0"/>
              <w:keepLines w:val="0"/>
              <w:suppressLineNumbers w:val="0"/>
              <w:spacing w:before="0" w:beforeAutospacing="0" w:after="0" w:afterAutospacing="0" w:line="480" w:lineRule="auto"/>
              <w:ind w:left="0" w:right="0" w:firstLine="6415"/>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法定代表人</w:t>
            </w:r>
          </w:p>
        </w:tc>
        <w:tc>
          <w:tcPr>
            <w:tcW w:w="8032" w:type="dxa"/>
            <w:gridSpan w:val="5"/>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1、姓名：  2、职务：  3、职称：  4、联系电话：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企业负责人</w:t>
            </w:r>
          </w:p>
        </w:tc>
        <w:tc>
          <w:tcPr>
            <w:tcW w:w="8032" w:type="dxa"/>
            <w:gridSpan w:val="5"/>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1、姓名：  2、职务：  3、职称：  4、联系电话：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技术负责人</w:t>
            </w:r>
          </w:p>
        </w:tc>
        <w:tc>
          <w:tcPr>
            <w:tcW w:w="8032" w:type="dxa"/>
            <w:gridSpan w:val="5"/>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1、姓名：  2、职务：  3、职称：  4、联系电话：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联系方式</w:t>
            </w:r>
          </w:p>
        </w:tc>
        <w:tc>
          <w:tcPr>
            <w:tcW w:w="8032" w:type="dxa"/>
            <w:gridSpan w:val="5"/>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1、姓名：   2、职务： 3、职称： 4、联系电话：5、传真：6、E-mail：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开户银行</w:t>
            </w:r>
          </w:p>
        </w:tc>
        <w:tc>
          <w:tcPr>
            <w:tcW w:w="8032" w:type="dxa"/>
            <w:gridSpan w:val="5"/>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1、姓名：     2、帐号：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9" w:hRule="atLeast"/>
          <w:jc w:val="center"/>
        </w:trPr>
        <w:tc>
          <w:tcPr>
            <w:tcW w:w="1821" w:type="dxa"/>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资历简历</w:t>
            </w:r>
          </w:p>
        </w:tc>
        <w:tc>
          <w:tcPr>
            <w:tcW w:w="8032" w:type="dxa"/>
            <w:gridSpan w:val="5"/>
            <w:vAlign w:val="center"/>
          </w:tcPr>
          <w:p>
            <w:pPr>
              <w:keepNext w:val="0"/>
              <w:keepLines w:val="0"/>
              <w:suppressLineNumbers w:val="0"/>
              <w:spacing w:before="0" w:beforeAutospacing="0" w:after="0" w:afterAutospacing="0" w:line="48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bl>
    <w:p>
      <w:pPr>
        <w:spacing w:line="360" w:lineRule="auto"/>
        <w:jc w:val="left"/>
        <w:outlineLvl w:val="1"/>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说明：1、</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资历是指</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的成立、改名、改制等演变和法定代表人变更、人员增减以及单位资质变化等情况，该内容可填入表内，也可单独撰写附于表后或对本表进行扩展。</w:t>
      </w:r>
    </w:p>
    <w:p>
      <w:pPr>
        <w:pStyle w:val="25"/>
        <w:ind w:firstLine="240"/>
        <w:rPr>
          <w:rFonts w:asciiTheme="majorEastAsia" w:hAnsiTheme="majorEastAsia" w:eastAsiaTheme="majorEastAsia" w:cstheme="majorEastAsia"/>
          <w:color w:val="000000" w:themeColor="text1"/>
          <w:highlight w:val="none"/>
          <w14:textFill>
            <w14:solidFill>
              <w14:schemeClr w14:val="tx1"/>
            </w14:solidFill>
          </w14:textFill>
        </w:rPr>
      </w:pPr>
    </w:p>
    <w:p>
      <w:pPr>
        <w:pStyle w:val="22"/>
        <w:rPr>
          <w:rFonts w:asciiTheme="majorEastAsia" w:hAnsiTheme="majorEastAsia" w:eastAsiaTheme="majorEastAsia" w:cstheme="majorEastAsia"/>
          <w:color w:val="000000" w:themeColor="text1"/>
          <w:highlight w:val="none"/>
          <w14:textFill>
            <w14:solidFill>
              <w14:schemeClr w14:val="tx1"/>
            </w14:solidFill>
          </w14:textFill>
        </w:rPr>
      </w:pPr>
    </w:p>
    <w:p>
      <w:pPr>
        <w:rPr>
          <w:rFonts w:asciiTheme="majorEastAsia" w:hAnsiTheme="majorEastAsia" w:eastAsiaTheme="majorEastAsia" w:cstheme="majorEastAsia"/>
          <w:color w:val="000000" w:themeColor="text1"/>
          <w:highlight w:val="none"/>
          <w14:textFill>
            <w14:solidFill>
              <w14:schemeClr w14:val="tx1"/>
            </w14:solidFill>
          </w14:textFill>
        </w:rPr>
      </w:pPr>
    </w:p>
    <w:p>
      <w:pPr>
        <w:pStyle w:val="2"/>
        <w:rPr>
          <w:rFonts w:asciiTheme="majorEastAsia" w:hAnsiTheme="majorEastAsia" w:eastAsiaTheme="majorEastAsia" w:cstheme="majorEastAsia"/>
          <w:color w:val="000000" w:themeColor="text1"/>
          <w:highlight w:val="none"/>
          <w14:textFill>
            <w14:solidFill>
              <w14:schemeClr w14:val="tx1"/>
            </w14:solidFill>
          </w14:textFill>
        </w:rPr>
      </w:pPr>
    </w:p>
    <w:p>
      <w:pPr>
        <w:pStyle w:val="4"/>
        <w:rPr>
          <w:highlight w:val="none"/>
        </w:rPr>
      </w:pPr>
    </w:p>
    <w:p>
      <w:pPr>
        <w:rPr>
          <w:rFonts w:asciiTheme="majorEastAsia" w:hAnsiTheme="majorEastAsia" w:eastAsiaTheme="majorEastAsia" w:cstheme="majorEastAsia"/>
          <w:color w:val="000000" w:themeColor="text1"/>
          <w:highlight w:val="none"/>
          <w14:textFill>
            <w14:solidFill>
              <w14:schemeClr w14:val="tx1"/>
            </w14:solidFill>
          </w14:textFill>
        </w:rPr>
      </w:pPr>
    </w:p>
    <w:p>
      <w:pPr>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附件</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8</w:t>
      </w:r>
      <w:r>
        <w:rPr>
          <w:rFonts w:hint="eastAsia" w:asciiTheme="majorEastAsia" w:hAnsiTheme="majorEastAsia" w:eastAsiaTheme="majorEastAsia" w:cstheme="majorEastAsia"/>
          <w:b/>
          <w:bCs/>
          <w:color w:val="000000" w:themeColor="text1"/>
          <w:highlight w:val="none"/>
          <w14:textFill>
            <w14:solidFill>
              <w14:schemeClr w14:val="tx1"/>
            </w14:solidFill>
          </w14:textFill>
        </w:rPr>
        <w:t xml:space="preserve">：          </w:t>
      </w:r>
    </w:p>
    <w:p>
      <w:pPr>
        <w:spacing w:line="360" w:lineRule="auto"/>
        <w:jc w:val="center"/>
        <w:outlineLvl w:val="1"/>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技术偏离表</w:t>
      </w:r>
    </w:p>
    <w:p>
      <w:pPr>
        <w:spacing w:line="360" w:lineRule="auto"/>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全称（电子签章）：           </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编号：</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LX20241102-C2303000</w:t>
      </w:r>
    </w:p>
    <w:tbl>
      <w:tblPr>
        <w:tblStyle w:val="26"/>
        <w:tblW w:w="906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68"/>
        <w:gridCol w:w="1932"/>
        <w:gridCol w:w="1236"/>
        <w:gridCol w:w="1236"/>
        <w:gridCol w:w="239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pPr>
              <w:keepNext w:val="0"/>
              <w:keepLines w:val="0"/>
              <w:suppressLineNumbers w:val="0"/>
              <w:spacing w:before="0" w:beforeAutospacing="0" w:after="0" w:afterAutospacing="0" w:line="400" w:lineRule="exact"/>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条目号</w:t>
            </w:r>
          </w:p>
        </w:tc>
        <w:tc>
          <w:tcPr>
            <w:tcW w:w="1932" w:type="dxa"/>
          </w:tcPr>
          <w:p>
            <w:pPr>
              <w:keepNext w:val="0"/>
              <w:keepLines w:val="0"/>
              <w:suppressLineNumbers w:val="0"/>
              <w:spacing w:before="0" w:beforeAutospacing="0" w:after="0" w:afterAutospacing="0" w:line="400" w:lineRule="exact"/>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技术条款要求</w:t>
            </w:r>
          </w:p>
        </w:tc>
        <w:tc>
          <w:tcPr>
            <w:tcW w:w="1236" w:type="dxa"/>
          </w:tcPr>
          <w:p>
            <w:pPr>
              <w:keepNext w:val="0"/>
              <w:keepLines w:val="0"/>
              <w:suppressLineNumbers w:val="0"/>
              <w:spacing w:before="0" w:beforeAutospacing="0" w:after="0" w:afterAutospacing="0" w:line="400" w:lineRule="exact"/>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完全响应</w:t>
            </w:r>
          </w:p>
        </w:tc>
        <w:tc>
          <w:tcPr>
            <w:tcW w:w="1236" w:type="dxa"/>
          </w:tcPr>
          <w:p>
            <w:pPr>
              <w:keepNext w:val="0"/>
              <w:keepLines w:val="0"/>
              <w:suppressLineNumbers w:val="0"/>
              <w:spacing w:before="0" w:beforeAutospacing="0" w:after="0" w:afterAutospacing="0" w:line="400" w:lineRule="exact"/>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有偏离</w:t>
            </w:r>
          </w:p>
        </w:tc>
        <w:tc>
          <w:tcPr>
            <w:tcW w:w="2394" w:type="dxa"/>
          </w:tcPr>
          <w:p>
            <w:pPr>
              <w:keepNext w:val="0"/>
              <w:keepLines w:val="0"/>
              <w:suppressLineNumbers w:val="0"/>
              <w:spacing w:before="0" w:beforeAutospacing="0" w:after="0" w:afterAutospacing="0" w:line="400" w:lineRule="exact"/>
              <w:ind w:left="0" w:right="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偏离描述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932"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394"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932"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394"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932"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394"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932"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394"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932"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394"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932"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bCs/>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394"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932"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bCs/>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36"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2394" w:type="dxa"/>
          </w:tcPr>
          <w:p>
            <w:pPr>
              <w:keepNext w:val="0"/>
              <w:keepLines w:val="0"/>
              <w:suppressLineNumbers w:val="0"/>
              <w:spacing w:before="0" w:beforeAutospacing="0" w:after="0" w:afterAutospacing="0" w:line="40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bl>
    <w:p>
      <w:pPr>
        <w:spacing w:beforeLines="50" w:line="440" w:lineRule="exact"/>
        <w:ind w:left="-118" w:leftChars="-49" w:firstLine="15"/>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：（公章）</w:t>
      </w:r>
    </w:p>
    <w:p>
      <w:pPr>
        <w:spacing w:beforeLines="50"/>
        <w:ind w:left="-118" w:leftChars="-49" w:firstLine="15"/>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法定代表人或其授权代表：（签字或盖章）</w:t>
      </w:r>
    </w:p>
    <w:p>
      <w:pPr>
        <w:spacing w:beforeLines="50"/>
        <w:ind w:left="-118" w:leftChars="-49" w:firstLine="15"/>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日期：</w:t>
      </w:r>
    </w:p>
    <w:p>
      <w:pPr>
        <w:snapToGrid w:val="0"/>
        <w:spacing w:afterLines="5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注：1.</w:t>
      </w:r>
      <w:r>
        <w:rPr>
          <w:rFonts w:hint="eastAsia" w:asciiTheme="majorEastAsia" w:hAnsiTheme="majorEastAsia" w:eastAsiaTheme="majorEastAsia" w:cstheme="majorEastAsia"/>
          <w:color w:val="000000" w:themeColor="text1"/>
          <w:highlight w:val="none"/>
          <w14:textFill>
            <w14:solidFill>
              <w14:schemeClr w14:val="tx1"/>
            </w14:solidFill>
          </w14:textFill>
        </w:rPr>
        <w:tab/>
      </w:r>
      <w:r>
        <w:rPr>
          <w:rFonts w:hint="eastAsia" w:asciiTheme="majorEastAsia" w:hAnsiTheme="majorEastAsia" w:eastAsiaTheme="majorEastAsia" w:cstheme="majorEastAsia"/>
          <w:color w:val="000000" w:themeColor="text1"/>
          <w:highlight w:val="none"/>
          <w14:textFill>
            <w14:solidFill>
              <w14:schemeClr w14:val="tx1"/>
            </w14:solidFill>
          </w14:textFill>
        </w:rPr>
        <w:t>对完全响应的条目在本表相应列中标注“O”。对有偏离的条目在本表相应列中标注“正偏离”或“负偏离”。仅可在“完全响应”及“有偏离”中选一标注，同时，当且仅当选取“有偏离”栏中加以标注后，才能在“偏离简述”栏中加以说明。</w:t>
      </w:r>
    </w:p>
    <w:p>
      <w:pPr>
        <w:tabs>
          <w:tab w:val="left" w:pos="1200"/>
        </w:tabs>
        <w:snapToGrid w:val="0"/>
        <w:spacing w:afterLines="50"/>
        <w:ind w:left="971" w:leftChars="203" w:hanging="484" w:hangingChars="202"/>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ab/>
      </w:r>
      <w:r>
        <w:rPr>
          <w:rFonts w:hint="eastAsia" w:asciiTheme="majorEastAsia" w:hAnsiTheme="majorEastAsia" w:eastAsiaTheme="majorEastAsia" w:cstheme="majorEastAsia"/>
          <w:color w:val="000000" w:themeColor="text1"/>
          <w:highlight w:val="none"/>
          <w14:textFill>
            <w14:solidFill>
              <w14:schemeClr w14:val="tx1"/>
            </w14:solidFill>
          </w14:textFill>
        </w:rPr>
        <w:t>正偏离是指应答的条件高于</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要求，负偏离是指应答的条件低于</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要求，正偏离项目不作扣分处理。</w:t>
      </w:r>
    </w:p>
    <w:p>
      <w:pPr>
        <w:tabs>
          <w:tab w:val="left" w:pos="1200"/>
        </w:tabs>
        <w:snapToGrid w:val="0"/>
        <w:spacing w:afterLines="50"/>
        <w:ind w:left="971" w:leftChars="203" w:hanging="484" w:hangingChars="202"/>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w:t>
      </w:r>
      <w:r>
        <w:rPr>
          <w:rFonts w:hint="eastAsia" w:asciiTheme="majorEastAsia" w:hAnsiTheme="majorEastAsia" w:eastAsiaTheme="majorEastAsia" w:cstheme="majorEastAsia"/>
          <w:color w:val="000000" w:themeColor="text1"/>
          <w:highlight w:val="none"/>
          <w14:textFill>
            <w14:solidFill>
              <w14:schemeClr w14:val="tx1"/>
            </w14:solidFill>
          </w14:textFill>
        </w:rPr>
        <w:tab/>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须按照用户需求书逐条完整填写响应表。如果未完整填写响应表的各项内容则视作</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已经对</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相关要求和内容完全理解并同意，其</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color w:val="000000" w:themeColor="text1"/>
          <w:highlight w:val="none"/>
          <w14:textFill>
            <w14:solidFill>
              <w14:schemeClr w14:val="tx1"/>
            </w14:solidFill>
          </w14:textFill>
        </w:rPr>
        <w:t>报价为在此基础上的完全价格。</w:t>
      </w:r>
    </w:p>
    <w:p>
      <w:pPr>
        <w:tabs>
          <w:tab w:val="left" w:pos="1200"/>
        </w:tabs>
        <w:snapToGrid w:val="0"/>
        <w:spacing w:afterLines="50"/>
        <w:ind w:left="971" w:leftChars="203" w:hanging="484" w:hangingChars="202"/>
        <w:rPr>
          <w:rFonts w:hint="eastAsia"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w:t>
      </w:r>
      <w:r>
        <w:rPr>
          <w:rFonts w:hint="eastAsia" w:asciiTheme="majorEastAsia" w:hAnsiTheme="majorEastAsia" w:eastAsiaTheme="majorEastAsia" w:cstheme="majorEastAsia"/>
          <w:color w:val="000000" w:themeColor="text1"/>
          <w:highlight w:val="none"/>
          <w14:textFill>
            <w14:solidFill>
              <w14:schemeClr w14:val="tx1"/>
            </w14:solidFill>
          </w14:textFill>
        </w:rPr>
        <w:tab/>
      </w:r>
      <w:r>
        <w:rPr>
          <w:rFonts w:hint="eastAsia" w:asciiTheme="majorEastAsia" w:hAnsiTheme="majorEastAsia" w:eastAsiaTheme="majorEastAsia" w:cstheme="majorEastAsia"/>
          <w:color w:val="000000" w:themeColor="text1"/>
          <w:highlight w:val="none"/>
          <w14:textFill>
            <w14:solidFill>
              <w14:schemeClr w14:val="tx1"/>
            </w14:solidFill>
          </w14:textFill>
        </w:rPr>
        <w:t>在</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采购</w:t>
      </w:r>
      <w:r>
        <w:rPr>
          <w:rFonts w:hint="eastAsia" w:asciiTheme="majorEastAsia" w:hAnsiTheme="majorEastAsia" w:eastAsiaTheme="majorEastAsia" w:cstheme="majorEastAsia"/>
          <w:color w:val="000000" w:themeColor="text1"/>
          <w:highlight w:val="none"/>
          <w14:textFill>
            <w14:solidFill>
              <w14:schemeClr w14:val="tx1"/>
            </w14:solidFill>
          </w14:textFill>
        </w:rPr>
        <w:t>人与</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入围供应商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签订合同时，如</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入围供应商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未在</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color w:val="000000" w:themeColor="text1"/>
          <w:highlight w:val="none"/>
          <w14:textFill>
            <w14:solidFill>
              <w14:schemeClr w14:val="tx1"/>
            </w14:solidFill>
          </w14:textFill>
        </w:rPr>
        <w:t>“响应表”中列出偏离说明，无论即将发生或已发生任何情形，均视为完全符合</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要求，并写入合同。若</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入围供应商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在合同签订前，以上述事项为借口而不履行合同签订手续及执行合同，则视作拒绝与采购人签订合同。</w:t>
      </w:r>
    </w:p>
    <w:p>
      <w:pPr>
        <w:tabs>
          <w:tab w:val="left" w:pos="1200"/>
        </w:tabs>
        <w:snapToGrid w:val="0"/>
        <w:spacing w:afterLines="50"/>
        <w:ind w:left="971" w:leftChars="203" w:hanging="484" w:hangingChars="202"/>
        <w:rPr>
          <w:rFonts w:hint="eastAsia" w:asciiTheme="majorEastAsia" w:hAnsiTheme="majorEastAsia" w:eastAsiaTheme="majorEastAsia" w:cstheme="majorEastAsia"/>
          <w:color w:val="000000" w:themeColor="text1"/>
          <w:highlight w:val="none"/>
          <w14:textFill>
            <w14:solidFill>
              <w14:schemeClr w14:val="tx1"/>
            </w14:solidFill>
          </w14:textFill>
        </w:rPr>
      </w:pPr>
    </w:p>
    <w:p>
      <w:pPr>
        <w:tabs>
          <w:tab w:val="left" w:pos="1200"/>
        </w:tabs>
        <w:snapToGrid w:val="0"/>
        <w:spacing w:afterLines="50"/>
        <w:ind w:left="974" w:leftChars="203" w:hanging="487" w:hangingChars="202"/>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br w:type="page"/>
      </w:r>
      <w:r>
        <w:rPr>
          <w:rFonts w:hint="default" w:asciiTheme="majorEastAsia" w:hAnsiTheme="majorEastAsia" w:eastAsiaTheme="majorEastAsia" w:cstheme="majorEastAsia"/>
          <w:b/>
          <w:bCs/>
          <w:color w:val="000000" w:themeColor="text1"/>
          <w:highlight w:val="none"/>
          <w:lang w:val="en"/>
          <w14:textFill>
            <w14:solidFill>
              <w14:schemeClr w14:val="tx1"/>
            </w14:solidFill>
          </w14:textFill>
        </w:rPr>
        <w:t xml:space="preserve">  </w:t>
      </w:r>
      <w:r>
        <w:rPr>
          <w:rFonts w:hint="eastAsia" w:asciiTheme="majorEastAsia" w:hAnsiTheme="majorEastAsia" w:eastAsiaTheme="majorEastAsia" w:cstheme="majorEastAsia"/>
          <w:b/>
          <w:bCs/>
          <w:color w:val="000000" w:themeColor="text1"/>
          <w:highlight w:val="none"/>
          <w14:textFill>
            <w14:solidFill>
              <w14:schemeClr w14:val="tx1"/>
            </w14:solidFill>
          </w14:textFill>
        </w:rPr>
        <w:t>附件</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9</w:t>
      </w:r>
      <w:r>
        <w:rPr>
          <w:rFonts w:hint="eastAsia" w:asciiTheme="majorEastAsia" w:hAnsiTheme="majorEastAsia" w:eastAsiaTheme="majorEastAsia" w:cstheme="majorEastAsia"/>
          <w:b/>
          <w:bCs/>
          <w:color w:val="000000" w:themeColor="text1"/>
          <w:highlight w:val="none"/>
          <w14:textFill>
            <w14:solidFill>
              <w14:schemeClr w14:val="tx1"/>
            </w14:solidFill>
          </w14:textFill>
        </w:rPr>
        <w:t>：</w:t>
      </w:r>
      <w:r>
        <w:rPr>
          <w:rFonts w:hint="eastAsia" w:asciiTheme="majorEastAsia" w:hAnsiTheme="majorEastAsia" w:eastAsiaTheme="majorEastAsia" w:cstheme="majorEastAsia"/>
          <w:color w:val="000000" w:themeColor="text1"/>
          <w:kern w:val="1"/>
          <w:highlight w:val="none"/>
          <w14:textFill>
            <w14:solidFill>
              <w14:schemeClr w14:val="tx1"/>
            </w14:solidFill>
          </w14:textFill>
        </w:rPr>
        <w:t>拟投入本项目人员配备表</w:t>
      </w:r>
    </w:p>
    <w:p>
      <w:pPr>
        <w:numPr>
          <w:ilvl w:val="0"/>
          <w:numId w:val="0"/>
        </w:numPr>
        <w:snapToGrid w:val="0"/>
        <w:spacing w:line="360" w:lineRule="auto"/>
        <w:ind w:right="480" w:rightChars="0"/>
        <w:jc w:val="center"/>
        <w:rPr>
          <w:rFonts w:hint="eastAsia" w:ascii="新宋体" w:hAnsi="新宋体" w:eastAsia="新宋体" w:cs="新宋体"/>
          <w:b/>
          <w:bCs/>
          <w:color w:val="000000" w:themeColor="text1"/>
          <w:sz w:val="32"/>
          <w:szCs w:val="32"/>
          <w:highlight w:val="none"/>
          <w:lang w:val="en-US" w:eastAsia="zh-CN"/>
          <w14:textFill>
            <w14:solidFill>
              <w14:schemeClr w14:val="tx1"/>
            </w14:solidFill>
          </w14:textFill>
        </w:rPr>
      </w:pPr>
      <w:r>
        <w:rPr>
          <w:rFonts w:hint="eastAsia" w:ascii="新宋体" w:hAnsi="新宋体" w:eastAsia="新宋体" w:cs="新宋体"/>
          <w:b/>
          <w:bCs/>
          <w:color w:val="000000" w:themeColor="text1"/>
          <w:sz w:val="32"/>
          <w:szCs w:val="32"/>
          <w:highlight w:val="none"/>
          <w:lang w:val="en-US" w:eastAsia="zh-CN"/>
          <w14:textFill>
            <w14:solidFill>
              <w14:schemeClr w14:val="tx1"/>
            </w14:solidFill>
          </w14:textFill>
        </w:rPr>
        <w:t>项目负责人（项目经理）简历表</w:t>
      </w:r>
    </w:p>
    <w:p>
      <w:pPr>
        <w:jc w:val="cente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全称（电子签章）：            </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编号：</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LX20241102-C2303000</w:t>
      </w:r>
    </w:p>
    <w:p>
      <w:pPr>
        <w:pStyle w:val="2"/>
        <w:rPr>
          <w:rFonts w:hint="eastAsia"/>
          <w:highlight w:val="none"/>
          <w:lang w:eastAsia="zh-CN"/>
        </w:rPr>
      </w:pPr>
    </w:p>
    <w:tbl>
      <w:tblPr>
        <w:tblStyle w:val="26"/>
        <w:tblW w:w="105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317"/>
        <w:gridCol w:w="1119"/>
        <w:gridCol w:w="716"/>
        <w:gridCol w:w="596"/>
        <w:gridCol w:w="215"/>
        <w:gridCol w:w="639"/>
        <w:gridCol w:w="535"/>
        <w:gridCol w:w="387"/>
        <w:gridCol w:w="229"/>
        <w:gridCol w:w="683"/>
        <w:gridCol w:w="1000"/>
        <w:gridCol w:w="619"/>
        <w:gridCol w:w="713"/>
        <w:gridCol w:w="806"/>
        <w:gridCol w:w="12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atLeast"/>
          <w:jc w:val="center"/>
        </w:trPr>
        <w:tc>
          <w:tcPr>
            <w:tcW w:w="104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1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7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性别</w:t>
            </w:r>
          </w:p>
        </w:tc>
        <w:tc>
          <w:tcPr>
            <w:tcW w:w="59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85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年龄</w:t>
            </w:r>
          </w:p>
        </w:tc>
        <w:tc>
          <w:tcPr>
            <w:tcW w:w="5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61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110" w:rightChars="-46"/>
              <w:rPr>
                <w:rFonts w:hint="eastAsia" w:ascii="宋体" w:hAnsi="宋体" w:eastAsia="宋体" w:cs="宋体"/>
                <w:color w:val="auto"/>
                <w:szCs w:val="21"/>
                <w:highlight w:val="none"/>
              </w:rPr>
            </w:pPr>
            <w:r>
              <w:rPr>
                <w:rFonts w:hint="eastAsia" w:ascii="宋体" w:hAnsi="宋体" w:eastAsia="宋体" w:cs="宋体"/>
                <w:color w:val="auto"/>
                <w:szCs w:val="21"/>
                <w:highlight w:val="none"/>
              </w:rPr>
              <w:t>学历</w:t>
            </w:r>
          </w:p>
        </w:tc>
        <w:tc>
          <w:tcPr>
            <w:tcW w:w="6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0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职称</w:t>
            </w:r>
          </w:p>
        </w:tc>
        <w:tc>
          <w:tcPr>
            <w:tcW w:w="6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7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执业资格</w:t>
            </w:r>
          </w:p>
        </w:tc>
        <w:tc>
          <w:tcPr>
            <w:tcW w:w="208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3" w:hRule="atLeast"/>
          <w:jc w:val="center"/>
        </w:trPr>
        <w:tc>
          <w:tcPr>
            <w:tcW w:w="104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职务</w:t>
            </w:r>
          </w:p>
        </w:tc>
        <w:tc>
          <w:tcPr>
            <w:tcW w:w="11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312"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参加工作</w:t>
            </w:r>
          </w:p>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时间</w:t>
            </w:r>
          </w:p>
        </w:tc>
        <w:tc>
          <w:tcPr>
            <w:tcW w:w="854" w:type="dxa"/>
            <w:gridSpan w:val="2"/>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suppressLineNumbers w:val="0"/>
              <w:tabs>
                <w:tab w:val="left" w:pos="632"/>
              </w:tabs>
              <w:kinsoku/>
              <w:overflowPunct/>
              <w:topLinePunct w:val="0"/>
              <w:bidi w:val="0"/>
              <w:snapToGrid/>
              <w:spacing w:before="0" w:beforeAutospacing="0" w:after="0" w:afterAutospacing="0" w:line="360" w:lineRule="auto"/>
              <w:ind w:left="0" w:right="0"/>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w:t>
            </w:r>
          </w:p>
          <w:p>
            <w:pPr>
              <w:keepNext w:val="0"/>
              <w:keepLines w:val="0"/>
              <w:pageBreakBefore w:val="0"/>
              <w:suppressLineNumbers w:val="0"/>
              <w:tabs>
                <w:tab w:val="left" w:pos="632"/>
              </w:tabs>
              <w:kinsoku/>
              <w:overflowPunct/>
              <w:topLinePunct w:val="0"/>
              <w:bidi w:val="0"/>
              <w:snapToGrid/>
              <w:spacing w:before="0" w:beforeAutospacing="0" w:after="0" w:afterAutospacing="0" w:line="360" w:lineRule="auto"/>
              <w:ind w:left="0" w:right="0"/>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月</w:t>
            </w:r>
          </w:p>
        </w:tc>
        <w:tc>
          <w:tcPr>
            <w:tcW w:w="1834"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从事类似</w:t>
            </w:r>
          </w:p>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工作年限</w:t>
            </w:r>
          </w:p>
        </w:tc>
        <w:tc>
          <w:tcPr>
            <w:tcW w:w="10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332"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获得荣誉</w:t>
            </w:r>
          </w:p>
        </w:tc>
        <w:tc>
          <w:tcPr>
            <w:tcW w:w="208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atLeast"/>
          <w:jc w:val="center"/>
        </w:trPr>
        <w:tc>
          <w:tcPr>
            <w:tcW w:w="9306" w:type="dxa"/>
            <w:gridSpan w:val="1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近三年负责完成的类似项目情况</w:t>
            </w:r>
          </w:p>
        </w:tc>
        <w:tc>
          <w:tcPr>
            <w:tcW w:w="12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委托单位</w:t>
            </w: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受托单位</w:t>
            </w: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项目内容</w:t>
            </w:r>
          </w:p>
        </w:tc>
        <w:tc>
          <w:tcPr>
            <w:tcW w:w="2138" w:type="dxa"/>
            <w:gridSpan w:val="3"/>
            <w:tcBorders>
              <w:top w:val="single" w:color="auto" w:sz="4" w:space="0"/>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项目起止时间</w:t>
            </w:r>
          </w:p>
        </w:tc>
        <w:tc>
          <w:tcPr>
            <w:tcW w:w="1278" w:type="dxa"/>
            <w:tcBorders>
              <w:top w:val="single" w:color="auto" w:sz="4" w:space="0"/>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项目成果或审核业绩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2138" w:type="dxa"/>
            <w:gridSpan w:val="3"/>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278" w:type="dxa"/>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2138" w:type="dxa"/>
            <w:gridSpan w:val="3"/>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278" w:type="dxa"/>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2138" w:type="dxa"/>
            <w:gridSpan w:val="3"/>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278" w:type="dxa"/>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2138" w:type="dxa"/>
            <w:gridSpan w:val="3"/>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278" w:type="dxa"/>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2138" w:type="dxa"/>
            <w:gridSpan w:val="3"/>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278" w:type="dxa"/>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2138" w:type="dxa"/>
            <w:gridSpan w:val="3"/>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278" w:type="dxa"/>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2138" w:type="dxa"/>
            <w:gridSpan w:val="3"/>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278" w:type="dxa"/>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2138" w:type="dxa"/>
            <w:gridSpan w:val="3"/>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278" w:type="dxa"/>
            <w:tcBorders>
              <w:left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jc w:val="center"/>
        </w:trPr>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43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27"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561"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91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2138" w:type="dxa"/>
            <w:gridSpan w:val="3"/>
            <w:tcBorders>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c>
          <w:tcPr>
            <w:tcW w:w="1278" w:type="dxa"/>
            <w:tcBorders>
              <w:left w:val="single" w:color="auto" w:sz="4" w:space="0"/>
              <w:bottom w:val="single" w:color="auto" w:sz="4" w:space="0"/>
              <w:right w:val="single" w:color="auto" w:sz="4" w:space="0"/>
            </w:tcBorders>
            <w:noWrap w:val="0"/>
            <w:vAlign w:val="center"/>
          </w:tcPr>
          <w:p>
            <w:pPr>
              <w:keepNext w:val="0"/>
              <w:keepLines w:val="0"/>
              <w:pageBreakBefore w:val="0"/>
              <w:suppressLineNumbers w:val="0"/>
              <w:kinsoku/>
              <w:overflowPunct/>
              <w:topLinePunct w:val="0"/>
              <w:bidi w:val="0"/>
              <w:snapToGrid/>
              <w:spacing w:before="0" w:beforeAutospacing="0" w:after="0" w:afterAutospacing="0" w:line="360" w:lineRule="auto"/>
              <w:ind w:left="0" w:right="0"/>
              <w:jc w:val="center"/>
              <w:rPr>
                <w:rFonts w:hint="eastAsia" w:ascii="宋体" w:hAnsi="宋体" w:eastAsia="宋体" w:cs="宋体"/>
                <w:color w:val="auto"/>
                <w:szCs w:val="21"/>
                <w:highlight w:val="none"/>
              </w:rPr>
            </w:pPr>
          </w:p>
        </w:tc>
      </w:tr>
    </w:tbl>
    <w:p>
      <w:pPr>
        <w:pStyle w:val="6"/>
        <w:tabs>
          <w:tab w:val="left" w:pos="1080"/>
        </w:tabs>
        <w:rPr>
          <w:rFonts w:hint="default"/>
          <w:highlight w:val="none"/>
          <w:lang w:val="en-US" w:eastAsia="zh-CN"/>
        </w:rPr>
      </w:pPr>
    </w:p>
    <w:p>
      <w:pPr>
        <w:pStyle w:val="13"/>
        <w:pageBreakBefore w:val="0"/>
        <w:kinsoku/>
        <w:overflowPunct/>
        <w:topLinePunct w:val="0"/>
        <w:bidi w:val="0"/>
        <w:snapToGrid/>
        <w:spacing w:beforeAutospacing="0" w:afterAutospacing="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注：1、本表须置于</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w:t>
      </w:r>
      <w:r>
        <w:rPr>
          <w:rFonts w:hint="eastAsia" w:hAnsi="宋体" w:cs="宋体"/>
          <w:color w:val="auto"/>
          <w:sz w:val="24"/>
          <w:szCs w:val="24"/>
          <w:highlight w:val="none"/>
          <w:lang w:eastAsia="zh-CN"/>
        </w:rPr>
        <w:t>技术商务</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中，必填。</w:t>
      </w:r>
    </w:p>
    <w:p>
      <w:pPr>
        <w:pStyle w:val="13"/>
        <w:pageBreakBefore w:val="0"/>
        <w:kinsoku/>
        <w:overflowPunct/>
        <w:topLinePunct w:val="0"/>
        <w:bidi w:val="0"/>
        <w:snapToGrid/>
        <w:spacing w:beforeAutospacing="0" w:afterAutospacing="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项目负责人如有技术等级或职称证书，需将相应</w:t>
      </w:r>
      <w:r>
        <w:rPr>
          <w:rFonts w:hint="eastAsia" w:ascii="宋体" w:hAnsi="宋体" w:eastAsia="宋体" w:cs="宋体"/>
          <w:color w:val="auto"/>
          <w:sz w:val="24"/>
          <w:szCs w:val="24"/>
          <w:highlight w:val="none"/>
          <w:lang w:eastAsia="zh-CN"/>
        </w:rPr>
        <w:t>证书扫描件</w:t>
      </w:r>
      <w:r>
        <w:rPr>
          <w:rFonts w:hint="eastAsia" w:ascii="宋体" w:hAnsi="宋体" w:eastAsia="宋体" w:cs="宋体"/>
          <w:color w:val="auto"/>
          <w:sz w:val="24"/>
          <w:szCs w:val="24"/>
          <w:highlight w:val="none"/>
        </w:rPr>
        <w:t>附于表后。</w:t>
      </w:r>
    </w:p>
    <w:p>
      <w:pPr>
        <w:pStyle w:val="13"/>
        <w:pageBreakBefore w:val="0"/>
        <w:kinsoku/>
        <w:overflowPunct/>
        <w:topLinePunct w:val="0"/>
        <w:bidi w:val="0"/>
        <w:snapToGrid/>
        <w:spacing w:beforeAutospacing="0" w:afterAutospacing="0"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3、拟安排项目负责人，须在响应单位任职，在</w:t>
      </w:r>
      <w:r>
        <w:rPr>
          <w:rFonts w:hint="eastAsia" w:hAnsi="宋体" w:cs="宋体"/>
          <w:color w:val="auto"/>
          <w:sz w:val="24"/>
          <w:szCs w:val="24"/>
          <w:highlight w:val="none"/>
          <w:lang w:val="en-US" w:eastAsia="zh-CN"/>
        </w:rPr>
        <w:t>技术商务</w:t>
      </w:r>
      <w:r>
        <w:rPr>
          <w:rFonts w:hint="eastAsia" w:ascii="宋体" w:hAnsi="宋体" w:eastAsia="宋体" w:cs="宋体"/>
          <w:color w:val="auto"/>
          <w:sz w:val="24"/>
          <w:szCs w:val="24"/>
          <w:highlight w:val="none"/>
          <w:lang w:val="en-US" w:eastAsia="zh-CN"/>
        </w:rPr>
        <w:t>响应文件中须提供近二个月的在该单位任职的个人社保缴费清单，否则不予承认。（近二个月指的是从2024年07月01日至响应截止时止期间中任何一个连续二个月。</w:t>
      </w:r>
      <w:r>
        <w:rPr>
          <w:rFonts w:hint="eastAsia" w:hAnsi="宋体" w:cs="宋体"/>
          <w:color w:val="auto"/>
          <w:sz w:val="24"/>
          <w:szCs w:val="24"/>
          <w:highlight w:val="none"/>
          <w:lang w:val="en-US" w:eastAsia="zh-CN"/>
        </w:rPr>
        <w:t>）</w:t>
      </w:r>
    </w:p>
    <w:p>
      <w:pPr>
        <w:pStyle w:val="13"/>
        <w:pageBreakBefore w:val="0"/>
        <w:kinsoku/>
        <w:overflowPunct/>
        <w:topLinePunct w:val="0"/>
        <w:bidi w:val="0"/>
        <w:snapToGrid/>
        <w:spacing w:beforeAutospacing="0" w:afterAutospacing="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、本表可在不改变格式的情况下自行制作。</w:t>
      </w:r>
    </w:p>
    <w:p>
      <w:pPr>
        <w:spacing w:line="360" w:lineRule="auto"/>
        <w:jc w:val="center"/>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项目组成员</w:t>
      </w:r>
      <w:r>
        <w:rPr>
          <w:rFonts w:hint="eastAsia" w:asciiTheme="majorEastAsia" w:hAnsiTheme="majorEastAsia" w:eastAsiaTheme="majorEastAsia" w:cstheme="majorEastAsia"/>
          <w:b/>
          <w:bCs/>
          <w:color w:val="000000" w:themeColor="text1"/>
          <w:highlight w:val="none"/>
          <w14:textFill>
            <w14:solidFill>
              <w14:schemeClr w14:val="tx1"/>
            </w14:solidFill>
          </w14:textFill>
        </w:rPr>
        <w:t>汇总表</w:t>
      </w:r>
    </w:p>
    <w:p>
      <w:pPr>
        <w:jc w:val="cente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全称（电子签章）：            </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征集文件</w:t>
      </w:r>
      <w:r>
        <w:rPr>
          <w:rFonts w:hint="eastAsia" w:asciiTheme="majorEastAsia" w:hAnsiTheme="majorEastAsia" w:eastAsiaTheme="majorEastAsia" w:cstheme="majorEastAsia"/>
          <w:color w:val="000000" w:themeColor="text1"/>
          <w:highlight w:val="none"/>
          <w14:textFill>
            <w14:solidFill>
              <w14:schemeClr w14:val="tx1"/>
            </w14:solidFill>
          </w14:textFill>
        </w:rPr>
        <w:t>编号：</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LX20241102-C2303000</w:t>
      </w:r>
    </w:p>
    <w:tbl>
      <w:tblPr>
        <w:tblStyle w:val="26"/>
        <w:tblpPr w:leftFromText="180" w:rightFromText="180" w:vertAnchor="text" w:horzAnchor="page" w:tblpXSpec="center" w:tblpY="520"/>
        <w:tblOverlap w:val="never"/>
        <w:tblW w:w="98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4"/>
        <w:gridCol w:w="1487"/>
        <w:gridCol w:w="1156"/>
        <w:gridCol w:w="1262"/>
        <w:gridCol w:w="1761"/>
        <w:gridCol w:w="1308"/>
        <w:gridCol w:w="17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top w:val="single" w:color="auto" w:sz="12" w:space="0"/>
              <w:left w:val="single" w:color="auto" w:sz="12" w:space="0"/>
              <w:bottom w:val="single" w:color="auto" w:sz="12"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姓  名</w:t>
            </w:r>
          </w:p>
        </w:tc>
        <w:tc>
          <w:tcPr>
            <w:tcW w:w="1487" w:type="dxa"/>
            <w:tcBorders>
              <w:top w:val="single" w:color="auto" w:sz="12" w:space="0"/>
              <w:bottom w:val="single" w:color="auto" w:sz="12"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本项目拟任岗位</w:t>
            </w:r>
          </w:p>
        </w:tc>
        <w:tc>
          <w:tcPr>
            <w:tcW w:w="1156" w:type="dxa"/>
            <w:tcBorders>
              <w:top w:val="single" w:color="auto" w:sz="12" w:space="0"/>
              <w:bottom w:val="single" w:color="auto" w:sz="12"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专 业</w:t>
            </w:r>
          </w:p>
        </w:tc>
        <w:tc>
          <w:tcPr>
            <w:tcW w:w="1262" w:type="dxa"/>
            <w:tcBorders>
              <w:top w:val="single" w:color="auto" w:sz="12" w:space="0"/>
              <w:bottom w:val="single" w:color="auto" w:sz="12"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专业   年限（年）</w:t>
            </w:r>
          </w:p>
        </w:tc>
        <w:tc>
          <w:tcPr>
            <w:tcW w:w="1761" w:type="dxa"/>
            <w:tcBorders>
              <w:top w:val="single" w:color="auto" w:sz="12" w:space="0"/>
              <w:bottom w:val="single" w:color="auto" w:sz="12"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执业资格</w:t>
            </w:r>
          </w:p>
        </w:tc>
        <w:tc>
          <w:tcPr>
            <w:tcW w:w="1308" w:type="dxa"/>
            <w:tcBorders>
              <w:top w:val="single" w:color="auto" w:sz="12" w:space="0"/>
              <w:bottom w:val="single" w:color="auto" w:sz="12"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职称</w:t>
            </w:r>
          </w:p>
        </w:tc>
        <w:tc>
          <w:tcPr>
            <w:tcW w:w="1769" w:type="dxa"/>
            <w:tcBorders>
              <w:top w:val="single" w:color="auto" w:sz="12" w:space="0"/>
              <w:bottom w:val="single" w:color="auto" w:sz="12" w:space="0"/>
              <w:right w:val="single" w:color="auto" w:sz="12" w:space="0"/>
            </w:tcBorders>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注册单位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pStyle w:val="14"/>
              <w:keepNext w:val="0"/>
              <w:keepLines w:val="0"/>
              <w:suppressLineNumbers w:val="0"/>
              <w:spacing w:before="0" w:beforeAutospacing="0" w:after="0" w:afterAutospacing="0" w:line="360" w:lineRule="auto"/>
              <w:ind w:left="6000" w:right="0"/>
              <w:rPr>
                <w:rFonts w:asciiTheme="majorEastAsia" w:hAnsiTheme="majorEastAsia" w:eastAsiaTheme="majorEastAsia" w:cstheme="majorEastAsia"/>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04" w:type="dxa"/>
            <w:tcBorders>
              <w:lef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487"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156" w:type="dxa"/>
            <w:vAlign w:val="center"/>
          </w:tcPr>
          <w:p>
            <w:pPr>
              <w:keepNext w:val="0"/>
              <w:keepLines w:val="0"/>
              <w:suppressLineNumbers w:val="0"/>
              <w:spacing w:before="0" w:beforeAutospacing="0" w:after="0" w:afterAutospacing="0" w:line="360" w:lineRule="auto"/>
              <w:ind w:left="0" w:right="0"/>
              <w:jc w:val="center"/>
              <w:rPr>
                <w:rFonts w:asciiTheme="majorEastAsia" w:hAnsiTheme="majorEastAsia" w:eastAsiaTheme="majorEastAsia" w:cstheme="majorEastAsia"/>
                <w:b/>
                <w:color w:val="000000" w:themeColor="text1"/>
                <w:highlight w:val="none"/>
                <w14:textFill>
                  <w14:solidFill>
                    <w14:schemeClr w14:val="tx1"/>
                  </w14:solidFill>
                </w14:textFill>
              </w:rPr>
            </w:pPr>
          </w:p>
        </w:tc>
        <w:tc>
          <w:tcPr>
            <w:tcW w:w="1262"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1"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308" w:type="dxa"/>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769" w:type="dxa"/>
            <w:tcBorders>
              <w:right w:val="single" w:color="auto" w:sz="12" w:space="0"/>
            </w:tcBorders>
            <w:vAlign w:val="center"/>
          </w:tcPr>
          <w:p>
            <w:pPr>
              <w:keepNext w:val="0"/>
              <w:keepLines w:val="0"/>
              <w:suppressLineNumbers w:val="0"/>
              <w:spacing w:before="0" w:beforeAutospacing="0" w:after="0" w:afterAutospacing="0" w:line="360" w:lineRule="auto"/>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2" w:hRule="atLeast"/>
          <w:jc w:val="center"/>
        </w:trPr>
        <w:tc>
          <w:tcPr>
            <w:tcW w:w="9847" w:type="dxa"/>
            <w:gridSpan w:val="7"/>
            <w:tcBorders>
              <w:left w:val="single" w:color="auto" w:sz="12" w:space="0"/>
              <w:bottom w:val="single" w:color="auto" w:sz="12" w:space="0"/>
              <w:right w:val="single" w:color="auto" w:sz="12" w:space="0"/>
            </w:tcBorders>
            <w:vAlign w:val="center"/>
          </w:tcPr>
          <w:p>
            <w:pPr>
              <w:pStyle w:val="14"/>
              <w:keepNext w:val="0"/>
              <w:keepLines w:val="0"/>
              <w:suppressLineNumbers w:val="0"/>
              <w:spacing w:before="0" w:beforeAutospacing="0" w:after="0" w:afterAutospacing="0" w:line="360" w:lineRule="auto"/>
              <w:ind w:left="6000" w:right="0"/>
              <w:rPr>
                <w:rFonts w:asciiTheme="majorEastAsia" w:hAnsiTheme="majorEastAsia" w:eastAsiaTheme="majorEastAsia" w:cstheme="majorEastAsia"/>
                <w:color w:val="000000" w:themeColor="text1"/>
                <w:sz w:val="24"/>
                <w:szCs w:val="24"/>
                <w:highlight w:val="none"/>
                <w14:textFill>
                  <w14:solidFill>
                    <w14:schemeClr w14:val="tx1"/>
                  </w14:solidFill>
                </w14:textFill>
              </w:rPr>
            </w:pPr>
          </w:p>
        </w:tc>
      </w:tr>
    </w:tbl>
    <w:p>
      <w:pPr>
        <w:pStyle w:val="25"/>
        <w:ind w:firstLine="241"/>
        <w:rPr>
          <w:rFonts w:asciiTheme="majorEastAsia" w:hAnsiTheme="majorEastAsia" w:eastAsiaTheme="majorEastAsia" w:cstheme="majorEastAsia"/>
          <w:b/>
          <w:bCs/>
          <w:color w:val="000000" w:themeColor="text1"/>
          <w:highlight w:val="none"/>
          <w14:textFill>
            <w14:solidFill>
              <w14:schemeClr w14:val="tx1"/>
            </w14:solidFill>
          </w14:textFill>
        </w:rPr>
      </w:pPr>
    </w:p>
    <w:p>
      <w:pPr>
        <w:pStyle w:val="25"/>
        <w:ind w:firstLine="241"/>
        <w:rPr>
          <w:rFonts w:asciiTheme="majorEastAsia" w:hAnsiTheme="majorEastAsia" w:eastAsiaTheme="majorEastAsia" w:cstheme="majorEastAsia"/>
          <w:b/>
          <w:bCs/>
          <w:color w:val="000000" w:themeColor="text1"/>
          <w:highlight w:val="none"/>
          <w14:textFill>
            <w14:solidFill>
              <w14:schemeClr w14:val="tx1"/>
            </w14:solidFill>
          </w14:textFill>
        </w:rPr>
      </w:pPr>
    </w:p>
    <w:p>
      <w:pPr>
        <w:pStyle w:val="25"/>
        <w:ind w:firstLine="241"/>
        <w:rPr>
          <w:rFonts w:asciiTheme="majorEastAsia" w:hAnsiTheme="majorEastAsia" w:eastAsiaTheme="majorEastAsia" w:cstheme="majorEastAsia"/>
          <w:b/>
          <w:bCs/>
          <w:color w:val="000000" w:themeColor="text1"/>
          <w:highlight w:val="none"/>
          <w14:textFill>
            <w14:solidFill>
              <w14:schemeClr w14:val="tx1"/>
            </w14:solidFill>
          </w14:textFill>
        </w:rPr>
      </w:pPr>
    </w:p>
    <w:p>
      <w:pPr>
        <w:pStyle w:val="25"/>
        <w:ind w:firstLine="241"/>
        <w:rPr>
          <w:rFonts w:asciiTheme="majorEastAsia" w:hAnsiTheme="majorEastAsia" w:eastAsiaTheme="majorEastAsia" w:cstheme="majorEastAsia"/>
          <w:b w:val="0"/>
          <w:bCs w:val="0"/>
          <w:color w:val="000000" w:themeColor="text1"/>
          <w:highlight w:val="none"/>
          <w14:textFill>
            <w14:solidFill>
              <w14:schemeClr w14:val="tx1"/>
            </w14:solidFill>
          </w14:textFill>
        </w:rPr>
      </w:pPr>
      <w:r>
        <w:rPr>
          <w:rFonts w:hint="eastAsia" w:asciiTheme="majorEastAsia" w:hAnsiTheme="majorEastAsia" w:eastAsiaTheme="majorEastAsia" w:cstheme="majorEastAsia"/>
          <w:b w:val="0"/>
          <w:bCs w:val="0"/>
          <w:color w:val="000000" w:themeColor="text1"/>
          <w:highlight w:val="none"/>
          <w14:textFill>
            <w14:solidFill>
              <w14:schemeClr w14:val="tx1"/>
            </w14:solidFill>
          </w14:textFill>
        </w:rPr>
        <w:t>注：1、</w:t>
      </w:r>
      <w:r>
        <w:rPr>
          <w:rFonts w:hint="eastAsia" w:asciiTheme="majorEastAsia" w:hAnsiTheme="majorEastAsia" w:eastAsiaTheme="majorEastAsia" w:cstheme="majorEastAsia"/>
          <w:b w:val="0"/>
          <w:bCs w:val="0"/>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b w:val="0"/>
          <w:bCs w:val="0"/>
          <w:color w:val="000000" w:themeColor="text1"/>
          <w:highlight w:val="none"/>
          <w14:textFill>
            <w14:solidFill>
              <w14:schemeClr w14:val="tx1"/>
            </w14:solidFill>
          </w14:textFill>
        </w:rPr>
        <w:t>提供的上述人员须满足采购人需求中最低人员要求。</w:t>
      </w:r>
    </w:p>
    <w:p>
      <w:pPr>
        <w:pStyle w:val="25"/>
        <w:ind w:firstLine="480" w:firstLineChars="200"/>
        <w:rPr>
          <w:rFonts w:asciiTheme="majorEastAsia" w:hAnsiTheme="majorEastAsia" w:eastAsiaTheme="majorEastAsia" w:cstheme="majorEastAsia"/>
          <w:b w:val="0"/>
          <w:bCs w:val="0"/>
          <w:color w:val="000000" w:themeColor="text1"/>
          <w:highlight w:val="none"/>
          <w14:textFill>
            <w14:solidFill>
              <w14:schemeClr w14:val="tx1"/>
            </w14:solidFill>
          </w14:textFill>
        </w:rPr>
      </w:pPr>
      <w:r>
        <w:rPr>
          <w:rFonts w:hint="eastAsia" w:asciiTheme="majorEastAsia" w:hAnsiTheme="majorEastAsia" w:eastAsiaTheme="majorEastAsia" w:cstheme="majorEastAsia"/>
          <w:b w:val="0"/>
          <w:bCs w:val="0"/>
          <w:color w:val="000000" w:themeColor="text1"/>
          <w:highlight w:val="none"/>
          <w14:textFill>
            <w14:solidFill>
              <w14:schemeClr w14:val="tx1"/>
            </w14:solidFill>
          </w14:textFill>
        </w:rPr>
        <w:t>2、未经采购人同意不得随意更换成员名单。</w:t>
      </w:r>
    </w:p>
    <w:p>
      <w:pPr>
        <w:spacing w:line="300" w:lineRule="auto"/>
        <w:ind w:firstLine="480" w:firstLineChars="200"/>
        <w:rPr>
          <w:rFonts w:hint="eastAsia" w:asciiTheme="majorEastAsia" w:hAnsiTheme="majorEastAsia" w:eastAsiaTheme="majorEastAsia" w:cstheme="majorEastAsia"/>
          <w:b w:val="0"/>
          <w:bCs w:val="0"/>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b w:val="0"/>
          <w:bCs w:val="0"/>
          <w:color w:val="000000" w:themeColor="text1"/>
          <w:highlight w:val="none"/>
          <w:lang w:val="en-US" w:eastAsia="zh-CN"/>
          <w14:textFill>
            <w14:solidFill>
              <w14:schemeClr w14:val="tx1"/>
            </w14:solidFill>
          </w14:textFill>
        </w:rPr>
        <w:t>3</w:t>
      </w:r>
      <w:r>
        <w:rPr>
          <w:rFonts w:hint="eastAsia" w:asciiTheme="majorEastAsia" w:hAnsiTheme="majorEastAsia" w:eastAsiaTheme="majorEastAsia" w:cstheme="majorEastAsia"/>
          <w:b w:val="0"/>
          <w:bCs w:val="0"/>
          <w:color w:val="000000" w:themeColor="text1"/>
          <w:highlight w:val="none"/>
          <w14:textFill>
            <w14:solidFill>
              <w14:schemeClr w14:val="tx1"/>
            </w14:solidFill>
          </w14:textFill>
        </w:rPr>
        <w:t>、</w:t>
      </w:r>
      <w:r>
        <w:rPr>
          <w:rFonts w:hint="eastAsia" w:asciiTheme="majorEastAsia" w:hAnsiTheme="majorEastAsia" w:eastAsiaTheme="majorEastAsia" w:cstheme="majorEastAsia"/>
          <w:b w:val="0"/>
          <w:bCs w:val="0"/>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b w:val="0"/>
          <w:bCs w:val="0"/>
          <w:color w:val="000000" w:themeColor="text1"/>
          <w:highlight w:val="none"/>
          <w14:textFill>
            <w14:solidFill>
              <w14:schemeClr w14:val="tx1"/>
            </w14:solidFill>
          </w14:textFill>
        </w:rPr>
        <w:t>在</w:t>
      </w:r>
      <w:r>
        <w:rPr>
          <w:rFonts w:hint="eastAsia" w:asciiTheme="majorEastAsia" w:hAnsiTheme="majorEastAsia" w:eastAsiaTheme="majorEastAsia" w:cstheme="majorEastAsia"/>
          <w:b w:val="0"/>
          <w:bCs w:val="0"/>
          <w:color w:val="000000" w:themeColor="text1"/>
          <w:highlight w:val="none"/>
          <w:lang w:eastAsia="zh-CN"/>
          <w14:textFill>
            <w14:solidFill>
              <w14:schemeClr w14:val="tx1"/>
            </w14:solidFill>
          </w14:textFill>
        </w:rPr>
        <w:t>响应文件</w:t>
      </w:r>
      <w:r>
        <w:rPr>
          <w:rFonts w:hint="eastAsia" w:asciiTheme="majorEastAsia" w:hAnsiTheme="majorEastAsia" w:eastAsiaTheme="majorEastAsia" w:cstheme="majorEastAsia"/>
          <w:b w:val="0"/>
          <w:bCs w:val="0"/>
          <w:color w:val="000000" w:themeColor="text1"/>
          <w:highlight w:val="none"/>
          <w14:textFill>
            <w14:solidFill>
              <w14:schemeClr w14:val="tx1"/>
            </w14:solidFill>
          </w14:textFill>
        </w:rPr>
        <w:t>中应提供上述项目成员的相关执业资格证书</w:t>
      </w:r>
      <w:r>
        <w:rPr>
          <w:rFonts w:hint="default" w:asciiTheme="majorEastAsia" w:hAnsiTheme="majorEastAsia" w:eastAsiaTheme="majorEastAsia" w:cstheme="majorEastAsia"/>
          <w:b w:val="0"/>
          <w:bCs w:val="0"/>
          <w:color w:val="000000" w:themeColor="text1"/>
          <w:highlight w:val="none"/>
          <w14:textFill>
            <w14:solidFill>
              <w14:schemeClr w14:val="tx1"/>
            </w14:solidFill>
          </w14:textFill>
        </w:rPr>
        <w:t>，以及</w:t>
      </w:r>
      <w:r>
        <w:rPr>
          <w:rFonts w:hint="eastAsia" w:asciiTheme="majorEastAsia" w:hAnsiTheme="majorEastAsia" w:eastAsiaTheme="majorEastAsia" w:cstheme="majorEastAsia"/>
          <w:b w:val="0"/>
          <w:bCs w:val="0"/>
          <w:color w:val="000000" w:themeColor="text1"/>
          <w:highlight w:val="none"/>
          <w14:textFill>
            <w14:solidFill>
              <w14:schemeClr w14:val="tx1"/>
            </w14:solidFill>
          </w14:textFill>
        </w:rPr>
        <w:t>注册在</w:t>
      </w:r>
      <w:r>
        <w:rPr>
          <w:rFonts w:hint="eastAsia" w:asciiTheme="majorEastAsia" w:hAnsiTheme="majorEastAsia" w:eastAsiaTheme="majorEastAsia" w:cstheme="majorEastAsia"/>
          <w:b w:val="0"/>
          <w:bCs w:val="0"/>
          <w:color w:val="000000" w:themeColor="text1"/>
          <w:highlight w:val="none"/>
          <w:lang w:eastAsia="zh-CN"/>
          <w14:textFill>
            <w14:solidFill>
              <w14:schemeClr w14:val="tx1"/>
            </w14:solidFill>
          </w14:textFill>
        </w:rPr>
        <w:t>供应商</w:t>
      </w:r>
      <w:r>
        <w:rPr>
          <w:rFonts w:hint="eastAsia" w:asciiTheme="majorEastAsia" w:hAnsiTheme="majorEastAsia" w:eastAsiaTheme="majorEastAsia" w:cstheme="majorEastAsia"/>
          <w:b w:val="0"/>
          <w:bCs w:val="0"/>
          <w:color w:val="000000" w:themeColor="text1"/>
          <w:highlight w:val="none"/>
          <w14:textFill>
            <w14:solidFill>
              <w14:schemeClr w14:val="tx1"/>
            </w14:solidFill>
          </w14:textFill>
        </w:rPr>
        <w:t>单位的注册证书复印件</w:t>
      </w:r>
      <w:r>
        <w:rPr>
          <w:rFonts w:hint="default" w:asciiTheme="majorEastAsia" w:hAnsiTheme="majorEastAsia" w:eastAsiaTheme="majorEastAsia" w:cstheme="majorEastAsia"/>
          <w:b w:val="0"/>
          <w:bCs w:val="0"/>
          <w:color w:val="000000" w:themeColor="text1"/>
          <w:highlight w:val="none"/>
          <w14:textFill>
            <w14:solidFill>
              <w14:schemeClr w14:val="tx1"/>
            </w14:solidFill>
          </w14:textFill>
        </w:rPr>
        <w:t>，附带</w:t>
      </w:r>
      <w:r>
        <w:rPr>
          <w:rFonts w:hint="eastAsia" w:asciiTheme="majorEastAsia" w:hAnsiTheme="majorEastAsia" w:eastAsiaTheme="majorEastAsia" w:cstheme="majorEastAsia"/>
          <w:b w:val="0"/>
          <w:bCs w:val="0"/>
          <w:color w:val="000000" w:themeColor="text1"/>
          <w:highlight w:val="none"/>
          <w14:textFill>
            <w14:solidFill>
              <w14:schemeClr w14:val="tx1"/>
            </w14:solidFill>
          </w14:textFill>
        </w:rPr>
        <w:t>体现专业的证明材料（如相应的造价员证书或职称证书或学历证书等），如是高级职称提供证书复印件；复印件加盖公章</w:t>
      </w:r>
      <w:r>
        <w:rPr>
          <w:rFonts w:hint="eastAsia" w:asciiTheme="majorEastAsia" w:hAnsiTheme="majorEastAsia" w:eastAsiaTheme="majorEastAsia" w:cstheme="majorEastAsia"/>
          <w:b w:val="0"/>
          <w:bCs w:val="0"/>
          <w:color w:val="000000" w:themeColor="text1"/>
          <w:highlight w:val="none"/>
          <w:lang w:eastAsia="zh-CN"/>
          <w14:textFill>
            <w14:solidFill>
              <w14:schemeClr w14:val="tx1"/>
            </w14:solidFill>
          </w14:textFill>
        </w:rPr>
        <w:t>。</w:t>
      </w:r>
    </w:p>
    <w:p>
      <w:pPr>
        <w:pStyle w:val="13"/>
        <w:pageBreakBefore w:val="0"/>
        <w:kinsoku/>
        <w:overflowPunct/>
        <w:topLinePunct w:val="0"/>
        <w:bidi w:val="0"/>
        <w:snapToGrid/>
        <w:spacing w:beforeAutospacing="0" w:afterAutospacing="0"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4.项目组成员须在响应单位任职，在</w:t>
      </w:r>
      <w:r>
        <w:rPr>
          <w:rFonts w:hint="eastAsia" w:hAnsi="宋体" w:cs="宋体"/>
          <w:b w:val="0"/>
          <w:bCs w:val="0"/>
          <w:color w:val="auto"/>
          <w:sz w:val="24"/>
          <w:szCs w:val="24"/>
          <w:highlight w:val="none"/>
          <w:lang w:val="en-US" w:eastAsia="zh-CN"/>
        </w:rPr>
        <w:t>技术商务</w:t>
      </w:r>
      <w:r>
        <w:rPr>
          <w:rFonts w:hint="eastAsia" w:ascii="宋体" w:hAnsi="宋体" w:eastAsia="宋体" w:cs="宋体"/>
          <w:b w:val="0"/>
          <w:bCs w:val="0"/>
          <w:color w:val="auto"/>
          <w:sz w:val="24"/>
          <w:szCs w:val="24"/>
          <w:highlight w:val="none"/>
          <w:lang w:val="en-US" w:eastAsia="zh-CN"/>
        </w:rPr>
        <w:t>响应文件中须提供近二个月的在该单位任职的个人社保缴费清单，否则不予承认。（近二个月指的是从2024年07月01日至响应截止时止期间中任何一个连续二个月。</w:t>
      </w:r>
      <w:r>
        <w:rPr>
          <w:rFonts w:hint="eastAsia" w:hAnsi="宋体" w:cs="宋体"/>
          <w:b w:val="0"/>
          <w:bCs w:val="0"/>
          <w:color w:val="auto"/>
          <w:sz w:val="24"/>
          <w:szCs w:val="24"/>
          <w:highlight w:val="none"/>
          <w:lang w:val="en-US" w:eastAsia="zh-CN"/>
        </w:rPr>
        <w:t>）</w:t>
      </w:r>
    </w:p>
    <w:p>
      <w:pP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附件</w:t>
      </w:r>
      <w:r>
        <w:rPr>
          <w:rFonts w:hint="eastAsia" w:asciiTheme="majorEastAsia" w:hAnsiTheme="majorEastAsia" w:eastAsiaTheme="majorEastAsia" w:cstheme="majorEastAsia"/>
          <w:b/>
          <w:color w:val="000000" w:themeColor="text1"/>
          <w:highlight w:val="none"/>
          <w:lang w:val="en-US" w:eastAsia="zh-CN"/>
          <w14:textFill>
            <w14:solidFill>
              <w14:schemeClr w14:val="tx1"/>
            </w14:solidFill>
          </w14:textFill>
        </w:rPr>
        <w:t>10</w:t>
      </w:r>
      <w:r>
        <w:rPr>
          <w:rFonts w:hint="eastAsia" w:asciiTheme="majorEastAsia" w:hAnsiTheme="majorEastAsia" w:eastAsiaTheme="majorEastAsia" w:cstheme="majorEastAsia"/>
          <w:b/>
          <w:color w:val="000000" w:themeColor="text1"/>
          <w:highlight w:val="none"/>
          <w14:textFill>
            <w14:solidFill>
              <w14:schemeClr w14:val="tx1"/>
            </w14:solidFill>
          </w14:textFill>
        </w:rPr>
        <w:t>：报价承诺函</w:t>
      </w:r>
    </w:p>
    <w:p>
      <w:pP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lang w:eastAsia="zh-CN"/>
          <w14:textFill>
            <w14:solidFill>
              <w14:schemeClr w14:val="tx1"/>
            </w14:solidFill>
          </w14:textFill>
        </w:rPr>
        <w:t>兰溪市财政局</w:t>
      </w:r>
      <w:r>
        <w:rPr>
          <w:rFonts w:hint="eastAsia" w:asciiTheme="majorEastAsia" w:hAnsiTheme="majorEastAsia" w:eastAsiaTheme="majorEastAsia" w:cstheme="majorEastAsia"/>
          <w:b/>
          <w:color w:val="000000" w:themeColor="text1"/>
          <w:highlight w:val="none"/>
          <w14:textFill>
            <w14:solidFill>
              <w14:schemeClr w14:val="tx1"/>
            </w14:solidFill>
          </w14:textFill>
        </w:rPr>
        <w:t>：</w:t>
      </w:r>
    </w:p>
    <w:p>
      <w:pPr>
        <w:pStyle w:val="37"/>
        <w:spacing w:line="360" w:lineRule="auto"/>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我方承诺，服务费用结算按照下表分档计费：</w:t>
      </w:r>
    </w:p>
    <w:p>
      <w:pPr>
        <w:spacing w:line="320" w:lineRule="exact"/>
        <w:ind w:firstLine="465"/>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（1）费用计算标准</w:t>
      </w:r>
    </w:p>
    <w:tbl>
      <w:tblPr>
        <w:tblStyle w:val="26"/>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35"/>
        <w:gridCol w:w="5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435"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专业类型</w:t>
            </w:r>
          </w:p>
        </w:tc>
        <w:tc>
          <w:tcPr>
            <w:tcW w:w="5853"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计费依据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3435" w:type="dxa"/>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default" w:asciiTheme="majorEastAsia" w:hAnsiTheme="majorEastAsia" w:eastAsiaTheme="majorEastAsia" w:cstheme="majorEastAsia"/>
                <w:color w:val="000000" w:themeColor="text1"/>
                <w:sz w:val="21"/>
                <w:szCs w:val="21"/>
                <w:highlight w:val="none"/>
                <w14:textFill>
                  <w14:solidFill>
                    <w14:schemeClr w14:val="tx1"/>
                  </w14:solidFill>
                </w14:textFill>
              </w:rPr>
              <w:t>工程造价</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审核服务</w:t>
            </w:r>
          </w:p>
        </w:tc>
        <w:tc>
          <w:tcPr>
            <w:tcW w:w="5853" w:type="dxa"/>
            <w:vAlign w:val="center"/>
          </w:tcPr>
          <w:p>
            <w:pPr>
              <w:keepNext w:val="0"/>
              <w:keepLines w:val="0"/>
              <w:suppressLineNumbers w:val="0"/>
              <w:spacing w:before="0" w:beforeAutospacing="0" w:after="0" w:afterAutospacing="0"/>
              <w:ind w:left="0" w:right="0"/>
              <w:jc w:val="cente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default" w:asciiTheme="majorEastAsia" w:hAnsiTheme="majorEastAsia" w:eastAsiaTheme="majorEastAsia" w:cstheme="majorEastAsia"/>
                <w:color w:val="000000" w:themeColor="text1"/>
                <w:sz w:val="21"/>
                <w:szCs w:val="21"/>
                <w:highlight w:val="none"/>
                <w14:textFill>
                  <w14:solidFill>
                    <w14:schemeClr w14:val="tx1"/>
                  </w14:solidFill>
                </w14:textFill>
              </w:rPr>
              <w:t>参照</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《浙江省建设工程造价咨询服务基准收费标准》</w:t>
            </w:r>
          </w:p>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[浙价服(2009)84号]</w:t>
            </w:r>
          </w:p>
        </w:tc>
      </w:tr>
    </w:tbl>
    <w:p>
      <w:pPr>
        <w:spacing w:line="320" w:lineRule="exact"/>
        <w:ind w:firstLine="465"/>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 xml:space="preserve">（2）计算表                                    </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费率：‰</w:t>
      </w:r>
    </w:p>
    <w:tbl>
      <w:tblPr>
        <w:tblStyle w:val="26"/>
        <w:tblW w:w="9322" w:type="dxa"/>
        <w:tblInd w:w="0" w:type="dxa"/>
        <w:tblLayout w:type="fixed"/>
        <w:tblCellMar>
          <w:top w:w="0" w:type="dxa"/>
          <w:left w:w="108" w:type="dxa"/>
          <w:bottom w:w="0" w:type="dxa"/>
          <w:right w:w="108" w:type="dxa"/>
        </w:tblCellMar>
      </w:tblPr>
      <w:tblGrid>
        <w:gridCol w:w="391"/>
        <w:gridCol w:w="1823"/>
        <w:gridCol w:w="821"/>
        <w:gridCol w:w="910"/>
        <w:gridCol w:w="810"/>
        <w:gridCol w:w="1020"/>
        <w:gridCol w:w="900"/>
        <w:gridCol w:w="980"/>
        <w:gridCol w:w="800"/>
        <w:gridCol w:w="867"/>
      </w:tblGrid>
      <w:tr>
        <w:tblPrEx>
          <w:tblCellMar>
            <w:top w:w="0" w:type="dxa"/>
            <w:left w:w="108" w:type="dxa"/>
            <w:bottom w:w="0" w:type="dxa"/>
            <w:right w:w="108" w:type="dxa"/>
          </w:tblCellMar>
        </w:tblPrEx>
        <w:trPr>
          <w:trHeight w:val="745" w:hRule="atLeast"/>
        </w:trPr>
        <w:tc>
          <w:tcPr>
            <w:tcW w:w="391" w:type="dxa"/>
            <w:vMerge w:val="restart"/>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序号</w:t>
            </w:r>
          </w:p>
        </w:tc>
        <w:tc>
          <w:tcPr>
            <w:tcW w:w="1823" w:type="dxa"/>
            <w:vMerge w:val="restart"/>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咨询项目</w:t>
            </w:r>
          </w:p>
        </w:tc>
        <w:tc>
          <w:tcPr>
            <w:tcW w:w="821" w:type="dxa"/>
            <w:vMerge w:val="restart"/>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收费基数</w:t>
            </w:r>
          </w:p>
        </w:tc>
        <w:tc>
          <w:tcPr>
            <w:tcW w:w="6287" w:type="dxa"/>
            <w:gridSpan w:val="7"/>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分档累进计费标准</w:t>
            </w:r>
            <w:r>
              <w:rPr>
                <w:rFonts w:hint="eastAsia" w:ascii="宋体" w:hAnsi="宋体" w:eastAsia="宋体" w:cs="宋体"/>
                <w:sz w:val="24"/>
                <w:szCs w:val="24"/>
                <w:highlight w:val="none"/>
              </w:rPr>
              <w:t>（让利率不分档计算）</w:t>
            </w:r>
          </w:p>
        </w:tc>
      </w:tr>
      <w:tr>
        <w:tblPrEx>
          <w:tblCellMar>
            <w:top w:w="0" w:type="dxa"/>
            <w:left w:w="108" w:type="dxa"/>
            <w:bottom w:w="0" w:type="dxa"/>
            <w:right w:w="108" w:type="dxa"/>
          </w:tblCellMar>
        </w:tblPrEx>
        <w:tc>
          <w:tcPr>
            <w:tcW w:w="391" w:type="dxa"/>
            <w:vMerge w:val="continue"/>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1823" w:type="dxa"/>
            <w:vMerge w:val="continue"/>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821" w:type="dxa"/>
            <w:vMerge w:val="continue"/>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rPr>
                <w:rFonts w:asciiTheme="majorEastAsia" w:hAnsiTheme="majorEastAsia" w:eastAsiaTheme="majorEastAsia" w:cstheme="majorEastAsia"/>
                <w:color w:val="000000" w:themeColor="text1"/>
                <w:highlight w:val="none"/>
                <w14:textFill>
                  <w14:solidFill>
                    <w14:schemeClr w14:val="tx1"/>
                  </w14:solidFill>
                </w14:textFill>
              </w:rPr>
            </w:pPr>
          </w:p>
        </w:tc>
        <w:tc>
          <w:tcPr>
            <w:tcW w:w="91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100万元以内</w:t>
            </w:r>
          </w:p>
        </w:tc>
        <w:tc>
          <w:tcPr>
            <w:tcW w:w="81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101-500万元</w:t>
            </w:r>
          </w:p>
        </w:tc>
        <w:tc>
          <w:tcPr>
            <w:tcW w:w="102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501—1000万元</w:t>
            </w:r>
          </w:p>
        </w:tc>
        <w:tc>
          <w:tcPr>
            <w:tcW w:w="90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1001—2000万元</w:t>
            </w:r>
          </w:p>
        </w:tc>
        <w:tc>
          <w:tcPr>
            <w:tcW w:w="98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2001—5000万元</w:t>
            </w:r>
          </w:p>
        </w:tc>
        <w:tc>
          <w:tcPr>
            <w:tcW w:w="80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5001-10000万元</w:t>
            </w:r>
          </w:p>
        </w:tc>
        <w:tc>
          <w:tcPr>
            <w:tcW w:w="867"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2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10000万元以上</w:t>
            </w:r>
          </w:p>
        </w:tc>
      </w:tr>
      <w:tr>
        <w:tblPrEx>
          <w:tblCellMar>
            <w:top w:w="0" w:type="dxa"/>
            <w:left w:w="108" w:type="dxa"/>
            <w:bottom w:w="0" w:type="dxa"/>
            <w:right w:w="108" w:type="dxa"/>
          </w:tblCellMar>
        </w:tblPrEx>
        <w:tc>
          <w:tcPr>
            <w:tcW w:w="391"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w:t>
            </w:r>
          </w:p>
        </w:tc>
        <w:tc>
          <w:tcPr>
            <w:tcW w:w="1823"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概算审核</w:t>
            </w:r>
          </w:p>
        </w:tc>
        <w:tc>
          <w:tcPr>
            <w:tcW w:w="821"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t>送审金额</w:t>
            </w:r>
          </w:p>
        </w:tc>
        <w:tc>
          <w:tcPr>
            <w:tcW w:w="91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hint="default"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1.7</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×60%</w:t>
            </w:r>
          </w:p>
        </w:tc>
        <w:tc>
          <w:tcPr>
            <w:tcW w:w="81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1.5</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×60%</w:t>
            </w:r>
          </w:p>
        </w:tc>
        <w:tc>
          <w:tcPr>
            <w:tcW w:w="102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1.3</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×60%</w:t>
            </w:r>
          </w:p>
        </w:tc>
        <w:tc>
          <w:tcPr>
            <w:tcW w:w="90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1.1</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×60%</w:t>
            </w:r>
          </w:p>
        </w:tc>
        <w:tc>
          <w:tcPr>
            <w:tcW w:w="98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1.0</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×50%</w:t>
            </w:r>
          </w:p>
        </w:tc>
        <w:tc>
          <w:tcPr>
            <w:tcW w:w="80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0.9</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×40%</w:t>
            </w:r>
          </w:p>
        </w:tc>
        <w:tc>
          <w:tcPr>
            <w:tcW w:w="867"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0.8</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×40%</w:t>
            </w:r>
          </w:p>
        </w:tc>
      </w:tr>
      <w:tr>
        <w:tblPrEx>
          <w:tblCellMar>
            <w:top w:w="0" w:type="dxa"/>
            <w:left w:w="108" w:type="dxa"/>
            <w:bottom w:w="0" w:type="dxa"/>
            <w:right w:w="108" w:type="dxa"/>
          </w:tblCellMar>
        </w:tblPrEx>
        <w:tc>
          <w:tcPr>
            <w:tcW w:w="391"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5</w:t>
            </w:r>
          </w:p>
        </w:tc>
        <w:tc>
          <w:tcPr>
            <w:tcW w:w="1823"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工程量清单及预算、招标控制价的编制或审核</w:t>
            </w:r>
          </w:p>
        </w:tc>
        <w:tc>
          <w:tcPr>
            <w:tcW w:w="821"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t>审定金额</w:t>
            </w:r>
          </w:p>
        </w:tc>
        <w:tc>
          <w:tcPr>
            <w:tcW w:w="91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3.6</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×70%</w:t>
            </w:r>
          </w:p>
        </w:tc>
        <w:tc>
          <w:tcPr>
            <w:tcW w:w="81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3.3</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×70%</w:t>
            </w:r>
          </w:p>
        </w:tc>
        <w:tc>
          <w:tcPr>
            <w:tcW w:w="102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3</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×60%</w:t>
            </w:r>
          </w:p>
        </w:tc>
        <w:tc>
          <w:tcPr>
            <w:tcW w:w="90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2.7</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×50%</w:t>
            </w:r>
          </w:p>
        </w:tc>
        <w:tc>
          <w:tcPr>
            <w:tcW w:w="98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2.4</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×50%</w:t>
            </w:r>
          </w:p>
        </w:tc>
        <w:tc>
          <w:tcPr>
            <w:tcW w:w="80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2.1</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×40%</w:t>
            </w:r>
          </w:p>
        </w:tc>
        <w:tc>
          <w:tcPr>
            <w:tcW w:w="867"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1.8</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×40%</w:t>
            </w:r>
          </w:p>
        </w:tc>
      </w:tr>
      <w:tr>
        <w:tblPrEx>
          <w:tblCellMar>
            <w:top w:w="0" w:type="dxa"/>
            <w:left w:w="108" w:type="dxa"/>
            <w:bottom w:w="0" w:type="dxa"/>
            <w:right w:w="108" w:type="dxa"/>
          </w:tblCellMar>
        </w:tblPrEx>
        <w:tc>
          <w:tcPr>
            <w:tcW w:w="391"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7</w:t>
            </w:r>
          </w:p>
        </w:tc>
        <w:tc>
          <w:tcPr>
            <w:tcW w:w="1823"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结算审核</w:t>
            </w:r>
          </w:p>
        </w:tc>
        <w:tc>
          <w:tcPr>
            <w:tcW w:w="821"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ind w:left="0" w:right="0"/>
              <w:jc w:val="cente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t>送审金额</w:t>
            </w:r>
          </w:p>
        </w:tc>
        <w:tc>
          <w:tcPr>
            <w:tcW w:w="91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hint="default" w:asciiTheme="majorEastAsia" w:hAnsiTheme="majorEastAsia" w:eastAsiaTheme="majorEastAsia" w:cstheme="majorEastAsia"/>
                <w:color w:val="000000" w:themeColor="text1"/>
                <w:sz w:val="21"/>
                <w:szCs w:val="21"/>
                <w:highlight w:val="none"/>
                <w:lang w:val="en"/>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w:t>
            </w:r>
            <w:r>
              <w:rPr>
                <w:rFonts w:hint="default" w:asciiTheme="majorEastAsia" w:hAnsiTheme="majorEastAsia" w:eastAsiaTheme="majorEastAsia" w:cstheme="majorEastAsia"/>
                <w:color w:val="000000" w:themeColor="text1"/>
                <w:sz w:val="21"/>
                <w:szCs w:val="21"/>
                <w:highlight w:val="none"/>
                <w:lang w:val="en"/>
                <w14:textFill>
                  <w14:solidFill>
                    <w14:schemeClr w14:val="tx1"/>
                  </w14:solidFill>
                </w14:textFill>
              </w:rPr>
              <w:t>8</w:t>
            </w:r>
          </w:p>
        </w:tc>
        <w:tc>
          <w:tcPr>
            <w:tcW w:w="81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w:t>
            </w:r>
            <w:r>
              <w:rPr>
                <w:rFonts w:hint="default" w:asciiTheme="majorEastAsia" w:hAnsiTheme="majorEastAsia" w:eastAsiaTheme="majorEastAsia" w:cstheme="majorEastAsia"/>
                <w:color w:val="000000" w:themeColor="text1"/>
                <w:sz w:val="21"/>
                <w:szCs w:val="21"/>
                <w:highlight w:val="none"/>
                <w:lang w:val="en"/>
                <w14:textFill>
                  <w14:solidFill>
                    <w14:schemeClr w14:val="tx1"/>
                  </w14:solidFill>
                </w14:textFill>
              </w:rPr>
              <w:t>5</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×90%</w:t>
            </w:r>
          </w:p>
        </w:tc>
        <w:tc>
          <w:tcPr>
            <w:tcW w:w="102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default" w:asciiTheme="majorEastAsia" w:hAnsiTheme="majorEastAsia" w:eastAsiaTheme="majorEastAsia" w:cstheme="majorEastAsia"/>
                <w:color w:val="000000" w:themeColor="text1"/>
                <w:sz w:val="21"/>
                <w:szCs w:val="21"/>
                <w:highlight w:val="none"/>
                <w:lang w:val="en"/>
                <w14:textFill>
                  <w14:solidFill>
                    <w14:schemeClr w14:val="tx1"/>
                  </w14:solidFill>
                </w14:textFill>
              </w:rPr>
              <w:t>2.2</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×80%</w:t>
            </w:r>
          </w:p>
        </w:tc>
        <w:tc>
          <w:tcPr>
            <w:tcW w:w="90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default" w:asciiTheme="majorEastAsia" w:hAnsiTheme="majorEastAsia" w:eastAsiaTheme="majorEastAsia" w:cstheme="majorEastAsia"/>
                <w:color w:val="000000" w:themeColor="text1"/>
                <w:sz w:val="21"/>
                <w:szCs w:val="21"/>
                <w:highlight w:val="none"/>
                <w:lang w:val="en"/>
                <w14:textFill>
                  <w14:solidFill>
                    <w14:schemeClr w14:val="tx1"/>
                  </w14:solidFill>
                </w14:textFill>
              </w:rPr>
              <w:t>1.9</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×70%</w:t>
            </w:r>
          </w:p>
        </w:tc>
        <w:tc>
          <w:tcPr>
            <w:tcW w:w="98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default" w:asciiTheme="majorEastAsia" w:hAnsiTheme="majorEastAsia" w:eastAsiaTheme="majorEastAsia" w:cstheme="majorEastAsia"/>
                <w:color w:val="000000" w:themeColor="text1"/>
                <w:sz w:val="21"/>
                <w:szCs w:val="21"/>
                <w:highlight w:val="none"/>
                <w:lang w:val="en"/>
                <w14:textFill>
                  <w14:solidFill>
                    <w14:schemeClr w14:val="tx1"/>
                  </w14:solidFill>
                </w14:textFill>
              </w:rPr>
              <w:t>1.6</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×60%</w:t>
            </w:r>
          </w:p>
        </w:tc>
        <w:tc>
          <w:tcPr>
            <w:tcW w:w="800"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default" w:asciiTheme="majorEastAsia" w:hAnsiTheme="majorEastAsia" w:eastAsiaTheme="majorEastAsia" w:cstheme="majorEastAsia"/>
                <w:color w:val="000000" w:themeColor="text1"/>
                <w:sz w:val="21"/>
                <w:szCs w:val="21"/>
                <w:highlight w:val="none"/>
                <w:lang w:val="en"/>
                <w14:textFill>
                  <w14:solidFill>
                    <w14:schemeClr w14:val="tx1"/>
                  </w14:solidFill>
                </w14:textFill>
              </w:rPr>
              <w:t>1.3</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×50%</w:t>
            </w:r>
          </w:p>
        </w:tc>
        <w:tc>
          <w:tcPr>
            <w:tcW w:w="867" w:type="dxa"/>
            <w:tcBorders>
              <w:top w:val="inset" w:color="auto" w:sz="6" w:space="0"/>
              <w:left w:val="inset" w:color="auto" w:sz="6" w:space="0"/>
              <w:bottom w:val="inset" w:color="auto" w:sz="6" w:space="0"/>
              <w:right w:val="inset" w:color="auto" w:sz="6" w:space="0"/>
            </w:tcBorders>
            <w:vAlign w:val="center"/>
          </w:tcPr>
          <w:p>
            <w:pPr>
              <w:keepNext w:val="0"/>
              <w:keepLines w:val="0"/>
              <w:suppressLineNumbers w:val="0"/>
              <w:spacing w:before="0" w:beforeAutospacing="0" w:after="0" w:afterAutospacing="0" w:line="440" w:lineRule="exact"/>
              <w:ind w:left="0" w:right="0"/>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default" w:asciiTheme="majorEastAsia" w:hAnsiTheme="majorEastAsia" w:eastAsiaTheme="majorEastAsia" w:cstheme="majorEastAsia"/>
                <w:color w:val="000000" w:themeColor="text1"/>
                <w:sz w:val="21"/>
                <w:szCs w:val="21"/>
                <w:highlight w:val="none"/>
                <w:lang w:val="en"/>
                <w14:textFill>
                  <w14:solidFill>
                    <w14:schemeClr w14:val="tx1"/>
                  </w14:solidFill>
                </w14:textFill>
              </w:rPr>
              <w:t>1.0</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×40%</w:t>
            </w:r>
          </w:p>
        </w:tc>
      </w:tr>
    </w:tbl>
    <w:p>
      <w:pP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（3）服务费用结算</w:t>
      </w:r>
    </w:p>
    <w:p>
      <w:pPr>
        <w:autoSpaceDE w:val="0"/>
        <w:autoSpaceDN w:val="0"/>
        <w:spacing w:line="300" w:lineRule="auto"/>
        <w:ind w:firstLine="480" w:firstLineChars="200"/>
        <w:textAlignment w:val="bottom"/>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在采购人确定</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入围供应商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按时、按质、按量完成组织审核业务后支付服务费用。 </w:t>
      </w:r>
    </w:p>
    <w:p>
      <w:pPr>
        <w:pStyle w:val="22"/>
        <w:ind w:left="0" w:firstLine="480" w:firstLineChars="200"/>
        <w:rPr>
          <w:rFonts w:asciiTheme="majorEastAsia" w:hAnsiTheme="majorEastAsia" w:eastAsiaTheme="majorEastAsia" w:cstheme="majorEastAsia"/>
          <w:bCs/>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Cs/>
          <w:color w:val="000000" w:themeColor="text1"/>
          <w:sz w:val="24"/>
          <w:szCs w:val="24"/>
          <w:highlight w:val="none"/>
          <w14:textFill>
            <w14:solidFill>
              <w14:schemeClr w14:val="tx1"/>
            </w14:solidFill>
          </w14:textFill>
        </w:rPr>
        <w:t>概算以送审金额扣除土地征收和专用设备设施（含两笔费用相应的预备费）为基数；</w:t>
      </w:r>
    </w:p>
    <w:p>
      <w:pPr>
        <w:pStyle w:val="22"/>
        <w:ind w:left="0" w:firstLine="480" w:firstLineChars="200"/>
        <w:rPr>
          <w:rFonts w:asciiTheme="majorEastAsia" w:hAnsiTheme="majorEastAsia" w:eastAsiaTheme="majorEastAsia" w:cstheme="majorEastAsia"/>
          <w:bCs/>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Cs/>
          <w:color w:val="000000" w:themeColor="text1"/>
          <w:sz w:val="24"/>
          <w:szCs w:val="24"/>
          <w:highlight w:val="none"/>
          <w14:textFill>
            <w14:solidFill>
              <w14:schemeClr w14:val="tx1"/>
            </w14:solidFill>
          </w14:textFill>
        </w:rPr>
        <w:t>竣工结算以送审金额为基数；追加费由送审的施工单位承担。</w:t>
      </w:r>
    </w:p>
    <w:p>
      <w:pPr>
        <w:pStyle w:val="22"/>
        <w:ind w:left="0" w:firstLine="480" w:firstLineChars="200"/>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招标控制价以送审金额（含暂列金额）为基数；</w:t>
      </w:r>
    </w:p>
    <w:p>
      <w:pPr>
        <w:pStyle w:val="25"/>
        <w:ind w:left="0" w:leftChars="0" w:firstLine="240" w:firstLineChars="1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②</w:t>
      </w:r>
      <w:r>
        <w:rPr>
          <w:rFonts w:hint="eastAsia" w:asciiTheme="majorEastAsia" w:hAnsiTheme="majorEastAsia" w:eastAsiaTheme="majorEastAsia" w:cstheme="majorEastAsia"/>
          <w:b/>
          <w:color w:val="000000" w:themeColor="text1"/>
          <w:highlight w:val="none"/>
          <w:lang w:eastAsia="zh-CN"/>
          <w14:textFill>
            <w14:solidFill>
              <w14:schemeClr w14:val="tx1"/>
            </w14:solidFill>
          </w14:textFill>
        </w:rPr>
        <w:t>响应</w:t>
      </w:r>
      <w:r>
        <w:rPr>
          <w:rFonts w:hint="eastAsia" w:asciiTheme="majorEastAsia" w:hAnsiTheme="majorEastAsia" w:eastAsiaTheme="majorEastAsia" w:cstheme="majorEastAsia"/>
          <w:b/>
          <w:color w:val="000000" w:themeColor="text1"/>
          <w:highlight w:val="none"/>
          <w14:textFill>
            <w14:solidFill>
              <w14:schemeClr w14:val="tx1"/>
            </w14:solidFill>
          </w14:textFill>
        </w:rPr>
        <w:t>报价包括项目实施所需的人工费、服务费、企业管理费、利润、税金等一切费用。</w:t>
      </w:r>
    </w:p>
    <w:p>
      <w:pPr>
        <w:snapToGrid w:val="0"/>
        <w:spacing w:beforeLines="50" w:line="360" w:lineRule="auto"/>
        <w:jc w:val="center"/>
        <w:rPr>
          <w:rFonts w:asciiTheme="majorEastAsia" w:hAnsiTheme="majorEastAsia" w:eastAsiaTheme="majorEastAsia" w:cstheme="majorEastAsia"/>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法定代表人或</w:t>
      </w:r>
      <w:r>
        <w:rPr>
          <w:rFonts w:hint="eastAsia" w:asciiTheme="majorEastAsia" w:hAnsiTheme="majorEastAsia" w:eastAsiaTheme="majorEastAsia" w:cstheme="majorEastAsia"/>
          <w:color w:val="000000" w:themeColor="text1"/>
          <w:highlight w:val="none"/>
          <w14:textFill>
            <w14:solidFill>
              <w14:schemeClr w14:val="tx1"/>
            </w14:solidFill>
          </w14:textFill>
        </w:rPr>
        <w:t>被授权人签字（或盖章）：</w:t>
      </w:r>
    </w:p>
    <w:p>
      <w:pPr>
        <w:pStyle w:val="35"/>
        <w:spacing w:line="360" w:lineRule="auto"/>
        <w:jc w:val="center"/>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 xml:space="preserve">             供应商名称（公章）：</w:t>
      </w:r>
    </w:p>
    <w:p>
      <w:pPr>
        <w:pStyle w:val="35"/>
        <w:spacing w:line="360" w:lineRule="auto"/>
        <w:jc w:val="cente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 xml:space="preserve">          日期： 年 月 日</w:t>
      </w:r>
    </w:p>
    <w:p>
      <w:pPr>
        <w:spacing w:line="360" w:lineRule="auto"/>
        <w:jc w:val="left"/>
        <w:rPr>
          <w:rFonts w:hint="eastAsia" w:asciiTheme="majorEastAsia" w:hAnsiTheme="majorEastAsia" w:eastAsiaTheme="majorEastAsia" w:cstheme="majorEastAsia"/>
          <w:b/>
          <w:bCs/>
          <w:color w:val="000000" w:themeColor="text1"/>
          <w:highlight w:val="none"/>
          <w14:textFill>
            <w14:solidFill>
              <w14:schemeClr w14:val="tx1"/>
            </w14:solidFill>
          </w14:textFill>
        </w:rPr>
      </w:pPr>
    </w:p>
    <w:p>
      <w:pPr>
        <w:spacing w:line="360" w:lineRule="auto"/>
        <w:jc w:val="left"/>
        <w:rPr>
          <w:rFonts w:hint="eastAsia" w:asciiTheme="majorEastAsia" w:hAnsiTheme="majorEastAsia" w:eastAsiaTheme="majorEastAsia" w:cstheme="majorEastAsia"/>
          <w:b/>
          <w:bCs/>
          <w:color w:val="000000" w:themeColor="text1"/>
          <w:highlight w:val="none"/>
          <w14:textFill>
            <w14:solidFill>
              <w14:schemeClr w14:val="tx1"/>
            </w14:solidFill>
          </w14:textFill>
        </w:rPr>
      </w:pPr>
    </w:p>
    <w:p>
      <w:pPr>
        <w:spacing w:line="360" w:lineRule="auto"/>
        <w:jc w:val="left"/>
        <w:rPr>
          <w:rFonts w:hint="eastAsia" w:asciiTheme="majorEastAsia" w:hAnsiTheme="majorEastAsia" w:eastAsiaTheme="majorEastAsia" w:cstheme="majorEastAsia"/>
          <w:b/>
          <w:bCs/>
          <w:color w:val="000000" w:themeColor="text1"/>
          <w:highlight w:val="none"/>
          <w14:textFill>
            <w14:solidFill>
              <w14:schemeClr w14:val="tx1"/>
            </w14:solidFill>
          </w14:textFill>
        </w:rPr>
      </w:pPr>
    </w:p>
    <w:p>
      <w:pPr>
        <w:spacing w:line="360" w:lineRule="auto"/>
        <w:jc w:val="left"/>
        <w:rPr>
          <w:rFonts w:hint="eastAsia" w:asciiTheme="majorEastAsia" w:hAnsiTheme="majorEastAsia" w:eastAsiaTheme="majorEastAsia" w:cstheme="majorEastAsia"/>
          <w:b/>
          <w:bCs/>
          <w:color w:val="000000" w:themeColor="text1"/>
          <w:highlight w:val="none"/>
          <w14:textFill>
            <w14:solidFill>
              <w14:schemeClr w14:val="tx1"/>
            </w14:solidFill>
          </w14:textFill>
        </w:rPr>
      </w:pPr>
    </w:p>
    <w:p>
      <w:pPr>
        <w:spacing w:line="360" w:lineRule="auto"/>
        <w:jc w:val="left"/>
        <w:rPr>
          <w:rFonts w:hint="eastAsia" w:asciiTheme="majorEastAsia" w:hAnsiTheme="majorEastAsia" w:eastAsiaTheme="majorEastAsia" w:cstheme="majorEastAsia"/>
          <w:b/>
          <w:bCs/>
          <w:color w:val="000000" w:themeColor="text1"/>
          <w:highlight w:val="none"/>
          <w14:textFill>
            <w14:solidFill>
              <w14:schemeClr w14:val="tx1"/>
            </w14:solidFill>
          </w14:textFill>
        </w:rPr>
      </w:pPr>
    </w:p>
    <w:p>
      <w:pPr>
        <w:spacing w:line="360" w:lineRule="auto"/>
        <w:jc w:val="left"/>
        <w:rPr>
          <w:rFonts w:hint="eastAsia" w:asciiTheme="majorEastAsia" w:hAnsiTheme="majorEastAsia" w:eastAsiaTheme="majorEastAsia" w:cstheme="majorEastAsia"/>
          <w:b/>
          <w:bCs/>
          <w:color w:val="000000" w:themeColor="text1"/>
          <w:highlight w:val="none"/>
          <w14:textFill>
            <w14:solidFill>
              <w14:schemeClr w14:val="tx1"/>
            </w14:solidFill>
          </w14:textFill>
        </w:rPr>
      </w:pPr>
    </w:p>
    <w:p>
      <w:pPr>
        <w:spacing w:line="360" w:lineRule="auto"/>
        <w:jc w:val="left"/>
        <w:rPr>
          <w:rFonts w:hint="eastAsia" w:asciiTheme="majorEastAsia" w:hAnsiTheme="majorEastAsia" w:eastAsiaTheme="majorEastAsia" w:cstheme="majorEastAsia"/>
          <w:b/>
          <w:bCs/>
          <w:color w:val="000000" w:themeColor="text1"/>
          <w:highlight w:val="none"/>
          <w14:textFill>
            <w14:solidFill>
              <w14:schemeClr w14:val="tx1"/>
            </w14:solidFill>
          </w14:textFill>
        </w:rPr>
      </w:pPr>
    </w:p>
    <w:p>
      <w:pPr>
        <w:spacing w:line="360" w:lineRule="auto"/>
        <w:jc w:val="left"/>
        <w:rPr>
          <w:rFonts w:hint="eastAsia"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附件1</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1</w:t>
      </w:r>
      <w:r>
        <w:rPr>
          <w:rFonts w:hint="eastAsia" w:asciiTheme="majorEastAsia" w:hAnsiTheme="majorEastAsia" w:eastAsiaTheme="majorEastAsia" w:cstheme="majorEastAsia"/>
          <w:b/>
          <w:bCs/>
          <w:color w:val="000000" w:themeColor="text1"/>
          <w:highlight w:val="none"/>
          <w14:textFill>
            <w14:solidFill>
              <w14:schemeClr w14:val="tx1"/>
            </w14:solidFill>
          </w14:textFill>
        </w:rPr>
        <w:t>：</w:t>
      </w:r>
    </w:p>
    <w:p>
      <w:pPr>
        <w:spacing w:line="360" w:lineRule="auto"/>
        <w:jc w:val="center"/>
        <w:rPr>
          <w:rFonts w:hint="eastAsia" w:ascii="宋体" w:hAnsi="宋体" w:eastAsia="宋体" w:cs="Times New Roman"/>
          <w:sz w:val="21"/>
          <w:szCs w:val="21"/>
          <w:highlight w:val="none"/>
        </w:rPr>
      </w:pPr>
      <w:r>
        <w:rPr>
          <w:rFonts w:hint="eastAsia" w:ascii="宋体" w:hAnsi="宋体" w:eastAsia="宋体" w:cs="Times New Roman"/>
          <w:b/>
          <w:sz w:val="28"/>
          <w:szCs w:val="28"/>
          <w:highlight w:val="none"/>
        </w:rPr>
        <w:t>误差率承诺书</w:t>
      </w:r>
    </w:p>
    <w:p>
      <w:pPr>
        <w:spacing w:line="360" w:lineRule="auto"/>
        <w:rPr>
          <w:rFonts w:hint="eastAsia" w:ascii="宋体" w:hAnsi="宋体" w:eastAsia="宋体" w:cs="Times New Roman"/>
          <w:sz w:val="21"/>
          <w:szCs w:val="21"/>
          <w:highlight w:val="none"/>
        </w:rPr>
      </w:pPr>
      <w:r>
        <w:rPr>
          <w:rFonts w:hint="eastAsia" w:ascii="宋体" w:hAnsi="宋体" w:cs="Times New Roman"/>
          <w:sz w:val="21"/>
          <w:szCs w:val="21"/>
          <w:highlight w:val="none"/>
          <w:lang w:eastAsia="zh-CN"/>
        </w:rPr>
        <w:t>兰溪市财政局</w:t>
      </w:r>
      <w:r>
        <w:rPr>
          <w:rFonts w:hint="eastAsia" w:ascii="宋体" w:hAnsi="宋体" w:eastAsia="宋体" w:cs="Times New Roman"/>
          <w:sz w:val="21"/>
          <w:szCs w:val="21"/>
          <w:highlight w:val="none"/>
        </w:rPr>
        <w:t>：</w:t>
      </w:r>
    </w:p>
    <w:p>
      <w:pPr>
        <w:spacing w:line="360" w:lineRule="auto"/>
        <w:rPr>
          <w:rFonts w:hint="default" w:ascii="宋体" w:hAnsi="宋体" w:eastAsia="宋体" w:cs="Times New Roman"/>
          <w:sz w:val="21"/>
          <w:szCs w:val="21"/>
          <w:highlight w:val="none"/>
          <w:lang w:val="en-US" w:eastAsia="zh-CN"/>
        </w:rPr>
      </w:pPr>
      <w:r>
        <w:rPr>
          <w:rFonts w:hint="eastAsia" w:ascii="宋体" w:hAnsi="宋体" w:eastAsia="宋体" w:cs="Times New Roman"/>
          <w:sz w:val="21"/>
          <w:szCs w:val="21"/>
          <w:highlight w:val="none"/>
        </w:rPr>
        <w:t>我方承诺</w:t>
      </w:r>
      <w:r>
        <w:rPr>
          <w:rFonts w:hint="eastAsia" w:ascii="宋体" w:hAnsi="宋体" w:eastAsia="宋体" w:cs="Times New Roman"/>
          <w:sz w:val="21"/>
          <w:szCs w:val="21"/>
          <w:highlight w:val="none"/>
          <w:lang w:eastAsia="zh-CN"/>
        </w:rPr>
        <w:t>，</w:t>
      </w:r>
      <w:r>
        <w:rPr>
          <w:rFonts w:hint="eastAsia" w:ascii="宋体" w:hAnsi="宋体" w:eastAsia="宋体" w:cs="Times New Roman"/>
          <w:sz w:val="21"/>
          <w:szCs w:val="21"/>
          <w:highlight w:val="none"/>
          <w:lang w:val="en-US" w:eastAsia="zh-CN"/>
        </w:rPr>
        <w:t>承接项目误差率不超过以下约定。</w:t>
      </w:r>
    </w:p>
    <w:tbl>
      <w:tblPr>
        <w:tblStyle w:val="26"/>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81" w:hRule="atLeast"/>
          <w:jc w:val="center"/>
        </w:trPr>
        <w:tc>
          <w:tcPr>
            <w:tcW w:w="8522" w:type="dxa"/>
            <w:noWrap w:val="0"/>
            <w:vAlign w:val="center"/>
          </w:tcPr>
          <w:p>
            <w:pPr>
              <w:keepNext w:val="0"/>
              <w:keepLines w:val="0"/>
              <w:suppressLineNumbers w:val="0"/>
              <w:spacing w:before="0" w:beforeAutospacing="0" w:after="0" w:afterAutospacing="0" w:line="360" w:lineRule="auto"/>
              <w:ind w:left="0" w:right="0"/>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rPr>
                <w:rFonts w:hint="eastAsia" w:ascii="宋体" w:hAnsi="宋体" w:eastAsia="宋体" w:cs="Times New Roman"/>
                <w:kern w:val="0"/>
                <w:sz w:val="21"/>
                <w:szCs w:val="21"/>
                <w:highlight w:val="none"/>
              </w:rPr>
            </w:pPr>
            <w:r>
              <w:rPr>
                <w:rFonts w:hint="eastAsia" w:ascii="宋体" w:hAnsi="宋体" w:eastAsia="宋体" w:cs="Times New Roman"/>
                <w:kern w:val="0"/>
                <w:sz w:val="21"/>
                <w:szCs w:val="21"/>
                <w:highlight w:val="none"/>
              </w:rPr>
              <w:t>本公司承诺如下：</w:t>
            </w:r>
          </w:p>
          <w:p>
            <w:pPr>
              <w:keepNext w:val="0"/>
              <w:keepLines w:val="0"/>
              <w:suppressLineNumbers w:val="0"/>
              <w:spacing w:before="0" w:beforeAutospacing="0" w:after="0" w:afterAutospacing="0" w:line="360" w:lineRule="auto"/>
              <w:ind w:left="0" w:right="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结算审核</w:t>
            </w:r>
            <w:r>
              <w:rPr>
                <w:rFonts w:hint="eastAsia" w:ascii="宋体" w:hAnsi="宋体" w:eastAsia="宋体" w:cs="Times New Roman"/>
                <w:sz w:val="21"/>
                <w:szCs w:val="21"/>
                <w:highlight w:val="none"/>
                <w:lang w:eastAsia="zh-CN"/>
              </w:rPr>
              <w:t>、</w:t>
            </w:r>
            <w:r>
              <w:rPr>
                <w:rFonts w:hint="eastAsia" w:ascii="宋体" w:hAnsi="宋体" w:eastAsia="宋体" w:cs="Times New Roman"/>
                <w:sz w:val="21"/>
                <w:szCs w:val="21"/>
                <w:highlight w:val="none"/>
              </w:rPr>
              <w:t>工程预算或清单审核</w:t>
            </w:r>
            <w:r>
              <w:rPr>
                <w:rFonts w:hint="eastAsia" w:ascii="宋体" w:hAnsi="宋体" w:eastAsia="宋体" w:cs="Times New Roman"/>
                <w:sz w:val="21"/>
                <w:szCs w:val="21"/>
                <w:highlight w:val="none"/>
                <w:lang w:eastAsia="zh-CN"/>
              </w:rPr>
              <w:t>、</w:t>
            </w:r>
            <w:r>
              <w:rPr>
                <w:rFonts w:hint="eastAsia" w:ascii="宋体" w:hAnsi="宋体" w:eastAsia="宋体" w:cs="Times New Roman"/>
                <w:sz w:val="21"/>
                <w:szCs w:val="21"/>
                <w:highlight w:val="none"/>
              </w:rPr>
              <w:t>概（估）算审核审价质量</w:t>
            </w:r>
            <w:r>
              <w:rPr>
                <w:rFonts w:hint="eastAsia" w:ascii="宋体" w:hAnsi="宋体" w:eastAsia="宋体" w:cs="Times New Roman"/>
                <w:sz w:val="21"/>
                <w:szCs w:val="21"/>
                <w:highlight w:val="none"/>
                <w:lang w:val="en-US" w:eastAsia="zh-CN"/>
              </w:rPr>
              <w:t>的</w:t>
            </w:r>
            <w:r>
              <w:rPr>
                <w:rFonts w:hint="eastAsia" w:ascii="宋体" w:hAnsi="宋体" w:eastAsia="宋体" w:cs="Times New Roman"/>
                <w:sz w:val="21"/>
                <w:szCs w:val="21"/>
                <w:highlight w:val="none"/>
              </w:rPr>
              <w:t>误差率不大于</w:t>
            </w:r>
            <w:r>
              <w:rPr>
                <w:rFonts w:hint="eastAsia" w:ascii="宋体" w:hAnsi="宋体" w:eastAsia="宋体" w:cs="Times New Roman"/>
                <w:sz w:val="21"/>
                <w:szCs w:val="21"/>
                <w:highlight w:val="none"/>
                <w:lang w:val="en-US" w:eastAsia="zh-CN"/>
              </w:rPr>
              <w:t>2</w:t>
            </w:r>
            <w:r>
              <w:rPr>
                <w:rFonts w:hint="eastAsia" w:ascii="宋体" w:hAnsi="宋体" w:eastAsia="宋体" w:cs="Times New Roman"/>
                <w:sz w:val="21"/>
                <w:szCs w:val="21"/>
                <w:highlight w:val="none"/>
              </w:rPr>
              <w:t>%。</w:t>
            </w:r>
          </w:p>
          <w:p>
            <w:pPr>
              <w:keepNext w:val="0"/>
              <w:keepLines w:val="0"/>
              <w:suppressLineNumbers w:val="0"/>
              <w:spacing w:before="0" w:beforeAutospacing="0" w:after="0" w:afterAutospacing="0" w:line="360" w:lineRule="auto"/>
              <w:ind w:left="0" w:right="0"/>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tc>
      </w:tr>
    </w:tbl>
    <w:p>
      <w:pPr>
        <w:spacing w:line="360" w:lineRule="auto"/>
        <w:ind w:firstLine="630" w:firstLineChars="300"/>
        <w:rPr>
          <w:rFonts w:hint="eastAsia" w:ascii="宋体" w:hAnsi="宋体" w:eastAsia="宋体" w:cs="Times New Roman"/>
          <w:sz w:val="21"/>
          <w:szCs w:val="21"/>
          <w:highlight w:val="none"/>
        </w:rPr>
      </w:pPr>
    </w:p>
    <w:p>
      <w:pPr>
        <w:snapToGrid w:val="0"/>
        <w:spacing w:beforeLines="50" w:line="360" w:lineRule="auto"/>
        <w:jc w:val="center"/>
        <w:rPr>
          <w:rFonts w:asciiTheme="majorEastAsia" w:hAnsiTheme="majorEastAsia" w:eastAsiaTheme="majorEastAsia" w:cstheme="majorEastAsia"/>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法定代表人或</w:t>
      </w:r>
      <w:r>
        <w:rPr>
          <w:rFonts w:hint="eastAsia" w:asciiTheme="majorEastAsia" w:hAnsiTheme="majorEastAsia" w:eastAsiaTheme="majorEastAsia" w:cstheme="majorEastAsia"/>
          <w:color w:val="000000" w:themeColor="text1"/>
          <w:highlight w:val="none"/>
          <w14:textFill>
            <w14:solidFill>
              <w14:schemeClr w14:val="tx1"/>
            </w14:solidFill>
          </w14:textFill>
        </w:rPr>
        <w:t>被授权人签字（或盖章）：</w:t>
      </w:r>
    </w:p>
    <w:p>
      <w:pPr>
        <w:pStyle w:val="35"/>
        <w:spacing w:line="360" w:lineRule="auto"/>
        <w:jc w:val="center"/>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 xml:space="preserve">             供应商名称（公章）：</w:t>
      </w:r>
    </w:p>
    <w:p>
      <w:pPr>
        <w:pStyle w:val="35"/>
        <w:spacing w:line="360" w:lineRule="auto"/>
        <w:jc w:val="cente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 xml:space="preserve">          日期： 年 月 日</w:t>
      </w:r>
    </w:p>
    <w:p>
      <w:pPr>
        <w:pStyle w:val="35"/>
        <w:spacing w:line="360" w:lineRule="auto"/>
        <w:jc w:val="cente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p>
    <w:p>
      <w:pPr>
        <w:pStyle w:val="35"/>
        <w:spacing w:line="360" w:lineRule="auto"/>
        <w:jc w:val="left"/>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附件</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12</w:t>
      </w:r>
      <w:r>
        <w:rPr>
          <w:rFonts w:hint="eastAsia" w:asciiTheme="majorEastAsia" w:hAnsiTheme="majorEastAsia" w:eastAsiaTheme="majorEastAsia" w:cstheme="majorEastAsia"/>
          <w:b/>
          <w:bCs/>
          <w:color w:val="000000" w:themeColor="text1"/>
          <w:highlight w:val="none"/>
          <w14:textFill>
            <w14:solidFill>
              <w14:schemeClr w14:val="tx1"/>
            </w14:solidFill>
          </w14:textFill>
        </w:rPr>
        <w:t>：</w:t>
      </w:r>
    </w:p>
    <w:p>
      <w:pPr>
        <w:spacing w:line="360" w:lineRule="auto"/>
        <w:jc w:val="center"/>
        <w:rPr>
          <w:rFonts w:hint="eastAsia" w:ascii="宋体" w:hAnsi="宋体" w:eastAsia="宋体" w:cs="Times New Roman"/>
          <w:b/>
          <w:sz w:val="28"/>
          <w:szCs w:val="28"/>
          <w:highlight w:val="none"/>
        </w:rPr>
      </w:pPr>
      <w:r>
        <w:rPr>
          <w:rFonts w:hint="eastAsia" w:ascii="宋体" w:hAnsi="宋体" w:eastAsia="宋体" w:cs="Times New Roman"/>
          <w:b/>
          <w:sz w:val="28"/>
          <w:szCs w:val="28"/>
          <w:highlight w:val="none"/>
        </w:rPr>
        <w:t>审核时限承诺书</w:t>
      </w:r>
    </w:p>
    <w:p>
      <w:pPr>
        <w:spacing w:line="360" w:lineRule="auto"/>
        <w:rPr>
          <w:rFonts w:hint="eastAsia" w:ascii="宋体" w:hAnsi="宋体" w:eastAsia="宋体" w:cs="Times New Roman"/>
          <w:sz w:val="21"/>
          <w:szCs w:val="21"/>
          <w:highlight w:val="none"/>
        </w:rPr>
      </w:pPr>
      <w:r>
        <w:rPr>
          <w:rFonts w:hint="eastAsia" w:ascii="宋体" w:hAnsi="宋体" w:cs="Times New Roman"/>
          <w:sz w:val="21"/>
          <w:szCs w:val="21"/>
          <w:highlight w:val="none"/>
          <w:lang w:eastAsia="zh-CN"/>
        </w:rPr>
        <w:t>兰溪市财政局</w:t>
      </w:r>
      <w:r>
        <w:rPr>
          <w:rFonts w:hint="eastAsia" w:ascii="宋体" w:hAnsi="宋体" w:eastAsia="宋体" w:cs="Times New Roman"/>
          <w:sz w:val="21"/>
          <w:szCs w:val="21"/>
          <w:highlight w:val="none"/>
        </w:rPr>
        <w:t>：</w:t>
      </w:r>
    </w:p>
    <w:p>
      <w:pPr>
        <w:spacing w:line="360" w:lineRule="auto"/>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我方承诺</w:t>
      </w:r>
      <w:r>
        <w:rPr>
          <w:rFonts w:hint="eastAsia" w:ascii="宋体" w:hAnsi="宋体" w:eastAsia="宋体" w:cs="Times New Roman"/>
          <w:sz w:val="21"/>
          <w:szCs w:val="21"/>
          <w:highlight w:val="none"/>
          <w:lang w:eastAsia="zh-CN"/>
        </w:rPr>
        <w:t>，</w:t>
      </w:r>
      <w:r>
        <w:rPr>
          <w:rFonts w:hint="eastAsia" w:ascii="宋体" w:hAnsi="宋体" w:eastAsia="宋体" w:cs="Times New Roman"/>
          <w:sz w:val="21"/>
          <w:szCs w:val="21"/>
          <w:highlight w:val="none"/>
          <w:lang w:val="en-US" w:eastAsia="zh-CN"/>
        </w:rPr>
        <w:t>承接项目审核时限不超过以下约定。</w:t>
      </w:r>
    </w:p>
    <w:tbl>
      <w:tblPr>
        <w:tblStyle w:val="26"/>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81" w:hRule="atLeast"/>
        </w:trPr>
        <w:tc>
          <w:tcPr>
            <w:tcW w:w="8522" w:type="dxa"/>
            <w:noWrap w:val="0"/>
            <w:vAlign w:val="center"/>
          </w:tcPr>
          <w:p>
            <w:pPr>
              <w:keepNext w:val="0"/>
              <w:keepLines w:val="0"/>
              <w:suppressLineNumbers w:val="0"/>
              <w:spacing w:before="0" w:beforeAutospacing="0" w:after="0" w:afterAutospacing="0" w:line="360" w:lineRule="auto"/>
              <w:ind w:left="0" w:right="0"/>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rPr>
                <w:rFonts w:hint="eastAsia" w:ascii="宋体" w:hAnsi="宋体" w:eastAsia="宋体" w:cs="Times New Roman"/>
                <w:kern w:val="0"/>
                <w:sz w:val="21"/>
                <w:szCs w:val="21"/>
                <w:highlight w:val="none"/>
              </w:rPr>
            </w:pPr>
            <w:r>
              <w:rPr>
                <w:rFonts w:hint="eastAsia" w:ascii="宋体" w:hAnsi="宋体" w:eastAsia="宋体" w:cs="Times New Roman"/>
                <w:kern w:val="0"/>
                <w:sz w:val="21"/>
                <w:szCs w:val="21"/>
                <w:highlight w:val="none"/>
              </w:rPr>
              <w:t>本公司承诺如下：</w:t>
            </w:r>
          </w:p>
          <w:p>
            <w:pPr>
              <w:keepNext w:val="0"/>
              <w:keepLines w:val="0"/>
              <w:suppressLineNumbers w:val="0"/>
              <w:spacing w:before="0" w:beforeAutospacing="0" w:after="0" w:afterAutospacing="0" w:line="360" w:lineRule="auto"/>
              <w:ind w:left="0" w:right="0"/>
              <w:rPr>
                <w:rFonts w:hint="eastAsia" w:ascii="宋体" w:hAnsi="宋体" w:eastAsia="宋体" w:cs="Times New Roman"/>
                <w:kern w:val="0"/>
                <w:sz w:val="21"/>
                <w:szCs w:val="21"/>
                <w:highlight w:val="none"/>
              </w:rPr>
            </w:pPr>
          </w:p>
          <w:p>
            <w:pPr>
              <w:keepNext w:val="0"/>
              <w:keepLines w:val="0"/>
              <w:numPr>
                <w:ilvl w:val="0"/>
                <w:numId w:val="8"/>
              </w:numPr>
              <w:suppressLineNumbers w:val="0"/>
              <w:spacing w:before="0" w:beforeAutospacing="0" w:after="0" w:afterAutospacing="0" w:line="360" w:lineRule="auto"/>
              <w:ind w:left="0" w:right="0"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结算审核：审价机构自受理之日起送审价500万元以内（含）的18个工作日内完成；500万元（不含）~2000万元（含）的28个工作日内完成；2000万元（不含）~5000万元（含）的33个工作日内完成；5000万元（不含）以上的45个工作日内完成，特大型项目及特殊情况另行协议。</w:t>
            </w:r>
          </w:p>
          <w:p>
            <w:pPr>
              <w:keepNext w:val="0"/>
              <w:keepLines w:val="0"/>
              <w:suppressLineNumbers w:val="0"/>
              <w:spacing w:before="0" w:beforeAutospacing="0" w:after="0" w:afterAutospacing="0" w:line="360" w:lineRule="auto"/>
              <w:ind w:left="0" w:right="0" w:firstLine="420" w:firstLineChars="200"/>
              <w:rPr>
                <w:rFonts w:hint="eastAsia" w:ascii="宋体" w:hAnsi="宋体" w:eastAsia="宋体" w:cs="Times New Roman"/>
                <w:kern w:val="0"/>
                <w:sz w:val="21"/>
                <w:szCs w:val="21"/>
                <w:highlight w:val="none"/>
              </w:rPr>
            </w:pPr>
            <w:r>
              <w:rPr>
                <w:rFonts w:hint="eastAsia" w:ascii="宋体" w:hAnsi="宋体" w:eastAsia="宋体" w:cs="Times New Roman"/>
                <w:kern w:val="0"/>
                <w:sz w:val="21"/>
                <w:szCs w:val="21"/>
                <w:highlight w:val="none"/>
              </w:rPr>
              <w:t>（二）工程预算或清单审核：审核机构自受理之日起送审价500万（含）以内的10个工作日内完成，500万（不含）~2000万元（含）的15个工作日内完成，2000万（不含）以上的20个工作日内完成，特大型项目及特殊情况另行协议。</w:t>
            </w:r>
          </w:p>
          <w:p>
            <w:pPr>
              <w:keepNext w:val="0"/>
              <w:keepLines w:val="0"/>
              <w:suppressLineNumbers w:val="0"/>
              <w:spacing w:before="0" w:beforeAutospacing="0" w:after="0" w:afterAutospacing="0" w:line="360" w:lineRule="auto"/>
              <w:ind w:left="0" w:right="0" w:firstLine="420" w:firstLineChars="200"/>
              <w:rPr>
                <w:rFonts w:hint="eastAsia" w:ascii="宋体" w:hAnsi="宋体" w:eastAsia="宋体" w:cs="Times New Roman"/>
                <w:b w:val="0"/>
                <w:bCs w:val="0"/>
                <w:sz w:val="21"/>
                <w:szCs w:val="21"/>
                <w:highlight w:val="none"/>
              </w:rPr>
            </w:pPr>
            <w:r>
              <w:rPr>
                <w:rFonts w:hint="eastAsia" w:ascii="宋体" w:hAnsi="宋体" w:eastAsia="宋体" w:cs="Times New Roman"/>
                <w:b w:val="0"/>
                <w:bCs w:val="0"/>
                <w:kern w:val="0"/>
                <w:sz w:val="21"/>
                <w:szCs w:val="21"/>
                <w:highlight w:val="none"/>
              </w:rPr>
              <w:t>（三）</w:t>
            </w:r>
            <w:r>
              <w:rPr>
                <w:rFonts w:hint="eastAsia" w:ascii="宋体" w:hAnsi="宋体" w:eastAsia="宋体" w:cs="Times New Roman"/>
                <w:b w:val="0"/>
                <w:bCs w:val="0"/>
                <w:sz w:val="21"/>
                <w:szCs w:val="21"/>
                <w:highlight w:val="none"/>
              </w:rPr>
              <w:t>概（估）算审核：审价机构自受理之日起送审计费基数5000万（含）以内的15个工作日内完成；5000万（不含）以上的20个工作日内完成。特大型项目及特殊情况另行协议。</w:t>
            </w:r>
          </w:p>
          <w:p>
            <w:pPr>
              <w:keepNext w:val="0"/>
              <w:keepLines w:val="0"/>
              <w:suppressLineNumbers w:val="0"/>
              <w:spacing w:before="0" w:beforeAutospacing="0" w:after="0" w:afterAutospacing="0" w:line="360" w:lineRule="auto"/>
              <w:ind w:left="0" w:right="0"/>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p>
            <w:pPr>
              <w:keepNext w:val="0"/>
              <w:keepLines w:val="0"/>
              <w:suppressLineNumbers w:val="0"/>
              <w:spacing w:before="0" w:beforeAutospacing="0" w:after="0" w:afterAutospacing="0" w:line="360" w:lineRule="auto"/>
              <w:ind w:left="0" w:right="0"/>
              <w:jc w:val="center"/>
              <w:rPr>
                <w:rFonts w:hint="eastAsia" w:ascii="宋体" w:hAnsi="宋体" w:eastAsia="宋体" w:cs="Times New Roman"/>
                <w:kern w:val="0"/>
                <w:sz w:val="21"/>
                <w:szCs w:val="21"/>
                <w:highlight w:val="none"/>
              </w:rPr>
            </w:pPr>
          </w:p>
        </w:tc>
      </w:tr>
    </w:tbl>
    <w:p>
      <w:pPr>
        <w:spacing w:line="360" w:lineRule="auto"/>
        <w:ind w:firstLine="630" w:firstLineChars="300"/>
        <w:rPr>
          <w:rFonts w:hint="eastAsia" w:ascii="宋体" w:hAnsi="宋体" w:eastAsia="宋体" w:cs="Times New Roman"/>
          <w:sz w:val="21"/>
          <w:szCs w:val="21"/>
          <w:highlight w:val="none"/>
        </w:rPr>
      </w:pPr>
    </w:p>
    <w:p>
      <w:pPr>
        <w:snapToGrid w:val="0"/>
        <w:spacing w:beforeLines="50" w:line="360" w:lineRule="auto"/>
        <w:jc w:val="center"/>
        <w:rPr>
          <w:rFonts w:asciiTheme="majorEastAsia" w:hAnsiTheme="majorEastAsia" w:eastAsiaTheme="majorEastAsia" w:cstheme="majorEastAsia"/>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法定代表人或</w:t>
      </w:r>
      <w:r>
        <w:rPr>
          <w:rFonts w:hint="eastAsia" w:asciiTheme="majorEastAsia" w:hAnsiTheme="majorEastAsia" w:eastAsiaTheme="majorEastAsia" w:cstheme="majorEastAsia"/>
          <w:color w:val="000000" w:themeColor="text1"/>
          <w:highlight w:val="none"/>
          <w14:textFill>
            <w14:solidFill>
              <w14:schemeClr w14:val="tx1"/>
            </w14:solidFill>
          </w14:textFill>
        </w:rPr>
        <w:t>被授权人签字（或盖章）：</w:t>
      </w:r>
    </w:p>
    <w:p>
      <w:pPr>
        <w:pStyle w:val="35"/>
        <w:spacing w:line="360" w:lineRule="auto"/>
        <w:jc w:val="center"/>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 xml:space="preserve">             供应商名称（公章）：</w:t>
      </w:r>
    </w:p>
    <w:p>
      <w:pPr>
        <w:pStyle w:val="35"/>
        <w:spacing w:line="360" w:lineRule="auto"/>
        <w:jc w:val="cente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 xml:space="preserve">          日期： 年 月 日</w:t>
      </w:r>
    </w:p>
    <w:sectPr>
      <w:headerReference r:id="rId10" w:type="default"/>
      <w:footerReference r:id="rId11" w:type="default"/>
      <w:pgSz w:w="11906" w:h="16838"/>
      <w:pgMar w:top="1440" w:right="1083" w:bottom="1440" w:left="1083" w:header="851" w:footer="85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
    <w:altName w:val="Segoe Print"/>
    <w:panose1 w:val="00000000000000000000"/>
    <w:charset w:val="00"/>
    <w:family w:val="roma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华文中宋">
    <w:altName w:val="宋体"/>
    <w:panose1 w:val="02010600040101010101"/>
    <w:charset w:val="86"/>
    <w:family w:val="auto"/>
    <w:pitch w:val="default"/>
    <w:sig w:usb0="00000000" w:usb1="00000000" w:usb2="00000000" w:usb3="00000000" w:csb0="0004009F" w:csb1="DFD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jc w:val="center"/>
                          </w:pPr>
                          <w:r>
                            <w:fldChar w:fldCharType="begin"/>
                          </w:r>
                          <w:r>
                            <w:instrText xml:space="preserve"> PAGE   \* MERGEFORMAT </w:instrText>
                          </w:r>
                          <w:r>
                            <w:fldChar w:fldCharType="separate"/>
                          </w:r>
                          <w:r>
                            <w:rPr>
                              <w:lang w:val="zh-CN"/>
                            </w:rPr>
                            <w:t>1</w:t>
                          </w:r>
                          <w:r>
                            <w:rPr>
                              <w:lang w:val="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7"/>
                      <w:jc w:val="center"/>
                    </w:pPr>
                    <w:r>
                      <w:fldChar w:fldCharType="begin"/>
                    </w:r>
                    <w:r>
                      <w:instrText xml:space="preserve"> PAGE   \* MERGEFORMAT </w:instrText>
                    </w:r>
                    <w:r>
                      <w:fldChar w:fldCharType="separate"/>
                    </w:r>
                    <w:r>
                      <w:rPr>
                        <w:lang w:val="zh-CN"/>
                      </w:rPr>
                      <w:t>1</w:t>
                    </w:r>
                    <w:r>
                      <w:rPr>
                        <w:lang w:val="zh-CN"/>
                      </w:rPr>
                      <w:fldChar w:fldCharType="end"/>
                    </w:r>
                  </w:p>
                </w:txbxContent>
              </v:textbox>
            </v:shape>
          </w:pict>
        </mc:Fallback>
      </mc:AlternateContent>
    </w:r>
  </w:p>
  <w:p>
    <w:pPr>
      <w:pStyle w:val="17"/>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jc w:val="center"/>
                          </w:pPr>
                          <w:r>
                            <w:fldChar w:fldCharType="begin"/>
                          </w:r>
                          <w:r>
                            <w:instrText xml:space="preserve"> PAGE   \* MERGEFORMAT </w:instrText>
                          </w:r>
                          <w:r>
                            <w:fldChar w:fldCharType="separate"/>
                          </w:r>
                          <w:r>
                            <w:rPr>
                              <w:lang w:val="zh-CN"/>
                            </w:rPr>
                            <w:t>0</w:t>
                          </w:r>
                          <w:r>
                            <w:rPr>
                              <w:lang w:val="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7"/>
                      <w:jc w:val="center"/>
                    </w:pPr>
                    <w:r>
                      <w:fldChar w:fldCharType="begin"/>
                    </w:r>
                    <w:r>
                      <w:instrText xml:space="preserve"> PAGE   \* MERGEFORMAT </w:instrText>
                    </w:r>
                    <w:r>
                      <w:fldChar w:fldCharType="separate"/>
                    </w:r>
                    <w:r>
                      <w:rPr>
                        <w:lang w:val="zh-CN"/>
                      </w:rPr>
                      <w:t>0</w:t>
                    </w:r>
                    <w:r>
                      <w:rPr>
                        <w:lang w:val="zh-CN"/>
                      </w:rPr>
                      <w:fldChar w:fldCharType="end"/>
                    </w:r>
                  </w:p>
                </w:txbxContent>
              </v:textbox>
            </v:shape>
          </w:pict>
        </mc:Fallback>
      </mc:AlternateContent>
    </w:r>
  </w:p>
  <w:p>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7"/>
                          </w:pPr>
                          <w:r>
                            <w:fldChar w:fldCharType="begin"/>
                          </w:r>
                          <w:r>
                            <w:instrText xml:space="preserve"> PAGE  \* MERGEFORMAT </w:instrText>
                          </w:r>
                          <w:r>
                            <w:fldChar w:fldCharType="separate"/>
                          </w:r>
                          <w:r>
                            <w:t>- 30 -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pPr>
                      <w:pStyle w:val="17"/>
                    </w:pPr>
                    <w:r>
                      <w:fldChar w:fldCharType="begin"/>
                    </w:r>
                    <w:r>
                      <w:instrText xml:space="preserve"> PAGE  \* MERGEFORMAT </w:instrText>
                    </w:r>
                    <w:r>
                      <w:fldChar w:fldCharType="separate"/>
                    </w:r>
                    <w:r>
                      <w:t>- 30 -</w:t>
                    </w:r>
                    <w:r>
                      <w:fldChar w:fldCharType="end"/>
                    </w:r>
                  </w:p>
                </w:txbxContent>
              </v:textbox>
            </v:shape>
          </w:pict>
        </mc:Fallback>
      </mc:AlternateContent>
    </w:r>
  </w:p>
  <w:p>
    <w:pPr>
      <w:pStyle w:val="1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right" w:y="1"/>
      <w:rPr>
        <w:rStyle w:val="29"/>
      </w:rPr>
    </w:pPr>
    <w:r>
      <w:fldChar w:fldCharType="begin"/>
    </w:r>
    <w:r>
      <w:rPr>
        <w:rStyle w:val="29"/>
      </w:rPr>
      <w:instrText xml:space="preserve">PAGE  </w:instrText>
    </w:r>
    <w:r>
      <w:fldChar w:fldCharType="end"/>
    </w:r>
  </w:p>
  <w:p>
    <w:pPr>
      <w:pStyle w:val="17"/>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jc w:val="center"/>
                          </w:pPr>
                          <w:r>
                            <w:rPr>
                              <w:b/>
                              <w:bCs/>
                              <w:sz w:val="24"/>
                              <w:szCs w:val="24"/>
                            </w:rPr>
                            <w:fldChar w:fldCharType="begin"/>
                          </w:r>
                          <w:r>
                            <w:rPr>
                              <w:b/>
                              <w:bCs/>
                            </w:rPr>
                            <w:instrText xml:space="preserve">PAGE</w:instrText>
                          </w:r>
                          <w:r>
                            <w:rPr>
                              <w:b/>
                              <w:bCs/>
                              <w:sz w:val="24"/>
                              <w:szCs w:val="24"/>
                            </w:rPr>
                            <w:fldChar w:fldCharType="separate"/>
                          </w:r>
                          <w:r>
                            <w:rPr>
                              <w:b/>
                              <w:bCs/>
                            </w:rPr>
                            <w:t>50</w:t>
                          </w:r>
                          <w:r>
                            <w:rPr>
                              <w:b/>
                              <w:bCs/>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7"/>
                      <w:jc w:val="center"/>
                    </w:pPr>
                    <w:r>
                      <w:rPr>
                        <w:b/>
                        <w:bCs/>
                        <w:sz w:val="24"/>
                        <w:szCs w:val="24"/>
                      </w:rPr>
                      <w:fldChar w:fldCharType="begin"/>
                    </w:r>
                    <w:r>
                      <w:rPr>
                        <w:b/>
                        <w:bCs/>
                      </w:rPr>
                      <w:instrText xml:space="preserve">PAGE</w:instrText>
                    </w:r>
                    <w:r>
                      <w:rPr>
                        <w:b/>
                        <w:bCs/>
                        <w:sz w:val="24"/>
                        <w:szCs w:val="24"/>
                      </w:rPr>
                      <w:fldChar w:fldCharType="separate"/>
                    </w:r>
                    <w:r>
                      <w:rPr>
                        <w:b/>
                        <w:bCs/>
                      </w:rPr>
                      <w:t>50</w:t>
                    </w:r>
                    <w:r>
                      <w:rPr>
                        <w:b/>
                        <w:bCs/>
                        <w:sz w:val="24"/>
                        <w:szCs w:val="24"/>
                      </w:rPr>
                      <w:fldChar w:fldCharType="end"/>
                    </w:r>
                  </w:p>
                </w:txbxContent>
              </v:textbox>
            </v:shape>
          </w:pict>
        </mc:Fallback>
      </mc:AlternateContent>
    </w:r>
  </w:p>
  <w:p>
    <w:pPr>
      <w:pStyle w:val="17"/>
      <w:ind w:right="720" w:firstLine="210" w:firstLineChars="100"/>
      <w:jc w:val="center"/>
      <w:rPr>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rPr>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F4D125"/>
    <w:multiLevelType w:val="singleLevel"/>
    <w:tmpl w:val="9DF4D125"/>
    <w:lvl w:ilvl="0" w:tentative="0">
      <w:start w:val="1"/>
      <w:numFmt w:val="decimal"/>
      <w:lvlText w:val="%1."/>
      <w:lvlJc w:val="left"/>
      <w:pPr>
        <w:tabs>
          <w:tab w:val="left" w:pos="312"/>
        </w:tabs>
      </w:pPr>
    </w:lvl>
  </w:abstractNum>
  <w:abstractNum w:abstractNumId="1">
    <w:nsid w:val="9F3F2836"/>
    <w:multiLevelType w:val="singleLevel"/>
    <w:tmpl w:val="9F3F2836"/>
    <w:lvl w:ilvl="0" w:tentative="0">
      <w:start w:val="10"/>
      <w:numFmt w:val="chineseCounting"/>
      <w:suff w:val="nothing"/>
      <w:lvlText w:val="%1、"/>
      <w:lvlJc w:val="left"/>
      <w:rPr>
        <w:rFonts w:hint="eastAsia"/>
      </w:rPr>
    </w:lvl>
  </w:abstractNum>
  <w:abstractNum w:abstractNumId="2">
    <w:nsid w:val="BFF94B95"/>
    <w:multiLevelType w:val="singleLevel"/>
    <w:tmpl w:val="BFF94B95"/>
    <w:lvl w:ilvl="0" w:tentative="0">
      <w:start w:val="9"/>
      <w:numFmt w:val="decimal"/>
      <w:suff w:val="nothing"/>
      <w:lvlText w:val="（%1）"/>
      <w:lvlJc w:val="left"/>
    </w:lvl>
  </w:abstractNum>
  <w:abstractNum w:abstractNumId="3">
    <w:nsid w:val="EFAD0ADB"/>
    <w:multiLevelType w:val="singleLevel"/>
    <w:tmpl w:val="EFAD0ADB"/>
    <w:lvl w:ilvl="0" w:tentative="0">
      <w:start w:val="1"/>
      <w:numFmt w:val="decimal"/>
      <w:suff w:val="nothing"/>
      <w:lvlText w:val="%1、"/>
      <w:lvlJc w:val="left"/>
    </w:lvl>
  </w:abstractNum>
  <w:abstractNum w:abstractNumId="4">
    <w:nsid w:val="FFBEEEF9"/>
    <w:multiLevelType w:val="singleLevel"/>
    <w:tmpl w:val="FFBEEEF9"/>
    <w:lvl w:ilvl="0" w:tentative="0">
      <w:start w:val="1"/>
      <w:numFmt w:val="chineseCounting"/>
      <w:suff w:val="nothing"/>
      <w:lvlText w:val="（%1）"/>
      <w:lvlJc w:val="left"/>
      <w:rPr>
        <w:rFonts w:hint="eastAsia"/>
      </w:rPr>
    </w:lvl>
  </w:abstractNum>
  <w:abstractNum w:abstractNumId="5">
    <w:nsid w:val="3F2675E1"/>
    <w:multiLevelType w:val="singleLevel"/>
    <w:tmpl w:val="3F2675E1"/>
    <w:lvl w:ilvl="0" w:tentative="0">
      <w:start w:val="2"/>
      <w:numFmt w:val="chineseCounting"/>
      <w:suff w:val="space"/>
      <w:lvlText w:val="第%1章"/>
      <w:lvlJc w:val="left"/>
      <w:rPr>
        <w:rFonts w:hint="eastAsia"/>
      </w:rPr>
    </w:lvl>
  </w:abstractNum>
  <w:abstractNum w:abstractNumId="6">
    <w:nsid w:val="6AB019D5"/>
    <w:multiLevelType w:val="singleLevel"/>
    <w:tmpl w:val="6AB019D5"/>
    <w:lvl w:ilvl="0" w:tentative="0">
      <w:start w:val="4"/>
      <w:numFmt w:val="decimal"/>
      <w:lvlText w:val="%1."/>
      <w:lvlJc w:val="left"/>
      <w:pPr>
        <w:tabs>
          <w:tab w:val="left" w:pos="312"/>
        </w:tabs>
      </w:pPr>
    </w:lvl>
  </w:abstractNum>
  <w:abstractNum w:abstractNumId="7">
    <w:nsid w:val="6F1F1FA5"/>
    <w:multiLevelType w:val="singleLevel"/>
    <w:tmpl w:val="6F1F1FA5"/>
    <w:lvl w:ilvl="0" w:tentative="0">
      <w:start w:val="1"/>
      <w:numFmt w:val="decimal"/>
      <w:pStyle w:val="8"/>
      <w:lvlText w:val="%1."/>
      <w:lvlJc w:val="left"/>
      <w:pPr>
        <w:tabs>
          <w:tab w:val="left" w:pos="360"/>
        </w:tabs>
        <w:ind w:left="360" w:hanging="360"/>
      </w:pPr>
    </w:lvl>
  </w:abstractNum>
  <w:num w:numId="1">
    <w:abstractNumId w:val="7"/>
  </w:num>
  <w:num w:numId="2">
    <w:abstractNumId w:val="5"/>
  </w:num>
  <w:num w:numId="3">
    <w:abstractNumId w:val="3"/>
  </w:num>
  <w:num w:numId="4">
    <w:abstractNumId w:val="1"/>
  </w:num>
  <w:num w:numId="5">
    <w:abstractNumId w:val="6"/>
  </w:num>
  <w:num w:numId="6">
    <w:abstractNumId w:val="0"/>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HorizontalSpacing w:val="1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1OTg3NTUyMTgyMTE4Y2E3N2E5ZTllZDdkOWNhOTkifQ=="/>
  </w:docVars>
  <w:rsids>
    <w:rsidRoot w:val="3B9B3E26"/>
    <w:rsid w:val="00002AA7"/>
    <w:rsid w:val="00002B1F"/>
    <w:rsid w:val="00004555"/>
    <w:rsid w:val="00006D34"/>
    <w:rsid w:val="000108B6"/>
    <w:rsid w:val="00011F31"/>
    <w:rsid w:val="00014A54"/>
    <w:rsid w:val="000175CA"/>
    <w:rsid w:val="00017601"/>
    <w:rsid w:val="00020E19"/>
    <w:rsid w:val="00022413"/>
    <w:rsid w:val="000279C0"/>
    <w:rsid w:val="00030559"/>
    <w:rsid w:val="0003664B"/>
    <w:rsid w:val="00036B88"/>
    <w:rsid w:val="00042AB1"/>
    <w:rsid w:val="0004607B"/>
    <w:rsid w:val="000511DF"/>
    <w:rsid w:val="000518FB"/>
    <w:rsid w:val="00053754"/>
    <w:rsid w:val="0005456A"/>
    <w:rsid w:val="00056756"/>
    <w:rsid w:val="00061B17"/>
    <w:rsid w:val="00065907"/>
    <w:rsid w:val="00067BC8"/>
    <w:rsid w:val="00071B7E"/>
    <w:rsid w:val="00072CA4"/>
    <w:rsid w:val="00072F55"/>
    <w:rsid w:val="000759D6"/>
    <w:rsid w:val="00077280"/>
    <w:rsid w:val="00077396"/>
    <w:rsid w:val="00077E34"/>
    <w:rsid w:val="00081D6D"/>
    <w:rsid w:val="00083106"/>
    <w:rsid w:val="00084C23"/>
    <w:rsid w:val="00084E44"/>
    <w:rsid w:val="00086A9C"/>
    <w:rsid w:val="00096578"/>
    <w:rsid w:val="000978DB"/>
    <w:rsid w:val="000A1849"/>
    <w:rsid w:val="000A1AA8"/>
    <w:rsid w:val="000A24BA"/>
    <w:rsid w:val="000A3EC9"/>
    <w:rsid w:val="000A5FC9"/>
    <w:rsid w:val="000B281A"/>
    <w:rsid w:val="000C0B7C"/>
    <w:rsid w:val="000C3F2D"/>
    <w:rsid w:val="000D4119"/>
    <w:rsid w:val="000D5ACE"/>
    <w:rsid w:val="000E2908"/>
    <w:rsid w:val="000E741E"/>
    <w:rsid w:val="000F0ED6"/>
    <w:rsid w:val="000F4372"/>
    <w:rsid w:val="000F5D32"/>
    <w:rsid w:val="0010133B"/>
    <w:rsid w:val="00103375"/>
    <w:rsid w:val="00103726"/>
    <w:rsid w:val="001050AF"/>
    <w:rsid w:val="0010549D"/>
    <w:rsid w:val="00106EA7"/>
    <w:rsid w:val="00107633"/>
    <w:rsid w:val="00113C7E"/>
    <w:rsid w:val="00115454"/>
    <w:rsid w:val="00116E8C"/>
    <w:rsid w:val="001174FA"/>
    <w:rsid w:val="00136DC7"/>
    <w:rsid w:val="00146C3D"/>
    <w:rsid w:val="001653E5"/>
    <w:rsid w:val="001669C2"/>
    <w:rsid w:val="00167A9E"/>
    <w:rsid w:val="001720DA"/>
    <w:rsid w:val="0017308E"/>
    <w:rsid w:val="00173758"/>
    <w:rsid w:val="00174695"/>
    <w:rsid w:val="0017602E"/>
    <w:rsid w:val="00176270"/>
    <w:rsid w:val="00180604"/>
    <w:rsid w:val="00182F2F"/>
    <w:rsid w:val="00186951"/>
    <w:rsid w:val="00191EB8"/>
    <w:rsid w:val="00194949"/>
    <w:rsid w:val="00197F27"/>
    <w:rsid w:val="001A0EF4"/>
    <w:rsid w:val="001A1887"/>
    <w:rsid w:val="001A5D16"/>
    <w:rsid w:val="001A6E55"/>
    <w:rsid w:val="001B0B0A"/>
    <w:rsid w:val="001B3DF6"/>
    <w:rsid w:val="001C13C4"/>
    <w:rsid w:val="001C38FC"/>
    <w:rsid w:val="001C4134"/>
    <w:rsid w:val="001C6DEB"/>
    <w:rsid w:val="001D0165"/>
    <w:rsid w:val="001E668B"/>
    <w:rsid w:val="001F58CE"/>
    <w:rsid w:val="001F5ED5"/>
    <w:rsid w:val="001F6327"/>
    <w:rsid w:val="002013B5"/>
    <w:rsid w:val="0020169F"/>
    <w:rsid w:val="00201854"/>
    <w:rsid w:val="00201AC5"/>
    <w:rsid w:val="00206B02"/>
    <w:rsid w:val="00210038"/>
    <w:rsid w:val="00211272"/>
    <w:rsid w:val="00214D1B"/>
    <w:rsid w:val="00216FCA"/>
    <w:rsid w:val="00224612"/>
    <w:rsid w:val="00226792"/>
    <w:rsid w:val="00232287"/>
    <w:rsid w:val="00233162"/>
    <w:rsid w:val="002358CC"/>
    <w:rsid w:val="00240D1F"/>
    <w:rsid w:val="00241CBF"/>
    <w:rsid w:val="00242DE4"/>
    <w:rsid w:val="002457A9"/>
    <w:rsid w:val="00262574"/>
    <w:rsid w:val="00262DA9"/>
    <w:rsid w:val="00263474"/>
    <w:rsid w:val="00272130"/>
    <w:rsid w:val="00275638"/>
    <w:rsid w:val="0027613E"/>
    <w:rsid w:val="00281EF6"/>
    <w:rsid w:val="0028406C"/>
    <w:rsid w:val="0028450E"/>
    <w:rsid w:val="00291D66"/>
    <w:rsid w:val="002922DF"/>
    <w:rsid w:val="0029244B"/>
    <w:rsid w:val="00296412"/>
    <w:rsid w:val="002A0C37"/>
    <w:rsid w:val="002A1ACB"/>
    <w:rsid w:val="002A56BA"/>
    <w:rsid w:val="002B1C80"/>
    <w:rsid w:val="002B5558"/>
    <w:rsid w:val="002D2F19"/>
    <w:rsid w:val="002D3223"/>
    <w:rsid w:val="002D48A1"/>
    <w:rsid w:val="002D67C4"/>
    <w:rsid w:val="002E605F"/>
    <w:rsid w:val="002E6AA0"/>
    <w:rsid w:val="002F0C4F"/>
    <w:rsid w:val="002F2151"/>
    <w:rsid w:val="002F6074"/>
    <w:rsid w:val="003018D2"/>
    <w:rsid w:val="00303782"/>
    <w:rsid w:val="00304192"/>
    <w:rsid w:val="00305861"/>
    <w:rsid w:val="0031097E"/>
    <w:rsid w:val="00316620"/>
    <w:rsid w:val="00317F6B"/>
    <w:rsid w:val="003222AF"/>
    <w:rsid w:val="00324DD5"/>
    <w:rsid w:val="00326C8F"/>
    <w:rsid w:val="00327F5F"/>
    <w:rsid w:val="00330E7E"/>
    <w:rsid w:val="00335CFF"/>
    <w:rsid w:val="00341B73"/>
    <w:rsid w:val="003427BC"/>
    <w:rsid w:val="003447BE"/>
    <w:rsid w:val="0034588E"/>
    <w:rsid w:val="00351363"/>
    <w:rsid w:val="003545F3"/>
    <w:rsid w:val="00354B71"/>
    <w:rsid w:val="00361E8E"/>
    <w:rsid w:val="003809D7"/>
    <w:rsid w:val="003824B9"/>
    <w:rsid w:val="00385451"/>
    <w:rsid w:val="00387139"/>
    <w:rsid w:val="00387219"/>
    <w:rsid w:val="00393038"/>
    <w:rsid w:val="003962EF"/>
    <w:rsid w:val="003A2188"/>
    <w:rsid w:val="003A3D3C"/>
    <w:rsid w:val="003A6229"/>
    <w:rsid w:val="003B19F5"/>
    <w:rsid w:val="003B3214"/>
    <w:rsid w:val="003B7A51"/>
    <w:rsid w:val="003B7A68"/>
    <w:rsid w:val="003C6A04"/>
    <w:rsid w:val="003C6A35"/>
    <w:rsid w:val="003D1010"/>
    <w:rsid w:val="003D5C96"/>
    <w:rsid w:val="003E1989"/>
    <w:rsid w:val="003E2FBF"/>
    <w:rsid w:val="003E620D"/>
    <w:rsid w:val="003E650D"/>
    <w:rsid w:val="003F1C4E"/>
    <w:rsid w:val="0040059A"/>
    <w:rsid w:val="00415232"/>
    <w:rsid w:val="0041525E"/>
    <w:rsid w:val="004166A8"/>
    <w:rsid w:val="00417567"/>
    <w:rsid w:val="004200F4"/>
    <w:rsid w:val="00421089"/>
    <w:rsid w:val="00421DBC"/>
    <w:rsid w:val="00422779"/>
    <w:rsid w:val="00427CA1"/>
    <w:rsid w:val="00430FFA"/>
    <w:rsid w:val="00432D25"/>
    <w:rsid w:val="00447C76"/>
    <w:rsid w:val="004606C9"/>
    <w:rsid w:val="004619C7"/>
    <w:rsid w:val="00463D5D"/>
    <w:rsid w:val="004752A1"/>
    <w:rsid w:val="00476D65"/>
    <w:rsid w:val="00476E8D"/>
    <w:rsid w:val="00480403"/>
    <w:rsid w:val="00480EDE"/>
    <w:rsid w:val="00485905"/>
    <w:rsid w:val="0049437D"/>
    <w:rsid w:val="00494B07"/>
    <w:rsid w:val="004A3215"/>
    <w:rsid w:val="004A3DA2"/>
    <w:rsid w:val="004A6A1B"/>
    <w:rsid w:val="004B26FA"/>
    <w:rsid w:val="004B37A2"/>
    <w:rsid w:val="004B636C"/>
    <w:rsid w:val="004B6A13"/>
    <w:rsid w:val="004B77C3"/>
    <w:rsid w:val="004C4B98"/>
    <w:rsid w:val="004D3AE9"/>
    <w:rsid w:val="004D6328"/>
    <w:rsid w:val="004E04D8"/>
    <w:rsid w:val="004E1196"/>
    <w:rsid w:val="004F5AF4"/>
    <w:rsid w:val="004F5BA1"/>
    <w:rsid w:val="00501FE7"/>
    <w:rsid w:val="00502E96"/>
    <w:rsid w:val="00512C31"/>
    <w:rsid w:val="0051346E"/>
    <w:rsid w:val="005245F8"/>
    <w:rsid w:val="0053010F"/>
    <w:rsid w:val="00530BF1"/>
    <w:rsid w:val="00536467"/>
    <w:rsid w:val="00537071"/>
    <w:rsid w:val="0053711C"/>
    <w:rsid w:val="00541162"/>
    <w:rsid w:val="00547238"/>
    <w:rsid w:val="0054770F"/>
    <w:rsid w:val="00550DA8"/>
    <w:rsid w:val="00566D26"/>
    <w:rsid w:val="00567C8A"/>
    <w:rsid w:val="005705C1"/>
    <w:rsid w:val="00570CEA"/>
    <w:rsid w:val="00584C14"/>
    <w:rsid w:val="00585390"/>
    <w:rsid w:val="00585DAF"/>
    <w:rsid w:val="00593384"/>
    <w:rsid w:val="00593B2C"/>
    <w:rsid w:val="00593BC9"/>
    <w:rsid w:val="00593F38"/>
    <w:rsid w:val="0059523F"/>
    <w:rsid w:val="00597DD8"/>
    <w:rsid w:val="005A4A72"/>
    <w:rsid w:val="005A4ADD"/>
    <w:rsid w:val="005A51BD"/>
    <w:rsid w:val="005A5986"/>
    <w:rsid w:val="005B5E33"/>
    <w:rsid w:val="005B6A37"/>
    <w:rsid w:val="005C3A90"/>
    <w:rsid w:val="005C3C35"/>
    <w:rsid w:val="005C5371"/>
    <w:rsid w:val="005C798B"/>
    <w:rsid w:val="005D1964"/>
    <w:rsid w:val="005D2348"/>
    <w:rsid w:val="005D28FD"/>
    <w:rsid w:val="005F003C"/>
    <w:rsid w:val="005F63D4"/>
    <w:rsid w:val="005F7297"/>
    <w:rsid w:val="00606F46"/>
    <w:rsid w:val="00612422"/>
    <w:rsid w:val="00616042"/>
    <w:rsid w:val="006161A3"/>
    <w:rsid w:val="00620016"/>
    <w:rsid w:val="00624D1E"/>
    <w:rsid w:val="00626E73"/>
    <w:rsid w:val="00630577"/>
    <w:rsid w:val="00632CE7"/>
    <w:rsid w:val="00633208"/>
    <w:rsid w:val="006369B1"/>
    <w:rsid w:val="00637C1B"/>
    <w:rsid w:val="006402EC"/>
    <w:rsid w:val="00650056"/>
    <w:rsid w:val="0065005A"/>
    <w:rsid w:val="0065579B"/>
    <w:rsid w:val="0066031D"/>
    <w:rsid w:val="00661139"/>
    <w:rsid w:val="00662866"/>
    <w:rsid w:val="0066376A"/>
    <w:rsid w:val="00665F48"/>
    <w:rsid w:val="006767D7"/>
    <w:rsid w:val="006824DD"/>
    <w:rsid w:val="006856C9"/>
    <w:rsid w:val="006873F4"/>
    <w:rsid w:val="00694E50"/>
    <w:rsid w:val="006A0C43"/>
    <w:rsid w:val="006A5443"/>
    <w:rsid w:val="006B3920"/>
    <w:rsid w:val="006B55E6"/>
    <w:rsid w:val="006B6005"/>
    <w:rsid w:val="006C68DE"/>
    <w:rsid w:val="006C76FD"/>
    <w:rsid w:val="006D2B18"/>
    <w:rsid w:val="006D51F1"/>
    <w:rsid w:val="006D7824"/>
    <w:rsid w:val="006E0A01"/>
    <w:rsid w:val="006E1BAF"/>
    <w:rsid w:val="006E46F0"/>
    <w:rsid w:val="006E77D4"/>
    <w:rsid w:val="006F5633"/>
    <w:rsid w:val="006F7650"/>
    <w:rsid w:val="00701F25"/>
    <w:rsid w:val="00702C2B"/>
    <w:rsid w:val="007079D3"/>
    <w:rsid w:val="00710759"/>
    <w:rsid w:val="0071125B"/>
    <w:rsid w:val="00714814"/>
    <w:rsid w:val="0072661E"/>
    <w:rsid w:val="00730C48"/>
    <w:rsid w:val="00731F5F"/>
    <w:rsid w:val="007358B1"/>
    <w:rsid w:val="00736023"/>
    <w:rsid w:val="0074271E"/>
    <w:rsid w:val="007428C1"/>
    <w:rsid w:val="00743764"/>
    <w:rsid w:val="00743AD4"/>
    <w:rsid w:val="00746A54"/>
    <w:rsid w:val="00747365"/>
    <w:rsid w:val="007507A9"/>
    <w:rsid w:val="007512BE"/>
    <w:rsid w:val="0075171F"/>
    <w:rsid w:val="0075199A"/>
    <w:rsid w:val="00751A38"/>
    <w:rsid w:val="007557F1"/>
    <w:rsid w:val="00762736"/>
    <w:rsid w:val="00762840"/>
    <w:rsid w:val="00762DF1"/>
    <w:rsid w:val="00764858"/>
    <w:rsid w:val="007701B8"/>
    <w:rsid w:val="00777662"/>
    <w:rsid w:val="00782FD1"/>
    <w:rsid w:val="00790180"/>
    <w:rsid w:val="00790B3F"/>
    <w:rsid w:val="007953A5"/>
    <w:rsid w:val="007972F1"/>
    <w:rsid w:val="007B054E"/>
    <w:rsid w:val="007B0C5C"/>
    <w:rsid w:val="007B10AF"/>
    <w:rsid w:val="007B2A3C"/>
    <w:rsid w:val="007C2644"/>
    <w:rsid w:val="007C2A45"/>
    <w:rsid w:val="007C3BDA"/>
    <w:rsid w:val="007D0208"/>
    <w:rsid w:val="007D0467"/>
    <w:rsid w:val="007D0F50"/>
    <w:rsid w:val="007D468D"/>
    <w:rsid w:val="007D4B53"/>
    <w:rsid w:val="007D66DA"/>
    <w:rsid w:val="007D7449"/>
    <w:rsid w:val="007E1047"/>
    <w:rsid w:val="007E3AC8"/>
    <w:rsid w:val="007E3CEB"/>
    <w:rsid w:val="007E5865"/>
    <w:rsid w:val="007F35CA"/>
    <w:rsid w:val="008003A6"/>
    <w:rsid w:val="00800BA4"/>
    <w:rsid w:val="008072DC"/>
    <w:rsid w:val="00807552"/>
    <w:rsid w:val="008140DA"/>
    <w:rsid w:val="00814CB1"/>
    <w:rsid w:val="008152EA"/>
    <w:rsid w:val="00816440"/>
    <w:rsid w:val="00822F4F"/>
    <w:rsid w:val="00824C6C"/>
    <w:rsid w:val="00827DB0"/>
    <w:rsid w:val="00831642"/>
    <w:rsid w:val="00833056"/>
    <w:rsid w:val="008357F1"/>
    <w:rsid w:val="00835E3D"/>
    <w:rsid w:val="00836D80"/>
    <w:rsid w:val="00837EBD"/>
    <w:rsid w:val="008421A8"/>
    <w:rsid w:val="00845029"/>
    <w:rsid w:val="00845F50"/>
    <w:rsid w:val="008476FF"/>
    <w:rsid w:val="0084775A"/>
    <w:rsid w:val="00852036"/>
    <w:rsid w:val="00856CC5"/>
    <w:rsid w:val="00860502"/>
    <w:rsid w:val="0086095F"/>
    <w:rsid w:val="008655CD"/>
    <w:rsid w:val="00866BA0"/>
    <w:rsid w:val="008717A0"/>
    <w:rsid w:val="00872707"/>
    <w:rsid w:val="00873C56"/>
    <w:rsid w:val="00876301"/>
    <w:rsid w:val="00876A8D"/>
    <w:rsid w:val="00882C40"/>
    <w:rsid w:val="00885415"/>
    <w:rsid w:val="00887472"/>
    <w:rsid w:val="00891E9C"/>
    <w:rsid w:val="00893F30"/>
    <w:rsid w:val="008948B0"/>
    <w:rsid w:val="00894A74"/>
    <w:rsid w:val="00896A0A"/>
    <w:rsid w:val="008A0B79"/>
    <w:rsid w:val="008A14FD"/>
    <w:rsid w:val="008A2E8A"/>
    <w:rsid w:val="008A3E0B"/>
    <w:rsid w:val="008A6110"/>
    <w:rsid w:val="008A6747"/>
    <w:rsid w:val="008B14FE"/>
    <w:rsid w:val="008B1782"/>
    <w:rsid w:val="008B1AB0"/>
    <w:rsid w:val="008B3393"/>
    <w:rsid w:val="008C2CC2"/>
    <w:rsid w:val="008C3276"/>
    <w:rsid w:val="008C3913"/>
    <w:rsid w:val="008D52BF"/>
    <w:rsid w:val="008D5D57"/>
    <w:rsid w:val="008E53D1"/>
    <w:rsid w:val="008E5FAE"/>
    <w:rsid w:val="008E7124"/>
    <w:rsid w:val="008F099B"/>
    <w:rsid w:val="008F09F1"/>
    <w:rsid w:val="008F5851"/>
    <w:rsid w:val="009057C4"/>
    <w:rsid w:val="00906669"/>
    <w:rsid w:val="00910033"/>
    <w:rsid w:val="00911B1A"/>
    <w:rsid w:val="00911F32"/>
    <w:rsid w:val="00912A8D"/>
    <w:rsid w:val="00912D1C"/>
    <w:rsid w:val="00912E64"/>
    <w:rsid w:val="00914F6C"/>
    <w:rsid w:val="00923322"/>
    <w:rsid w:val="00923BDF"/>
    <w:rsid w:val="00924059"/>
    <w:rsid w:val="00924F90"/>
    <w:rsid w:val="009273DA"/>
    <w:rsid w:val="00933CEB"/>
    <w:rsid w:val="00936692"/>
    <w:rsid w:val="00936701"/>
    <w:rsid w:val="00937228"/>
    <w:rsid w:val="009455C5"/>
    <w:rsid w:val="009521B7"/>
    <w:rsid w:val="00955AA9"/>
    <w:rsid w:val="009567DC"/>
    <w:rsid w:val="00961B74"/>
    <w:rsid w:val="00962DBE"/>
    <w:rsid w:val="00963885"/>
    <w:rsid w:val="00964112"/>
    <w:rsid w:val="009641AD"/>
    <w:rsid w:val="00964D50"/>
    <w:rsid w:val="00966CFE"/>
    <w:rsid w:val="00972A61"/>
    <w:rsid w:val="00987D75"/>
    <w:rsid w:val="00992AE8"/>
    <w:rsid w:val="0099787C"/>
    <w:rsid w:val="009A3101"/>
    <w:rsid w:val="009A5CC7"/>
    <w:rsid w:val="009A796B"/>
    <w:rsid w:val="009A7BB4"/>
    <w:rsid w:val="009B0237"/>
    <w:rsid w:val="009B3B9A"/>
    <w:rsid w:val="009B3D64"/>
    <w:rsid w:val="009B79C0"/>
    <w:rsid w:val="009C15C8"/>
    <w:rsid w:val="009D6A62"/>
    <w:rsid w:val="009E2BD0"/>
    <w:rsid w:val="009E357E"/>
    <w:rsid w:val="009E4DC6"/>
    <w:rsid w:val="009E56E3"/>
    <w:rsid w:val="009F1C10"/>
    <w:rsid w:val="009F21BD"/>
    <w:rsid w:val="009F26CB"/>
    <w:rsid w:val="009F2A5B"/>
    <w:rsid w:val="009F33C0"/>
    <w:rsid w:val="009F4B4A"/>
    <w:rsid w:val="009F509A"/>
    <w:rsid w:val="009F6B44"/>
    <w:rsid w:val="00A0178A"/>
    <w:rsid w:val="00A0306B"/>
    <w:rsid w:val="00A04526"/>
    <w:rsid w:val="00A22874"/>
    <w:rsid w:val="00A24A39"/>
    <w:rsid w:val="00A3558B"/>
    <w:rsid w:val="00A531B7"/>
    <w:rsid w:val="00A61466"/>
    <w:rsid w:val="00A65C2F"/>
    <w:rsid w:val="00A668F5"/>
    <w:rsid w:val="00A76F48"/>
    <w:rsid w:val="00A77C9C"/>
    <w:rsid w:val="00A80DB9"/>
    <w:rsid w:val="00A8215A"/>
    <w:rsid w:val="00A84C3F"/>
    <w:rsid w:val="00A9520F"/>
    <w:rsid w:val="00AA1C3A"/>
    <w:rsid w:val="00AA2016"/>
    <w:rsid w:val="00AA4496"/>
    <w:rsid w:val="00AA6E7A"/>
    <w:rsid w:val="00AB2911"/>
    <w:rsid w:val="00AB4263"/>
    <w:rsid w:val="00AB55A2"/>
    <w:rsid w:val="00AB63F8"/>
    <w:rsid w:val="00AC099D"/>
    <w:rsid w:val="00AC770B"/>
    <w:rsid w:val="00AD4A0D"/>
    <w:rsid w:val="00AD54ED"/>
    <w:rsid w:val="00AD57C8"/>
    <w:rsid w:val="00AE633D"/>
    <w:rsid w:val="00AF1623"/>
    <w:rsid w:val="00AF29DA"/>
    <w:rsid w:val="00AF2BE3"/>
    <w:rsid w:val="00AF3BBE"/>
    <w:rsid w:val="00AF4939"/>
    <w:rsid w:val="00AF49CE"/>
    <w:rsid w:val="00AF4A10"/>
    <w:rsid w:val="00B0036F"/>
    <w:rsid w:val="00B00811"/>
    <w:rsid w:val="00B04DDF"/>
    <w:rsid w:val="00B054AB"/>
    <w:rsid w:val="00B067DE"/>
    <w:rsid w:val="00B0718C"/>
    <w:rsid w:val="00B109BA"/>
    <w:rsid w:val="00B10DD9"/>
    <w:rsid w:val="00B11EBB"/>
    <w:rsid w:val="00B1628B"/>
    <w:rsid w:val="00B20241"/>
    <w:rsid w:val="00B227CE"/>
    <w:rsid w:val="00B23139"/>
    <w:rsid w:val="00B25C0F"/>
    <w:rsid w:val="00B2703E"/>
    <w:rsid w:val="00B27B0B"/>
    <w:rsid w:val="00B31220"/>
    <w:rsid w:val="00B32197"/>
    <w:rsid w:val="00B33316"/>
    <w:rsid w:val="00B3466A"/>
    <w:rsid w:val="00B3598B"/>
    <w:rsid w:val="00B471BC"/>
    <w:rsid w:val="00B477D2"/>
    <w:rsid w:val="00B52D85"/>
    <w:rsid w:val="00B5486A"/>
    <w:rsid w:val="00B551ED"/>
    <w:rsid w:val="00B556AE"/>
    <w:rsid w:val="00B56CFB"/>
    <w:rsid w:val="00B60799"/>
    <w:rsid w:val="00B619EE"/>
    <w:rsid w:val="00B63515"/>
    <w:rsid w:val="00B652F7"/>
    <w:rsid w:val="00B72B6F"/>
    <w:rsid w:val="00B744D7"/>
    <w:rsid w:val="00B80A86"/>
    <w:rsid w:val="00B824F0"/>
    <w:rsid w:val="00B8273D"/>
    <w:rsid w:val="00B85CA0"/>
    <w:rsid w:val="00B9110F"/>
    <w:rsid w:val="00B95EB3"/>
    <w:rsid w:val="00BA6B41"/>
    <w:rsid w:val="00BA72F3"/>
    <w:rsid w:val="00BA79CE"/>
    <w:rsid w:val="00BB229B"/>
    <w:rsid w:val="00BB44D8"/>
    <w:rsid w:val="00BB52C7"/>
    <w:rsid w:val="00BC5F7E"/>
    <w:rsid w:val="00BD0387"/>
    <w:rsid w:val="00BD188C"/>
    <w:rsid w:val="00BD1E64"/>
    <w:rsid w:val="00BD2852"/>
    <w:rsid w:val="00BE5063"/>
    <w:rsid w:val="00BF05B5"/>
    <w:rsid w:val="00C00AF1"/>
    <w:rsid w:val="00C0193C"/>
    <w:rsid w:val="00C02CEA"/>
    <w:rsid w:val="00C0402A"/>
    <w:rsid w:val="00C15976"/>
    <w:rsid w:val="00C23F51"/>
    <w:rsid w:val="00C246AC"/>
    <w:rsid w:val="00C2629C"/>
    <w:rsid w:val="00C26FC3"/>
    <w:rsid w:val="00C2758E"/>
    <w:rsid w:val="00C412CC"/>
    <w:rsid w:val="00C4480B"/>
    <w:rsid w:val="00C50A2C"/>
    <w:rsid w:val="00C51931"/>
    <w:rsid w:val="00C55278"/>
    <w:rsid w:val="00C63AC9"/>
    <w:rsid w:val="00C70FF9"/>
    <w:rsid w:val="00C71AFF"/>
    <w:rsid w:val="00C7545E"/>
    <w:rsid w:val="00C75E6F"/>
    <w:rsid w:val="00C80FAF"/>
    <w:rsid w:val="00C80FDC"/>
    <w:rsid w:val="00C82663"/>
    <w:rsid w:val="00C82B5F"/>
    <w:rsid w:val="00C8431C"/>
    <w:rsid w:val="00C85810"/>
    <w:rsid w:val="00C91006"/>
    <w:rsid w:val="00C92681"/>
    <w:rsid w:val="00C92E4C"/>
    <w:rsid w:val="00C9344F"/>
    <w:rsid w:val="00C96E72"/>
    <w:rsid w:val="00CA1FB0"/>
    <w:rsid w:val="00CA6161"/>
    <w:rsid w:val="00CB2E58"/>
    <w:rsid w:val="00CB689C"/>
    <w:rsid w:val="00CB6E9D"/>
    <w:rsid w:val="00CC3637"/>
    <w:rsid w:val="00CC5EB8"/>
    <w:rsid w:val="00CC69D2"/>
    <w:rsid w:val="00CC6E77"/>
    <w:rsid w:val="00CC76E4"/>
    <w:rsid w:val="00CC7FE8"/>
    <w:rsid w:val="00CD0870"/>
    <w:rsid w:val="00CD5269"/>
    <w:rsid w:val="00CE0586"/>
    <w:rsid w:val="00CF29E1"/>
    <w:rsid w:val="00CF2AD5"/>
    <w:rsid w:val="00CF54D6"/>
    <w:rsid w:val="00D00D1B"/>
    <w:rsid w:val="00D03596"/>
    <w:rsid w:val="00D03E34"/>
    <w:rsid w:val="00D03E7C"/>
    <w:rsid w:val="00D13AFD"/>
    <w:rsid w:val="00D1701A"/>
    <w:rsid w:val="00D20DF3"/>
    <w:rsid w:val="00D222D9"/>
    <w:rsid w:val="00D235F4"/>
    <w:rsid w:val="00D25ECD"/>
    <w:rsid w:val="00D34718"/>
    <w:rsid w:val="00D367E3"/>
    <w:rsid w:val="00D36CA1"/>
    <w:rsid w:val="00D40D14"/>
    <w:rsid w:val="00D419D0"/>
    <w:rsid w:val="00D42ECF"/>
    <w:rsid w:val="00D43AFC"/>
    <w:rsid w:val="00D4586F"/>
    <w:rsid w:val="00D53208"/>
    <w:rsid w:val="00D55484"/>
    <w:rsid w:val="00D564FD"/>
    <w:rsid w:val="00D6539E"/>
    <w:rsid w:val="00D6742B"/>
    <w:rsid w:val="00D709D5"/>
    <w:rsid w:val="00D70DB4"/>
    <w:rsid w:val="00D7387F"/>
    <w:rsid w:val="00D8213D"/>
    <w:rsid w:val="00D86F6F"/>
    <w:rsid w:val="00D87289"/>
    <w:rsid w:val="00D8783A"/>
    <w:rsid w:val="00D9188C"/>
    <w:rsid w:val="00D96816"/>
    <w:rsid w:val="00DA69A7"/>
    <w:rsid w:val="00DA76C3"/>
    <w:rsid w:val="00DB00F4"/>
    <w:rsid w:val="00DB0E5F"/>
    <w:rsid w:val="00DB2E05"/>
    <w:rsid w:val="00DC1573"/>
    <w:rsid w:val="00DC4367"/>
    <w:rsid w:val="00DC6CAE"/>
    <w:rsid w:val="00DC7912"/>
    <w:rsid w:val="00DD3792"/>
    <w:rsid w:val="00DD65C5"/>
    <w:rsid w:val="00DE1734"/>
    <w:rsid w:val="00DE601E"/>
    <w:rsid w:val="00DE7FBB"/>
    <w:rsid w:val="00DF2AD4"/>
    <w:rsid w:val="00DF3E1C"/>
    <w:rsid w:val="00DF5E16"/>
    <w:rsid w:val="00DF630E"/>
    <w:rsid w:val="00DF6E98"/>
    <w:rsid w:val="00E01410"/>
    <w:rsid w:val="00E04D7F"/>
    <w:rsid w:val="00E10C76"/>
    <w:rsid w:val="00E20D8A"/>
    <w:rsid w:val="00E25662"/>
    <w:rsid w:val="00E279A0"/>
    <w:rsid w:val="00E30408"/>
    <w:rsid w:val="00E32E10"/>
    <w:rsid w:val="00E51156"/>
    <w:rsid w:val="00E55368"/>
    <w:rsid w:val="00E571A8"/>
    <w:rsid w:val="00E61B01"/>
    <w:rsid w:val="00E70DB8"/>
    <w:rsid w:val="00E728AD"/>
    <w:rsid w:val="00E73335"/>
    <w:rsid w:val="00E737D4"/>
    <w:rsid w:val="00E76EE7"/>
    <w:rsid w:val="00E77FD4"/>
    <w:rsid w:val="00E863B1"/>
    <w:rsid w:val="00E86484"/>
    <w:rsid w:val="00E86D50"/>
    <w:rsid w:val="00E9083D"/>
    <w:rsid w:val="00EA38FF"/>
    <w:rsid w:val="00EA6663"/>
    <w:rsid w:val="00EB161C"/>
    <w:rsid w:val="00EB2EDD"/>
    <w:rsid w:val="00EB4578"/>
    <w:rsid w:val="00EB45B9"/>
    <w:rsid w:val="00EB65E3"/>
    <w:rsid w:val="00EC1A3B"/>
    <w:rsid w:val="00EC21F1"/>
    <w:rsid w:val="00EC302F"/>
    <w:rsid w:val="00ED1EE8"/>
    <w:rsid w:val="00ED5E22"/>
    <w:rsid w:val="00ED6374"/>
    <w:rsid w:val="00ED7158"/>
    <w:rsid w:val="00EE050A"/>
    <w:rsid w:val="00EE15CB"/>
    <w:rsid w:val="00EE2D33"/>
    <w:rsid w:val="00EE56A1"/>
    <w:rsid w:val="00EF2FF2"/>
    <w:rsid w:val="00EF74FB"/>
    <w:rsid w:val="00F010B1"/>
    <w:rsid w:val="00F0255D"/>
    <w:rsid w:val="00F13DFE"/>
    <w:rsid w:val="00F15F93"/>
    <w:rsid w:val="00F17992"/>
    <w:rsid w:val="00F17AD6"/>
    <w:rsid w:val="00F20639"/>
    <w:rsid w:val="00F24300"/>
    <w:rsid w:val="00F26F8E"/>
    <w:rsid w:val="00F27CEF"/>
    <w:rsid w:val="00F32B47"/>
    <w:rsid w:val="00F41396"/>
    <w:rsid w:val="00F54234"/>
    <w:rsid w:val="00F54BFD"/>
    <w:rsid w:val="00F57822"/>
    <w:rsid w:val="00F603A3"/>
    <w:rsid w:val="00F64AF8"/>
    <w:rsid w:val="00F70D3B"/>
    <w:rsid w:val="00F715D3"/>
    <w:rsid w:val="00F767E6"/>
    <w:rsid w:val="00F77536"/>
    <w:rsid w:val="00F803C6"/>
    <w:rsid w:val="00F821BA"/>
    <w:rsid w:val="00F845F7"/>
    <w:rsid w:val="00F902AE"/>
    <w:rsid w:val="00F93259"/>
    <w:rsid w:val="00FA17C9"/>
    <w:rsid w:val="00FA52BB"/>
    <w:rsid w:val="00FA5CDE"/>
    <w:rsid w:val="00FC035C"/>
    <w:rsid w:val="00FC2F73"/>
    <w:rsid w:val="00FC3CC1"/>
    <w:rsid w:val="00FC67CE"/>
    <w:rsid w:val="00FC6899"/>
    <w:rsid w:val="00FC726A"/>
    <w:rsid w:val="00FD3FA8"/>
    <w:rsid w:val="00FD411E"/>
    <w:rsid w:val="00FD4E54"/>
    <w:rsid w:val="00FD60AC"/>
    <w:rsid w:val="00FE0968"/>
    <w:rsid w:val="00FE3DA5"/>
    <w:rsid w:val="00FE7C3E"/>
    <w:rsid w:val="00FF2BEF"/>
    <w:rsid w:val="00FF4988"/>
    <w:rsid w:val="04093CE1"/>
    <w:rsid w:val="04763AB8"/>
    <w:rsid w:val="06765B00"/>
    <w:rsid w:val="07F54C1C"/>
    <w:rsid w:val="095A32FF"/>
    <w:rsid w:val="0A187D10"/>
    <w:rsid w:val="0D3342DC"/>
    <w:rsid w:val="0E55016F"/>
    <w:rsid w:val="0FFF3146"/>
    <w:rsid w:val="11FD3E45"/>
    <w:rsid w:val="124C0034"/>
    <w:rsid w:val="12507FD7"/>
    <w:rsid w:val="12511250"/>
    <w:rsid w:val="133631BD"/>
    <w:rsid w:val="13D36C5E"/>
    <w:rsid w:val="1CA968D0"/>
    <w:rsid w:val="1E341EDA"/>
    <w:rsid w:val="21AA7F90"/>
    <w:rsid w:val="22342FBD"/>
    <w:rsid w:val="23C640E9"/>
    <w:rsid w:val="2505779F"/>
    <w:rsid w:val="2D754963"/>
    <w:rsid w:val="2ED81174"/>
    <w:rsid w:val="2FF51FCA"/>
    <w:rsid w:val="32494863"/>
    <w:rsid w:val="3409562D"/>
    <w:rsid w:val="3557A60E"/>
    <w:rsid w:val="36B54B99"/>
    <w:rsid w:val="37ECDC37"/>
    <w:rsid w:val="37FF38F4"/>
    <w:rsid w:val="385E2520"/>
    <w:rsid w:val="3B2BA53C"/>
    <w:rsid w:val="3B9B3E26"/>
    <w:rsid w:val="3CDC0434"/>
    <w:rsid w:val="3DABB585"/>
    <w:rsid w:val="3DFF0A6B"/>
    <w:rsid w:val="3EDAFD11"/>
    <w:rsid w:val="3EDDE856"/>
    <w:rsid w:val="3F0606C7"/>
    <w:rsid w:val="3F8C0CE9"/>
    <w:rsid w:val="3FFE1135"/>
    <w:rsid w:val="3FFF012D"/>
    <w:rsid w:val="40CB07F7"/>
    <w:rsid w:val="42656011"/>
    <w:rsid w:val="45AF26D2"/>
    <w:rsid w:val="46E76867"/>
    <w:rsid w:val="489A3796"/>
    <w:rsid w:val="493516BE"/>
    <w:rsid w:val="499C7517"/>
    <w:rsid w:val="4B2D01A5"/>
    <w:rsid w:val="4B6865FA"/>
    <w:rsid w:val="4D313A20"/>
    <w:rsid w:val="4D551EB6"/>
    <w:rsid w:val="4ED355FD"/>
    <w:rsid w:val="510A0A3E"/>
    <w:rsid w:val="52524C09"/>
    <w:rsid w:val="531FF1BA"/>
    <w:rsid w:val="53C658BC"/>
    <w:rsid w:val="54CF6DAE"/>
    <w:rsid w:val="56DFF686"/>
    <w:rsid w:val="57CE2304"/>
    <w:rsid w:val="58FE0FB4"/>
    <w:rsid w:val="5CDE0DF7"/>
    <w:rsid w:val="5CFD4F96"/>
    <w:rsid w:val="5DFE25AA"/>
    <w:rsid w:val="5E234674"/>
    <w:rsid w:val="5FF74115"/>
    <w:rsid w:val="609B4E9F"/>
    <w:rsid w:val="60AC7BE7"/>
    <w:rsid w:val="63A96660"/>
    <w:rsid w:val="63FFDACF"/>
    <w:rsid w:val="65FF711F"/>
    <w:rsid w:val="66897E70"/>
    <w:rsid w:val="6690161C"/>
    <w:rsid w:val="67BF2225"/>
    <w:rsid w:val="686D0976"/>
    <w:rsid w:val="695F2EB6"/>
    <w:rsid w:val="6ABA3707"/>
    <w:rsid w:val="6B718EAC"/>
    <w:rsid w:val="6C3B3136"/>
    <w:rsid w:val="6C7A745A"/>
    <w:rsid w:val="6C7F0D4F"/>
    <w:rsid w:val="6DD6AEA7"/>
    <w:rsid w:val="6EFFFE21"/>
    <w:rsid w:val="6F265009"/>
    <w:rsid w:val="6FFF3864"/>
    <w:rsid w:val="703F4A7D"/>
    <w:rsid w:val="72565C05"/>
    <w:rsid w:val="72B768F2"/>
    <w:rsid w:val="731035D0"/>
    <w:rsid w:val="73D68E94"/>
    <w:rsid w:val="7422211D"/>
    <w:rsid w:val="75D57D7B"/>
    <w:rsid w:val="75FE0BA8"/>
    <w:rsid w:val="763E6E4A"/>
    <w:rsid w:val="76EBAEB0"/>
    <w:rsid w:val="777FAE3D"/>
    <w:rsid w:val="77E76A2C"/>
    <w:rsid w:val="78C06172"/>
    <w:rsid w:val="79FEE19D"/>
    <w:rsid w:val="7A23251B"/>
    <w:rsid w:val="7AB760C8"/>
    <w:rsid w:val="7BA2563E"/>
    <w:rsid w:val="7BBE5A07"/>
    <w:rsid w:val="7BBFDE4E"/>
    <w:rsid w:val="7BEF710D"/>
    <w:rsid w:val="7DB0182A"/>
    <w:rsid w:val="7DCBAADA"/>
    <w:rsid w:val="7DD5ED24"/>
    <w:rsid w:val="7EAFD3F7"/>
    <w:rsid w:val="7ED55B24"/>
    <w:rsid w:val="7ED9F2B8"/>
    <w:rsid w:val="7F5FE256"/>
    <w:rsid w:val="7FB49993"/>
    <w:rsid w:val="7FFFEAF2"/>
    <w:rsid w:val="92FF3DE6"/>
    <w:rsid w:val="9BF5CEE1"/>
    <w:rsid w:val="A3ED4BFE"/>
    <w:rsid w:val="AE3C7DB2"/>
    <w:rsid w:val="AFEE2D01"/>
    <w:rsid w:val="BA7B23C6"/>
    <w:rsid w:val="BDFD0E1B"/>
    <w:rsid w:val="BED68D54"/>
    <w:rsid w:val="BFEF9DE5"/>
    <w:rsid w:val="C1BF7382"/>
    <w:rsid w:val="CE7F4172"/>
    <w:rsid w:val="CF6F8B4E"/>
    <w:rsid w:val="D7BFCAD2"/>
    <w:rsid w:val="D7F73119"/>
    <w:rsid w:val="DA5C2378"/>
    <w:rsid w:val="DABFA47E"/>
    <w:rsid w:val="DB3E3CCF"/>
    <w:rsid w:val="DCBCB272"/>
    <w:rsid w:val="DEDF86ED"/>
    <w:rsid w:val="DEFF29A1"/>
    <w:rsid w:val="DF0F2F23"/>
    <w:rsid w:val="DF571034"/>
    <w:rsid w:val="DF5943CD"/>
    <w:rsid w:val="DFB390A7"/>
    <w:rsid w:val="DFFDE5EE"/>
    <w:rsid w:val="E2FD9A42"/>
    <w:rsid w:val="E6BE8510"/>
    <w:rsid w:val="E96E2C7B"/>
    <w:rsid w:val="E9F91E8B"/>
    <w:rsid w:val="EB92195E"/>
    <w:rsid w:val="EBBE636F"/>
    <w:rsid w:val="EBE9C0BF"/>
    <w:rsid w:val="ED3F3FA9"/>
    <w:rsid w:val="EDD938E8"/>
    <w:rsid w:val="EDF75318"/>
    <w:rsid w:val="EDFF68D6"/>
    <w:rsid w:val="EDFFDE1E"/>
    <w:rsid w:val="EEDFBB52"/>
    <w:rsid w:val="EF7C5B4A"/>
    <w:rsid w:val="EFE7C749"/>
    <w:rsid w:val="EFFF00C1"/>
    <w:rsid w:val="F2E1156F"/>
    <w:rsid w:val="F33F12F2"/>
    <w:rsid w:val="F5F59F92"/>
    <w:rsid w:val="F76F85C3"/>
    <w:rsid w:val="F7AD3E70"/>
    <w:rsid w:val="F7F98942"/>
    <w:rsid w:val="F9BD21C1"/>
    <w:rsid w:val="F9E7EAAB"/>
    <w:rsid w:val="FB279886"/>
    <w:rsid w:val="FB3EE3E6"/>
    <w:rsid w:val="FB3F1E0F"/>
    <w:rsid w:val="FDB73C34"/>
    <w:rsid w:val="FDDB1722"/>
    <w:rsid w:val="FE734873"/>
    <w:rsid w:val="FE9B75AD"/>
    <w:rsid w:val="FF338262"/>
    <w:rsid w:val="FF53F1B1"/>
    <w:rsid w:val="FFBBA200"/>
    <w:rsid w:val="FFD1AF35"/>
    <w:rsid w:val="FFFB33D3"/>
    <w:rsid w:val="FFFFA264"/>
    <w:rsid w:val="FFFFF48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宋体"/>
      <w:kern w:val="2"/>
      <w:sz w:val="24"/>
      <w:szCs w:val="24"/>
      <w:lang w:val="en-US" w:eastAsia="zh-CN" w:bidi="ar-SA"/>
    </w:rPr>
  </w:style>
  <w:style w:type="paragraph" w:styleId="5">
    <w:name w:val="heading 1"/>
    <w:basedOn w:val="1"/>
    <w:next w:val="1"/>
    <w:qFormat/>
    <w:uiPriority w:val="0"/>
    <w:pPr>
      <w:keepNext/>
      <w:keepLines/>
      <w:spacing w:before="340" w:after="330" w:line="360" w:lineRule="auto"/>
      <w:jc w:val="center"/>
      <w:outlineLvl w:val="0"/>
    </w:pPr>
    <w:rPr>
      <w:rFonts w:ascii="楷体_GB2312" w:eastAsia="楷体_GB2312" w:cs="Times New Roman"/>
      <w:b/>
      <w:bCs/>
      <w:kern w:val="44"/>
      <w:sz w:val="44"/>
      <w:szCs w:val="44"/>
    </w:rPr>
  </w:style>
  <w:style w:type="paragraph" w:styleId="6">
    <w:name w:val="heading 2"/>
    <w:basedOn w:val="1"/>
    <w:next w:val="1"/>
    <w:qFormat/>
    <w:uiPriority w:val="0"/>
    <w:pPr>
      <w:keepNext/>
      <w:keepLines/>
      <w:spacing w:line="540" w:lineRule="exact"/>
      <w:jc w:val="left"/>
      <w:outlineLvl w:val="1"/>
    </w:pPr>
    <w:rPr>
      <w:rFonts w:ascii="Arial" w:hAnsi="Arial" w:cs="Times New Roman"/>
      <w:b/>
      <w:bCs/>
      <w:kern w:val="0"/>
      <w:szCs w:val="32"/>
    </w:rPr>
  </w:style>
  <w:style w:type="paragraph" w:styleId="7">
    <w:name w:val="heading 3"/>
    <w:basedOn w:val="1"/>
    <w:next w:val="1"/>
    <w:qFormat/>
    <w:uiPriority w:val="0"/>
    <w:pPr>
      <w:keepNext/>
      <w:keepLines/>
      <w:spacing w:line="360" w:lineRule="auto"/>
      <w:ind w:firstLine="482"/>
      <w:jc w:val="left"/>
      <w:outlineLvl w:val="2"/>
    </w:pPr>
    <w:rPr>
      <w:rFonts w:ascii="Cambria" w:hAnsi="Cambria" w:cs="Times New Roman"/>
      <w:b/>
      <w:bCs/>
    </w:rPr>
  </w:style>
  <w:style w:type="character" w:default="1" w:styleId="28">
    <w:name w:val="Default Paragraph Font"/>
    <w:unhideWhenUsed/>
    <w:qFormat/>
    <w:uiPriority w:val="1"/>
  </w:style>
  <w:style w:type="table" w:default="1" w:styleId="26">
    <w:name w:val="Normal Table"/>
    <w:semiHidden/>
    <w:unhideWhenUsed/>
    <w:qFormat/>
    <w:uiPriority w:val="99"/>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2">
    <w:name w:val="Body Text First Indent 2"/>
    <w:basedOn w:val="3"/>
    <w:next w:val="4"/>
    <w:qFormat/>
    <w:uiPriority w:val="0"/>
    <w:pPr>
      <w:spacing w:after="120" w:line="240" w:lineRule="auto"/>
      <w:ind w:left="420" w:leftChars="200" w:firstLine="420" w:firstLineChars="200"/>
    </w:pPr>
    <w:rPr>
      <w:sz w:val="21"/>
      <w:szCs w:val="24"/>
    </w:rPr>
  </w:style>
  <w:style w:type="paragraph" w:styleId="3">
    <w:name w:val="Body Text Indent"/>
    <w:basedOn w:val="1"/>
    <w:next w:val="2"/>
    <w:qFormat/>
    <w:uiPriority w:val="0"/>
    <w:pPr>
      <w:spacing w:line="200" w:lineRule="exact"/>
      <w:ind w:firstLine="301"/>
    </w:pPr>
    <w:rPr>
      <w:rFonts w:ascii="宋体" w:hAnsi="Courier New" w:cs="Times New Roman"/>
      <w:spacing w:val="-4"/>
      <w:kern w:val="0"/>
      <w:sz w:val="18"/>
      <w:szCs w:val="20"/>
    </w:rPr>
  </w:style>
  <w:style w:type="paragraph" w:customStyle="1" w:styleId="4">
    <w:name w:val="xl53"/>
    <w:basedOn w:val="1"/>
    <w:next w:val="1"/>
    <w:qFormat/>
    <w:uiPriority w:val="0"/>
    <w:pPr>
      <w:spacing w:before="280" w:after="280" w:line="100" w:lineRule="exact"/>
      <w:jc w:val="center"/>
    </w:pPr>
    <w:rPr>
      <w:b/>
      <w:sz w:val="20"/>
    </w:rPr>
  </w:style>
  <w:style w:type="paragraph" w:styleId="8">
    <w:name w:val="List Number"/>
    <w:basedOn w:val="1"/>
    <w:qFormat/>
    <w:uiPriority w:val="0"/>
    <w:pPr>
      <w:numPr>
        <w:ilvl w:val="0"/>
        <w:numId w:val="1"/>
      </w:numPr>
    </w:pPr>
  </w:style>
  <w:style w:type="paragraph" w:styleId="9">
    <w:name w:val="Normal Indent"/>
    <w:basedOn w:val="1"/>
    <w:next w:val="1"/>
    <w:qFormat/>
    <w:uiPriority w:val="0"/>
    <w:pPr>
      <w:ind w:firstLine="420"/>
    </w:pPr>
    <w:rPr>
      <w:rFonts w:cs="Times New Roman"/>
      <w:szCs w:val="22"/>
    </w:rPr>
  </w:style>
  <w:style w:type="paragraph" w:styleId="10">
    <w:name w:val="caption"/>
    <w:basedOn w:val="1"/>
    <w:next w:val="1"/>
    <w:qFormat/>
    <w:uiPriority w:val="0"/>
    <w:pPr>
      <w:spacing w:before="152" w:after="160"/>
    </w:pPr>
    <w:rPr>
      <w:rFonts w:ascii="Arial" w:hAnsi="Arial" w:eastAsia="黑体" w:cs="Arial"/>
      <w:sz w:val="20"/>
      <w:szCs w:val="20"/>
    </w:rPr>
  </w:style>
  <w:style w:type="paragraph" w:styleId="11">
    <w:name w:val="Body Text"/>
    <w:basedOn w:val="1"/>
    <w:next w:val="1"/>
    <w:link w:val="38"/>
    <w:qFormat/>
    <w:uiPriority w:val="0"/>
    <w:pPr>
      <w:spacing w:after="120"/>
    </w:pPr>
  </w:style>
  <w:style w:type="paragraph" w:styleId="12">
    <w:name w:val="Block Text"/>
    <w:basedOn w:val="1"/>
    <w:qFormat/>
    <w:uiPriority w:val="0"/>
    <w:pPr>
      <w:spacing w:before="120" w:line="360" w:lineRule="auto"/>
      <w:ind w:left="824" w:right="202"/>
    </w:pPr>
    <w:rPr>
      <w:rFonts w:ascii="宋体" w:cs="Times New Roman"/>
      <w:szCs w:val="21"/>
    </w:rPr>
  </w:style>
  <w:style w:type="paragraph" w:styleId="13">
    <w:name w:val="Plain Text"/>
    <w:basedOn w:val="1"/>
    <w:next w:val="1"/>
    <w:link w:val="39"/>
    <w:qFormat/>
    <w:uiPriority w:val="0"/>
    <w:pPr>
      <w:spacing w:beforeLines="50" w:afterLines="50" w:line="400" w:lineRule="exact"/>
    </w:pPr>
    <w:rPr>
      <w:rFonts w:ascii="宋体" w:hAnsi="Courier New" w:cs="Times New Roman"/>
      <w:kern w:val="0"/>
    </w:rPr>
  </w:style>
  <w:style w:type="paragraph" w:styleId="14">
    <w:name w:val="Date"/>
    <w:basedOn w:val="1"/>
    <w:next w:val="1"/>
    <w:qFormat/>
    <w:uiPriority w:val="0"/>
    <w:pPr>
      <w:ind w:left="2500" w:leftChars="2500"/>
    </w:pPr>
    <w:rPr>
      <w:rFonts w:eastAsia="楷体_GB2312"/>
      <w:kern w:val="0"/>
      <w:sz w:val="32"/>
      <w:szCs w:val="20"/>
    </w:rPr>
  </w:style>
  <w:style w:type="paragraph" w:styleId="15">
    <w:name w:val="Body Text Indent 2"/>
    <w:basedOn w:val="1"/>
    <w:qFormat/>
    <w:uiPriority w:val="0"/>
    <w:pPr>
      <w:spacing w:line="320" w:lineRule="atLeast"/>
      <w:ind w:firstLine="600" w:firstLineChars="250"/>
    </w:pPr>
    <w:rPr>
      <w:rFonts w:ascii="宋体" w:hAnsi="宋体"/>
    </w:rPr>
  </w:style>
  <w:style w:type="paragraph" w:styleId="16">
    <w:name w:val="Balloon Text"/>
    <w:basedOn w:val="1"/>
    <w:qFormat/>
    <w:uiPriority w:val="0"/>
    <w:rPr>
      <w:rFonts w:cs="Times New Roman"/>
      <w:kern w:val="0"/>
      <w:sz w:val="18"/>
      <w:szCs w:val="18"/>
    </w:rPr>
  </w:style>
  <w:style w:type="paragraph" w:styleId="17">
    <w:name w:val="footer"/>
    <w:basedOn w:val="1"/>
    <w:qFormat/>
    <w:uiPriority w:val="0"/>
    <w:pPr>
      <w:tabs>
        <w:tab w:val="center" w:pos="4153"/>
        <w:tab w:val="right" w:pos="8306"/>
      </w:tabs>
      <w:snapToGrid w:val="0"/>
      <w:jc w:val="left"/>
    </w:pPr>
    <w:rPr>
      <w:rFonts w:cs="Times New Roman"/>
      <w:kern w:val="0"/>
      <w:sz w:val="18"/>
      <w:szCs w:val="18"/>
    </w:rPr>
  </w:style>
  <w:style w:type="paragraph" w:styleId="18">
    <w:name w:val="header"/>
    <w:basedOn w:val="1"/>
    <w:qFormat/>
    <w:uiPriority w:val="0"/>
    <w:pPr>
      <w:pBdr>
        <w:bottom w:val="single" w:color="auto" w:sz="6" w:space="1"/>
      </w:pBdr>
      <w:tabs>
        <w:tab w:val="center" w:pos="4153"/>
        <w:tab w:val="right" w:pos="8306"/>
      </w:tabs>
      <w:snapToGrid w:val="0"/>
      <w:jc w:val="center"/>
    </w:pPr>
    <w:rPr>
      <w:rFonts w:cs="Times New Roman"/>
      <w:sz w:val="18"/>
      <w:szCs w:val="18"/>
    </w:rPr>
  </w:style>
  <w:style w:type="paragraph" w:styleId="19">
    <w:name w:val="toc 1"/>
    <w:basedOn w:val="1"/>
    <w:next w:val="1"/>
    <w:qFormat/>
    <w:uiPriority w:val="0"/>
    <w:rPr>
      <w:rFonts w:cs="Times New Roman"/>
    </w:rPr>
  </w:style>
  <w:style w:type="paragraph" w:styleId="20">
    <w:name w:val="Subtitle"/>
    <w:basedOn w:val="1"/>
    <w:next w:val="1"/>
    <w:qFormat/>
    <w:uiPriority w:val="0"/>
    <w:pPr>
      <w:spacing w:before="240" w:after="60" w:line="312" w:lineRule="auto"/>
      <w:jc w:val="center"/>
      <w:outlineLvl w:val="1"/>
    </w:pPr>
    <w:rPr>
      <w:rFonts w:ascii="华文细黑" w:hAnsi="华文细黑" w:eastAsia="??"/>
      <w:b/>
      <w:bCs/>
      <w:sz w:val="32"/>
      <w:szCs w:val="32"/>
    </w:rPr>
  </w:style>
  <w:style w:type="paragraph" w:styleId="21">
    <w:name w:val="List"/>
    <w:basedOn w:val="1"/>
    <w:qFormat/>
    <w:uiPriority w:val="0"/>
    <w:pPr>
      <w:ind w:left="200" w:hanging="200" w:hangingChars="200"/>
    </w:pPr>
    <w:rPr>
      <w:sz w:val="28"/>
    </w:rPr>
  </w:style>
  <w:style w:type="paragraph" w:styleId="22">
    <w:name w:val="toc 6"/>
    <w:basedOn w:val="1"/>
    <w:next w:val="1"/>
    <w:qFormat/>
    <w:uiPriority w:val="0"/>
    <w:pPr>
      <w:ind w:left="1050"/>
      <w:jc w:val="left"/>
    </w:pPr>
    <w:rPr>
      <w:rFonts w:ascii="Calibri" w:hAnsi="Calibri"/>
      <w:sz w:val="18"/>
      <w:szCs w:val="18"/>
    </w:rPr>
  </w:style>
  <w:style w:type="paragraph" w:styleId="23">
    <w:name w:val="Body Text Indent 3"/>
    <w:basedOn w:val="1"/>
    <w:qFormat/>
    <w:uiPriority w:val="0"/>
    <w:pPr>
      <w:snapToGrid w:val="0"/>
      <w:ind w:firstLine="480" w:firstLineChars="200"/>
      <w:jc w:val="left"/>
    </w:pPr>
    <w:rPr>
      <w:rFonts w:ascii="仿宋_GB2312" w:hAnsi="宋体" w:eastAsia="仿宋_GB2312" w:cs="Times New Roman"/>
      <w:color w:val="000000"/>
      <w:kern w:val="0"/>
    </w:rPr>
  </w:style>
  <w:style w:type="paragraph" w:styleId="24">
    <w:name w:val="Normal (Web)"/>
    <w:basedOn w:val="1"/>
    <w:qFormat/>
    <w:uiPriority w:val="0"/>
    <w:pPr>
      <w:widowControl/>
      <w:spacing w:before="100" w:beforeAutospacing="1" w:after="100" w:afterAutospacing="1"/>
      <w:jc w:val="left"/>
    </w:pPr>
    <w:rPr>
      <w:rFonts w:ascii="宋体" w:hAnsi="宋体" w:cs="Times New Roman"/>
      <w:kern w:val="0"/>
    </w:rPr>
  </w:style>
  <w:style w:type="paragraph" w:styleId="25">
    <w:name w:val="Body Text First Indent"/>
    <w:basedOn w:val="11"/>
    <w:next w:val="22"/>
    <w:link w:val="43"/>
    <w:qFormat/>
    <w:uiPriority w:val="0"/>
    <w:pPr>
      <w:ind w:firstLine="420" w:firstLineChars="100"/>
    </w:p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page number"/>
    <w:basedOn w:val="28"/>
    <w:qFormat/>
    <w:uiPriority w:val="0"/>
  </w:style>
  <w:style w:type="character" w:styleId="30">
    <w:name w:val="Hyperlink"/>
    <w:qFormat/>
    <w:uiPriority w:val="0"/>
    <w:rPr>
      <w:rFonts w:ascii="Times New Roman" w:hAnsi="Times New Roman" w:eastAsia="宋体" w:cs="Times New Roman"/>
      <w:color w:val="0000FF"/>
      <w:u w:val="single"/>
    </w:rPr>
  </w:style>
  <w:style w:type="paragraph" w:customStyle="1" w:styleId="31">
    <w:name w:val="标准正文"/>
    <w:basedOn w:val="1"/>
    <w:qFormat/>
    <w:uiPriority w:val="0"/>
    <w:pPr>
      <w:spacing w:line="360" w:lineRule="auto"/>
      <w:ind w:firstLine="200" w:firstLineChars="200"/>
    </w:pPr>
    <w:rPr>
      <w:rFonts w:cs="Times New Roman"/>
      <w:szCs w:val="20"/>
    </w:rPr>
  </w:style>
  <w:style w:type="paragraph" w:customStyle="1" w:styleId="32">
    <w:name w:val="Default"/>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33">
    <w:name w:val="正文2"/>
    <w:basedOn w:val="1"/>
    <w:qFormat/>
    <w:uiPriority w:val="0"/>
    <w:pPr>
      <w:spacing w:before="156" w:line="360" w:lineRule="auto"/>
      <w:ind w:firstLine="510" w:firstLineChars="200"/>
    </w:pPr>
    <w:rPr>
      <w:szCs w:val="20"/>
    </w:rPr>
  </w:style>
  <w:style w:type="paragraph" w:customStyle="1" w:styleId="34">
    <w:name w:val="List Paragraph1"/>
    <w:basedOn w:val="1"/>
    <w:qFormat/>
    <w:uiPriority w:val="0"/>
    <w:pPr>
      <w:ind w:firstLine="200" w:firstLineChars="200"/>
    </w:pPr>
    <w:rPr>
      <w:sz w:val="28"/>
      <w:szCs w:val="28"/>
    </w:rPr>
  </w:style>
  <w:style w:type="paragraph" w:customStyle="1" w:styleId="35">
    <w:name w:val="纯文本1"/>
    <w:basedOn w:val="1"/>
    <w:qFormat/>
    <w:uiPriority w:val="0"/>
    <w:pPr>
      <w:adjustRightInd w:val="0"/>
      <w:textAlignment w:val="baseline"/>
    </w:pPr>
    <w:rPr>
      <w:rFonts w:ascii="宋体" w:hAnsi="Courier New" w:eastAsia="楷体_GB2312" w:cs="Times New Roman"/>
      <w:sz w:val="26"/>
      <w:szCs w:val="20"/>
    </w:rPr>
  </w:style>
  <w:style w:type="paragraph" w:customStyle="1" w:styleId="3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
    <w:name w:val="纯文本2"/>
    <w:basedOn w:val="1"/>
    <w:qFormat/>
    <w:uiPriority w:val="0"/>
    <w:pPr>
      <w:adjustRightInd w:val="0"/>
      <w:textAlignment w:val="baseline"/>
    </w:pPr>
    <w:rPr>
      <w:rFonts w:ascii="宋体" w:hAnsi="Courier New" w:eastAsia="楷体_GB2312" w:cs="Times New Roman"/>
      <w:sz w:val="26"/>
      <w:szCs w:val="20"/>
    </w:rPr>
  </w:style>
  <w:style w:type="character" w:customStyle="1" w:styleId="38">
    <w:name w:val="正文文本 Char"/>
    <w:basedOn w:val="28"/>
    <w:link w:val="11"/>
    <w:qFormat/>
    <w:uiPriority w:val="0"/>
    <w:rPr>
      <w:rFonts w:ascii="Times New Roman" w:hAnsi="Times New Roman" w:eastAsia="宋体" w:cs="宋体"/>
      <w:kern w:val="2"/>
      <w:sz w:val="24"/>
      <w:szCs w:val="24"/>
    </w:rPr>
  </w:style>
  <w:style w:type="character" w:customStyle="1" w:styleId="39">
    <w:name w:val="纯文本 Char"/>
    <w:basedOn w:val="28"/>
    <w:link w:val="13"/>
    <w:qFormat/>
    <w:uiPriority w:val="0"/>
    <w:rPr>
      <w:rFonts w:ascii="宋体" w:hAnsi="Courier New"/>
      <w:sz w:val="24"/>
      <w:szCs w:val="24"/>
    </w:rPr>
  </w:style>
  <w:style w:type="paragraph" w:customStyle="1" w:styleId="40">
    <w:name w:val="正文_0"/>
    <w:basedOn w:val="1"/>
    <w:qFormat/>
    <w:uiPriority w:val="0"/>
    <w:rPr>
      <w:rFonts w:ascii="华文中宋" w:hAnsi="华文中宋" w:eastAsia="等线 Light" w:cs="Times New Roman"/>
      <w:sz w:val="21"/>
      <w:szCs w:val="22"/>
    </w:rPr>
  </w:style>
  <w:style w:type="paragraph" w:customStyle="1" w:styleId="41">
    <w:name w:val="样式 标题 2 + Times New Roman 四号 非加粗 段前: 5 磅 段后: 0 磅 行距: 固定值 20..."/>
    <w:basedOn w:val="6"/>
    <w:qFormat/>
    <w:uiPriority w:val="0"/>
    <w:pPr>
      <w:spacing w:before="100" w:line="400" w:lineRule="exact"/>
    </w:pPr>
    <w:rPr>
      <w:rFonts w:ascii="Verdana" w:hAnsi="Verdana" w:cs="等线 Light"/>
      <w:b w:val="0"/>
      <w:bCs w:val="0"/>
      <w:sz w:val="28"/>
      <w:szCs w:val="20"/>
    </w:rPr>
  </w:style>
  <w:style w:type="paragraph" w:customStyle="1" w:styleId="42">
    <w:name w:val="列出段落1"/>
    <w:basedOn w:val="1"/>
    <w:qFormat/>
    <w:uiPriority w:val="0"/>
    <w:pPr>
      <w:ind w:firstLine="420" w:firstLineChars="200"/>
    </w:pPr>
    <w:rPr>
      <w:rFonts w:asciiTheme="minorHAnsi" w:hAnsiTheme="minorHAnsi" w:eastAsiaTheme="minorEastAsia" w:cstheme="minorBidi"/>
    </w:rPr>
  </w:style>
  <w:style w:type="character" w:customStyle="1" w:styleId="43">
    <w:name w:val="正文首行缩进 Char"/>
    <w:link w:val="25"/>
    <w:qFormat/>
    <w:uiPriority w:val="0"/>
    <w:rPr>
      <w:rFonts w:hint="eastAsia" w:ascii="宋体" w:hAnsi="宋体" w:eastAsia="宋体" w:cs="宋体"/>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53</Pages>
  <Words>26376</Words>
  <Characters>28509</Characters>
  <Lines>249</Lines>
  <Paragraphs>70</Paragraphs>
  <TotalTime>104</TotalTime>
  <ScaleCrop>false</ScaleCrop>
  <LinksUpToDate>false</LinksUpToDate>
  <CharactersWithSpaces>29519</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2022-12-09T13:11:00Z</dcterms:created>
  <dc:creator>Administrator</dc:creator>
  <cp:lastModifiedBy>Administrator</cp:lastModifiedBy>
  <cp:lastPrinted>2022-12-12T06:09:00Z</cp:lastPrinted>
  <dcterms:modified xsi:type="dcterms:W3CDTF">2024-11-27T08:11:16Z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B742B0A838244AF88438B3854BCB5B9B</vt:lpwstr>
  </property>
  <property fmtid="{D5CDD505-2E9C-101B-9397-08002B2CF9AE}" pid="4" name="woTemplateTypoMode" linkTarget="0">
    <vt:lpwstr>web</vt:lpwstr>
  </property>
  <property fmtid="{D5CDD505-2E9C-101B-9397-08002B2CF9AE}" pid="5" name="woTemplate" linkTarget="0">
    <vt:i4>1</vt:i4>
  </property>
</Properties>
</file>