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EEECE1"/>
  <w:body>
    <w:p>
      <w:pPr>
        <w:pStyle w:val="23"/>
        <w:spacing w:before="120" w:after="120" w:line="360" w:lineRule="auto"/>
        <w:jc w:val="center"/>
        <w:rPr>
          <w:rFonts w:cs="宋体"/>
          <w:b/>
          <w:color w:val="auto"/>
          <w:sz w:val="36"/>
          <w:szCs w:val="36"/>
          <w:highlight w:val="none"/>
        </w:rPr>
      </w:pPr>
      <w:r>
        <w:rPr>
          <w:rFonts w:hint="eastAsia" w:cs="宋体"/>
          <w:b/>
          <w:color w:val="auto"/>
          <w:sz w:val="36"/>
          <w:szCs w:val="36"/>
          <w:highlight w:val="none"/>
        </w:rPr>
        <w:t>目      录</w:t>
      </w:r>
    </w:p>
    <w:p>
      <w:pPr>
        <w:pStyle w:val="23"/>
        <w:snapToGrid w:val="0"/>
        <w:spacing w:before="120" w:after="120" w:line="240" w:lineRule="auto"/>
        <w:jc w:val="center"/>
        <w:outlineLvl w:val="0"/>
        <w:rPr>
          <w:rFonts w:cs="宋体"/>
          <w:b/>
          <w:color w:val="auto"/>
          <w:highlight w:val="none"/>
        </w:rPr>
      </w:pPr>
    </w:p>
    <w:p>
      <w:pPr>
        <w:pStyle w:val="23"/>
        <w:snapToGrid w:val="0"/>
        <w:spacing w:before="120" w:after="120" w:line="600" w:lineRule="exact"/>
        <w:jc w:val="center"/>
        <w:outlineLvl w:val="0"/>
        <w:rPr>
          <w:rFonts w:cs="宋体"/>
          <w:b/>
          <w:color w:val="auto"/>
          <w:sz w:val="28"/>
          <w:szCs w:val="28"/>
          <w:highlight w:val="none"/>
        </w:rPr>
      </w:pPr>
      <w:r>
        <w:rPr>
          <w:rFonts w:hint="eastAsia" w:cs="宋体"/>
          <w:b/>
          <w:color w:val="auto"/>
          <w:sz w:val="28"/>
          <w:szCs w:val="28"/>
          <w:highlight w:val="none"/>
        </w:rPr>
        <w:t>第一章  公开招标采购公告………………………………………2</w:t>
      </w:r>
    </w:p>
    <w:p>
      <w:pPr>
        <w:pStyle w:val="23"/>
        <w:snapToGrid w:val="0"/>
        <w:spacing w:before="120" w:after="120" w:line="600" w:lineRule="exact"/>
        <w:jc w:val="center"/>
        <w:outlineLvl w:val="0"/>
        <w:rPr>
          <w:rFonts w:cs="宋体"/>
          <w:b/>
          <w:color w:val="auto"/>
          <w:sz w:val="28"/>
          <w:szCs w:val="28"/>
          <w:highlight w:val="none"/>
        </w:rPr>
      </w:pPr>
      <w:r>
        <w:rPr>
          <w:rFonts w:hint="eastAsia" w:cs="宋体"/>
          <w:b/>
          <w:color w:val="auto"/>
          <w:sz w:val="28"/>
          <w:szCs w:val="28"/>
          <w:highlight w:val="none"/>
        </w:rPr>
        <w:t>第二章  前附表……………………………………………………7</w:t>
      </w:r>
    </w:p>
    <w:p>
      <w:pPr>
        <w:pStyle w:val="23"/>
        <w:snapToGrid w:val="0"/>
        <w:spacing w:before="120" w:after="120" w:line="600" w:lineRule="exact"/>
        <w:jc w:val="center"/>
        <w:outlineLvl w:val="0"/>
        <w:rPr>
          <w:rFonts w:cs="宋体"/>
          <w:b/>
          <w:color w:val="auto"/>
          <w:sz w:val="28"/>
          <w:szCs w:val="28"/>
          <w:highlight w:val="none"/>
        </w:rPr>
      </w:pPr>
      <w:r>
        <w:rPr>
          <w:rFonts w:hint="eastAsia" w:cs="宋体"/>
          <w:b/>
          <w:color w:val="auto"/>
          <w:sz w:val="28"/>
          <w:szCs w:val="28"/>
          <w:highlight w:val="none"/>
        </w:rPr>
        <w:t xml:space="preserve"> 第三章  采购需求…………………………………………………12</w:t>
      </w:r>
    </w:p>
    <w:p>
      <w:pPr>
        <w:pStyle w:val="23"/>
        <w:snapToGrid w:val="0"/>
        <w:spacing w:before="120" w:after="120" w:line="600" w:lineRule="exact"/>
        <w:jc w:val="center"/>
        <w:outlineLvl w:val="0"/>
        <w:rPr>
          <w:rFonts w:hint="default" w:eastAsia="宋体" w:cs="宋体"/>
          <w:b/>
          <w:color w:val="auto"/>
          <w:sz w:val="28"/>
          <w:szCs w:val="28"/>
          <w:highlight w:val="none"/>
          <w:lang w:val="en-US" w:eastAsia="zh-CN"/>
        </w:rPr>
      </w:pPr>
      <w:r>
        <w:rPr>
          <w:rFonts w:hint="eastAsia" w:cs="宋体"/>
          <w:b/>
          <w:color w:val="auto"/>
          <w:sz w:val="28"/>
          <w:szCs w:val="28"/>
          <w:highlight w:val="none"/>
        </w:rPr>
        <w:t xml:space="preserve"> 第四章  投标人须知………………………………………………</w:t>
      </w:r>
      <w:r>
        <w:rPr>
          <w:rFonts w:hint="eastAsia" w:cs="宋体"/>
          <w:b/>
          <w:color w:val="auto"/>
          <w:sz w:val="28"/>
          <w:szCs w:val="28"/>
          <w:highlight w:val="none"/>
          <w:lang w:val="en-US" w:eastAsia="zh-CN"/>
        </w:rPr>
        <w:t>17</w:t>
      </w:r>
    </w:p>
    <w:p>
      <w:pPr>
        <w:pStyle w:val="23"/>
        <w:snapToGrid w:val="0"/>
        <w:spacing w:before="120" w:after="120" w:line="600" w:lineRule="exact"/>
        <w:jc w:val="center"/>
        <w:outlineLvl w:val="0"/>
        <w:rPr>
          <w:rFonts w:hint="default" w:eastAsia="宋体" w:cs="宋体"/>
          <w:b/>
          <w:color w:val="auto"/>
          <w:sz w:val="28"/>
          <w:szCs w:val="28"/>
          <w:highlight w:val="none"/>
          <w:lang w:val="en-US" w:eastAsia="zh-CN"/>
        </w:rPr>
      </w:pPr>
      <w:r>
        <w:rPr>
          <w:rFonts w:hint="eastAsia" w:cs="宋体"/>
          <w:b/>
          <w:color w:val="auto"/>
          <w:sz w:val="28"/>
          <w:szCs w:val="28"/>
          <w:highlight w:val="none"/>
        </w:rPr>
        <w:t xml:space="preserve"> 第五章  开标和评标须知…………………………………………</w:t>
      </w:r>
      <w:r>
        <w:rPr>
          <w:rFonts w:hint="eastAsia" w:cs="宋体"/>
          <w:b/>
          <w:color w:val="auto"/>
          <w:sz w:val="28"/>
          <w:szCs w:val="28"/>
          <w:highlight w:val="none"/>
          <w:lang w:val="en-US" w:eastAsia="zh-CN"/>
        </w:rPr>
        <w:t>28</w:t>
      </w:r>
    </w:p>
    <w:p>
      <w:pPr>
        <w:pStyle w:val="23"/>
        <w:snapToGrid w:val="0"/>
        <w:spacing w:before="120" w:after="120" w:line="600" w:lineRule="exact"/>
        <w:jc w:val="center"/>
        <w:outlineLvl w:val="0"/>
        <w:rPr>
          <w:rFonts w:hint="default" w:eastAsia="宋体" w:cs="宋体"/>
          <w:b/>
          <w:color w:val="auto"/>
          <w:sz w:val="28"/>
          <w:szCs w:val="28"/>
          <w:highlight w:val="none"/>
          <w:lang w:val="en-US" w:eastAsia="zh-CN"/>
        </w:rPr>
      </w:pPr>
      <w:r>
        <w:rPr>
          <w:rFonts w:hint="eastAsia" w:cs="宋体"/>
          <w:b/>
          <w:color w:val="auto"/>
          <w:sz w:val="28"/>
          <w:szCs w:val="28"/>
          <w:highlight w:val="none"/>
        </w:rPr>
        <w:t xml:space="preserve"> 第六章  评标细则…………………………………………………</w:t>
      </w:r>
      <w:r>
        <w:rPr>
          <w:rFonts w:hint="eastAsia" w:cs="宋体"/>
          <w:b/>
          <w:color w:val="auto"/>
          <w:sz w:val="28"/>
          <w:szCs w:val="28"/>
          <w:highlight w:val="none"/>
          <w:lang w:val="en-US" w:eastAsia="zh-CN"/>
        </w:rPr>
        <w:t>32</w:t>
      </w:r>
    </w:p>
    <w:p>
      <w:pPr>
        <w:pStyle w:val="23"/>
        <w:snapToGrid w:val="0"/>
        <w:spacing w:before="120" w:after="120" w:line="600" w:lineRule="exact"/>
        <w:jc w:val="center"/>
        <w:outlineLvl w:val="0"/>
        <w:rPr>
          <w:rFonts w:hint="default" w:eastAsia="宋体" w:cs="宋体"/>
          <w:b/>
          <w:color w:val="auto"/>
          <w:sz w:val="28"/>
          <w:szCs w:val="28"/>
          <w:highlight w:val="none"/>
          <w:lang w:val="en-US" w:eastAsia="zh-CN"/>
        </w:rPr>
      </w:pPr>
      <w:r>
        <w:rPr>
          <w:rFonts w:hint="eastAsia" w:cs="宋体"/>
          <w:b/>
          <w:color w:val="auto"/>
          <w:sz w:val="28"/>
          <w:szCs w:val="28"/>
          <w:highlight w:val="none"/>
        </w:rPr>
        <w:t xml:space="preserve"> 第七章  合同条款…………………………………………………</w:t>
      </w:r>
      <w:r>
        <w:rPr>
          <w:rFonts w:hint="eastAsia" w:cs="宋体"/>
          <w:b/>
          <w:color w:val="auto"/>
          <w:sz w:val="28"/>
          <w:szCs w:val="28"/>
          <w:highlight w:val="none"/>
          <w:lang w:val="en-US" w:eastAsia="zh-CN"/>
        </w:rPr>
        <w:t>39</w:t>
      </w:r>
    </w:p>
    <w:p>
      <w:pPr>
        <w:pStyle w:val="23"/>
        <w:snapToGrid w:val="0"/>
        <w:spacing w:before="120" w:after="120" w:line="600" w:lineRule="exact"/>
        <w:ind w:firstLine="843" w:firstLineChars="300"/>
        <w:jc w:val="left"/>
        <w:outlineLvl w:val="0"/>
        <w:rPr>
          <w:rFonts w:hint="default" w:eastAsia="宋体" w:cs="宋体"/>
          <w:b/>
          <w:color w:val="auto"/>
          <w:sz w:val="28"/>
          <w:szCs w:val="28"/>
          <w:highlight w:val="none"/>
          <w:lang w:val="en-US" w:eastAsia="zh-CN"/>
        </w:rPr>
      </w:pPr>
      <w:r>
        <w:rPr>
          <w:rFonts w:hint="eastAsia" w:cs="宋体"/>
          <w:b/>
          <w:color w:val="auto"/>
          <w:sz w:val="28"/>
          <w:szCs w:val="28"/>
          <w:highlight w:val="none"/>
        </w:rPr>
        <w:t>第八章  投标文件格式……………………………………………</w:t>
      </w:r>
      <w:r>
        <w:rPr>
          <w:rFonts w:hint="eastAsia" w:cs="宋体"/>
          <w:b/>
          <w:color w:val="auto"/>
          <w:sz w:val="28"/>
          <w:szCs w:val="28"/>
          <w:highlight w:val="none"/>
          <w:lang w:val="en-US" w:eastAsia="zh-CN"/>
        </w:rPr>
        <w:t>45</w:t>
      </w:r>
    </w:p>
    <w:p>
      <w:pPr>
        <w:pStyle w:val="23"/>
        <w:snapToGrid w:val="0"/>
        <w:spacing w:before="120" w:after="120" w:line="600" w:lineRule="exact"/>
        <w:jc w:val="center"/>
        <w:outlineLvl w:val="0"/>
        <w:rPr>
          <w:rFonts w:cs="宋体"/>
          <w:b/>
          <w:color w:val="auto"/>
          <w:sz w:val="28"/>
          <w:szCs w:val="28"/>
          <w:highlight w:val="none"/>
        </w:rPr>
        <w:sectPr>
          <w:headerReference r:id="rId3" w:type="default"/>
          <w:footerReference r:id="rId4" w:type="default"/>
          <w:pgSz w:w="11906" w:h="16838"/>
          <w:pgMar w:top="1134" w:right="1247" w:bottom="1134" w:left="1304" w:header="851" w:footer="850" w:gutter="0"/>
          <w:pgNumType w:start="1"/>
          <w:cols w:space="720" w:num="1"/>
          <w:docGrid w:linePitch="312" w:charSpace="0"/>
        </w:sectPr>
      </w:pPr>
    </w:p>
    <w:p>
      <w:pPr>
        <w:pStyle w:val="23"/>
        <w:numPr>
          <w:ilvl w:val="0"/>
          <w:numId w:val="4"/>
        </w:numPr>
        <w:snapToGrid w:val="0"/>
        <w:spacing w:before="0" w:after="0" w:line="480" w:lineRule="exact"/>
        <w:jc w:val="center"/>
        <w:outlineLvl w:val="0"/>
        <w:rPr>
          <w:rFonts w:cs="宋体"/>
          <w:b/>
          <w:color w:val="auto"/>
          <w:sz w:val="28"/>
          <w:szCs w:val="28"/>
          <w:highlight w:val="none"/>
        </w:rPr>
      </w:pPr>
      <w:r>
        <w:rPr>
          <w:rFonts w:hint="eastAsia" w:cs="宋体"/>
          <w:b/>
          <w:color w:val="auto"/>
          <w:sz w:val="28"/>
          <w:szCs w:val="28"/>
          <w:highlight w:val="none"/>
        </w:rPr>
        <w:t xml:space="preserve"> 公开招标采购公告</w:t>
      </w:r>
    </w:p>
    <w:p>
      <w:pPr>
        <w:pStyle w:val="36"/>
        <w:spacing w:before="0" w:beforeAutospacing="0" w:after="0" w:afterAutospacing="0" w:line="500" w:lineRule="exact"/>
        <w:ind w:firstLine="420" w:firstLineChars="200"/>
        <w:rPr>
          <w:rFonts w:cs="宋体"/>
          <w:bCs/>
          <w:color w:val="auto"/>
          <w:kern w:val="2"/>
          <w:sz w:val="21"/>
          <w:szCs w:val="21"/>
          <w:highlight w:val="none"/>
        </w:rPr>
      </w:pPr>
      <w:r>
        <w:rPr>
          <w:rFonts w:hint="eastAsia" w:cs="宋体"/>
          <w:bCs/>
          <w:color w:val="auto"/>
          <w:kern w:val="2"/>
          <w:sz w:val="21"/>
          <w:szCs w:val="21"/>
          <w:highlight w:val="none"/>
        </w:rPr>
        <w:t>  项目概况</w:t>
      </w:r>
    </w:p>
    <w:tbl>
      <w:tblPr>
        <w:tblStyle w:val="39"/>
        <w:tblW w:w="0" w:type="auto"/>
        <w:tblInd w:w="16"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981"/>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049" w:hRule="atLeast"/>
        </w:trPr>
        <w:tc>
          <w:tcPr>
            <w:tcW w:w="9981" w:type="dxa"/>
            <w:noWrap/>
            <w:vAlign w:val="top"/>
          </w:tcPr>
          <w:p>
            <w:pPr>
              <w:pStyle w:val="36"/>
              <w:spacing w:before="0" w:beforeAutospacing="0" w:after="0" w:afterAutospacing="0" w:line="500" w:lineRule="exact"/>
              <w:ind w:firstLine="420" w:firstLineChars="200"/>
              <w:rPr>
                <w:rFonts w:cs="宋体"/>
                <w:bCs/>
                <w:color w:val="auto"/>
                <w:kern w:val="2"/>
                <w:sz w:val="21"/>
                <w:szCs w:val="21"/>
                <w:highlight w:val="none"/>
              </w:rPr>
            </w:pPr>
            <w:r>
              <w:rPr>
                <w:rFonts w:hint="eastAsia" w:cs="宋体"/>
                <w:bCs/>
                <w:color w:val="auto"/>
                <w:kern w:val="2"/>
                <w:sz w:val="21"/>
                <w:szCs w:val="21"/>
                <w:highlight w:val="none"/>
                <w:lang w:eastAsia="zh-CN"/>
              </w:rPr>
              <w:t>兰溪市人民医院北部院区单泵血透机、双泵血透机采购项目</w:t>
            </w:r>
            <w:r>
              <w:rPr>
                <w:rFonts w:hint="eastAsia" w:cs="宋体"/>
                <w:bCs/>
                <w:color w:val="auto"/>
                <w:kern w:val="2"/>
                <w:sz w:val="21"/>
                <w:szCs w:val="21"/>
                <w:highlight w:val="none"/>
              </w:rPr>
              <w:t>的潜在投标人应在浙江省“政采云”平台获取采购文件，并于</w:t>
            </w:r>
            <w:r>
              <w:rPr>
                <w:rFonts w:hint="eastAsia" w:cs="宋体"/>
                <w:bCs/>
                <w:color w:val="auto"/>
                <w:kern w:val="2"/>
                <w:sz w:val="21"/>
                <w:szCs w:val="21"/>
                <w:highlight w:val="none"/>
                <w:lang w:eastAsia="zh-CN"/>
              </w:rPr>
              <w:t>2024年</w:t>
            </w:r>
            <w:r>
              <w:rPr>
                <w:rFonts w:hint="eastAsia" w:cs="宋体"/>
                <w:bCs/>
                <w:color w:val="auto"/>
                <w:kern w:val="2"/>
                <w:sz w:val="21"/>
                <w:szCs w:val="21"/>
                <w:highlight w:val="none"/>
                <w:lang w:val="en-US" w:eastAsia="zh-CN"/>
              </w:rPr>
              <w:t>11</w:t>
            </w:r>
            <w:r>
              <w:rPr>
                <w:rFonts w:hint="eastAsia" w:cs="宋体"/>
                <w:bCs/>
                <w:color w:val="auto"/>
                <w:kern w:val="2"/>
                <w:sz w:val="21"/>
                <w:szCs w:val="21"/>
                <w:highlight w:val="none"/>
                <w:lang w:eastAsia="zh-CN"/>
              </w:rPr>
              <w:t>月</w:t>
            </w:r>
            <w:r>
              <w:rPr>
                <w:rFonts w:hint="eastAsia" w:cs="宋体"/>
                <w:bCs/>
                <w:color w:val="auto"/>
                <w:kern w:val="2"/>
                <w:sz w:val="21"/>
                <w:szCs w:val="21"/>
                <w:highlight w:val="none"/>
                <w:lang w:val="en-US" w:eastAsia="zh-CN"/>
              </w:rPr>
              <w:t>27</w:t>
            </w:r>
            <w:r>
              <w:rPr>
                <w:rFonts w:hint="eastAsia" w:cs="宋体"/>
                <w:bCs/>
                <w:color w:val="auto"/>
                <w:kern w:val="2"/>
                <w:sz w:val="21"/>
                <w:szCs w:val="21"/>
                <w:highlight w:val="none"/>
                <w:lang w:eastAsia="zh-CN"/>
              </w:rPr>
              <w:t>日</w:t>
            </w:r>
            <w:r>
              <w:rPr>
                <w:rFonts w:hint="eastAsia" w:cs="宋体"/>
                <w:bCs/>
                <w:color w:val="auto"/>
                <w:kern w:val="2"/>
                <w:sz w:val="21"/>
                <w:szCs w:val="21"/>
                <w:highlight w:val="none"/>
                <w:lang w:val="en-US" w:eastAsia="zh-CN"/>
              </w:rPr>
              <w:t>09</w:t>
            </w:r>
            <w:r>
              <w:rPr>
                <w:rFonts w:hint="eastAsia" w:cs="宋体"/>
                <w:bCs/>
                <w:color w:val="auto"/>
                <w:kern w:val="2"/>
                <w:sz w:val="21"/>
                <w:szCs w:val="21"/>
                <w:highlight w:val="none"/>
                <w:lang w:eastAsia="zh-CN"/>
              </w:rPr>
              <w:t>点</w:t>
            </w:r>
            <w:r>
              <w:rPr>
                <w:rFonts w:hint="eastAsia" w:cs="宋体"/>
                <w:bCs/>
                <w:color w:val="auto"/>
                <w:kern w:val="2"/>
                <w:sz w:val="21"/>
                <w:szCs w:val="21"/>
                <w:highlight w:val="none"/>
                <w:lang w:val="en-US" w:eastAsia="zh-CN"/>
              </w:rPr>
              <w:t>3</w:t>
            </w:r>
            <w:r>
              <w:rPr>
                <w:rFonts w:hint="eastAsia" w:cs="宋体"/>
                <w:bCs/>
                <w:color w:val="auto"/>
                <w:kern w:val="2"/>
                <w:sz w:val="21"/>
                <w:szCs w:val="21"/>
                <w:highlight w:val="none"/>
                <w:lang w:eastAsia="zh-CN"/>
              </w:rPr>
              <w:t>0</w:t>
            </w:r>
            <w:r>
              <w:rPr>
                <w:rFonts w:hint="eastAsia" w:cs="宋体"/>
                <w:bCs/>
                <w:color w:val="auto"/>
                <w:kern w:val="2"/>
                <w:sz w:val="21"/>
                <w:szCs w:val="21"/>
                <w:highlight w:val="none"/>
              </w:rPr>
              <w:t>分（北京时间） 前递交（上传）投标文件。</w:t>
            </w:r>
          </w:p>
        </w:tc>
      </w:tr>
    </w:tbl>
    <w:p>
      <w:pPr>
        <w:pStyle w:val="36"/>
        <w:spacing w:before="0" w:beforeAutospacing="0" w:after="0" w:afterAutospacing="0" w:line="500" w:lineRule="exact"/>
        <w:ind w:firstLine="422" w:firstLineChars="200"/>
        <w:rPr>
          <w:rFonts w:cs="宋体"/>
          <w:b/>
          <w:color w:val="auto"/>
          <w:kern w:val="2"/>
          <w:sz w:val="21"/>
          <w:szCs w:val="21"/>
          <w:highlight w:val="none"/>
        </w:rPr>
      </w:pPr>
      <w:r>
        <w:rPr>
          <w:rFonts w:hint="eastAsia" w:cs="宋体"/>
          <w:b/>
          <w:color w:val="auto"/>
          <w:kern w:val="2"/>
          <w:sz w:val="21"/>
          <w:szCs w:val="21"/>
          <w:highlight w:val="none"/>
        </w:rPr>
        <w:t>一、项目基本情况</w:t>
      </w:r>
    </w:p>
    <w:p>
      <w:pPr>
        <w:pStyle w:val="36"/>
        <w:spacing w:before="0" w:beforeAutospacing="0" w:after="0" w:afterAutospacing="0" w:line="500" w:lineRule="exact"/>
        <w:ind w:firstLine="420" w:firstLineChars="200"/>
        <w:rPr>
          <w:rFonts w:hint="default" w:eastAsia="宋体" w:cs="宋体"/>
          <w:color w:val="auto"/>
          <w:sz w:val="21"/>
          <w:szCs w:val="21"/>
          <w:highlight w:val="none"/>
          <w:lang w:val="en-US" w:eastAsia="zh-CN"/>
        </w:rPr>
      </w:pPr>
      <w:bookmarkStart w:id="38" w:name="_GoBack"/>
      <w:r>
        <w:rPr>
          <w:rFonts w:hint="eastAsia" w:cs="宋体"/>
          <w:color w:val="auto"/>
          <w:sz w:val="21"/>
          <w:szCs w:val="21"/>
          <w:highlight w:val="none"/>
        </w:rPr>
        <w:t>项目编号：</w:t>
      </w:r>
      <w:r>
        <w:rPr>
          <w:rFonts w:hint="eastAsia" w:cs="宋体"/>
          <w:color w:val="auto"/>
          <w:sz w:val="21"/>
          <w:szCs w:val="21"/>
          <w:highlight w:val="none"/>
          <w:lang w:eastAsia="zh-CN"/>
        </w:rPr>
        <w:t>ZJZLZC2024099</w:t>
      </w:r>
    </w:p>
    <w:bookmarkEnd w:id="38"/>
    <w:p>
      <w:pPr>
        <w:pStyle w:val="36"/>
        <w:spacing w:before="0" w:beforeAutospacing="0" w:after="0" w:afterAutospacing="0" w:line="500" w:lineRule="exact"/>
        <w:ind w:firstLine="420" w:firstLineChars="200"/>
        <w:rPr>
          <w:rFonts w:hint="eastAsia" w:eastAsia="宋体" w:cs="宋体"/>
          <w:color w:val="auto"/>
          <w:sz w:val="21"/>
          <w:szCs w:val="21"/>
          <w:highlight w:val="none"/>
          <w:lang w:eastAsia="zh-CN"/>
        </w:rPr>
      </w:pPr>
      <w:r>
        <w:rPr>
          <w:rFonts w:hint="eastAsia" w:cs="宋体"/>
          <w:color w:val="auto"/>
          <w:sz w:val="21"/>
          <w:szCs w:val="21"/>
          <w:highlight w:val="none"/>
        </w:rPr>
        <w:t>项目名称：</w:t>
      </w:r>
      <w:r>
        <w:rPr>
          <w:rFonts w:hint="eastAsia" w:cs="宋体"/>
          <w:color w:val="auto"/>
          <w:sz w:val="21"/>
          <w:szCs w:val="21"/>
          <w:highlight w:val="none"/>
          <w:lang w:eastAsia="zh-CN"/>
        </w:rPr>
        <w:t>兰溪市人民医院北部院区单泵血透机、双泵血透机采购项目</w:t>
      </w:r>
    </w:p>
    <w:p>
      <w:pPr>
        <w:pStyle w:val="36"/>
        <w:spacing w:before="0" w:beforeAutospacing="0" w:after="0" w:afterAutospacing="0" w:line="500" w:lineRule="exact"/>
        <w:ind w:firstLine="420" w:firstLineChars="200"/>
        <w:rPr>
          <w:rFonts w:cs="宋体"/>
          <w:color w:val="auto"/>
          <w:sz w:val="21"/>
          <w:szCs w:val="21"/>
          <w:highlight w:val="none"/>
        </w:rPr>
      </w:pPr>
      <w:r>
        <w:rPr>
          <w:rFonts w:hint="eastAsia" w:cs="宋体"/>
          <w:color w:val="auto"/>
          <w:sz w:val="21"/>
          <w:szCs w:val="21"/>
          <w:highlight w:val="none"/>
        </w:rPr>
        <w:t>预算金额（元）：</w:t>
      </w:r>
      <w:r>
        <w:rPr>
          <w:rFonts w:hint="eastAsia" w:cs="宋体"/>
          <w:color w:val="auto"/>
          <w:sz w:val="21"/>
          <w:szCs w:val="21"/>
          <w:highlight w:val="none"/>
          <w:lang w:val="en-US" w:eastAsia="zh-CN"/>
        </w:rPr>
        <w:t xml:space="preserve">1150000 </w:t>
      </w:r>
    </w:p>
    <w:p>
      <w:pPr>
        <w:pStyle w:val="36"/>
        <w:spacing w:before="0" w:beforeAutospacing="0" w:after="0" w:afterAutospacing="0" w:line="500" w:lineRule="exact"/>
        <w:ind w:firstLine="420" w:firstLineChars="200"/>
        <w:rPr>
          <w:rFonts w:cs="宋体"/>
          <w:color w:val="auto"/>
          <w:sz w:val="21"/>
          <w:szCs w:val="21"/>
          <w:highlight w:val="none"/>
        </w:rPr>
      </w:pPr>
      <w:r>
        <w:rPr>
          <w:rFonts w:hint="eastAsia" w:cs="宋体"/>
          <w:color w:val="auto"/>
          <w:sz w:val="21"/>
          <w:szCs w:val="21"/>
          <w:highlight w:val="none"/>
        </w:rPr>
        <w:t>最高限价（元）：</w:t>
      </w:r>
      <w:r>
        <w:rPr>
          <w:rFonts w:hint="eastAsia" w:cs="宋体"/>
          <w:color w:val="auto"/>
          <w:sz w:val="21"/>
          <w:szCs w:val="21"/>
          <w:highlight w:val="none"/>
          <w:lang w:val="en-US" w:eastAsia="zh-CN"/>
        </w:rPr>
        <w:t xml:space="preserve">1150000  </w:t>
      </w:r>
    </w:p>
    <w:p>
      <w:pPr>
        <w:pStyle w:val="36"/>
        <w:spacing w:before="0" w:beforeAutospacing="0" w:after="0" w:afterAutospacing="0" w:line="500" w:lineRule="exact"/>
        <w:ind w:firstLine="420" w:firstLineChars="200"/>
        <w:rPr>
          <w:rFonts w:cs="宋体"/>
          <w:color w:val="auto"/>
          <w:sz w:val="21"/>
          <w:szCs w:val="21"/>
          <w:highlight w:val="none"/>
        </w:rPr>
      </w:pPr>
      <w:r>
        <w:rPr>
          <w:rFonts w:hint="eastAsia" w:cs="宋体"/>
          <w:color w:val="auto"/>
          <w:sz w:val="21"/>
          <w:szCs w:val="21"/>
          <w:highlight w:val="none"/>
        </w:rPr>
        <w:t>采购需求：</w:t>
      </w:r>
    </w:p>
    <w:tbl>
      <w:tblPr>
        <w:tblStyle w:val="39"/>
        <w:tblW w:w="9016" w:type="dxa"/>
        <w:tblInd w:w="1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2158"/>
        <w:gridCol w:w="2056"/>
        <w:gridCol w:w="1141"/>
        <w:gridCol w:w="2041"/>
        <w:gridCol w:w="8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733" w:type="dxa"/>
            <w:tcBorders>
              <w:top w:val="single" w:color="auto" w:sz="4" w:space="0"/>
              <w:left w:val="single" w:color="auto" w:sz="4" w:space="0"/>
              <w:bottom w:val="single" w:color="auto" w:sz="4" w:space="0"/>
              <w:right w:val="single" w:color="auto" w:sz="4" w:space="0"/>
            </w:tcBorders>
            <w:noWrap/>
            <w:vAlign w:val="center"/>
          </w:tcPr>
          <w:p>
            <w:pPr>
              <w:snapToGrid w:val="0"/>
              <w:spacing w:line="440" w:lineRule="exact"/>
              <w:jc w:val="center"/>
              <w:rPr>
                <w:rFonts w:hint="eastAsia" w:ascii="宋体" w:eastAsia="宋体"/>
                <w:color w:val="auto"/>
                <w:sz w:val="21"/>
                <w:szCs w:val="20"/>
                <w:highlight w:val="none"/>
                <w:lang w:val="en-US" w:eastAsia="zh-CN"/>
              </w:rPr>
            </w:pPr>
            <w:r>
              <w:rPr>
                <w:rFonts w:hint="eastAsia" w:ascii="宋体"/>
                <w:color w:val="auto"/>
                <w:sz w:val="21"/>
                <w:szCs w:val="20"/>
                <w:highlight w:val="none"/>
                <w:lang w:val="en-US" w:eastAsia="zh-CN"/>
              </w:rPr>
              <w:t>序号</w:t>
            </w:r>
          </w:p>
        </w:tc>
        <w:tc>
          <w:tcPr>
            <w:tcW w:w="2158" w:type="dxa"/>
            <w:tcBorders>
              <w:top w:val="single" w:color="auto" w:sz="4" w:space="0"/>
              <w:left w:val="single" w:color="auto" w:sz="4" w:space="0"/>
              <w:bottom w:val="single" w:color="auto" w:sz="4" w:space="0"/>
              <w:right w:val="single" w:color="auto" w:sz="4" w:space="0"/>
            </w:tcBorders>
            <w:noWrap/>
            <w:vAlign w:val="center"/>
          </w:tcPr>
          <w:p>
            <w:pPr>
              <w:snapToGrid w:val="0"/>
              <w:spacing w:line="440" w:lineRule="exact"/>
              <w:jc w:val="center"/>
              <w:rPr>
                <w:rFonts w:hint="eastAsia" w:ascii="宋体"/>
                <w:color w:val="auto"/>
                <w:sz w:val="21"/>
                <w:szCs w:val="20"/>
                <w:highlight w:val="none"/>
              </w:rPr>
            </w:pPr>
            <w:r>
              <w:rPr>
                <w:rFonts w:hint="eastAsia" w:ascii="宋体"/>
                <w:color w:val="auto"/>
                <w:sz w:val="21"/>
                <w:szCs w:val="20"/>
                <w:highlight w:val="none"/>
              </w:rPr>
              <w:t>采购内容</w:t>
            </w:r>
          </w:p>
        </w:tc>
        <w:tc>
          <w:tcPr>
            <w:tcW w:w="2056" w:type="dxa"/>
            <w:tcBorders>
              <w:top w:val="single" w:color="auto" w:sz="4" w:space="0"/>
              <w:left w:val="single" w:color="auto" w:sz="4" w:space="0"/>
              <w:bottom w:val="single" w:color="auto" w:sz="4" w:space="0"/>
              <w:right w:val="single" w:color="auto" w:sz="4" w:space="0"/>
            </w:tcBorders>
            <w:noWrap/>
            <w:vAlign w:val="center"/>
          </w:tcPr>
          <w:p>
            <w:pPr>
              <w:snapToGrid w:val="0"/>
              <w:spacing w:line="440" w:lineRule="exact"/>
              <w:jc w:val="center"/>
              <w:rPr>
                <w:rFonts w:ascii="宋体"/>
                <w:color w:val="auto"/>
                <w:sz w:val="21"/>
                <w:szCs w:val="20"/>
                <w:highlight w:val="none"/>
              </w:rPr>
            </w:pPr>
            <w:r>
              <w:rPr>
                <w:rFonts w:hint="eastAsia" w:ascii="宋体"/>
                <w:color w:val="auto"/>
                <w:sz w:val="21"/>
                <w:szCs w:val="20"/>
                <w:highlight w:val="none"/>
              </w:rPr>
              <w:t>简要技术要</w:t>
            </w:r>
          </w:p>
          <w:p>
            <w:pPr>
              <w:snapToGrid w:val="0"/>
              <w:spacing w:line="440" w:lineRule="exact"/>
              <w:jc w:val="center"/>
              <w:rPr>
                <w:rFonts w:ascii="宋体"/>
                <w:color w:val="auto"/>
                <w:sz w:val="21"/>
                <w:szCs w:val="20"/>
                <w:highlight w:val="none"/>
              </w:rPr>
            </w:pPr>
            <w:r>
              <w:rPr>
                <w:rFonts w:hint="eastAsia" w:ascii="宋体"/>
                <w:color w:val="auto"/>
                <w:sz w:val="21"/>
                <w:szCs w:val="20"/>
                <w:highlight w:val="none"/>
              </w:rPr>
              <w:t>求、用途</w:t>
            </w:r>
          </w:p>
        </w:tc>
        <w:tc>
          <w:tcPr>
            <w:tcW w:w="114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pacing w:line="500" w:lineRule="exact"/>
              <w:jc w:val="center"/>
              <w:textAlignment w:val="auto"/>
              <w:rPr>
                <w:rFonts w:ascii="宋体"/>
                <w:color w:val="auto"/>
                <w:sz w:val="21"/>
                <w:szCs w:val="20"/>
                <w:highlight w:val="none"/>
              </w:rPr>
            </w:pPr>
            <w:r>
              <w:rPr>
                <w:rFonts w:hint="eastAsia" w:ascii="宋体" w:hAnsi="宋体" w:eastAsia="宋体" w:cs="宋体"/>
                <w:b/>
                <w:color w:val="auto"/>
                <w:kern w:val="0"/>
                <w:sz w:val="21"/>
                <w:szCs w:val="21"/>
                <w:highlight w:val="none"/>
              </w:rPr>
              <w:t>数量</w:t>
            </w:r>
          </w:p>
        </w:tc>
        <w:tc>
          <w:tcPr>
            <w:tcW w:w="2041" w:type="dxa"/>
            <w:tcBorders>
              <w:top w:val="single" w:color="auto" w:sz="4" w:space="0"/>
              <w:left w:val="single" w:color="auto" w:sz="4" w:space="0"/>
              <w:bottom w:val="single" w:color="auto" w:sz="4" w:space="0"/>
              <w:right w:val="single" w:color="auto" w:sz="4" w:space="0"/>
            </w:tcBorders>
            <w:noWrap/>
            <w:vAlign w:val="center"/>
          </w:tcPr>
          <w:p>
            <w:pPr>
              <w:snapToGrid w:val="0"/>
              <w:spacing w:line="440" w:lineRule="exact"/>
              <w:jc w:val="center"/>
              <w:rPr>
                <w:rFonts w:ascii="宋体"/>
                <w:color w:val="auto"/>
                <w:sz w:val="21"/>
                <w:szCs w:val="20"/>
                <w:highlight w:val="none"/>
              </w:rPr>
            </w:pPr>
            <w:r>
              <w:rPr>
                <w:rFonts w:hint="eastAsia" w:ascii="宋体"/>
                <w:color w:val="auto"/>
                <w:sz w:val="21"/>
                <w:szCs w:val="20"/>
                <w:highlight w:val="none"/>
              </w:rPr>
              <w:t>预算金额（万元）</w:t>
            </w:r>
          </w:p>
        </w:tc>
        <w:tc>
          <w:tcPr>
            <w:tcW w:w="887" w:type="dxa"/>
            <w:tcBorders>
              <w:top w:val="single" w:color="auto" w:sz="4" w:space="0"/>
              <w:left w:val="single" w:color="auto" w:sz="4" w:space="0"/>
              <w:bottom w:val="single" w:color="auto" w:sz="4" w:space="0"/>
              <w:right w:val="single" w:color="auto" w:sz="4" w:space="0"/>
            </w:tcBorders>
            <w:noWrap/>
            <w:vAlign w:val="center"/>
          </w:tcPr>
          <w:p>
            <w:pPr>
              <w:snapToGrid w:val="0"/>
              <w:spacing w:line="440" w:lineRule="exact"/>
              <w:jc w:val="center"/>
              <w:rPr>
                <w:rFonts w:ascii="宋体"/>
                <w:color w:val="auto"/>
                <w:sz w:val="21"/>
                <w:szCs w:val="20"/>
                <w:highlight w:val="none"/>
              </w:rPr>
            </w:pPr>
            <w:r>
              <w:rPr>
                <w:rFonts w:hint="eastAsia" w:ascii="宋体"/>
                <w:color w:val="auto"/>
                <w:sz w:val="21"/>
                <w:szCs w:val="20"/>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733" w:type="dxa"/>
            <w:tcBorders>
              <w:top w:val="single" w:color="auto" w:sz="4" w:space="0"/>
              <w:left w:val="single" w:color="auto" w:sz="4" w:space="0"/>
              <w:bottom w:val="single" w:color="auto" w:sz="4" w:space="0"/>
              <w:right w:val="single" w:color="auto" w:sz="4" w:space="0"/>
            </w:tcBorders>
            <w:noWrap/>
            <w:vAlign w:val="center"/>
          </w:tcPr>
          <w:p>
            <w:pPr>
              <w:snapToGrid w:val="0"/>
              <w:spacing w:line="440" w:lineRule="exact"/>
              <w:jc w:val="center"/>
              <w:rPr>
                <w:rFonts w:hint="eastAsia" w:ascii="宋体" w:eastAsia="宋体"/>
                <w:color w:val="auto"/>
                <w:sz w:val="21"/>
                <w:szCs w:val="20"/>
                <w:highlight w:val="none"/>
                <w:lang w:val="en-US" w:eastAsia="zh-CN"/>
              </w:rPr>
            </w:pPr>
            <w:r>
              <w:rPr>
                <w:rFonts w:hint="eastAsia" w:ascii="宋体"/>
                <w:color w:val="auto"/>
                <w:sz w:val="21"/>
                <w:szCs w:val="20"/>
                <w:highlight w:val="none"/>
                <w:lang w:val="en-US" w:eastAsia="zh-CN"/>
              </w:rPr>
              <w:t>1</w:t>
            </w:r>
          </w:p>
        </w:tc>
        <w:tc>
          <w:tcPr>
            <w:tcW w:w="2158" w:type="dxa"/>
            <w:tcBorders>
              <w:top w:val="single" w:color="auto" w:sz="4" w:space="0"/>
              <w:left w:val="single" w:color="auto" w:sz="4" w:space="0"/>
              <w:bottom w:val="single" w:color="auto" w:sz="4" w:space="0"/>
              <w:right w:val="single" w:color="auto" w:sz="4" w:space="0"/>
            </w:tcBorders>
            <w:noWrap/>
            <w:vAlign w:val="center"/>
          </w:tcPr>
          <w:p>
            <w:pPr>
              <w:snapToGrid w:val="0"/>
              <w:spacing w:line="440" w:lineRule="exact"/>
              <w:jc w:val="center"/>
              <w:rPr>
                <w:rFonts w:hint="eastAsia" w:cs="宋体"/>
                <w:color w:val="auto"/>
                <w:sz w:val="21"/>
                <w:szCs w:val="21"/>
                <w:highlight w:val="none"/>
                <w:lang w:eastAsia="zh-CN"/>
              </w:rPr>
            </w:pPr>
            <w:r>
              <w:rPr>
                <w:rFonts w:hint="eastAsia" w:cs="宋体"/>
                <w:color w:val="auto"/>
                <w:sz w:val="21"/>
                <w:szCs w:val="21"/>
                <w:highlight w:val="none"/>
                <w:lang w:eastAsia="zh-CN"/>
              </w:rPr>
              <w:t>单泵血透机</w:t>
            </w:r>
          </w:p>
        </w:tc>
        <w:tc>
          <w:tcPr>
            <w:tcW w:w="2056" w:type="dxa"/>
            <w:tcBorders>
              <w:top w:val="single" w:color="auto" w:sz="4" w:space="0"/>
              <w:left w:val="single" w:color="auto" w:sz="4" w:space="0"/>
              <w:bottom w:val="single" w:color="auto" w:sz="4" w:space="0"/>
              <w:right w:val="single" w:color="auto" w:sz="4" w:space="0"/>
            </w:tcBorders>
            <w:noWrap/>
            <w:vAlign w:val="center"/>
          </w:tcPr>
          <w:p>
            <w:pPr>
              <w:snapToGrid w:val="0"/>
              <w:spacing w:line="440" w:lineRule="exact"/>
              <w:jc w:val="center"/>
              <w:rPr>
                <w:rFonts w:ascii="宋体"/>
                <w:color w:val="auto"/>
                <w:sz w:val="21"/>
                <w:szCs w:val="20"/>
                <w:highlight w:val="none"/>
              </w:rPr>
            </w:pPr>
            <w:r>
              <w:rPr>
                <w:rFonts w:hint="eastAsia" w:ascii="宋体"/>
                <w:color w:val="auto"/>
                <w:sz w:val="21"/>
                <w:szCs w:val="20"/>
                <w:highlight w:val="none"/>
              </w:rPr>
              <w:t>详见《采购需求》</w:t>
            </w:r>
          </w:p>
        </w:tc>
        <w:tc>
          <w:tcPr>
            <w:tcW w:w="114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val="0"/>
              <w:spacing w:line="500" w:lineRule="exact"/>
              <w:jc w:val="center"/>
              <w:textAlignment w:val="auto"/>
              <w:outlineLvl w:val="1"/>
              <w:rPr>
                <w:rFonts w:ascii="宋体"/>
                <w:color w:val="auto"/>
                <w:sz w:val="21"/>
                <w:szCs w:val="20"/>
                <w:highlight w:val="none"/>
              </w:rPr>
            </w:pPr>
            <w:r>
              <w:rPr>
                <w:rFonts w:hint="eastAsia" w:ascii="宋体" w:hAnsi="宋体" w:cs="宋体"/>
                <w:color w:val="auto"/>
                <w:kern w:val="0"/>
                <w:sz w:val="21"/>
                <w:szCs w:val="21"/>
                <w:highlight w:val="none"/>
                <w:lang w:val="en-US" w:eastAsia="zh-CN"/>
              </w:rPr>
              <w:t>8台</w:t>
            </w:r>
          </w:p>
        </w:tc>
        <w:tc>
          <w:tcPr>
            <w:tcW w:w="2041" w:type="dxa"/>
            <w:tcBorders>
              <w:top w:val="single" w:color="auto" w:sz="4" w:space="0"/>
              <w:left w:val="single" w:color="auto" w:sz="4" w:space="0"/>
              <w:bottom w:val="single" w:color="auto" w:sz="4" w:space="0"/>
              <w:right w:val="single" w:color="auto" w:sz="4" w:space="0"/>
            </w:tcBorders>
            <w:noWrap/>
            <w:vAlign w:val="center"/>
          </w:tcPr>
          <w:p>
            <w:pPr>
              <w:snapToGrid w:val="0"/>
              <w:spacing w:line="440" w:lineRule="exact"/>
              <w:jc w:val="center"/>
              <w:rPr>
                <w:rFonts w:hint="default" w:ascii="宋体" w:eastAsia="宋体"/>
                <w:color w:val="auto"/>
                <w:sz w:val="21"/>
                <w:szCs w:val="20"/>
                <w:highlight w:val="none"/>
                <w:lang w:val="en-US" w:eastAsia="zh-CN"/>
              </w:rPr>
            </w:pPr>
            <w:r>
              <w:rPr>
                <w:rFonts w:hint="eastAsia" w:cs="宋体"/>
                <w:color w:val="auto"/>
                <w:sz w:val="21"/>
                <w:szCs w:val="21"/>
                <w:highlight w:val="none"/>
                <w:lang w:val="en-US" w:eastAsia="zh-CN"/>
              </w:rPr>
              <w:t>95</w:t>
            </w:r>
          </w:p>
        </w:tc>
        <w:tc>
          <w:tcPr>
            <w:tcW w:w="887" w:type="dxa"/>
            <w:noWrap/>
            <w:vAlign w:val="center"/>
          </w:tcPr>
          <w:p>
            <w:pPr>
              <w:snapToGrid w:val="0"/>
              <w:spacing w:line="440" w:lineRule="exact"/>
              <w:ind w:firstLine="420" w:firstLineChars="200"/>
              <w:rPr>
                <w:rFonts w:ascii="宋体"/>
                <w:color w:val="auto"/>
                <w:sz w:val="21"/>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733" w:type="dxa"/>
            <w:tcBorders>
              <w:top w:val="single" w:color="auto" w:sz="4" w:space="0"/>
              <w:left w:val="single" w:color="auto" w:sz="4" w:space="0"/>
              <w:bottom w:val="single" w:color="auto" w:sz="4" w:space="0"/>
              <w:right w:val="single" w:color="auto" w:sz="4" w:space="0"/>
            </w:tcBorders>
            <w:noWrap/>
            <w:vAlign w:val="center"/>
          </w:tcPr>
          <w:p>
            <w:pPr>
              <w:snapToGrid w:val="0"/>
              <w:spacing w:line="440" w:lineRule="exact"/>
              <w:jc w:val="center"/>
              <w:rPr>
                <w:rFonts w:hint="default" w:cs="宋体"/>
                <w:color w:val="auto"/>
                <w:sz w:val="21"/>
                <w:szCs w:val="21"/>
                <w:highlight w:val="none"/>
                <w:lang w:val="en-US" w:eastAsia="zh-CN"/>
              </w:rPr>
            </w:pPr>
            <w:r>
              <w:rPr>
                <w:rFonts w:hint="eastAsia" w:cs="宋体"/>
                <w:color w:val="auto"/>
                <w:sz w:val="21"/>
                <w:szCs w:val="21"/>
                <w:highlight w:val="none"/>
                <w:lang w:val="en-US" w:eastAsia="zh-CN"/>
              </w:rPr>
              <w:t>2</w:t>
            </w:r>
          </w:p>
        </w:tc>
        <w:tc>
          <w:tcPr>
            <w:tcW w:w="2158" w:type="dxa"/>
            <w:tcBorders>
              <w:top w:val="single" w:color="auto" w:sz="4" w:space="0"/>
              <w:left w:val="single" w:color="auto" w:sz="4" w:space="0"/>
              <w:bottom w:val="single" w:color="auto" w:sz="4" w:space="0"/>
              <w:right w:val="single" w:color="auto" w:sz="4" w:space="0"/>
            </w:tcBorders>
            <w:noWrap/>
            <w:vAlign w:val="center"/>
          </w:tcPr>
          <w:p>
            <w:pPr>
              <w:snapToGrid w:val="0"/>
              <w:spacing w:line="440" w:lineRule="exact"/>
              <w:jc w:val="center"/>
              <w:rPr>
                <w:rFonts w:hint="eastAsia" w:cs="宋体"/>
                <w:color w:val="auto"/>
                <w:sz w:val="21"/>
                <w:szCs w:val="21"/>
                <w:highlight w:val="none"/>
                <w:lang w:eastAsia="zh-CN"/>
              </w:rPr>
            </w:pPr>
            <w:r>
              <w:rPr>
                <w:rFonts w:hint="eastAsia" w:cs="宋体"/>
                <w:color w:val="auto"/>
                <w:sz w:val="21"/>
                <w:szCs w:val="21"/>
                <w:highlight w:val="none"/>
                <w:lang w:eastAsia="zh-CN"/>
              </w:rPr>
              <w:t>双泵血透机</w:t>
            </w:r>
          </w:p>
        </w:tc>
        <w:tc>
          <w:tcPr>
            <w:tcW w:w="2056" w:type="dxa"/>
            <w:tcBorders>
              <w:top w:val="single" w:color="auto" w:sz="4" w:space="0"/>
              <w:left w:val="single" w:color="auto" w:sz="4" w:space="0"/>
              <w:bottom w:val="single" w:color="auto" w:sz="4" w:space="0"/>
              <w:right w:val="single" w:color="auto" w:sz="4" w:space="0"/>
            </w:tcBorders>
            <w:noWrap/>
            <w:vAlign w:val="center"/>
          </w:tcPr>
          <w:p>
            <w:pPr>
              <w:snapToGrid w:val="0"/>
              <w:spacing w:line="440" w:lineRule="exact"/>
              <w:jc w:val="center"/>
              <w:rPr>
                <w:rFonts w:hint="eastAsia" w:ascii="宋体"/>
                <w:color w:val="auto"/>
                <w:sz w:val="21"/>
                <w:szCs w:val="20"/>
                <w:highlight w:val="none"/>
              </w:rPr>
            </w:pPr>
            <w:r>
              <w:rPr>
                <w:rFonts w:hint="eastAsia" w:ascii="宋体"/>
                <w:color w:val="auto"/>
                <w:sz w:val="21"/>
                <w:szCs w:val="20"/>
                <w:highlight w:val="none"/>
              </w:rPr>
              <w:t>详见《采购需求》</w:t>
            </w:r>
          </w:p>
        </w:tc>
        <w:tc>
          <w:tcPr>
            <w:tcW w:w="114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val="0"/>
              <w:spacing w:line="500" w:lineRule="exact"/>
              <w:jc w:val="center"/>
              <w:textAlignment w:val="auto"/>
              <w:outlineLvl w:val="1"/>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lang w:val="en-US" w:eastAsia="zh-CN"/>
              </w:rPr>
              <w:t>1台</w:t>
            </w:r>
          </w:p>
        </w:tc>
        <w:tc>
          <w:tcPr>
            <w:tcW w:w="2041" w:type="dxa"/>
            <w:tcBorders>
              <w:top w:val="single" w:color="auto" w:sz="4" w:space="0"/>
              <w:left w:val="single" w:color="auto" w:sz="4" w:space="0"/>
              <w:bottom w:val="single" w:color="auto" w:sz="4" w:space="0"/>
              <w:right w:val="single" w:color="auto" w:sz="4" w:space="0"/>
            </w:tcBorders>
            <w:noWrap/>
            <w:vAlign w:val="center"/>
          </w:tcPr>
          <w:p>
            <w:pPr>
              <w:snapToGrid w:val="0"/>
              <w:spacing w:line="440" w:lineRule="exact"/>
              <w:jc w:val="center"/>
              <w:rPr>
                <w:rFonts w:hint="default" w:cs="宋体"/>
                <w:color w:val="auto"/>
                <w:sz w:val="21"/>
                <w:szCs w:val="21"/>
                <w:highlight w:val="none"/>
                <w:lang w:val="en-US" w:eastAsia="zh-CN"/>
              </w:rPr>
            </w:pPr>
            <w:r>
              <w:rPr>
                <w:rFonts w:hint="eastAsia" w:cs="宋体"/>
                <w:color w:val="auto"/>
                <w:sz w:val="21"/>
                <w:szCs w:val="21"/>
                <w:highlight w:val="none"/>
                <w:lang w:val="en-US" w:eastAsia="zh-CN"/>
              </w:rPr>
              <w:t>20</w:t>
            </w:r>
          </w:p>
        </w:tc>
        <w:tc>
          <w:tcPr>
            <w:tcW w:w="887" w:type="dxa"/>
            <w:noWrap/>
            <w:vAlign w:val="center"/>
          </w:tcPr>
          <w:p>
            <w:pPr>
              <w:snapToGrid w:val="0"/>
              <w:spacing w:line="440" w:lineRule="exact"/>
              <w:ind w:firstLine="420" w:firstLineChars="200"/>
              <w:rPr>
                <w:rFonts w:ascii="宋体"/>
                <w:color w:val="auto"/>
                <w:sz w:val="21"/>
                <w:szCs w:val="20"/>
                <w:highlight w:val="none"/>
              </w:rPr>
            </w:pPr>
          </w:p>
        </w:tc>
      </w:tr>
    </w:tbl>
    <w:p>
      <w:pPr>
        <w:pStyle w:val="36"/>
        <w:spacing w:before="0" w:beforeAutospacing="0" w:after="0" w:afterAutospacing="0" w:line="460" w:lineRule="exact"/>
        <w:ind w:firstLine="422" w:firstLineChars="200"/>
        <w:rPr>
          <w:rStyle w:val="42"/>
          <w:rFonts w:hint="eastAsia" w:cs="宋体"/>
          <w:color w:val="auto"/>
          <w:sz w:val="21"/>
          <w:szCs w:val="21"/>
          <w:highlight w:val="none"/>
        </w:rPr>
      </w:pPr>
      <w:r>
        <w:rPr>
          <w:rStyle w:val="42"/>
          <w:rFonts w:hint="eastAsia" w:cs="宋体"/>
          <w:color w:val="auto"/>
          <w:sz w:val="21"/>
          <w:szCs w:val="21"/>
          <w:highlight w:val="none"/>
          <w:lang w:val="en-US" w:eastAsia="zh-CN"/>
        </w:rPr>
        <w:t>备注：本项目</w:t>
      </w:r>
      <w:r>
        <w:rPr>
          <w:rStyle w:val="42"/>
          <w:rFonts w:hint="eastAsia" w:cs="宋体"/>
          <w:color w:val="auto"/>
          <w:sz w:val="21"/>
          <w:szCs w:val="21"/>
          <w:highlight w:val="none"/>
        </w:rPr>
        <w:t>允许进口产品投标，详</w:t>
      </w:r>
      <w:r>
        <w:rPr>
          <w:rStyle w:val="42"/>
          <w:rFonts w:hint="eastAsia" w:cs="宋体"/>
          <w:color w:val="auto"/>
          <w:sz w:val="21"/>
          <w:szCs w:val="21"/>
          <w:highlight w:val="none"/>
          <w:lang w:val="en-US" w:eastAsia="zh-CN"/>
        </w:rPr>
        <w:t>见《</w:t>
      </w:r>
      <w:r>
        <w:rPr>
          <w:rStyle w:val="42"/>
          <w:rFonts w:hint="eastAsia" w:cs="宋体"/>
          <w:color w:val="auto"/>
          <w:sz w:val="21"/>
          <w:szCs w:val="21"/>
          <w:highlight w:val="none"/>
        </w:rPr>
        <w:t>采购需求</w:t>
      </w:r>
      <w:r>
        <w:rPr>
          <w:rStyle w:val="42"/>
          <w:rFonts w:hint="eastAsia" w:cs="宋体"/>
          <w:color w:val="auto"/>
          <w:sz w:val="21"/>
          <w:szCs w:val="21"/>
          <w:highlight w:val="none"/>
          <w:lang w:eastAsia="zh-CN"/>
        </w:rPr>
        <w:t>》</w:t>
      </w:r>
      <w:r>
        <w:rPr>
          <w:rStyle w:val="42"/>
          <w:rFonts w:hint="eastAsia" w:cs="宋体"/>
          <w:color w:val="auto"/>
          <w:sz w:val="21"/>
          <w:szCs w:val="21"/>
          <w:highlight w:val="none"/>
        </w:rPr>
        <w:t>。</w:t>
      </w:r>
    </w:p>
    <w:p>
      <w:pPr>
        <w:pStyle w:val="36"/>
        <w:spacing w:before="0" w:beforeAutospacing="0" w:after="0" w:afterAutospacing="0" w:line="460" w:lineRule="exact"/>
        <w:ind w:firstLine="422" w:firstLineChars="200"/>
        <w:rPr>
          <w:rFonts w:cs="宋体"/>
          <w:color w:val="auto"/>
          <w:sz w:val="21"/>
          <w:szCs w:val="21"/>
          <w:highlight w:val="none"/>
        </w:rPr>
      </w:pPr>
      <w:r>
        <w:rPr>
          <w:rStyle w:val="42"/>
          <w:rFonts w:hint="eastAsia" w:cs="宋体"/>
          <w:color w:val="auto"/>
          <w:sz w:val="21"/>
          <w:szCs w:val="21"/>
          <w:highlight w:val="none"/>
        </w:rPr>
        <w:t>二、申请人的资格要求：</w:t>
      </w:r>
    </w:p>
    <w:p>
      <w:pPr>
        <w:tabs>
          <w:tab w:val="left" w:pos="2835"/>
        </w:tabs>
        <w:snapToGrid w:val="0"/>
        <w:spacing w:line="460" w:lineRule="exact"/>
        <w:ind w:firstLine="420" w:firstLineChars="200"/>
        <w:jc w:val="left"/>
        <w:rPr>
          <w:rFonts w:ascii="宋体" w:cs="宋体"/>
          <w:bCs/>
          <w:color w:val="auto"/>
          <w:sz w:val="21"/>
          <w:szCs w:val="21"/>
          <w:highlight w:val="none"/>
        </w:rPr>
      </w:pPr>
      <w:r>
        <w:rPr>
          <w:rFonts w:hint="eastAsia" w:ascii="宋体" w:cs="宋体"/>
          <w:bCs/>
          <w:color w:val="auto"/>
          <w:sz w:val="21"/>
          <w:szCs w:val="21"/>
          <w:highlight w:val="none"/>
        </w:rPr>
        <w:t>1、符合《中华人民共和国政府采购法》第二十二条供应商应当具备的条件和浙财采监【2013】24 号《关于规范政府采购供应商资格设定及资格审查的通知》第六条规定，且未被“信用中国” （www.creditchina.gov.cn）、中国政府采购网（www.ccgp.gov.cn）列入失信被执行人、重大税收违法案件当事人名单、政府采购严重违法失信行为记录名单；</w:t>
      </w:r>
    </w:p>
    <w:p>
      <w:pPr>
        <w:pStyle w:val="36"/>
        <w:spacing w:before="0" w:beforeAutospacing="0" w:after="0" w:afterAutospacing="0" w:line="460" w:lineRule="exact"/>
        <w:ind w:firstLine="420" w:firstLineChars="200"/>
        <w:rPr>
          <w:rFonts w:cs="宋体"/>
          <w:color w:val="auto"/>
          <w:sz w:val="21"/>
          <w:szCs w:val="21"/>
          <w:highlight w:val="none"/>
        </w:rPr>
      </w:pPr>
      <w:r>
        <w:rPr>
          <w:rFonts w:hint="eastAsia" w:cs="宋体"/>
          <w:color w:val="auto"/>
          <w:sz w:val="21"/>
          <w:szCs w:val="21"/>
          <w:highlight w:val="none"/>
        </w:rPr>
        <w:t>2、落实政府采购政策需满足的资格要求：</w:t>
      </w:r>
      <w:r>
        <w:rPr>
          <w:rFonts w:cs="宋体"/>
          <w:color w:val="auto"/>
          <w:sz w:val="21"/>
          <w:szCs w:val="21"/>
          <w:highlight w:val="none"/>
        </w:rPr>
        <w:sym w:font="Wingdings 2" w:char="0052"/>
      </w:r>
      <w:r>
        <w:rPr>
          <w:rFonts w:hint="eastAsia" w:cs="宋体"/>
          <w:color w:val="auto"/>
          <w:sz w:val="21"/>
          <w:szCs w:val="21"/>
          <w:highlight w:val="none"/>
        </w:rPr>
        <w:t>无；</w:t>
      </w:r>
    </w:p>
    <w:p>
      <w:pPr>
        <w:pStyle w:val="36"/>
        <w:spacing w:before="0" w:beforeAutospacing="0" w:after="0" w:afterAutospacing="0" w:line="460" w:lineRule="exact"/>
        <w:ind w:firstLine="420" w:firstLineChars="200"/>
        <w:rPr>
          <w:rFonts w:cs="宋体"/>
          <w:color w:val="auto"/>
          <w:sz w:val="21"/>
          <w:szCs w:val="21"/>
          <w:highlight w:val="none"/>
        </w:rPr>
      </w:pPr>
      <w:r>
        <w:rPr>
          <w:rFonts w:cs="宋体"/>
          <w:color w:val="auto"/>
          <w:sz w:val="21"/>
          <w:szCs w:val="21"/>
          <w:highlight w:val="none"/>
        </w:rPr>
        <w:sym w:font="Wingdings 2" w:char="00A3"/>
      </w:r>
      <w:r>
        <w:rPr>
          <w:rFonts w:hint="eastAsia" w:cs="宋体"/>
          <w:color w:val="auto"/>
          <w:sz w:val="21"/>
          <w:szCs w:val="21"/>
          <w:highlight w:val="none"/>
        </w:rPr>
        <w:t>专门面向中小企业：</w:t>
      </w:r>
    </w:p>
    <w:p>
      <w:pPr>
        <w:pStyle w:val="36"/>
        <w:spacing w:before="0" w:beforeAutospacing="0" w:after="0" w:afterAutospacing="0" w:line="460" w:lineRule="exact"/>
        <w:ind w:firstLine="420" w:firstLineChars="200"/>
        <w:rPr>
          <w:rFonts w:cs="宋体"/>
          <w:color w:val="auto"/>
          <w:sz w:val="21"/>
          <w:szCs w:val="21"/>
          <w:highlight w:val="none"/>
        </w:rPr>
      </w:pPr>
      <w:r>
        <w:rPr>
          <w:rFonts w:cs="宋体"/>
          <w:color w:val="auto"/>
          <w:sz w:val="21"/>
          <w:szCs w:val="21"/>
          <w:highlight w:val="none"/>
        </w:rPr>
        <w:sym w:font="Wingdings 2" w:char="00A3"/>
      </w:r>
      <w:r>
        <w:rPr>
          <w:rFonts w:hint="eastAsia" w:cs="宋体"/>
          <w:color w:val="auto"/>
          <w:sz w:val="21"/>
          <w:szCs w:val="21"/>
          <w:highlight w:val="none"/>
        </w:rPr>
        <w:t>货物全部由符合政策要求的中小企业制造，提供中小企业声明函；</w:t>
      </w:r>
    </w:p>
    <w:p>
      <w:pPr>
        <w:pStyle w:val="36"/>
        <w:spacing w:before="0" w:beforeAutospacing="0" w:after="0" w:afterAutospacing="0" w:line="460" w:lineRule="exact"/>
        <w:ind w:firstLine="420" w:firstLineChars="200"/>
        <w:rPr>
          <w:rFonts w:cs="宋体"/>
          <w:color w:val="auto"/>
          <w:sz w:val="21"/>
          <w:szCs w:val="21"/>
          <w:highlight w:val="none"/>
        </w:rPr>
      </w:pPr>
      <w:r>
        <w:rPr>
          <w:rFonts w:cs="宋体"/>
          <w:color w:val="auto"/>
          <w:sz w:val="21"/>
          <w:szCs w:val="21"/>
          <w:highlight w:val="none"/>
        </w:rPr>
        <w:sym w:font="Wingdings 2" w:char="00A3"/>
      </w:r>
      <w:r>
        <w:rPr>
          <w:rFonts w:hint="eastAsia" w:cs="宋体"/>
          <w:color w:val="auto"/>
          <w:sz w:val="21"/>
          <w:szCs w:val="21"/>
          <w:highlight w:val="none"/>
        </w:rPr>
        <w:t>货物全部由符合政策要求的小微企业制造，提供中小企业声明函；</w:t>
      </w:r>
    </w:p>
    <w:p>
      <w:pPr>
        <w:pStyle w:val="36"/>
        <w:spacing w:before="0" w:beforeAutospacing="0" w:after="0" w:afterAutospacing="0" w:line="460" w:lineRule="exact"/>
        <w:ind w:firstLine="420" w:firstLineChars="200"/>
        <w:rPr>
          <w:rFonts w:cs="宋体"/>
          <w:color w:val="auto"/>
          <w:sz w:val="21"/>
          <w:szCs w:val="21"/>
          <w:highlight w:val="none"/>
        </w:rPr>
      </w:pPr>
      <w:r>
        <w:rPr>
          <w:rFonts w:cs="宋体"/>
          <w:color w:val="auto"/>
          <w:sz w:val="21"/>
          <w:szCs w:val="21"/>
          <w:highlight w:val="none"/>
        </w:rPr>
        <w:sym w:font="Wingdings 2" w:char="00A3"/>
      </w:r>
      <w:r>
        <w:rPr>
          <w:rFonts w:hint="eastAsia" w:cs="宋体"/>
          <w:color w:val="auto"/>
          <w:sz w:val="21"/>
          <w:szCs w:val="21"/>
          <w:highlight w:val="none"/>
        </w:rPr>
        <w:t>工程全部由符合政策要求的中小企业承接，提供中小企业声明函；</w:t>
      </w:r>
    </w:p>
    <w:p>
      <w:pPr>
        <w:pStyle w:val="36"/>
        <w:spacing w:before="0" w:beforeAutospacing="0" w:after="0" w:afterAutospacing="0" w:line="460" w:lineRule="exact"/>
        <w:ind w:firstLine="420" w:firstLineChars="200"/>
        <w:rPr>
          <w:rFonts w:cs="宋体"/>
          <w:color w:val="auto"/>
          <w:sz w:val="21"/>
          <w:szCs w:val="21"/>
          <w:highlight w:val="none"/>
        </w:rPr>
      </w:pPr>
      <w:r>
        <w:rPr>
          <w:rFonts w:cs="宋体"/>
          <w:color w:val="auto"/>
          <w:sz w:val="21"/>
          <w:szCs w:val="21"/>
          <w:highlight w:val="none"/>
        </w:rPr>
        <w:sym w:font="Wingdings 2" w:char="00A3"/>
      </w:r>
      <w:r>
        <w:rPr>
          <w:rFonts w:hint="eastAsia" w:cs="宋体"/>
          <w:color w:val="auto"/>
          <w:sz w:val="21"/>
          <w:szCs w:val="21"/>
          <w:highlight w:val="none"/>
        </w:rPr>
        <w:t>工程全部由符合政策要求的小微企业承接，提供中小企业声明函；</w:t>
      </w:r>
    </w:p>
    <w:p>
      <w:pPr>
        <w:pStyle w:val="36"/>
        <w:spacing w:before="0" w:beforeAutospacing="0" w:after="0" w:afterAutospacing="0" w:line="460" w:lineRule="exact"/>
        <w:ind w:firstLine="420" w:firstLineChars="200"/>
        <w:rPr>
          <w:rFonts w:cs="宋体"/>
          <w:color w:val="auto"/>
          <w:sz w:val="21"/>
          <w:szCs w:val="21"/>
          <w:highlight w:val="none"/>
        </w:rPr>
      </w:pPr>
      <w:r>
        <w:rPr>
          <w:rFonts w:cs="宋体"/>
          <w:color w:val="auto"/>
          <w:sz w:val="21"/>
          <w:szCs w:val="21"/>
          <w:highlight w:val="none"/>
        </w:rPr>
        <w:sym w:font="Wingdings 2" w:char="00A3"/>
      </w:r>
      <w:r>
        <w:rPr>
          <w:rFonts w:hint="eastAsia" w:cs="宋体"/>
          <w:color w:val="auto"/>
          <w:sz w:val="21"/>
          <w:szCs w:val="21"/>
          <w:highlight w:val="none"/>
        </w:rPr>
        <w:t>服务全部由符合政策要求的中小企业承接，提供中小企业声明函；</w:t>
      </w:r>
    </w:p>
    <w:p>
      <w:pPr>
        <w:pStyle w:val="36"/>
        <w:spacing w:before="0" w:beforeAutospacing="0" w:after="0" w:afterAutospacing="0" w:line="460" w:lineRule="exact"/>
        <w:ind w:firstLine="420" w:firstLineChars="200"/>
        <w:rPr>
          <w:rFonts w:cs="宋体"/>
          <w:color w:val="auto"/>
          <w:sz w:val="21"/>
          <w:szCs w:val="21"/>
          <w:highlight w:val="none"/>
        </w:rPr>
      </w:pPr>
      <w:r>
        <w:rPr>
          <w:rFonts w:cs="宋体"/>
          <w:color w:val="auto"/>
          <w:sz w:val="21"/>
          <w:szCs w:val="21"/>
          <w:highlight w:val="none"/>
        </w:rPr>
        <w:sym w:font="Wingdings 2" w:char="00A3"/>
      </w:r>
      <w:r>
        <w:rPr>
          <w:rFonts w:hint="eastAsia" w:cs="宋体"/>
          <w:color w:val="auto"/>
          <w:sz w:val="21"/>
          <w:szCs w:val="21"/>
          <w:highlight w:val="none"/>
        </w:rPr>
        <w:t>服务全部由符合政策要求的小微企业承接，提供中小企业声明函；</w:t>
      </w:r>
    </w:p>
    <w:p>
      <w:pPr>
        <w:pStyle w:val="36"/>
        <w:spacing w:before="0" w:beforeAutospacing="0" w:after="0" w:afterAutospacing="0" w:line="460" w:lineRule="exact"/>
        <w:ind w:firstLine="420" w:firstLineChars="200"/>
        <w:rPr>
          <w:rFonts w:cs="宋体"/>
          <w:color w:val="auto"/>
          <w:sz w:val="21"/>
          <w:szCs w:val="21"/>
          <w:highlight w:val="none"/>
        </w:rPr>
      </w:pPr>
      <w:r>
        <w:rPr>
          <w:rFonts w:hint="eastAsia" w:cs="宋体"/>
          <w:color w:val="auto"/>
          <w:sz w:val="21"/>
          <w:szCs w:val="21"/>
          <w:highlight w:val="none"/>
        </w:rPr>
        <w:t>☐要求以联合体形式参加，提供联合协议和中小企业声明函，联合协议中中小企业合同金额应当达到</w:t>
      </w:r>
      <w:r>
        <w:rPr>
          <w:rFonts w:hint="eastAsia" w:cs="宋体"/>
          <w:color w:val="auto"/>
          <w:sz w:val="21"/>
          <w:szCs w:val="21"/>
          <w:highlight w:val="none"/>
          <w:u w:val="single"/>
        </w:rPr>
        <w:t xml:space="preserve"> / </w:t>
      </w:r>
      <w:r>
        <w:rPr>
          <w:rFonts w:hint="eastAsia" w:cs="宋体"/>
          <w:color w:val="auto"/>
          <w:sz w:val="21"/>
          <w:szCs w:val="21"/>
          <w:highlight w:val="none"/>
        </w:rPr>
        <w:t>%，小微企业合同金额应当达到</w:t>
      </w:r>
      <w:r>
        <w:rPr>
          <w:rFonts w:hint="eastAsia" w:cs="宋体"/>
          <w:color w:val="auto"/>
          <w:sz w:val="21"/>
          <w:szCs w:val="21"/>
          <w:highlight w:val="none"/>
          <w:u w:val="single"/>
        </w:rPr>
        <w:t xml:space="preserve"> / </w:t>
      </w:r>
      <w:r>
        <w:rPr>
          <w:rFonts w:hint="eastAsia" w:cs="宋体"/>
          <w:color w:val="auto"/>
          <w:sz w:val="21"/>
          <w:szCs w:val="21"/>
          <w:highlight w:val="none"/>
        </w:rPr>
        <w:t>%；如果供应商本身提供所有标的均由中小企业制造、承建或承接，视同符合了资格条件，无需再与其他中小企业组成联合体参加政府采购活动，无需提供联合协议；</w:t>
      </w:r>
    </w:p>
    <w:p>
      <w:pPr>
        <w:pStyle w:val="36"/>
        <w:spacing w:before="0" w:beforeAutospacing="0" w:after="0" w:afterAutospacing="0" w:line="460" w:lineRule="exact"/>
        <w:ind w:firstLine="420" w:firstLineChars="200"/>
        <w:rPr>
          <w:rFonts w:cs="宋体"/>
          <w:color w:val="auto"/>
          <w:sz w:val="21"/>
          <w:szCs w:val="21"/>
          <w:highlight w:val="none"/>
        </w:rPr>
      </w:pPr>
      <w:r>
        <w:rPr>
          <w:rFonts w:hint="eastAsia" w:cs="宋体"/>
          <w:color w:val="auto"/>
          <w:sz w:val="21"/>
          <w:szCs w:val="21"/>
          <w:highlight w:val="none"/>
        </w:rPr>
        <w:t>☐要求合同分包，提供分包意向协议和中小企业声明函，分包意向协议中中小企业合同金额应当达到</w:t>
      </w:r>
      <w:r>
        <w:rPr>
          <w:rFonts w:hint="eastAsia" w:cs="宋体"/>
          <w:color w:val="auto"/>
          <w:sz w:val="21"/>
          <w:szCs w:val="21"/>
          <w:highlight w:val="none"/>
          <w:u w:val="single"/>
        </w:rPr>
        <w:t xml:space="preserve">   /   </w:t>
      </w:r>
      <w:r>
        <w:rPr>
          <w:rFonts w:hint="eastAsia" w:cs="宋体"/>
          <w:color w:val="auto"/>
          <w:sz w:val="21"/>
          <w:szCs w:val="21"/>
          <w:highlight w:val="none"/>
        </w:rPr>
        <w:t>%，小微企业合同金额应当达到</w:t>
      </w:r>
      <w:r>
        <w:rPr>
          <w:rFonts w:hint="eastAsia" w:cs="宋体"/>
          <w:color w:val="auto"/>
          <w:sz w:val="21"/>
          <w:szCs w:val="21"/>
          <w:highlight w:val="none"/>
          <w:u w:val="single"/>
        </w:rPr>
        <w:t xml:space="preserve"> / </w:t>
      </w:r>
      <w:r>
        <w:rPr>
          <w:rFonts w:hint="eastAsia" w:cs="宋体"/>
          <w:color w:val="auto"/>
          <w:sz w:val="21"/>
          <w:szCs w:val="21"/>
          <w:highlight w:val="none"/>
        </w:rPr>
        <w:t>%，如果供应商本身提供所有标的均由中小企业制造、承建或承接，视同符合了资格条件，无需再向中小企业分包，无需提供分包意向协议；</w:t>
      </w:r>
    </w:p>
    <w:p>
      <w:pPr>
        <w:pStyle w:val="36"/>
        <w:spacing w:before="0" w:beforeAutospacing="0" w:after="0" w:afterAutospacing="0" w:line="460" w:lineRule="exact"/>
        <w:ind w:firstLine="420" w:firstLineChars="200"/>
        <w:rPr>
          <w:rFonts w:cs="宋体"/>
          <w:color w:val="auto"/>
          <w:sz w:val="21"/>
          <w:szCs w:val="21"/>
          <w:highlight w:val="none"/>
        </w:rPr>
      </w:pPr>
      <w:r>
        <w:rPr>
          <w:rFonts w:hint="eastAsia" w:cs="宋体"/>
          <w:color w:val="auto"/>
          <w:sz w:val="21"/>
          <w:szCs w:val="21"/>
          <w:highlight w:val="none"/>
        </w:rPr>
        <w:t>3、采购项目需要落实的政府采购政策：执行节约能源、保护环境相关的节能产品政府强制采购和优先采购政策，执行环境标志产品政府优先采购政策；执行扶持不发达地区和少数民族地区、促进中小企业发展、支持监狱企业发展、促进残疾人就业、支持中小企业信用融资等政府采购政策；</w:t>
      </w:r>
    </w:p>
    <w:p>
      <w:pPr>
        <w:pStyle w:val="36"/>
        <w:keepNext w:val="0"/>
        <w:keepLines w:val="0"/>
        <w:pageBreakBefore w:val="0"/>
        <w:kinsoku/>
        <w:wordWrap/>
        <w:overflowPunct/>
        <w:topLinePunct w:val="0"/>
        <w:autoSpaceDE/>
        <w:autoSpaceDN/>
        <w:bidi w:val="0"/>
        <w:spacing w:before="0" w:beforeLines="0" w:beforeAutospacing="0" w:after="0" w:afterLines="0" w:afterAutospacing="0" w:line="420" w:lineRule="exact"/>
        <w:ind w:firstLine="420" w:firstLineChars="200"/>
        <w:textAlignment w:val="auto"/>
        <w:rPr>
          <w:rFonts w:hint="eastAsia" w:cs="宋体"/>
          <w:color w:val="auto"/>
          <w:sz w:val="21"/>
          <w:szCs w:val="21"/>
          <w:highlight w:val="none"/>
          <w:lang w:eastAsia="zh-Hans"/>
        </w:rPr>
      </w:pPr>
      <w:r>
        <w:rPr>
          <w:rFonts w:hint="eastAsia" w:cs="宋体"/>
          <w:color w:val="auto"/>
          <w:sz w:val="21"/>
          <w:szCs w:val="21"/>
          <w:highlight w:val="none"/>
        </w:rPr>
        <w:t>4、本项目的特定资格要求：</w:t>
      </w:r>
      <w:r>
        <w:rPr>
          <w:rFonts w:hint="eastAsia" w:cs="宋体"/>
          <w:color w:val="auto"/>
          <w:sz w:val="21"/>
          <w:szCs w:val="21"/>
          <w:highlight w:val="none"/>
          <w:lang w:eastAsia="zh-Hans"/>
        </w:rPr>
        <w:t>投标人应提供有效的医疗器械经营企业许可证和有效的</w:t>
      </w:r>
      <w:r>
        <w:rPr>
          <w:rFonts w:hint="eastAsia" w:cs="宋体"/>
          <w:color w:val="auto"/>
          <w:sz w:val="21"/>
          <w:szCs w:val="21"/>
          <w:highlight w:val="none"/>
          <w:lang w:val="en-US" w:eastAsia="zh-CN"/>
        </w:rPr>
        <w:t>投标产品的</w:t>
      </w:r>
      <w:r>
        <w:rPr>
          <w:rFonts w:hint="eastAsia" w:cs="宋体"/>
          <w:color w:val="auto"/>
          <w:sz w:val="21"/>
          <w:szCs w:val="21"/>
          <w:highlight w:val="none"/>
          <w:lang w:eastAsia="zh-Hans"/>
        </w:rPr>
        <w:t>医疗器械注册证。</w:t>
      </w:r>
    </w:p>
    <w:p>
      <w:pPr>
        <w:pStyle w:val="36"/>
        <w:spacing w:before="0" w:beforeAutospacing="0" w:after="0" w:afterAutospacing="0" w:line="460" w:lineRule="exact"/>
        <w:ind w:firstLine="420" w:firstLineChars="200"/>
        <w:rPr>
          <w:rFonts w:cs="宋体"/>
          <w:color w:val="auto"/>
          <w:sz w:val="21"/>
          <w:szCs w:val="21"/>
          <w:highlight w:val="none"/>
        </w:rPr>
      </w:pPr>
      <w:r>
        <w:rPr>
          <w:rFonts w:hint="eastAsia" w:cs="宋体"/>
          <w:color w:val="auto"/>
          <w:sz w:val="21"/>
          <w:szCs w:val="21"/>
          <w:highlight w:val="none"/>
        </w:rPr>
        <w:t>5、本项目不接受联合体参加。</w:t>
      </w:r>
    </w:p>
    <w:p>
      <w:pPr>
        <w:pStyle w:val="36"/>
        <w:spacing w:before="0" w:beforeAutospacing="0" w:after="0" w:afterAutospacing="0" w:line="460" w:lineRule="exact"/>
        <w:ind w:firstLine="422" w:firstLineChars="200"/>
        <w:jc w:val="both"/>
        <w:rPr>
          <w:rFonts w:cs="宋体"/>
          <w:color w:val="auto"/>
          <w:sz w:val="21"/>
          <w:szCs w:val="21"/>
          <w:highlight w:val="none"/>
        </w:rPr>
      </w:pPr>
      <w:r>
        <w:rPr>
          <w:rStyle w:val="42"/>
          <w:rFonts w:hint="eastAsia" w:cs="宋体"/>
          <w:color w:val="auto"/>
          <w:sz w:val="21"/>
          <w:szCs w:val="21"/>
          <w:highlight w:val="none"/>
        </w:rPr>
        <w:t>三、获取采购文件</w:t>
      </w:r>
    </w:p>
    <w:p>
      <w:pPr>
        <w:pStyle w:val="36"/>
        <w:spacing w:before="0" w:beforeAutospacing="0" w:after="0" w:afterAutospacing="0" w:line="460" w:lineRule="exact"/>
        <w:ind w:firstLine="420" w:firstLineChars="200"/>
        <w:rPr>
          <w:rFonts w:cs="宋体"/>
          <w:color w:val="auto"/>
          <w:sz w:val="21"/>
          <w:szCs w:val="21"/>
          <w:highlight w:val="none"/>
        </w:rPr>
      </w:pPr>
      <w:r>
        <w:rPr>
          <w:rFonts w:hint="eastAsia" w:cs="宋体"/>
          <w:color w:val="auto"/>
          <w:sz w:val="21"/>
          <w:szCs w:val="21"/>
          <w:highlight w:val="none"/>
        </w:rPr>
        <w:t>1、获取时间：</w:t>
      </w:r>
      <w:r>
        <w:rPr>
          <w:rFonts w:hint="eastAsia" w:cs="宋体"/>
          <w:color w:val="auto"/>
          <w:sz w:val="21"/>
          <w:szCs w:val="21"/>
          <w:highlight w:val="none"/>
        </w:rPr>
        <w:t>公告发布之日至投标截止时间前</w:t>
      </w:r>
      <w:r>
        <w:rPr>
          <w:rFonts w:hint="eastAsia" w:cs="宋体"/>
          <w:color w:val="auto"/>
          <w:sz w:val="21"/>
          <w:szCs w:val="21"/>
          <w:highlight w:val="none"/>
        </w:rPr>
        <w:t>，每天上午00:00至12:00，下午12:00至23:59（北京时间，线上获取法定节假日均可，线下获取文件法定节假日除外）</w:t>
      </w:r>
    </w:p>
    <w:p>
      <w:pPr>
        <w:pStyle w:val="36"/>
        <w:spacing w:before="0" w:beforeAutospacing="0" w:after="0" w:afterAutospacing="0" w:line="460" w:lineRule="exact"/>
        <w:ind w:firstLine="420" w:firstLineChars="200"/>
        <w:rPr>
          <w:rFonts w:cs="宋体"/>
          <w:color w:val="auto"/>
          <w:sz w:val="21"/>
          <w:szCs w:val="21"/>
          <w:highlight w:val="none"/>
        </w:rPr>
      </w:pPr>
      <w:r>
        <w:rPr>
          <w:rFonts w:hint="eastAsia" w:cs="宋体"/>
          <w:color w:val="auto"/>
          <w:sz w:val="21"/>
          <w:szCs w:val="21"/>
          <w:highlight w:val="none"/>
        </w:rPr>
        <w:t>2、获取地点（网址）：浙江省“政采云”平台获取采购文件</w:t>
      </w:r>
    </w:p>
    <w:p>
      <w:pPr>
        <w:pStyle w:val="36"/>
        <w:spacing w:before="0" w:beforeAutospacing="0" w:after="0" w:afterAutospacing="0" w:line="460" w:lineRule="exact"/>
        <w:ind w:firstLine="420" w:firstLineChars="200"/>
        <w:rPr>
          <w:rFonts w:cs="宋体"/>
          <w:color w:val="auto"/>
          <w:sz w:val="21"/>
          <w:szCs w:val="21"/>
          <w:highlight w:val="none"/>
        </w:rPr>
      </w:pPr>
      <w:r>
        <w:rPr>
          <w:rFonts w:hint="eastAsia" w:cs="宋体"/>
          <w:color w:val="auto"/>
          <w:sz w:val="21"/>
          <w:szCs w:val="21"/>
          <w:highlight w:val="none"/>
        </w:rPr>
        <w:t>3、获取方式：供应商自行登录浙江省“政采云”平台（网址https://www.zcygov.cn）获取采购文件（供应商线上获取采购文件的流程：供应商登录浙江省“政采云”平台并进入【项目采购】应用模块，点击左侧菜单的【获取采购文件】，点击对应项目的【申请获取采购文件】按钮，填写获取采购文件申请信息后，点右下角【确定】按钮提交）。</w:t>
      </w:r>
    </w:p>
    <w:p>
      <w:pPr>
        <w:pStyle w:val="36"/>
        <w:spacing w:before="0" w:beforeAutospacing="0" w:after="0" w:afterAutospacing="0" w:line="460" w:lineRule="exact"/>
        <w:ind w:firstLine="630" w:firstLineChars="300"/>
        <w:rPr>
          <w:rFonts w:cs="宋体"/>
          <w:color w:val="auto"/>
          <w:sz w:val="21"/>
          <w:szCs w:val="21"/>
          <w:highlight w:val="none"/>
        </w:rPr>
      </w:pPr>
      <w:r>
        <w:rPr>
          <w:rFonts w:hint="eastAsia" w:cs="宋体"/>
          <w:color w:val="auto"/>
          <w:sz w:val="21"/>
          <w:szCs w:val="21"/>
          <w:highlight w:val="none"/>
        </w:rPr>
        <w:t>4、售价（元）：0</w:t>
      </w:r>
    </w:p>
    <w:p>
      <w:pPr>
        <w:pStyle w:val="36"/>
        <w:spacing w:before="0" w:beforeAutospacing="0" w:after="0" w:afterAutospacing="0" w:line="460" w:lineRule="exact"/>
        <w:ind w:firstLine="632" w:firstLineChars="300"/>
        <w:jc w:val="both"/>
        <w:rPr>
          <w:rFonts w:cs="宋体"/>
          <w:color w:val="auto"/>
          <w:sz w:val="21"/>
          <w:szCs w:val="21"/>
          <w:highlight w:val="none"/>
        </w:rPr>
      </w:pPr>
      <w:r>
        <w:rPr>
          <w:rStyle w:val="42"/>
          <w:rFonts w:hint="eastAsia" w:cs="宋体"/>
          <w:color w:val="auto"/>
          <w:sz w:val="21"/>
          <w:szCs w:val="21"/>
          <w:highlight w:val="none"/>
        </w:rPr>
        <w:t>四、提交投标文件截止时间、开标时间和地点</w:t>
      </w:r>
    </w:p>
    <w:p>
      <w:pPr>
        <w:pStyle w:val="36"/>
        <w:spacing w:before="0" w:beforeAutospacing="0" w:after="0" w:afterAutospacing="0" w:line="460" w:lineRule="exact"/>
        <w:ind w:firstLine="420" w:firstLineChars="200"/>
        <w:rPr>
          <w:rFonts w:cs="宋体"/>
          <w:color w:val="auto"/>
          <w:sz w:val="21"/>
          <w:szCs w:val="21"/>
          <w:highlight w:val="none"/>
        </w:rPr>
      </w:pPr>
      <w:r>
        <w:rPr>
          <w:rFonts w:hint="eastAsia" w:cs="宋体"/>
          <w:color w:val="auto"/>
          <w:sz w:val="21"/>
          <w:szCs w:val="21"/>
          <w:highlight w:val="none"/>
        </w:rPr>
        <w:t>  提交投标文件截止时间：</w:t>
      </w:r>
      <w:r>
        <w:rPr>
          <w:rFonts w:hint="eastAsia" w:cs="宋体"/>
          <w:color w:val="auto"/>
          <w:sz w:val="21"/>
          <w:szCs w:val="21"/>
          <w:highlight w:val="none"/>
          <w:lang w:eastAsia="zh-CN"/>
        </w:rPr>
        <w:t>2024年</w:t>
      </w:r>
      <w:r>
        <w:rPr>
          <w:rFonts w:hint="eastAsia" w:cs="宋体"/>
          <w:color w:val="auto"/>
          <w:sz w:val="21"/>
          <w:szCs w:val="21"/>
          <w:highlight w:val="none"/>
          <w:lang w:val="en-US" w:eastAsia="zh-CN"/>
        </w:rPr>
        <w:t>11</w:t>
      </w:r>
      <w:r>
        <w:rPr>
          <w:rFonts w:hint="eastAsia" w:cs="宋体"/>
          <w:color w:val="auto"/>
          <w:sz w:val="21"/>
          <w:szCs w:val="21"/>
          <w:highlight w:val="none"/>
          <w:lang w:eastAsia="zh-CN"/>
        </w:rPr>
        <w:t>月</w:t>
      </w:r>
      <w:r>
        <w:rPr>
          <w:rFonts w:hint="eastAsia" w:cs="宋体"/>
          <w:color w:val="auto"/>
          <w:sz w:val="21"/>
          <w:szCs w:val="21"/>
          <w:highlight w:val="none"/>
          <w:lang w:val="en-US" w:eastAsia="zh-CN"/>
        </w:rPr>
        <w:t>27</w:t>
      </w:r>
      <w:r>
        <w:rPr>
          <w:rFonts w:hint="eastAsia" w:cs="宋体"/>
          <w:color w:val="auto"/>
          <w:sz w:val="21"/>
          <w:szCs w:val="21"/>
          <w:highlight w:val="none"/>
          <w:lang w:eastAsia="zh-CN"/>
        </w:rPr>
        <w:t>日09:30</w:t>
      </w:r>
      <w:r>
        <w:rPr>
          <w:rFonts w:hint="eastAsia" w:cs="宋体"/>
          <w:color w:val="auto"/>
          <w:sz w:val="21"/>
          <w:szCs w:val="21"/>
          <w:highlight w:val="none"/>
        </w:rPr>
        <w:t>时（北京时间）</w:t>
      </w:r>
    </w:p>
    <w:p>
      <w:pPr>
        <w:pStyle w:val="36"/>
        <w:spacing w:before="0" w:beforeAutospacing="0" w:after="0" w:afterAutospacing="0" w:line="460" w:lineRule="exact"/>
        <w:ind w:firstLine="420" w:firstLineChars="200"/>
        <w:rPr>
          <w:rFonts w:cs="宋体"/>
          <w:color w:val="auto"/>
          <w:sz w:val="21"/>
          <w:szCs w:val="21"/>
          <w:highlight w:val="none"/>
        </w:rPr>
      </w:pPr>
      <w:r>
        <w:rPr>
          <w:rFonts w:hint="eastAsia" w:cs="宋体"/>
          <w:color w:val="auto"/>
          <w:sz w:val="21"/>
          <w:szCs w:val="21"/>
          <w:highlight w:val="none"/>
        </w:rPr>
        <w:t>  投标地点（网址）：金华市公共资源交易中心兰溪市分中心开标，本项目通过“政府采购云平台（www.zcygov.cn）”在线开标，供应商无需派授权代表出席开标会议，但须准时在线参加，直至评审结束。</w:t>
      </w:r>
    </w:p>
    <w:p>
      <w:pPr>
        <w:pStyle w:val="36"/>
        <w:spacing w:before="0" w:beforeAutospacing="0" w:after="0" w:afterAutospacing="0" w:line="460" w:lineRule="exact"/>
        <w:ind w:firstLine="420" w:firstLineChars="200"/>
        <w:rPr>
          <w:rFonts w:cs="宋体"/>
          <w:color w:val="auto"/>
          <w:sz w:val="21"/>
          <w:szCs w:val="21"/>
          <w:highlight w:val="none"/>
        </w:rPr>
      </w:pPr>
      <w:r>
        <w:rPr>
          <w:rFonts w:hint="eastAsia" w:cs="宋体"/>
          <w:color w:val="auto"/>
          <w:sz w:val="21"/>
          <w:szCs w:val="21"/>
          <w:highlight w:val="none"/>
        </w:rPr>
        <w:t> 开标时间：</w:t>
      </w:r>
      <w:r>
        <w:rPr>
          <w:rFonts w:hint="eastAsia" w:cs="宋体"/>
          <w:color w:val="auto"/>
          <w:sz w:val="21"/>
          <w:szCs w:val="21"/>
          <w:highlight w:val="none"/>
          <w:lang w:eastAsia="zh-CN"/>
        </w:rPr>
        <w:t>2024年</w:t>
      </w:r>
      <w:r>
        <w:rPr>
          <w:rFonts w:hint="eastAsia" w:cs="宋体"/>
          <w:color w:val="auto"/>
          <w:sz w:val="21"/>
          <w:szCs w:val="21"/>
          <w:highlight w:val="none"/>
          <w:lang w:val="en-US" w:eastAsia="zh-CN"/>
        </w:rPr>
        <w:t>11</w:t>
      </w:r>
      <w:r>
        <w:rPr>
          <w:rFonts w:hint="eastAsia" w:cs="宋体"/>
          <w:color w:val="auto"/>
          <w:sz w:val="21"/>
          <w:szCs w:val="21"/>
          <w:highlight w:val="none"/>
          <w:lang w:eastAsia="zh-CN"/>
        </w:rPr>
        <w:t>月</w:t>
      </w:r>
      <w:r>
        <w:rPr>
          <w:rFonts w:hint="eastAsia" w:cs="宋体"/>
          <w:color w:val="auto"/>
          <w:sz w:val="21"/>
          <w:szCs w:val="21"/>
          <w:highlight w:val="none"/>
          <w:lang w:val="en-US" w:eastAsia="zh-CN"/>
        </w:rPr>
        <w:t>27</w:t>
      </w:r>
      <w:r>
        <w:rPr>
          <w:rFonts w:hint="eastAsia" w:cs="宋体"/>
          <w:color w:val="auto"/>
          <w:sz w:val="21"/>
          <w:szCs w:val="21"/>
          <w:highlight w:val="none"/>
          <w:lang w:eastAsia="zh-CN"/>
        </w:rPr>
        <w:t>日09:30</w:t>
      </w:r>
      <w:r>
        <w:rPr>
          <w:rFonts w:hint="eastAsia" w:cs="宋体"/>
          <w:color w:val="auto"/>
          <w:sz w:val="21"/>
          <w:szCs w:val="21"/>
          <w:highlight w:val="none"/>
        </w:rPr>
        <w:t>时</w:t>
      </w:r>
    </w:p>
    <w:p>
      <w:pPr>
        <w:pStyle w:val="36"/>
        <w:spacing w:before="0" w:beforeAutospacing="0" w:after="0" w:afterAutospacing="0" w:line="460" w:lineRule="exact"/>
        <w:ind w:firstLine="420" w:firstLineChars="200"/>
        <w:rPr>
          <w:rFonts w:hint="eastAsia" w:eastAsia="宋体" w:cs="宋体"/>
          <w:color w:val="auto"/>
          <w:sz w:val="21"/>
          <w:szCs w:val="21"/>
          <w:highlight w:val="none"/>
          <w:lang w:eastAsia="zh-CN"/>
        </w:rPr>
      </w:pPr>
      <w:r>
        <w:rPr>
          <w:rFonts w:hint="eastAsia" w:cs="宋体"/>
          <w:color w:val="auto"/>
          <w:sz w:val="21"/>
          <w:szCs w:val="21"/>
          <w:highlight w:val="none"/>
        </w:rPr>
        <w:t> 开标地点（网址）：</w:t>
      </w:r>
      <w:r>
        <w:rPr>
          <w:rFonts w:hint="eastAsia" w:cs="宋体"/>
          <w:color w:val="auto"/>
          <w:sz w:val="21"/>
          <w:szCs w:val="21"/>
          <w:highlight w:val="none"/>
          <w:lang w:eastAsia="zh-CN"/>
        </w:rPr>
        <w:t>兰溪市振兴路500号企业服务中心裙房（政务服务中心）4楼开标室3</w:t>
      </w:r>
    </w:p>
    <w:p>
      <w:pPr>
        <w:pStyle w:val="36"/>
        <w:spacing w:before="0" w:beforeAutospacing="0" w:after="0" w:afterAutospacing="0" w:line="460" w:lineRule="exact"/>
        <w:ind w:firstLine="632" w:firstLineChars="300"/>
        <w:rPr>
          <w:rFonts w:cs="宋体"/>
          <w:color w:val="auto"/>
          <w:sz w:val="21"/>
          <w:szCs w:val="21"/>
          <w:highlight w:val="none"/>
        </w:rPr>
      </w:pPr>
      <w:r>
        <w:rPr>
          <w:rStyle w:val="42"/>
          <w:rFonts w:hint="eastAsia" w:cs="宋体"/>
          <w:color w:val="auto"/>
          <w:sz w:val="21"/>
          <w:szCs w:val="21"/>
          <w:highlight w:val="none"/>
        </w:rPr>
        <w:t>五、采购意向公开链接</w:t>
      </w:r>
      <w:r>
        <w:rPr>
          <w:rFonts w:hint="eastAsia" w:cs="宋体"/>
          <w:color w:val="auto"/>
          <w:sz w:val="21"/>
          <w:szCs w:val="21"/>
          <w:highlight w:val="none"/>
        </w:rPr>
        <w:t xml:space="preserve">        </w:t>
      </w:r>
    </w:p>
    <w:p>
      <w:pPr>
        <w:pStyle w:val="36"/>
        <w:spacing w:before="0" w:beforeAutospacing="0" w:after="0" w:afterAutospacing="0" w:line="460" w:lineRule="exact"/>
        <w:ind w:firstLine="632" w:firstLineChars="300"/>
        <w:jc w:val="both"/>
        <w:rPr>
          <w:rStyle w:val="42"/>
          <w:rFonts w:hint="eastAsia" w:cs="宋体"/>
          <w:color w:val="auto"/>
          <w:sz w:val="21"/>
          <w:szCs w:val="21"/>
          <w:highlight w:val="none"/>
        </w:rPr>
      </w:pPr>
      <w:r>
        <w:rPr>
          <w:rStyle w:val="42"/>
          <w:rFonts w:hint="eastAsia" w:cs="宋体"/>
          <w:color w:val="auto"/>
          <w:sz w:val="21"/>
          <w:szCs w:val="21"/>
          <w:highlight w:val="none"/>
        </w:rPr>
        <w:t>https://zfcg.czt.zj.gov.cn/site/detail?categoryCode=ZcyAnnouncement&amp;parentId=600007&amp;articleId=rQy0vTJjnhQSRNOPL4jiFg==</w:t>
      </w:r>
    </w:p>
    <w:p>
      <w:pPr>
        <w:pStyle w:val="36"/>
        <w:spacing w:before="0" w:beforeAutospacing="0" w:after="0" w:afterAutospacing="0" w:line="460" w:lineRule="exact"/>
        <w:ind w:firstLine="632" w:firstLineChars="300"/>
        <w:jc w:val="both"/>
        <w:rPr>
          <w:rFonts w:cs="宋体"/>
          <w:color w:val="auto"/>
          <w:sz w:val="21"/>
          <w:szCs w:val="21"/>
          <w:highlight w:val="none"/>
        </w:rPr>
      </w:pPr>
      <w:r>
        <w:rPr>
          <w:rStyle w:val="42"/>
          <w:rFonts w:hint="eastAsia" w:cs="宋体"/>
          <w:color w:val="auto"/>
          <w:sz w:val="21"/>
          <w:szCs w:val="21"/>
          <w:highlight w:val="none"/>
        </w:rPr>
        <w:t>六、公告期限</w:t>
      </w:r>
    </w:p>
    <w:p>
      <w:pPr>
        <w:pStyle w:val="36"/>
        <w:spacing w:before="0" w:beforeAutospacing="0" w:after="0" w:afterAutospacing="0" w:line="460" w:lineRule="exact"/>
        <w:ind w:firstLine="630" w:firstLineChars="300"/>
        <w:rPr>
          <w:rFonts w:cs="宋体"/>
          <w:color w:val="auto"/>
          <w:sz w:val="21"/>
          <w:szCs w:val="21"/>
          <w:highlight w:val="none"/>
        </w:rPr>
      </w:pPr>
      <w:r>
        <w:rPr>
          <w:rFonts w:hint="eastAsia" w:cs="宋体"/>
          <w:color w:val="auto"/>
          <w:sz w:val="21"/>
          <w:szCs w:val="21"/>
          <w:highlight w:val="none"/>
        </w:rPr>
        <w:t>自本公告发布之日起5个工作日。</w:t>
      </w:r>
    </w:p>
    <w:p>
      <w:pPr>
        <w:pStyle w:val="36"/>
        <w:spacing w:before="0" w:beforeAutospacing="0" w:after="0" w:afterAutospacing="0" w:line="460" w:lineRule="exact"/>
        <w:ind w:firstLine="632" w:firstLineChars="300"/>
        <w:jc w:val="both"/>
        <w:rPr>
          <w:rStyle w:val="42"/>
          <w:rFonts w:cs="宋体"/>
          <w:color w:val="auto"/>
          <w:sz w:val="21"/>
          <w:szCs w:val="21"/>
          <w:highlight w:val="none"/>
        </w:rPr>
      </w:pPr>
      <w:r>
        <w:rPr>
          <w:rStyle w:val="42"/>
          <w:rFonts w:hint="eastAsia" w:cs="宋体"/>
          <w:color w:val="auto"/>
          <w:sz w:val="21"/>
          <w:szCs w:val="21"/>
          <w:highlight w:val="none"/>
        </w:rPr>
        <w:t>七、其他补充事宜</w:t>
      </w:r>
    </w:p>
    <w:p>
      <w:pPr>
        <w:pStyle w:val="36"/>
        <w:spacing w:before="0" w:beforeAutospacing="0" w:after="0" w:afterAutospacing="0" w:line="460" w:lineRule="exact"/>
        <w:ind w:firstLine="630" w:firstLineChars="300"/>
        <w:rPr>
          <w:rFonts w:cs="宋体"/>
          <w:color w:val="auto"/>
          <w:sz w:val="21"/>
          <w:szCs w:val="21"/>
          <w:highlight w:val="none"/>
        </w:rPr>
      </w:pPr>
      <w:r>
        <w:rPr>
          <w:rFonts w:hint="eastAsia" w:cs="宋体"/>
          <w:color w:val="auto"/>
          <w:sz w:val="21"/>
          <w:szCs w:val="21"/>
          <w:highlight w:val="none"/>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 助力扎实稳住经济的通知》浙财采监〔2022〕8号已分别于2022年1月29日、2022年2月1日和2022年7月1日开始实施，此前有关规定与上述文件内容不一致的，按上述文件要求执行。</w:t>
      </w:r>
    </w:p>
    <w:p>
      <w:pPr>
        <w:pStyle w:val="36"/>
        <w:spacing w:before="0" w:beforeAutospacing="0" w:after="0" w:afterAutospacing="0" w:line="460" w:lineRule="exact"/>
        <w:ind w:firstLine="420" w:firstLineChars="200"/>
        <w:jc w:val="both"/>
        <w:rPr>
          <w:rFonts w:cs="宋体"/>
          <w:color w:val="auto"/>
          <w:sz w:val="21"/>
          <w:szCs w:val="21"/>
          <w:highlight w:val="none"/>
        </w:rPr>
      </w:pPr>
      <w:r>
        <w:rPr>
          <w:rFonts w:hint="eastAsia" w:cs="宋体"/>
          <w:color w:val="auto"/>
          <w:sz w:val="21"/>
          <w:szCs w:val="21"/>
          <w:highlight w:val="none"/>
        </w:rPr>
        <w:t>2、根据《浙江省财政厅关于进一步促进政府采购公平竞争打造最优营商环境的通知》浙财采监</w:t>
      </w:r>
      <w:r>
        <w:rPr>
          <w:rFonts w:hint="eastAsia" w:cs="宋体"/>
          <w:color w:val="auto"/>
          <w:sz w:val="21"/>
          <w:szCs w:val="21"/>
          <w:highlight w:val="none"/>
          <w:lang w:eastAsia="zh-CN"/>
        </w:rPr>
        <w:t>〔2021〕22号</w:t>
      </w:r>
      <w:r>
        <w:rPr>
          <w:rFonts w:hint="eastAsia" w:cs="宋体"/>
          <w:color w:val="auto"/>
          <w:sz w:val="21"/>
          <w:szCs w:val="21"/>
          <w:highlight w:val="none"/>
        </w:rPr>
        <w:t>）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pStyle w:val="36"/>
        <w:adjustRightInd w:val="0"/>
        <w:snapToGrid w:val="0"/>
        <w:spacing w:before="0" w:beforeAutospacing="0" w:after="0" w:afterAutospacing="0" w:line="460" w:lineRule="exact"/>
        <w:ind w:firstLine="420" w:firstLineChars="200"/>
        <w:rPr>
          <w:rFonts w:cs="宋体"/>
          <w:color w:val="auto"/>
          <w:sz w:val="21"/>
          <w:szCs w:val="21"/>
          <w:highlight w:val="none"/>
        </w:rPr>
      </w:pPr>
      <w:r>
        <w:rPr>
          <w:rFonts w:hint="eastAsia" w:cs="宋体"/>
          <w:color w:val="auto"/>
          <w:sz w:val="21"/>
          <w:szCs w:val="21"/>
          <w:highlight w:val="none"/>
        </w:rPr>
        <w:t>3、投标人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投标人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pStyle w:val="36"/>
        <w:adjustRightInd w:val="0"/>
        <w:snapToGrid w:val="0"/>
        <w:spacing w:before="0" w:beforeAutospacing="0" w:after="0" w:afterAutospacing="0" w:line="460" w:lineRule="exact"/>
        <w:ind w:firstLine="420" w:firstLineChars="200"/>
        <w:rPr>
          <w:rFonts w:cs="宋体"/>
          <w:color w:val="auto"/>
          <w:sz w:val="21"/>
          <w:szCs w:val="21"/>
          <w:highlight w:val="none"/>
        </w:rPr>
      </w:pPr>
      <w:r>
        <w:rPr>
          <w:rFonts w:hint="eastAsia" w:cs="宋体"/>
          <w:color w:val="auto"/>
          <w:sz w:val="21"/>
          <w:szCs w:val="21"/>
          <w:highlight w:val="none"/>
        </w:rPr>
        <w:t>4、其他事项：见采购文件 </w:t>
      </w:r>
    </w:p>
    <w:p>
      <w:pPr>
        <w:spacing w:line="460" w:lineRule="exact"/>
        <w:ind w:firstLine="420" w:firstLineChars="200"/>
        <w:rPr>
          <w:rFonts w:ascii="宋体" w:cs="宋体"/>
          <w:color w:val="auto"/>
          <w:kern w:val="0"/>
          <w:sz w:val="21"/>
          <w:szCs w:val="21"/>
          <w:highlight w:val="none"/>
        </w:rPr>
      </w:pPr>
      <w:r>
        <w:rPr>
          <w:rFonts w:hint="eastAsia" w:ascii="宋体" w:cs="宋体"/>
          <w:color w:val="auto"/>
          <w:kern w:val="0"/>
          <w:sz w:val="21"/>
          <w:szCs w:val="21"/>
          <w:highlight w:val="none"/>
        </w:rPr>
        <w:t>5、企业信用融资： 省财政厅、浙江银监局、省金融办制定了《浙江省政府采购支持中小企业信用融资试点办法》浙财采监</w:t>
      </w:r>
      <w:r>
        <w:rPr>
          <w:rFonts w:hint="eastAsia" w:ascii="宋体" w:cs="宋体"/>
          <w:color w:val="auto"/>
          <w:kern w:val="0"/>
          <w:sz w:val="21"/>
          <w:szCs w:val="21"/>
          <w:highlight w:val="none"/>
          <w:lang w:eastAsia="zh-CN"/>
        </w:rPr>
        <w:t>〔2012〕13号</w:t>
      </w:r>
      <w:r>
        <w:rPr>
          <w:rFonts w:hint="eastAsia" w:ascii="宋体" w:cs="宋体"/>
          <w:color w:val="auto"/>
          <w:kern w:val="0"/>
          <w:sz w:val="21"/>
          <w:szCs w:val="21"/>
          <w:highlight w:val="none"/>
        </w:rPr>
        <w:t>，所称的政府采购信用融资，是指银行业金融机构（以下简称银行）以政府采购诚信考核和信用审查为基础，凭借政府采购合同，按优于一般中小企业的贷款利率直接向申请贷款的投标人发放贷款的一种融资方式。投标人可登录浙江政府采购的中小企业信用融资栏目了解相关信息。投标人可以通过浙江政府采购网（https://zfcg. czt.zj. gov.cn/）首页的“浙江政采贷”模块进入申请，还可以通过政府采购云平台（https://www.zcygov.cn/）首页的“金融服务”模块进入申请。</w:t>
      </w:r>
    </w:p>
    <w:p>
      <w:pPr>
        <w:spacing w:line="460" w:lineRule="exact"/>
        <w:ind w:firstLine="420" w:firstLineChars="200"/>
        <w:rPr>
          <w:rFonts w:ascii="宋体" w:cs="宋体"/>
          <w:color w:val="auto"/>
          <w:kern w:val="0"/>
          <w:sz w:val="21"/>
          <w:szCs w:val="21"/>
          <w:highlight w:val="none"/>
        </w:rPr>
      </w:pPr>
      <w:r>
        <w:rPr>
          <w:rFonts w:hint="eastAsia" w:ascii="宋体" w:cs="宋体"/>
          <w:color w:val="auto"/>
          <w:kern w:val="0"/>
          <w:sz w:val="21"/>
          <w:szCs w:val="21"/>
          <w:highlight w:val="none"/>
        </w:rPr>
        <w:t>6、根据《浙江省财政厅关于进一步加大政府采购支持中小企业力度 助力扎实稳住经济的通知》（浙财采监〔2022〕8号）简化对政府采购供应商资格条件的形式审查，供应商书面承诺符合参与政府采购活动资格条件的，不需要再提供财务状况报告、依法缴纳税收和社会保障资金记录、无重大违法记录等证明材料。</w:t>
      </w:r>
    </w:p>
    <w:p>
      <w:pPr>
        <w:spacing w:line="460" w:lineRule="exact"/>
        <w:ind w:firstLine="422" w:firstLineChars="200"/>
        <w:rPr>
          <w:rFonts w:ascii="宋体" w:cs="宋体"/>
          <w:b/>
          <w:bCs/>
          <w:color w:val="auto"/>
          <w:kern w:val="0"/>
          <w:sz w:val="21"/>
          <w:szCs w:val="21"/>
          <w:highlight w:val="none"/>
        </w:rPr>
      </w:pPr>
      <w:r>
        <w:rPr>
          <w:rFonts w:hint="eastAsia" w:ascii="宋体" w:cs="宋体"/>
          <w:b/>
          <w:bCs/>
          <w:color w:val="auto"/>
          <w:kern w:val="0"/>
          <w:sz w:val="21"/>
          <w:szCs w:val="21"/>
          <w:highlight w:val="none"/>
        </w:rPr>
        <w:t>7、政府采购金融服务提示：</w:t>
      </w:r>
    </w:p>
    <w:p>
      <w:pPr>
        <w:spacing w:line="460" w:lineRule="exact"/>
        <w:ind w:firstLine="420" w:firstLineChars="200"/>
        <w:rPr>
          <w:rFonts w:ascii="宋体" w:cs="宋体"/>
          <w:color w:val="auto"/>
          <w:kern w:val="0"/>
          <w:sz w:val="21"/>
          <w:szCs w:val="21"/>
          <w:highlight w:val="none"/>
        </w:rPr>
      </w:pPr>
      <w:r>
        <w:rPr>
          <w:rFonts w:hint="eastAsia" w:ascii="宋体" w:cs="宋体"/>
          <w:color w:val="auto"/>
          <w:kern w:val="0"/>
          <w:sz w:val="21"/>
          <w:szCs w:val="21"/>
          <w:highlight w:val="none"/>
        </w:rPr>
        <w:t>为扩大政府采购金融服务面，除政采云网上金融服务合作银行外，兰溪市范围增加线下合作银行二家，具体信息如下：</w:t>
      </w:r>
    </w:p>
    <w:p>
      <w:pPr>
        <w:spacing w:line="460" w:lineRule="exact"/>
        <w:ind w:firstLine="420" w:firstLineChars="200"/>
        <w:rPr>
          <w:rFonts w:ascii="宋体" w:cs="宋体"/>
          <w:color w:val="auto"/>
          <w:kern w:val="0"/>
          <w:sz w:val="21"/>
          <w:szCs w:val="21"/>
          <w:highlight w:val="none"/>
        </w:rPr>
      </w:pPr>
      <w:r>
        <w:rPr>
          <w:rFonts w:hint="eastAsia" w:ascii="宋体" w:cs="宋体"/>
          <w:color w:val="auto"/>
          <w:kern w:val="0"/>
          <w:sz w:val="21"/>
          <w:szCs w:val="21"/>
          <w:highlight w:val="none"/>
        </w:rPr>
        <w:t>杭州银行金华兰溪支行：</w:t>
      </w:r>
    </w:p>
    <w:p>
      <w:pPr>
        <w:spacing w:line="460" w:lineRule="exact"/>
        <w:ind w:firstLine="420" w:firstLineChars="200"/>
        <w:rPr>
          <w:rFonts w:ascii="宋体" w:cs="宋体"/>
          <w:color w:val="auto"/>
          <w:kern w:val="0"/>
          <w:sz w:val="21"/>
          <w:szCs w:val="21"/>
          <w:highlight w:val="none"/>
        </w:rPr>
      </w:pPr>
      <w:r>
        <w:rPr>
          <w:rFonts w:hint="eastAsia" w:ascii="宋体" w:cs="宋体"/>
          <w:color w:val="auto"/>
          <w:kern w:val="0"/>
          <w:sz w:val="21"/>
          <w:szCs w:val="21"/>
          <w:highlight w:val="none"/>
        </w:rPr>
        <w:t>联系人：江昌奇           联系电话：15558679555</w:t>
      </w:r>
    </w:p>
    <w:p>
      <w:pPr>
        <w:spacing w:line="460" w:lineRule="exact"/>
        <w:ind w:firstLine="420" w:firstLineChars="200"/>
        <w:rPr>
          <w:rFonts w:ascii="宋体" w:cs="宋体"/>
          <w:color w:val="auto"/>
          <w:kern w:val="0"/>
          <w:sz w:val="21"/>
          <w:szCs w:val="21"/>
          <w:highlight w:val="none"/>
        </w:rPr>
      </w:pPr>
      <w:r>
        <w:rPr>
          <w:rFonts w:hint="eastAsia" w:ascii="宋体" w:cs="宋体"/>
          <w:color w:val="auto"/>
          <w:kern w:val="0"/>
          <w:sz w:val="21"/>
          <w:szCs w:val="21"/>
          <w:highlight w:val="none"/>
        </w:rPr>
        <w:t>邮政储蓄银行兰溪市支行：</w:t>
      </w:r>
    </w:p>
    <w:p>
      <w:pPr>
        <w:spacing w:line="460" w:lineRule="exact"/>
        <w:ind w:firstLine="420" w:firstLineChars="200"/>
        <w:rPr>
          <w:rFonts w:ascii="宋体" w:cs="宋体"/>
          <w:color w:val="auto"/>
          <w:kern w:val="0"/>
          <w:sz w:val="21"/>
          <w:szCs w:val="21"/>
          <w:highlight w:val="none"/>
        </w:rPr>
      </w:pPr>
      <w:r>
        <w:rPr>
          <w:rFonts w:hint="eastAsia" w:ascii="宋体" w:cs="宋体"/>
          <w:color w:val="auto"/>
          <w:kern w:val="0"/>
          <w:sz w:val="21"/>
          <w:szCs w:val="21"/>
          <w:highlight w:val="none"/>
        </w:rPr>
        <w:t xml:space="preserve">联系人：掌丽             联系电话：18357991025（0579-88824616） </w:t>
      </w:r>
    </w:p>
    <w:p>
      <w:pPr>
        <w:pStyle w:val="36"/>
        <w:spacing w:before="0" w:beforeAutospacing="0" w:after="0" w:afterAutospacing="0" w:line="460" w:lineRule="exact"/>
        <w:ind w:firstLine="420" w:firstLineChars="200"/>
        <w:rPr>
          <w:rFonts w:cs="宋体"/>
          <w:color w:val="auto"/>
          <w:sz w:val="21"/>
          <w:szCs w:val="21"/>
          <w:highlight w:val="none"/>
        </w:rPr>
      </w:pPr>
      <w:r>
        <w:rPr>
          <w:rFonts w:hint="eastAsia" w:cs="宋体"/>
          <w:color w:val="auto"/>
          <w:sz w:val="21"/>
          <w:szCs w:val="21"/>
          <w:highlight w:val="none"/>
        </w:rPr>
        <w:t>8、本项目通过“政府采购云平台（www.zcygov.cn）”在线开标，投标人无需派授权代表出席开标会议，但须准时在线参加，直至评审结束。开标截止时间后30分钟以内投标人登录“政采云”平台，用“项目采购－开标评标”功能进行解密投标文件。若投标人在规定时间内投标文件无法解密或解密失败（含未提交），则投标无效。</w:t>
      </w:r>
    </w:p>
    <w:p>
      <w:pPr>
        <w:pStyle w:val="36"/>
        <w:spacing w:before="0" w:beforeAutospacing="0" w:after="0" w:afterAutospacing="0" w:line="500" w:lineRule="exact"/>
        <w:ind w:firstLine="420" w:firstLineChars="200"/>
        <w:jc w:val="both"/>
        <w:rPr>
          <w:rFonts w:cs="宋体"/>
          <w:color w:val="auto"/>
          <w:sz w:val="21"/>
          <w:szCs w:val="21"/>
          <w:highlight w:val="none"/>
        </w:rPr>
      </w:pPr>
      <w:r>
        <w:rPr>
          <w:rFonts w:hint="eastAsia" w:cs="宋体"/>
          <w:color w:val="auto"/>
          <w:sz w:val="21"/>
          <w:szCs w:val="21"/>
          <w:highlight w:val="none"/>
        </w:rPr>
        <w:t xml:space="preserve">  </w:t>
      </w:r>
      <w:r>
        <w:rPr>
          <w:rStyle w:val="42"/>
          <w:rFonts w:hint="eastAsia" w:cs="宋体"/>
          <w:color w:val="auto"/>
          <w:sz w:val="21"/>
          <w:szCs w:val="21"/>
          <w:highlight w:val="none"/>
        </w:rPr>
        <w:t>八、对本次采购提出询问、质疑、投诉，请按以下方式联系</w:t>
      </w:r>
    </w:p>
    <w:p>
      <w:pPr>
        <w:pStyle w:val="36"/>
        <w:spacing w:before="0" w:beforeAutospacing="0" w:after="0" w:afterAutospacing="0" w:line="580" w:lineRule="exact"/>
        <w:ind w:firstLine="420" w:firstLineChars="200"/>
        <w:rPr>
          <w:rFonts w:hint="eastAsia" w:cs="宋体"/>
          <w:color w:val="auto"/>
          <w:sz w:val="21"/>
          <w:szCs w:val="21"/>
          <w:highlight w:val="none"/>
        </w:rPr>
      </w:pPr>
      <w:r>
        <w:rPr>
          <w:rFonts w:hint="eastAsia" w:cs="宋体"/>
          <w:color w:val="auto"/>
          <w:sz w:val="21"/>
          <w:szCs w:val="21"/>
          <w:highlight w:val="none"/>
        </w:rPr>
        <w:t> </w:t>
      </w:r>
      <w:r>
        <w:rPr>
          <w:rFonts w:hint="eastAsia" w:cs="宋体"/>
          <w:color w:val="auto"/>
          <w:sz w:val="21"/>
          <w:szCs w:val="21"/>
          <w:highlight w:val="none"/>
          <w:lang w:val="en-US" w:eastAsia="zh-CN"/>
        </w:rPr>
        <w:t xml:space="preserve">    </w:t>
      </w:r>
      <w:r>
        <w:rPr>
          <w:rFonts w:hint="eastAsia" w:cs="宋体"/>
          <w:color w:val="auto"/>
          <w:sz w:val="21"/>
          <w:szCs w:val="21"/>
          <w:highlight w:val="none"/>
        </w:rPr>
        <w:t xml:space="preserve"> </w:t>
      </w:r>
      <w:r>
        <w:rPr>
          <w:rFonts w:hint="eastAsia" w:cs="宋体"/>
          <w:color w:val="auto"/>
          <w:sz w:val="21"/>
          <w:szCs w:val="21"/>
          <w:highlight w:val="none"/>
          <w:lang w:val="en-US" w:eastAsia="zh-CN"/>
        </w:rPr>
        <w:t xml:space="preserve"> </w:t>
      </w:r>
      <w:r>
        <w:rPr>
          <w:rFonts w:hint="eastAsia" w:cs="宋体"/>
          <w:color w:val="auto"/>
          <w:sz w:val="21"/>
          <w:szCs w:val="21"/>
          <w:highlight w:val="none"/>
          <w:shd w:val="clear" w:color="auto" w:fill="FFFFFF"/>
        </w:rPr>
        <w:t>1、采购人信息</w:t>
      </w:r>
    </w:p>
    <w:p>
      <w:pPr>
        <w:pStyle w:val="36"/>
        <w:spacing w:before="0" w:beforeAutospacing="0" w:after="0" w:afterAutospacing="0" w:line="580" w:lineRule="exact"/>
        <w:ind w:firstLine="420" w:firstLineChars="200"/>
        <w:rPr>
          <w:rFonts w:hint="eastAsia" w:eastAsia="宋体" w:cs="宋体"/>
          <w:color w:val="auto"/>
          <w:sz w:val="21"/>
          <w:szCs w:val="21"/>
          <w:highlight w:val="none"/>
          <w:lang w:eastAsia="zh-CN"/>
        </w:rPr>
      </w:pPr>
      <w:r>
        <w:rPr>
          <w:rFonts w:hint="eastAsia" w:cs="宋体"/>
          <w:color w:val="auto"/>
          <w:sz w:val="21"/>
          <w:szCs w:val="21"/>
          <w:highlight w:val="none"/>
          <w:shd w:val="clear" w:color="auto" w:fill="FFFFFF"/>
        </w:rPr>
        <w:t>     名 称：</w:t>
      </w:r>
      <w:r>
        <w:rPr>
          <w:rFonts w:hint="eastAsia" w:cs="宋体"/>
          <w:color w:val="auto"/>
          <w:sz w:val="21"/>
          <w:szCs w:val="21"/>
          <w:highlight w:val="none"/>
          <w:shd w:val="clear" w:color="auto" w:fill="FFFFFF"/>
          <w:lang w:eastAsia="zh-CN"/>
        </w:rPr>
        <w:t>兰溪市人民医院</w:t>
      </w:r>
    </w:p>
    <w:p>
      <w:pPr>
        <w:pStyle w:val="36"/>
        <w:spacing w:before="0" w:beforeAutospacing="0" w:after="0" w:afterAutospacing="0" w:line="580" w:lineRule="exact"/>
        <w:ind w:firstLine="420" w:firstLineChars="200"/>
        <w:rPr>
          <w:rFonts w:hint="eastAsia" w:cs="宋体"/>
          <w:color w:val="auto"/>
          <w:sz w:val="21"/>
          <w:szCs w:val="21"/>
          <w:highlight w:val="none"/>
        </w:rPr>
      </w:pPr>
      <w:r>
        <w:rPr>
          <w:rFonts w:hint="eastAsia" w:cs="宋体"/>
          <w:color w:val="auto"/>
          <w:sz w:val="21"/>
          <w:szCs w:val="21"/>
          <w:highlight w:val="none"/>
          <w:shd w:val="clear" w:color="auto" w:fill="FFFFFF"/>
        </w:rPr>
        <w:t xml:space="preserve">     地 址：兰溪市西山路1359号 </w:t>
      </w:r>
      <w:r>
        <w:rPr>
          <w:rFonts w:hint="eastAsia" w:cs="宋体"/>
          <w:color w:val="auto"/>
          <w:sz w:val="21"/>
          <w:szCs w:val="21"/>
          <w:highlight w:val="none"/>
          <w:shd w:val="clear" w:color="auto" w:fill="FFFFFF"/>
          <w:lang w:val="en-US" w:eastAsia="zh-CN"/>
        </w:rPr>
        <w:t xml:space="preserve"> </w:t>
      </w:r>
      <w:r>
        <w:rPr>
          <w:rFonts w:hint="eastAsia" w:cs="宋体"/>
          <w:color w:val="auto"/>
          <w:sz w:val="21"/>
          <w:szCs w:val="21"/>
          <w:highlight w:val="none"/>
          <w:shd w:val="clear" w:color="auto" w:fill="FFFFFF"/>
        </w:rPr>
        <w:t xml:space="preserve"> </w:t>
      </w:r>
    </w:p>
    <w:p>
      <w:pPr>
        <w:pStyle w:val="36"/>
        <w:spacing w:before="0" w:beforeAutospacing="0" w:after="0" w:afterAutospacing="0" w:line="580" w:lineRule="exact"/>
        <w:ind w:firstLine="420" w:firstLineChars="200"/>
        <w:rPr>
          <w:rFonts w:hint="eastAsia" w:cs="宋体"/>
          <w:color w:val="auto"/>
          <w:sz w:val="21"/>
          <w:szCs w:val="21"/>
          <w:highlight w:val="none"/>
        </w:rPr>
      </w:pPr>
      <w:r>
        <w:rPr>
          <w:rFonts w:hint="eastAsia" w:cs="宋体"/>
          <w:color w:val="auto"/>
          <w:sz w:val="21"/>
          <w:szCs w:val="21"/>
          <w:highlight w:val="none"/>
          <w:shd w:val="clear" w:color="auto" w:fill="FFFFFF"/>
        </w:rPr>
        <w:t>     传 真：/</w:t>
      </w:r>
    </w:p>
    <w:p>
      <w:pPr>
        <w:pStyle w:val="36"/>
        <w:spacing w:before="0" w:beforeAutospacing="0" w:after="0" w:afterAutospacing="0" w:line="580" w:lineRule="exact"/>
        <w:ind w:firstLine="420" w:firstLineChars="200"/>
        <w:rPr>
          <w:rFonts w:hint="eastAsia" w:cs="宋体"/>
          <w:color w:val="auto"/>
          <w:sz w:val="21"/>
          <w:szCs w:val="21"/>
          <w:highlight w:val="none"/>
        </w:rPr>
      </w:pPr>
      <w:r>
        <w:rPr>
          <w:rFonts w:hint="eastAsia" w:cs="宋体"/>
          <w:color w:val="auto"/>
          <w:sz w:val="21"/>
          <w:szCs w:val="21"/>
          <w:highlight w:val="none"/>
          <w:shd w:val="clear" w:color="auto" w:fill="FFFFFF"/>
        </w:rPr>
        <w:t>     项目联系人（询问）：</w:t>
      </w:r>
      <w:r>
        <w:rPr>
          <w:rFonts w:hint="eastAsia" w:cs="宋体"/>
          <w:color w:val="auto"/>
          <w:sz w:val="21"/>
          <w:szCs w:val="21"/>
          <w:highlight w:val="none"/>
          <w:shd w:val="clear" w:color="auto" w:fill="FFFFFF"/>
          <w:lang w:val="en-US" w:eastAsia="zh-CN"/>
        </w:rPr>
        <w:t xml:space="preserve">余晓军 </w:t>
      </w:r>
      <w:r>
        <w:rPr>
          <w:rFonts w:hint="eastAsia" w:cs="宋体"/>
          <w:color w:val="auto"/>
          <w:sz w:val="21"/>
          <w:szCs w:val="21"/>
          <w:highlight w:val="none"/>
          <w:shd w:val="clear" w:color="auto" w:fill="FFFFFF"/>
        </w:rPr>
        <w:t> </w:t>
      </w:r>
    </w:p>
    <w:p>
      <w:pPr>
        <w:snapToGrid w:val="0"/>
        <w:spacing w:line="580" w:lineRule="exact"/>
        <w:ind w:firstLine="630" w:firstLineChars="300"/>
        <w:rPr>
          <w:rFonts w:hint="eastAsia" w:ascii="宋体" w:hAnsi="宋体" w:eastAsia="宋体"/>
          <w:color w:val="auto"/>
          <w:sz w:val="21"/>
          <w:highlight w:val="none"/>
          <w:lang w:eastAsia="zh-CN"/>
        </w:rPr>
      </w:pPr>
      <w:r>
        <w:rPr>
          <w:rFonts w:hint="eastAsia" w:ascii="宋体" w:hAnsi="宋体" w:cs="宋体"/>
          <w:color w:val="auto"/>
          <w:sz w:val="21"/>
          <w:szCs w:val="21"/>
          <w:highlight w:val="none"/>
          <w:shd w:val="clear" w:color="auto" w:fill="FFFFFF"/>
        </w:rPr>
        <w:t>  项目联系方式（询问）：</w:t>
      </w:r>
      <w:r>
        <w:rPr>
          <w:rFonts w:hint="eastAsia" w:ascii="宋体" w:hAnsi="宋体" w:cs="宋体"/>
          <w:color w:val="auto"/>
          <w:sz w:val="21"/>
          <w:szCs w:val="21"/>
          <w:highlight w:val="none"/>
          <w:shd w:val="clear" w:color="auto" w:fill="FFFFFF"/>
          <w:lang w:val="en-US" w:eastAsia="zh-CN"/>
        </w:rPr>
        <w:t xml:space="preserve">15888977605 </w:t>
      </w:r>
    </w:p>
    <w:p>
      <w:pPr>
        <w:pStyle w:val="36"/>
        <w:spacing w:before="0" w:beforeAutospacing="0" w:after="0" w:afterAutospacing="0" w:line="580" w:lineRule="exact"/>
        <w:ind w:firstLine="420" w:firstLineChars="200"/>
        <w:rPr>
          <w:rFonts w:hint="eastAsia" w:cs="宋体"/>
          <w:color w:val="auto"/>
          <w:sz w:val="21"/>
          <w:szCs w:val="21"/>
          <w:highlight w:val="none"/>
        </w:rPr>
      </w:pPr>
      <w:r>
        <w:rPr>
          <w:rFonts w:hint="eastAsia" w:cs="宋体"/>
          <w:color w:val="auto"/>
          <w:sz w:val="21"/>
          <w:szCs w:val="21"/>
          <w:highlight w:val="none"/>
          <w:shd w:val="clear" w:color="auto" w:fill="FFFFFF"/>
        </w:rPr>
        <w:t xml:space="preserve">     质疑联系人：</w:t>
      </w:r>
      <w:r>
        <w:rPr>
          <w:rFonts w:hint="eastAsia" w:cs="宋体"/>
          <w:color w:val="auto"/>
          <w:sz w:val="21"/>
          <w:szCs w:val="21"/>
          <w:highlight w:val="none"/>
          <w:shd w:val="clear" w:color="auto" w:fill="FFFFFF"/>
          <w:lang w:val="en-US" w:eastAsia="zh-CN"/>
        </w:rPr>
        <w:t xml:space="preserve">蒋智勇 </w:t>
      </w:r>
      <w:r>
        <w:rPr>
          <w:rFonts w:hint="eastAsia" w:cs="宋体"/>
          <w:color w:val="auto"/>
          <w:sz w:val="21"/>
          <w:szCs w:val="21"/>
          <w:highlight w:val="none"/>
          <w:shd w:val="clear" w:color="auto" w:fill="FFFFFF"/>
        </w:rPr>
        <w:t xml:space="preserve"> </w:t>
      </w:r>
      <w:r>
        <w:rPr>
          <w:rFonts w:hint="eastAsia"/>
          <w:color w:val="auto"/>
          <w:sz w:val="21"/>
          <w:highlight w:val="none"/>
        </w:rPr>
        <w:t xml:space="preserve"> </w:t>
      </w:r>
    </w:p>
    <w:p>
      <w:pPr>
        <w:pStyle w:val="36"/>
        <w:spacing w:before="0" w:beforeAutospacing="0" w:after="0" w:afterAutospacing="0" w:line="580" w:lineRule="exact"/>
        <w:ind w:firstLine="420" w:firstLineChars="200"/>
        <w:rPr>
          <w:rFonts w:hint="eastAsia" w:cs="宋体"/>
          <w:color w:val="auto"/>
          <w:sz w:val="21"/>
          <w:szCs w:val="21"/>
          <w:highlight w:val="none"/>
        </w:rPr>
      </w:pPr>
      <w:r>
        <w:rPr>
          <w:rFonts w:hint="eastAsia" w:cs="宋体"/>
          <w:color w:val="auto"/>
          <w:sz w:val="21"/>
          <w:szCs w:val="21"/>
          <w:highlight w:val="none"/>
          <w:shd w:val="clear" w:color="auto" w:fill="FFFFFF"/>
        </w:rPr>
        <w:t>     质疑联系方式：</w:t>
      </w:r>
      <w:r>
        <w:rPr>
          <w:rFonts w:hint="eastAsia" w:cs="宋体"/>
          <w:color w:val="auto"/>
          <w:sz w:val="21"/>
          <w:szCs w:val="21"/>
          <w:highlight w:val="none"/>
          <w:shd w:val="clear" w:color="auto" w:fill="FFFFFF"/>
          <w:lang w:val="en-US" w:eastAsia="zh-CN"/>
        </w:rPr>
        <w:t xml:space="preserve">13819913899 </w:t>
      </w:r>
      <w:r>
        <w:rPr>
          <w:rFonts w:hint="eastAsia" w:cs="宋体"/>
          <w:color w:val="auto"/>
          <w:sz w:val="21"/>
          <w:szCs w:val="21"/>
          <w:highlight w:val="none"/>
          <w:shd w:val="clear" w:color="auto" w:fill="FFFFFF"/>
        </w:rPr>
        <w:t xml:space="preserve"> </w:t>
      </w:r>
      <w:r>
        <w:rPr>
          <w:rFonts w:hint="eastAsia"/>
          <w:color w:val="auto"/>
          <w:sz w:val="21"/>
          <w:highlight w:val="none"/>
        </w:rPr>
        <w:t xml:space="preserve"> </w:t>
      </w:r>
    </w:p>
    <w:p>
      <w:pPr>
        <w:pStyle w:val="3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i w:val="0"/>
          <w:iCs w:val="0"/>
          <w:caps w:val="0"/>
          <w:color w:val="auto"/>
          <w:spacing w:val="0"/>
          <w:sz w:val="21"/>
          <w:szCs w:val="21"/>
          <w:highlight w:val="none"/>
          <w:shd w:val="clear" w:color="auto" w:fill="FFFFFF"/>
        </w:rPr>
        <w:t>   2.采购代理机构信息</w:t>
      </w:r>
    </w:p>
    <w:p>
      <w:pPr>
        <w:pStyle w:val="3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firstLineChars="200"/>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i w:val="0"/>
          <w:iCs w:val="0"/>
          <w:caps w:val="0"/>
          <w:color w:val="auto"/>
          <w:spacing w:val="0"/>
          <w:sz w:val="21"/>
          <w:szCs w:val="21"/>
          <w:highlight w:val="none"/>
          <w:shd w:val="clear" w:color="auto" w:fill="FFFFFF"/>
        </w:rPr>
        <w:t>   名 称：</w:t>
      </w:r>
      <w:r>
        <w:rPr>
          <w:rFonts w:hint="eastAsia" w:ascii="宋体" w:hAnsi="宋体" w:eastAsia="宋体" w:cs="宋体"/>
          <w:b w:val="0"/>
          <w:bCs w:val="0"/>
          <w:i w:val="0"/>
          <w:iCs w:val="0"/>
          <w:caps w:val="0"/>
          <w:color w:val="auto"/>
          <w:spacing w:val="0"/>
          <w:sz w:val="21"/>
          <w:szCs w:val="21"/>
          <w:highlight w:val="none"/>
          <w:shd w:val="clear" w:color="auto" w:fill="FFFFFF"/>
          <w:lang w:eastAsia="zh-CN"/>
        </w:rPr>
        <w:t>浙江中兰工程项目管理有限公司</w:t>
      </w:r>
    </w:p>
    <w:p>
      <w:pPr>
        <w:pStyle w:val="3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i w:val="0"/>
          <w:iCs w:val="0"/>
          <w:caps w:val="0"/>
          <w:color w:val="auto"/>
          <w:spacing w:val="0"/>
          <w:sz w:val="21"/>
          <w:szCs w:val="21"/>
          <w:highlight w:val="none"/>
          <w:shd w:val="clear" w:color="auto" w:fill="FFFFFF"/>
        </w:rPr>
        <w:t>   地 址：兰溪市振兴路508号总部经济大楼A座8楼</w:t>
      </w:r>
    </w:p>
    <w:p>
      <w:pPr>
        <w:pStyle w:val="3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i w:val="0"/>
          <w:iCs w:val="0"/>
          <w:caps w:val="0"/>
          <w:color w:val="auto"/>
          <w:spacing w:val="0"/>
          <w:sz w:val="21"/>
          <w:szCs w:val="21"/>
          <w:highlight w:val="none"/>
          <w:shd w:val="clear" w:color="auto" w:fill="FFFFFF"/>
        </w:rPr>
        <w:t xml:space="preserve">  </w:t>
      </w:r>
      <w:r>
        <w:rPr>
          <w:rFonts w:hint="eastAsia" w:ascii="宋体" w:hAnsi="宋体" w:eastAsia="宋体" w:cs="宋体"/>
          <w:b w:val="0"/>
          <w:bCs w:val="0"/>
          <w:i w:val="0"/>
          <w:iCs w:val="0"/>
          <w:caps w:val="0"/>
          <w:color w:val="auto"/>
          <w:spacing w:val="0"/>
          <w:sz w:val="21"/>
          <w:szCs w:val="21"/>
          <w:highlight w:val="none"/>
          <w:shd w:val="clear" w:color="auto" w:fill="FFFFFF"/>
          <w:lang w:val="en-US" w:eastAsia="zh-CN"/>
        </w:rPr>
        <w:t xml:space="preserve"> </w:t>
      </w:r>
      <w:r>
        <w:rPr>
          <w:rFonts w:hint="eastAsia" w:hAnsi="宋体" w:cs="宋体"/>
          <w:b w:val="0"/>
          <w:bCs w:val="0"/>
          <w:i w:val="0"/>
          <w:iCs w:val="0"/>
          <w:caps w:val="0"/>
          <w:color w:val="auto"/>
          <w:spacing w:val="0"/>
          <w:sz w:val="21"/>
          <w:szCs w:val="21"/>
          <w:highlight w:val="none"/>
          <w:shd w:val="clear" w:color="auto" w:fill="FFFFFF"/>
          <w:lang w:val="en-US" w:eastAsia="zh-CN"/>
        </w:rPr>
        <w:t xml:space="preserve"> </w:t>
      </w:r>
      <w:r>
        <w:rPr>
          <w:rFonts w:hint="eastAsia" w:ascii="宋体" w:hAnsi="宋体" w:eastAsia="宋体" w:cs="宋体"/>
          <w:b w:val="0"/>
          <w:bCs w:val="0"/>
          <w:i w:val="0"/>
          <w:iCs w:val="0"/>
          <w:caps w:val="0"/>
          <w:color w:val="auto"/>
          <w:spacing w:val="0"/>
          <w:sz w:val="21"/>
          <w:szCs w:val="21"/>
          <w:highlight w:val="none"/>
          <w:shd w:val="clear" w:color="auto" w:fill="FFFFFF"/>
        </w:rPr>
        <w:t>传 真：</w:t>
      </w:r>
      <w:r>
        <w:rPr>
          <w:rFonts w:hint="eastAsia" w:eastAsia="宋体" w:cs="宋体"/>
          <w:b w:val="0"/>
          <w:bCs w:val="0"/>
          <w:i w:val="0"/>
          <w:iCs w:val="0"/>
          <w:caps w:val="0"/>
          <w:color w:val="auto"/>
          <w:spacing w:val="0"/>
          <w:sz w:val="21"/>
          <w:szCs w:val="21"/>
          <w:highlight w:val="none"/>
          <w:shd w:val="clear" w:color="auto" w:fill="FFFFFF"/>
          <w:lang w:val="en-US" w:eastAsia="zh-CN"/>
        </w:rPr>
        <w:t>/</w:t>
      </w:r>
    </w:p>
    <w:p>
      <w:pPr>
        <w:pStyle w:val="3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i w:val="0"/>
          <w:iCs w:val="0"/>
          <w:caps w:val="0"/>
          <w:color w:val="auto"/>
          <w:spacing w:val="0"/>
          <w:sz w:val="21"/>
          <w:szCs w:val="21"/>
          <w:highlight w:val="none"/>
          <w:shd w:val="clear" w:color="auto" w:fill="FFFFFF"/>
        </w:rPr>
        <w:t>   项目联系人（询问）：</w:t>
      </w:r>
      <w:r>
        <w:rPr>
          <w:rFonts w:hint="eastAsia" w:ascii="宋体" w:hAnsi="宋体" w:eastAsia="宋体" w:cs="宋体"/>
          <w:color w:val="auto"/>
          <w:sz w:val="21"/>
          <w:szCs w:val="21"/>
          <w:highlight w:val="none"/>
          <w:lang w:eastAsia="zh-CN"/>
        </w:rPr>
        <w:t>徐瑾</w:t>
      </w:r>
      <w:r>
        <w:rPr>
          <w:rFonts w:hint="eastAsia" w:ascii="宋体" w:hAnsi="宋体" w:eastAsia="宋体" w:cs="宋体"/>
          <w:b w:val="0"/>
          <w:bCs w:val="0"/>
          <w:i w:val="0"/>
          <w:iCs w:val="0"/>
          <w:caps w:val="0"/>
          <w:color w:val="auto"/>
          <w:spacing w:val="0"/>
          <w:sz w:val="21"/>
          <w:szCs w:val="21"/>
          <w:highlight w:val="none"/>
          <w:shd w:val="clear" w:color="auto" w:fill="FFFFFF"/>
        </w:rPr>
        <w:t> </w:t>
      </w:r>
    </w:p>
    <w:p>
      <w:pPr>
        <w:pStyle w:val="3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firstLineChars="200"/>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i w:val="0"/>
          <w:iCs w:val="0"/>
          <w:caps w:val="0"/>
          <w:color w:val="auto"/>
          <w:spacing w:val="0"/>
          <w:sz w:val="21"/>
          <w:szCs w:val="21"/>
          <w:highlight w:val="none"/>
          <w:shd w:val="clear" w:color="auto" w:fill="FFFFFF"/>
        </w:rPr>
        <w:t>   项目联系方式（询问）：</w:t>
      </w:r>
      <w:r>
        <w:rPr>
          <w:rFonts w:hint="eastAsia" w:ascii="宋体" w:hAnsi="宋体" w:eastAsia="宋体" w:cs="宋体"/>
          <w:color w:val="auto"/>
          <w:sz w:val="21"/>
          <w:szCs w:val="21"/>
          <w:highlight w:val="none"/>
          <w:lang w:val="en-US" w:eastAsia="zh-CN"/>
        </w:rPr>
        <w:t>15067099453</w:t>
      </w:r>
      <w:r>
        <w:rPr>
          <w:rFonts w:hint="eastAsia" w:ascii="宋体" w:hAnsi="宋体" w:eastAsia="宋体" w:cs="宋体"/>
          <w:b w:val="0"/>
          <w:bCs w:val="0"/>
          <w:i w:val="0"/>
          <w:iCs w:val="0"/>
          <w:caps w:val="0"/>
          <w:color w:val="auto"/>
          <w:spacing w:val="0"/>
          <w:sz w:val="21"/>
          <w:szCs w:val="21"/>
          <w:highlight w:val="none"/>
          <w:shd w:val="clear" w:color="auto" w:fill="FFFFFF"/>
          <w:lang w:val="en-US" w:eastAsia="zh-CN"/>
        </w:rPr>
        <w:t xml:space="preserve"> </w:t>
      </w:r>
    </w:p>
    <w:p>
      <w:pPr>
        <w:pStyle w:val="3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firstLineChars="200"/>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i w:val="0"/>
          <w:iCs w:val="0"/>
          <w:caps w:val="0"/>
          <w:color w:val="auto"/>
          <w:spacing w:val="0"/>
          <w:sz w:val="21"/>
          <w:szCs w:val="21"/>
          <w:highlight w:val="none"/>
          <w:shd w:val="clear" w:color="auto" w:fill="FFFFFF"/>
        </w:rPr>
        <w:t>   质疑联系人：</w:t>
      </w:r>
      <w:r>
        <w:rPr>
          <w:rFonts w:hint="eastAsia" w:ascii="宋体" w:hAnsi="宋体" w:eastAsia="宋体" w:cs="宋体"/>
          <w:color w:val="auto"/>
          <w:sz w:val="21"/>
          <w:szCs w:val="21"/>
          <w:highlight w:val="none"/>
          <w:lang w:val="en-US" w:eastAsia="zh-CN"/>
        </w:rPr>
        <w:t>徐丽琴</w:t>
      </w:r>
      <w:r>
        <w:rPr>
          <w:rFonts w:hint="eastAsia" w:ascii="宋体" w:hAnsi="宋体" w:eastAsia="宋体" w:cs="宋体"/>
          <w:b w:val="0"/>
          <w:bCs w:val="0"/>
          <w:i w:val="0"/>
          <w:iCs w:val="0"/>
          <w:caps w:val="0"/>
          <w:color w:val="auto"/>
          <w:spacing w:val="0"/>
          <w:sz w:val="21"/>
          <w:szCs w:val="21"/>
          <w:highlight w:val="none"/>
          <w:shd w:val="clear" w:color="auto" w:fill="FFFFFF"/>
          <w:lang w:val="en-US" w:eastAsia="zh-CN"/>
        </w:rPr>
        <w:t xml:space="preserve"> </w:t>
      </w:r>
    </w:p>
    <w:p>
      <w:pPr>
        <w:pStyle w:val="3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firstLineChars="200"/>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i w:val="0"/>
          <w:iCs w:val="0"/>
          <w:caps w:val="0"/>
          <w:color w:val="auto"/>
          <w:spacing w:val="0"/>
          <w:sz w:val="21"/>
          <w:szCs w:val="21"/>
          <w:highlight w:val="none"/>
          <w:shd w:val="clear" w:color="auto" w:fill="FFFFFF"/>
        </w:rPr>
        <w:t>   </w:t>
      </w:r>
      <w:r>
        <w:rPr>
          <w:rFonts w:hint="eastAsia" w:ascii="宋体" w:hAnsi="宋体" w:eastAsia="宋体" w:cs="宋体"/>
          <w:b w:val="0"/>
          <w:bCs w:val="0"/>
          <w:i w:val="0"/>
          <w:iCs w:val="0"/>
          <w:caps w:val="0"/>
          <w:color w:val="auto"/>
          <w:spacing w:val="0"/>
          <w:sz w:val="21"/>
          <w:szCs w:val="21"/>
          <w:highlight w:val="none"/>
          <w:shd w:val="clear" w:color="auto" w:fill="FFFFFF"/>
          <w:lang w:val="en-US" w:eastAsia="zh-CN"/>
        </w:rPr>
        <w:t xml:space="preserve"> </w:t>
      </w:r>
      <w:r>
        <w:rPr>
          <w:rFonts w:hint="eastAsia" w:ascii="宋体" w:hAnsi="宋体" w:eastAsia="宋体" w:cs="宋体"/>
          <w:b w:val="0"/>
          <w:bCs w:val="0"/>
          <w:i w:val="0"/>
          <w:iCs w:val="0"/>
          <w:caps w:val="0"/>
          <w:color w:val="auto"/>
          <w:spacing w:val="0"/>
          <w:sz w:val="21"/>
          <w:szCs w:val="21"/>
          <w:highlight w:val="none"/>
          <w:shd w:val="clear" w:color="auto" w:fill="FFFFFF"/>
        </w:rPr>
        <w:t>质疑联系方式：</w:t>
      </w:r>
      <w:r>
        <w:rPr>
          <w:rFonts w:hint="eastAsia" w:ascii="宋体" w:hAnsi="宋体" w:eastAsia="宋体" w:cs="宋体"/>
          <w:color w:val="auto"/>
          <w:sz w:val="21"/>
          <w:szCs w:val="21"/>
          <w:highlight w:val="none"/>
          <w:lang w:val="en-US" w:eastAsia="zh-CN"/>
        </w:rPr>
        <w:t>0579-88988422</w:t>
      </w:r>
      <w:r>
        <w:rPr>
          <w:rFonts w:hint="eastAsia" w:ascii="宋体" w:hAnsi="宋体" w:eastAsia="宋体" w:cs="宋体"/>
          <w:b w:val="0"/>
          <w:bCs w:val="0"/>
          <w:i w:val="0"/>
          <w:iCs w:val="0"/>
          <w:caps w:val="0"/>
          <w:color w:val="auto"/>
          <w:spacing w:val="0"/>
          <w:sz w:val="21"/>
          <w:szCs w:val="21"/>
          <w:highlight w:val="none"/>
          <w:shd w:val="clear" w:color="auto" w:fill="FFFFFF"/>
          <w:lang w:val="en-US" w:eastAsia="zh-CN"/>
        </w:rPr>
        <w:t xml:space="preserve"> </w:t>
      </w:r>
    </w:p>
    <w:p>
      <w:pPr>
        <w:pStyle w:val="3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i w:val="0"/>
          <w:iCs w:val="0"/>
          <w:caps w:val="0"/>
          <w:color w:val="auto"/>
          <w:spacing w:val="0"/>
          <w:sz w:val="21"/>
          <w:szCs w:val="21"/>
          <w:highlight w:val="none"/>
          <w:shd w:val="clear" w:color="auto" w:fill="FFFFFF"/>
        </w:rPr>
        <w:t>   </w:t>
      </w:r>
      <w:r>
        <w:rPr>
          <w:rFonts w:hint="eastAsia" w:ascii="宋体" w:hAnsi="宋体" w:eastAsia="宋体" w:cs="宋体"/>
          <w:b w:val="0"/>
          <w:bCs w:val="0"/>
          <w:i w:val="0"/>
          <w:iCs w:val="0"/>
          <w:caps w:val="0"/>
          <w:color w:val="auto"/>
          <w:spacing w:val="0"/>
          <w:sz w:val="21"/>
          <w:szCs w:val="21"/>
          <w:highlight w:val="none"/>
          <w:shd w:val="clear" w:color="auto" w:fill="FFFFFF"/>
          <w:lang w:val="en-US" w:eastAsia="zh-CN"/>
        </w:rPr>
        <w:t xml:space="preserve"> </w:t>
      </w:r>
      <w:r>
        <w:rPr>
          <w:rFonts w:hint="eastAsia" w:ascii="宋体" w:hAnsi="宋体" w:eastAsia="宋体" w:cs="宋体"/>
          <w:b w:val="0"/>
          <w:bCs w:val="0"/>
          <w:i w:val="0"/>
          <w:iCs w:val="0"/>
          <w:caps w:val="0"/>
          <w:color w:val="auto"/>
          <w:spacing w:val="0"/>
          <w:sz w:val="21"/>
          <w:szCs w:val="21"/>
          <w:highlight w:val="none"/>
          <w:shd w:val="clear" w:color="auto" w:fill="FFFFFF"/>
        </w:rPr>
        <w:t>3.同级政府采购监督管理部门</w:t>
      </w:r>
    </w:p>
    <w:p>
      <w:pPr>
        <w:pStyle w:val="3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firstLineChars="200"/>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i w:val="0"/>
          <w:iCs w:val="0"/>
          <w:caps w:val="0"/>
          <w:color w:val="auto"/>
          <w:spacing w:val="0"/>
          <w:sz w:val="21"/>
          <w:szCs w:val="21"/>
          <w:highlight w:val="none"/>
          <w:shd w:val="clear" w:color="auto" w:fill="FFFFFF"/>
        </w:rPr>
        <w:t>   </w:t>
      </w:r>
      <w:r>
        <w:rPr>
          <w:rFonts w:hint="eastAsia" w:ascii="宋体" w:hAnsi="宋体" w:eastAsia="宋体" w:cs="宋体"/>
          <w:b w:val="0"/>
          <w:bCs w:val="0"/>
          <w:i w:val="0"/>
          <w:iCs w:val="0"/>
          <w:caps w:val="0"/>
          <w:color w:val="auto"/>
          <w:spacing w:val="0"/>
          <w:sz w:val="21"/>
          <w:szCs w:val="21"/>
          <w:highlight w:val="none"/>
          <w:shd w:val="clear" w:color="auto" w:fill="FFFFFF"/>
          <w:lang w:val="en-US" w:eastAsia="zh-CN"/>
        </w:rPr>
        <w:t xml:space="preserve"> </w:t>
      </w:r>
      <w:r>
        <w:rPr>
          <w:rFonts w:hint="eastAsia" w:ascii="宋体" w:hAnsi="宋体" w:eastAsia="宋体" w:cs="宋体"/>
          <w:b w:val="0"/>
          <w:bCs w:val="0"/>
          <w:i w:val="0"/>
          <w:iCs w:val="0"/>
          <w:caps w:val="0"/>
          <w:color w:val="auto"/>
          <w:spacing w:val="0"/>
          <w:sz w:val="21"/>
          <w:szCs w:val="21"/>
          <w:highlight w:val="none"/>
          <w:shd w:val="clear" w:color="auto" w:fill="FFFFFF"/>
        </w:rPr>
        <w:t>名 称：</w:t>
      </w:r>
      <w:r>
        <w:rPr>
          <w:rFonts w:hint="eastAsia" w:hAnsi="宋体" w:cs="宋体"/>
          <w:b w:val="0"/>
          <w:bCs w:val="0"/>
          <w:i w:val="0"/>
          <w:iCs w:val="0"/>
          <w:caps w:val="0"/>
          <w:color w:val="auto"/>
          <w:spacing w:val="0"/>
          <w:sz w:val="21"/>
          <w:szCs w:val="21"/>
          <w:highlight w:val="none"/>
          <w:shd w:val="clear" w:color="auto" w:fill="FFFFFF"/>
          <w:lang w:eastAsia="zh-CN"/>
        </w:rPr>
        <w:t>兰溪市财政局政府采购监管科</w:t>
      </w:r>
    </w:p>
    <w:p>
      <w:pPr>
        <w:pStyle w:val="3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firstLineChars="200"/>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i w:val="0"/>
          <w:iCs w:val="0"/>
          <w:caps w:val="0"/>
          <w:color w:val="auto"/>
          <w:spacing w:val="0"/>
          <w:sz w:val="21"/>
          <w:szCs w:val="21"/>
          <w:highlight w:val="none"/>
          <w:shd w:val="clear" w:color="auto" w:fill="FFFFFF"/>
        </w:rPr>
        <w:t>   </w:t>
      </w:r>
      <w:r>
        <w:rPr>
          <w:rFonts w:hint="eastAsia" w:ascii="宋体" w:hAnsi="宋体" w:eastAsia="宋体" w:cs="宋体"/>
          <w:b w:val="0"/>
          <w:bCs w:val="0"/>
          <w:i w:val="0"/>
          <w:iCs w:val="0"/>
          <w:caps w:val="0"/>
          <w:color w:val="auto"/>
          <w:spacing w:val="0"/>
          <w:sz w:val="21"/>
          <w:szCs w:val="21"/>
          <w:highlight w:val="none"/>
          <w:shd w:val="clear" w:color="auto" w:fill="FFFFFF"/>
          <w:lang w:val="en-US" w:eastAsia="zh-CN"/>
        </w:rPr>
        <w:t xml:space="preserve"> </w:t>
      </w:r>
      <w:r>
        <w:rPr>
          <w:rFonts w:hint="eastAsia" w:ascii="宋体" w:hAnsi="宋体" w:eastAsia="宋体" w:cs="宋体"/>
          <w:b w:val="0"/>
          <w:bCs w:val="0"/>
          <w:i w:val="0"/>
          <w:iCs w:val="0"/>
          <w:caps w:val="0"/>
          <w:color w:val="auto"/>
          <w:spacing w:val="0"/>
          <w:sz w:val="21"/>
          <w:szCs w:val="21"/>
          <w:highlight w:val="none"/>
          <w:shd w:val="clear" w:color="auto" w:fill="FFFFFF"/>
        </w:rPr>
        <w:t>地 址：兰溪市丹溪大道28号</w:t>
      </w:r>
      <w:r>
        <w:rPr>
          <w:rFonts w:hint="eastAsia" w:ascii="宋体" w:hAnsi="宋体" w:eastAsia="宋体" w:cs="宋体"/>
          <w:b w:val="0"/>
          <w:bCs w:val="0"/>
          <w:i w:val="0"/>
          <w:iCs w:val="0"/>
          <w:caps w:val="0"/>
          <w:color w:val="auto"/>
          <w:spacing w:val="0"/>
          <w:sz w:val="21"/>
          <w:szCs w:val="21"/>
          <w:highlight w:val="none"/>
          <w:shd w:val="clear" w:color="auto" w:fill="FFFFFF"/>
          <w:lang w:val="en-US" w:eastAsia="zh-CN"/>
        </w:rPr>
        <w:t xml:space="preserve"> </w:t>
      </w:r>
    </w:p>
    <w:p>
      <w:pPr>
        <w:pStyle w:val="3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firstLineChars="200"/>
        <w:textAlignment w:val="auto"/>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i w:val="0"/>
          <w:iCs w:val="0"/>
          <w:caps w:val="0"/>
          <w:color w:val="auto"/>
          <w:spacing w:val="0"/>
          <w:sz w:val="21"/>
          <w:szCs w:val="21"/>
          <w:highlight w:val="none"/>
          <w:shd w:val="clear" w:color="auto" w:fill="FFFFFF"/>
        </w:rPr>
        <w:t>   </w:t>
      </w:r>
      <w:r>
        <w:rPr>
          <w:rFonts w:hint="eastAsia" w:ascii="宋体" w:hAnsi="宋体" w:eastAsia="宋体" w:cs="宋体"/>
          <w:b w:val="0"/>
          <w:bCs w:val="0"/>
          <w:i w:val="0"/>
          <w:iCs w:val="0"/>
          <w:caps w:val="0"/>
          <w:color w:val="auto"/>
          <w:spacing w:val="0"/>
          <w:sz w:val="21"/>
          <w:szCs w:val="21"/>
          <w:highlight w:val="none"/>
          <w:shd w:val="clear" w:color="auto" w:fill="FFFFFF"/>
          <w:lang w:val="en-US" w:eastAsia="zh-CN"/>
        </w:rPr>
        <w:t xml:space="preserve"> </w:t>
      </w:r>
      <w:r>
        <w:rPr>
          <w:rFonts w:hint="eastAsia" w:ascii="宋体" w:hAnsi="宋体" w:eastAsia="宋体" w:cs="宋体"/>
          <w:b w:val="0"/>
          <w:bCs w:val="0"/>
          <w:i w:val="0"/>
          <w:iCs w:val="0"/>
          <w:caps w:val="0"/>
          <w:color w:val="auto"/>
          <w:spacing w:val="0"/>
          <w:sz w:val="21"/>
          <w:szCs w:val="21"/>
          <w:highlight w:val="none"/>
          <w:shd w:val="clear" w:color="auto" w:fill="FFFFFF"/>
        </w:rPr>
        <w:t>传 真：</w:t>
      </w:r>
      <w:r>
        <w:rPr>
          <w:rFonts w:hint="eastAsia" w:ascii="宋体" w:hAnsi="宋体" w:eastAsia="宋体" w:cs="宋体"/>
          <w:b w:val="0"/>
          <w:bCs w:val="0"/>
          <w:i w:val="0"/>
          <w:iCs w:val="0"/>
          <w:caps w:val="0"/>
          <w:color w:val="auto"/>
          <w:spacing w:val="0"/>
          <w:sz w:val="21"/>
          <w:szCs w:val="21"/>
          <w:highlight w:val="none"/>
          <w:shd w:val="clear" w:color="auto" w:fill="FFFFFF"/>
          <w:lang w:val="en-US" w:eastAsia="zh-CN"/>
        </w:rPr>
        <w:t xml:space="preserve"> </w:t>
      </w:r>
      <w:r>
        <w:rPr>
          <w:rFonts w:hint="eastAsia" w:eastAsia="宋体" w:cs="宋体"/>
          <w:b w:val="0"/>
          <w:bCs w:val="0"/>
          <w:i w:val="0"/>
          <w:iCs w:val="0"/>
          <w:caps w:val="0"/>
          <w:color w:val="auto"/>
          <w:spacing w:val="0"/>
          <w:sz w:val="21"/>
          <w:szCs w:val="21"/>
          <w:highlight w:val="none"/>
          <w:shd w:val="clear" w:color="auto" w:fill="FFFFFF"/>
          <w:lang w:val="en-US" w:eastAsia="zh-CN"/>
        </w:rPr>
        <w:t>/</w:t>
      </w:r>
    </w:p>
    <w:p>
      <w:pPr>
        <w:pStyle w:val="3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firstLineChars="200"/>
        <w:textAlignment w:val="auto"/>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i w:val="0"/>
          <w:iCs w:val="0"/>
          <w:caps w:val="0"/>
          <w:color w:val="auto"/>
          <w:spacing w:val="0"/>
          <w:sz w:val="21"/>
          <w:szCs w:val="21"/>
          <w:highlight w:val="none"/>
          <w:shd w:val="clear" w:color="auto" w:fill="FFFFFF"/>
        </w:rPr>
        <w:t>   </w:t>
      </w:r>
      <w:r>
        <w:rPr>
          <w:rFonts w:hint="eastAsia" w:ascii="宋体" w:hAnsi="宋体" w:eastAsia="宋体" w:cs="宋体"/>
          <w:b w:val="0"/>
          <w:bCs w:val="0"/>
          <w:i w:val="0"/>
          <w:iCs w:val="0"/>
          <w:caps w:val="0"/>
          <w:color w:val="auto"/>
          <w:spacing w:val="0"/>
          <w:sz w:val="21"/>
          <w:szCs w:val="21"/>
          <w:highlight w:val="none"/>
          <w:shd w:val="clear" w:color="auto" w:fill="FFFFFF"/>
          <w:lang w:val="en-US" w:eastAsia="zh-CN"/>
        </w:rPr>
        <w:t xml:space="preserve"> </w:t>
      </w:r>
      <w:r>
        <w:rPr>
          <w:rFonts w:hint="eastAsia" w:ascii="宋体" w:hAnsi="宋体" w:eastAsia="宋体" w:cs="宋体"/>
          <w:b w:val="0"/>
          <w:bCs w:val="0"/>
          <w:i w:val="0"/>
          <w:iCs w:val="0"/>
          <w:caps w:val="0"/>
          <w:color w:val="auto"/>
          <w:spacing w:val="0"/>
          <w:sz w:val="21"/>
          <w:szCs w:val="21"/>
          <w:highlight w:val="none"/>
          <w:shd w:val="clear" w:color="auto" w:fill="FFFFFF"/>
        </w:rPr>
        <w:t>联系人 ：</w:t>
      </w:r>
      <w:r>
        <w:rPr>
          <w:rFonts w:hint="eastAsia" w:hAnsi="宋体" w:cs="宋体"/>
          <w:b w:val="0"/>
          <w:bCs w:val="0"/>
          <w:i w:val="0"/>
          <w:iCs w:val="0"/>
          <w:caps w:val="0"/>
          <w:color w:val="auto"/>
          <w:spacing w:val="0"/>
          <w:sz w:val="21"/>
          <w:szCs w:val="21"/>
          <w:highlight w:val="none"/>
          <w:shd w:val="clear" w:color="auto" w:fill="FFFFFF"/>
          <w:lang w:val="en-US" w:eastAsia="zh-CN"/>
        </w:rPr>
        <w:t>周灵肖</w:t>
      </w:r>
    </w:p>
    <w:p>
      <w:pPr>
        <w:pStyle w:val="36"/>
        <w:spacing w:before="0" w:beforeAutospacing="0" w:after="0" w:afterAutospacing="0" w:line="500" w:lineRule="exact"/>
        <w:ind w:firstLine="420" w:firstLineChars="200"/>
        <w:rPr>
          <w:rFonts w:cs="宋体"/>
          <w:color w:val="auto"/>
          <w:sz w:val="21"/>
          <w:szCs w:val="21"/>
          <w:highlight w:val="none"/>
        </w:rPr>
      </w:pPr>
    </w:p>
    <w:p>
      <w:pPr>
        <w:pStyle w:val="36"/>
        <w:spacing w:before="0" w:beforeAutospacing="0" w:after="450" w:afterAutospacing="0" w:line="450" w:lineRule="atLeast"/>
        <w:rPr>
          <w:rFonts w:cs="宋体"/>
          <w:color w:val="auto"/>
          <w:sz w:val="21"/>
          <w:szCs w:val="21"/>
          <w:highlight w:val="none"/>
        </w:rPr>
      </w:pPr>
    </w:p>
    <w:p>
      <w:pPr>
        <w:widowControl/>
        <w:spacing w:line="450" w:lineRule="atLeast"/>
        <w:ind w:firstLine="300"/>
        <w:jc w:val="left"/>
        <w:rPr>
          <w:rFonts w:ascii="宋体" w:cs="宋体"/>
          <w:color w:val="auto"/>
          <w:sz w:val="21"/>
          <w:szCs w:val="21"/>
          <w:highlight w:val="none"/>
        </w:rPr>
      </w:pPr>
      <w:r>
        <w:rPr>
          <w:rFonts w:hint="eastAsia" w:ascii="宋体" w:cs="宋体"/>
          <w:color w:val="auto"/>
          <w:kern w:val="0"/>
          <w:sz w:val="21"/>
          <w:szCs w:val="21"/>
          <w:highlight w:val="none"/>
        </w:rPr>
        <w:t>若对项目采购电子交易系统操作有疑问，可登录政采云（https://www.zcygov.cn/），点击右侧咨询小采，获取采小蜜智能服务管家帮助，或拨打政采云服务热线400-881-7190获取热线服务帮助。       </w:t>
      </w:r>
    </w:p>
    <w:p>
      <w:pPr>
        <w:widowControl/>
        <w:spacing w:line="450" w:lineRule="atLeast"/>
        <w:ind w:firstLine="300"/>
        <w:jc w:val="left"/>
        <w:rPr>
          <w:rFonts w:ascii="宋体" w:cs="宋体"/>
          <w:color w:val="auto"/>
          <w:sz w:val="21"/>
          <w:szCs w:val="21"/>
          <w:highlight w:val="none"/>
        </w:rPr>
      </w:pPr>
      <w:r>
        <w:rPr>
          <w:rFonts w:hint="eastAsia" w:ascii="宋体" w:cs="宋体"/>
          <w:color w:val="auto"/>
          <w:kern w:val="0"/>
          <w:sz w:val="21"/>
          <w:szCs w:val="21"/>
          <w:highlight w:val="none"/>
        </w:rPr>
        <w:t>CA问题联系电话（人工）：汇信CA 400-888-4636；天谷CA 400-087-8198。</w:t>
      </w:r>
    </w:p>
    <w:p>
      <w:pPr>
        <w:pStyle w:val="82"/>
        <w:spacing w:line="460" w:lineRule="exact"/>
        <w:ind w:firstLine="420" w:firstLineChars="200"/>
        <w:rPr>
          <w:rFonts w:ascii="宋体" w:eastAsia="宋体" w:cs="宋体"/>
          <w:color w:val="auto"/>
          <w:kern w:val="2"/>
          <w:sz w:val="21"/>
          <w:szCs w:val="21"/>
          <w:highlight w:val="none"/>
        </w:rPr>
      </w:pPr>
    </w:p>
    <w:p>
      <w:pPr>
        <w:pStyle w:val="82"/>
        <w:spacing w:line="460" w:lineRule="exact"/>
        <w:ind w:firstLine="420" w:firstLineChars="200"/>
        <w:rPr>
          <w:rFonts w:ascii="宋体" w:eastAsia="宋体" w:cs="宋体"/>
          <w:color w:val="auto"/>
          <w:kern w:val="2"/>
          <w:sz w:val="21"/>
          <w:szCs w:val="21"/>
          <w:highlight w:val="none"/>
        </w:rPr>
      </w:pPr>
    </w:p>
    <w:p>
      <w:pPr>
        <w:pStyle w:val="36"/>
        <w:spacing w:before="0" w:beforeAutospacing="0" w:after="0" w:afterAutospacing="0" w:line="500" w:lineRule="exact"/>
        <w:ind w:firstLine="420" w:firstLineChars="200"/>
        <w:jc w:val="right"/>
        <w:rPr>
          <w:rFonts w:hint="eastAsia" w:eastAsia="宋体" w:cs="宋体"/>
          <w:color w:val="auto"/>
          <w:sz w:val="21"/>
          <w:szCs w:val="21"/>
          <w:highlight w:val="none"/>
          <w:lang w:eastAsia="zh-CN"/>
        </w:rPr>
      </w:pPr>
      <w:r>
        <w:rPr>
          <w:rFonts w:hint="eastAsia" w:cs="宋体"/>
          <w:color w:val="auto"/>
          <w:sz w:val="21"/>
          <w:szCs w:val="21"/>
          <w:highlight w:val="none"/>
          <w:lang w:eastAsia="zh-CN"/>
        </w:rPr>
        <w:t>2024</w:t>
      </w:r>
      <w:r>
        <w:rPr>
          <w:rFonts w:hint="eastAsia" w:cs="宋体"/>
          <w:color w:val="auto"/>
          <w:sz w:val="21"/>
          <w:szCs w:val="21"/>
          <w:highlight w:val="none"/>
          <w:lang w:eastAsia="zh-CN"/>
        </w:rPr>
        <w:t>年</w:t>
      </w:r>
      <w:r>
        <w:rPr>
          <w:rFonts w:hint="eastAsia" w:cs="宋体"/>
          <w:color w:val="auto"/>
          <w:sz w:val="21"/>
          <w:szCs w:val="21"/>
          <w:highlight w:val="none"/>
          <w:lang w:val="en-US" w:eastAsia="zh-CN"/>
        </w:rPr>
        <w:t>11</w:t>
      </w:r>
      <w:r>
        <w:rPr>
          <w:rFonts w:hint="eastAsia" w:cs="宋体"/>
          <w:color w:val="auto"/>
          <w:sz w:val="21"/>
          <w:szCs w:val="21"/>
          <w:highlight w:val="none"/>
          <w:lang w:eastAsia="zh-CN"/>
        </w:rPr>
        <w:t>月</w:t>
      </w:r>
      <w:r>
        <w:rPr>
          <w:rFonts w:hint="eastAsia" w:cs="宋体"/>
          <w:color w:val="auto"/>
          <w:sz w:val="21"/>
          <w:szCs w:val="21"/>
          <w:highlight w:val="none"/>
          <w:lang w:val="en-US" w:eastAsia="zh-CN"/>
        </w:rPr>
        <w:t>4</w:t>
      </w:r>
      <w:r>
        <w:rPr>
          <w:rFonts w:hint="eastAsia" w:cs="宋体"/>
          <w:color w:val="auto"/>
          <w:sz w:val="21"/>
          <w:szCs w:val="21"/>
          <w:highlight w:val="none"/>
          <w:lang w:eastAsia="zh-CN"/>
        </w:rPr>
        <w:t>日</w:t>
      </w:r>
    </w:p>
    <w:p>
      <w:pPr>
        <w:pStyle w:val="36"/>
        <w:spacing w:before="0" w:beforeAutospacing="0" w:after="0" w:afterAutospacing="0" w:line="500" w:lineRule="exact"/>
        <w:ind w:firstLine="420" w:firstLineChars="200"/>
        <w:jc w:val="right"/>
        <w:rPr>
          <w:rFonts w:cs="宋体"/>
          <w:color w:val="auto"/>
          <w:sz w:val="21"/>
          <w:szCs w:val="21"/>
          <w:highlight w:val="none"/>
        </w:rPr>
      </w:pPr>
    </w:p>
    <w:p>
      <w:pPr>
        <w:pStyle w:val="36"/>
        <w:spacing w:before="0" w:beforeAutospacing="0" w:after="0" w:afterAutospacing="0" w:line="500" w:lineRule="exact"/>
        <w:ind w:firstLine="420" w:firstLineChars="200"/>
        <w:jc w:val="right"/>
        <w:rPr>
          <w:rFonts w:cs="宋体"/>
          <w:color w:val="auto"/>
          <w:sz w:val="21"/>
          <w:szCs w:val="21"/>
          <w:highlight w:val="none"/>
        </w:rPr>
      </w:pPr>
    </w:p>
    <w:p>
      <w:pPr>
        <w:pStyle w:val="36"/>
        <w:spacing w:before="0" w:beforeAutospacing="0" w:after="0" w:afterAutospacing="0" w:line="500" w:lineRule="exact"/>
        <w:ind w:firstLine="420" w:firstLineChars="200"/>
        <w:jc w:val="right"/>
        <w:rPr>
          <w:rFonts w:cs="宋体"/>
          <w:color w:val="auto"/>
          <w:sz w:val="21"/>
          <w:szCs w:val="21"/>
          <w:highlight w:val="none"/>
        </w:rPr>
      </w:pPr>
    </w:p>
    <w:p>
      <w:pPr>
        <w:pStyle w:val="36"/>
        <w:spacing w:before="0" w:beforeAutospacing="0" w:after="0" w:afterAutospacing="0" w:line="500" w:lineRule="exact"/>
        <w:ind w:firstLine="420" w:firstLineChars="200"/>
        <w:jc w:val="right"/>
        <w:rPr>
          <w:rFonts w:cs="宋体"/>
          <w:color w:val="auto"/>
          <w:sz w:val="21"/>
          <w:szCs w:val="21"/>
          <w:highlight w:val="none"/>
        </w:rPr>
      </w:pPr>
    </w:p>
    <w:p>
      <w:pPr>
        <w:pStyle w:val="36"/>
        <w:spacing w:before="0" w:beforeAutospacing="0" w:after="0" w:afterAutospacing="0" w:line="500" w:lineRule="exact"/>
        <w:ind w:firstLine="420" w:firstLineChars="200"/>
        <w:jc w:val="right"/>
        <w:rPr>
          <w:rFonts w:cs="宋体"/>
          <w:color w:val="auto"/>
          <w:sz w:val="21"/>
          <w:szCs w:val="21"/>
          <w:highlight w:val="none"/>
        </w:rPr>
      </w:pPr>
    </w:p>
    <w:p>
      <w:pPr>
        <w:pStyle w:val="36"/>
        <w:spacing w:before="0" w:beforeAutospacing="0" w:after="0" w:afterAutospacing="0" w:line="500" w:lineRule="exact"/>
        <w:ind w:firstLine="420" w:firstLineChars="200"/>
        <w:jc w:val="right"/>
        <w:rPr>
          <w:rFonts w:cs="宋体"/>
          <w:color w:val="auto"/>
          <w:sz w:val="21"/>
          <w:szCs w:val="21"/>
          <w:highlight w:val="none"/>
        </w:rPr>
      </w:pPr>
    </w:p>
    <w:p>
      <w:pPr>
        <w:pStyle w:val="36"/>
        <w:spacing w:before="0" w:beforeAutospacing="0" w:after="0" w:afterAutospacing="0" w:line="500" w:lineRule="exact"/>
        <w:ind w:firstLine="420" w:firstLineChars="200"/>
        <w:jc w:val="right"/>
        <w:rPr>
          <w:rFonts w:cs="宋体"/>
          <w:color w:val="auto"/>
          <w:sz w:val="21"/>
          <w:szCs w:val="21"/>
          <w:highlight w:val="none"/>
        </w:rPr>
      </w:pPr>
    </w:p>
    <w:p>
      <w:pPr>
        <w:pStyle w:val="36"/>
        <w:spacing w:before="0" w:beforeAutospacing="0" w:after="0" w:afterAutospacing="0" w:line="500" w:lineRule="exact"/>
        <w:ind w:firstLine="420" w:firstLineChars="200"/>
        <w:jc w:val="right"/>
        <w:rPr>
          <w:rFonts w:cs="宋体"/>
          <w:color w:val="auto"/>
          <w:sz w:val="21"/>
          <w:szCs w:val="21"/>
          <w:highlight w:val="none"/>
        </w:rPr>
      </w:pPr>
    </w:p>
    <w:p>
      <w:pPr>
        <w:pStyle w:val="36"/>
        <w:spacing w:before="0" w:beforeAutospacing="0" w:after="0" w:afterAutospacing="0" w:line="500" w:lineRule="exact"/>
        <w:ind w:firstLine="420" w:firstLineChars="200"/>
        <w:jc w:val="right"/>
        <w:rPr>
          <w:rFonts w:cs="宋体"/>
          <w:color w:val="auto"/>
          <w:sz w:val="21"/>
          <w:szCs w:val="21"/>
          <w:highlight w:val="none"/>
        </w:rPr>
      </w:pPr>
    </w:p>
    <w:p>
      <w:pPr>
        <w:pStyle w:val="36"/>
        <w:spacing w:before="0" w:beforeAutospacing="0" w:after="0" w:afterAutospacing="0" w:line="500" w:lineRule="exact"/>
        <w:ind w:firstLine="420" w:firstLineChars="200"/>
        <w:jc w:val="right"/>
        <w:rPr>
          <w:rFonts w:cs="宋体"/>
          <w:color w:val="auto"/>
          <w:sz w:val="21"/>
          <w:szCs w:val="21"/>
          <w:highlight w:val="none"/>
        </w:rPr>
      </w:pPr>
    </w:p>
    <w:p>
      <w:pPr>
        <w:pStyle w:val="36"/>
        <w:spacing w:before="0" w:beforeAutospacing="0" w:after="0" w:afterAutospacing="0" w:line="500" w:lineRule="exact"/>
        <w:ind w:firstLine="420" w:firstLineChars="200"/>
        <w:jc w:val="right"/>
        <w:rPr>
          <w:rFonts w:cs="宋体"/>
          <w:color w:val="auto"/>
          <w:sz w:val="21"/>
          <w:szCs w:val="21"/>
          <w:highlight w:val="none"/>
        </w:rPr>
      </w:pPr>
    </w:p>
    <w:p>
      <w:pPr>
        <w:pStyle w:val="36"/>
        <w:spacing w:before="0" w:beforeAutospacing="0" w:after="0" w:afterAutospacing="0" w:line="500" w:lineRule="exact"/>
        <w:ind w:firstLine="420" w:firstLineChars="200"/>
        <w:jc w:val="right"/>
        <w:rPr>
          <w:rFonts w:cs="宋体"/>
          <w:color w:val="auto"/>
          <w:sz w:val="21"/>
          <w:szCs w:val="21"/>
          <w:highlight w:val="none"/>
        </w:rPr>
      </w:pPr>
    </w:p>
    <w:p>
      <w:pPr>
        <w:pStyle w:val="36"/>
        <w:spacing w:before="0" w:beforeAutospacing="0" w:after="0" w:afterAutospacing="0" w:line="500" w:lineRule="exact"/>
        <w:ind w:firstLine="420" w:firstLineChars="200"/>
        <w:jc w:val="right"/>
        <w:rPr>
          <w:rFonts w:cs="宋体"/>
          <w:color w:val="auto"/>
          <w:sz w:val="21"/>
          <w:szCs w:val="21"/>
          <w:highlight w:val="none"/>
        </w:rPr>
      </w:pPr>
    </w:p>
    <w:p>
      <w:pPr>
        <w:numPr>
          <w:ilvl w:val="0"/>
          <w:numId w:val="5"/>
        </w:numPr>
        <w:snapToGrid w:val="0"/>
        <w:spacing w:line="440" w:lineRule="exact"/>
        <w:jc w:val="center"/>
        <w:outlineLvl w:val="1"/>
        <w:rPr>
          <w:rFonts w:ascii="宋体" w:cs="宋体"/>
          <w:b/>
          <w:color w:val="auto"/>
          <w:szCs w:val="28"/>
          <w:highlight w:val="none"/>
        </w:rPr>
      </w:pPr>
      <w:bookmarkStart w:id="0" w:name="page6"/>
      <w:bookmarkEnd w:id="0"/>
      <w:r>
        <w:rPr>
          <w:rFonts w:hint="eastAsia" w:ascii="宋体" w:cs="宋体"/>
          <w:color w:val="auto"/>
          <w:szCs w:val="28"/>
          <w:highlight w:val="none"/>
        </w:rPr>
        <w:t xml:space="preserve"> </w:t>
      </w:r>
      <w:r>
        <w:rPr>
          <w:rFonts w:hint="eastAsia" w:ascii="宋体" w:cs="宋体"/>
          <w:b/>
          <w:color w:val="auto"/>
          <w:szCs w:val="28"/>
          <w:highlight w:val="none"/>
        </w:rPr>
        <w:t>前附表</w:t>
      </w:r>
    </w:p>
    <w:tbl>
      <w:tblPr>
        <w:tblStyle w:val="39"/>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829"/>
        <w:gridCol w:w="2162"/>
        <w:gridCol w:w="625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97" w:hRule="atLeast"/>
          <w:jc w:val="center"/>
        </w:trPr>
        <w:tc>
          <w:tcPr>
            <w:tcW w:w="829"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cs="宋体"/>
                <w:color w:val="auto"/>
                <w:sz w:val="21"/>
                <w:szCs w:val="21"/>
                <w:highlight w:val="none"/>
              </w:rPr>
            </w:pPr>
            <w:r>
              <w:rPr>
                <w:rFonts w:hint="eastAsia" w:ascii="宋体" w:cs="宋体"/>
                <w:color w:val="auto"/>
                <w:sz w:val="21"/>
                <w:szCs w:val="21"/>
                <w:highlight w:val="none"/>
              </w:rPr>
              <w:t>序号</w:t>
            </w:r>
          </w:p>
        </w:tc>
        <w:tc>
          <w:tcPr>
            <w:tcW w:w="8415" w:type="dxa"/>
            <w:gridSpan w:val="2"/>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cs="宋体"/>
                <w:color w:val="auto"/>
                <w:sz w:val="21"/>
                <w:szCs w:val="21"/>
                <w:highlight w:val="none"/>
              </w:rPr>
            </w:pPr>
            <w:r>
              <w:rPr>
                <w:rFonts w:hint="eastAsia" w:ascii="宋体" w:cs="宋体"/>
                <w:color w:val="auto"/>
                <w:sz w:val="21"/>
                <w:szCs w:val="21"/>
                <w:highlight w:val="none"/>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5" w:hRule="atLeast"/>
          <w:jc w:val="center"/>
        </w:trPr>
        <w:tc>
          <w:tcPr>
            <w:tcW w:w="829"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cs="宋体"/>
                <w:color w:val="auto"/>
                <w:sz w:val="21"/>
                <w:szCs w:val="21"/>
                <w:highlight w:val="none"/>
              </w:rPr>
            </w:pPr>
            <w:r>
              <w:rPr>
                <w:rFonts w:hint="eastAsia" w:ascii="宋体" w:cs="宋体"/>
                <w:color w:val="auto"/>
                <w:sz w:val="21"/>
                <w:szCs w:val="21"/>
                <w:highlight w:val="none"/>
              </w:rPr>
              <w:t>1</w:t>
            </w:r>
          </w:p>
        </w:tc>
        <w:tc>
          <w:tcPr>
            <w:tcW w:w="8415" w:type="dxa"/>
            <w:gridSpan w:val="2"/>
            <w:tcBorders>
              <w:top w:val="single" w:color="auto" w:sz="4" w:space="0"/>
              <w:left w:val="single" w:color="auto" w:sz="4" w:space="0"/>
              <w:bottom w:val="single" w:color="auto" w:sz="4" w:space="0"/>
              <w:right w:val="single" w:color="auto" w:sz="4" w:space="0"/>
            </w:tcBorders>
            <w:noWrap/>
            <w:vAlign w:val="center"/>
          </w:tcPr>
          <w:p>
            <w:pPr>
              <w:snapToGrid w:val="0"/>
              <w:spacing w:line="360" w:lineRule="exact"/>
              <w:ind w:left="1050" w:hanging="1050" w:hangingChars="500"/>
              <w:jc w:val="left"/>
              <w:rPr>
                <w:rFonts w:hint="eastAsia" w:ascii="宋体" w:eastAsia="宋体" w:cs="宋体"/>
                <w:color w:val="auto"/>
                <w:sz w:val="21"/>
                <w:szCs w:val="21"/>
                <w:highlight w:val="none"/>
                <w:lang w:eastAsia="zh-CN"/>
              </w:rPr>
            </w:pPr>
            <w:r>
              <w:rPr>
                <w:rFonts w:hint="eastAsia" w:ascii="宋体" w:cs="宋体"/>
                <w:color w:val="auto"/>
                <w:sz w:val="21"/>
                <w:szCs w:val="21"/>
                <w:highlight w:val="none"/>
              </w:rPr>
              <w:t>项目名称：</w:t>
            </w:r>
            <w:r>
              <w:rPr>
                <w:rFonts w:hint="eastAsia" w:ascii="宋体" w:cs="宋体"/>
                <w:color w:val="auto"/>
                <w:sz w:val="21"/>
                <w:szCs w:val="21"/>
                <w:highlight w:val="none"/>
                <w:lang w:eastAsia="zh-CN"/>
              </w:rPr>
              <w:t>兰溪市人民医院北部院区单泵血透机、双泵血透机采购项目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98" w:hRule="atLeast"/>
          <w:jc w:val="center"/>
        </w:trPr>
        <w:tc>
          <w:tcPr>
            <w:tcW w:w="829"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cs="宋体"/>
                <w:color w:val="auto"/>
                <w:sz w:val="21"/>
                <w:szCs w:val="21"/>
                <w:highlight w:val="none"/>
              </w:rPr>
            </w:pPr>
            <w:r>
              <w:rPr>
                <w:rFonts w:hint="eastAsia" w:ascii="宋体" w:cs="宋体"/>
                <w:color w:val="auto"/>
                <w:sz w:val="21"/>
                <w:szCs w:val="21"/>
                <w:highlight w:val="none"/>
              </w:rPr>
              <w:t>2</w:t>
            </w:r>
          </w:p>
        </w:tc>
        <w:tc>
          <w:tcPr>
            <w:tcW w:w="8415" w:type="dxa"/>
            <w:gridSpan w:val="2"/>
            <w:tcBorders>
              <w:top w:val="single" w:color="auto" w:sz="4" w:space="0"/>
              <w:left w:val="single" w:color="auto" w:sz="4" w:space="0"/>
              <w:bottom w:val="single" w:color="auto" w:sz="4" w:space="0"/>
              <w:right w:val="single" w:color="auto" w:sz="4" w:space="0"/>
            </w:tcBorders>
            <w:noWrap/>
            <w:vAlign w:val="center"/>
          </w:tcPr>
          <w:p>
            <w:pPr>
              <w:snapToGrid w:val="0"/>
              <w:spacing w:line="360" w:lineRule="exact"/>
              <w:rPr>
                <w:rFonts w:ascii="宋体" w:cs="宋体"/>
                <w:color w:val="auto"/>
                <w:sz w:val="21"/>
                <w:szCs w:val="21"/>
                <w:highlight w:val="none"/>
              </w:rPr>
            </w:pPr>
            <w:r>
              <w:rPr>
                <w:rFonts w:hint="eastAsia" w:ascii="宋体" w:cs="宋体"/>
                <w:color w:val="auto"/>
                <w:sz w:val="21"/>
                <w:szCs w:val="21"/>
                <w:highlight w:val="none"/>
              </w:rPr>
              <w:t>采购数量及单位：详见第三章《采购需求》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27" w:hRule="atLeast"/>
          <w:jc w:val="center"/>
        </w:trPr>
        <w:tc>
          <w:tcPr>
            <w:tcW w:w="829"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cs="宋体"/>
                <w:color w:val="auto"/>
                <w:sz w:val="21"/>
                <w:szCs w:val="21"/>
                <w:highlight w:val="none"/>
              </w:rPr>
            </w:pPr>
            <w:r>
              <w:rPr>
                <w:rFonts w:hint="eastAsia" w:ascii="宋体" w:cs="宋体"/>
                <w:color w:val="auto"/>
                <w:sz w:val="21"/>
                <w:szCs w:val="21"/>
                <w:highlight w:val="none"/>
              </w:rPr>
              <w:t>3</w:t>
            </w:r>
          </w:p>
        </w:tc>
        <w:tc>
          <w:tcPr>
            <w:tcW w:w="8415" w:type="dxa"/>
            <w:gridSpan w:val="2"/>
            <w:tcBorders>
              <w:top w:val="single" w:color="auto" w:sz="4" w:space="0"/>
              <w:left w:val="single" w:color="auto" w:sz="4" w:space="0"/>
              <w:bottom w:val="single" w:color="auto" w:sz="4" w:space="0"/>
              <w:right w:val="single" w:color="auto" w:sz="4" w:space="0"/>
            </w:tcBorders>
            <w:noWrap/>
            <w:vAlign w:val="center"/>
          </w:tcPr>
          <w:p>
            <w:pPr>
              <w:snapToGrid w:val="0"/>
              <w:spacing w:line="360" w:lineRule="exact"/>
              <w:rPr>
                <w:rFonts w:ascii="宋体" w:cs="宋体"/>
                <w:b/>
                <w:color w:val="auto"/>
                <w:sz w:val="21"/>
                <w:szCs w:val="21"/>
                <w:highlight w:val="none"/>
              </w:rPr>
            </w:pPr>
            <w:r>
              <w:rPr>
                <w:rFonts w:hint="eastAsia" w:ascii="宋体" w:cs="宋体"/>
                <w:color w:val="auto"/>
                <w:sz w:val="21"/>
                <w:szCs w:val="21"/>
                <w:highlight w:val="none"/>
              </w:rPr>
              <w:t>投标报价及费用：1、本项目投标以人民币报价；2、</w:t>
            </w:r>
            <w:r>
              <w:rPr>
                <w:rFonts w:hint="eastAsia" w:ascii="宋体" w:hAnsi="宋体" w:eastAsia="宋体" w:cs="宋体"/>
                <w:b/>
                <w:bCs/>
                <w:color w:val="auto"/>
                <w:sz w:val="21"/>
                <w:szCs w:val="21"/>
                <w:highlight w:val="none"/>
                <w:u w:val="single"/>
              </w:rPr>
              <w:t>本项目代理服务费参照《国家计委关于印发</w:t>
            </w:r>
            <w:r>
              <w:rPr>
                <w:rFonts w:hint="eastAsia" w:ascii="宋体" w:hAnsi="宋体" w:eastAsia="宋体" w:cs="宋体"/>
                <w:b/>
                <w:bCs/>
                <w:color w:val="auto"/>
                <w:sz w:val="21"/>
                <w:szCs w:val="21"/>
                <w:highlight w:val="none"/>
                <w:u w:val="single"/>
                <w:lang w:eastAsia="zh-CN"/>
              </w:rPr>
              <w:t>〈</w:t>
            </w:r>
            <w:r>
              <w:rPr>
                <w:rFonts w:hint="eastAsia" w:ascii="宋体" w:hAnsi="宋体" w:eastAsia="宋体" w:cs="宋体"/>
                <w:b/>
                <w:bCs/>
                <w:color w:val="auto"/>
                <w:sz w:val="21"/>
                <w:szCs w:val="21"/>
                <w:highlight w:val="none"/>
                <w:u w:val="single"/>
              </w:rPr>
              <w:t>招标代理服务收费管理暂行办法</w:t>
            </w:r>
            <w:r>
              <w:rPr>
                <w:rFonts w:hint="eastAsia" w:ascii="宋体" w:hAnsi="宋体" w:eastAsia="宋体" w:cs="宋体"/>
                <w:b/>
                <w:bCs/>
                <w:color w:val="auto"/>
                <w:sz w:val="21"/>
                <w:szCs w:val="21"/>
                <w:highlight w:val="none"/>
                <w:u w:val="single"/>
                <w:lang w:eastAsia="zh-CN"/>
              </w:rPr>
              <w:t>〉</w:t>
            </w:r>
            <w:r>
              <w:rPr>
                <w:rFonts w:hint="eastAsia" w:ascii="宋体" w:hAnsi="宋体" w:eastAsia="宋体" w:cs="宋体"/>
                <w:b/>
                <w:bCs/>
                <w:color w:val="auto"/>
                <w:sz w:val="21"/>
                <w:szCs w:val="21"/>
                <w:highlight w:val="none"/>
                <w:u w:val="single"/>
              </w:rPr>
              <w:t>的通知》</w:t>
            </w:r>
            <w:r>
              <w:rPr>
                <w:rFonts w:hint="eastAsia" w:ascii="宋体" w:hAnsi="宋体" w:eastAsia="宋体" w:cs="宋体"/>
                <w:b/>
                <w:bCs/>
                <w:color w:val="auto"/>
                <w:sz w:val="21"/>
                <w:szCs w:val="21"/>
                <w:highlight w:val="none"/>
                <w:u w:val="single"/>
                <w:lang w:eastAsia="zh-CN"/>
              </w:rPr>
              <w:t>（</w:t>
            </w:r>
            <w:r>
              <w:rPr>
                <w:rFonts w:hint="eastAsia" w:ascii="宋体" w:hAnsi="宋体" w:eastAsia="宋体" w:cs="宋体"/>
                <w:b/>
                <w:bCs/>
                <w:color w:val="auto"/>
                <w:sz w:val="21"/>
                <w:szCs w:val="21"/>
                <w:highlight w:val="none"/>
                <w:u w:val="single"/>
              </w:rPr>
              <w:t>计价格</w:t>
            </w:r>
            <w:r>
              <w:rPr>
                <w:rFonts w:hint="eastAsia" w:ascii="宋体" w:hAnsi="宋体" w:cs="宋体"/>
                <w:b/>
                <w:bCs/>
                <w:color w:val="auto"/>
                <w:sz w:val="21"/>
                <w:szCs w:val="21"/>
                <w:highlight w:val="none"/>
                <w:u w:val="single"/>
                <w:lang w:eastAsia="zh-CN"/>
              </w:rPr>
              <w:t>〔2002〕1980号</w:t>
            </w:r>
            <w:r>
              <w:rPr>
                <w:rFonts w:hint="eastAsia" w:ascii="宋体" w:hAnsi="宋体" w:eastAsia="宋体" w:cs="宋体"/>
                <w:b/>
                <w:bCs/>
                <w:color w:val="auto"/>
                <w:sz w:val="21"/>
                <w:szCs w:val="21"/>
                <w:highlight w:val="none"/>
                <w:u w:val="single"/>
                <w:lang w:eastAsia="zh-CN"/>
              </w:rPr>
              <w:t>）</w:t>
            </w:r>
            <w:r>
              <w:rPr>
                <w:rFonts w:hint="eastAsia" w:ascii="宋体" w:hAnsi="宋体" w:eastAsia="宋体" w:cs="宋体"/>
                <w:b/>
                <w:bCs/>
                <w:color w:val="auto"/>
                <w:sz w:val="21"/>
                <w:szCs w:val="21"/>
                <w:highlight w:val="none"/>
                <w:u w:val="single"/>
              </w:rPr>
              <w:t>及</w:t>
            </w:r>
            <w:r>
              <w:rPr>
                <w:rFonts w:hint="eastAsia" w:ascii="宋体" w:hAnsi="宋体" w:eastAsia="宋体" w:cs="宋体"/>
                <w:b/>
                <w:bCs/>
                <w:color w:val="auto"/>
                <w:sz w:val="21"/>
                <w:szCs w:val="21"/>
                <w:highlight w:val="none"/>
                <w:u w:val="single"/>
                <w:lang w:eastAsia="zh-CN"/>
              </w:rPr>
              <w:t>《</w:t>
            </w:r>
            <w:r>
              <w:rPr>
                <w:rFonts w:hint="eastAsia" w:ascii="宋体" w:hAnsi="宋体" w:eastAsia="宋体" w:cs="宋体"/>
                <w:b/>
                <w:bCs/>
                <w:color w:val="auto"/>
                <w:sz w:val="21"/>
                <w:szCs w:val="21"/>
                <w:highlight w:val="none"/>
                <w:u w:val="single"/>
              </w:rPr>
              <w:t>国家发改委</w:t>
            </w:r>
            <w:r>
              <w:rPr>
                <w:rFonts w:hint="eastAsia" w:ascii="宋体" w:hAnsi="宋体" w:eastAsia="宋体" w:cs="宋体"/>
                <w:b/>
                <w:bCs/>
                <w:color w:val="auto"/>
                <w:sz w:val="21"/>
                <w:szCs w:val="21"/>
                <w:highlight w:val="none"/>
                <w:u w:val="single"/>
                <w:lang w:eastAsia="zh-CN"/>
              </w:rPr>
              <w:t>办公厅</w:t>
            </w:r>
            <w:r>
              <w:rPr>
                <w:rFonts w:hint="eastAsia" w:ascii="宋体" w:hAnsi="宋体" w:eastAsia="宋体" w:cs="宋体"/>
                <w:b/>
                <w:bCs/>
                <w:color w:val="auto"/>
                <w:sz w:val="21"/>
                <w:szCs w:val="21"/>
                <w:highlight w:val="none"/>
                <w:u w:val="single"/>
              </w:rPr>
              <w:t>关于招标代理服务收费有关问题的通知</w:t>
            </w:r>
            <w:r>
              <w:rPr>
                <w:rFonts w:hint="eastAsia" w:ascii="宋体" w:hAnsi="宋体" w:eastAsia="宋体" w:cs="宋体"/>
                <w:b/>
                <w:bCs/>
                <w:color w:val="auto"/>
                <w:sz w:val="21"/>
                <w:szCs w:val="21"/>
                <w:highlight w:val="none"/>
                <w:u w:val="single"/>
                <w:lang w:eastAsia="zh-CN"/>
              </w:rPr>
              <w:t>》（</w:t>
            </w:r>
            <w:r>
              <w:rPr>
                <w:rFonts w:hint="eastAsia" w:ascii="宋体" w:hAnsi="宋体" w:eastAsia="宋体" w:cs="宋体"/>
                <w:b/>
                <w:bCs/>
                <w:color w:val="auto"/>
                <w:sz w:val="21"/>
                <w:szCs w:val="21"/>
                <w:highlight w:val="none"/>
                <w:u w:val="single"/>
              </w:rPr>
              <w:t>发改办价格</w:t>
            </w:r>
            <w:r>
              <w:rPr>
                <w:rFonts w:hint="eastAsia" w:ascii="宋体" w:hAnsi="宋体" w:cs="宋体"/>
                <w:b/>
                <w:bCs/>
                <w:color w:val="auto"/>
                <w:sz w:val="21"/>
                <w:szCs w:val="21"/>
                <w:highlight w:val="none"/>
                <w:u w:val="single"/>
                <w:lang w:eastAsia="zh-CN"/>
              </w:rPr>
              <w:t>〔2003〕857号</w:t>
            </w:r>
            <w:r>
              <w:rPr>
                <w:rFonts w:hint="eastAsia" w:ascii="宋体" w:hAnsi="宋体" w:eastAsia="宋体" w:cs="宋体"/>
                <w:b/>
                <w:bCs/>
                <w:color w:val="auto"/>
                <w:sz w:val="21"/>
                <w:szCs w:val="21"/>
                <w:highlight w:val="none"/>
                <w:u w:val="single"/>
                <w:lang w:eastAsia="zh-CN"/>
              </w:rPr>
              <w:t>）</w:t>
            </w:r>
            <w:r>
              <w:rPr>
                <w:rFonts w:hint="eastAsia" w:ascii="宋体" w:hAnsi="宋体" w:eastAsia="宋体" w:cs="宋体"/>
                <w:b/>
                <w:bCs/>
                <w:color w:val="auto"/>
                <w:sz w:val="21"/>
                <w:szCs w:val="21"/>
                <w:highlight w:val="none"/>
                <w:u w:val="single"/>
              </w:rPr>
              <w:t>文件规定收费计算标准计取，由中标人支付</w:t>
            </w:r>
            <w:r>
              <w:rPr>
                <w:rFonts w:hint="eastAsia" w:ascii="宋体" w:hAnsi="宋体" w:eastAsia="宋体" w:cs="宋体"/>
                <w:b/>
                <w:bCs w:val="0"/>
                <w:color w:val="auto"/>
                <w:sz w:val="21"/>
                <w:szCs w:val="21"/>
                <w:highlight w:val="none"/>
              </w:rPr>
              <w:t>；</w:t>
            </w:r>
          </w:p>
          <w:p>
            <w:pPr>
              <w:snapToGrid w:val="0"/>
              <w:spacing w:line="360" w:lineRule="exact"/>
              <w:rPr>
                <w:rFonts w:ascii="宋体" w:cs="宋体"/>
                <w:b/>
                <w:color w:val="auto"/>
                <w:sz w:val="21"/>
                <w:szCs w:val="21"/>
                <w:highlight w:val="none"/>
              </w:rPr>
            </w:pPr>
            <w:r>
              <w:rPr>
                <w:rFonts w:hint="eastAsia" w:ascii="宋体" w:cs="宋体"/>
                <w:color w:val="auto"/>
                <w:sz w:val="21"/>
                <w:szCs w:val="21"/>
                <w:highlight w:val="none"/>
              </w:rPr>
              <w:t>3、不论投标结果如何，投标人均应自行承担所有与投标有关的全部费用。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01" w:hRule="atLeast"/>
          <w:jc w:val="center"/>
        </w:trPr>
        <w:tc>
          <w:tcPr>
            <w:tcW w:w="829"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cs="宋体"/>
                <w:color w:val="auto"/>
                <w:sz w:val="21"/>
                <w:szCs w:val="21"/>
                <w:highlight w:val="none"/>
              </w:rPr>
            </w:pPr>
            <w:r>
              <w:rPr>
                <w:rFonts w:hint="eastAsia" w:ascii="宋体" w:cs="宋体"/>
                <w:color w:val="auto"/>
                <w:sz w:val="21"/>
                <w:szCs w:val="21"/>
                <w:highlight w:val="none"/>
              </w:rPr>
              <w:t>4</w:t>
            </w:r>
          </w:p>
        </w:tc>
        <w:tc>
          <w:tcPr>
            <w:tcW w:w="8415" w:type="dxa"/>
            <w:gridSpan w:val="2"/>
            <w:tcBorders>
              <w:top w:val="single" w:color="auto" w:sz="4" w:space="0"/>
              <w:left w:val="single" w:color="auto" w:sz="4" w:space="0"/>
              <w:bottom w:val="single" w:color="auto" w:sz="4" w:space="0"/>
              <w:right w:val="single" w:color="auto" w:sz="4" w:space="0"/>
            </w:tcBorders>
            <w:noWrap/>
            <w:vAlign w:val="center"/>
          </w:tcPr>
          <w:p>
            <w:pPr>
              <w:snapToGrid w:val="0"/>
              <w:spacing w:line="360" w:lineRule="exact"/>
              <w:rPr>
                <w:rFonts w:ascii="宋体" w:cs="宋体"/>
                <w:color w:val="auto"/>
                <w:sz w:val="21"/>
                <w:szCs w:val="21"/>
                <w:highlight w:val="none"/>
              </w:rPr>
            </w:pPr>
            <w:r>
              <w:rPr>
                <w:rFonts w:hint="eastAsia" w:ascii="宋体" w:cs="宋体"/>
                <w:color w:val="auto"/>
                <w:sz w:val="21"/>
                <w:szCs w:val="21"/>
                <w:highlight w:val="none"/>
              </w:rPr>
              <w:t>现场踏勘：自行踏勘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jc w:val="center"/>
        </w:trPr>
        <w:tc>
          <w:tcPr>
            <w:tcW w:w="829"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cs="宋体"/>
                <w:color w:val="auto"/>
                <w:sz w:val="21"/>
                <w:szCs w:val="21"/>
                <w:highlight w:val="none"/>
              </w:rPr>
            </w:pPr>
            <w:r>
              <w:rPr>
                <w:rFonts w:hint="eastAsia" w:ascii="宋体" w:cs="宋体"/>
                <w:color w:val="auto"/>
                <w:sz w:val="21"/>
                <w:szCs w:val="21"/>
                <w:highlight w:val="none"/>
              </w:rPr>
              <w:t>5</w:t>
            </w:r>
          </w:p>
        </w:tc>
        <w:tc>
          <w:tcPr>
            <w:tcW w:w="8415" w:type="dxa"/>
            <w:gridSpan w:val="2"/>
            <w:tcBorders>
              <w:top w:val="single" w:color="auto" w:sz="4" w:space="0"/>
              <w:left w:val="single" w:color="auto" w:sz="4" w:space="0"/>
              <w:bottom w:val="single" w:color="auto" w:sz="4" w:space="0"/>
              <w:right w:val="single" w:color="auto" w:sz="4" w:space="0"/>
            </w:tcBorders>
            <w:noWrap/>
            <w:vAlign w:val="center"/>
          </w:tcPr>
          <w:p>
            <w:pPr>
              <w:pStyle w:val="16"/>
              <w:spacing w:after="0" w:line="380" w:lineRule="exact"/>
              <w:jc w:val="left"/>
              <w:rPr>
                <w:color w:val="auto"/>
                <w:highlight w:val="none"/>
              </w:rPr>
            </w:pPr>
            <w:r>
              <w:rPr>
                <w:rFonts w:hint="eastAsia" w:ascii="宋体" w:cs="宋体"/>
                <w:color w:val="auto"/>
                <w:sz w:val="21"/>
                <w:szCs w:val="21"/>
                <w:highlight w:val="none"/>
              </w:rPr>
              <w:t>演示时间及地点：无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15" w:hRule="atLeast"/>
          <w:jc w:val="center"/>
        </w:trPr>
        <w:tc>
          <w:tcPr>
            <w:tcW w:w="829"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cs="宋体"/>
                <w:color w:val="auto"/>
                <w:sz w:val="21"/>
                <w:szCs w:val="21"/>
                <w:highlight w:val="none"/>
              </w:rPr>
            </w:pPr>
            <w:r>
              <w:rPr>
                <w:rFonts w:hint="eastAsia" w:ascii="宋体" w:cs="宋体"/>
                <w:color w:val="auto"/>
                <w:sz w:val="21"/>
                <w:szCs w:val="21"/>
                <w:highlight w:val="none"/>
              </w:rPr>
              <w:t>6</w:t>
            </w:r>
          </w:p>
        </w:tc>
        <w:tc>
          <w:tcPr>
            <w:tcW w:w="8415" w:type="dxa"/>
            <w:gridSpan w:val="2"/>
            <w:tcBorders>
              <w:top w:val="single" w:color="auto" w:sz="4" w:space="0"/>
              <w:left w:val="single" w:color="auto" w:sz="4" w:space="0"/>
              <w:bottom w:val="single" w:color="auto" w:sz="4" w:space="0"/>
              <w:right w:val="single" w:color="auto" w:sz="4" w:space="0"/>
            </w:tcBorders>
            <w:noWrap/>
            <w:vAlign w:val="center"/>
          </w:tcPr>
          <w:p>
            <w:pPr>
              <w:snapToGrid w:val="0"/>
              <w:spacing w:line="360" w:lineRule="exact"/>
              <w:ind w:firstLine="420" w:firstLineChars="200"/>
              <w:rPr>
                <w:rFonts w:ascii="宋体" w:cs="宋体"/>
                <w:color w:val="auto"/>
                <w:sz w:val="21"/>
                <w:szCs w:val="21"/>
                <w:highlight w:val="none"/>
              </w:rPr>
            </w:pPr>
            <w:r>
              <w:rPr>
                <w:rFonts w:hint="eastAsia" w:ascii="宋体" w:cs="宋体"/>
                <w:color w:val="auto"/>
                <w:sz w:val="21"/>
                <w:szCs w:val="21"/>
                <w:highlight w:val="none"/>
              </w:rPr>
              <w:t>投标人如认为采购文件表述不清晰、存在歧视性</w:t>
            </w:r>
            <w:r>
              <w:rPr>
                <w:rFonts w:hint="eastAsia" w:ascii="宋体" w:cs="宋体"/>
                <w:color w:val="auto"/>
                <w:sz w:val="21"/>
                <w:szCs w:val="21"/>
                <w:highlight w:val="none"/>
                <w:lang w:eastAsia="zh-CN"/>
              </w:rPr>
              <w:t>或者其他</w:t>
            </w:r>
            <w:r>
              <w:rPr>
                <w:rFonts w:hint="eastAsia" w:ascii="宋体" w:cs="宋体"/>
                <w:color w:val="auto"/>
                <w:sz w:val="21"/>
                <w:szCs w:val="21"/>
                <w:highlight w:val="none"/>
              </w:rPr>
              <w:t>违法内容的，应当于采购公告“质疑与澄清”款规定的时间前，以书面形式一次性提出，要求采购人和招标人作出书面解释、澄清。招标人将于规定时间前将答疑内容以网上发布公告的形式通知所有已报名的投标人；答疑内容是采购文件的组成部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jc w:val="center"/>
        </w:trPr>
        <w:tc>
          <w:tcPr>
            <w:tcW w:w="829" w:type="dxa"/>
            <w:tcBorders>
              <w:top w:val="single" w:color="auto" w:sz="4" w:space="0"/>
              <w:left w:val="single" w:color="auto" w:sz="4" w:space="0"/>
              <w:bottom w:val="single" w:color="auto" w:sz="4" w:space="0"/>
              <w:right w:val="single" w:color="auto" w:sz="4" w:space="0"/>
            </w:tcBorders>
            <w:noWrap/>
            <w:vAlign w:val="center"/>
          </w:tcPr>
          <w:p>
            <w:pPr>
              <w:autoSpaceDE w:val="0"/>
              <w:autoSpaceDN w:val="0"/>
              <w:snapToGrid w:val="0"/>
              <w:spacing w:line="300" w:lineRule="exact"/>
              <w:jc w:val="center"/>
              <w:textAlignment w:val="bottom"/>
              <w:rPr>
                <w:rFonts w:ascii="宋体" w:cs="宋体"/>
                <w:color w:val="auto"/>
                <w:sz w:val="21"/>
                <w:szCs w:val="21"/>
                <w:highlight w:val="none"/>
              </w:rPr>
            </w:pPr>
            <w:r>
              <w:rPr>
                <w:rFonts w:hint="eastAsia" w:ascii="宋体" w:cs="宋体"/>
                <w:color w:val="auto"/>
                <w:sz w:val="21"/>
                <w:szCs w:val="21"/>
                <w:highlight w:val="none"/>
              </w:rPr>
              <w:t>7</w:t>
            </w:r>
          </w:p>
        </w:tc>
        <w:tc>
          <w:tcPr>
            <w:tcW w:w="8415" w:type="dxa"/>
            <w:gridSpan w:val="2"/>
            <w:tcBorders>
              <w:top w:val="single" w:color="auto" w:sz="4" w:space="0"/>
              <w:left w:val="single" w:color="auto" w:sz="4" w:space="0"/>
              <w:bottom w:val="single" w:color="auto" w:sz="4" w:space="0"/>
              <w:right w:val="single" w:color="auto" w:sz="4" w:space="0"/>
            </w:tcBorders>
            <w:noWrap/>
            <w:vAlign w:val="center"/>
          </w:tcPr>
          <w:p>
            <w:pPr>
              <w:snapToGrid w:val="0"/>
              <w:spacing w:line="360" w:lineRule="exact"/>
              <w:ind w:firstLine="420" w:firstLineChars="200"/>
              <w:rPr>
                <w:rFonts w:ascii="宋体" w:cs="宋体"/>
                <w:color w:val="auto"/>
                <w:sz w:val="21"/>
                <w:szCs w:val="21"/>
                <w:highlight w:val="none"/>
              </w:rPr>
            </w:pPr>
            <w:r>
              <w:rPr>
                <w:rFonts w:hint="eastAsia" w:ascii="宋体" w:cs="宋体"/>
                <w:color w:val="auto"/>
                <w:sz w:val="21"/>
                <w:szCs w:val="21"/>
                <w:highlight w:val="none"/>
              </w:rPr>
              <w:t>投标文件的组成：资格证明文件；技术商务标；价格标；</w:t>
            </w:r>
          </w:p>
          <w:p>
            <w:pPr>
              <w:snapToGrid w:val="0"/>
              <w:spacing w:line="360" w:lineRule="exact"/>
              <w:rPr>
                <w:rFonts w:ascii="宋体" w:cs="宋体"/>
                <w:color w:val="auto"/>
                <w:sz w:val="21"/>
                <w:szCs w:val="21"/>
                <w:highlight w:val="none"/>
              </w:rPr>
            </w:pPr>
            <w:r>
              <w:rPr>
                <w:rFonts w:hint="eastAsia" w:ascii="宋体" w:cs="宋体"/>
                <w:color w:val="auto"/>
                <w:sz w:val="21"/>
                <w:szCs w:val="21"/>
                <w:highlight w:val="none"/>
              </w:rPr>
              <w:t>注：递交电子版备份投标文件介质可以是U盘或DVD光盘（包括资格证明文件；技术商务标；价格标）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0" w:hRule="atLeast"/>
          <w:jc w:val="center"/>
        </w:trPr>
        <w:tc>
          <w:tcPr>
            <w:tcW w:w="829"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cs="宋体"/>
                <w:color w:val="auto"/>
                <w:sz w:val="21"/>
                <w:szCs w:val="21"/>
                <w:highlight w:val="none"/>
              </w:rPr>
            </w:pPr>
            <w:r>
              <w:rPr>
                <w:rFonts w:hint="eastAsia" w:ascii="宋体" w:cs="宋体"/>
                <w:color w:val="auto"/>
                <w:sz w:val="21"/>
                <w:szCs w:val="21"/>
                <w:highlight w:val="none"/>
              </w:rPr>
              <w:t>8</w:t>
            </w:r>
          </w:p>
        </w:tc>
        <w:tc>
          <w:tcPr>
            <w:tcW w:w="8415" w:type="dxa"/>
            <w:gridSpan w:val="2"/>
            <w:tcBorders>
              <w:top w:val="single" w:color="auto" w:sz="4" w:space="0"/>
              <w:left w:val="single" w:color="auto" w:sz="4" w:space="0"/>
              <w:bottom w:val="single" w:color="auto" w:sz="4" w:space="0"/>
              <w:right w:val="single" w:color="auto" w:sz="4" w:space="0"/>
            </w:tcBorders>
            <w:noWrap/>
            <w:vAlign w:val="center"/>
          </w:tcPr>
          <w:p>
            <w:pPr>
              <w:snapToGrid w:val="0"/>
              <w:spacing w:line="360" w:lineRule="exact"/>
              <w:rPr>
                <w:rFonts w:ascii="宋体" w:cs="宋体"/>
                <w:color w:val="auto"/>
                <w:sz w:val="21"/>
                <w:szCs w:val="21"/>
                <w:highlight w:val="none"/>
              </w:rPr>
            </w:pPr>
            <w:r>
              <w:rPr>
                <w:rFonts w:hint="eastAsia" w:ascii="宋体" w:cs="宋体"/>
                <w:color w:val="auto"/>
                <w:sz w:val="21"/>
                <w:szCs w:val="21"/>
                <w:highlight w:val="none"/>
              </w:rPr>
              <w:t>投标文件的上传和递交：</w:t>
            </w:r>
          </w:p>
          <w:p>
            <w:pPr>
              <w:snapToGrid w:val="0"/>
              <w:spacing w:line="360" w:lineRule="exact"/>
              <w:rPr>
                <w:rFonts w:ascii="宋体" w:cs="宋体"/>
                <w:color w:val="auto"/>
                <w:sz w:val="21"/>
                <w:szCs w:val="21"/>
                <w:highlight w:val="none"/>
              </w:rPr>
            </w:pPr>
            <w:r>
              <w:rPr>
                <w:rFonts w:hint="eastAsia" w:ascii="宋体" w:cs="宋体"/>
                <w:color w:val="auto"/>
                <w:sz w:val="21"/>
                <w:szCs w:val="21"/>
                <w:highlight w:val="none"/>
              </w:rPr>
              <w:t>1、“电子加密投标文件”的上传、递交：</w:t>
            </w:r>
          </w:p>
          <w:p>
            <w:pPr>
              <w:snapToGrid w:val="0"/>
              <w:spacing w:line="360" w:lineRule="exact"/>
              <w:rPr>
                <w:rFonts w:ascii="宋体" w:cs="宋体"/>
                <w:color w:val="auto"/>
                <w:sz w:val="21"/>
                <w:szCs w:val="21"/>
                <w:highlight w:val="none"/>
              </w:rPr>
            </w:pPr>
            <w:r>
              <w:rPr>
                <w:rFonts w:hint="eastAsia" w:ascii="宋体" w:cs="宋体"/>
                <w:color w:val="auto"/>
                <w:sz w:val="21"/>
                <w:szCs w:val="21"/>
                <w:highlight w:val="none"/>
              </w:rPr>
              <w:t>（1）投标人应在投标截止时间前将“电子加密投标文件”成功上传递交至“政府采购云平台”，否则投标无效。</w:t>
            </w:r>
          </w:p>
          <w:p>
            <w:pPr>
              <w:snapToGrid w:val="0"/>
              <w:spacing w:line="360" w:lineRule="exact"/>
              <w:rPr>
                <w:rFonts w:ascii="宋体" w:cs="宋体"/>
                <w:color w:val="auto"/>
                <w:sz w:val="21"/>
                <w:szCs w:val="21"/>
                <w:highlight w:val="none"/>
              </w:rPr>
            </w:pPr>
            <w:r>
              <w:rPr>
                <w:rFonts w:hint="eastAsia" w:ascii="宋体" w:cs="宋体"/>
                <w:color w:val="auto"/>
                <w:sz w:val="21"/>
                <w:szCs w:val="21"/>
                <w:highlight w:val="none"/>
              </w:rPr>
              <w:t>（2）“电子加密投标文件”成功上传递交后，投标人可自行打印投标文件接收回执。</w:t>
            </w:r>
          </w:p>
          <w:p>
            <w:pPr>
              <w:snapToGrid w:val="0"/>
              <w:spacing w:line="360" w:lineRule="exact"/>
              <w:rPr>
                <w:rFonts w:ascii="宋体" w:cs="宋体"/>
                <w:color w:val="auto"/>
                <w:sz w:val="21"/>
                <w:szCs w:val="21"/>
                <w:highlight w:val="none"/>
              </w:rPr>
            </w:pPr>
            <w:r>
              <w:rPr>
                <w:rFonts w:hint="eastAsia" w:ascii="宋体" w:cs="宋体"/>
                <w:color w:val="auto"/>
                <w:sz w:val="21"/>
                <w:szCs w:val="21"/>
                <w:highlight w:val="none"/>
              </w:rPr>
              <w:t>2、“备份投标文件”的密封包装、递交：</w:t>
            </w:r>
          </w:p>
          <w:p>
            <w:pPr>
              <w:snapToGrid w:val="0"/>
              <w:spacing w:line="360" w:lineRule="exact"/>
              <w:rPr>
                <w:rFonts w:ascii="宋体" w:cs="宋体"/>
                <w:color w:val="auto"/>
                <w:sz w:val="21"/>
                <w:szCs w:val="21"/>
                <w:highlight w:val="none"/>
              </w:rPr>
            </w:pPr>
            <w:r>
              <w:rPr>
                <w:rFonts w:hint="eastAsia" w:ascii="宋体" w:cs="宋体"/>
                <w:color w:val="auto"/>
                <w:sz w:val="21"/>
                <w:szCs w:val="21"/>
                <w:highlight w:val="none"/>
              </w:rPr>
              <w:t>（1）投标人在“政府采购云平台”完成“电子加密投标文件”的上传递交后，还可以（邮寄形式或直接送达）在投标截止时间前递交以介质是U盘或DVD光盘存储的 “备份投标文件”（一份）；</w:t>
            </w:r>
          </w:p>
          <w:p>
            <w:pPr>
              <w:snapToGrid w:val="0"/>
              <w:spacing w:line="360" w:lineRule="exact"/>
              <w:rPr>
                <w:rFonts w:ascii="宋体" w:cs="宋体"/>
                <w:color w:val="auto"/>
                <w:sz w:val="21"/>
                <w:szCs w:val="21"/>
                <w:highlight w:val="none"/>
              </w:rPr>
            </w:pPr>
            <w:r>
              <w:rPr>
                <w:rFonts w:hint="eastAsia" w:ascii="宋体" w:cs="宋体"/>
                <w:color w:val="auto"/>
                <w:sz w:val="21"/>
                <w:szCs w:val="21"/>
                <w:highlight w:val="none"/>
              </w:rPr>
              <w:t>（2）“备份投标文件”应当密封包装，并在包装上标注投标项目名称、投标单位名称并加盖公章。没有密封包装或者逾期邮寄送达至投标地点的“备份投标文件”将不予接收；</w:t>
            </w:r>
          </w:p>
          <w:p>
            <w:pPr>
              <w:snapToGrid w:val="0"/>
              <w:spacing w:line="360" w:lineRule="exact"/>
              <w:rPr>
                <w:rFonts w:ascii="宋体" w:cs="宋体"/>
                <w:color w:val="auto"/>
                <w:sz w:val="21"/>
                <w:szCs w:val="21"/>
                <w:highlight w:val="none"/>
              </w:rPr>
            </w:pPr>
            <w:r>
              <w:rPr>
                <w:rFonts w:hint="eastAsia" w:ascii="宋体" w:cs="宋体"/>
                <w:color w:val="auto"/>
                <w:sz w:val="21"/>
                <w:szCs w:val="21"/>
                <w:highlight w:val="none"/>
              </w:rPr>
              <w:t>（3）通过“政府采购云平台”成功上传递交的“电子加密投标文件”已按时解密的，“备份投标文件”自动失效。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0" w:hRule="atLeast"/>
          <w:jc w:val="center"/>
        </w:trPr>
        <w:tc>
          <w:tcPr>
            <w:tcW w:w="829"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cs="宋体"/>
                <w:color w:val="auto"/>
                <w:sz w:val="21"/>
                <w:szCs w:val="21"/>
                <w:highlight w:val="none"/>
              </w:rPr>
            </w:pPr>
            <w:r>
              <w:rPr>
                <w:rFonts w:hint="eastAsia" w:ascii="宋体" w:cs="宋体"/>
                <w:color w:val="auto"/>
                <w:sz w:val="21"/>
                <w:szCs w:val="21"/>
                <w:highlight w:val="none"/>
              </w:rPr>
              <w:t>9</w:t>
            </w:r>
          </w:p>
        </w:tc>
        <w:tc>
          <w:tcPr>
            <w:tcW w:w="8415" w:type="dxa"/>
            <w:gridSpan w:val="2"/>
            <w:tcBorders>
              <w:top w:val="single" w:color="auto" w:sz="4" w:space="0"/>
              <w:left w:val="single" w:color="auto" w:sz="4" w:space="0"/>
              <w:bottom w:val="single" w:color="auto" w:sz="4" w:space="0"/>
              <w:right w:val="single" w:color="auto" w:sz="4" w:space="0"/>
            </w:tcBorders>
            <w:noWrap/>
            <w:vAlign w:val="center"/>
          </w:tcPr>
          <w:p>
            <w:pPr>
              <w:snapToGrid w:val="0"/>
              <w:spacing w:line="360" w:lineRule="exact"/>
              <w:rPr>
                <w:rFonts w:ascii="宋体" w:cs="宋体"/>
                <w:color w:val="auto"/>
                <w:sz w:val="21"/>
                <w:szCs w:val="21"/>
                <w:highlight w:val="none"/>
              </w:rPr>
            </w:pPr>
            <w:r>
              <w:rPr>
                <w:rFonts w:hint="eastAsia" w:ascii="宋体" w:cs="宋体"/>
                <w:color w:val="auto"/>
                <w:sz w:val="21"/>
                <w:szCs w:val="21"/>
                <w:highlight w:val="none"/>
              </w:rPr>
              <w:t>电子加密投标文件的解密和异常情况处理：</w:t>
            </w:r>
          </w:p>
          <w:p>
            <w:pPr>
              <w:snapToGrid w:val="0"/>
              <w:spacing w:line="360" w:lineRule="exact"/>
              <w:rPr>
                <w:rFonts w:ascii="宋体" w:cs="宋体"/>
                <w:color w:val="auto"/>
                <w:sz w:val="21"/>
                <w:szCs w:val="21"/>
                <w:highlight w:val="none"/>
              </w:rPr>
            </w:pPr>
            <w:r>
              <w:rPr>
                <w:rFonts w:hint="eastAsia" w:ascii="宋体" w:cs="宋体"/>
                <w:color w:val="auto"/>
                <w:sz w:val="21"/>
                <w:szCs w:val="21"/>
                <w:highlight w:val="none"/>
              </w:rPr>
              <w:t>（1）开标后，采购人将向各投标人发出“电子加密投标文件”的解密通知，各投标人代表应当在接到解密通知后30分钟内自行完成“电子加密投标文件”的在线解密。</w:t>
            </w:r>
          </w:p>
          <w:p>
            <w:pPr>
              <w:snapToGrid w:val="0"/>
              <w:spacing w:line="360" w:lineRule="exact"/>
              <w:rPr>
                <w:rFonts w:ascii="宋体" w:cs="宋体"/>
                <w:color w:val="auto"/>
                <w:sz w:val="21"/>
                <w:szCs w:val="21"/>
                <w:highlight w:val="none"/>
              </w:rPr>
            </w:pPr>
            <w:r>
              <w:rPr>
                <w:rFonts w:hint="eastAsia" w:ascii="宋体" w:cs="宋体"/>
                <w:color w:val="auto"/>
                <w:sz w:val="21"/>
                <w:szCs w:val="21"/>
                <w:highlight w:val="none"/>
              </w:rPr>
              <w:t>（2）通过“政府采购云平台”成功上传递交的“电子加密投标文件”无法按时解密，投标人如按规定递交了“备份投标文件”的，以“备份投标文件”为依据（由招标人按“政府采购云平台”操作规范将“备份投标文件”上传至“政府采购云平台”，上传成功后，“电子加密投标文件”自动失效），否则视为投标文件撤回。</w:t>
            </w:r>
          </w:p>
          <w:p>
            <w:pPr>
              <w:snapToGrid w:val="0"/>
              <w:spacing w:line="360" w:lineRule="exact"/>
              <w:rPr>
                <w:rFonts w:ascii="宋体" w:cs="宋体"/>
                <w:color w:val="auto"/>
                <w:sz w:val="21"/>
                <w:szCs w:val="21"/>
                <w:highlight w:val="none"/>
              </w:rPr>
            </w:pPr>
            <w:r>
              <w:rPr>
                <w:rFonts w:hint="eastAsia" w:ascii="宋体" w:cs="宋体"/>
                <w:color w:val="auto"/>
                <w:sz w:val="21"/>
                <w:szCs w:val="21"/>
                <w:highlight w:val="none"/>
              </w:rPr>
              <w:t>（3）投标截止时间前，投标人仅递交了“备份投标文件”而未将电子加密投标文件上传至“政府采购云平台”的，投标无效。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0" w:hRule="atLeast"/>
          <w:jc w:val="center"/>
        </w:trPr>
        <w:tc>
          <w:tcPr>
            <w:tcW w:w="829"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cs="宋体"/>
                <w:color w:val="auto"/>
                <w:sz w:val="21"/>
                <w:szCs w:val="21"/>
                <w:highlight w:val="none"/>
              </w:rPr>
            </w:pPr>
            <w:r>
              <w:rPr>
                <w:rFonts w:hint="eastAsia" w:ascii="宋体" w:cs="宋体"/>
                <w:color w:val="auto"/>
                <w:sz w:val="21"/>
                <w:szCs w:val="21"/>
                <w:highlight w:val="none"/>
              </w:rPr>
              <w:t>10</w:t>
            </w:r>
          </w:p>
        </w:tc>
        <w:tc>
          <w:tcPr>
            <w:tcW w:w="8415" w:type="dxa"/>
            <w:gridSpan w:val="2"/>
            <w:tcBorders>
              <w:top w:val="single" w:color="auto" w:sz="4" w:space="0"/>
              <w:left w:val="single" w:color="auto" w:sz="4" w:space="0"/>
              <w:bottom w:val="single" w:color="auto" w:sz="4" w:space="0"/>
              <w:right w:val="single" w:color="auto" w:sz="4" w:space="0"/>
            </w:tcBorders>
            <w:noWrap/>
            <w:vAlign w:val="center"/>
          </w:tcPr>
          <w:p>
            <w:pPr>
              <w:snapToGrid w:val="0"/>
              <w:spacing w:line="360" w:lineRule="exact"/>
              <w:rPr>
                <w:rFonts w:ascii="宋体" w:cs="宋体"/>
                <w:color w:val="auto"/>
                <w:sz w:val="21"/>
                <w:szCs w:val="21"/>
                <w:highlight w:val="none"/>
              </w:rPr>
            </w:pPr>
            <w:r>
              <w:rPr>
                <w:rFonts w:hint="eastAsia" w:ascii="宋体" w:cs="宋体"/>
                <w:color w:val="auto"/>
                <w:sz w:val="21"/>
                <w:szCs w:val="21"/>
                <w:highlight w:val="none"/>
              </w:rPr>
              <w:t>投标文件的组成、份数、效力：</w:t>
            </w:r>
          </w:p>
          <w:p>
            <w:pPr>
              <w:snapToGrid w:val="0"/>
              <w:spacing w:line="360" w:lineRule="exact"/>
              <w:rPr>
                <w:rFonts w:ascii="宋体" w:cs="宋体"/>
                <w:color w:val="auto"/>
                <w:sz w:val="21"/>
                <w:szCs w:val="21"/>
                <w:highlight w:val="none"/>
              </w:rPr>
            </w:pPr>
            <w:r>
              <w:rPr>
                <w:rFonts w:hint="eastAsia" w:ascii="宋体" w:cs="宋体"/>
                <w:color w:val="auto"/>
                <w:sz w:val="21"/>
                <w:szCs w:val="21"/>
                <w:highlight w:val="none"/>
              </w:rPr>
              <w:t>本项目实行电子投标。</w:t>
            </w:r>
          </w:p>
          <w:p>
            <w:pPr>
              <w:snapToGrid w:val="0"/>
              <w:spacing w:line="360" w:lineRule="exact"/>
              <w:rPr>
                <w:rFonts w:ascii="宋体" w:cs="宋体"/>
                <w:color w:val="auto"/>
                <w:sz w:val="21"/>
                <w:szCs w:val="21"/>
                <w:highlight w:val="none"/>
              </w:rPr>
            </w:pPr>
            <w:r>
              <w:rPr>
                <w:rFonts w:hint="eastAsia" w:ascii="宋体" w:cs="宋体"/>
                <w:color w:val="auto"/>
                <w:sz w:val="21"/>
                <w:szCs w:val="21"/>
                <w:highlight w:val="none"/>
              </w:rPr>
              <w:t>投标人应准备电子投标文件、以介质存储的数据电文形式的备份投标文件两类：</w:t>
            </w:r>
          </w:p>
          <w:p>
            <w:pPr>
              <w:snapToGrid w:val="0"/>
              <w:spacing w:line="360" w:lineRule="exact"/>
              <w:ind w:firstLine="420" w:firstLineChars="200"/>
              <w:rPr>
                <w:rFonts w:ascii="宋体" w:cs="宋体"/>
                <w:color w:val="auto"/>
                <w:sz w:val="21"/>
                <w:szCs w:val="21"/>
                <w:highlight w:val="none"/>
              </w:rPr>
            </w:pPr>
            <w:r>
              <w:rPr>
                <w:rFonts w:hint="eastAsia" w:ascii="宋体" w:cs="宋体"/>
                <w:color w:val="auto"/>
                <w:sz w:val="21"/>
                <w:szCs w:val="21"/>
                <w:highlight w:val="none"/>
              </w:rPr>
              <w:t>（1）电子投标文件，按政采云平台项目采购－电子招投标操作指南及本采购文件要求递交。</w:t>
            </w:r>
          </w:p>
          <w:p>
            <w:pPr>
              <w:snapToGrid w:val="0"/>
              <w:spacing w:line="360" w:lineRule="exact"/>
              <w:ind w:firstLine="420" w:firstLineChars="200"/>
              <w:rPr>
                <w:rFonts w:ascii="宋体" w:cs="宋体"/>
                <w:color w:val="auto"/>
                <w:sz w:val="21"/>
                <w:szCs w:val="21"/>
                <w:highlight w:val="none"/>
              </w:rPr>
            </w:pPr>
            <w:r>
              <w:rPr>
                <w:rFonts w:hint="eastAsia" w:ascii="宋体" w:cs="宋体"/>
                <w:color w:val="auto"/>
                <w:sz w:val="21"/>
                <w:szCs w:val="21"/>
                <w:highlight w:val="none"/>
              </w:rPr>
              <w:t>（2）以介质存储的数据电文形式的备份投标文件，按政采云平台项目采购－电子招投标操作指南中上传的电子投标文件格式，以介质是U盘或DVD光盘形式提供。数量为1份。</w:t>
            </w:r>
          </w:p>
          <w:p>
            <w:pPr>
              <w:snapToGrid w:val="0"/>
              <w:spacing w:line="360" w:lineRule="exact"/>
              <w:ind w:firstLine="420" w:firstLineChars="200"/>
              <w:rPr>
                <w:rFonts w:ascii="宋体" w:cs="宋体"/>
                <w:color w:val="auto"/>
                <w:sz w:val="21"/>
                <w:szCs w:val="21"/>
                <w:highlight w:val="none"/>
              </w:rPr>
            </w:pPr>
            <w:r>
              <w:rPr>
                <w:rFonts w:hint="eastAsia" w:ascii="宋体" w:cs="宋体"/>
                <w:color w:val="auto"/>
                <w:sz w:val="21"/>
                <w:szCs w:val="21"/>
                <w:highlight w:val="none"/>
              </w:rPr>
              <w:t>（3）投标文件启用顺序和效力。投标文件的启用，按先后顺位分别为电子投标文件、以介质存储的数据电文形式的备份投标文件。顺位在先的投标文件已按时解密的，备份投标文件自动失效。在下一顺位的投标文件启用时，前一顺位的投标文件自动失效。</w:t>
            </w:r>
          </w:p>
          <w:p>
            <w:pPr>
              <w:snapToGrid w:val="0"/>
              <w:spacing w:line="360" w:lineRule="exact"/>
              <w:rPr>
                <w:rFonts w:ascii="宋体" w:cs="宋体"/>
                <w:color w:val="auto"/>
                <w:sz w:val="21"/>
                <w:szCs w:val="21"/>
                <w:highlight w:val="none"/>
              </w:rPr>
            </w:pPr>
            <w:r>
              <w:rPr>
                <w:rFonts w:hint="eastAsia" w:ascii="宋体" w:cs="宋体"/>
                <w:color w:val="auto"/>
                <w:sz w:val="21"/>
                <w:szCs w:val="21"/>
                <w:highlight w:val="none"/>
              </w:rPr>
              <w:t>★未传输递交电子投标文件的，投标无效。未按规定提供相应的备份投标文件，造成项目开评标活动无法进行下去的，投标无效。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184" w:hRule="atLeast"/>
          <w:jc w:val="center"/>
        </w:trPr>
        <w:tc>
          <w:tcPr>
            <w:tcW w:w="829"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cs="宋体"/>
                <w:color w:val="auto"/>
                <w:sz w:val="21"/>
                <w:szCs w:val="21"/>
                <w:highlight w:val="none"/>
              </w:rPr>
            </w:pPr>
            <w:r>
              <w:rPr>
                <w:rFonts w:hint="eastAsia" w:ascii="宋体" w:cs="宋体"/>
                <w:color w:val="auto"/>
                <w:sz w:val="21"/>
                <w:szCs w:val="21"/>
                <w:highlight w:val="none"/>
              </w:rPr>
              <w:t>11</w:t>
            </w:r>
          </w:p>
        </w:tc>
        <w:tc>
          <w:tcPr>
            <w:tcW w:w="8415" w:type="dxa"/>
            <w:gridSpan w:val="2"/>
            <w:tcBorders>
              <w:top w:val="single" w:color="auto" w:sz="4" w:space="0"/>
              <w:left w:val="single" w:color="auto" w:sz="4" w:space="0"/>
              <w:bottom w:val="single" w:color="auto" w:sz="4" w:space="0"/>
              <w:right w:val="single" w:color="auto" w:sz="4" w:space="0"/>
            </w:tcBorders>
            <w:noWrap/>
            <w:vAlign w:val="center"/>
          </w:tcPr>
          <w:p>
            <w:pPr>
              <w:snapToGrid w:val="0"/>
              <w:spacing w:line="340" w:lineRule="exact"/>
              <w:ind w:firstLine="210" w:firstLineChars="100"/>
              <w:rPr>
                <w:rFonts w:ascii="宋体" w:cs="宋体"/>
                <w:color w:val="auto"/>
                <w:sz w:val="21"/>
                <w:szCs w:val="21"/>
                <w:highlight w:val="none"/>
              </w:rPr>
            </w:pPr>
            <w:r>
              <w:rPr>
                <w:rFonts w:hint="eastAsia" w:ascii="宋体" w:cs="宋体"/>
                <w:color w:val="auto"/>
                <w:sz w:val="21"/>
                <w:szCs w:val="21"/>
                <w:highlight w:val="none"/>
              </w:rPr>
              <w:t xml:space="preserve">1、以下情形视为未提交有效投标文件： </w:t>
            </w:r>
          </w:p>
          <w:p>
            <w:pPr>
              <w:snapToGrid w:val="0"/>
              <w:spacing w:line="340" w:lineRule="exact"/>
              <w:rPr>
                <w:rFonts w:ascii="宋体" w:cs="宋体"/>
                <w:color w:val="auto"/>
                <w:sz w:val="21"/>
                <w:szCs w:val="21"/>
                <w:highlight w:val="none"/>
              </w:rPr>
            </w:pPr>
            <w:r>
              <w:rPr>
                <w:rFonts w:hint="eastAsia" w:ascii="宋体" w:cs="宋体"/>
                <w:color w:val="auto"/>
                <w:sz w:val="21"/>
                <w:szCs w:val="21"/>
                <w:highlight w:val="none"/>
              </w:rPr>
              <w:t>（1）仅提交备份投标文件的；</w:t>
            </w:r>
          </w:p>
          <w:p>
            <w:pPr>
              <w:snapToGrid w:val="0"/>
              <w:spacing w:line="340" w:lineRule="exact"/>
              <w:rPr>
                <w:rFonts w:ascii="宋体" w:cs="宋体"/>
                <w:color w:val="auto"/>
                <w:sz w:val="21"/>
                <w:szCs w:val="21"/>
                <w:highlight w:val="none"/>
              </w:rPr>
            </w:pPr>
            <w:r>
              <w:rPr>
                <w:rFonts w:hint="eastAsia" w:ascii="宋体" w:cs="宋体"/>
                <w:color w:val="auto"/>
                <w:sz w:val="21"/>
                <w:szCs w:val="21"/>
                <w:highlight w:val="none"/>
              </w:rPr>
              <w:t xml:space="preserve">（2）加密文件解密异常，且提交备份投标文件无效的； </w:t>
            </w:r>
          </w:p>
          <w:p>
            <w:pPr>
              <w:snapToGrid w:val="0"/>
              <w:spacing w:line="340" w:lineRule="exact"/>
              <w:rPr>
                <w:rFonts w:ascii="宋体" w:cs="宋体"/>
                <w:color w:val="auto"/>
                <w:sz w:val="21"/>
                <w:szCs w:val="21"/>
                <w:highlight w:val="none"/>
              </w:rPr>
            </w:pPr>
            <w:r>
              <w:rPr>
                <w:rFonts w:hint="eastAsia" w:ascii="宋体" w:cs="宋体"/>
                <w:color w:val="auto"/>
                <w:sz w:val="21"/>
                <w:szCs w:val="21"/>
                <w:highlight w:val="none"/>
              </w:rPr>
              <w:t>（3）加密文件解密异常，且提交的备份投标文件不明确，存在一个或一个以上备选（替代）备份投标文件。</w:t>
            </w:r>
          </w:p>
          <w:p>
            <w:pPr>
              <w:snapToGrid w:val="0"/>
              <w:spacing w:line="340" w:lineRule="exact"/>
              <w:rPr>
                <w:rFonts w:ascii="宋体" w:cs="宋体"/>
                <w:color w:val="auto"/>
                <w:sz w:val="21"/>
                <w:szCs w:val="21"/>
                <w:highlight w:val="none"/>
              </w:rPr>
            </w:pPr>
            <w:r>
              <w:rPr>
                <w:rFonts w:hint="eastAsia" w:ascii="宋体" w:cs="宋体"/>
                <w:color w:val="auto"/>
                <w:sz w:val="21"/>
                <w:szCs w:val="21"/>
                <w:highlight w:val="none"/>
              </w:rPr>
              <w:t xml:space="preserve">2、投标人递交备份投标文件时，如出现下列情况之一的，将被拒收： </w:t>
            </w:r>
          </w:p>
          <w:p>
            <w:pPr>
              <w:snapToGrid w:val="0"/>
              <w:spacing w:line="340" w:lineRule="exact"/>
              <w:rPr>
                <w:rFonts w:ascii="宋体" w:cs="宋体"/>
                <w:color w:val="auto"/>
                <w:sz w:val="21"/>
                <w:szCs w:val="21"/>
                <w:highlight w:val="none"/>
              </w:rPr>
            </w:pPr>
            <w:r>
              <w:rPr>
                <w:rFonts w:hint="eastAsia" w:ascii="宋体" w:cs="宋体"/>
                <w:color w:val="auto"/>
                <w:sz w:val="21"/>
                <w:szCs w:val="21"/>
                <w:highlight w:val="none"/>
              </w:rPr>
              <w:t xml:space="preserve">（1）未按规定密封或标记的投标文件； </w:t>
            </w:r>
          </w:p>
          <w:p>
            <w:pPr>
              <w:snapToGrid w:val="0"/>
              <w:spacing w:line="340" w:lineRule="exact"/>
              <w:rPr>
                <w:rFonts w:ascii="宋体" w:cs="宋体"/>
                <w:color w:val="auto"/>
                <w:sz w:val="21"/>
                <w:szCs w:val="21"/>
                <w:highlight w:val="none"/>
              </w:rPr>
            </w:pPr>
            <w:r>
              <w:rPr>
                <w:rFonts w:hint="eastAsia" w:ascii="宋体" w:cs="宋体"/>
                <w:color w:val="auto"/>
                <w:sz w:val="21"/>
                <w:szCs w:val="21"/>
                <w:highlight w:val="none"/>
              </w:rPr>
              <w:t xml:space="preserve">（2）由于包装不妥，在送交途中严重损坏的； </w:t>
            </w:r>
          </w:p>
          <w:p>
            <w:pPr>
              <w:snapToGrid w:val="0"/>
              <w:spacing w:line="340" w:lineRule="exact"/>
              <w:rPr>
                <w:rFonts w:ascii="宋体" w:cs="宋体"/>
                <w:color w:val="auto"/>
                <w:kern w:val="0"/>
                <w:sz w:val="21"/>
                <w:szCs w:val="21"/>
                <w:highlight w:val="none"/>
              </w:rPr>
            </w:pPr>
            <w:r>
              <w:rPr>
                <w:rFonts w:hint="eastAsia" w:ascii="宋体" w:cs="宋体"/>
                <w:color w:val="auto"/>
                <w:sz w:val="21"/>
                <w:szCs w:val="21"/>
                <w:highlight w:val="none"/>
              </w:rPr>
              <w:t>（3）超过规定时间送达的。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0" w:hRule="atLeast"/>
          <w:jc w:val="center"/>
        </w:trPr>
        <w:tc>
          <w:tcPr>
            <w:tcW w:w="829" w:type="dxa"/>
            <w:tcBorders>
              <w:top w:val="single" w:color="auto" w:sz="4" w:space="0"/>
              <w:left w:val="single" w:color="auto" w:sz="4" w:space="0"/>
              <w:bottom w:val="single" w:color="auto" w:sz="4" w:space="0"/>
              <w:right w:val="single" w:color="auto" w:sz="4" w:space="0"/>
            </w:tcBorders>
            <w:noWrap/>
            <w:vAlign w:val="center"/>
          </w:tcPr>
          <w:p>
            <w:pPr>
              <w:autoSpaceDE w:val="0"/>
              <w:autoSpaceDN w:val="0"/>
              <w:snapToGrid w:val="0"/>
              <w:spacing w:line="300" w:lineRule="exact"/>
              <w:ind w:firstLine="210" w:firstLineChars="100"/>
              <w:textAlignment w:val="bottom"/>
              <w:rPr>
                <w:rFonts w:ascii="宋体" w:cs="宋体"/>
                <w:color w:val="auto"/>
                <w:sz w:val="21"/>
                <w:szCs w:val="21"/>
                <w:highlight w:val="none"/>
              </w:rPr>
            </w:pPr>
            <w:r>
              <w:rPr>
                <w:rFonts w:hint="eastAsia" w:ascii="宋体" w:cs="宋体"/>
                <w:color w:val="auto"/>
                <w:sz w:val="21"/>
                <w:szCs w:val="21"/>
                <w:highlight w:val="none"/>
              </w:rPr>
              <w:t>12</w:t>
            </w:r>
          </w:p>
        </w:tc>
        <w:tc>
          <w:tcPr>
            <w:tcW w:w="8415" w:type="dxa"/>
            <w:gridSpan w:val="2"/>
            <w:tcBorders>
              <w:top w:val="single" w:color="auto" w:sz="4" w:space="0"/>
              <w:left w:val="single" w:color="auto" w:sz="4" w:space="0"/>
              <w:bottom w:val="single" w:color="auto" w:sz="4" w:space="0"/>
              <w:right w:val="single" w:color="auto" w:sz="4" w:space="0"/>
            </w:tcBorders>
            <w:noWrap/>
            <w:vAlign w:val="center"/>
          </w:tcPr>
          <w:p>
            <w:pPr>
              <w:snapToGrid w:val="0"/>
              <w:spacing w:line="340" w:lineRule="exact"/>
              <w:ind w:firstLine="420" w:firstLineChars="200"/>
              <w:rPr>
                <w:rFonts w:ascii="宋体" w:cs="宋体"/>
                <w:color w:val="auto"/>
                <w:sz w:val="21"/>
                <w:szCs w:val="21"/>
                <w:highlight w:val="none"/>
              </w:rPr>
            </w:pPr>
            <w:r>
              <w:rPr>
                <w:rFonts w:hint="eastAsia" w:ascii="宋体" w:cs="宋体"/>
                <w:color w:val="auto"/>
                <w:sz w:val="21"/>
                <w:szCs w:val="21"/>
                <w:highlight w:val="none"/>
              </w:rPr>
              <w:t>1、投标人应当</w:t>
            </w:r>
            <w:r>
              <w:rPr>
                <w:rFonts w:hint="eastAsia" w:ascii="宋体" w:cs="宋体"/>
                <w:color w:val="auto"/>
                <w:sz w:val="21"/>
                <w:szCs w:val="21"/>
                <w:highlight w:val="none"/>
                <w:lang w:eastAsia="zh-CN"/>
              </w:rPr>
              <w:t>在</w:t>
            </w:r>
            <w:r>
              <w:rPr>
                <w:rFonts w:hint="eastAsia" w:ascii="宋体" w:cs="宋体"/>
                <w:color w:val="auto"/>
                <w:sz w:val="21"/>
                <w:szCs w:val="21"/>
                <w:highlight w:val="none"/>
                <w:lang w:eastAsia="zh-CN"/>
              </w:rPr>
              <w:t>2024年</w:t>
            </w:r>
            <w:r>
              <w:rPr>
                <w:rFonts w:hint="eastAsia" w:ascii="宋体" w:cs="宋体"/>
                <w:color w:val="auto"/>
                <w:sz w:val="21"/>
                <w:szCs w:val="21"/>
                <w:highlight w:val="none"/>
                <w:lang w:val="en-US" w:eastAsia="zh-CN"/>
              </w:rPr>
              <w:t>11</w:t>
            </w:r>
            <w:r>
              <w:rPr>
                <w:rFonts w:hint="eastAsia" w:ascii="宋体" w:cs="宋体"/>
                <w:color w:val="auto"/>
                <w:sz w:val="21"/>
                <w:szCs w:val="21"/>
                <w:highlight w:val="none"/>
                <w:lang w:eastAsia="zh-CN"/>
              </w:rPr>
              <w:t>月</w:t>
            </w:r>
            <w:r>
              <w:rPr>
                <w:rFonts w:hint="eastAsia" w:ascii="宋体" w:cs="宋体"/>
                <w:color w:val="auto"/>
                <w:sz w:val="21"/>
                <w:szCs w:val="21"/>
                <w:highlight w:val="none"/>
                <w:lang w:val="en-US" w:eastAsia="zh-CN"/>
              </w:rPr>
              <w:t>27</w:t>
            </w:r>
            <w:r>
              <w:rPr>
                <w:rFonts w:hint="eastAsia" w:ascii="宋体" w:cs="宋体"/>
                <w:color w:val="auto"/>
                <w:sz w:val="21"/>
                <w:szCs w:val="21"/>
                <w:highlight w:val="none"/>
                <w:lang w:eastAsia="zh-CN"/>
              </w:rPr>
              <w:t>日09:30</w:t>
            </w:r>
            <w:r>
              <w:rPr>
                <w:rFonts w:hint="eastAsia" w:ascii="宋体" w:cs="宋体"/>
                <w:color w:val="auto"/>
                <w:sz w:val="21"/>
                <w:szCs w:val="21"/>
                <w:highlight w:val="none"/>
              </w:rPr>
              <w:t>前在“政采云”（电子交易平台）上自行上传加密的电子投标文件。投标文件递交截止时间后递交的电子投标文件，将被政采云平台拒收。</w:t>
            </w:r>
          </w:p>
          <w:p>
            <w:pPr>
              <w:snapToGrid w:val="0"/>
              <w:spacing w:line="340" w:lineRule="exact"/>
              <w:ind w:firstLine="420" w:firstLineChars="200"/>
              <w:rPr>
                <w:rFonts w:ascii="宋体" w:cs="宋体"/>
                <w:color w:val="auto"/>
                <w:sz w:val="21"/>
                <w:szCs w:val="21"/>
                <w:highlight w:val="none"/>
              </w:rPr>
            </w:pPr>
            <w:r>
              <w:rPr>
                <w:rFonts w:hint="eastAsia" w:ascii="宋体" w:cs="宋体"/>
                <w:color w:val="auto"/>
                <w:sz w:val="21"/>
                <w:szCs w:val="21"/>
                <w:highlight w:val="none"/>
              </w:rPr>
              <w:t>2、电子备份投标文件的递交时间：投标人应当</w:t>
            </w:r>
            <w:r>
              <w:rPr>
                <w:rFonts w:hint="eastAsia" w:ascii="宋体" w:cs="宋体"/>
                <w:color w:val="auto"/>
                <w:sz w:val="21"/>
                <w:szCs w:val="21"/>
                <w:highlight w:val="none"/>
                <w:lang w:eastAsia="zh-CN"/>
              </w:rPr>
              <w:t>在2024年</w:t>
            </w:r>
            <w:r>
              <w:rPr>
                <w:rFonts w:hint="eastAsia" w:ascii="宋体" w:cs="宋体"/>
                <w:color w:val="auto"/>
                <w:sz w:val="21"/>
                <w:szCs w:val="21"/>
                <w:highlight w:val="none"/>
                <w:lang w:val="en-US" w:eastAsia="zh-CN"/>
              </w:rPr>
              <w:t>11</w:t>
            </w:r>
            <w:r>
              <w:rPr>
                <w:rFonts w:hint="eastAsia" w:ascii="宋体" w:cs="宋体"/>
                <w:color w:val="auto"/>
                <w:sz w:val="21"/>
                <w:szCs w:val="21"/>
                <w:highlight w:val="none"/>
                <w:lang w:eastAsia="zh-CN"/>
              </w:rPr>
              <w:t>月</w:t>
            </w:r>
            <w:r>
              <w:rPr>
                <w:rFonts w:hint="eastAsia" w:ascii="宋体" w:cs="宋体"/>
                <w:color w:val="auto"/>
                <w:sz w:val="21"/>
                <w:szCs w:val="21"/>
                <w:highlight w:val="none"/>
                <w:lang w:val="en-US" w:eastAsia="zh-CN"/>
              </w:rPr>
              <w:t>26</w:t>
            </w:r>
            <w:r>
              <w:rPr>
                <w:rFonts w:hint="eastAsia" w:ascii="宋体" w:cs="宋体"/>
                <w:color w:val="auto"/>
                <w:sz w:val="21"/>
                <w:szCs w:val="21"/>
                <w:highlight w:val="none"/>
                <w:lang w:eastAsia="zh-CN"/>
              </w:rPr>
              <w:t>日17:30</w:t>
            </w:r>
            <w:r>
              <w:rPr>
                <w:rFonts w:hint="eastAsia" w:ascii="宋体" w:cs="宋体"/>
                <w:color w:val="auto"/>
                <w:sz w:val="21"/>
                <w:szCs w:val="21"/>
                <w:highlight w:val="none"/>
              </w:rPr>
              <w:t>前，以邮寄形式或直接送达方式送至浙江中兰工程项目管理有限公司（兰溪市振兴路508号总部经济大楼A座8楼），逾期未递交的视为自动放弃。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0" w:hRule="atLeast"/>
          <w:jc w:val="center"/>
        </w:trPr>
        <w:tc>
          <w:tcPr>
            <w:tcW w:w="829" w:type="dxa"/>
            <w:tcBorders>
              <w:top w:val="single" w:color="auto" w:sz="4" w:space="0"/>
              <w:left w:val="single" w:color="auto" w:sz="4" w:space="0"/>
              <w:bottom w:val="single" w:color="auto" w:sz="4" w:space="0"/>
              <w:right w:val="single" w:color="auto" w:sz="4" w:space="0"/>
            </w:tcBorders>
            <w:noWrap/>
            <w:vAlign w:val="center"/>
          </w:tcPr>
          <w:p>
            <w:pPr>
              <w:autoSpaceDE w:val="0"/>
              <w:autoSpaceDN w:val="0"/>
              <w:snapToGrid w:val="0"/>
              <w:spacing w:line="300" w:lineRule="exact"/>
              <w:ind w:firstLine="210" w:firstLineChars="100"/>
              <w:textAlignment w:val="bottom"/>
              <w:rPr>
                <w:rFonts w:ascii="宋体" w:cs="宋体"/>
                <w:color w:val="auto"/>
                <w:sz w:val="21"/>
                <w:szCs w:val="21"/>
                <w:highlight w:val="none"/>
              </w:rPr>
            </w:pPr>
            <w:r>
              <w:rPr>
                <w:rFonts w:hint="eastAsia" w:ascii="宋体" w:cs="宋体"/>
                <w:color w:val="auto"/>
                <w:sz w:val="21"/>
                <w:szCs w:val="21"/>
                <w:highlight w:val="none"/>
              </w:rPr>
              <w:t>13</w:t>
            </w:r>
          </w:p>
        </w:tc>
        <w:tc>
          <w:tcPr>
            <w:tcW w:w="8415" w:type="dxa"/>
            <w:gridSpan w:val="2"/>
            <w:tcBorders>
              <w:top w:val="single" w:color="auto" w:sz="4" w:space="0"/>
              <w:left w:val="single" w:color="auto" w:sz="4" w:space="0"/>
              <w:bottom w:val="single" w:color="auto" w:sz="4" w:space="0"/>
              <w:right w:val="single" w:color="auto" w:sz="4" w:space="0"/>
            </w:tcBorders>
            <w:noWrap/>
            <w:vAlign w:val="center"/>
          </w:tcPr>
          <w:p>
            <w:pPr>
              <w:snapToGrid w:val="0"/>
              <w:spacing w:line="380" w:lineRule="exact"/>
              <w:rPr>
                <w:rFonts w:ascii="宋体" w:cs="宋体"/>
                <w:color w:val="auto"/>
                <w:sz w:val="21"/>
                <w:szCs w:val="21"/>
                <w:highlight w:val="none"/>
              </w:rPr>
            </w:pPr>
            <w:r>
              <w:rPr>
                <w:rFonts w:hint="eastAsia" w:ascii="宋体" w:cs="宋体"/>
                <w:color w:val="auto"/>
                <w:sz w:val="21"/>
                <w:szCs w:val="21"/>
                <w:highlight w:val="none"/>
              </w:rPr>
              <w:t>开标时间及地点：</w:t>
            </w:r>
            <w:r>
              <w:rPr>
                <w:rFonts w:hint="eastAsia" w:ascii="宋体" w:cs="宋体"/>
                <w:color w:val="auto"/>
                <w:sz w:val="21"/>
                <w:szCs w:val="21"/>
                <w:highlight w:val="none"/>
                <w:lang w:eastAsia="zh-CN"/>
              </w:rPr>
              <w:t>2024年</w:t>
            </w:r>
            <w:r>
              <w:rPr>
                <w:rFonts w:hint="eastAsia" w:ascii="宋体" w:cs="宋体"/>
                <w:color w:val="auto"/>
                <w:sz w:val="21"/>
                <w:szCs w:val="21"/>
                <w:highlight w:val="none"/>
                <w:lang w:val="en-US" w:eastAsia="zh-CN"/>
              </w:rPr>
              <w:t>11</w:t>
            </w:r>
            <w:r>
              <w:rPr>
                <w:rFonts w:hint="eastAsia" w:ascii="宋体" w:cs="宋体"/>
                <w:color w:val="auto"/>
                <w:sz w:val="21"/>
                <w:szCs w:val="21"/>
                <w:highlight w:val="none"/>
                <w:lang w:eastAsia="zh-CN"/>
              </w:rPr>
              <w:t>月</w:t>
            </w:r>
            <w:r>
              <w:rPr>
                <w:rFonts w:hint="eastAsia" w:ascii="宋体" w:cs="宋体"/>
                <w:color w:val="auto"/>
                <w:sz w:val="21"/>
                <w:szCs w:val="21"/>
                <w:highlight w:val="none"/>
                <w:lang w:val="en-US" w:eastAsia="zh-CN"/>
              </w:rPr>
              <w:t>27</w:t>
            </w:r>
            <w:r>
              <w:rPr>
                <w:rFonts w:hint="eastAsia" w:ascii="宋体" w:cs="宋体"/>
                <w:color w:val="auto"/>
                <w:sz w:val="21"/>
                <w:szCs w:val="21"/>
                <w:highlight w:val="none"/>
                <w:lang w:eastAsia="zh-CN"/>
              </w:rPr>
              <w:t>日09:30</w:t>
            </w:r>
            <w:r>
              <w:rPr>
                <w:rFonts w:hint="eastAsia" w:ascii="宋体" w:cs="宋体"/>
                <w:color w:val="auto"/>
                <w:sz w:val="21"/>
                <w:szCs w:val="21"/>
                <w:highlight w:val="none"/>
              </w:rPr>
              <w:t>时整在</w:t>
            </w:r>
            <w:r>
              <w:rPr>
                <w:rFonts w:hint="eastAsia" w:cs="宋体"/>
                <w:color w:val="auto"/>
                <w:sz w:val="21"/>
                <w:szCs w:val="21"/>
                <w:highlight w:val="none"/>
                <w:lang w:eastAsia="zh-CN"/>
              </w:rPr>
              <w:t>兰溪市振兴路500号企业服务中心裙房（政务服务中心）4楼开标室3</w:t>
            </w:r>
            <w:r>
              <w:rPr>
                <w:rFonts w:hint="eastAsia" w:ascii="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15" w:hRule="atLeast"/>
          <w:jc w:val="center"/>
        </w:trPr>
        <w:tc>
          <w:tcPr>
            <w:tcW w:w="829" w:type="dxa"/>
            <w:tcBorders>
              <w:top w:val="single" w:color="auto" w:sz="4" w:space="0"/>
              <w:left w:val="single" w:color="auto" w:sz="4" w:space="0"/>
              <w:bottom w:val="single" w:color="auto" w:sz="4" w:space="0"/>
              <w:right w:val="single" w:color="auto" w:sz="4" w:space="0"/>
            </w:tcBorders>
            <w:noWrap/>
            <w:vAlign w:val="center"/>
          </w:tcPr>
          <w:p>
            <w:pPr>
              <w:autoSpaceDE w:val="0"/>
              <w:autoSpaceDN w:val="0"/>
              <w:snapToGrid w:val="0"/>
              <w:spacing w:line="300" w:lineRule="exact"/>
              <w:jc w:val="center"/>
              <w:textAlignment w:val="bottom"/>
              <w:rPr>
                <w:rFonts w:ascii="宋体" w:cs="宋体"/>
                <w:color w:val="auto"/>
                <w:sz w:val="21"/>
                <w:szCs w:val="21"/>
                <w:highlight w:val="none"/>
              </w:rPr>
            </w:pPr>
            <w:r>
              <w:rPr>
                <w:rFonts w:hint="eastAsia" w:ascii="宋体" w:cs="宋体"/>
                <w:color w:val="auto"/>
                <w:sz w:val="21"/>
                <w:szCs w:val="21"/>
                <w:highlight w:val="none"/>
              </w:rPr>
              <w:t>14</w:t>
            </w:r>
          </w:p>
        </w:tc>
        <w:tc>
          <w:tcPr>
            <w:tcW w:w="8415" w:type="dxa"/>
            <w:gridSpan w:val="2"/>
            <w:tcBorders>
              <w:top w:val="single" w:color="auto" w:sz="4" w:space="0"/>
              <w:left w:val="single" w:color="auto" w:sz="4" w:space="0"/>
              <w:bottom w:val="single" w:color="auto" w:sz="4" w:space="0"/>
              <w:right w:val="single" w:color="auto" w:sz="4" w:space="0"/>
            </w:tcBorders>
            <w:noWrap/>
            <w:vAlign w:val="center"/>
          </w:tcPr>
          <w:p>
            <w:pPr>
              <w:snapToGrid w:val="0"/>
              <w:spacing w:line="380" w:lineRule="exact"/>
              <w:rPr>
                <w:rFonts w:ascii="宋体" w:cs="宋体"/>
                <w:color w:val="auto"/>
                <w:sz w:val="21"/>
                <w:szCs w:val="21"/>
                <w:highlight w:val="none"/>
              </w:rPr>
            </w:pPr>
            <w:r>
              <w:rPr>
                <w:rFonts w:hint="eastAsia" w:ascii="宋体" w:cs="宋体"/>
                <w:color w:val="auto"/>
                <w:sz w:val="21"/>
                <w:szCs w:val="21"/>
                <w:highlight w:val="none"/>
              </w:rPr>
              <w:t>中标人应在中标公告发布之日起3日内，向浙江中兰工程项目管理有限公司提供纸质投标文件 （一正三副）邮寄到浙江中兰工程项目管理有限公司，纸质版投标文件由资格证明文件、技术商务标、价格标三部分组成，并且分别胶装成册。纸质投标文件必须跟上传到政采云系统的电子加密文件一致，并且均需加盖单位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85" w:hRule="atLeast"/>
          <w:jc w:val="center"/>
        </w:trPr>
        <w:tc>
          <w:tcPr>
            <w:tcW w:w="829"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cs="宋体"/>
                <w:color w:val="auto"/>
                <w:sz w:val="21"/>
                <w:szCs w:val="21"/>
                <w:highlight w:val="none"/>
              </w:rPr>
            </w:pPr>
            <w:r>
              <w:rPr>
                <w:rFonts w:hint="eastAsia" w:ascii="宋体" w:cs="宋体"/>
                <w:color w:val="auto"/>
                <w:sz w:val="21"/>
                <w:szCs w:val="21"/>
                <w:highlight w:val="none"/>
              </w:rPr>
              <w:t>15</w:t>
            </w:r>
          </w:p>
        </w:tc>
        <w:tc>
          <w:tcPr>
            <w:tcW w:w="8415" w:type="dxa"/>
            <w:gridSpan w:val="2"/>
            <w:tcBorders>
              <w:top w:val="single" w:color="auto" w:sz="4" w:space="0"/>
              <w:left w:val="single" w:color="auto" w:sz="4" w:space="0"/>
              <w:bottom w:val="single" w:color="auto" w:sz="4" w:space="0"/>
              <w:right w:val="single" w:color="auto" w:sz="4" w:space="0"/>
            </w:tcBorders>
            <w:noWrap/>
            <w:vAlign w:val="center"/>
          </w:tcPr>
          <w:p>
            <w:pPr>
              <w:snapToGrid w:val="0"/>
              <w:spacing w:line="380" w:lineRule="exact"/>
              <w:rPr>
                <w:rFonts w:ascii="宋体" w:cs="宋体"/>
                <w:color w:val="auto"/>
                <w:sz w:val="21"/>
                <w:szCs w:val="21"/>
                <w:highlight w:val="none"/>
              </w:rPr>
            </w:pPr>
            <w:r>
              <w:rPr>
                <w:rFonts w:hint="eastAsia" w:ascii="宋体" w:cs="宋体"/>
                <w:color w:val="auto"/>
                <w:sz w:val="21"/>
                <w:szCs w:val="21"/>
                <w:highlight w:val="none"/>
              </w:rPr>
              <w:t>评标办法及评分标准：综合评分法。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99" w:hRule="atLeast"/>
          <w:jc w:val="center"/>
        </w:trPr>
        <w:tc>
          <w:tcPr>
            <w:tcW w:w="829"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cs="宋体"/>
                <w:color w:val="auto"/>
                <w:sz w:val="21"/>
                <w:szCs w:val="21"/>
                <w:highlight w:val="none"/>
              </w:rPr>
            </w:pPr>
            <w:r>
              <w:rPr>
                <w:rFonts w:hint="eastAsia" w:ascii="宋体" w:cs="宋体"/>
                <w:color w:val="auto"/>
                <w:sz w:val="21"/>
                <w:szCs w:val="21"/>
                <w:highlight w:val="none"/>
              </w:rPr>
              <w:t>16</w:t>
            </w:r>
          </w:p>
        </w:tc>
        <w:tc>
          <w:tcPr>
            <w:tcW w:w="8415" w:type="dxa"/>
            <w:gridSpan w:val="2"/>
            <w:tcBorders>
              <w:top w:val="single" w:color="auto" w:sz="4" w:space="0"/>
              <w:left w:val="single" w:color="auto" w:sz="4" w:space="0"/>
              <w:bottom w:val="single" w:color="auto" w:sz="4" w:space="0"/>
              <w:right w:val="single" w:color="auto" w:sz="4" w:space="0"/>
            </w:tcBorders>
            <w:noWrap/>
            <w:vAlign w:val="center"/>
          </w:tcPr>
          <w:p>
            <w:pPr>
              <w:snapToGrid w:val="0"/>
              <w:spacing w:line="340" w:lineRule="exact"/>
              <w:rPr>
                <w:rFonts w:ascii="宋体" w:cs="宋体"/>
                <w:color w:val="auto"/>
                <w:sz w:val="21"/>
                <w:szCs w:val="21"/>
                <w:highlight w:val="none"/>
              </w:rPr>
            </w:pPr>
            <w:r>
              <w:rPr>
                <w:rFonts w:hint="eastAsia" w:ascii="宋体" w:cs="宋体"/>
                <w:color w:val="auto"/>
                <w:sz w:val="21"/>
                <w:szCs w:val="21"/>
                <w:highlight w:val="none"/>
              </w:rPr>
              <w:t>评标结果公告及中标通知书：中标人确定之日起2个工作日内，评标结果公告于浙江政府采购网（http://www.zjzfcg.gov.cn）、兰溪市公共资源交易专栏网站（网址：http://www.lanxi.gov.cn/col/col1229196152/index.html, 或者也可以通过 http://www.lanxi.gov.cn兰溪市人民政府网站首页‘公共资源交易’链接进入访问），中标人在公告后2个工作日内向招标人领取中标通知书。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40" w:hRule="atLeast"/>
          <w:jc w:val="center"/>
        </w:trPr>
        <w:tc>
          <w:tcPr>
            <w:tcW w:w="829"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cs="宋体"/>
                <w:color w:val="auto"/>
                <w:sz w:val="21"/>
                <w:szCs w:val="21"/>
                <w:highlight w:val="none"/>
              </w:rPr>
            </w:pPr>
            <w:r>
              <w:rPr>
                <w:rFonts w:hint="eastAsia" w:ascii="宋体" w:cs="宋体"/>
                <w:color w:val="auto"/>
                <w:sz w:val="21"/>
                <w:szCs w:val="21"/>
                <w:highlight w:val="none"/>
              </w:rPr>
              <w:t>17</w:t>
            </w:r>
          </w:p>
        </w:tc>
        <w:tc>
          <w:tcPr>
            <w:tcW w:w="8415" w:type="dxa"/>
            <w:gridSpan w:val="2"/>
            <w:tcBorders>
              <w:top w:val="single" w:color="auto" w:sz="4" w:space="0"/>
              <w:left w:val="single" w:color="auto" w:sz="4" w:space="0"/>
              <w:bottom w:val="single" w:color="auto" w:sz="4" w:space="0"/>
              <w:right w:val="single" w:color="auto" w:sz="4" w:space="0"/>
            </w:tcBorders>
            <w:noWrap/>
            <w:vAlign w:val="center"/>
          </w:tcPr>
          <w:p>
            <w:pPr>
              <w:snapToGrid w:val="0"/>
              <w:spacing w:line="380" w:lineRule="exact"/>
              <w:rPr>
                <w:rFonts w:ascii="宋体" w:cs="宋体"/>
                <w:color w:val="auto"/>
                <w:sz w:val="21"/>
                <w:szCs w:val="21"/>
                <w:highlight w:val="none"/>
              </w:rPr>
            </w:pPr>
            <w:r>
              <w:rPr>
                <w:rFonts w:hint="eastAsia" w:ascii="宋体" w:cs="宋体"/>
                <w:color w:val="auto"/>
                <w:sz w:val="21"/>
                <w:szCs w:val="21"/>
                <w:highlight w:val="none"/>
              </w:rPr>
              <w:t>签订合同：中标通知书发出后30天内。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40" w:hRule="atLeast"/>
          <w:jc w:val="center"/>
        </w:trPr>
        <w:tc>
          <w:tcPr>
            <w:tcW w:w="829"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cs="宋体"/>
                <w:color w:val="auto"/>
                <w:sz w:val="21"/>
                <w:szCs w:val="21"/>
                <w:highlight w:val="none"/>
              </w:rPr>
            </w:pPr>
            <w:r>
              <w:rPr>
                <w:rFonts w:hint="eastAsia" w:ascii="宋体" w:cs="宋体"/>
                <w:color w:val="auto"/>
                <w:sz w:val="21"/>
                <w:szCs w:val="21"/>
                <w:highlight w:val="none"/>
              </w:rPr>
              <w:t>18</w:t>
            </w:r>
          </w:p>
        </w:tc>
        <w:tc>
          <w:tcPr>
            <w:tcW w:w="8415" w:type="dxa"/>
            <w:gridSpan w:val="2"/>
            <w:tcBorders>
              <w:top w:val="single" w:color="auto" w:sz="4" w:space="0"/>
              <w:left w:val="single" w:color="auto" w:sz="4" w:space="0"/>
              <w:bottom w:val="single" w:color="auto" w:sz="4" w:space="0"/>
              <w:right w:val="single" w:color="auto" w:sz="4" w:space="0"/>
            </w:tcBorders>
            <w:noWrap/>
            <w:vAlign w:val="center"/>
          </w:tcPr>
          <w:p>
            <w:pPr>
              <w:pStyle w:val="36"/>
              <w:keepNext w:val="0"/>
              <w:keepLines w:val="0"/>
              <w:widowControl/>
              <w:suppressLineNumbers w:val="0"/>
              <w:spacing w:before="0" w:beforeAutospacing="0" w:after="0" w:afterAutospacing="0" w:line="460" w:lineRule="exact"/>
              <w:ind w:left="0" w:right="0" w:firstLine="420"/>
              <w:jc w:val="left"/>
              <w:rPr>
                <w:rFonts w:hint="eastAsia" w:ascii="宋体" w:hAnsi="宋体" w:eastAsia="宋体" w:cs="宋体"/>
                <w:color w:val="auto"/>
                <w:sz w:val="21"/>
                <w:szCs w:val="21"/>
                <w:highlight w:val="none"/>
              </w:rPr>
            </w:pPr>
            <w:r>
              <w:rPr>
                <w:rFonts w:hint="eastAsia" w:ascii="宋体" w:hAnsi="宋体" w:eastAsia="宋体" w:cs="宋体"/>
                <w:b w:val="0"/>
                <w:bCs w:val="0"/>
                <w:i w:val="0"/>
                <w:iCs w:val="0"/>
                <w:color w:val="auto"/>
                <w:spacing w:val="0"/>
                <w:w w:val="100"/>
                <w:sz w:val="21"/>
                <w:szCs w:val="21"/>
                <w:highlight w:val="none"/>
                <w:vertAlign w:val="baseline"/>
              </w:rPr>
              <w:t>1、扶持中小企业（监狱企业、残疾人福利性单位）：</w:t>
            </w:r>
          </w:p>
          <w:p>
            <w:pPr>
              <w:pStyle w:val="36"/>
              <w:keepNext w:val="0"/>
              <w:keepLines w:val="0"/>
              <w:widowControl/>
              <w:suppressLineNumbers w:val="0"/>
              <w:spacing w:before="0" w:beforeAutospacing="0" w:after="0" w:afterAutospacing="0" w:line="460" w:lineRule="exact"/>
              <w:ind w:left="0" w:right="0" w:firstLine="420"/>
              <w:jc w:val="left"/>
              <w:rPr>
                <w:rFonts w:hint="eastAsia" w:ascii="宋体" w:hAnsi="宋体" w:eastAsia="宋体" w:cs="宋体"/>
                <w:color w:val="auto"/>
                <w:sz w:val="21"/>
                <w:szCs w:val="21"/>
                <w:highlight w:val="none"/>
              </w:rPr>
            </w:pPr>
            <w:r>
              <w:rPr>
                <w:rFonts w:hint="eastAsia" w:ascii="宋体" w:hAnsi="宋体" w:eastAsia="宋体" w:cs="宋体"/>
                <w:b w:val="0"/>
                <w:bCs w:val="0"/>
                <w:i w:val="0"/>
                <w:iCs w:val="0"/>
                <w:color w:val="auto"/>
                <w:spacing w:val="0"/>
                <w:w w:val="100"/>
                <w:sz w:val="21"/>
                <w:szCs w:val="21"/>
                <w:highlight w:val="none"/>
                <w:vertAlign w:val="baseline"/>
              </w:rPr>
              <w:t>根据《政府采购促进中小企业发展管理办法》（财库〔2020〕46号），本单位在政府采购活动中应当通过加强采购需求管理，落实预留采购份额，价格评审优惠、优先采购等措施，提高中小企业在政府采购中的份额，支持中小企业发展。项目相关情况如下：</w:t>
            </w:r>
          </w:p>
          <w:p>
            <w:pPr>
              <w:widowControl/>
              <w:snapToGrid w:val="0"/>
              <w:spacing w:line="460" w:lineRule="exact"/>
              <w:ind w:firstLine="420" w:firstLineChars="200"/>
              <w:jc w:val="left"/>
              <w:rPr>
                <w:rFonts w:hint="default" w:ascii="宋体" w:hAnsi="宋体" w:eastAsia="宋体" w:cs="宋体"/>
                <w:color w:val="auto"/>
                <w:kern w:val="0"/>
                <w:sz w:val="21"/>
                <w:szCs w:val="21"/>
                <w:highlight w:val="none"/>
                <w:shd w:val="clear" w:color="auto" w:fill="auto"/>
                <w:lang w:val="en-US" w:eastAsia="zh-CN"/>
              </w:rPr>
            </w:pPr>
            <w:r>
              <w:rPr>
                <w:rFonts w:hint="eastAsia" w:ascii="宋体" w:hAnsi="宋体" w:eastAsia="宋体" w:cs="宋体"/>
                <w:color w:val="auto"/>
                <w:kern w:val="0"/>
                <w:sz w:val="21"/>
                <w:szCs w:val="21"/>
                <w:highlight w:val="none"/>
                <w:shd w:val="clear" w:color="auto" w:fill="auto"/>
              </w:rPr>
              <w:t>（1）项目预算：</w:t>
            </w:r>
            <w:r>
              <w:rPr>
                <w:rFonts w:hint="eastAsia" w:ascii="宋体" w:hAnsi="宋体" w:eastAsia="宋体" w:cs="宋体"/>
                <w:color w:val="auto"/>
                <w:kern w:val="0"/>
                <w:sz w:val="21"/>
                <w:szCs w:val="21"/>
                <w:highlight w:val="none"/>
                <w:u w:val="single"/>
                <w:shd w:val="clear" w:color="auto" w:fill="auto"/>
                <w:lang w:val="en-US" w:eastAsia="zh-CN"/>
              </w:rPr>
              <w:t xml:space="preserve"> </w:t>
            </w:r>
            <w:r>
              <w:rPr>
                <w:rFonts w:hint="eastAsia" w:ascii="宋体" w:hAnsi="宋体" w:cs="宋体"/>
                <w:color w:val="auto"/>
                <w:kern w:val="0"/>
                <w:sz w:val="21"/>
                <w:szCs w:val="21"/>
                <w:highlight w:val="none"/>
                <w:u w:val="single"/>
                <w:shd w:val="clear" w:color="auto" w:fill="auto"/>
                <w:lang w:val="en-US" w:eastAsia="zh-CN"/>
              </w:rPr>
              <w:t>115</w:t>
            </w:r>
            <w:r>
              <w:rPr>
                <w:rFonts w:hint="eastAsia" w:ascii="宋体" w:hAnsi="宋体" w:eastAsia="宋体" w:cs="宋体"/>
                <w:color w:val="auto"/>
                <w:kern w:val="0"/>
                <w:sz w:val="21"/>
                <w:szCs w:val="21"/>
                <w:highlight w:val="none"/>
                <w:u w:val="single"/>
                <w:shd w:val="clear" w:color="auto" w:fill="auto"/>
                <w:lang w:val="en-US" w:eastAsia="zh-CN"/>
              </w:rPr>
              <w:t xml:space="preserve"> </w:t>
            </w:r>
            <w:r>
              <w:rPr>
                <w:rFonts w:hint="eastAsia" w:ascii="宋体" w:hAnsi="宋体" w:eastAsia="宋体" w:cs="宋体"/>
                <w:color w:val="auto"/>
                <w:kern w:val="0"/>
                <w:sz w:val="21"/>
                <w:szCs w:val="21"/>
                <w:highlight w:val="none"/>
                <w:shd w:val="clear" w:color="auto" w:fill="auto"/>
                <w:lang w:val="en-US" w:eastAsia="zh-CN"/>
              </w:rPr>
              <w:t>万元</w:t>
            </w:r>
          </w:p>
          <w:p>
            <w:pPr>
              <w:widowControl/>
              <w:snapToGrid w:val="0"/>
              <w:spacing w:line="500" w:lineRule="exact"/>
              <w:ind w:firstLine="420" w:firstLineChars="20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（2）项目属性：</w:t>
            </w:r>
            <w:r>
              <w:rPr>
                <w:rFonts w:hint="eastAsia" w:ascii="宋体" w:hAnsi="宋体" w:cs="宋体"/>
                <w:color w:val="auto"/>
                <w:kern w:val="0"/>
                <w:sz w:val="21"/>
                <w:szCs w:val="21"/>
                <w:highlight w:val="none"/>
                <w:u w:val="single"/>
              </w:rPr>
              <w:t> ①货物类 </w:t>
            </w:r>
            <w:r>
              <w:rPr>
                <w:rFonts w:hint="eastAsia" w:ascii="宋体" w:hAnsi="宋体" w:cs="宋体"/>
                <w:color w:val="auto"/>
                <w:kern w:val="0"/>
                <w:sz w:val="21"/>
                <w:szCs w:val="21"/>
                <w:highlight w:val="none"/>
              </w:rPr>
              <w:t>（①货物类/②服务类/③工程类）</w:t>
            </w:r>
          </w:p>
          <w:p>
            <w:pPr>
              <w:widowControl/>
              <w:snapToGrid w:val="0"/>
              <w:spacing w:line="500" w:lineRule="exact"/>
              <w:ind w:firstLine="420" w:firstLineChars="20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（3）项目对应的中小企业划分标准所属行业：</w:t>
            </w:r>
            <w:r>
              <w:rPr>
                <w:rFonts w:hint="eastAsia" w:ascii="宋体" w:hAnsi="宋体" w:eastAsia="宋体" w:cs="宋体"/>
                <w:b w:val="0"/>
                <w:bCs w:val="0"/>
                <w:i w:val="0"/>
                <w:iCs w:val="0"/>
                <w:color w:val="auto"/>
                <w:spacing w:val="0"/>
                <w:w w:val="100"/>
                <w:sz w:val="21"/>
                <w:szCs w:val="21"/>
                <w:highlight w:val="none"/>
                <w:u w:val="single"/>
                <w:shd w:val="clear" w:color="auto" w:fill="auto"/>
                <w:vertAlign w:val="baseline"/>
              </w:rPr>
              <w:t>工业</w:t>
            </w:r>
            <w:r>
              <w:rPr>
                <w:rFonts w:hint="eastAsia" w:ascii="宋体" w:hAnsi="宋体" w:eastAsia="宋体" w:cs="宋体"/>
                <w:color w:val="auto"/>
                <w:kern w:val="0"/>
                <w:sz w:val="21"/>
                <w:szCs w:val="21"/>
                <w:highlight w:val="none"/>
                <w:u w:val="none"/>
              </w:rPr>
              <w:t>（</w:t>
            </w:r>
            <w:r>
              <w:rPr>
                <w:rFonts w:hint="eastAsia" w:ascii="宋体" w:hAnsi="宋体" w:cs="宋体"/>
                <w:color w:val="auto"/>
                <w:kern w:val="0"/>
                <w:sz w:val="21"/>
                <w:szCs w:val="21"/>
                <w:highlight w:val="none"/>
              </w:rPr>
              <w:t>具体根据《中小企业划型标准规定》执行）</w:t>
            </w:r>
          </w:p>
          <w:p>
            <w:pPr>
              <w:pStyle w:val="3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firstLine="420" w:firstLineChars="200"/>
              <w:jc w:val="left"/>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b w:val="0"/>
                <w:bCs w:val="0"/>
                <w:i w:val="0"/>
                <w:iCs w:val="0"/>
                <w:color w:val="auto"/>
                <w:spacing w:val="0"/>
                <w:w w:val="100"/>
                <w:sz w:val="21"/>
                <w:szCs w:val="21"/>
                <w:highlight w:val="none"/>
                <w:shd w:val="clear" w:color="auto" w:fill="auto"/>
                <w:vertAlign w:val="baseline"/>
              </w:rPr>
              <w:t>（备注：现行中小企业划分标准行业包括农、林、牧、渔业，工业，建筑业，批发业，零售业，交通运输业，仓储业，邮政业，住宿业，餐饮业，信息传输业，软件和信息技术服务业，房地产开发经营，物业管理，租赁和商业服务业和其他未列明行业等十六类）</w:t>
            </w:r>
          </w:p>
          <w:p>
            <w:pPr>
              <w:keepNext w:val="0"/>
              <w:keepLines w:val="0"/>
              <w:pageBreakBefore w:val="0"/>
              <w:kinsoku/>
              <w:wordWrap/>
              <w:overflowPunct/>
              <w:topLinePunct w:val="0"/>
              <w:autoSpaceDE/>
              <w:autoSpaceDN/>
              <w:bidi w:val="0"/>
              <w:adjustRightInd/>
              <w:snapToGrid/>
              <w:spacing w:line="400" w:lineRule="exact"/>
              <w:ind w:left="0" w:leftChars="0" w:right="0" w:firstLine="420" w:firstLineChars="200"/>
              <w:textAlignment w:val="auto"/>
              <w:rPr>
                <w:rFonts w:hint="eastAsia" w:ascii="宋体" w:hAnsi="宋体" w:eastAsia="宋体" w:cs="宋体"/>
                <w:b w:val="0"/>
                <w:bCs w:val="0"/>
                <w:i w:val="0"/>
                <w:iCs w:val="0"/>
                <w:color w:val="auto"/>
                <w:spacing w:val="0"/>
                <w:w w:val="100"/>
                <w:kern w:val="0"/>
                <w:sz w:val="21"/>
                <w:szCs w:val="21"/>
                <w:highlight w:val="none"/>
                <w:shd w:val="clear" w:color="auto" w:fill="auto"/>
                <w:vertAlign w:val="baseline"/>
                <w:lang w:val="en-US" w:eastAsia="zh-CN" w:bidi="ar-SA"/>
              </w:rPr>
            </w:pPr>
            <w:r>
              <w:rPr>
                <w:rFonts w:hint="eastAsia" w:ascii="宋体" w:hAnsi="宋体" w:eastAsia="宋体" w:cs="宋体"/>
                <w:b w:val="0"/>
                <w:bCs w:val="0"/>
                <w:i w:val="0"/>
                <w:iCs w:val="0"/>
                <w:color w:val="auto"/>
                <w:spacing w:val="0"/>
                <w:w w:val="100"/>
                <w:kern w:val="0"/>
                <w:sz w:val="21"/>
                <w:szCs w:val="21"/>
                <w:highlight w:val="none"/>
                <w:shd w:val="clear" w:color="auto" w:fill="auto"/>
                <w:vertAlign w:val="baseline"/>
                <w:lang w:val="en-US" w:eastAsia="zh-CN" w:bidi="ar-SA"/>
              </w:rPr>
              <w:t>（4）本项目</w:t>
            </w:r>
            <w:r>
              <w:rPr>
                <w:rFonts w:hint="eastAsia" w:ascii="宋体" w:hAnsi="宋体" w:eastAsia="宋体" w:cs="宋体"/>
                <w:b w:val="0"/>
                <w:bCs w:val="0"/>
                <w:i w:val="0"/>
                <w:iCs w:val="0"/>
                <w:color w:val="auto"/>
                <w:spacing w:val="0"/>
                <w:w w:val="100"/>
                <w:kern w:val="0"/>
                <w:sz w:val="21"/>
                <w:szCs w:val="21"/>
                <w:highlight w:val="none"/>
                <w:u w:val="single"/>
                <w:shd w:val="clear" w:color="auto" w:fill="auto"/>
                <w:vertAlign w:val="baseline"/>
                <w:lang w:val="en-US" w:eastAsia="zh-CN" w:bidi="ar-SA"/>
              </w:rPr>
              <w:t> </w:t>
            </w:r>
            <w:r>
              <w:rPr>
                <w:rFonts w:hint="eastAsia" w:ascii="宋体" w:hAnsi="宋体" w:cs="宋体"/>
                <w:b w:val="0"/>
                <w:bCs w:val="0"/>
                <w:i w:val="0"/>
                <w:iCs w:val="0"/>
                <w:color w:val="auto"/>
                <w:spacing w:val="0"/>
                <w:w w:val="100"/>
                <w:kern w:val="0"/>
                <w:sz w:val="21"/>
                <w:szCs w:val="21"/>
                <w:highlight w:val="none"/>
                <w:u w:val="single"/>
                <w:shd w:val="clear" w:color="auto" w:fill="auto"/>
                <w:vertAlign w:val="baseline"/>
                <w:lang w:val="en-US" w:eastAsia="zh-CN" w:bidi="ar-SA"/>
              </w:rPr>
              <w:t>否</w:t>
            </w:r>
            <w:r>
              <w:rPr>
                <w:rFonts w:hint="eastAsia" w:ascii="宋体" w:hAnsi="宋体" w:eastAsia="宋体" w:cs="宋体"/>
                <w:b w:val="0"/>
                <w:bCs w:val="0"/>
                <w:i w:val="0"/>
                <w:iCs w:val="0"/>
                <w:color w:val="auto"/>
                <w:spacing w:val="0"/>
                <w:w w:val="100"/>
                <w:kern w:val="0"/>
                <w:sz w:val="21"/>
                <w:szCs w:val="21"/>
                <w:highlight w:val="none"/>
                <w:u w:val="single"/>
                <w:shd w:val="clear" w:color="auto" w:fill="auto"/>
                <w:vertAlign w:val="baseline"/>
                <w:lang w:val="en-US" w:eastAsia="zh-CN" w:bidi="ar-SA"/>
              </w:rPr>
              <w:t xml:space="preserve">  </w:t>
            </w:r>
            <w:r>
              <w:rPr>
                <w:rFonts w:hint="eastAsia" w:ascii="宋体" w:hAnsi="宋体" w:eastAsia="宋体" w:cs="宋体"/>
                <w:b w:val="0"/>
                <w:bCs w:val="0"/>
                <w:i w:val="0"/>
                <w:iCs w:val="0"/>
                <w:color w:val="auto"/>
                <w:spacing w:val="0"/>
                <w:w w:val="100"/>
                <w:kern w:val="0"/>
                <w:sz w:val="21"/>
                <w:szCs w:val="21"/>
                <w:highlight w:val="none"/>
                <w:shd w:val="clear" w:color="auto" w:fill="auto"/>
                <w:vertAlign w:val="baseline"/>
                <w:lang w:val="en-US" w:eastAsia="zh-CN" w:bidi="ar-SA"/>
              </w:rPr>
              <w:t>（是/否）属于预留份额专门面向中小企业采购的项目。</w:t>
            </w:r>
          </w:p>
          <w:p>
            <w:pPr>
              <w:keepNext w:val="0"/>
              <w:keepLines w:val="0"/>
              <w:pageBreakBefore w:val="0"/>
              <w:kinsoku/>
              <w:wordWrap/>
              <w:overflowPunct/>
              <w:topLinePunct w:val="0"/>
              <w:autoSpaceDE/>
              <w:autoSpaceDN/>
              <w:bidi w:val="0"/>
              <w:adjustRightInd/>
              <w:snapToGrid/>
              <w:spacing w:line="400" w:lineRule="exact"/>
              <w:ind w:left="0" w:leftChars="0" w:right="0" w:firstLine="420" w:firstLineChars="200"/>
              <w:textAlignment w:val="auto"/>
              <w:rPr>
                <w:rFonts w:hint="eastAsia" w:ascii="宋体" w:hAnsi="宋体" w:eastAsia="宋体" w:cs="宋体"/>
                <w:b w:val="0"/>
                <w:bCs w:val="0"/>
                <w:i w:val="0"/>
                <w:iCs w:val="0"/>
                <w:color w:val="auto"/>
                <w:spacing w:val="0"/>
                <w:w w:val="100"/>
                <w:kern w:val="0"/>
                <w:sz w:val="21"/>
                <w:szCs w:val="21"/>
                <w:highlight w:val="none"/>
                <w:shd w:val="clear" w:color="auto" w:fill="auto"/>
                <w:vertAlign w:val="baseline"/>
                <w:lang w:val="en-US" w:eastAsia="zh-CN" w:bidi="ar-SA"/>
              </w:rPr>
            </w:pPr>
            <w:r>
              <w:rPr>
                <w:rFonts w:hint="eastAsia" w:ascii="宋体" w:hAnsi="宋体" w:eastAsia="宋体" w:cs="宋体"/>
                <w:b w:val="0"/>
                <w:bCs w:val="0"/>
                <w:i w:val="0"/>
                <w:iCs w:val="0"/>
                <w:color w:val="auto"/>
                <w:spacing w:val="0"/>
                <w:w w:val="100"/>
                <w:kern w:val="0"/>
                <w:sz w:val="21"/>
                <w:szCs w:val="21"/>
                <w:highlight w:val="none"/>
                <w:shd w:val="clear" w:color="auto" w:fill="auto"/>
                <w:vertAlign w:val="baseline"/>
                <w:lang w:val="en-US" w:eastAsia="zh-CN" w:bidi="ar-SA"/>
              </w:rPr>
              <w:t>（5）上述第4项中确定为“</w:t>
            </w:r>
            <w:r>
              <w:rPr>
                <w:rFonts w:hint="eastAsia" w:ascii="宋体" w:hAnsi="宋体" w:cs="宋体"/>
                <w:b w:val="0"/>
                <w:bCs w:val="0"/>
                <w:i w:val="0"/>
                <w:iCs w:val="0"/>
                <w:color w:val="auto"/>
                <w:spacing w:val="0"/>
                <w:w w:val="100"/>
                <w:kern w:val="0"/>
                <w:sz w:val="21"/>
                <w:szCs w:val="21"/>
                <w:highlight w:val="none"/>
                <w:u w:val="none"/>
                <w:shd w:val="clear" w:color="auto" w:fill="auto"/>
                <w:vertAlign w:val="baseline"/>
                <w:lang w:val="en-US" w:eastAsia="zh-CN" w:bidi="ar-SA"/>
              </w:rPr>
              <w:t>是</w:t>
            </w:r>
            <w:r>
              <w:rPr>
                <w:rFonts w:hint="eastAsia" w:ascii="宋体" w:hAnsi="宋体" w:eastAsia="宋体" w:cs="宋体"/>
                <w:b w:val="0"/>
                <w:bCs w:val="0"/>
                <w:i w:val="0"/>
                <w:iCs w:val="0"/>
                <w:color w:val="auto"/>
                <w:spacing w:val="0"/>
                <w:w w:val="100"/>
                <w:kern w:val="0"/>
                <w:sz w:val="21"/>
                <w:szCs w:val="21"/>
                <w:highlight w:val="none"/>
                <w:shd w:val="clear" w:color="auto" w:fill="auto"/>
                <w:vertAlign w:val="baseline"/>
                <w:lang w:val="en-US" w:eastAsia="zh-CN" w:bidi="ar-SA"/>
              </w:rPr>
              <w:t>”的采购项目，预留份额通过</w:t>
            </w:r>
            <w:r>
              <w:rPr>
                <w:rFonts w:hint="eastAsia" w:ascii="宋体" w:hAnsi="宋体" w:cs="宋体"/>
                <w:b w:val="0"/>
                <w:bCs w:val="0"/>
                <w:i w:val="0"/>
                <w:iCs w:val="0"/>
                <w:color w:val="auto"/>
                <w:spacing w:val="0"/>
                <w:w w:val="100"/>
                <w:kern w:val="0"/>
                <w:sz w:val="21"/>
                <w:szCs w:val="21"/>
                <w:highlight w:val="none"/>
                <w:u w:val="single"/>
                <w:shd w:val="clear" w:color="auto" w:fill="auto"/>
                <w:vertAlign w:val="baseline"/>
                <w:lang w:val="en-US" w:eastAsia="zh-CN" w:bidi="ar-SA"/>
              </w:rPr>
              <w:t xml:space="preserve"> / </w:t>
            </w:r>
            <w:r>
              <w:rPr>
                <w:rFonts w:hint="eastAsia" w:ascii="宋体" w:hAnsi="宋体" w:eastAsia="宋体" w:cs="宋体"/>
                <w:b w:val="0"/>
                <w:bCs w:val="0"/>
                <w:i w:val="0"/>
                <w:iCs w:val="0"/>
                <w:color w:val="auto"/>
                <w:spacing w:val="0"/>
                <w:w w:val="100"/>
                <w:kern w:val="0"/>
                <w:sz w:val="21"/>
                <w:szCs w:val="21"/>
                <w:highlight w:val="none"/>
                <w:shd w:val="clear" w:color="auto" w:fill="auto"/>
                <w:vertAlign w:val="baseline"/>
                <w:lang w:val="en-US" w:eastAsia="zh-CN" w:bidi="ar-SA"/>
              </w:rPr>
              <w:t>措施进行：</w:t>
            </w:r>
          </w:p>
          <w:p>
            <w:pPr>
              <w:keepNext w:val="0"/>
              <w:keepLines w:val="0"/>
              <w:pageBreakBefore w:val="0"/>
              <w:kinsoku/>
              <w:wordWrap/>
              <w:overflowPunct/>
              <w:topLinePunct w:val="0"/>
              <w:autoSpaceDE/>
              <w:autoSpaceDN/>
              <w:bidi w:val="0"/>
              <w:adjustRightInd/>
              <w:snapToGrid/>
              <w:spacing w:line="400" w:lineRule="exact"/>
              <w:ind w:left="0" w:leftChars="0" w:right="0" w:firstLine="420" w:firstLineChars="200"/>
              <w:textAlignment w:val="auto"/>
              <w:rPr>
                <w:rFonts w:hint="eastAsia" w:ascii="宋体" w:hAnsi="宋体" w:eastAsia="宋体" w:cs="宋体"/>
                <w:b w:val="0"/>
                <w:bCs w:val="0"/>
                <w:i w:val="0"/>
                <w:iCs w:val="0"/>
                <w:color w:val="auto"/>
                <w:spacing w:val="0"/>
                <w:w w:val="100"/>
                <w:kern w:val="0"/>
                <w:sz w:val="21"/>
                <w:szCs w:val="21"/>
                <w:highlight w:val="none"/>
                <w:shd w:val="clear" w:color="auto" w:fill="auto"/>
                <w:vertAlign w:val="baseline"/>
                <w:lang w:val="en-US" w:eastAsia="zh-CN" w:bidi="ar-SA"/>
              </w:rPr>
            </w:pPr>
            <w:r>
              <w:rPr>
                <w:rFonts w:hint="eastAsia" w:ascii="宋体" w:hAnsi="宋体" w:eastAsia="宋体" w:cs="宋体"/>
                <w:b w:val="0"/>
                <w:bCs w:val="0"/>
                <w:i w:val="0"/>
                <w:iCs w:val="0"/>
                <w:color w:val="auto"/>
                <w:spacing w:val="0"/>
                <w:w w:val="100"/>
                <w:kern w:val="0"/>
                <w:sz w:val="21"/>
                <w:szCs w:val="21"/>
                <w:highlight w:val="none"/>
                <w:shd w:val="clear" w:color="auto" w:fill="auto"/>
                <w:vertAlign w:val="baseline"/>
                <w:lang w:val="en-US" w:eastAsia="zh-CN" w:bidi="ar-SA"/>
              </w:rPr>
              <w:t>①将采购项目整体或者设置采购包专门面向中小企业采购</w:t>
            </w:r>
            <w:r>
              <w:rPr>
                <w:rFonts w:hint="eastAsia" w:ascii="宋体" w:hAnsi="宋体" w:cs="宋体"/>
                <w:b w:val="0"/>
                <w:bCs w:val="0"/>
                <w:i w:val="0"/>
                <w:iCs w:val="0"/>
                <w:color w:val="auto"/>
                <w:spacing w:val="0"/>
                <w:w w:val="100"/>
                <w:kern w:val="0"/>
                <w:sz w:val="21"/>
                <w:szCs w:val="21"/>
                <w:highlight w:val="none"/>
                <w:shd w:val="clear" w:color="auto" w:fill="auto"/>
                <w:vertAlign w:val="baseline"/>
                <w:lang w:val="en-US" w:eastAsia="zh-CN" w:bidi="ar-SA"/>
              </w:rPr>
              <w:t>；</w:t>
            </w:r>
          </w:p>
          <w:p>
            <w:pPr>
              <w:keepNext w:val="0"/>
              <w:keepLines w:val="0"/>
              <w:pageBreakBefore w:val="0"/>
              <w:kinsoku/>
              <w:wordWrap/>
              <w:overflowPunct/>
              <w:topLinePunct w:val="0"/>
              <w:autoSpaceDE/>
              <w:autoSpaceDN/>
              <w:bidi w:val="0"/>
              <w:adjustRightInd/>
              <w:snapToGrid/>
              <w:spacing w:line="400" w:lineRule="exact"/>
              <w:ind w:left="0" w:leftChars="0" w:right="0" w:firstLine="420" w:firstLineChars="200"/>
              <w:textAlignment w:val="auto"/>
              <w:rPr>
                <w:rFonts w:hint="eastAsia" w:ascii="宋体" w:hAnsi="宋体" w:eastAsia="宋体" w:cs="宋体"/>
                <w:b w:val="0"/>
                <w:bCs w:val="0"/>
                <w:i w:val="0"/>
                <w:iCs w:val="0"/>
                <w:color w:val="auto"/>
                <w:spacing w:val="0"/>
                <w:w w:val="100"/>
                <w:kern w:val="0"/>
                <w:sz w:val="21"/>
                <w:szCs w:val="21"/>
                <w:highlight w:val="none"/>
                <w:shd w:val="clear" w:color="auto" w:fill="auto"/>
                <w:vertAlign w:val="baseline"/>
                <w:lang w:val="en-US" w:eastAsia="zh-CN" w:bidi="ar-SA"/>
              </w:rPr>
            </w:pPr>
            <w:r>
              <w:rPr>
                <w:rFonts w:hint="eastAsia" w:ascii="宋体" w:hAnsi="宋体" w:eastAsia="宋体" w:cs="宋体"/>
                <w:b w:val="0"/>
                <w:bCs w:val="0"/>
                <w:i w:val="0"/>
                <w:iCs w:val="0"/>
                <w:color w:val="auto"/>
                <w:spacing w:val="0"/>
                <w:w w:val="100"/>
                <w:kern w:val="0"/>
                <w:sz w:val="21"/>
                <w:szCs w:val="21"/>
                <w:highlight w:val="none"/>
                <w:shd w:val="clear" w:color="auto" w:fill="auto"/>
                <w:vertAlign w:val="baseline"/>
                <w:lang w:val="en-US" w:eastAsia="zh-CN" w:bidi="ar-SA"/>
              </w:rPr>
              <w:t>②要求供应商以联合体形式参加采购活动，且联合体中中小企业承担的部分达到</w:t>
            </w:r>
            <w:r>
              <w:rPr>
                <w:rFonts w:hint="eastAsia" w:ascii="宋体" w:hAnsi="宋体" w:eastAsia="宋体" w:cs="宋体"/>
                <w:b w:val="0"/>
                <w:bCs w:val="0"/>
                <w:i w:val="0"/>
                <w:iCs w:val="0"/>
                <w:color w:val="auto"/>
                <w:spacing w:val="0"/>
                <w:w w:val="100"/>
                <w:kern w:val="0"/>
                <w:sz w:val="21"/>
                <w:szCs w:val="21"/>
                <w:highlight w:val="none"/>
                <w:u w:val="single"/>
                <w:shd w:val="clear" w:color="auto" w:fill="auto"/>
                <w:vertAlign w:val="baseline"/>
                <w:lang w:val="en-US" w:eastAsia="zh-CN" w:bidi="ar-SA"/>
              </w:rPr>
              <w:t xml:space="preserve">/   </w:t>
            </w:r>
            <w:r>
              <w:rPr>
                <w:rFonts w:hint="eastAsia" w:ascii="宋体" w:hAnsi="宋体" w:eastAsia="宋体" w:cs="宋体"/>
                <w:b w:val="0"/>
                <w:bCs w:val="0"/>
                <w:i w:val="0"/>
                <w:iCs w:val="0"/>
                <w:color w:val="auto"/>
                <w:spacing w:val="0"/>
                <w:w w:val="100"/>
                <w:kern w:val="0"/>
                <w:sz w:val="21"/>
                <w:szCs w:val="21"/>
                <w:highlight w:val="none"/>
                <w:shd w:val="clear" w:color="auto" w:fill="auto"/>
                <w:vertAlign w:val="baseline"/>
                <w:lang w:val="en-US" w:eastAsia="zh-CN" w:bidi="ar-SA"/>
              </w:rPr>
              <w:t>（比例）；</w:t>
            </w:r>
          </w:p>
          <w:p>
            <w:pPr>
              <w:keepNext w:val="0"/>
              <w:keepLines w:val="0"/>
              <w:pageBreakBefore w:val="0"/>
              <w:kinsoku/>
              <w:wordWrap/>
              <w:overflowPunct/>
              <w:topLinePunct w:val="0"/>
              <w:autoSpaceDE/>
              <w:autoSpaceDN/>
              <w:bidi w:val="0"/>
              <w:adjustRightInd/>
              <w:snapToGrid/>
              <w:spacing w:line="400" w:lineRule="exact"/>
              <w:ind w:left="0" w:leftChars="0" w:right="0" w:firstLine="420" w:firstLineChars="200"/>
              <w:textAlignment w:val="auto"/>
              <w:rPr>
                <w:rFonts w:hint="eastAsia" w:ascii="宋体" w:hAnsi="宋体" w:eastAsia="宋体" w:cs="宋体"/>
                <w:b w:val="0"/>
                <w:bCs w:val="0"/>
                <w:i w:val="0"/>
                <w:iCs w:val="0"/>
                <w:color w:val="auto"/>
                <w:spacing w:val="0"/>
                <w:w w:val="100"/>
                <w:kern w:val="0"/>
                <w:sz w:val="21"/>
                <w:szCs w:val="21"/>
                <w:highlight w:val="none"/>
                <w:shd w:val="clear" w:color="auto" w:fill="auto"/>
                <w:vertAlign w:val="baseline"/>
                <w:lang w:val="en-US" w:eastAsia="zh-CN" w:bidi="ar-SA"/>
              </w:rPr>
            </w:pPr>
            <w:r>
              <w:rPr>
                <w:rFonts w:hint="eastAsia" w:ascii="宋体" w:hAnsi="宋体" w:eastAsia="宋体" w:cs="宋体"/>
                <w:b w:val="0"/>
                <w:bCs w:val="0"/>
                <w:i w:val="0"/>
                <w:iCs w:val="0"/>
                <w:color w:val="auto"/>
                <w:spacing w:val="0"/>
                <w:w w:val="100"/>
                <w:kern w:val="0"/>
                <w:sz w:val="21"/>
                <w:szCs w:val="21"/>
                <w:highlight w:val="none"/>
                <w:shd w:val="clear" w:color="auto" w:fill="auto"/>
                <w:vertAlign w:val="baseline"/>
                <w:lang w:val="en-US" w:eastAsia="zh-CN" w:bidi="ar-SA"/>
              </w:rPr>
              <w:t>③要求获得采购合同的供应商将采购项目中的</w:t>
            </w:r>
            <w:r>
              <w:rPr>
                <w:rFonts w:hint="eastAsia" w:ascii="宋体" w:hAnsi="宋体" w:eastAsia="宋体" w:cs="宋体"/>
                <w:b w:val="0"/>
                <w:bCs w:val="0"/>
                <w:i w:val="0"/>
                <w:iCs w:val="0"/>
                <w:color w:val="auto"/>
                <w:spacing w:val="0"/>
                <w:w w:val="100"/>
                <w:kern w:val="0"/>
                <w:sz w:val="21"/>
                <w:szCs w:val="21"/>
                <w:highlight w:val="none"/>
                <w:u w:val="single"/>
                <w:shd w:val="clear" w:color="auto" w:fill="auto"/>
                <w:vertAlign w:val="baseline"/>
                <w:lang w:val="en-US" w:eastAsia="zh-CN" w:bidi="ar-SA"/>
              </w:rPr>
              <w:t>/</w:t>
            </w:r>
            <w:r>
              <w:rPr>
                <w:rFonts w:hint="eastAsia" w:ascii="宋体" w:hAnsi="宋体" w:eastAsia="宋体" w:cs="宋体"/>
                <w:b w:val="0"/>
                <w:bCs w:val="0"/>
                <w:i w:val="0"/>
                <w:iCs w:val="0"/>
                <w:color w:val="auto"/>
                <w:spacing w:val="0"/>
                <w:w w:val="100"/>
                <w:kern w:val="0"/>
                <w:sz w:val="21"/>
                <w:szCs w:val="21"/>
                <w:highlight w:val="none"/>
                <w:shd w:val="clear" w:color="auto" w:fill="auto"/>
                <w:vertAlign w:val="baseline"/>
                <w:lang w:val="en-US" w:eastAsia="zh-CN" w:bidi="ar-SA"/>
              </w:rPr>
              <w:t>（比例）分包给一家或者多家中小企业。</w:t>
            </w:r>
          </w:p>
          <w:p>
            <w:pPr>
              <w:keepNext w:val="0"/>
              <w:keepLines w:val="0"/>
              <w:pageBreakBefore w:val="0"/>
              <w:widowControl/>
              <w:suppressLineNumbers w:val="0"/>
              <w:kinsoku/>
              <w:wordWrap/>
              <w:overflowPunct/>
              <w:topLinePunct w:val="0"/>
              <w:bidi w:val="0"/>
              <w:adjustRightInd/>
              <w:snapToGrid w:val="0"/>
              <w:spacing w:beforeAutospacing="0" w:after="0" w:afterAutospacing="0" w:line="400" w:lineRule="exact"/>
              <w:ind w:left="0" w:leftChars="0" w:right="0" w:firstLine="420" w:firstLineChars="200"/>
              <w:jc w:val="left"/>
              <w:rPr>
                <w:rFonts w:hint="eastAsia" w:ascii="宋体" w:hAnsi="宋体" w:cs="宋体"/>
                <w:color w:val="auto"/>
                <w:sz w:val="21"/>
                <w:szCs w:val="21"/>
                <w:highlight w:val="none"/>
                <w:shd w:val="clear" w:color="auto" w:fill="auto"/>
              </w:rPr>
            </w:pPr>
            <w:r>
              <w:rPr>
                <w:rFonts w:hint="eastAsia" w:ascii="宋体" w:hAnsi="宋体" w:cs="宋体"/>
                <w:color w:val="auto"/>
                <w:kern w:val="0"/>
                <w:sz w:val="21"/>
                <w:szCs w:val="21"/>
                <w:highlight w:val="none"/>
                <w:shd w:val="clear" w:color="auto" w:fill="auto"/>
              </w:rPr>
              <w:t>（6）对于经主管预算单位统筹后未预留份额专门面向中小企业采购的采购项目，以及预留份额项目中的非预留部分采购包，对小微企业报价给予</w:t>
            </w:r>
            <w:r>
              <w:rPr>
                <w:rFonts w:hint="eastAsia" w:ascii="宋体" w:hAnsi="宋体" w:cs="宋体"/>
                <w:color w:val="auto"/>
                <w:kern w:val="0"/>
                <w:sz w:val="21"/>
                <w:szCs w:val="21"/>
                <w:highlight w:val="none"/>
                <w:u w:val="single"/>
                <w:shd w:val="clear" w:color="auto" w:fill="auto"/>
              </w:rPr>
              <w:t xml:space="preserve">  </w:t>
            </w:r>
            <w:r>
              <w:rPr>
                <w:rFonts w:hint="eastAsia" w:ascii="宋体" w:hAnsi="宋体" w:cs="宋体"/>
                <w:color w:val="auto"/>
                <w:kern w:val="0"/>
                <w:sz w:val="21"/>
                <w:szCs w:val="21"/>
                <w:highlight w:val="none"/>
                <w:u w:val="single"/>
                <w:shd w:val="clear" w:color="auto" w:fill="auto"/>
                <w:lang w:val="en-US" w:eastAsia="zh-CN"/>
              </w:rPr>
              <w:t>10</w:t>
            </w:r>
            <w:r>
              <w:rPr>
                <w:rFonts w:hint="eastAsia" w:ascii="宋体" w:hAnsi="宋体" w:cs="宋体"/>
                <w:color w:val="auto"/>
                <w:kern w:val="0"/>
                <w:sz w:val="21"/>
                <w:szCs w:val="21"/>
                <w:highlight w:val="none"/>
                <w:u w:val="single"/>
                <w:shd w:val="clear" w:color="auto" w:fill="auto"/>
              </w:rPr>
              <w:t> %</w:t>
            </w:r>
            <w:r>
              <w:rPr>
                <w:rFonts w:hint="eastAsia" w:ascii="宋体" w:hAnsi="宋体" w:cs="宋体"/>
                <w:color w:val="auto"/>
                <w:kern w:val="0"/>
                <w:sz w:val="21"/>
                <w:szCs w:val="21"/>
                <w:highlight w:val="none"/>
                <w:shd w:val="clear" w:color="auto" w:fill="auto"/>
              </w:rPr>
              <w:t xml:space="preserve">的扣除，用扣除后的价格参加评审。 </w:t>
            </w:r>
          </w:p>
          <w:p>
            <w:pPr>
              <w:keepNext w:val="0"/>
              <w:keepLines w:val="0"/>
              <w:pageBreakBefore w:val="0"/>
              <w:widowControl/>
              <w:suppressLineNumbers w:val="0"/>
              <w:kinsoku/>
              <w:wordWrap/>
              <w:overflowPunct/>
              <w:topLinePunct w:val="0"/>
              <w:bidi w:val="0"/>
              <w:adjustRightInd/>
              <w:snapToGrid w:val="0"/>
              <w:spacing w:beforeAutospacing="0" w:after="0" w:afterAutospacing="0" w:line="400" w:lineRule="exact"/>
              <w:ind w:left="0" w:leftChars="0" w:right="0" w:firstLine="420" w:firstLineChars="200"/>
              <w:jc w:val="left"/>
              <w:rPr>
                <w:rFonts w:hint="eastAsia" w:ascii="宋体" w:hAnsi="宋体" w:cs="宋体"/>
                <w:color w:val="auto"/>
                <w:sz w:val="21"/>
                <w:szCs w:val="21"/>
                <w:highlight w:val="none"/>
                <w:shd w:val="clear" w:color="auto" w:fill="auto"/>
              </w:rPr>
            </w:pPr>
            <w:r>
              <w:rPr>
                <w:rFonts w:hint="eastAsia" w:ascii="宋体" w:hAnsi="宋体" w:cs="宋体"/>
                <w:color w:val="auto"/>
                <w:kern w:val="0"/>
                <w:sz w:val="21"/>
                <w:szCs w:val="21"/>
                <w:highlight w:val="none"/>
                <w:shd w:val="clear" w:color="auto" w:fill="auto"/>
              </w:rPr>
              <w:t>对于接受大中型企业与小微企业组成联合体或者允许大中型企业向一家或者多家小微企业分包的采购项目，对于联合协议或者分包意向协议约定小微企业的合同份额占到合同总金额</w:t>
            </w:r>
            <w:r>
              <w:rPr>
                <w:rFonts w:hint="eastAsia" w:ascii="宋体" w:hAnsi="宋体" w:cs="宋体"/>
                <w:color w:val="auto"/>
                <w:kern w:val="0"/>
                <w:sz w:val="21"/>
                <w:szCs w:val="21"/>
                <w:highlight w:val="none"/>
                <w:u w:val="single"/>
                <w:shd w:val="clear" w:color="auto" w:fill="auto"/>
              </w:rPr>
              <w:t xml:space="preserve">  </w:t>
            </w:r>
            <w:r>
              <w:rPr>
                <w:rFonts w:hint="eastAsia" w:ascii="宋体" w:hAnsi="宋体" w:cs="宋体"/>
                <w:color w:val="auto"/>
                <w:kern w:val="0"/>
                <w:sz w:val="21"/>
                <w:szCs w:val="21"/>
                <w:highlight w:val="none"/>
                <w:u w:val="single"/>
                <w:shd w:val="clear" w:color="auto" w:fill="auto"/>
                <w:lang w:val="en-US" w:eastAsia="zh-CN"/>
              </w:rPr>
              <w:t>30</w:t>
            </w:r>
            <w:r>
              <w:rPr>
                <w:rFonts w:hint="eastAsia" w:ascii="宋体" w:hAnsi="宋体" w:cs="宋体"/>
                <w:color w:val="auto"/>
                <w:kern w:val="0"/>
                <w:sz w:val="21"/>
                <w:szCs w:val="21"/>
                <w:highlight w:val="none"/>
                <w:u w:val="single"/>
                <w:shd w:val="clear" w:color="auto" w:fill="auto"/>
              </w:rPr>
              <w:t> %</w:t>
            </w:r>
            <w:r>
              <w:rPr>
                <w:rFonts w:hint="eastAsia" w:ascii="宋体" w:hAnsi="宋体" w:cs="宋体"/>
                <w:color w:val="auto"/>
                <w:kern w:val="0"/>
                <w:sz w:val="21"/>
                <w:szCs w:val="21"/>
                <w:highlight w:val="none"/>
                <w:shd w:val="clear" w:color="auto" w:fill="auto"/>
              </w:rPr>
              <w:t>以上的，对联合体或者大中型企业的报价给予</w:t>
            </w:r>
            <w:r>
              <w:rPr>
                <w:rFonts w:hint="eastAsia" w:ascii="宋体" w:hAnsi="宋体" w:cs="宋体"/>
                <w:color w:val="auto"/>
                <w:kern w:val="0"/>
                <w:sz w:val="21"/>
                <w:szCs w:val="21"/>
                <w:highlight w:val="none"/>
                <w:u w:val="single"/>
                <w:shd w:val="clear" w:color="auto" w:fill="auto"/>
              </w:rPr>
              <w:t xml:space="preserve">  </w:t>
            </w:r>
            <w:r>
              <w:rPr>
                <w:rFonts w:hint="eastAsia" w:ascii="宋体" w:hAnsi="宋体" w:cs="宋体"/>
                <w:color w:val="auto"/>
                <w:kern w:val="0"/>
                <w:sz w:val="21"/>
                <w:szCs w:val="21"/>
                <w:highlight w:val="none"/>
                <w:u w:val="single"/>
                <w:shd w:val="clear" w:color="auto" w:fill="auto"/>
                <w:lang w:val="en-US" w:eastAsia="zh-CN"/>
              </w:rPr>
              <w:t>3</w:t>
            </w:r>
            <w:r>
              <w:rPr>
                <w:rFonts w:hint="eastAsia" w:ascii="宋体" w:hAnsi="宋体" w:cs="宋体"/>
                <w:color w:val="auto"/>
                <w:kern w:val="0"/>
                <w:sz w:val="21"/>
                <w:szCs w:val="21"/>
                <w:highlight w:val="none"/>
                <w:u w:val="single"/>
                <w:shd w:val="clear" w:color="auto" w:fill="auto"/>
              </w:rPr>
              <w:t> %</w:t>
            </w:r>
            <w:r>
              <w:rPr>
                <w:rFonts w:hint="eastAsia" w:ascii="宋体" w:hAnsi="宋体" w:cs="宋体"/>
                <w:color w:val="auto"/>
                <w:kern w:val="0"/>
                <w:sz w:val="21"/>
                <w:szCs w:val="21"/>
                <w:highlight w:val="none"/>
                <w:shd w:val="clear" w:color="auto" w:fill="auto"/>
              </w:rPr>
              <w:t>的扣除，用扣除后的价格参加评审。</w:t>
            </w:r>
          </w:p>
          <w:p>
            <w:pPr>
              <w:keepNext w:val="0"/>
              <w:keepLines w:val="0"/>
              <w:pageBreakBefore w:val="0"/>
              <w:widowControl/>
              <w:suppressLineNumbers w:val="0"/>
              <w:kinsoku/>
              <w:wordWrap/>
              <w:overflowPunct/>
              <w:topLinePunct w:val="0"/>
              <w:bidi w:val="0"/>
              <w:adjustRightInd/>
              <w:snapToGrid w:val="0"/>
              <w:spacing w:beforeAutospacing="0" w:after="0" w:afterAutospacing="0" w:line="400" w:lineRule="exact"/>
              <w:ind w:left="0" w:leftChars="0" w:right="0" w:firstLine="420" w:firstLineChars="200"/>
              <w:jc w:val="left"/>
              <w:rPr>
                <w:rFonts w:hint="eastAsia" w:ascii="宋体" w:hAnsi="宋体" w:cs="宋体"/>
                <w:color w:val="auto"/>
                <w:sz w:val="21"/>
                <w:szCs w:val="21"/>
                <w:highlight w:val="none"/>
                <w:shd w:val="clear" w:color="auto" w:fill="auto"/>
              </w:rPr>
            </w:pPr>
            <w:r>
              <w:rPr>
                <w:rFonts w:hint="eastAsia" w:ascii="宋体" w:hAnsi="宋体" w:cs="宋体"/>
                <w:color w:val="auto"/>
                <w:kern w:val="0"/>
                <w:sz w:val="21"/>
                <w:szCs w:val="21"/>
                <w:highlight w:val="none"/>
                <w:shd w:val="clear" w:color="auto" w:fill="auto"/>
              </w:rPr>
              <w:t>注：货物和服务项目中未预留份额专门面向中小企业采购的，以及预留份额项目中的非预留部分采购包，采购单位、采购代理机构应结合项目实际，对符合规定的</w:t>
            </w:r>
            <w:r>
              <w:rPr>
                <w:rFonts w:hint="eastAsia" w:ascii="宋体" w:hAnsi="宋体" w:cs="宋体"/>
                <w:b/>
                <w:bCs/>
                <w:color w:val="auto"/>
                <w:kern w:val="0"/>
                <w:sz w:val="21"/>
                <w:szCs w:val="21"/>
                <w:highlight w:val="none"/>
                <w:shd w:val="clear" w:color="auto" w:fill="auto"/>
              </w:rPr>
              <w:t>小微企业报价原则上按最高优惠幅度</w:t>
            </w:r>
            <w:r>
              <w:rPr>
                <w:rFonts w:hint="eastAsia" w:ascii="宋体" w:hAnsi="宋体" w:cs="宋体"/>
                <w:b/>
                <w:bCs/>
                <w:color w:val="auto"/>
                <w:kern w:val="0"/>
                <w:sz w:val="21"/>
                <w:szCs w:val="21"/>
                <w:highlight w:val="none"/>
                <w:shd w:val="clear" w:color="auto" w:fill="auto"/>
                <w:lang w:val="en-US" w:eastAsia="zh-CN"/>
              </w:rPr>
              <w:t>1</w:t>
            </w:r>
            <w:r>
              <w:rPr>
                <w:rFonts w:hint="eastAsia" w:ascii="宋体" w:hAnsi="宋体" w:cs="宋体"/>
                <w:b/>
                <w:bCs/>
                <w:color w:val="auto"/>
                <w:kern w:val="0"/>
                <w:sz w:val="21"/>
                <w:szCs w:val="21"/>
                <w:highlight w:val="none"/>
                <w:shd w:val="clear" w:color="auto" w:fill="auto"/>
              </w:rPr>
              <w:t>0%</w:t>
            </w:r>
            <w:r>
              <w:rPr>
                <w:rFonts w:hint="eastAsia" w:ascii="宋体" w:hAnsi="宋体" w:cs="宋体"/>
                <w:color w:val="auto"/>
                <w:kern w:val="0"/>
                <w:sz w:val="21"/>
                <w:szCs w:val="21"/>
                <w:highlight w:val="none"/>
                <w:shd w:val="clear" w:color="auto" w:fill="auto"/>
              </w:rPr>
              <w:t>给予扣除，用扣除后的价格参加评审；按财库〔2022〕19号文件规定执行。</w:t>
            </w:r>
          </w:p>
          <w:p>
            <w:pPr>
              <w:keepNext w:val="0"/>
              <w:keepLines w:val="0"/>
              <w:pageBreakBefore w:val="0"/>
              <w:kinsoku/>
              <w:wordWrap/>
              <w:overflowPunct/>
              <w:topLinePunct w:val="0"/>
              <w:autoSpaceDE/>
              <w:autoSpaceDN/>
              <w:bidi w:val="0"/>
              <w:adjustRightInd/>
              <w:snapToGrid/>
              <w:spacing w:line="400" w:lineRule="exact"/>
              <w:ind w:left="0" w:leftChars="0" w:right="0" w:firstLine="420" w:firstLineChars="200"/>
              <w:textAlignment w:val="auto"/>
              <w:rPr>
                <w:rFonts w:hint="eastAsia" w:ascii="宋体" w:hAnsi="宋体" w:eastAsia="宋体" w:cs="宋体"/>
                <w:b/>
                <w:bCs/>
                <w:color w:val="auto"/>
                <w:sz w:val="21"/>
                <w:szCs w:val="21"/>
                <w:highlight w:val="none"/>
                <w:shd w:val="clear" w:color="auto" w:fill="auto"/>
              </w:rPr>
            </w:pPr>
            <w:r>
              <w:rPr>
                <w:rFonts w:hint="eastAsia" w:ascii="宋体" w:hAnsi="宋体" w:cs="宋体"/>
                <w:color w:val="auto"/>
                <w:kern w:val="0"/>
                <w:sz w:val="21"/>
                <w:szCs w:val="21"/>
                <w:highlight w:val="none"/>
                <w:shd w:val="clear" w:color="auto" w:fill="auto"/>
              </w:rPr>
              <w:t>专门面向中小企业采购的项目或者标项，不再执行价格评审优惠的扶持政策。</w:t>
            </w:r>
          </w:p>
          <w:p>
            <w:pPr>
              <w:pStyle w:val="3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firstLine="420" w:firstLineChars="200"/>
              <w:jc w:val="left"/>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b w:val="0"/>
                <w:bCs w:val="0"/>
                <w:i w:val="0"/>
                <w:iCs w:val="0"/>
                <w:color w:val="auto"/>
                <w:spacing w:val="0"/>
                <w:w w:val="100"/>
                <w:sz w:val="21"/>
                <w:szCs w:val="21"/>
                <w:highlight w:val="none"/>
                <w:shd w:val="clear" w:color="auto" w:fill="auto"/>
                <w:vertAlign w:val="baseline"/>
              </w:rPr>
              <w:t>2、节能产品、环境标志产品的强制采购政策</w:t>
            </w:r>
          </w:p>
          <w:p>
            <w:pPr>
              <w:pStyle w:val="3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firstLine="420" w:firstLineChars="200"/>
              <w:jc w:val="left"/>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b w:val="0"/>
                <w:bCs w:val="0"/>
                <w:i w:val="0"/>
                <w:iCs w:val="0"/>
                <w:color w:val="auto"/>
                <w:spacing w:val="0"/>
                <w:w w:val="100"/>
                <w:sz w:val="21"/>
                <w:szCs w:val="21"/>
                <w:highlight w:val="none"/>
                <w:shd w:val="clear" w:color="auto" w:fill="auto"/>
                <w:vertAlign w:val="baseline"/>
              </w:rPr>
              <w:t>根据财政部、国家发展和改革委员会、生态环境部等部门公布的政府采购节能产品、环境标志产品品目清单的规定，依据品目清单和认证证书实施政府优先采购和强制采购。采购人拟采购的产品属于品目清单范围内的强制采购品目的，投标人提供的产品应具有国家确定的认证机构出具的、处于有效期之内的节能产品、环境标志产品认证证书，并在响应文件中提供该产品节能产品、环境标志产品认证证书，否则无效。（注：本项目执行最新政府采购节能产品、环境标志产品品目清单。）</w:t>
            </w:r>
          </w:p>
          <w:p>
            <w:pPr>
              <w:pStyle w:val="3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firstLine="420" w:firstLineChars="200"/>
              <w:jc w:val="left"/>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b w:val="0"/>
                <w:bCs w:val="0"/>
                <w:i w:val="0"/>
                <w:iCs w:val="0"/>
                <w:color w:val="auto"/>
                <w:spacing w:val="0"/>
                <w:w w:val="100"/>
                <w:sz w:val="21"/>
                <w:szCs w:val="21"/>
                <w:highlight w:val="none"/>
                <w:shd w:val="clear" w:color="auto" w:fill="auto"/>
                <w:vertAlign w:val="baseline"/>
              </w:rPr>
              <w:t>3、节能产品、环境标志产品的优先采购政策</w:t>
            </w:r>
          </w:p>
          <w:p>
            <w:pPr>
              <w:pStyle w:val="36"/>
              <w:keepNext w:val="0"/>
              <w:keepLines w:val="0"/>
              <w:widowControl/>
              <w:suppressLineNumbers w:val="0"/>
              <w:spacing w:before="0" w:beforeAutospacing="0" w:after="0" w:afterAutospacing="0" w:line="460" w:lineRule="exact"/>
              <w:ind w:left="0" w:leftChars="0" w:right="0" w:rightChars="0" w:firstLine="420" w:firstLineChars="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bCs w:val="0"/>
                <w:i w:val="0"/>
                <w:iCs w:val="0"/>
                <w:color w:val="auto"/>
                <w:spacing w:val="0"/>
                <w:w w:val="100"/>
                <w:sz w:val="21"/>
                <w:szCs w:val="21"/>
                <w:highlight w:val="none"/>
                <w:shd w:val="clear" w:color="auto" w:fill="auto"/>
                <w:vertAlign w:val="baseline"/>
              </w:rPr>
              <w:t>根据财政部、国家发展和改革委员会、生态环境部等部门公布的政府采购节能产品、环境标志产品品目清单的规定、依据品目清单和认证证书实施政府优先采购和强制采购。采购人拟采购的产品属于品目清单范围内的优先采购品目的，投标人提供的产品应具有国家确定的认证机构出具的、处于有效期之内的节能产品、环境标志产品认证证书，并在响应文件中提供该产品节能产品、环境标志产品认证证书，（注：本项目执行最新政府采购节能产品、环境标志产品品目清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0" w:hRule="atLeast"/>
          <w:jc w:val="center"/>
        </w:trPr>
        <w:tc>
          <w:tcPr>
            <w:tcW w:w="829"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cs="宋体"/>
                <w:color w:val="auto"/>
                <w:sz w:val="21"/>
                <w:szCs w:val="21"/>
                <w:highlight w:val="none"/>
              </w:rPr>
            </w:pPr>
            <w:r>
              <w:rPr>
                <w:rFonts w:hint="eastAsia" w:ascii="宋体" w:cs="宋体"/>
                <w:color w:val="auto"/>
                <w:sz w:val="21"/>
                <w:szCs w:val="21"/>
                <w:highlight w:val="none"/>
              </w:rPr>
              <w:t>19</w:t>
            </w:r>
          </w:p>
        </w:tc>
        <w:tc>
          <w:tcPr>
            <w:tcW w:w="8415" w:type="dxa"/>
            <w:gridSpan w:val="2"/>
            <w:tcBorders>
              <w:top w:val="single" w:color="auto" w:sz="4" w:space="0"/>
              <w:left w:val="single" w:color="auto" w:sz="4" w:space="0"/>
              <w:bottom w:val="single" w:color="auto" w:sz="4" w:space="0"/>
              <w:right w:val="single" w:color="auto" w:sz="4" w:space="0"/>
            </w:tcBorders>
            <w:noWrap/>
            <w:vAlign w:val="center"/>
          </w:tcPr>
          <w:p>
            <w:pPr>
              <w:pStyle w:val="36"/>
              <w:keepNext w:val="0"/>
              <w:keepLines w:val="0"/>
              <w:widowControl/>
              <w:suppressLineNumbers w:val="0"/>
              <w:spacing w:before="0" w:beforeAutospacing="0" w:after="0" w:afterAutospacing="0" w:line="460" w:lineRule="exact"/>
              <w:ind w:left="140" w:leftChars="50" w:right="0" w:firstLine="420"/>
              <w:jc w:val="both"/>
              <w:rPr>
                <w:rFonts w:hint="eastAsia" w:ascii="宋体" w:hAnsi="宋体" w:eastAsia="宋体" w:cs="宋体"/>
                <w:color w:val="auto"/>
                <w:sz w:val="21"/>
                <w:szCs w:val="21"/>
                <w:highlight w:val="none"/>
              </w:rPr>
            </w:pPr>
            <w:r>
              <w:rPr>
                <w:rFonts w:hint="eastAsia" w:ascii="宋体" w:hAnsi="宋体" w:eastAsia="宋体" w:cs="宋体"/>
                <w:b w:val="0"/>
                <w:bCs w:val="0"/>
                <w:i w:val="0"/>
                <w:iCs w:val="0"/>
                <w:color w:val="auto"/>
                <w:spacing w:val="0"/>
                <w:w w:val="100"/>
                <w:sz w:val="21"/>
                <w:szCs w:val="21"/>
                <w:highlight w:val="none"/>
                <w:vertAlign w:val="baseline"/>
              </w:rPr>
              <w:t>根据《关于在政府采购活动中查询及使用信用记录有关问题的通知》财库</w:t>
            </w:r>
            <w:r>
              <w:rPr>
                <w:rFonts w:hint="eastAsia" w:hAnsi="宋体" w:cs="宋体"/>
                <w:b w:val="0"/>
                <w:bCs w:val="0"/>
                <w:i w:val="0"/>
                <w:iCs w:val="0"/>
                <w:color w:val="auto"/>
                <w:spacing w:val="0"/>
                <w:w w:val="100"/>
                <w:sz w:val="21"/>
                <w:szCs w:val="21"/>
                <w:highlight w:val="none"/>
                <w:vertAlign w:val="baseline"/>
                <w:lang w:eastAsia="zh-CN"/>
              </w:rPr>
              <w:t>〔2016〕125号</w:t>
            </w:r>
            <w:r>
              <w:rPr>
                <w:rFonts w:hint="eastAsia" w:ascii="宋体" w:hAnsi="宋体" w:eastAsia="宋体" w:cs="宋体"/>
                <w:b w:val="0"/>
                <w:bCs w:val="0"/>
                <w:i w:val="0"/>
                <w:iCs w:val="0"/>
                <w:color w:val="auto"/>
                <w:spacing w:val="0"/>
                <w:w w:val="100"/>
                <w:sz w:val="21"/>
                <w:szCs w:val="21"/>
                <w:highlight w:val="none"/>
                <w:vertAlign w:val="baseline"/>
              </w:rPr>
              <w:t>的规定：</w:t>
            </w:r>
          </w:p>
          <w:p>
            <w:pPr>
              <w:pStyle w:val="36"/>
              <w:keepNext w:val="0"/>
              <w:keepLines w:val="0"/>
              <w:widowControl/>
              <w:suppressLineNumbers w:val="0"/>
              <w:spacing w:before="0" w:beforeAutospacing="0" w:after="0" w:afterAutospacing="0" w:line="460" w:lineRule="exact"/>
              <w:ind w:left="140" w:leftChars="50" w:right="0" w:firstLine="420" w:firstLineChars="200"/>
              <w:jc w:val="both"/>
              <w:rPr>
                <w:rFonts w:hint="eastAsia" w:ascii="宋体" w:hAnsi="宋体" w:eastAsia="宋体" w:cs="宋体"/>
                <w:color w:val="auto"/>
                <w:sz w:val="21"/>
                <w:szCs w:val="21"/>
                <w:highlight w:val="none"/>
              </w:rPr>
            </w:pPr>
            <w:r>
              <w:rPr>
                <w:rFonts w:hint="eastAsia" w:ascii="宋体" w:hAnsi="宋体" w:eastAsia="宋体" w:cs="宋体"/>
                <w:b w:val="0"/>
                <w:bCs w:val="0"/>
                <w:i w:val="0"/>
                <w:iCs w:val="0"/>
                <w:color w:val="auto"/>
                <w:spacing w:val="0"/>
                <w:w w:val="100"/>
                <w:sz w:val="21"/>
                <w:szCs w:val="21"/>
                <w:highlight w:val="none"/>
                <w:vertAlign w:val="baseline"/>
              </w:rPr>
              <w:t>（1）招标人或采购代理机构将对本项目供应商的信用记录进行查询。查询渠道为信用中国网站（www.creditchina.gov.cn）、中国政府采购网（www.ccgp.gov.cn）；</w:t>
            </w:r>
          </w:p>
          <w:p>
            <w:pPr>
              <w:pStyle w:val="36"/>
              <w:keepNext w:val="0"/>
              <w:keepLines w:val="0"/>
              <w:widowControl/>
              <w:suppressLineNumbers w:val="0"/>
              <w:spacing w:before="0" w:beforeAutospacing="0" w:after="0" w:afterAutospacing="0" w:line="460" w:lineRule="exact"/>
              <w:ind w:left="0" w:right="0" w:firstLine="495" w:firstLineChars="236"/>
              <w:jc w:val="both"/>
              <w:rPr>
                <w:rFonts w:hint="eastAsia" w:ascii="宋体" w:hAnsi="宋体" w:eastAsia="宋体" w:cs="宋体"/>
                <w:color w:val="auto"/>
                <w:sz w:val="21"/>
                <w:szCs w:val="21"/>
                <w:highlight w:val="none"/>
              </w:rPr>
            </w:pPr>
            <w:r>
              <w:rPr>
                <w:rFonts w:hint="eastAsia" w:ascii="宋体" w:hAnsi="宋体" w:eastAsia="宋体" w:cs="宋体"/>
                <w:b w:val="0"/>
                <w:bCs w:val="0"/>
                <w:i w:val="0"/>
                <w:iCs w:val="0"/>
                <w:color w:val="auto"/>
                <w:spacing w:val="0"/>
                <w:w w:val="100"/>
                <w:sz w:val="21"/>
                <w:szCs w:val="21"/>
                <w:highlight w:val="none"/>
                <w:vertAlign w:val="baseline"/>
              </w:rPr>
              <w:t>（2）截止时点：提交投标文件（响应文件）截止时间前3年内；</w:t>
            </w:r>
          </w:p>
          <w:p>
            <w:pPr>
              <w:pStyle w:val="36"/>
              <w:keepNext w:val="0"/>
              <w:keepLines w:val="0"/>
              <w:widowControl/>
              <w:suppressLineNumbers w:val="0"/>
              <w:spacing w:before="0" w:beforeAutospacing="0" w:after="0" w:afterAutospacing="0" w:line="460" w:lineRule="exact"/>
              <w:ind w:left="140" w:leftChars="50" w:right="0" w:firstLine="420" w:firstLineChars="200"/>
              <w:jc w:val="both"/>
              <w:rPr>
                <w:rFonts w:hint="eastAsia" w:ascii="宋体" w:hAnsi="宋体" w:eastAsia="宋体" w:cs="宋体"/>
                <w:color w:val="auto"/>
                <w:sz w:val="21"/>
                <w:szCs w:val="21"/>
                <w:highlight w:val="none"/>
              </w:rPr>
            </w:pPr>
            <w:r>
              <w:rPr>
                <w:rFonts w:hint="eastAsia" w:ascii="宋体" w:hAnsi="宋体" w:eastAsia="宋体" w:cs="宋体"/>
                <w:b w:val="0"/>
                <w:bCs w:val="0"/>
                <w:i w:val="0"/>
                <w:iCs w:val="0"/>
                <w:color w:val="auto"/>
                <w:spacing w:val="0"/>
                <w:w w:val="100"/>
                <w:sz w:val="21"/>
                <w:szCs w:val="21"/>
                <w:highlight w:val="none"/>
                <w:vertAlign w:val="baseline"/>
              </w:rPr>
              <w:t>（3）查询记录和证据的留存：信用信息查询记录和证据以网页截图等方式留存。</w:t>
            </w:r>
          </w:p>
          <w:p>
            <w:pPr>
              <w:pStyle w:val="36"/>
              <w:keepNext w:val="0"/>
              <w:keepLines w:val="0"/>
              <w:widowControl/>
              <w:suppressLineNumbers w:val="0"/>
              <w:spacing w:before="0" w:beforeAutospacing="0" w:after="0" w:afterAutospacing="0" w:line="460" w:lineRule="exact"/>
              <w:ind w:left="140" w:leftChars="50" w:right="0" w:firstLine="420" w:firstLineChars="200"/>
              <w:jc w:val="both"/>
              <w:rPr>
                <w:rFonts w:hint="eastAsia" w:ascii="宋体" w:hAnsi="宋体" w:eastAsia="宋体" w:cs="宋体"/>
                <w:color w:val="auto"/>
                <w:sz w:val="21"/>
                <w:szCs w:val="21"/>
                <w:highlight w:val="none"/>
              </w:rPr>
            </w:pPr>
            <w:r>
              <w:rPr>
                <w:rFonts w:hint="eastAsia" w:ascii="宋体" w:hAnsi="宋体" w:eastAsia="宋体" w:cs="宋体"/>
                <w:b w:val="0"/>
                <w:bCs w:val="0"/>
                <w:i w:val="0"/>
                <w:iCs w:val="0"/>
                <w:color w:val="auto"/>
                <w:spacing w:val="0"/>
                <w:w w:val="100"/>
                <w:sz w:val="21"/>
                <w:szCs w:val="21"/>
                <w:highlight w:val="none"/>
                <w:vertAlign w:val="baseline"/>
              </w:rPr>
              <w:t>（4）使用规则：被列入失信被执行人、重大税收违法案件当事人名单、政府采购严重违法失信行为记录名单</w:t>
            </w:r>
            <w:r>
              <w:rPr>
                <w:rFonts w:hint="eastAsia" w:ascii="宋体" w:hAnsi="宋体" w:eastAsia="宋体" w:cs="宋体"/>
                <w:b w:val="0"/>
                <w:bCs w:val="0"/>
                <w:i w:val="0"/>
                <w:iCs w:val="0"/>
                <w:color w:val="auto"/>
                <w:spacing w:val="0"/>
                <w:w w:val="100"/>
                <w:sz w:val="21"/>
                <w:szCs w:val="21"/>
                <w:highlight w:val="none"/>
                <w:vertAlign w:val="baseline"/>
                <w:lang w:eastAsia="zh-CN"/>
              </w:rPr>
              <w:t>及其他</w:t>
            </w:r>
            <w:r>
              <w:rPr>
                <w:rFonts w:hint="eastAsia" w:ascii="宋体" w:hAnsi="宋体" w:eastAsia="宋体" w:cs="宋体"/>
                <w:b w:val="0"/>
                <w:bCs w:val="0"/>
                <w:i w:val="0"/>
                <w:iCs w:val="0"/>
                <w:color w:val="auto"/>
                <w:spacing w:val="0"/>
                <w:w w:val="100"/>
                <w:sz w:val="21"/>
                <w:szCs w:val="21"/>
                <w:highlight w:val="none"/>
                <w:vertAlign w:val="baseline"/>
              </w:rPr>
              <w:t>不符合《中华人民共和国政府采购法》第二十二条规定条件的，其投标将被拒绝。</w:t>
            </w:r>
          </w:p>
          <w:p>
            <w:pPr>
              <w:pStyle w:val="36"/>
              <w:keepNext w:val="0"/>
              <w:keepLines w:val="0"/>
              <w:widowControl/>
              <w:suppressLineNumbers w:val="0"/>
              <w:spacing w:before="0" w:beforeAutospacing="0" w:after="0" w:afterAutospacing="0" w:line="460" w:lineRule="exact"/>
              <w:ind w:left="0" w:leftChars="0" w:right="0" w:rightChars="0" w:firstLine="420" w:firstLineChars="200"/>
              <w:jc w:val="both"/>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b w:val="0"/>
                <w:bCs w:val="0"/>
                <w:i w:val="0"/>
                <w:iCs w:val="0"/>
                <w:color w:val="auto"/>
                <w:spacing w:val="0"/>
                <w:w w:val="100"/>
                <w:sz w:val="21"/>
                <w:szCs w:val="21"/>
                <w:highlight w:val="none"/>
                <w:vertAlign w:val="baseline"/>
              </w:rPr>
              <w:t>（5）联合体成员任意一方存在不良信用记录的，视同联合体存在不良信用记录</w:t>
            </w:r>
            <w:r>
              <w:rPr>
                <w:rFonts w:hint="default" w:ascii="仿宋_GB2312" w:eastAsia="仿宋_GB2312" w:cs="仿宋_GB2312"/>
                <w:b w:val="0"/>
                <w:bCs w:val="0"/>
                <w:i w:val="0"/>
                <w:iCs w:val="0"/>
                <w:color w:val="auto"/>
                <w:spacing w:val="0"/>
                <w:w w:val="100"/>
                <w:sz w:val="21"/>
                <w:szCs w:val="21"/>
                <w:highlight w:val="none"/>
                <w:vertAlign w:val="baseli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00" w:hRule="atLeast"/>
          <w:jc w:val="center"/>
        </w:trPr>
        <w:tc>
          <w:tcPr>
            <w:tcW w:w="829"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cs="宋体"/>
                <w:color w:val="auto"/>
                <w:sz w:val="21"/>
                <w:szCs w:val="21"/>
                <w:highlight w:val="none"/>
              </w:rPr>
            </w:pPr>
            <w:r>
              <w:rPr>
                <w:rFonts w:hint="eastAsia" w:ascii="宋体" w:cs="宋体"/>
                <w:color w:val="auto"/>
                <w:sz w:val="21"/>
                <w:szCs w:val="21"/>
                <w:highlight w:val="none"/>
              </w:rPr>
              <w:t>20</w:t>
            </w:r>
          </w:p>
        </w:tc>
        <w:tc>
          <w:tcPr>
            <w:tcW w:w="8415" w:type="dxa"/>
            <w:gridSpan w:val="2"/>
            <w:tcBorders>
              <w:top w:val="single" w:color="auto" w:sz="4" w:space="0"/>
              <w:left w:val="single" w:color="auto" w:sz="4" w:space="0"/>
              <w:bottom w:val="single" w:color="auto" w:sz="4" w:space="0"/>
              <w:right w:val="single" w:color="auto" w:sz="4" w:space="0"/>
            </w:tcBorders>
            <w:noWrap/>
            <w:vAlign w:val="center"/>
          </w:tcPr>
          <w:p>
            <w:pPr>
              <w:snapToGrid w:val="0"/>
              <w:spacing w:line="380" w:lineRule="exact"/>
              <w:rPr>
                <w:rFonts w:ascii="宋体" w:cs="宋体"/>
                <w:color w:val="auto"/>
                <w:sz w:val="21"/>
                <w:szCs w:val="21"/>
                <w:highlight w:val="none"/>
              </w:rPr>
            </w:pPr>
            <w:r>
              <w:rPr>
                <w:rFonts w:hint="eastAsia" w:ascii="宋体" w:cs="宋体"/>
                <w:color w:val="auto"/>
                <w:sz w:val="21"/>
                <w:szCs w:val="21"/>
                <w:highlight w:val="none"/>
              </w:rPr>
              <w:t>采购资金来源及预算：预算资金；</w:t>
            </w:r>
          </w:p>
          <w:p>
            <w:pPr>
              <w:snapToGrid w:val="0"/>
              <w:spacing w:line="380" w:lineRule="exact"/>
              <w:rPr>
                <w:rFonts w:hint="default" w:ascii="宋体" w:cs="宋体"/>
                <w:color w:val="auto"/>
                <w:sz w:val="21"/>
                <w:szCs w:val="21"/>
                <w:highlight w:val="none"/>
                <w:lang w:val="en-US" w:eastAsia="zh-CN"/>
              </w:rPr>
            </w:pPr>
            <w:r>
              <w:rPr>
                <w:rFonts w:hint="eastAsia" w:ascii="宋体" w:cs="宋体"/>
                <w:color w:val="auto"/>
                <w:sz w:val="21"/>
                <w:szCs w:val="21"/>
                <w:highlight w:val="none"/>
              </w:rPr>
              <w:t>预算价：</w:t>
            </w:r>
            <w:r>
              <w:rPr>
                <w:rFonts w:hint="eastAsia" w:cs="宋体"/>
                <w:color w:val="auto"/>
                <w:sz w:val="21"/>
                <w:szCs w:val="21"/>
                <w:highlight w:val="none"/>
                <w:lang w:eastAsia="zh-CN"/>
              </w:rPr>
              <w:t>单泵血透机</w:t>
            </w:r>
            <w:r>
              <w:rPr>
                <w:rFonts w:hint="eastAsia" w:cs="宋体"/>
                <w:color w:val="auto"/>
                <w:sz w:val="21"/>
                <w:szCs w:val="21"/>
                <w:highlight w:val="none"/>
                <w:lang w:val="en-US" w:eastAsia="zh-CN"/>
              </w:rPr>
              <w:t>95万元</w:t>
            </w:r>
            <w:r>
              <w:rPr>
                <w:rFonts w:hint="eastAsia" w:cs="宋体"/>
                <w:color w:val="auto"/>
                <w:sz w:val="21"/>
                <w:szCs w:val="21"/>
                <w:highlight w:val="none"/>
                <w:lang w:val="en-US" w:eastAsia="zh-CN"/>
              </w:rPr>
              <w:t xml:space="preserve"> /8台；</w:t>
            </w:r>
            <w:r>
              <w:rPr>
                <w:rFonts w:hint="eastAsia" w:cs="宋体"/>
                <w:color w:val="auto"/>
                <w:sz w:val="21"/>
                <w:szCs w:val="21"/>
                <w:highlight w:val="none"/>
                <w:lang w:eastAsia="zh-CN"/>
              </w:rPr>
              <w:t>双泵血透机</w:t>
            </w:r>
            <w:r>
              <w:rPr>
                <w:rFonts w:hint="eastAsia" w:cs="宋体"/>
                <w:color w:val="auto"/>
                <w:sz w:val="21"/>
                <w:szCs w:val="21"/>
                <w:highlight w:val="none"/>
              </w:rPr>
              <w:t>20</w:t>
            </w:r>
            <w:r>
              <w:rPr>
                <w:rFonts w:hint="eastAsia" w:cs="宋体"/>
                <w:color w:val="auto"/>
                <w:sz w:val="21"/>
                <w:szCs w:val="21"/>
                <w:highlight w:val="none"/>
                <w:lang w:val="en-US" w:eastAsia="zh-CN"/>
              </w:rPr>
              <w:t>万元/</w:t>
            </w:r>
            <w:r>
              <w:rPr>
                <w:rFonts w:hint="eastAsia" w:cs="宋体"/>
                <w:color w:val="auto"/>
                <w:sz w:val="21"/>
                <w:szCs w:val="21"/>
                <w:highlight w:val="none"/>
                <w:lang w:val="en-US" w:eastAsia="zh-CN"/>
              </w:rPr>
              <w:t>1台，总价115万元</w:t>
            </w:r>
          </w:p>
          <w:p>
            <w:pPr>
              <w:snapToGrid w:val="0"/>
              <w:spacing w:line="380" w:lineRule="exact"/>
              <w:rPr>
                <w:rFonts w:ascii="宋体" w:cs="宋体"/>
                <w:color w:val="auto"/>
                <w:sz w:val="21"/>
                <w:szCs w:val="21"/>
                <w:highlight w:val="none"/>
              </w:rPr>
            </w:pPr>
            <w:r>
              <w:rPr>
                <w:rFonts w:hint="eastAsia" w:ascii="宋体" w:cs="宋体"/>
                <w:color w:val="auto"/>
                <w:sz w:val="21"/>
                <w:szCs w:val="21"/>
                <w:highlight w:val="none"/>
              </w:rPr>
              <w:t>最高限价：</w:t>
            </w:r>
            <w:r>
              <w:rPr>
                <w:rFonts w:hint="eastAsia" w:cs="宋体"/>
                <w:color w:val="auto"/>
                <w:sz w:val="21"/>
                <w:szCs w:val="21"/>
                <w:highlight w:val="none"/>
                <w:lang w:eastAsia="zh-CN"/>
              </w:rPr>
              <w:t>单泵血透机</w:t>
            </w:r>
            <w:r>
              <w:rPr>
                <w:rFonts w:hint="eastAsia" w:cs="宋体"/>
                <w:color w:val="auto"/>
                <w:sz w:val="21"/>
                <w:szCs w:val="21"/>
                <w:highlight w:val="none"/>
                <w:lang w:val="en-US" w:eastAsia="zh-CN"/>
              </w:rPr>
              <w:t>95万元</w:t>
            </w:r>
            <w:r>
              <w:rPr>
                <w:rFonts w:hint="eastAsia" w:cs="宋体"/>
                <w:color w:val="auto"/>
                <w:sz w:val="21"/>
                <w:szCs w:val="21"/>
                <w:highlight w:val="none"/>
                <w:lang w:val="en-US" w:eastAsia="zh-CN"/>
              </w:rPr>
              <w:t xml:space="preserve"> /8台；</w:t>
            </w:r>
            <w:r>
              <w:rPr>
                <w:rFonts w:hint="eastAsia" w:cs="宋体"/>
                <w:color w:val="auto"/>
                <w:sz w:val="21"/>
                <w:szCs w:val="21"/>
                <w:highlight w:val="none"/>
                <w:lang w:eastAsia="zh-CN"/>
              </w:rPr>
              <w:t>双泵血透机</w:t>
            </w:r>
            <w:r>
              <w:rPr>
                <w:rFonts w:hint="eastAsia" w:cs="宋体"/>
                <w:color w:val="auto"/>
                <w:sz w:val="21"/>
                <w:szCs w:val="21"/>
                <w:highlight w:val="none"/>
              </w:rPr>
              <w:t>20</w:t>
            </w:r>
            <w:r>
              <w:rPr>
                <w:rFonts w:hint="eastAsia" w:cs="宋体"/>
                <w:color w:val="auto"/>
                <w:sz w:val="21"/>
                <w:szCs w:val="21"/>
                <w:highlight w:val="none"/>
                <w:lang w:val="en-US" w:eastAsia="zh-CN"/>
              </w:rPr>
              <w:t>万元/</w:t>
            </w:r>
            <w:r>
              <w:rPr>
                <w:rFonts w:hint="eastAsia" w:cs="宋体"/>
                <w:color w:val="auto"/>
                <w:sz w:val="21"/>
                <w:szCs w:val="21"/>
                <w:highlight w:val="none"/>
                <w:lang w:val="en-US" w:eastAsia="zh-CN"/>
              </w:rPr>
              <w:t>1台 ，</w:t>
            </w:r>
            <w:r>
              <w:rPr>
                <w:rFonts w:hint="eastAsia" w:ascii="宋体" w:cs="宋体"/>
                <w:color w:val="auto"/>
                <w:sz w:val="21"/>
                <w:szCs w:val="21"/>
                <w:highlight w:val="none"/>
              </w:rPr>
              <w:t>最高</w:t>
            </w:r>
            <w:r>
              <w:rPr>
                <w:rFonts w:hint="eastAsia" w:ascii="宋体" w:cs="宋体"/>
                <w:color w:val="auto"/>
                <w:sz w:val="21"/>
                <w:szCs w:val="21"/>
                <w:highlight w:val="none"/>
                <w:lang w:val="en-US" w:eastAsia="zh-CN"/>
              </w:rPr>
              <w:t>限价</w:t>
            </w:r>
            <w:r>
              <w:rPr>
                <w:rFonts w:hint="eastAsia" w:cs="宋体"/>
                <w:color w:val="auto"/>
                <w:sz w:val="21"/>
                <w:szCs w:val="21"/>
                <w:highlight w:val="none"/>
                <w:lang w:val="en-US" w:eastAsia="zh-CN"/>
              </w:rPr>
              <w:t>总价115万元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64" w:hRule="atLeast"/>
          <w:jc w:val="center"/>
        </w:trPr>
        <w:tc>
          <w:tcPr>
            <w:tcW w:w="829"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cs="宋体"/>
                <w:color w:val="auto"/>
                <w:sz w:val="21"/>
                <w:szCs w:val="21"/>
                <w:highlight w:val="none"/>
              </w:rPr>
            </w:pPr>
            <w:r>
              <w:rPr>
                <w:rFonts w:hint="eastAsia" w:ascii="宋体" w:cs="宋体"/>
                <w:color w:val="auto"/>
                <w:sz w:val="21"/>
                <w:szCs w:val="21"/>
                <w:highlight w:val="none"/>
              </w:rPr>
              <w:t>21</w:t>
            </w:r>
          </w:p>
        </w:tc>
        <w:tc>
          <w:tcPr>
            <w:tcW w:w="8415" w:type="dxa"/>
            <w:gridSpan w:val="2"/>
            <w:tcBorders>
              <w:top w:val="single" w:color="auto" w:sz="4" w:space="0"/>
              <w:left w:val="single" w:color="auto" w:sz="4" w:space="0"/>
              <w:bottom w:val="single" w:color="auto" w:sz="4" w:space="0"/>
              <w:right w:val="single" w:color="auto" w:sz="4" w:space="0"/>
            </w:tcBorders>
            <w:noWrap/>
            <w:vAlign w:val="center"/>
          </w:tcPr>
          <w:p>
            <w:pPr>
              <w:pStyle w:val="9"/>
              <w:numPr>
                <w:ilvl w:val="0"/>
                <w:numId w:val="0"/>
              </w:numPr>
              <w:spacing w:line="340" w:lineRule="exact"/>
              <w:ind w:firstLine="420" w:firstLineChars="200"/>
              <w:rPr>
                <w:rFonts w:hint="eastAsia" w:ascii="宋体" w:hAnsi="宋体" w:eastAsia="宋体" w:cs="宋体"/>
                <w:color w:val="auto"/>
                <w:kern w:val="0"/>
                <w:sz w:val="21"/>
                <w:szCs w:val="21"/>
                <w:highlight w:val="none"/>
                <w:lang w:val="en-US" w:eastAsia="zh-CN" w:bidi="ar-SA"/>
              </w:rPr>
            </w:pPr>
            <w:r>
              <w:rPr>
                <w:rFonts w:hint="eastAsia"/>
                <w:color w:val="auto"/>
                <w:highlight w:val="none"/>
              </w:rPr>
              <w:t>付款方式</w:t>
            </w:r>
            <w:r>
              <w:rPr>
                <w:rFonts w:hint="eastAsia" w:ascii="宋体" w:hAnsi="宋体" w:eastAsia="宋体" w:cs="宋体"/>
                <w:color w:val="auto"/>
                <w:kern w:val="0"/>
                <w:sz w:val="21"/>
                <w:szCs w:val="21"/>
                <w:highlight w:val="none"/>
                <w:lang w:val="en-US" w:eastAsia="zh-CN" w:bidi="ar-SA"/>
              </w:rPr>
              <w:t>1、在合同生效后的7日内，采购人向中标人支付合同金额的70%作为预付款；设备到货安装完成并通过验收后，七个工作日内支付至合同总价的100%；以上付款节点均需在专项债资金到位后支付；</w:t>
            </w:r>
          </w:p>
          <w:p>
            <w:pPr>
              <w:pStyle w:val="9"/>
              <w:numPr>
                <w:ilvl w:val="0"/>
                <w:numId w:val="0"/>
              </w:numPr>
              <w:spacing w:line="340" w:lineRule="exact"/>
              <w:ind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2、如项目被审计部门抽查复审，则以审计部门复核的结论为最终结算结果；</w:t>
            </w:r>
          </w:p>
          <w:p>
            <w:pPr>
              <w:pStyle w:val="9"/>
              <w:numPr>
                <w:ilvl w:val="0"/>
                <w:numId w:val="0"/>
              </w:numPr>
              <w:spacing w:line="340" w:lineRule="exact"/>
              <w:ind w:firstLine="420" w:firstLineChars="200"/>
              <w:rPr>
                <w:rFonts w:hint="eastAsia" w:ascii="宋体" w:hAnsi="宋体" w:cs="宋体"/>
                <w:color w:val="auto"/>
                <w:sz w:val="21"/>
                <w:szCs w:val="21"/>
                <w:highlight w:val="none"/>
                <w:lang w:eastAsia="zh-CN"/>
              </w:rPr>
            </w:pPr>
            <w:r>
              <w:rPr>
                <w:rFonts w:hint="eastAsia" w:ascii="宋体" w:hAnsi="宋体" w:eastAsia="宋体" w:cs="宋体"/>
                <w:color w:val="auto"/>
                <w:kern w:val="0"/>
                <w:sz w:val="21"/>
                <w:szCs w:val="21"/>
                <w:highlight w:val="none"/>
                <w:lang w:val="en-US" w:eastAsia="zh-CN" w:bidi="ar-SA"/>
              </w:rPr>
              <w:t>3、中标人在结算合同价款时须提供正式发票。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jc w:val="center"/>
        </w:trPr>
        <w:tc>
          <w:tcPr>
            <w:tcW w:w="829"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cs="宋体"/>
                <w:color w:val="auto"/>
                <w:sz w:val="21"/>
                <w:szCs w:val="21"/>
                <w:highlight w:val="none"/>
              </w:rPr>
            </w:pPr>
            <w:r>
              <w:rPr>
                <w:rFonts w:hint="eastAsia" w:ascii="宋体" w:cs="宋体"/>
                <w:color w:val="auto"/>
                <w:sz w:val="21"/>
                <w:szCs w:val="21"/>
                <w:highlight w:val="none"/>
              </w:rPr>
              <w:t>22</w:t>
            </w:r>
          </w:p>
        </w:tc>
        <w:tc>
          <w:tcPr>
            <w:tcW w:w="8415" w:type="dxa"/>
            <w:gridSpan w:val="2"/>
            <w:tcBorders>
              <w:top w:val="single" w:color="auto" w:sz="4" w:space="0"/>
              <w:left w:val="single" w:color="auto" w:sz="4" w:space="0"/>
              <w:bottom w:val="single" w:color="auto" w:sz="4" w:space="0"/>
              <w:right w:val="single" w:color="auto" w:sz="4" w:space="0"/>
            </w:tcBorders>
            <w:noWrap/>
            <w:vAlign w:val="center"/>
          </w:tcPr>
          <w:p>
            <w:pPr>
              <w:snapToGrid w:val="0"/>
              <w:spacing w:line="380" w:lineRule="exact"/>
              <w:rPr>
                <w:rFonts w:ascii="宋体" w:cs="宋体"/>
                <w:color w:val="auto"/>
                <w:sz w:val="21"/>
                <w:szCs w:val="21"/>
                <w:highlight w:val="none"/>
              </w:rPr>
            </w:pPr>
            <w:r>
              <w:rPr>
                <w:rFonts w:hint="eastAsia" w:ascii="宋体" w:cs="宋体"/>
                <w:color w:val="auto"/>
                <w:sz w:val="21"/>
                <w:szCs w:val="21"/>
                <w:highlight w:val="none"/>
              </w:rPr>
              <w:t>履约保证金：在签订合同时中标人向采购人缴纳合同总价1%款项作为履约保证金。履约保证金形式：以银行、保险公司等金融机构出具的保函、保险等非现金形式（可在政采云平台购买，咨询热线400-903-9583）。合同履约期限届满自动失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79" w:hRule="atLeast"/>
          <w:jc w:val="center"/>
        </w:trPr>
        <w:tc>
          <w:tcPr>
            <w:tcW w:w="829" w:type="dxa"/>
            <w:tcBorders>
              <w:top w:val="single" w:color="auto" w:sz="4" w:space="0"/>
              <w:left w:val="single" w:color="auto" w:sz="4" w:space="0"/>
              <w:bottom w:val="single" w:color="auto" w:sz="4" w:space="0"/>
              <w:right w:val="single" w:color="auto" w:sz="4" w:space="0"/>
            </w:tcBorders>
            <w:noWrap/>
            <w:vAlign w:val="center"/>
          </w:tcPr>
          <w:p>
            <w:pPr>
              <w:snapToGrid w:val="0"/>
              <w:spacing w:line="300" w:lineRule="exact"/>
              <w:jc w:val="center"/>
              <w:rPr>
                <w:rFonts w:ascii="宋体" w:cs="宋体"/>
                <w:color w:val="auto"/>
                <w:sz w:val="21"/>
                <w:szCs w:val="21"/>
                <w:highlight w:val="none"/>
              </w:rPr>
            </w:pPr>
            <w:r>
              <w:rPr>
                <w:rFonts w:hint="eastAsia" w:ascii="宋体" w:cs="宋体"/>
                <w:color w:val="auto"/>
                <w:sz w:val="21"/>
                <w:szCs w:val="21"/>
                <w:highlight w:val="none"/>
              </w:rPr>
              <w:t>23</w:t>
            </w:r>
          </w:p>
        </w:tc>
        <w:tc>
          <w:tcPr>
            <w:tcW w:w="8415" w:type="dxa"/>
            <w:gridSpan w:val="2"/>
            <w:tcBorders>
              <w:top w:val="single" w:color="auto" w:sz="4" w:space="0"/>
              <w:left w:val="single" w:color="auto" w:sz="4" w:space="0"/>
              <w:bottom w:val="single" w:color="auto" w:sz="4" w:space="0"/>
              <w:right w:val="single" w:color="auto" w:sz="4" w:space="0"/>
            </w:tcBorders>
            <w:noWrap/>
            <w:vAlign w:val="center"/>
          </w:tcPr>
          <w:p>
            <w:pPr>
              <w:snapToGrid w:val="0"/>
              <w:spacing w:line="380" w:lineRule="exact"/>
              <w:rPr>
                <w:rFonts w:ascii="宋体" w:cs="宋体"/>
                <w:color w:val="auto"/>
                <w:sz w:val="21"/>
                <w:szCs w:val="21"/>
                <w:highlight w:val="none"/>
              </w:rPr>
            </w:pPr>
            <w:r>
              <w:rPr>
                <w:rFonts w:hint="eastAsia" w:ascii="宋体" w:cs="宋体"/>
                <w:color w:val="auto"/>
                <w:sz w:val="21"/>
                <w:szCs w:val="21"/>
                <w:highlight w:val="none"/>
              </w:rPr>
              <w:t>投标文件有效期：90天。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829" w:type="dxa"/>
            <w:tcBorders>
              <w:top w:val="single" w:color="000000" w:sz="2" w:space="0"/>
              <w:left w:val="single" w:color="000000" w:sz="8" w:space="0"/>
              <w:bottom w:val="single" w:color="000000" w:sz="2" w:space="0"/>
              <w:right w:val="single" w:color="000000" w:sz="2" w:space="0"/>
            </w:tcBorders>
            <w:noWrap/>
            <w:vAlign w:val="center"/>
          </w:tcPr>
          <w:p>
            <w:pPr>
              <w:snapToGrid w:val="0"/>
              <w:spacing w:line="300" w:lineRule="exact"/>
              <w:jc w:val="center"/>
              <w:rPr>
                <w:rFonts w:ascii="宋体" w:cs="宋体"/>
                <w:color w:val="auto"/>
                <w:sz w:val="21"/>
                <w:szCs w:val="21"/>
                <w:highlight w:val="none"/>
              </w:rPr>
            </w:pPr>
            <w:r>
              <w:rPr>
                <w:rFonts w:hint="eastAsia" w:ascii="宋体" w:cs="宋体"/>
                <w:color w:val="auto"/>
                <w:sz w:val="21"/>
                <w:szCs w:val="21"/>
                <w:highlight w:val="none"/>
              </w:rPr>
              <w:t>24</w:t>
            </w:r>
          </w:p>
        </w:tc>
        <w:tc>
          <w:tcPr>
            <w:tcW w:w="2162" w:type="dxa"/>
            <w:tcBorders>
              <w:top w:val="single" w:color="000000" w:sz="2" w:space="0"/>
              <w:left w:val="single" w:color="000000" w:sz="2" w:space="0"/>
              <w:bottom w:val="single" w:color="000000" w:sz="2" w:space="0"/>
              <w:right w:val="single" w:color="auto" w:sz="4" w:space="0"/>
            </w:tcBorders>
            <w:noWrap/>
            <w:vAlign w:val="center"/>
          </w:tcPr>
          <w:p>
            <w:pPr>
              <w:snapToGrid w:val="0"/>
              <w:spacing w:line="460" w:lineRule="exact"/>
              <w:jc w:val="center"/>
              <w:rPr>
                <w:rFonts w:ascii="宋体" w:cs="宋体"/>
                <w:color w:val="auto"/>
                <w:kern w:val="0"/>
                <w:sz w:val="21"/>
                <w:szCs w:val="21"/>
                <w:highlight w:val="none"/>
              </w:rPr>
            </w:pPr>
            <w:r>
              <w:rPr>
                <w:rFonts w:hint="eastAsia" w:ascii="宋体" w:cs="宋体"/>
                <w:snapToGrid w:val="0"/>
                <w:color w:val="auto"/>
                <w:kern w:val="0"/>
                <w:sz w:val="21"/>
                <w:szCs w:val="21"/>
                <w:highlight w:val="none"/>
              </w:rPr>
              <w:t>本项目对应的中小企业划分标准所属行业</w:t>
            </w:r>
          </w:p>
        </w:tc>
        <w:tc>
          <w:tcPr>
            <w:tcW w:w="6253" w:type="dxa"/>
            <w:tcBorders>
              <w:top w:val="single" w:color="000000" w:sz="2" w:space="0"/>
              <w:left w:val="single" w:color="auto" w:sz="4" w:space="0"/>
              <w:bottom w:val="single" w:color="000000" w:sz="2" w:space="0"/>
              <w:right w:val="single" w:color="000000" w:sz="8" w:space="0"/>
            </w:tcBorders>
            <w:noWrap/>
            <w:vAlign w:val="center"/>
          </w:tcPr>
          <w:p>
            <w:pPr>
              <w:snapToGrid w:val="0"/>
              <w:spacing w:line="460" w:lineRule="exact"/>
              <w:rPr>
                <w:rFonts w:ascii="宋体" w:cs="宋体"/>
                <w:color w:val="auto"/>
                <w:kern w:val="0"/>
                <w:sz w:val="21"/>
                <w:szCs w:val="21"/>
                <w:highlight w:val="none"/>
              </w:rPr>
            </w:pPr>
            <w:r>
              <w:rPr>
                <w:rFonts w:hint="eastAsia" w:ascii="宋体" w:cs="宋体"/>
                <w:color w:val="auto"/>
                <w:kern w:val="0"/>
                <w:sz w:val="21"/>
                <w:szCs w:val="21"/>
                <w:highlight w:val="none"/>
              </w:rPr>
              <w:t>根据《关于印发中小企业划型标准规定的通知》（工信部联企业〔2011〕300号），本企业按所属行业为“</w:t>
            </w:r>
            <w:r>
              <w:rPr>
                <w:rFonts w:hint="eastAsia" w:ascii="宋体" w:cs="宋体"/>
                <w:color w:val="auto"/>
                <w:kern w:val="0"/>
                <w:sz w:val="21"/>
                <w:szCs w:val="21"/>
                <w:highlight w:val="none"/>
                <w:u w:val="single"/>
                <w:lang w:val="en-US" w:eastAsia="zh-CN"/>
              </w:rPr>
              <w:t>工业</w:t>
            </w:r>
            <w:r>
              <w:rPr>
                <w:rFonts w:hint="eastAsia" w:ascii="宋体" w:cs="宋体"/>
                <w:color w:val="auto"/>
                <w:kern w:val="0"/>
                <w:sz w:val="21"/>
                <w:szCs w:val="21"/>
                <w:highlight w:val="none"/>
              </w:rPr>
              <w:t>”</w:t>
            </w:r>
            <w:r>
              <w:rPr>
                <w:rFonts w:hint="eastAsia" w:ascii="宋体" w:cs="宋体"/>
                <w:color w:val="auto"/>
                <w:kern w:val="0"/>
                <w:sz w:val="21"/>
                <w:szCs w:val="21"/>
                <w:highlight w:val="none"/>
                <w:u w:val="single"/>
              </w:rPr>
              <w:t>行业</w:t>
            </w:r>
            <w:r>
              <w:rPr>
                <w:rFonts w:hint="eastAsia" w:ascii="宋体" w:cs="宋体"/>
                <w:color w:val="auto"/>
                <w:kern w:val="0"/>
                <w:sz w:val="21"/>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829" w:type="dxa"/>
            <w:tcBorders>
              <w:top w:val="single" w:color="000000" w:sz="2" w:space="0"/>
              <w:left w:val="single" w:color="000000" w:sz="8" w:space="0"/>
              <w:bottom w:val="single" w:color="000000" w:sz="2" w:space="0"/>
              <w:right w:val="single" w:color="000000" w:sz="2" w:space="0"/>
            </w:tcBorders>
            <w:noWrap/>
            <w:vAlign w:val="center"/>
          </w:tcPr>
          <w:p>
            <w:pPr>
              <w:snapToGrid w:val="0"/>
              <w:spacing w:line="300" w:lineRule="exact"/>
              <w:jc w:val="center"/>
              <w:rPr>
                <w:rFonts w:hint="default" w:ascii="宋体" w:eastAsia="宋体" w:cs="宋体"/>
                <w:color w:val="auto"/>
                <w:sz w:val="21"/>
                <w:szCs w:val="21"/>
                <w:highlight w:val="none"/>
                <w:lang w:val="en-US" w:eastAsia="zh-CN"/>
              </w:rPr>
            </w:pPr>
            <w:r>
              <w:rPr>
                <w:rFonts w:hint="eastAsia" w:ascii="宋体" w:cs="宋体"/>
                <w:color w:val="auto"/>
                <w:sz w:val="21"/>
                <w:szCs w:val="21"/>
                <w:highlight w:val="none"/>
                <w:lang w:val="en-US" w:eastAsia="zh-CN"/>
              </w:rPr>
              <w:t>25</w:t>
            </w:r>
          </w:p>
        </w:tc>
        <w:tc>
          <w:tcPr>
            <w:tcW w:w="2162" w:type="dxa"/>
            <w:tcBorders>
              <w:top w:val="single" w:color="000000" w:sz="2" w:space="0"/>
              <w:left w:val="single" w:color="000000" w:sz="2" w:space="0"/>
              <w:bottom w:val="single" w:color="000000" w:sz="2" w:space="0"/>
              <w:right w:val="single" w:color="auto" w:sz="4" w:space="0"/>
            </w:tcBorders>
            <w:noWrap/>
            <w:vAlign w:val="center"/>
          </w:tcPr>
          <w:p>
            <w:pPr>
              <w:snapToGrid w:val="0"/>
              <w:spacing w:line="460" w:lineRule="exact"/>
              <w:jc w:val="center"/>
              <w:rPr>
                <w:rFonts w:hint="eastAsia" w:ascii="宋体" w:cs="宋体"/>
                <w:snapToGrid w:val="0"/>
                <w:color w:val="auto"/>
                <w:kern w:val="0"/>
                <w:sz w:val="21"/>
                <w:szCs w:val="21"/>
                <w:highlight w:val="none"/>
              </w:rPr>
            </w:pPr>
            <w:r>
              <w:rPr>
                <w:rFonts w:hint="eastAsia" w:ascii="宋体" w:hAnsi="Times New Roman" w:eastAsia="宋体" w:cs="宋体"/>
                <w:snapToGrid w:val="0"/>
                <w:color w:val="auto"/>
                <w:kern w:val="0"/>
                <w:sz w:val="21"/>
                <w:szCs w:val="21"/>
                <w:highlight w:val="none"/>
                <w:lang w:val="en-US" w:eastAsia="zh-CN"/>
              </w:rPr>
              <w:t>是否允许采购进口产品</w:t>
            </w:r>
          </w:p>
        </w:tc>
        <w:tc>
          <w:tcPr>
            <w:tcW w:w="6253" w:type="dxa"/>
            <w:tcBorders>
              <w:top w:val="single" w:color="000000" w:sz="2" w:space="0"/>
              <w:left w:val="single" w:color="auto" w:sz="4" w:space="0"/>
              <w:bottom w:val="single" w:color="000000" w:sz="2" w:space="0"/>
              <w:right w:val="single" w:color="000000" w:sz="8" w:space="0"/>
            </w:tcBorders>
            <w:noWrap/>
            <w:vAlign w:val="center"/>
          </w:tcPr>
          <w:p>
            <w:pPr>
              <w:snapToGrid w:val="0"/>
              <w:spacing w:line="460" w:lineRule="exact"/>
              <w:jc w:val="both"/>
              <w:rPr>
                <w:rFonts w:hint="eastAsia" w:ascii="宋体" w:hAnsi="Times New Roman" w:eastAsia="宋体" w:cs="宋体"/>
                <w:snapToGrid w:val="0"/>
                <w:color w:val="auto"/>
                <w:kern w:val="0"/>
                <w:sz w:val="21"/>
                <w:szCs w:val="21"/>
                <w:highlight w:val="none"/>
              </w:rPr>
            </w:pPr>
            <w:r>
              <w:rPr>
                <w:rFonts w:hint="eastAsia" w:eastAsia="宋体" w:cs="宋体"/>
                <w:color w:val="auto"/>
                <w:sz w:val="21"/>
                <w:szCs w:val="21"/>
                <w:highlight w:val="none"/>
              </w:rPr>
              <w:sym w:font="Wingdings 2" w:char="00A3"/>
            </w:r>
            <w:r>
              <w:rPr>
                <w:rFonts w:hint="eastAsia" w:eastAsia="宋体" w:cs="宋体"/>
                <w:color w:val="auto"/>
                <w:sz w:val="21"/>
                <w:szCs w:val="21"/>
                <w:highlight w:val="none"/>
              </w:rPr>
              <w:t xml:space="preserve"> </w:t>
            </w:r>
            <w:r>
              <w:rPr>
                <w:rFonts w:hint="eastAsia" w:ascii="宋体" w:hAnsi="Times New Roman" w:eastAsia="宋体" w:cs="宋体"/>
                <w:snapToGrid w:val="0"/>
                <w:color w:val="auto"/>
                <w:kern w:val="0"/>
                <w:sz w:val="21"/>
                <w:szCs w:val="21"/>
                <w:highlight w:val="none"/>
                <w:lang w:val="en-US" w:eastAsia="zh-CN"/>
              </w:rPr>
              <w:t xml:space="preserve">本项目不允许采购进口产品。 </w:t>
            </w:r>
          </w:p>
          <w:p>
            <w:pPr>
              <w:snapToGrid w:val="0"/>
              <w:spacing w:line="460" w:lineRule="exact"/>
              <w:jc w:val="both"/>
              <w:rPr>
                <w:rFonts w:hint="eastAsia" w:ascii="宋体" w:cs="宋体"/>
                <w:color w:val="auto"/>
                <w:kern w:val="0"/>
                <w:sz w:val="21"/>
                <w:szCs w:val="21"/>
                <w:highlight w:val="none"/>
              </w:rPr>
            </w:pPr>
            <w:r>
              <w:rPr>
                <w:rFonts w:hint="eastAsia" w:eastAsia="宋体" w:cs="宋体"/>
                <w:color w:val="auto"/>
                <w:sz w:val="21"/>
                <w:szCs w:val="21"/>
                <w:highlight w:val="none"/>
              </w:rPr>
              <w:sym w:font="Wingdings 2" w:char="0052"/>
            </w:r>
            <w:r>
              <w:rPr>
                <w:rFonts w:hint="eastAsia" w:eastAsia="宋体" w:cs="宋体"/>
                <w:color w:val="auto"/>
                <w:sz w:val="21"/>
                <w:szCs w:val="21"/>
                <w:highlight w:val="none"/>
              </w:rPr>
              <w:t xml:space="preserve"> </w:t>
            </w:r>
            <w:r>
              <w:rPr>
                <w:rFonts w:hint="eastAsia" w:ascii="宋体" w:hAnsi="Times New Roman" w:eastAsia="宋体" w:cs="宋体"/>
                <w:snapToGrid w:val="0"/>
                <w:color w:val="auto"/>
                <w:kern w:val="0"/>
                <w:sz w:val="21"/>
                <w:szCs w:val="21"/>
                <w:highlight w:val="none"/>
                <w:lang w:val="en-US" w:eastAsia="zh-CN"/>
              </w:rPr>
              <w:t>允许采购进口产品。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829" w:type="dxa"/>
            <w:tcBorders>
              <w:top w:val="single" w:color="000000" w:sz="2" w:space="0"/>
              <w:left w:val="single" w:color="000000" w:sz="8" w:space="0"/>
              <w:bottom w:val="single" w:color="000000" w:sz="2" w:space="0"/>
              <w:right w:val="single" w:color="000000" w:sz="2" w:space="0"/>
            </w:tcBorders>
            <w:noWrap/>
            <w:vAlign w:val="center"/>
          </w:tcPr>
          <w:p>
            <w:pPr>
              <w:pStyle w:val="87"/>
              <w:spacing w:line="460" w:lineRule="exact"/>
              <w:ind w:firstLine="0" w:firstLineChars="0"/>
              <w:jc w:val="center"/>
              <w:rPr>
                <w:rFonts w:hint="eastAsia" w:eastAsia="宋体" w:cs="宋体"/>
                <w:color w:val="auto"/>
                <w:sz w:val="21"/>
                <w:szCs w:val="21"/>
                <w:highlight w:val="none"/>
                <w:lang w:eastAsia="zh-CN"/>
              </w:rPr>
            </w:pPr>
            <w:r>
              <w:rPr>
                <w:rFonts w:hint="eastAsia" w:eastAsia="宋体" w:cs="宋体"/>
                <w:color w:val="auto"/>
                <w:sz w:val="21"/>
                <w:szCs w:val="21"/>
                <w:highlight w:val="none"/>
              </w:rPr>
              <w:t>2</w:t>
            </w:r>
            <w:r>
              <w:rPr>
                <w:rFonts w:hint="eastAsia" w:eastAsia="宋体" w:cs="宋体"/>
                <w:color w:val="auto"/>
                <w:sz w:val="21"/>
                <w:szCs w:val="21"/>
                <w:highlight w:val="none"/>
                <w:lang w:val="en-US" w:eastAsia="zh-CN"/>
              </w:rPr>
              <w:t>6</w:t>
            </w:r>
          </w:p>
        </w:tc>
        <w:tc>
          <w:tcPr>
            <w:tcW w:w="2162" w:type="dxa"/>
            <w:tcBorders>
              <w:top w:val="single" w:color="000000" w:sz="2" w:space="0"/>
              <w:left w:val="single" w:color="000000" w:sz="2" w:space="0"/>
              <w:bottom w:val="single" w:color="000000" w:sz="2" w:space="0"/>
              <w:right w:val="single" w:color="auto" w:sz="4" w:space="0"/>
            </w:tcBorders>
            <w:noWrap/>
            <w:vAlign w:val="center"/>
          </w:tcPr>
          <w:p>
            <w:pPr>
              <w:pStyle w:val="87"/>
              <w:ind w:firstLine="420"/>
              <w:rPr>
                <w:rFonts w:eastAsia="宋体" w:cs="宋体"/>
                <w:snapToGrid w:val="0"/>
                <w:color w:val="auto"/>
                <w:sz w:val="21"/>
                <w:szCs w:val="21"/>
                <w:highlight w:val="none"/>
              </w:rPr>
            </w:pPr>
            <w:r>
              <w:rPr>
                <w:rFonts w:hint="eastAsia" w:eastAsia="宋体" w:cs="宋体"/>
                <w:snapToGrid w:val="0"/>
                <w:color w:val="auto"/>
                <w:sz w:val="21"/>
                <w:szCs w:val="21"/>
                <w:highlight w:val="none"/>
              </w:rPr>
              <w:t>节能产品</w:t>
            </w:r>
          </w:p>
        </w:tc>
        <w:tc>
          <w:tcPr>
            <w:tcW w:w="6253" w:type="dxa"/>
            <w:tcBorders>
              <w:top w:val="single" w:color="000000" w:sz="2" w:space="0"/>
              <w:left w:val="single" w:color="auto" w:sz="4" w:space="0"/>
              <w:bottom w:val="single" w:color="000000" w:sz="2" w:space="0"/>
              <w:right w:val="single" w:color="000000" w:sz="8" w:space="0"/>
            </w:tcBorders>
            <w:noWrap/>
            <w:vAlign w:val="center"/>
          </w:tcPr>
          <w:p>
            <w:pPr>
              <w:snapToGrid w:val="0"/>
              <w:spacing w:line="360" w:lineRule="auto"/>
              <w:rPr>
                <w:rFonts w:ascii="宋体" w:cs="宋体"/>
                <w:color w:val="auto"/>
                <w:sz w:val="21"/>
                <w:szCs w:val="21"/>
                <w:highlight w:val="none"/>
              </w:rPr>
            </w:pPr>
            <w:r>
              <w:rPr>
                <w:rFonts w:hint="eastAsia" w:ascii="宋体" w:hAnsi="宋体" w:cs="宋体"/>
                <w:color w:val="auto"/>
                <w:sz w:val="21"/>
                <w:szCs w:val="21"/>
                <w:highlight w:val="none"/>
              </w:rPr>
              <w:sym w:font="Wingdings 2" w:char="00A3"/>
            </w:r>
            <w:r>
              <w:rPr>
                <w:rFonts w:hint="eastAsia" w:ascii="宋体" w:hAnsi="宋体" w:cs="宋体"/>
                <w:color w:val="auto"/>
                <w:sz w:val="21"/>
                <w:szCs w:val="21"/>
                <w:highlight w:val="none"/>
              </w:rPr>
              <w:t xml:space="preserve"> </w:t>
            </w:r>
            <w:r>
              <w:rPr>
                <w:rFonts w:hint="eastAsia" w:ascii="宋体" w:cs="宋体"/>
                <w:color w:val="auto"/>
                <w:sz w:val="21"/>
                <w:szCs w:val="21"/>
                <w:highlight w:val="none"/>
              </w:rPr>
              <w:t>强制采购节能产品</w:t>
            </w:r>
          </w:p>
          <w:p>
            <w:pPr>
              <w:pStyle w:val="87"/>
              <w:ind w:firstLine="0" w:firstLineChars="0"/>
              <w:rPr>
                <w:rFonts w:eastAsia="宋体" w:cs="宋体"/>
                <w:color w:val="auto"/>
                <w:sz w:val="21"/>
                <w:szCs w:val="21"/>
                <w:highlight w:val="none"/>
              </w:rPr>
            </w:pPr>
            <w:r>
              <w:rPr>
                <w:rFonts w:hint="eastAsia" w:eastAsia="宋体" w:cs="宋体"/>
                <w:color w:val="auto"/>
                <w:sz w:val="21"/>
                <w:szCs w:val="21"/>
                <w:highlight w:val="none"/>
              </w:rPr>
              <w:sym w:font="Wingdings 2" w:char="0052"/>
            </w:r>
            <w:r>
              <w:rPr>
                <w:rFonts w:hint="eastAsia" w:eastAsia="宋体" w:cs="宋体"/>
                <w:color w:val="auto"/>
                <w:sz w:val="21"/>
                <w:szCs w:val="21"/>
                <w:highlight w:val="none"/>
              </w:rPr>
              <w:t xml:space="preserve"> 优先采购节能产品</w:t>
            </w:r>
          </w:p>
          <w:p>
            <w:pPr>
              <w:pStyle w:val="87"/>
              <w:ind w:firstLine="0" w:firstLineChars="0"/>
              <w:rPr>
                <w:rFonts w:eastAsia="宋体" w:cs="宋体"/>
                <w:b/>
                <w:bCs/>
                <w:color w:val="auto"/>
                <w:sz w:val="21"/>
                <w:szCs w:val="21"/>
                <w:highlight w:val="none"/>
              </w:rPr>
            </w:pPr>
            <w:r>
              <w:rPr>
                <w:rFonts w:hint="eastAsia" w:eastAsia="宋体" w:cs="宋体"/>
                <w:color w:val="auto"/>
                <w:sz w:val="21"/>
                <w:szCs w:val="21"/>
                <w:highlight w:val="none"/>
              </w:rPr>
              <w:sym w:font="Wingdings" w:char="00A8"/>
            </w:r>
            <w:r>
              <w:rPr>
                <w:rFonts w:hint="eastAsia" w:eastAsia="宋体" w:cs="宋体"/>
                <w:color w:val="auto"/>
                <w:sz w:val="21"/>
                <w:szCs w:val="21"/>
                <w:highlight w:val="none"/>
              </w:rPr>
              <w:t xml:space="preserve"> 不适用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829" w:type="dxa"/>
            <w:tcBorders>
              <w:top w:val="single" w:color="000000" w:sz="2" w:space="0"/>
              <w:left w:val="single" w:color="000000" w:sz="8" w:space="0"/>
              <w:bottom w:val="single" w:color="000000" w:sz="2" w:space="0"/>
              <w:right w:val="single" w:color="000000" w:sz="2" w:space="0"/>
            </w:tcBorders>
            <w:noWrap/>
            <w:vAlign w:val="center"/>
          </w:tcPr>
          <w:p>
            <w:pPr>
              <w:pStyle w:val="87"/>
              <w:spacing w:line="460" w:lineRule="exact"/>
              <w:ind w:firstLine="0" w:firstLineChars="0"/>
              <w:jc w:val="center"/>
              <w:rPr>
                <w:rFonts w:hint="eastAsia" w:eastAsia="宋体" w:cs="宋体"/>
                <w:color w:val="auto"/>
                <w:sz w:val="21"/>
                <w:szCs w:val="21"/>
                <w:highlight w:val="none"/>
                <w:lang w:eastAsia="zh-CN"/>
              </w:rPr>
            </w:pPr>
            <w:r>
              <w:rPr>
                <w:rFonts w:hint="eastAsia" w:eastAsia="宋体" w:cs="宋体"/>
                <w:color w:val="auto"/>
                <w:sz w:val="21"/>
                <w:szCs w:val="21"/>
                <w:highlight w:val="none"/>
              </w:rPr>
              <w:t>2</w:t>
            </w:r>
            <w:r>
              <w:rPr>
                <w:rFonts w:hint="eastAsia" w:eastAsia="宋体" w:cs="宋体"/>
                <w:color w:val="auto"/>
                <w:sz w:val="21"/>
                <w:szCs w:val="21"/>
                <w:highlight w:val="none"/>
                <w:lang w:val="en-US" w:eastAsia="zh-CN"/>
              </w:rPr>
              <w:t>7</w:t>
            </w:r>
          </w:p>
        </w:tc>
        <w:tc>
          <w:tcPr>
            <w:tcW w:w="2162" w:type="dxa"/>
            <w:tcBorders>
              <w:top w:val="single" w:color="000000" w:sz="2" w:space="0"/>
              <w:left w:val="single" w:color="000000" w:sz="2" w:space="0"/>
              <w:bottom w:val="single" w:color="000000" w:sz="2" w:space="0"/>
              <w:right w:val="single" w:color="auto" w:sz="4" w:space="0"/>
            </w:tcBorders>
            <w:noWrap/>
            <w:vAlign w:val="center"/>
          </w:tcPr>
          <w:p>
            <w:pPr>
              <w:pStyle w:val="87"/>
              <w:ind w:firstLine="420"/>
              <w:rPr>
                <w:rFonts w:eastAsia="宋体" w:cs="宋体"/>
                <w:snapToGrid w:val="0"/>
                <w:color w:val="auto"/>
                <w:sz w:val="21"/>
                <w:szCs w:val="21"/>
                <w:highlight w:val="none"/>
              </w:rPr>
            </w:pPr>
            <w:r>
              <w:rPr>
                <w:rFonts w:hint="eastAsia" w:eastAsia="宋体" w:cs="宋体"/>
                <w:snapToGrid w:val="0"/>
                <w:color w:val="auto"/>
                <w:sz w:val="21"/>
                <w:szCs w:val="21"/>
                <w:highlight w:val="none"/>
              </w:rPr>
              <w:t>环境标志产品</w:t>
            </w:r>
          </w:p>
        </w:tc>
        <w:tc>
          <w:tcPr>
            <w:tcW w:w="6253" w:type="dxa"/>
            <w:tcBorders>
              <w:top w:val="single" w:color="000000" w:sz="2" w:space="0"/>
              <w:left w:val="single" w:color="auto" w:sz="4" w:space="0"/>
              <w:bottom w:val="single" w:color="000000" w:sz="2" w:space="0"/>
              <w:right w:val="single" w:color="000000" w:sz="8" w:space="0"/>
            </w:tcBorders>
            <w:noWrap/>
            <w:vAlign w:val="center"/>
          </w:tcPr>
          <w:p>
            <w:pPr>
              <w:pStyle w:val="87"/>
              <w:ind w:firstLine="0" w:firstLineChars="0"/>
              <w:rPr>
                <w:rFonts w:eastAsia="宋体" w:cs="宋体"/>
                <w:color w:val="auto"/>
                <w:sz w:val="21"/>
                <w:szCs w:val="21"/>
                <w:highlight w:val="none"/>
              </w:rPr>
            </w:pPr>
            <w:r>
              <w:rPr>
                <w:rFonts w:hint="eastAsia" w:eastAsia="宋体" w:cs="宋体"/>
                <w:color w:val="auto"/>
                <w:sz w:val="21"/>
                <w:szCs w:val="21"/>
                <w:highlight w:val="none"/>
              </w:rPr>
              <w:sym w:font="Wingdings 2" w:char="0052"/>
            </w:r>
            <w:r>
              <w:rPr>
                <w:rFonts w:hint="eastAsia" w:eastAsia="宋体" w:cs="宋体"/>
                <w:color w:val="auto"/>
                <w:sz w:val="21"/>
                <w:szCs w:val="21"/>
                <w:highlight w:val="none"/>
              </w:rPr>
              <w:t xml:space="preserve"> 优先采购环境标志产品</w:t>
            </w:r>
          </w:p>
          <w:p>
            <w:pPr>
              <w:snapToGrid w:val="0"/>
              <w:spacing w:line="360" w:lineRule="auto"/>
              <w:rPr>
                <w:rFonts w:ascii="宋体" w:cs="宋体"/>
                <w:color w:val="auto"/>
                <w:sz w:val="21"/>
                <w:szCs w:val="21"/>
                <w:highlight w:val="none"/>
              </w:rPr>
            </w:pPr>
            <w:r>
              <w:rPr>
                <w:rFonts w:hint="eastAsia" w:hAnsi="宋体" w:cs="宋体"/>
                <w:color w:val="auto"/>
                <w:sz w:val="21"/>
                <w:szCs w:val="21"/>
                <w:highlight w:val="none"/>
              </w:rPr>
              <w:sym w:font="Wingdings" w:char="00A8"/>
            </w:r>
            <w:r>
              <w:rPr>
                <w:rFonts w:hint="eastAsia" w:hAnsi="宋体" w:cs="宋体"/>
                <w:color w:val="auto"/>
                <w:sz w:val="21"/>
                <w:szCs w:val="21"/>
                <w:highlight w:val="none"/>
              </w:rPr>
              <w:t xml:space="preserve"> </w:t>
            </w:r>
            <w:r>
              <w:rPr>
                <w:rFonts w:hint="eastAsia" w:ascii="宋体" w:cs="宋体"/>
                <w:color w:val="auto"/>
                <w:sz w:val="21"/>
                <w:szCs w:val="21"/>
                <w:highlight w:val="none"/>
              </w:rPr>
              <w:t>不适用</w:t>
            </w:r>
          </w:p>
        </w:tc>
      </w:tr>
    </w:tbl>
    <w:p>
      <w:pPr>
        <w:pStyle w:val="38"/>
        <w:rPr>
          <w:color w:val="auto"/>
          <w:highlight w:val="none"/>
        </w:rPr>
      </w:pPr>
    </w:p>
    <w:p>
      <w:pPr>
        <w:snapToGrid w:val="0"/>
        <w:spacing w:line="360" w:lineRule="exact"/>
        <w:jc w:val="center"/>
        <w:outlineLvl w:val="0"/>
        <w:rPr>
          <w:rFonts w:ascii="宋体" w:cs="宋体"/>
          <w:b/>
          <w:bCs/>
          <w:color w:val="auto"/>
          <w:sz w:val="32"/>
          <w:szCs w:val="32"/>
          <w:highlight w:val="none"/>
        </w:rPr>
      </w:pPr>
    </w:p>
    <w:p>
      <w:pPr>
        <w:snapToGrid w:val="0"/>
        <w:spacing w:line="360" w:lineRule="exact"/>
        <w:jc w:val="center"/>
        <w:outlineLvl w:val="0"/>
        <w:rPr>
          <w:rFonts w:ascii="宋体" w:cs="宋体"/>
          <w:b/>
          <w:bCs/>
          <w:color w:val="auto"/>
          <w:sz w:val="32"/>
          <w:szCs w:val="32"/>
          <w:highlight w:val="none"/>
        </w:rPr>
      </w:pPr>
    </w:p>
    <w:p>
      <w:pPr>
        <w:pStyle w:val="9"/>
        <w:rPr>
          <w:color w:val="auto"/>
          <w:highlight w:val="none"/>
        </w:rPr>
      </w:pPr>
    </w:p>
    <w:p>
      <w:pPr>
        <w:pStyle w:val="32"/>
        <w:ind w:left="0" w:leftChars="0" w:firstLine="0" w:firstLineChars="0"/>
        <w:rPr>
          <w:color w:val="auto"/>
          <w:highlight w:val="none"/>
        </w:rPr>
      </w:pPr>
    </w:p>
    <w:p>
      <w:pPr>
        <w:rPr>
          <w:color w:val="auto"/>
          <w:highlight w:val="none"/>
        </w:rPr>
      </w:pPr>
    </w:p>
    <w:p>
      <w:pPr>
        <w:rPr>
          <w:color w:val="auto"/>
          <w:highlight w:val="none"/>
        </w:rPr>
      </w:pPr>
    </w:p>
    <w:p>
      <w:pPr>
        <w:rPr>
          <w:color w:val="auto"/>
          <w:highlight w:val="none"/>
        </w:rPr>
      </w:pPr>
    </w:p>
    <w:p>
      <w:pPr>
        <w:pStyle w:val="38"/>
        <w:rPr>
          <w:color w:val="auto"/>
          <w:highlight w:val="none"/>
        </w:rPr>
      </w:pPr>
    </w:p>
    <w:p>
      <w:pPr>
        <w:rPr>
          <w:color w:val="auto"/>
          <w:highlight w:val="none"/>
        </w:rPr>
      </w:pPr>
    </w:p>
    <w:p>
      <w:pPr>
        <w:pStyle w:val="38"/>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snapToGrid w:val="0"/>
        <w:spacing w:line="360" w:lineRule="exact"/>
        <w:jc w:val="center"/>
        <w:outlineLvl w:val="0"/>
        <w:rPr>
          <w:rFonts w:hint="eastAsia" w:ascii="宋体" w:hAnsi="宋体" w:eastAsia="宋体" w:cs="宋体"/>
          <w:b/>
          <w:color w:val="auto"/>
          <w:sz w:val="32"/>
          <w:szCs w:val="32"/>
          <w:highlight w:val="none"/>
        </w:rPr>
      </w:pPr>
      <w:r>
        <w:rPr>
          <w:rFonts w:hint="eastAsia" w:ascii="宋体" w:hAnsi="宋体" w:eastAsia="宋体" w:cs="宋体"/>
          <w:b/>
          <w:bCs/>
          <w:color w:val="auto"/>
          <w:sz w:val="32"/>
          <w:szCs w:val="32"/>
          <w:highlight w:val="none"/>
        </w:rPr>
        <w:t>第三章  采购</w:t>
      </w:r>
      <w:r>
        <w:rPr>
          <w:rFonts w:hint="eastAsia" w:ascii="宋体" w:hAnsi="宋体" w:eastAsia="宋体" w:cs="宋体"/>
          <w:b/>
          <w:color w:val="auto"/>
          <w:sz w:val="32"/>
          <w:szCs w:val="32"/>
          <w:highlight w:val="none"/>
        </w:rPr>
        <w:t>需求</w:t>
      </w:r>
    </w:p>
    <w:p>
      <w:pPr>
        <w:pStyle w:val="23"/>
        <w:pageBreakBefore w:val="0"/>
        <w:kinsoku/>
        <w:wordWrap/>
        <w:overflowPunct/>
        <w:topLinePunct w:val="0"/>
        <w:autoSpaceDE/>
        <w:autoSpaceDN/>
        <w:bidi w:val="0"/>
        <w:adjustRightInd/>
        <w:snapToGrid/>
        <w:spacing w:before="0" w:beforeLines="0" w:after="0" w:afterLines="0" w:line="440" w:lineRule="exact"/>
        <w:ind w:firstLine="422" w:firstLineChars="200"/>
        <w:textAlignment w:val="auto"/>
        <w:outlineLvl w:val="1"/>
        <w:rPr>
          <w:rFonts w:hint="default"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rPr>
        <w:t>一、项目编号：</w:t>
      </w:r>
      <w:r>
        <w:rPr>
          <w:rFonts w:hint="eastAsia" w:hAnsi="宋体" w:cs="宋体"/>
          <w:color w:val="auto"/>
          <w:sz w:val="21"/>
          <w:szCs w:val="21"/>
          <w:highlight w:val="none"/>
          <w:lang w:eastAsia="zh-CN"/>
        </w:rPr>
        <w:t>ZJZLZC2024099</w:t>
      </w:r>
    </w:p>
    <w:p>
      <w:pPr>
        <w:pStyle w:val="23"/>
        <w:pageBreakBefore w:val="0"/>
        <w:kinsoku/>
        <w:wordWrap/>
        <w:overflowPunct/>
        <w:topLinePunct w:val="0"/>
        <w:autoSpaceDE/>
        <w:autoSpaceDN/>
        <w:bidi w:val="0"/>
        <w:adjustRightInd/>
        <w:snapToGrid/>
        <w:spacing w:before="0" w:beforeLines="0" w:after="0" w:afterLines="0" w:line="440" w:lineRule="exact"/>
        <w:ind w:firstLine="422" w:firstLineChars="200"/>
        <w:textAlignment w:val="auto"/>
        <w:outlineLvl w:val="1"/>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val="en-US" w:eastAsia="zh-CN"/>
        </w:rPr>
        <w:t>二</w:t>
      </w:r>
      <w:r>
        <w:rPr>
          <w:rFonts w:hint="eastAsia" w:ascii="宋体" w:hAnsi="宋体" w:eastAsia="宋体" w:cs="宋体"/>
          <w:b/>
          <w:bCs/>
          <w:color w:val="auto"/>
          <w:sz w:val="21"/>
          <w:szCs w:val="21"/>
          <w:highlight w:val="none"/>
        </w:rPr>
        <w:t>、采购单位名称：</w:t>
      </w:r>
      <w:r>
        <w:rPr>
          <w:rFonts w:hint="eastAsia" w:hAnsi="宋体" w:cs="宋体"/>
          <w:color w:val="auto"/>
          <w:sz w:val="21"/>
          <w:szCs w:val="21"/>
          <w:highlight w:val="none"/>
          <w:lang w:eastAsia="zh-CN"/>
        </w:rPr>
        <w:t>兰溪市人民医院</w:t>
      </w:r>
    </w:p>
    <w:p>
      <w:pPr>
        <w:pageBreakBefore w:val="0"/>
        <w:kinsoku/>
        <w:wordWrap/>
        <w:overflowPunct/>
        <w:topLinePunct w:val="0"/>
        <w:autoSpaceDE/>
        <w:autoSpaceDN/>
        <w:bidi w:val="0"/>
        <w:adjustRightInd/>
        <w:snapToGrid/>
        <w:spacing w:line="440" w:lineRule="exact"/>
        <w:ind w:firstLine="422"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val="en-US" w:eastAsia="zh-CN"/>
        </w:rPr>
        <w:t>三</w:t>
      </w:r>
      <w:r>
        <w:rPr>
          <w:rFonts w:hint="eastAsia" w:ascii="宋体" w:hAnsi="宋体" w:eastAsia="宋体" w:cs="宋体"/>
          <w:b/>
          <w:bCs/>
          <w:color w:val="auto"/>
          <w:sz w:val="21"/>
          <w:szCs w:val="21"/>
          <w:highlight w:val="none"/>
        </w:rPr>
        <w:t>、项目名称：</w:t>
      </w:r>
      <w:r>
        <w:rPr>
          <w:rFonts w:hint="eastAsia" w:ascii="宋体" w:hAnsi="宋体" w:cs="宋体"/>
          <w:color w:val="auto"/>
          <w:sz w:val="21"/>
          <w:szCs w:val="21"/>
          <w:highlight w:val="none"/>
          <w:lang w:eastAsia="zh-CN"/>
        </w:rPr>
        <w:t>兰溪市人民医院北部院区单泵血透机、双泵血透机采购项目</w:t>
      </w:r>
    </w:p>
    <w:p>
      <w:pPr>
        <w:pageBreakBefore w:val="0"/>
        <w:widowControl w:val="0"/>
        <w:kinsoku/>
        <w:wordWrap/>
        <w:overflowPunct/>
        <w:topLinePunct w:val="0"/>
        <w:autoSpaceDE/>
        <w:autoSpaceDN/>
        <w:bidi w:val="0"/>
        <w:adjustRightInd/>
        <w:snapToGrid/>
        <w:spacing w:line="440" w:lineRule="exact"/>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lang w:val="en-US" w:eastAsia="zh-CN"/>
        </w:rPr>
        <w:t>四</w:t>
      </w:r>
      <w:r>
        <w:rPr>
          <w:rFonts w:hint="eastAsia" w:ascii="宋体" w:hAnsi="宋体" w:eastAsia="宋体" w:cs="宋体"/>
          <w:b/>
          <w:color w:val="auto"/>
          <w:sz w:val="21"/>
          <w:szCs w:val="21"/>
          <w:highlight w:val="none"/>
        </w:rPr>
        <w:t>、采购项目具体内容及要求</w:t>
      </w:r>
      <w:bookmarkStart w:id="1" w:name="_Toc31094"/>
      <w:bookmarkStart w:id="2" w:name="_Toc6436"/>
    </w:p>
    <w:p>
      <w:pPr>
        <w:pStyle w:val="3"/>
        <w:keepNext/>
        <w:keepLines/>
        <w:pageBreakBefore w:val="0"/>
        <w:widowControl w:val="0"/>
        <w:kinsoku/>
        <w:wordWrap/>
        <w:overflowPunct/>
        <w:topLinePunct w:val="0"/>
        <w:autoSpaceDE/>
        <w:autoSpaceDN/>
        <w:bidi w:val="0"/>
        <w:adjustRightInd/>
        <w:snapToGrid/>
        <w:spacing w:before="0" w:after="0" w:line="400" w:lineRule="exact"/>
        <w:ind w:firstLine="422" w:firstLineChars="200"/>
        <w:jc w:val="left"/>
        <w:textAlignment w:val="auto"/>
        <w:rPr>
          <w:rFonts w:hint="eastAsia"/>
          <w:color w:val="auto"/>
          <w:highlight w:val="none"/>
        </w:rPr>
      </w:pPr>
      <w:r>
        <w:rPr>
          <w:rFonts w:hint="eastAsia" w:ascii="宋体" w:hAnsi="宋体" w:eastAsia="宋体" w:cs="宋体"/>
          <w:color w:val="auto"/>
          <w:kern w:val="2"/>
          <w:sz w:val="21"/>
          <w:szCs w:val="21"/>
          <w:highlight w:val="none"/>
          <w:lang w:val="en-US" w:eastAsia="zh-CN" w:bidi="ar-SA"/>
        </w:rPr>
        <w:t>血透机单泵</w:t>
      </w:r>
    </w:p>
    <w:bookmarkEnd w:id="1"/>
    <w:bookmarkEnd w:id="2"/>
    <w:tbl>
      <w:tblPr>
        <w:tblStyle w:val="39"/>
        <w:tblW w:w="932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89"/>
        <w:gridCol w:w="833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9" w:type="dxa"/>
            <w:tcBorders>
              <w:tl2br w:val="nil"/>
              <w:tr2bl w:val="nil"/>
            </w:tcBorders>
            <w:noWrap/>
            <w:vAlign w:val="center"/>
          </w:tcPr>
          <w:p>
            <w:pPr>
              <w:spacing w:line="34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序号</w:t>
            </w:r>
          </w:p>
        </w:tc>
        <w:tc>
          <w:tcPr>
            <w:tcW w:w="8335" w:type="dxa"/>
            <w:tcBorders>
              <w:tl2br w:val="nil"/>
              <w:tr2bl w:val="nil"/>
            </w:tcBorders>
            <w:noWrap/>
            <w:vAlign w:val="center"/>
          </w:tcPr>
          <w:p>
            <w:pPr>
              <w:spacing w:line="34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采购技术参数</w:t>
            </w:r>
            <w:r>
              <w:rPr>
                <w:rFonts w:hint="eastAsia" w:ascii="宋体" w:hAnsi="宋体" w:eastAsia="宋体" w:cs="宋体"/>
                <w:color w:val="auto"/>
                <w:kern w:val="2"/>
                <w:sz w:val="21"/>
                <w:szCs w:val="21"/>
                <w:highlight w:val="none"/>
                <w:lang w:val="en-US" w:eastAsia="zh-CN" w:bidi="ar-SA"/>
              </w:rPr>
              <w:t>（血透机单泵）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9" w:type="dxa"/>
            <w:tcBorders>
              <w:tl2br w:val="nil"/>
              <w:tr2bl w:val="nil"/>
            </w:tcBorders>
            <w:noWrap/>
            <w:vAlign w:val="center"/>
          </w:tcPr>
          <w:p>
            <w:pPr>
              <w:spacing w:line="34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一</w:t>
            </w:r>
          </w:p>
        </w:tc>
        <w:tc>
          <w:tcPr>
            <w:tcW w:w="8335" w:type="dxa"/>
            <w:tcBorders>
              <w:tl2br w:val="nil"/>
              <w:tr2bl w:val="nil"/>
            </w:tcBorders>
            <w:noWrap/>
            <w:vAlign w:val="center"/>
          </w:tcPr>
          <w:p>
            <w:pPr>
              <w:spacing w:line="340" w:lineRule="exac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适用范围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9" w:type="dxa"/>
            <w:tcBorders>
              <w:tl2br w:val="nil"/>
              <w:tr2bl w:val="nil"/>
            </w:tcBorders>
            <w:noWrap/>
            <w:vAlign w:val="center"/>
          </w:tcPr>
          <w:p>
            <w:pPr>
              <w:spacing w:line="340" w:lineRule="exact"/>
              <w:ind w:left="632" w:hanging="630" w:hangingChars="300"/>
              <w:jc w:val="center"/>
              <w:rPr>
                <w:rFonts w:hint="eastAsia" w:ascii="宋体" w:hAnsi="宋体" w:eastAsia="宋体" w:cs="宋体"/>
                <w:color w:val="auto"/>
                <w:kern w:val="2"/>
                <w:sz w:val="21"/>
                <w:szCs w:val="21"/>
                <w:highlight w:val="none"/>
                <w:lang w:val="en-US" w:eastAsia="zh-CN" w:bidi="ar-SA"/>
              </w:rPr>
            </w:pPr>
          </w:p>
        </w:tc>
        <w:tc>
          <w:tcPr>
            <w:tcW w:w="8335" w:type="dxa"/>
            <w:tcBorders>
              <w:tl2br w:val="nil"/>
              <w:tr2bl w:val="nil"/>
            </w:tcBorders>
            <w:noWrap/>
            <w:vAlign w:val="center"/>
          </w:tcPr>
          <w:p>
            <w:pPr>
              <w:spacing w:line="340" w:lineRule="exac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用途：用于血液透析中心急、慢性肾衰竭的替代治疗，具备血液透析（HD）、碳酸氢盐、醋酸盐透析功能和超滤治疗功能。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9" w:type="dxa"/>
            <w:tcBorders>
              <w:tl2br w:val="nil"/>
              <w:tr2bl w:val="nil"/>
            </w:tcBorders>
            <w:noWrap/>
            <w:vAlign w:val="center"/>
          </w:tcPr>
          <w:p>
            <w:pPr>
              <w:spacing w:line="34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二</w:t>
            </w:r>
          </w:p>
        </w:tc>
        <w:tc>
          <w:tcPr>
            <w:tcW w:w="8335" w:type="dxa"/>
            <w:tcBorders>
              <w:tl2br w:val="nil"/>
              <w:tr2bl w:val="nil"/>
            </w:tcBorders>
            <w:noWrap/>
            <w:vAlign w:val="center"/>
          </w:tcPr>
          <w:p>
            <w:pPr>
              <w:spacing w:line="340" w:lineRule="exac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技术参数要求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989" w:type="dxa"/>
            <w:tcBorders>
              <w:tl2br w:val="nil"/>
              <w:tr2bl w:val="nil"/>
            </w:tcBorders>
            <w:noWrap/>
            <w:vAlign w:val="center"/>
          </w:tcPr>
          <w:p>
            <w:pPr>
              <w:spacing w:line="36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▲2.1</w:t>
            </w:r>
          </w:p>
        </w:tc>
        <w:tc>
          <w:tcPr>
            <w:tcW w:w="8335" w:type="dxa"/>
            <w:tcBorders>
              <w:tl2br w:val="nil"/>
              <w:tr2bl w:val="nil"/>
            </w:tcBorders>
            <w:noWrap/>
            <w:vAlign w:val="center"/>
          </w:tcPr>
          <w:p>
            <w:pP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≥15英寸彩色液晶触摸显示屏，一键式引导界面，操作简单，遵循临床操作规范。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989" w:type="dxa"/>
            <w:tcBorders>
              <w:tl2br w:val="nil"/>
              <w:tr2bl w:val="nil"/>
            </w:tcBorders>
            <w:noWrap/>
            <w:vAlign w:val="center"/>
          </w:tcPr>
          <w:p>
            <w:pPr>
              <w:spacing w:line="36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2.2</w:t>
            </w:r>
          </w:p>
        </w:tc>
        <w:tc>
          <w:tcPr>
            <w:tcW w:w="8335" w:type="dxa"/>
            <w:tcBorders>
              <w:tl2br w:val="nil"/>
              <w:tr2bl w:val="nil"/>
            </w:tcBorders>
            <w:noWrap/>
            <w:vAlign w:val="center"/>
          </w:tcPr>
          <w:p>
            <w:pP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全中文操作系统，具有显示和复位报警功能。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9" w:type="dxa"/>
            <w:tcBorders>
              <w:tl2br w:val="nil"/>
              <w:tr2bl w:val="nil"/>
            </w:tcBorders>
            <w:noWrap/>
            <w:vAlign w:val="center"/>
          </w:tcPr>
          <w:p>
            <w:pPr>
              <w:spacing w:line="36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2.3</w:t>
            </w:r>
          </w:p>
        </w:tc>
        <w:tc>
          <w:tcPr>
            <w:tcW w:w="8335" w:type="dxa"/>
            <w:tcBorders>
              <w:tl2br w:val="nil"/>
              <w:tr2bl w:val="nil"/>
            </w:tcBorders>
            <w:noWrap/>
            <w:vAlign w:val="center"/>
          </w:tcPr>
          <w:p>
            <w:pP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数字显示主要参数，包括：动脉压、静脉压、总电导度、碳酸电导度、温度、透析液流量、血流量、超滤量。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9" w:type="dxa"/>
            <w:tcBorders>
              <w:tl2br w:val="nil"/>
              <w:tr2bl w:val="nil"/>
            </w:tcBorders>
            <w:noWrap/>
            <w:vAlign w:val="center"/>
          </w:tcPr>
          <w:p>
            <w:pPr>
              <w:spacing w:line="36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2.4</w:t>
            </w:r>
          </w:p>
        </w:tc>
        <w:tc>
          <w:tcPr>
            <w:tcW w:w="8335" w:type="dxa"/>
            <w:tcBorders>
              <w:tl2br w:val="nil"/>
              <w:tr2bl w:val="nil"/>
            </w:tcBorders>
            <w:noWrap/>
            <w:vAlign w:val="center"/>
          </w:tcPr>
          <w:p>
            <w:pP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透析液流量：300～800ml/min, 连续可调。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9" w:type="dxa"/>
            <w:tcBorders>
              <w:tl2br w:val="nil"/>
              <w:tr2bl w:val="nil"/>
            </w:tcBorders>
            <w:noWrap/>
            <w:vAlign w:val="center"/>
          </w:tcPr>
          <w:p>
            <w:pPr>
              <w:spacing w:line="36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2.5</w:t>
            </w:r>
          </w:p>
        </w:tc>
        <w:tc>
          <w:tcPr>
            <w:tcW w:w="8335" w:type="dxa"/>
            <w:tcBorders>
              <w:tl2br w:val="nil"/>
              <w:tr2bl w:val="nil"/>
            </w:tcBorders>
            <w:noWrap/>
            <w:vAlign w:val="center"/>
          </w:tcPr>
          <w:p>
            <w:pP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透析液温度控制范围：34.5℃～39.5℃，有超温保护装置。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9" w:type="dxa"/>
            <w:tcBorders>
              <w:tl2br w:val="nil"/>
              <w:tr2bl w:val="nil"/>
            </w:tcBorders>
            <w:noWrap/>
            <w:vAlign w:val="center"/>
          </w:tcPr>
          <w:p>
            <w:pPr>
              <w:spacing w:line="36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2.6</w:t>
            </w:r>
          </w:p>
        </w:tc>
        <w:tc>
          <w:tcPr>
            <w:tcW w:w="8335" w:type="dxa"/>
            <w:tcBorders>
              <w:tl2br w:val="nil"/>
              <w:tr2bl w:val="nil"/>
            </w:tcBorders>
            <w:noWrap/>
            <w:vAlign w:val="center"/>
          </w:tcPr>
          <w:p>
            <w:pP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透析液导电率监测范围</w:t>
            </w:r>
            <w:r>
              <w:rPr>
                <w:rFonts w:hint="eastAsia" w:ascii="宋体" w:hAnsi="宋体" w:cs="宋体"/>
                <w:color w:val="auto"/>
                <w:kern w:val="2"/>
                <w:sz w:val="21"/>
                <w:szCs w:val="21"/>
                <w:highlight w:val="none"/>
                <w:lang w:val="en-US" w:eastAsia="zh-CN" w:bidi="ar-SA"/>
              </w:rPr>
              <w:t>：</w:t>
            </w:r>
            <w:r>
              <w:rPr>
                <w:rFonts w:hint="eastAsia" w:ascii="宋体" w:hAnsi="宋体" w:eastAsia="宋体" w:cs="宋体"/>
                <w:color w:val="auto"/>
                <w:kern w:val="2"/>
                <w:sz w:val="21"/>
                <w:szCs w:val="21"/>
                <w:highlight w:val="none"/>
                <w:lang w:val="en-US" w:eastAsia="zh-CN" w:bidi="ar-SA"/>
              </w:rPr>
              <w:t>12.7～15.3ms/cm。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9" w:type="dxa"/>
            <w:tcBorders>
              <w:tl2br w:val="nil"/>
              <w:tr2bl w:val="nil"/>
            </w:tcBorders>
            <w:noWrap/>
            <w:vAlign w:val="center"/>
          </w:tcPr>
          <w:p>
            <w:pPr>
              <w:spacing w:line="36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2.7</w:t>
            </w:r>
          </w:p>
        </w:tc>
        <w:tc>
          <w:tcPr>
            <w:tcW w:w="8335" w:type="dxa"/>
            <w:tcBorders>
              <w:tl2br w:val="nil"/>
              <w:tr2bl w:val="nil"/>
            </w:tcBorders>
            <w:noWrap/>
            <w:vAlign w:val="center"/>
          </w:tcPr>
          <w:p>
            <w:pP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反馈式电导度监测及配比机制，可分别监测B液电导度与总电导度。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9" w:type="dxa"/>
            <w:tcBorders>
              <w:tl2br w:val="nil"/>
              <w:tr2bl w:val="nil"/>
            </w:tcBorders>
            <w:noWrap/>
            <w:vAlign w:val="center"/>
          </w:tcPr>
          <w:p>
            <w:pPr>
              <w:spacing w:line="36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2.8</w:t>
            </w:r>
          </w:p>
        </w:tc>
        <w:tc>
          <w:tcPr>
            <w:tcW w:w="8335" w:type="dxa"/>
            <w:tcBorders>
              <w:tl2br w:val="nil"/>
              <w:tr2bl w:val="nil"/>
            </w:tcBorders>
            <w:noWrap/>
            <w:vAlign w:val="center"/>
          </w:tcPr>
          <w:p>
            <w:pP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待机模式时，将透析液一侧关闭，不吸取AB液， 节省透析液。</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9" w:type="dxa"/>
            <w:tcBorders>
              <w:tl2br w:val="nil"/>
              <w:tr2bl w:val="nil"/>
            </w:tcBorders>
            <w:noWrap/>
            <w:vAlign w:val="center"/>
          </w:tcPr>
          <w:p>
            <w:pPr>
              <w:spacing w:line="36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2.9</w:t>
            </w:r>
          </w:p>
        </w:tc>
        <w:tc>
          <w:tcPr>
            <w:tcW w:w="8335" w:type="dxa"/>
            <w:tcBorders>
              <w:tl2br w:val="nil"/>
              <w:tr2bl w:val="nil"/>
            </w:tcBorders>
            <w:noWrap/>
            <w:vAlign w:val="center"/>
          </w:tcPr>
          <w:p>
            <w:pPr>
              <w:autoSpaceDE w:val="0"/>
              <w:autoSpaceDN w:val="0"/>
              <w:adjustRightInd w:val="0"/>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动脉压操作范围：-400～＋400 mmHg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9" w:type="dxa"/>
            <w:tcBorders>
              <w:tl2br w:val="nil"/>
              <w:tr2bl w:val="nil"/>
            </w:tcBorders>
            <w:noWrap/>
            <w:vAlign w:val="center"/>
          </w:tcPr>
          <w:p>
            <w:pPr>
              <w:spacing w:line="36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2.10</w:t>
            </w:r>
          </w:p>
        </w:tc>
        <w:tc>
          <w:tcPr>
            <w:tcW w:w="8335" w:type="dxa"/>
            <w:tcBorders>
              <w:tl2br w:val="nil"/>
              <w:tr2bl w:val="nil"/>
            </w:tcBorders>
            <w:noWrap/>
            <w:vAlign w:val="center"/>
          </w:tcPr>
          <w:p>
            <w:pPr>
              <w:autoSpaceDE w:val="0"/>
              <w:autoSpaceDN w:val="0"/>
              <w:adjustRightInd w:val="0"/>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静脉压操作范围</w:t>
            </w:r>
            <w:r>
              <w:rPr>
                <w:rFonts w:hint="eastAsia" w:ascii="宋体" w:hAnsi="宋体" w:cs="宋体"/>
                <w:color w:val="auto"/>
                <w:kern w:val="2"/>
                <w:sz w:val="21"/>
                <w:szCs w:val="21"/>
                <w:highlight w:val="none"/>
                <w:lang w:val="en-US" w:eastAsia="zh-CN" w:bidi="ar-SA"/>
              </w:rPr>
              <w:t>：</w:t>
            </w:r>
            <w:r>
              <w:rPr>
                <w:rFonts w:hint="eastAsia" w:ascii="宋体" w:hAnsi="宋体" w:eastAsia="宋体" w:cs="宋体"/>
                <w:color w:val="auto"/>
                <w:kern w:val="2"/>
                <w:sz w:val="21"/>
                <w:szCs w:val="21"/>
                <w:highlight w:val="none"/>
                <w:lang w:val="en-US" w:eastAsia="zh-CN" w:bidi="ar-SA"/>
              </w:rPr>
              <w:t xml:space="preserve"> -50～＋390 mmHg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9" w:type="dxa"/>
            <w:tcBorders>
              <w:tl2br w:val="nil"/>
              <w:tr2bl w:val="nil"/>
            </w:tcBorders>
            <w:noWrap/>
            <w:vAlign w:val="center"/>
          </w:tcPr>
          <w:p>
            <w:pPr>
              <w:spacing w:line="36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2.11</w:t>
            </w:r>
          </w:p>
        </w:tc>
        <w:tc>
          <w:tcPr>
            <w:tcW w:w="8335" w:type="dxa"/>
            <w:tcBorders>
              <w:tl2br w:val="nil"/>
              <w:tr2bl w:val="nil"/>
            </w:tcBorders>
            <w:noWrap/>
            <w:vAlign w:val="center"/>
          </w:tcPr>
          <w:p>
            <w:pPr>
              <w:spacing w:after="12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跨膜压监测范围：﹣100mmHg～﹢700 mmHg</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9" w:type="dxa"/>
            <w:tcBorders>
              <w:tl2br w:val="nil"/>
              <w:tr2bl w:val="nil"/>
            </w:tcBorders>
            <w:noWrap/>
            <w:vAlign w:val="center"/>
          </w:tcPr>
          <w:p>
            <w:pPr>
              <w:spacing w:line="36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2.12</w:t>
            </w:r>
          </w:p>
        </w:tc>
        <w:tc>
          <w:tcPr>
            <w:tcW w:w="8335" w:type="dxa"/>
            <w:tcBorders>
              <w:tl2br w:val="nil"/>
              <w:tr2bl w:val="nil"/>
            </w:tcBorders>
            <w:noWrap/>
            <w:vAlign w:val="center"/>
          </w:tcPr>
          <w:p>
            <w:pPr>
              <w:spacing w:after="12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血泵流量：0，50～600ml/min可调，血泵流量调节梯度（步长）10ml/min</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9" w:type="dxa"/>
            <w:tcBorders>
              <w:tl2br w:val="nil"/>
              <w:tr2bl w:val="nil"/>
            </w:tcBorders>
            <w:noWrap/>
            <w:vAlign w:val="center"/>
          </w:tcPr>
          <w:p>
            <w:pPr>
              <w:spacing w:line="36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2.13</w:t>
            </w:r>
          </w:p>
        </w:tc>
        <w:tc>
          <w:tcPr>
            <w:tcW w:w="8335" w:type="dxa"/>
            <w:tcBorders>
              <w:tl2br w:val="nil"/>
              <w:tr2bl w:val="nil"/>
            </w:tcBorders>
            <w:noWrap/>
            <w:vAlign w:val="center"/>
          </w:tcPr>
          <w:p>
            <w:pPr>
              <w:spacing w:after="12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肝素注射：0.1～10ml/h可编写停止时间，读数累积肝素容量，肝素泵有自动注入和追加功能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9" w:type="dxa"/>
            <w:tcBorders>
              <w:tl2br w:val="nil"/>
              <w:tr2bl w:val="nil"/>
            </w:tcBorders>
            <w:noWrap/>
            <w:vAlign w:val="center"/>
          </w:tcPr>
          <w:p>
            <w:pPr>
              <w:spacing w:line="360" w:lineRule="exact"/>
              <w:ind w:firstLine="210" w:firstLineChars="1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2.14</w:t>
            </w:r>
          </w:p>
        </w:tc>
        <w:tc>
          <w:tcPr>
            <w:tcW w:w="8335" w:type="dxa"/>
            <w:tcBorders>
              <w:tl2br w:val="nil"/>
              <w:tr2bl w:val="nil"/>
            </w:tcBorders>
            <w:noWrap/>
            <w:vAlign w:val="center"/>
          </w:tcPr>
          <w:p>
            <w:pP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漏损检测与报警：光学原理检测。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9" w:type="dxa"/>
            <w:tcBorders>
              <w:tl2br w:val="nil"/>
              <w:tr2bl w:val="nil"/>
            </w:tcBorders>
            <w:noWrap/>
            <w:vAlign w:val="center"/>
          </w:tcPr>
          <w:p>
            <w:pPr>
              <w:spacing w:line="36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2.15</w:t>
            </w:r>
          </w:p>
        </w:tc>
        <w:tc>
          <w:tcPr>
            <w:tcW w:w="8335" w:type="dxa"/>
            <w:tcBorders>
              <w:tl2br w:val="nil"/>
              <w:tr2bl w:val="nil"/>
            </w:tcBorders>
            <w:noWrap/>
            <w:vAlign w:val="center"/>
          </w:tcPr>
          <w:p>
            <w:pP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超滤方式：容量式平衡腔控制（可探测膜位移）。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9" w:type="dxa"/>
            <w:tcBorders>
              <w:tl2br w:val="nil"/>
              <w:tr2bl w:val="nil"/>
            </w:tcBorders>
            <w:noWrap/>
            <w:vAlign w:val="center"/>
          </w:tcPr>
          <w:p>
            <w:pPr>
              <w:spacing w:line="36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2.16</w:t>
            </w:r>
          </w:p>
        </w:tc>
        <w:tc>
          <w:tcPr>
            <w:tcW w:w="8335" w:type="dxa"/>
            <w:tcBorders>
              <w:tl2br w:val="nil"/>
              <w:tr2bl w:val="nil"/>
            </w:tcBorders>
            <w:noWrap/>
            <w:vAlign w:val="center"/>
          </w:tcPr>
          <w:p>
            <w:pPr>
              <w:spacing w:after="12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超滤率：0, 100～4000ml/h超滤泵误差 &lt;1%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9" w:type="dxa"/>
            <w:tcBorders>
              <w:tl2br w:val="nil"/>
              <w:tr2bl w:val="nil"/>
            </w:tcBorders>
            <w:noWrap/>
            <w:vAlign w:val="center"/>
          </w:tcPr>
          <w:p>
            <w:pPr>
              <w:spacing w:line="36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▲2.17</w:t>
            </w:r>
          </w:p>
        </w:tc>
        <w:tc>
          <w:tcPr>
            <w:tcW w:w="8335" w:type="dxa"/>
            <w:tcBorders>
              <w:tl2br w:val="nil"/>
              <w:tr2bl w:val="nil"/>
            </w:tcBorders>
            <w:noWrap/>
            <w:vAlign w:val="center"/>
          </w:tcPr>
          <w:p>
            <w:pP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超滤曲线：可存储设定曲线，</w:t>
            </w:r>
            <w:r>
              <w:rPr>
                <w:rFonts w:hint="eastAsia" w:ascii="宋体" w:hAnsi="宋体" w:cs="宋体"/>
                <w:color w:val="auto"/>
                <w:kern w:val="2"/>
                <w:sz w:val="21"/>
                <w:szCs w:val="21"/>
                <w:highlight w:val="none"/>
                <w:lang w:val="en-US" w:eastAsia="zh-CN" w:bidi="ar-SA"/>
              </w:rPr>
              <w:t>≥</w:t>
            </w:r>
            <w:r>
              <w:rPr>
                <w:rFonts w:hint="eastAsia" w:ascii="宋体" w:hAnsi="宋体" w:eastAsia="宋体" w:cs="宋体"/>
                <w:color w:val="auto"/>
                <w:kern w:val="2"/>
                <w:sz w:val="21"/>
                <w:szCs w:val="21"/>
                <w:highlight w:val="none"/>
                <w:lang w:val="en-US" w:eastAsia="zh-CN" w:bidi="ar-SA"/>
              </w:rPr>
              <w:t>10种固定曲线，</w:t>
            </w:r>
            <w:r>
              <w:rPr>
                <w:rFonts w:hint="eastAsia" w:ascii="宋体" w:hAnsi="宋体" w:cs="宋体"/>
                <w:color w:val="auto"/>
                <w:kern w:val="2"/>
                <w:sz w:val="21"/>
                <w:szCs w:val="21"/>
                <w:highlight w:val="none"/>
                <w:lang w:val="en-US" w:eastAsia="zh-CN" w:bidi="ar-SA"/>
              </w:rPr>
              <w:t>≥</w:t>
            </w:r>
            <w:r>
              <w:rPr>
                <w:rFonts w:hint="eastAsia" w:ascii="宋体" w:hAnsi="宋体" w:eastAsia="宋体" w:cs="宋体"/>
                <w:color w:val="auto"/>
                <w:kern w:val="2"/>
                <w:sz w:val="21"/>
                <w:szCs w:val="21"/>
                <w:highlight w:val="none"/>
                <w:lang w:val="en-US" w:eastAsia="zh-CN" w:bidi="ar-SA"/>
              </w:rPr>
              <w:t>20种自定义曲线，满足个性化透析。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9" w:type="dxa"/>
            <w:tcBorders>
              <w:tl2br w:val="nil"/>
              <w:tr2bl w:val="nil"/>
            </w:tcBorders>
            <w:noWrap/>
            <w:vAlign w:val="center"/>
          </w:tcPr>
          <w:p>
            <w:pPr>
              <w:spacing w:line="360" w:lineRule="exact"/>
              <w:ind w:firstLine="210" w:firstLineChars="1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2.18</w:t>
            </w:r>
          </w:p>
        </w:tc>
        <w:tc>
          <w:tcPr>
            <w:tcW w:w="8335" w:type="dxa"/>
            <w:tcBorders>
              <w:tl2br w:val="nil"/>
              <w:tr2bl w:val="nil"/>
            </w:tcBorders>
            <w:noWrap/>
            <w:vAlign w:val="center"/>
          </w:tcPr>
          <w:p>
            <w:pP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有钠离子曲线、碳酸盐曲线、肝素曲线、透析液流量曲线、透析液温度曲线等功能提供个性化透析方案。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989" w:type="dxa"/>
            <w:tcBorders>
              <w:tl2br w:val="nil"/>
              <w:tr2bl w:val="nil"/>
            </w:tcBorders>
            <w:noWrap/>
            <w:vAlign w:val="center"/>
          </w:tcPr>
          <w:p>
            <w:pPr>
              <w:spacing w:line="360" w:lineRule="exact"/>
              <w:ind w:firstLine="210" w:firstLineChars="1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2.19</w:t>
            </w:r>
          </w:p>
        </w:tc>
        <w:tc>
          <w:tcPr>
            <w:tcW w:w="8335" w:type="dxa"/>
            <w:tcBorders>
              <w:tl2br w:val="nil"/>
              <w:tr2bl w:val="nil"/>
            </w:tcBorders>
            <w:noWrap/>
            <w:vAlign w:val="center"/>
          </w:tcPr>
          <w:p>
            <w:pP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标配透析充分性功能：显示Kt/v值，为临床医生提供治疗有益数据及参考，有效提高患者的透析充分性。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9" w:type="dxa"/>
            <w:tcBorders>
              <w:tl2br w:val="nil"/>
              <w:tr2bl w:val="nil"/>
            </w:tcBorders>
            <w:noWrap/>
            <w:vAlign w:val="center"/>
          </w:tcPr>
          <w:p>
            <w:pPr>
              <w:spacing w:line="360" w:lineRule="exact"/>
              <w:ind w:firstLine="210" w:firstLineChars="1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2.20</w:t>
            </w:r>
          </w:p>
        </w:tc>
        <w:tc>
          <w:tcPr>
            <w:tcW w:w="8335" w:type="dxa"/>
            <w:tcBorders>
              <w:tl2br w:val="nil"/>
              <w:tr2bl w:val="nil"/>
            </w:tcBorders>
            <w:noWrap/>
            <w:vAlign w:val="center"/>
          </w:tcPr>
          <w:p>
            <w:pP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可保存治疗方案与治疗结果，自动保存至少20次病人治疗记录。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9" w:type="dxa"/>
            <w:noWrap/>
            <w:vAlign w:val="center"/>
          </w:tcPr>
          <w:p>
            <w:pPr>
              <w:spacing w:line="360" w:lineRule="exact"/>
              <w:ind w:firstLine="210" w:firstLineChars="1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2.21</w:t>
            </w:r>
          </w:p>
        </w:tc>
        <w:tc>
          <w:tcPr>
            <w:tcW w:w="8335" w:type="dxa"/>
            <w:noWrap/>
            <w:vAlign w:val="center"/>
          </w:tcPr>
          <w:p>
            <w:pP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具有完备的自检功能，自身具有维修菜单，故障自我诊断。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9" w:type="dxa"/>
            <w:noWrap/>
            <w:vAlign w:val="center"/>
          </w:tcPr>
          <w:p>
            <w:pPr>
              <w:spacing w:line="360" w:lineRule="exac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▲2.22</w:t>
            </w:r>
          </w:p>
        </w:tc>
        <w:tc>
          <w:tcPr>
            <w:tcW w:w="8335" w:type="dxa"/>
            <w:noWrap/>
            <w:vAlign w:val="center"/>
          </w:tcPr>
          <w:p>
            <w:pPr>
              <w:spacing w:after="12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具有图标释义功能，点击帮助键后再点击图标，可显示该图标的功能释义</w:t>
            </w:r>
            <w:r>
              <w:rPr>
                <w:rFonts w:hint="eastAsia" w:ascii="宋体" w:hAnsi="宋体" w:cs="宋体"/>
                <w:color w:val="auto"/>
                <w:kern w:val="2"/>
                <w:sz w:val="21"/>
                <w:szCs w:val="21"/>
                <w:highlight w:val="none"/>
                <w:lang w:val="en-US" w:eastAsia="zh-CN" w:bidi="ar-SA"/>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9" w:type="dxa"/>
            <w:noWrap/>
            <w:vAlign w:val="center"/>
          </w:tcPr>
          <w:p>
            <w:pPr>
              <w:spacing w:line="360" w:lineRule="exac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▲2.23</w:t>
            </w:r>
          </w:p>
        </w:tc>
        <w:tc>
          <w:tcPr>
            <w:tcW w:w="8335" w:type="dxa"/>
            <w:noWrap/>
            <w:vAlign w:val="center"/>
          </w:tcPr>
          <w:p>
            <w:pP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可进行血路管通透性和密闭性自检，以保证患者透析安全。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9" w:type="dxa"/>
            <w:noWrap/>
            <w:vAlign w:val="center"/>
          </w:tcPr>
          <w:p>
            <w:pPr>
              <w:spacing w:line="360" w:lineRule="exac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▲2.24</w:t>
            </w:r>
          </w:p>
        </w:tc>
        <w:tc>
          <w:tcPr>
            <w:tcW w:w="8335" w:type="dxa"/>
            <w:noWrap/>
            <w:vAlign w:val="center"/>
          </w:tcPr>
          <w:p>
            <w:pPr>
              <w:spacing w:after="12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机器使用期限≥10年或者≥30000小时（提供设备铭牌或其他证明）。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9" w:type="dxa"/>
            <w:noWrap/>
            <w:vAlign w:val="center"/>
          </w:tcPr>
          <w:p>
            <w:pPr>
              <w:spacing w:line="360" w:lineRule="exac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★2.25</w:t>
            </w:r>
          </w:p>
        </w:tc>
        <w:tc>
          <w:tcPr>
            <w:tcW w:w="8335" w:type="dxa"/>
            <w:noWrap/>
            <w:vAlign w:val="center"/>
          </w:tcPr>
          <w:p>
            <w:pP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配有透析液过滤器及支架，提供超纯透析液。透析液过滤器需和机器同一品牌，且纳入浙江省药械采购平台并标明其代码</w:t>
            </w:r>
            <w:r>
              <w:rPr>
                <w:rFonts w:hint="eastAsia" w:ascii="宋体" w:hAnsi="宋体" w:cs="宋体"/>
                <w:color w:val="auto"/>
                <w:kern w:val="2"/>
                <w:sz w:val="21"/>
                <w:szCs w:val="21"/>
                <w:highlight w:val="none"/>
                <w:lang w:val="en-US" w:eastAsia="zh-CN" w:bidi="ar-SA"/>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9" w:type="dxa"/>
            <w:noWrap/>
            <w:vAlign w:val="center"/>
          </w:tcPr>
          <w:p>
            <w:pPr>
              <w:widowControl/>
              <w:spacing w:line="360" w:lineRule="exac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2.26</w:t>
            </w:r>
          </w:p>
        </w:tc>
        <w:tc>
          <w:tcPr>
            <w:tcW w:w="8335" w:type="dxa"/>
            <w:noWrap/>
            <w:vAlign w:val="center"/>
          </w:tcPr>
          <w:p>
            <w:pPr>
              <w:spacing w:after="12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配内置电池，保证机器停电后最少使用≥20分钟，并且不丢失数据；同时压力监测，漏血和气泡检测正常工作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9" w:type="dxa"/>
            <w:noWrap/>
            <w:vAlign w:val="center"/>
          </w:tcPr>
          <w:p>
            <w:pPr>
              <w:widowControl/>
              <w:spacing w:line="36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三</w:t>
            </w:r>
          </w:p>
        </w:tc>
        <w:tc>
          <w:tcPr>
            <w:tcW w:w="8335" w:type="dxa"/>
            <w:noWrap/>
            <w:vAlign w:val="center"/>
          </w:tcPr>
          <w:p>
            <w:pPr>
              <w:spacing w:line="360" w:lineRule="exact"/>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配置要求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9" w:type="dxa"/>
            <w:noWrap/>
            <w:vAlign w:val="center"/>
          </w:tcPr>
          <w:p>
            <w:pPr>
              <w:widowControl/>
              <w:spacing w:line="36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3.1</w:t>
            </w:r>
          </w:p>
        </w:tc>
        <w:tc>
          <w:tcPr>
            <w:tcW w:w="8335" w:type="dxa"/>
            <w:noWrap/>
            <w:vAlign w:val="center"/>
          </w:tcPr>
          <w:p>
            <w:pPr>
              <w:spacing w:after="12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主机一台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9" w:type="dxa"/>
            <w:noWrap/>
            <w:vAlign w:val="center"/>
          </w:tcPr>
          <w:p>
            <w:pPr>
              <w:widowControl/>
              <w:spacing w:line="36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3.2</w:t>
            </w:r>
          </w:p>
        </w:tc>
        <w:tc>
          <w:tcPr>
            <w:tcW w:w="8335" w:type="dxa"/>
            <w:noWrap/>
            <w:vAlign w:val="center"/>
          </w:tcPr>
          <w:p>
            <w:pPr>
              <w:widowControl/>
              <w:spacing w:line="360" w:lineRule="exact"/>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配置原装在线电子血压计监测模块，有实时自动血压监测与报警功能。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9" w:type="dxa"/>
            <w:noWrap/>
            <w:vAlign w:val="center"/>
          </w:tcPr>
          <w:p>
            <w:pPr>
              <w:widowControl/>
              <w:spacing w:line="36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3.3</w:t>
            </w:r>
          </w:p>
        </w:tc>
        <w:tc>
          <w:tcPr>
            <w:tcW w:w="8335" w:type="dxa"/>
            <w:noWrap/>
            <w:vAlign w:val="center"/>
          </w:tcPr>
          <w:p>
            <w:pPr>
              <w:widowControl/>
              <w:spacing w:line="360" w:lineRule="exact"/>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配B干粉支架</w:t>
            </w:r>
          </w:p>
        </w:tc>
      </w:tr>
    </w:tbl>
    <w:p>
      <w:pPr>
        <w:spacing w:line="440" w:lineRule="exact"/>
        <w:ind w:firstLine="210" w:firstLineChars="1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血透机双泵</w:t>
      </w:r>
    </w:p>
    <w:tbl>
      <w:tblPr>
        <w:tblStyle w:val="39"/>
        <w:tblW w:w="938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52"/>
        <w:gridCol w:w="803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52" w:type="dxa"/>
            <w:tcBorders>
              <w:tl2br w:val="nil"/>
              <w:tr2bl w:val="nil"/>
            </w:tcBorders>
            <w:noWrap/>
            <w:vAlign w:val="center"/>
          </w:tcPr>
          <w:p>
            <w:pPr>
              <w:spacing w:line="34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序号</w:t>
            </w:r>
          </w:p>
        </w:tc>
        <w:tc>
          <w:tcPr>
            <w:tcW w:w="8032" w:type="dxa"/>
            <w:tcBorders>
              <w:tl2br w:val="nil"/>
              <w:tr2bl w:val="nil"/>
            </w:tcBorders>
            <w:noWrap/>
            <w:vAlign w:val="center"/>
          </w:tcPr>
          <w:p>
            <w:pPr>
              <w:spacing w:line="34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采购技术参数</w:t>
            </w:r>
            <w:r>
              <w:rPr>
                <w:rFonts w:hint="eastAsia" w:ascii="宋体" w:hAnsi="宋体" w:eastAsia="宋体" w:cs="宋体"/>
                <w:color w:val="auto"/>
                <w:kern w:val="2"/>
                <w:sz w:val="21"/>
                <w:szCs w:val="21"/>
                <w:highlight w:val="none"/>
                <w:lang w:val="en-US" w:eastAsia="zh-CN" w:bidi="ar-SA"/>
              </w:rPr>
              <w:t>（血透机双泵）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52" w:type="dxa"/>
            <w:tcBorders>
              <w:tl2br w:val="nil"/>
              <w:tr2bl w:val="nil"/>
            </w:tcBorders>
            <w:noWrap/>
            <w:vAlign w:val="center"/>
          </w:tcPr>
          <w:p>
            <w:pPr>
              <w:spacing w:line="34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一</w:t>
            </w:r>
          </w:p>
        </w:tc>
        <w:tc>
          <w:tcPr>
            <w:tcW w:w="8032" w:type="dxa"/>
            <w:tcBorders>
              <w:tl2br w:val="nil"/>
              <w:tr2bl w:val="nil"/>
            </w:tcBorders>
            <w:noWrap/>
            <w:vAlign w:val="center"/>
          </w:tcPr>
          <w:p>
            <w:pPr>
              <w:spacing w:line="340" w:lineRule="exac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适用范围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52" w:type="dxa"/>
            <w:tcBorders>
              <w:tl2br w:val="nil"/>
              <w:tr2bl w:val="nil"/>
            </w:tcBorders>
            <w:noWrap/>
            <w:vAlign w:val="center"/>
          </w:tcPr>
          <w:p>
            <w:pPr>
              <w:spacing w:line="340" w:lineRule="exact"/>
              <w:ind w:left="632" w:hanging="630" w:hangingChars="30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1.1</w:t>
            </w:r>
          </w:p>
        </w:tc>
        <w:tc>
          <w:tcPr>
            <w:tcW w:w="8032" w:type="dxa"/>
            <w:tcBorders>
              <w:tl2br w:val="nil"/>
              <w:tr2bl w:val="nil"/>
            </w:tcBorders>
            <w:noWrap/>
            <w:vAlign w:val="center"/>
          </w:tcPr>
          <w:p>
            <w:pPr>
              <w:spacing w:line="340" w:lineRule="exac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用途：具有常规血液透析（HD</w:t>
            </w:r>
            <w:r>
              <w:rPr>
                <w:rFonts w:hint="eastAsia" w:ascii="宋体" w:hAnsi="宋体" w:cs="宋体"/>
                <w:color w:val="auto"/>
                <w:kern w:val="2"/>
                <w:sz w:val="21"/>
                <w:szCs w:val="21"/>
                <w:highlight w:val="none"/>
                <w:lang w:val="en-US" w:eastAsia="zh-CN" w:bidi="ar-SA"/>
              </w:rPr>
              <w:t>）</w:t>
            </w:r>
            <w:r>
              <w:rPr>
                <w:rFonts w:hint="eastAsia" w:ascii="宋体" w:hAnsi="宋体" w:eastAsia="宋体" w:cs="宋体"/>
                <w:color w:val="auto"/>
                <w:kern w:val="2"/>
                <w:sz w:val="21"/>
                <w:szCs w:val="21"/>
                <w:highlight w:val="none"/>
                <w:lang w:val="en-US" w:eastAsia="zh-CN" w:bidi="ar-SA"/>
              </w:rPr>
              <w:t>、联机血液滤过（OnlineHF）和联机血液透析滤过（OnlineHDF）功能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52" w:type="dxa"/>
            <w:tcBorders>
              <w:tl2br w:val="nil"/>
              <w:tr2bl w:val="nil"/>
            </w:tcBorders>
            <w:noWrap/>
            <w:vAlign w:val="center"/>
          </w:tcPr>
          <w:p>
            <w:pPr>
              <w:spacing w:line="34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二</w:t>
            </w:r>
          </w:p>
        </w:tc>
        <w:tc>
          <w:tcPr>
            <w:tcW w:w="8032" w:type="dxa"/>
            <w:tcBorders>
              <w:tl2br w:val="nil"/>
              <w:tr2bl w:val="nil"/>
            </w:tcBorders>
            <w:noWrap/>
            <w:vAlign w:val="center"/>
          </w:tcPr>
          <w:p>
            <w:pPr>
              <w:spacing w:line="340" w:lineRule="exac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技术参数要求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352" w:type="dxa"/>
            <w:tcBorders>
              <w:tl2br w:val="nil"/>
              <w:tr2bl w:val="nil"/>
            </w:tcBorders>
            <w:noWrap/>
            <w:vAlign w:val="center"/>
          </w:tcPr>
          <w:p>
            <w:pPr>
              <w:spacing w:line="36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▲2.1</w:t>
            </w:r>
          </w:p>
        </w:tc>
        <w:tc>
          <w:tcPr>
            <w:tcW w:w="8032" w:type="dxa"/>
            <w:tcBorders>
              <w:tl2br w:val="nil"/>
              <w:tr2bl w:val="nil"/>
            </w:tcBorders>
            <w:noWrap/>
            <w:vAlign w:val="center"/>
          </w:tcPr>
          <w:p>
            <w:pP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血路管、补液管、原液配方全开放。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352" w:type="dxa"/>
            <w:tcBorders>
              <w:tl2br w:val="nil"/>
              <w:tr2bl w:val="nil"/>
            </w:tcBorders>
            <w:noWrap/>
            <w:vAlign w:val="center"/>
          </w:tcPr>
          <w:p>
            <w:pPr>
              <w:spacing w:line="36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2.2</w:t>
            </w:r>
          </w:p>
        </w:tc>
        <w:tc>
          <w:tcPr>
            <w:tcW w:w="8032" w:type="dxa"/>
            <w:tcBorders>
              <w:tl2br w:val="nil"/>
              <w:tr2bl w:val="nil"/>
            </w:tcBorders>
            <w:noWrap/>
            <w:vAlign w:val="center"/>
          </w:tcPr>
          <w:p>
            <w:pP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≥15英寸彩色液晶触摸显示屏，显示屏可旋转＞200°，一键式引导界面，操作简单，遵循临床操作规范。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52" w:type="dxa"/>
            <w:tcBorders>
              <w:tl2br w:val="nil"/>
              <w:tr2bl w:val="nil"/>
            </w:tcBorders>
            <w:noWrap/>
            <w:vAlign w:val="center"/>
          </w:tcPr>
          <w:p>
            <w:pPr>
              <w:spacing w:line="36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2.3</w:t>
            </w:r>
          </w:p>
        </w:tc>
        <w:tc>
          <w:tcPr>
            <w:tcW w:w="8032" w:type="dxa"/>
            <w:tcBorders>
              <w:tl2br w:val="nil"/>
              <w:tr2bl w:val="nil"/>
            </w:tcBorders>
            <w:noWrap/>
            <w:vAlign w:val="center"/>
          </w:tcPr>
          <w:p>
            <w:pP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全中文操作系统，具有显示和复位报警功能。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52" w:type="dxa"/>
            <w:tcBorders>
              <w:tl2br w:val="nil"/>
              <w:tr2bl w:val="nil"/>
            </w:tcBorders>
            <w:noWrap/>
            <w:vAlign w:val="center"/>
          </w:tcPr>
          <w:p>
            <w:pPr>
              <w:spacing w:line="36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2.4</w:t>
            </w:r>
          </w:p>
        </w:tc>
        <w:tc>
          <w:tcPr>
            <w:tcW w:w="8032" w:type="dxa"/>
            <w:tcBorders>
              <w:tl2br w:val="nil"/>
              <w:tr2bl w:val="nil"/>
            </w:tcBorders>
            <w:noWrap/>
            <w:vAlign w:val="center"/>
          </w:tcPr>
          <w:p>
            <w:pP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数字显示主要参数，包括：动脉压、静脉压、总电导度、碳酸电导度、温度、透析液流量、血流量、超滤量。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52" w:type="dxa"/>
            <w:tcBorders>
              <w:tl2br w:val="nil"/>
              <w:tr2bl w:val="nil"/>
            </w:tcBorders>
            <w:noWrap/>
            <w:vAlign w:val="center"/>
          </w:tcPr>
          <w:p>
            <w:pPr>
              <w:spacing w:line="36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2.5</w:t>
            </w:r>
          </w:p>
        </w:tc>
        <w:tc>
          <w:tcPr>
            <w:tcW w:w="8032" w:type="dxa"/>
            <w:tcBorders>
              <w:tl2br w:val="nil"/>
              <w:tr2bl w:val="nil"/>
            </w:tcBorders>
            <w:noWrap/>
            <w:vAlign w:val="center"/>
          </w:tcPr>
          <w:p>
            <w:pP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透析液流量： 300～800ml/min, 连续可调。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52" w:type="dxa"/>
            <w:tcBorders>
              <w:tl2br w:val="nil"/>
              <w:tr2bl w:val="nil"/>
            </w:tcBorders>
            <w:noWrap/>
            <w:vAlign w:val="center"/>
          </w:tcPr>
          <w:p>
            <w:pPr>
              <w:spacing w:line="36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2.6</w:t>
            </w:r>
          </w:p>
        </w:tc>
        <w:tc>
          <w:tcPr>
            <w:tcW w:w="8032" w:type="dxa"/>
            <w:tcBorders>
              <w:tl2br w:val="nil"/>
              <w:tr2bl w:val="nil"/>
            </w:tcBorders>
            <w:noWrap/>
            <w:vAlign w:val="center"/>
          </w:tcPr>
          <w:p>
            <w:pP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透析液温度控制范围： 34.5℃～39.5℃，有超温保护装置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52" w:type="dxa"/>
            <w:tcBorders>
              <w:tl2br w:val="nil"/>
              <w:tr2bl w:val="nil"/>
            </w:tcBorders>
            <w:noWrap/>
            <w:vAlign w:val="center"/>
          </w:tcPr>
          <w:p>
            <w:pPr>
              <w:spacing w:line="36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2.7</w:t>
            </w:r>
          </w:p>
        </w:tc>
        <w:tc>
          <w:tcPr>
            <w:tcW w:w="8032" w:type="dxa"/>
            <w:tcBorders>
              <w:tl2br w:val="nil"/>
              <w:tr2bl w:val="nil"/>
            </w:tcBorders>
            <w:noWrap/>
            <w:vAlign w:val="center"/>
          </w:tcPr>
          <w:p>
            <w:pP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透析液导电率监测范围： 12.7～15.3ms/cm。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52" w:type="dxa"/>
            <w:tcBorders>
              <w:tl2br w:val="nil"/>
              <w:tr2bl w:val="nil"/>
            </w:tcBorders>
            <w:noWrap/>
            <w:vAlign w:val="center"/>
          </w:tcPr>
          <w:p>
            <w:pPr>
              <w:spacing w:line="36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2.8</w:t>
            </w:r>
          </w:p>
        </w:tc>
        <w:tc>
          <w:tcPr>
            <w:tcW w:w="8032" w:type="dxa"/>
            <w:tcBorders>
              <w:tl2br w:val="nil"/>
              <w:tr2bl w:val="nil"/>
            </w:tcBorders>
            <w:noWrap/>
            <w:vAlign w:val="center"/>
          </w:tcPr>
          <w:p>
            <w:pP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反馈式电导度监测及配比机制，可分别监测B液电导度与总电导度。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52" w:type="dxa"/>
            <w:tcBorders>
              <w:tl2br w:val="nil"/>
              <w:tr2bl w:val="nil"/>
            </w:tcBorders>
            <w:noWrap/>
            <w:vAlign w:val="center"/>
          </w:tcPr>
          <w:p>
            <w:pPr>
              <w:spacing w:line="36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2.9</w:t>
            </w:r>
          </w:p>
        </w:tc>
        <w:tc>
          <w:tcPr>
            <w:tcW w:w="8032" w:type="dxa"/>
            <w:tcBorders>
              <w:tl2br w:val="nil"/>
              <w:tr2bl w:val="nil"/>
            </w:tcBorders>
            <w:noWrap/>
            <w:vAlign w:val="center"/>
          </w:tcPr>
          <w:p>
            <w:pP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待机模式时，将透析液一侧关闭，不吸取AB液， 节省透析液。</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52" w:type="dxa"/>
            <w:tcBorders>
              <w:tl2br w:val="nil"/>
              <w:tr2bl w:val="nil"/>
            </w:tcBorders>
            <w:noWrap/>
            <w:vAlign w:val="center"/>
          </w:tcPr>
          <w:p>
            <w:pPr>
              <w:spacing w:line="36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2.10</w:t>
            </w:r>
          </w:p>
        </w:tc>
        <w:tc>
          <w:tcPr>
            <w:tcW w:w="8032" w:type="dxa"/>
            <w:tcBorders>
              <w:tl2br w:val="nil"/>
              <w:tr2bl w:val="nil"/>
            </w:tcBorders>
            <w:noWrap/>
            <w:vAlign w:val="center"/>
          </w:tcPr>
          <w:p>
            <w:pP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动脉压操作范围：-400～＋400 mmHg，动脉压精度： ±10 mmHg。</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52" w:type="dxa"/>
            <w:tcBorders>
              <w:tl2br w:val="nil"/>
              <w:tr2bl w:val="nil"/>
            </w:tcBorders>
            <w:noWrap/>
            <w:vAlign w:val="center"/>
          </w:tcPr>
          <w:p>
            <w:pPr>
              <w:spacing w:line="36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2.11</w:t>
            </w:r>
          </w:p>
        </w:tc>
        <w:tc>
          <w:tcPr>
            <w:tcW w:w="8032" w:type="dxa"/>
            <w:tcBorders>
              <w:tl2br w:val="nil"/>
              <w:tr2bl w:val="nil"/>
            </w:tcBorders>
            <w:noWrap/>
            <w:vAlign w:val="center"/>
          </w:tcPr>
          <w:p>
            <w:pP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静脉压操作范围：-50～＋390 mmHg，静脉压精度： ±10 mmHg。</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52" w:type="dxa"/>
            <w:tcBorders>
              <w:tl2br w:val="nil"/>
              <w:tr2bl w:val="nil"/>
            </w:tcBorders>
            <w:noWrap/>
            <w:vAlign w:val="center"/>
          </w:tcPr>
          <w:p>
            <w:pPr>
              <w:spacing w:line="36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2.12</w:t>
            </w:r>
          </w:p>
        </w:tc>
        <w:tc>
          <w:tcPr>
            <w:tcW w:w="8032" w:type="dxa"/>
            <w:tcBorders>
              <w:tl2br w:val="nil"/>
              <w:tr2bl w:val="nil"/>
            </w:tcBorders>
            <w:noWrap/>
            <w:vAlign w:val="center"/>
          </w:tcPr>
          <w:p>
            <w:pP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跨膜压操作范围：﹣100mmHg～﹢700 mmHg，跨膜压精度：±20 mmHg。</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52" w:type="dxa"/>
            <w:tcBorders>
              <w:tl2br w:val="nil"/>
              <w:tr2bl w:val="nil"/>
            </w:tcBorders>
            <w:noWrap/>
            <w:vAlign w:val="center"/>
          </w:tcPr>
          <w:p>
            <w:pPr>
              <w:spacing w:line="36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2.13</w:t>
            </w:r>
          </w:p>
        </w:tc>
        <w:tc>
          <w:tcPr>
            <w:tcW w:w="8032" w:type="dxa"/>
            <w:tcBorders>
              <w:tl2br w:val="nil"/>
              <w:tr2bl w:val="nil"/>
            </w:tcBorders>
            <w:noWrap/>
            <w:vAlign w:val="center"/>
          </w:tcPr>
          <w:p>
            <w:pP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血泵流量：0，50～600ml/min可调，血流量调节梯度（步长）10ml/min。</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52" w:type="dxa"/>
            <w:tcBorders>
              <w:tl2br w:val="nil"/>
              <w:tr2bl w:val="nil"/>
            </w:tcBorders>
            <w:noWrap/>
            <w:vAlign w:val="center"/>
          </w:tcPr>
          <w:p>
            <w:pPr>
              <w:spacing w:line="360" w:lineRule="exact"/>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2.14</w:t>
            </w:r>
          </w:p>
        </w:tc>
        <w:tc>
          <w:tcPr>
            <w:tcW w:w="8032" w:type="dxa"/>
            <w:tcBorders>
              <w:tl2br w:val="nil"/>
              <w:tr2bl w:val="nil"/>
            </w:tcBorders>
            <w:noWrap/>
            <w:vAlign w:val="center"/>
          </w:tcPr>
          <w:p>
            <w:pP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肝素注射：0.1～10ml/h可编写停止时间，读数累积肝素容量，肝素泵有自动注入和追加功能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52" w:type="dxa"/>
            <w:tcBorders>
              <w:tl2br w:val="nil"/>
              <w:tr2bl w:val="nil"/>
            </w:tcBorders>
            <w:noWrap/>
            <w:vAlign w:val="center"/>
          </w:tcPr>
          <w:p>
            <w:pPr>
              <w:spacing w:line="36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2.15</w:t>
            </w:r>
          </w:p>
        </w:tc>
        <w:tc>
          <w:tcPr>
            <w:tcW w:w="8032" w:type="dxa"/>
            <w:tcBorders>
              <w:tl2br w:val="nil"/>
              <w:tr2bl w:val="nil"/>
            </w:tcBorders>
            <w:noWrap/>
            <w:vAlign w:val="center"/>
          </w:tcPr>
          <w:p>
            <w:pP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漏血检测与报警：光学原理检测。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52" w:type="dxa"/>
            <w:tcBorders>
              <w:tl2br w:val="nil"/>
              <w:tr2bl w:val="nil"/>
            </w:tcBorders>
            <w:noWrap/>
            <w:vAlign w:val="center"/>
          </w:tcPr>
          <w:p>
            <w:pPr>
              <w:spacing w:line="36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2.16</w:t>
            </w:r>
          </w:p>
        </w:tc>
        <w:tc>
          <w:tcPr>
            <w:tcW w:w="8032" w:type="dxa"/>
            <w:tcBorders>
              <w:tl2br w:val="nil"/>
              <w:tr2bl w:val="nil"/>
            </w:tcBorders>
            <w:noWrap/>
            <w:vAlign w:val="center"/>
          </w:tcPr>
          <w:p>
            <w:pP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超滤方式：容量式平衡腔控制（可探测膜位移）。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52" w:type="dxa"/>
            <w:tcBorders>
              <w:tl2br w:val="nil"/>
              <w:tr2bl w:val="nil"/>
            </w:tcBorders>
            <w:noWrap/>
            <w:vAlign w:val="center"/>
          </w:tcPr>
          <w:p>
            <w:pPr>
              <w:spacing w:line="36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2.17</w:t>
            </w:r>
          </w:p>
        </w:tc>
        <w:tc>
          <w:tcPr>
            <w:tcW w:w="8032" w:type="dxa"/>
            <w:tcBorders>
              <w:tl2br w:val="nil"/>
              <w:tr2bl w:val="nil"/>
            </w:tcBorders>
            <w:noWrap/>
            <w:vAlign w:val="center"/>
          </w:tcPr>
          <w:p>
            <w:pP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超滤率：0, 100～4000ml/h超滤泵误差 &lt;1%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52" w:type="dxa"/>
            <w:tcBorders>
              <w:tl2br w:val="nil"/>
              <w:tr2bl w:val="nil"/>
            </w:tcBorders>
            <w:noWrap/>
            <w:vAlign w:val="center"/>
          </w:tcPr>
          <w:p>
            <w:pPr>
              <w:spacing w:line="360" w:lineRule="exact"/>
              <w:ind w:firstLine="210" w:firstLineChars="1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▲2.18</w:t>
            </w:r>
          </w:p>
        </w:tc>
        <w:tc>
          <w:tcPr>
            <w:tcW w:w="8032" w:type="dxa"/>
            <w:tcBorders>
              <w:tl2br w:val="nil"/>
              <w:tr2bl w:val="nil"/>
            </w:tcBorders>
            <w:noWrap/>
            <w:vAlign w:val="center"/>
          </w:tcPr>
          <w:p>
            <w:pP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具有图标释义功能，点击“帮助”键后再点击图标，可显示该图标的功能释义</w:t>
            </w:r>
            <w:r>
              <w:rPr>
                <w:rFonts w:hint="eastAsia" w:ascii="宋体" w:hAnsi="宋体" w:cs="宋体"/>
                <w:color w:val="auto"/>
                <w:kern w:val="2"/>
                <w:sz w:val="21"/>
                <w:szCs w:val="21"/>
                <w:highlight w:val="none"/>
                <w:lang w:val="en-US" w:eastAsia="zh-CN" w:bidi="ar-SA"/>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52" w:type="dxa"/>
            <w:tcBorders>
              <w:tl2br w:val="nil"/>
              <w:tr2bl w:val="nil"/>
            </w:tcBorders>
            <w:noWrap/>
            <w:vAlign w:val="center"/>
          </w:tcPr>
          <w:p>
            <w:pPr>
              <w:spacing w:line="360" w:lineRule="exact"/>
              <w:ind w:firstLine="210" w:firstLineChars="1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▲2.19</w:t>
            </w:r>
          </w:p>
        </w:tc>
        <w:tc>
          <w:tcPr>
            <w:tcW w:w="8032" w:type="dxa"/>
            <w:tcBorders>
              <w:tl2br w:val="nil"/>
              <w:tr2bl w:val="nil"/>
            </w:tcBorders>
            <w:noWrap/>
            <w:vAlign w:val="center"/>
          </w:tcPr>
          <w:p>
            <w:pP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超滤曲线：可存储设定曲线，</w:t>
            </w:r>
            <w:r>
              <w:rPr>
                <w:rFonts w:hint="eastAsia" w:ascii="宋体" w:hAnsi="宋体" w:cs="宋体"/>
                <w:color w:val="auto"/>
                <w:kern w:val="2"/>
                <w:sz w:val="21"/>
                <w:szCs w:val="21"/>
                <w:highlight w:val="none"/>
                <w:lang w:val="en-US" w:eastAsia="zh-CN" w:bidi="ar-SA"/>
              </w:rPr>
              <w:t>≥</w:t>
            </w:r>
            <w:r>
              <w:rPr>
                <w:rFonts w:hint="eastAsia" w:ascii="宋体" w:hAnsi="宋体" w:eastAsia="宋体" w:cs="宋体"/>
                <w:color w:val="auto"/>
                <w:kern w:val="2"/>
                <w:sz w:val="21"/>
                <w:szCs w:val="21"/>
                <w:highlight w:val="none"/>
                <w:lang w:val="en-US" w:eastAsia="zh-CN" w:bidi="ar-SA"/>
              </w:rPr>
              <w:t>10种固定曲线，</w:t>
            </w:r>
            <w:r>
              <w:rPr>
                <w:rFonts w:hint="eastAsia" w:ascii="宋体" w:hAnsi="宋体" w:cs="宋体"/>
                <w:color w:val="auto"/>
                <w:kern w:val="2"/>
                <w:sz w:val="21"/>
                <w:szCs w:val="21"/>
                <w:highlight w:val="none"/>
                <w:lang w:val="en-US" w:eastAsia="zh-CN" w:bidi="ar-SA"/>
              </w:rPr>
              <w:t>≥</w:t>
            </w:r>
            <w:r>
              <w:rPr>
                <w:rFonts w:hint="eastAsia" w:ascii="宋体" w:hAnsi="宋体" w:eastAsia="宋体" w:cs="宋体"/>
                <w:color w:val="auto"/>
                <w:kern w:val="2"/>
                <w:sz w:val="21"/>
                <w:szCs w:val="21"/>
                <w:highlight w:val="none"/>
                <w:lang w:val="en-US" w:eastAsia="zh-CN" w:bidi="ar-SA"/>
              </w:rPr>
              <w:t>20种自定义曲线，满足个性化透析。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52" w:type="dxa"/>
            <w:tcBorders>
              <w:tl2br w:val="nil"/>
              <w:tr2bl w:val="nil"/>
            </w:tcBorders>
            <w:noWrap/>
            <w:vAlign w:val="center"/>
          </w:tcPr>
          <w:p>
            <w:pPr>
              <w:spacing w:line="360" w:lineRule="exact"/>
              <w:ind w:firstLine="210" w:firstLineChars="1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2.20</w:t>
            </w:r>
          </w:p>
        </w:tc>
        <w:tc>
          <w:tcPr>
            <w:tcW w:w="8032" w:type="dxa"/>
            <w:tcBorders>
              <w:tl2br w:val="nil"/>
              <w:tr2bl w:val="nil"/>
            </w:tcBorders>
            <w:noWrap/>
            <w:vAlign w:val="center"/>
          </w:tcPr>
          <w:p>
            <w:pP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有钠离子曲线、碳酸盐曲线、肝素曲线、透析液流量曲线、透析液温度曲线等功能提供个性化透析方案。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52" w:type="dxa"/>
            <w:noWrap/>
            <w:vAlign w:val="center"/>
          </w:tcPr>
          <w:p>
            <w:pPr>
              <w:spacing w:line="360" w:lineRule="exact"/>
              <w:ind w:firstLine="210" w:firstLineChars="1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2.21</w:t>
            </w:r>
          </w:p>
        </w:tc>
        <w:tc>
          <w:tcPr>
            <w:tcW w:w="8032" w:type="dxa"/>
            <w:noWrap/>
            <w:vAlign w:val="center"/>
          </w:tcPr>
          <w:p>
            <w:pP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具有透析过程中快速补液功能，能够自动累计计算总补液量。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52" w:type="dxa"/>
            <w:noWrap/>
            <w:vAlign w:val="center"/>
          </w:tcPr>
          <w:p>
            <w:pPr>
              <w:spacing w:line="360" w:lineRule="exact"/>
              <w:ind w:firstLine="210" w:firstLineChars="1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★2.22</w:t>
            </w:r>
          </w:p>
        </w:tc>
        <w:tc>
          <w:tcPr>
            <w:tcW w:w="8032" w:type="dxa"/>
            <w:noWrap/>
            <w:vAlign w:val="center"/>
          </w:tcPr>
          <w:p>
            <w:pP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配有透析液过滤器及支架，提供超纯透析液。透析液过滤器需和机器同一品牌，且纳入浙江省药械采购平台并标明其代码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52" w:type="dxa"/>
            <w:noWrap/>
            <w:vAlign w:val="center"/>
          </w:tcPr>
          <w:p>
            <w:pPr>
              <w:spacing w:line="360" w:lineRule="exac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2.23</w:t>
            </w:r>
          </w:p>
        </w:tc>
        <w:tc>
          <w:tcPr>
            <w:tcW w:w="8032" w:type="dxa"/>
            <w:noWrap/>
            <w:vAlign w:val="center"/>
          </w:tcPr>
          <w:p>
            <w:pP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标配透析充分性功能： 显示Kt/v值，为临床医生提供治疗有益数据及参考，有效提高患者的透析充分性。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52" w:type="dxa"/>
            <w:noWrap/>
            <w:vAlign w:val="center"/>
          </w:tcPr>
          <w:p>
            <w:pPr>
              <w:spacing w:line="360" w:lineRule="exac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2.24</w:t>
            </w:r>
          </w:p>
        </w:tc>
        <w:tc>
          <w:tcPr>
            <w:tcW w:w="8032" w:type="dxa"/>
            <w:noWrap/>
            <w:vAlign w:val="center"/>
          </w:tcPr>
          <w:p>
            <w:pP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可保存治疗方案与治疗结果，自动保存至少20次病人治疗记录。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52" w:type="dxa"/>
            <w:noWrap/>
            <w:vAlign w:val="center"/>
          </w:tcPr>
          <w:p>
            <w:pPr>
              <w:spacing w:line="360" w:lineRule="exac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2.25</w:t>
            </w:r>
          </w:p>
        </w:tc>
        <w:tc>
          <w:tcPr>
            <w:tcW w:w="8032" w:type="dxa"/>
            <w:noWrap/>
            <w:vAlign w:val="center"/>
          </w:tcPr>
          <w:p>
            <w:pP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具有完备的自检功能，自身具有维修菜单，故障自我诊断。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52" w:type="dxa"/>
            <w:noWrap/>
            <w:vAlign w:val="center"/>
          </w:tcPr>
          <w:p>
            <w:pPr>
              <w:widowControl/>
              <w:spacing w:line="360" w:lineRule="exac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▲2.26</w:t>
            </w:r>
          </w:p>
        </w:tc>
        <w:tc>
          <w:tcPr>
            <w:tcW w:w="8032" w:type="dxa"/>
            <w:noWrap/>
            <w:vAlign w:val="center"/>
          </w:tcPr>
          <w:p>
            <w:pP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后备电池： 标配内置电池， 保证机器停电后最少使用≥20分钟，并且不丢失数据；同时压力监测，漏血和气泡检测正常工作。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52" w:type="dxa"/>
            <w:noWrap/>
            <w:vAlign w:val="center"/>
          </w:tcPr>
          <w:p>
            <w:pPr>
              <w:widowControl/>
              <w:spacing w:line="360" w:lineRule="exac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▲2.27</w:t>
            </w:r>
          </w:p>
        </w:tc>
        <w:tc>
          <w:tcPr>
            <w:tcW w:w="8032" w:type="dxa"/>
            <w:noWrap/>
            <w:vAlign w:val="center"/>
          </w:tcPr>
          <w:p>
            <w:pP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可进行血路管通透性和密闭性自检，以保证患者透析安全。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52" w:type="dxa"/>
            <w:noWrap/>
            <w:vAlign w:val="center"/>
          </w:tcPr>
          <w:p>
            <w:pPr>
              <w:widowControl/>
              <w:spacing w:line="360" w:lineRule="exac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2.28</w:t>
            </w:r>
          </w:p>
        </w:tc>
        <w:tc>
          <w:tcPr>
            <w:tcW w:w="8032" w:type="dxa"/>
            <w:noWrap/>
            <w:vAlign w:val="center"/>
          </w:tcPr>
          <w:p>
            <w:pP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在线生成置换液，置换液流量范围：20—400ml/分钟。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52" w:type="dxa"/>
            <w:noWrap/>
            <w:vAlign w:val="center"/>
          </w:tcPr>
          <w:p>
            <w:pPr>
              <w:widowControl/>
              <w:spacing w:line="360" w:lineRule="exac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2.29</w:t>
            </w:r>
          </w:p>
        </w:tc>
        <w:tc>
          <w:tcPr>
            <w:tcW w:w="8032" w:type="dxa"/>
            <w:noWrap/>
            <w:vAlign w:val="center"/>
          </w:tcPr>
          <w:p>
            <w:pP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具有透析过程中快速补液功能，能够自动累计计算总补液量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52" w:type="dxa"/>
            <w:noWrap/>
            <w:vAlign w:val="center"/>
          </w:tcPr>
          <w:p>
            <w:pPr>
              <w:widowControl/>
              <w:spacing w:line="360" w:lineRule="exac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2.30</w:t>
            </w:r>
          </w:p>
        </w:tc>
        <w:tc>
          <w:tcPr>
            <w:tcW w:w="8032" w:type="dxa"/>
            <w:noWrap/>
            <w:vAlign w:val="center"/>
          </w:tcPr>
          <w:p>
            <w:pP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机器使用期限≥10年或者≥30000小时（提供设备铭牌</w:t>
            </w:r>
            <w:r>
              <w:rPr>
                <w:rFonts w:hint="eastAsia" w:ascii="宋体" w:hAnsi="宋体" w:cs="宋体"/>
                <w:color w:val="auto"/>
                <w:kern w:val="2"/>
                <w:sz w:val="21"/>
                <w:szCs w:val="21"/>
                <w:highlight w:val="none"/>
                <w:lang w:val="en-US" w:eastAsia="zh-CN" w:bidi="ar-SA"/>
              </w:rPr>
              <w:t>或其他</w:t>
            </w:r>
            <w:r>
              <w:rPr>
                <w:rFonts w:hint="eastAsia" w:ascii="宋体" w:hAnsi="宋体" w:eastAsia="宋体" w:cs="宋体"/>
                <w:color w:val="auto"/>
                <w:kern w:val="2"/>
                <w:sz w:val="21"/>
                <w:szCs w:val="21"/>
                <w:highlight w:val="none"/>
                <w:lang w:val="en-US" w:eastAsia="zh-CN" w:bidi="ar-SA"/>
              </w:rPr>
              <w:t>证明）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52" w:type="dxa"/>
            <w:noWrap/>
            <w:vAlign w:val="center"/>
          </w:tcPr>
          <w:p>
            <w:pPr>
              <w:widowControl/>
              <w:spacing w:line="36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三</w:t>
            </w:r>
          </w:p>
        </w:tc>
        <w:tc>
          <w:tcPr>
            <w:tcW w:w="8032" w:type="dxa"/>
            <w:noWrap/>
            <w:vAlign w:val="center"/>
          </w:tcPr>
          <w:p>
            <w:pPr>
              <w:spacing w:line="360" w:lineRule="exact"/>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配置要求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52" w:type="dxa"/>
            <w:noWrap/>
            <w:vAlign w:val="center"/>
          </w:tcPr>
          <w:p>
            <w:pPr>
              <w:widowControl/>
              <w:spacing w:line="36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3.1</w:t>
            </w:r>
          </w:p>
        </w:tc>
        <w:tc>
          <w:tcPr>
            <w:tcW w:w="8032" w:type="dxa"/>
            <w:noWrap/>
            <w:vAlign w:val="center"/>
          </w:tcPr>
          <w:p>
            <w:pPr>
              <w:spacing w:after="12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主机一台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52" w:type="dxa"/>
            <w:noWrap/>
            <w:vAlign w:val="center"/>
          </w:tcPr>
          <w:p>
            <w:pPr>
              <w:widowControl/>
              <w:spacing w:line="36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3.2</w:t>
            </w:r>
          </w:p>
        </w:tc>
        <w:tc>
          <w:tcPr>
            <w:tcW w:w="8032" w:type="dxa"/>
            <w:noWrap/>
            <w:vAlign w:val="center"/>
          </w:tcPr>
          <w:p>
            <w:pPr>
              <w:widowControl/>
              <w:spacing w:line="360" w:lineRule="exact"/>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配置原装在线电子血压计监测模块， 有实时自动血压监测与报警功能。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52" w:type="dxa"/>
            <w:noWrap/>
            <w:vAlign w:val="center"/>
          </w:tcPr>
          <w:p>
            <w:pPr>
              <w:widowControl/>
              <w:spacing w:line="36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3.3</w:t>
            </w:r>
          </w:p>
        </w:tc>
        <w:tc>
          <w:tcPr>
            <w:tcW w:w="8032" w:type="dxa"/>
            <w:noWrap/>
            <w:vAlign w:val="center"/>
          </w:tcPr>
          <w:p>
            <w:pPr>
              <w:widowControl/>
              <w:spacing w:line="360" w:lineRule="exact"/>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配B干粉支架</w:t>
            </w:r>
          </w:p>
        </w:tc>
      </w:tr>
    </w:tbl>
    <w:p>
      <w:pPr>
        <w:spacing w:line="440" w:lineRule="exact"/>
        <w:ind w:firstLine="211" w:firstLineChars="100"/>
        <w:rPr>
          <w:rFonts w:hint="default" w:ascii="宋体" w:hAnsi="宋体" w:cs="Times New Roman"/>
          <w:b/>
          <w:bCs/>
          <w:color w:val="auto"/>
          <w:kern w:val="2"/>
          <w:sz w:val="21"/>
          <w:szCs w:val="21"/>
          <w:highlight w:val="none"/>
          <w:lang w:val="en-US" w:eastAsia="zh-CN" w:bidi="ar-SA"/>
        </w:rPr>
      </w:pPr>
      <w:r>
        <w:rPr>
          <w:rFonts w:hint="eastAsia" w:ascii="宋体" w:hAnsi="宋体" w:eastAsia="宋体" w:cs="Times New Roman"/>
          <w:b/>
          <w:bCs/>
          <w:color w:val="auto"/>
          <w:kern w:val="2"/>
          <w:sz w:val="21"/>
          <w:szCs w:val="21"/>
          <w:highlight w:val="none"/>
          <w:lang w:val="en-US" w:eastAsia="zh-CN" w:bidi="ar-SA"/>
        </w:rPr>
        <w:t>注：</w:t>
      </w:r>
      <w:r>
        <w:rPr>
          <w:rFonts w:hint="eastAsia" w:ascii="宋体" w:hAnsi="宋体" w:cs="Times New Roman"/>
          <w:b/>
          <w:bCs/>
          <w:color w:val="auto"/>
          <w:kern w:val="2"/>
          <w:sz w:val="21"/>
          <w:szCs w:val="21"/>
          <w:highlight w:val="none"/>
          <w:lang w:val="en-US" w:eastAsia="zh-CN" w:bidi="ar-SA"/>
        </w:rPr>
        <w:t>1、以上参数为单台参数。</w:t>
      </w:r>
    </w:p>
    <w:p>
      <w:pPr>
        <w:spacing w:line="440" w:lineRule="exact"/>
        <w:ind w:firstLine="632" w:firstLineChars="300"/>
        <w:rPr>
          <w:rFonts w:hint="eastAsia" w:ascii="宋体" w:hAnsi="宋体" w:eastAsia="宋体" w:cs="Times New Roman"/>
          <w:b/>
          <w:bCs/>
          <w:color w:val="auto"/>
          <w:kern w:val="2"/>
          <w:sz w:val="21"/>
          <w:szCs w:val="21"/>
          <w:highlight w:val="none"/>
          <w:lang w:val="en-US" w:eastAsia="zh-CN" w:bidi="ar-SA"/>
        </w:rPr>
      </w:pPr>
      <w:r>
        <w:rPr>
          <w:rFonts w:hint="eastAsia" w:ascii="宋体" w:hAnsi="宋体" w:cs="Times New Roman"/>
          <w:b/>
          <w:bCs/>
          <w:color w:val="auto"/>
          <w:kern w:val="2"/>
          <w:sz w:val="21"/>
          <w:szCs w:val="21"/>
          <w:highlight w:val="none"/>
          <w:lang w:val="en-US" w:eastAsia="zh-CN" w:bidi="ar-SA"/>
        </w:rPr>
        <w:t>2、</w:t>
      </w:r>
      <w:r>
        <w:rPr>
          <w:rFonts w:hint="eastAsia" w:ascii="宋体" w:hAnsi="宋体" w:eastAsia="宋体" w:cs="Times New Roman"/>
          <w:b/>
          <w:bCs/>
          <w:color w:val="auto"/>
          <w:kern w:val="2"/>
          <w:sz w:val="21"/>
          <w:szCs w:val="21"/>
          <w:highlight w:val="none"/>
          <w:lang w:val="en-US" w:eastAsia="zh-CN" w:bidi="ar-SA"/>
        </w:rPr>
        <w:t>设备参数不低于以上配置要求。</w:t>
      </w:r>
    </w:p>
    <w:p>
      <w:pPr>
        <w:spacing w:line="440" w:lineRule="exact"/>
        <w:ind w:firstLine="211" w:firstLineChars="100"/>
        <w:rPr>
          <w:rFonts w:ascii="宋体" w:hAnsi="宋体" w:cs="Arial"/>
          <w:b/>
          <w:color w:val="auto"/>
          <w:sz w:val="21"/>
          <w:szCs w:val="21"/>
          <w:highlight w:val="none"/>
        </w:rPr>
      </w:pPr>
      <w:r>
        <w:rPr>
          <w:rFonts w:hint="eastAsia" w:ascii="宋体" w:hAnsi="宋体" w:cs="宋体"/>
          <w:b/>
          <w:color w:val="auto"/>
          <w:sz w:val="21"/>
          <w:szCs w:val="21"/>
          <w:highlight w:val="none"/>
        </w:rPr>
        <w:t>【★】</w:t>
      </w:r>
      <w:r>
        <w:rPr>
          <w:rFonts w:hint="eastAsia" w:ascii="宋体" w:hAnsi="宋体" w:cs="Arial"/>
          <w:b/>
          <w:color w:val="auto"/>
          <w:sz w:val="21"/>
          <w:szCs w:val="21"/>
          <w:highlight w:val="none"/>
          <w:lang w:val="en-US" w:eastAsia="zh-CN"/>
        </w:rPr>
        <w:t>六</w:t>
      </w:r>
      <w:r>
        <w:rPr>
          <w:rFonts w:hint="eastAsia" w:ascii="宋体" w:hAnsi="宋体" w:cs="Arial"/>
          <w:b/>
          <w:color w:val="auto"/>
          <w:sz w:val="21"/>
          <w:szCs w:val="21"/>
          <w:highlight w:val="none"/>
        </w:rPr>
        <w:t>、商务条款：</w:t>
      </w:r>
    </w:p>
    <w:tbl>
      <w:tblPr>
        <w:tblStyle w:val="39"/>
        <w:tblpPr w:leftFromText="180" w:rightFromText="180" w:vertAnchor="text" w:tblpXSpec="center" w:tblpY="1"/>
        <w:tblOverlap w:val="never"/>
        <w:tblW w:w="0" w:type="auto"/>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2127"/>
        <w:gridCol w:w="7252"/>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2017" w:hRule="atLeast"/>
        </w:trPr>
        <w:tc>
          <w:tcPr>
            <w:tcW w:w="2127" w:type="dxa"/>
            <w:tcBorders>
              <w:top w:val="single" w:color="auto" w:sz="4" w:space="0"/>
              <w:left w:val="single" w:color="auto" w:sz="4" w:space="0"/>
            </w:tcBorders>
            <w:noWrap w:val="0"/>
            <w:vAlign w:val="center"/>
          </w:tcPr>
          <w:p>
            <w:pPr>
              <w:snapToGrid w:val="0"/>
              <w:spacing w:line="3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包装及运输</w:t>
            </w:r>
          </w:p>
        </w:tc>
        <w:tc>
          <w:tcPr>
            <w:tcW w:w="7252" w:type="dxa"/>
            <w:tcBorders>
              <w:top w:val="single" w:color="auto" w:sz="4" w:space="0"/>
              <w:right w:val="single" w:color="auto" w:sz="4" w:space="0"/>
            </w:tcBorders>
            <w:noWrap w:val="0"/>
            <w:vAlign w:val="center"/>
          </w:tcPr>
          <w:p>
            <w:pPr>
              <w:keepNext w:val="0"/>
              <w:keepLines w:val="0"/>
              <w:pageBreakBefore w:val="0"/>
              <w:widowControl w:val="0"/>
              <w:numPr>
                <w:ilvl w:val="0"/>
                <w:numId w:val="6"/>
              </w:numPr>
              <w:kinsoku/>
              <w:wordWrap/>
              <w:overflowPunct/>
              <w:topLinePunct w:val="0"/>
              <w:autoSpaceDE/>
              <w:autoSpaceDN/>
              <w:bidi w:val="0"/>
              <w:adjustRightInd/>
              <w:snapToGrid/>
              <w:spacing w:line="340" w:lineRule="exact"/>
              <w:ind w:left="0" w:leftChars="0" w:right="0" w:rightChars="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产品包装应符合国家或专业（部）标准规定。货物交付时，应附有产品合格证书（包括合格证、部件合格证、材料合格证等）、产品说明书、装箱单、易损件、备件及专用工具清单等，一套完整的技术文件资料。</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应保证所供货物是全新的、未使用过的货物。</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应保证其货物在正确安装、正常使用和保养条件下，在使用寿命内应确保正常使用寿命。</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应负责设备的途中运输，对途中运输的安全负责。</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2127" w:type="dxa"/>
            <w:tcBorders>
              <w:left w:val="single" w:color="auto" w:sz="4" w:space="0"/>
            </w:tcBorders>
            <w:noWrap w:val="0"/>
            <w:vAlign w:val="center"/>
          </w:tcPr>
          <w:p>
            <w:pPr>
              <w:snapToGrid w:val="0"/>
              <w:spacing w:line="3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合格标准</w:t>
            </w:r>
          </w:p>
        </w:tc>
        <w:tc>
          <w:tcPr>
            <w:tcW w:w="7252" w:type="dxa"/>
            <w:tcBorders>
              <w:right w:val="single" w:color="auto" w:sz="4" w:space="0"/>
            </w:tcBorders>
            <w:noWrap w:val="0"/>
            <w:vAlign w:val="center"/>
          </w:tcPr>
          <w:p>
            <w:pPr>
              <w:snapToGrid w:val="0"/>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一次性验收。</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2127" w:type="dxa"/>
            <w:tcBorders>
              <w:left w:val="single" w:color="auto" w:sz="4" w:space="0"/>
            </w:tcBorders>
            <w:noWrap w:val="0"/>
            <w:vAlign w:val="center"/>
          </w:tcPr>
          <w:p>
            <w:pPr>
              <w:snapToGrid w:val="0"/>
              <w:spacing w:line="32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验收</w:t>
            </w:r>
          </w:p>
        </w:tc>
        <w:tc>
          <w:tcPr>
            <w:tcW w:w="7252" w:type="dxa"/>
            <w:tcBorders>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right="0" w:rightChars="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   1、</w:t>
            </w:r>
            <w:r>
              <w:rPr>
                <w:rFonts w:hint="eastAsia" w:ascii="宋体" w:hAnsi="宋体" w:eastAsia="宋体" w:cs="宋体"/>
                <w:color w:val="auto"/>
                <w:sz w:val="21"/>
                <w:szCs w:val="21"/>
                <w:highlight w:val="none"/>
              </w:rPr>
              <w:t>验收时间：中标人在设备</w:t>
            </w:r>
            <w:r>
              <w:rPr>
                <w:rFonts w:hint="eastAsia" w:ascii="宋体" w:hAnsi="宋体" w:eastAsia="宋体" w:cs="宋体"/>
                <w:color w:val="auto"/>
                <w:sz w:val="21"/>
                <w:szCs w:val="21"/>
                <w:highlight w:val="none"/>
                <w:lang w:val="en-US" w:eastAsia="zh-CN"/>
              </w:rPr>
              <w:t>全部</w:t>
            </w:r>
            <w:r>
              <w:rPr>
                <w:rFonts w:hint="eastAsia" w:ascii="宋体" w:hAnsi="宋体" w:eastAsia="宋体" w:cs="宋体"/>
                <w:color w:val="auto"/>
                <w:sz w:val="21"/>
                <w:szCs w:val="21"/>
                <w:highlight w:val="none"/>
              </w:rPr>
              <w:t>送达指定地点并安装调试完毕后，书面通知采购人报验。</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right="0" w:rightChars="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验收方式： 验收由采购人和</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联合参加，按规范进行验收，验收以</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和投标文件、合同及国家相关的现行标准为依据，验收的基本要求如下：</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right="0" w:rightChars="0" w:firstLine="210" w:firstLineChars="10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（1）采购人对中标人提交的货物依据采购文件上的技术规格要求和国家有关质量标准进行现场初步验收，外观、说明书符合采购文件技术要求的，给予签收，初步验收不合格的不予签收。</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right="0" w:rightChars="0" w:firstLine="210" w:firstLineChars="10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初步验收完成后，采购人组织对中标人履约的验收。大型或者复杂的政府采购项目，应当邀请国家认可的质量检测机构参加验收工作。验收方成员应当在验收书上签字，并承担相应的法律责任。如果发现与合同要求不符，中标人须承担由此发生的一切损失和费用，并接受相应的处理。</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right="0" w:rightChars="0" w:firstLine="210" w:firstLineChars="10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（3）采购人可以邀请参加本项目的其他投标人或者第三方机构参与验收。参与验收的投标人或者第三方机构的意见作为验收书的参考资料一并存档。</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right="0" w:rightChars="0" w:firstLine="210" w:firstLineChars="10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严格按照采购合同开展履约验收。采购人成立验收小组，按照采购合同的约定对中标人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right="0" w:rightChars="0" w:firstLine="210" w:firstLineChars="10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验收合格的项目，采购人将根据采购合同的约定及时向供应商支付采购资金、退还履约保证金。验收不合格的项目，采购人将依法及时处理。采购合同的履行、违约责任和解决争议的方式等适用《中华人民共和国民法典》。中标人在履约过程中有政府采购法律法规规定的违法违规情形的，采购人应当及时报告本级财政部门。</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right="0" w:rightChars="0" w:firstLine="210" w:firstLineChars="10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（6）验收时中标人必须在现场，验收过程中相关检测费用（如有）由中标人负责。</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right="0" w:rightChars="0" w:firstLine="210" w:firstLineChars="1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（7）设备安装、调试结束，如需邀请国家认可的质量检测机构参加验收工作，并出具验收合格的证明材料，验收方成员应当在验收书上签字，并承担相应的法律责任，所发生的费用由中标人支付（如有）。</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105" w:hRule="atLeast"/>
        </w:trPr>
        <w:tc>
          <w:tcPr>
            <w:tcW w:w="2127" w:type="dxa"/>
            <w:tcBorders>
              <w:left w:val="single" w:color="auto" w:sz="4" w:space="0"/>
              <w:bottom w:val="single" w:color="auto" w:sz="4" w:space="0"/>
            </w:tcBorders>
            <w:noWrap w:val="0"/>
            <w:vAlign w:val="center"/>
          </w:tcPr>
          <w:p>
            <w:pPr>
              <w:snapToGrid w:val="0"/>
              <w:spacing w:line="3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质保期及售后服务</w:t>
            </w:r>
          </w:p>
        </w:tc>
        <w:tc>
          <w:tcPr>
            <w:tcW w:w="7252" w:type="dxa"/>
            <w:tcBorders>
              <w:bottom w:val="single" w:color="auto" w:sz="4" w:space="0"/>
              <w:right w:val="single" w:color="auto" w:sz="4" w:space="0"/>
            </w:tcBorders>
            <w:noWrap w:val="0"/>
            <w:vAlign w:val="center"/>
          </w:tcPr>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1.本项目</w:t>
            </w:r>
            <w:r>
              <w:rPr>
                <w:rFonts w:hint="eastAsia" w:ascii="宋体" w:hAnsi="宋体" w:eastAsia="宋体" w:cs="宋体"/>
                <w:color w:val="auto"/>
                <w:sz w:val="21"/>
                <w:szCs w:val="21"/>
                <w:highlight w:val="none"/>
                <w:lang w:val="en-US" w:eastAsia="zh-CN"/>
              </w:rPr>
              <w:t>设备</w:t>
            </w:r>
            <w:r>
              <w:rPr>
                <w:rFonts w:hint="eastAsia" w:ascii="宋体" w:hAnsi="宋体" w:eastAsia="宋体" w:cs="宋体"/>
                <w:color w:val="auto"/>
                <w:sz w:val="21"/>
                <w:szCs w:val="21"/>
                <w:highlight w:val="none"/>
              </w:rPr>
              <w:t>提供至少</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年质保</w:t>
            </w:r>
            <w:r>
              <w:rPr>
                <w:rFonts w:hint="eastAsia" w:ascii="宋体" w:hAnsi="宋体" w:eastAsia="宋体" w:cs="宋体"/>
                <w:color w:val="auto"/>
                <w:sz w:val="21"/>
                <w:szCs w:val="21"/>
                <w:highlight w:val="none"/>
              </w:rPr>
              <w:t>，实际质保期以</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承诺为准，质保期从安装调试完毕，最终验收合格之日开始计算。除非采购人另有要求，质保期内的服务均为免费上门服务，中标单位须在签订合同前提供原厂承诺期质保函原件及授权函原件，若不提供，不予签订采购合同。</w:t>
            </w: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2.在保修期内，采购人有质量问题申报，</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（或原厂商，须在投标文件中注明由谁提供该服务）须在半小时内电话响应并提供解决方案；若不能以电话方式解决故障，</w:t>
            </w:r>
            <w:r>
              <w:rPr>
                <w:rFonts w:hint="eastAsia" w:ascii="宋体" w:hAnsi="宋体" w:eastAsia="宋体" w:cs="宋体"/>
                <w:color w:val="auto"/>
                <w:sz w:val="21"/>
                <w:szCs w:val="21"/>
                <w:highlight w:val="none"/>
                <w:lang w:val="en-US" w:eastAsia="zh-CN"/>
              </w:rPr>
              <w:t>必</w:t>
            </w:r>
            <w:r>
              <w:rPr>
                <w:rFonts w:hint="eastAsia" w:ascii="宋体" w:hAnsi="宋体" w:eastAsia="宋体" w:cs="宋体"/>
                <w:color w:val="auto"/>
                <w:sz w:val="21"/>
                <w:szCs w:val="21"/>
                <w:highlight w:val="none"/>
              </w:rPr>
              <w:t>须到现场，24小时内解决。若不能现场解决，须提供同等货物替换，以确保采购人的正常使用；或与采购人协商解决。</w:t>
            </w: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3.质保期内，与维修相关的所有费用由</w:t>
            </w:r>
            <w:r>
              <w:rPr>
                <w:rFonts w:hint="eastAsia" w:ascii="宋体" w:hAnsi="宋体" w:eastAsia="宋体" w:cs="宋体"/>
                <w:color w:val="auto"/>
                <w:sz w:val="21"/>
                <w:szCs w:val="21"/>
                <w:highlight w:val="none"/>
                <w:lang w:val="en-US" w:eastAsia="zh-CN"/>
              </w:rPr>
              <w:t>中标人</w:t>
            </w:r>
            <w:r>
              <w:rPr>
                <w:rFonts w:hint="eastAsia" w:ascii="宋体" w:hAnsi="宋体" w:eastAsia="宋体" w:cs="宋体"/>
                <w:color w:val="auto"/>
                <w:sz w:val="21"/>
                <w:szCs w:val="21"/>
                <w:highlight w:val="none"/>
              </w:rPr>
              <w:t>负责。</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787" w:hRule="atLeast"/>
        </w:trPr>
        <w:tc>
          <w:tcPr>
            <w:tcW w:w="2127" w:type="dxa"/>
            <w:tcBorders>
              <w:top w:val="single" w:color="auto" w:sz="4" w:space="0"/>
              <w:left w:val="single" w:color="auto" w:sz="4" w:space="0"/>
            </w:tcBorders>
            <w:noWrap w:val="0"/>
            <w:vAlign w:val="center"/>
          </w:tcPr>
          <w:p>
            <w:pPr>
              <w:snapToGrid w:val="0"/>
              <w:spacing w:line="3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项目投标报价要求</w:t>
            </w:r>
          </w:p>
        </w:tc>
        <w:tc>
          <w:tcPr>
            <w:tcW w:w="7252" w:type="dxa"/>
            <w:tcBorders>
              <w:top w:val="single" w:color="auto" w:sz="4" w:space="0"/>
              <w:right w:val="single" w:color="auto" w:sz="4" w:space="0"/>
            </w:tcBorders>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1.投标报价包括本项目所需的一切产品购置费、标准附件、备品备件、专用工具、包装、运输、装卸、保险、交货</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安装调试、培训、保修、处理缺陷、现场试验、试运行、验收和质保期内售后服务伴随服务、质保期售后服务及合同实施过程中完成本项目应预见和不可预见费用、招标代理费、</w:t>
            </w:r>
            <w:r>
              <w:rPr>
                <w:rFonts w:hint="eastAsia" w:ascii="宋体" w:hAnsi="宋体" w:eastAsia="宋体" w:cs="宋体"/>
                <w:color w:val="auto"/>
                <w:sz w:val="21"/>
                <w:szCs w:val="21"/>
                <w:highlight w:val="none"/>
                <w:lang w:val="en-US" w:eastAsia="zh-CN"/>
              </w:rPr>
              <w:t>利润、</w:t>
            </w:r>
            <w:r>
              <w:rPr>
                <w:rFonts w:hint="eastAsia" w:ascii="宋体" w:hAnsi="宋体" w:eastAsia="宋体" w:cs="宋体"/>
                <w:color w:val="auto"/>
                <w:sz w:val="21"/>
                <w:szCs w:val="21"/>
                <w:highlight w:val="none"/>
              </w:rPr>
              <w:t>税金等一切费用。即投标人所投报的投标报价为投标人所能承受的整个项目的最低一次性报价，如有漏项，视同已包含在</w:t>
            </w:r>
            <w:r>
              <w:rPr>
                <w:rFonts w:hint="eastAsia" w:ascii="宋体" w:hAnsi="宋体" w:eastAsia="宋体" w:cs="宋体"/>
                <w:color w:val="auto"/>
                <w:sz w:val="21"/>
                <w:szCs w:val="21"/>
                <w:highlight w:val="none"/>
                <w:lang w:eastAsia="zh-CN"/>
              </w:rPr>
              <w:t>其他项目中</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单价</w:t>
            </w:r>
            <w:r>
              <w:rPr>
                <w:rFonts w:hint="eastAsia" w:ascii="宋体" w:hAnsi="宋体" w:eastAsia="宋体" w:cs="宋体"/>
                <w:color w:val="auto"/>
                <w:sz w:val="21"/>
                <w:szCs w:val="21"/>
                <w:highlight w:val="none"/>
                <w:lang w:val="en-US" w:eastAsia="zh-CN"/>
              </w:rPr>
              <w:t>和总价</w:t>
            </w:r>
            <w:r>
              <w:rPr>
                <w:rFonts w:hint="eastAsia" w:ascii="宋体" w:hAnsi="宋体" w:eastAsia="宋体" w:cs="宋体"/>
                <w:color w:val="auto"/>
                <w:sz w:val="21"/>
                <w:szCs w:val="21"/>
                <w:highlight w:val="none"/>
              </w:rPr>
              <w:t>不作调整。</w:t>
            </w: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lang w:eastAsia="zh-CN"/>
              </w:rPr>
              <w:t>采购文件</w:t>
            </w:r>
            <w:r>
              <w:rPr>
                <w:rFonts w:hint="eastAsia" w:ascii="宋体" w:hAnsi="宋体" w:eastAsia="宋体" w:cs="宋体"/>
                <w:b/>
                <w:bCs/>
                <w:color w:val="auto"/>
                <w:sz w:val="21"/>
                <w:szCs w:val="21"/>
                <w:highlight w:val="none"/>
              </w:rPr>
              <w:t>中仅列举主要设备的清单和技术参数要求，其他为满足本项目技术要求所必须配置的软、硬件设备由中标单位根据</w:t>
            </w:r>
            <w:r>
              <w:rPr>
                <w:rFonts w:hint="eastAsia" w:ascii="宋体" w:hAnsi="宋体" w:eastAsia="宋体" w:cs="宋体"/>
                <w:b/>
                <w:bCs/>
                <w:color w:val="auto"/>
                <w:sz w:val="21"/>
                <w:szCs w:val="21"/>
                <w:highlight w:val="none"/>
                <w:lang w:eastAsia="zh-CN"/>
              </w:rPr>
              <w:t>采购文件</w:t>
            </w:r>
            <w:r>
              <w:rPr>
                <w:rFonts w:hint="eastAsia" w:ascii="宋体" w:hAnsi="宋体" w:eastAsia="宋体" w:cs="宋体"/>
                <w:b/>
                <w:bCs/>
                <w:color w:val="auto"/>
                <w:sz w:val="21"/>
                <w:szCs w:val="21"/>
                <w:highlight w:val="none"/>
              </w:rPr>
              <w:t>要求和实际需求进行配置并在</w:t>
            </w:r>
            <w:r>
              <w:rPr>
                <w:rFonts w:hint="eastAsia" w:ascii="宋体" w:hAnsi="宋体" w:eastAsia="宋体" w:cs="宋体"/>
                <w:b/>
                <w:bCs/>
                <w:color w:val="auto"/>
                <w:sz w:val="21"/>
                <w:szCs w:val="21"/>
                <w:highlight w:val="none"/>
                <w:lang w:eastAsia="zh-CN"/>
              </w:rPr>
              <w:t>投标</w:t>
            </w:r>
            <w:r>
              <w:rPr>
                <w:rFonts w:hint="eastAsia" w:ascii="宋体" w:hAnsi="宋体" w:eastAsia="宋体" w:cs="宋体"/>
                <w:b/>
                <w:bCs/>
                <w:color w:val="auto"/>
                <w:sz w:val="21"/>
                <w:szCs w:val="21"/>
                <w:highlight w:val="none"/>
              </w:rPr>
              <w:t>文件以及报价中体现，如有出现遗漏</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误差，均须由中标单位免费提供。</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2127" w:type="dxa"/>
            <w:tcBorders>
              <w:left w:val="single" w:color="auto" w:sz="4" w:space="0"/>
            </w:tcBorders>
            <w:noWrap w:val="0"/>
            <w:vAlign w:val="center"/>
          </w:tcPr>
          <w:p>
            <w:pPr>
              <w:snapToGrid w:val="0"/>
              <w:spacing w:line="3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合同工期及地点</w:t>
            </w:r>
          </w:p>
        </w:tc>
        <w:tc>
          <w:tcPr>
            <w:tcW w:w="7252" w:type="dxa"/>
            <w:tcBorders>
              <w:right w:val="single" w:color="auto" w:sz="4" w:space="0"/>
            </w:tcBorders>
            <w:noWrap w:val="0"/>
            <w:vAlign w:val="center"/>
          </w:tcPr>
          <w:p>
            <w:pPr>
              <w:pStyle w:val="36"/>
              <w:keepNext w:val="0"/>
              <w:keepLines w:val="0"/>
              <w:pageBreakBefore w:val="0"/>
              <w:kinsoku/>
              <w:wordWrap/>
              <w:overflowPunct/>
              <w:topLinePunct w:val="0"/>
              <w:autoSpaceDE/>
              <w:autoSpaceDN/>
              <w:bidi w:val="0"/>
              <w:adjustRightInd/>
              <w:spacing w:before="0" w:beforeAutospacing="0" w:after="0" w:afterAutospacing="0" w:line="380" w:lineRule="exact"/>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合同签订后 40日历天内完成所有项目实施并且通过验收。（若由于采购人的场地等客观原因需延期供货的，由中标人无偿保管）</w:t>
            </w:r>
          </w:p>
          <w:p>
            <w:pPr>
              <w:pStyle w:val="36"/>
              <w:keepNext w:val="0"/>
              <w:keepLines w:val="0"/>
              <w:pageBreakBefore w:val="0"/>
              <w:kinsoku/>
              <w:wordWrap/>
              <w:overflowPunct/>
              <w:topLinePunct w:val="0"/>
              <w:autoSpaceDE/>
              <w:autoSpaceDN/>
              <w:bidi w:val="0"/>
              <w:adjustRightInd/>
              <w:spacing w:before="0" w:beforeAutospacing="0" w:after="0" w:afterAutospacing="0"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地点：由</w:t>
            </w:r>
            <w:r>
              <w:rPr>
                <w:rFonts w:hint="eastAsia" w:ascii="宋体" w:hAnsi="宋体" w:eastAsia="宋体" w:cs="宋体"/>
                <w:color w:val="auto"/>
                <w:sz w:val="21"/>
                <w:szCs w:val="21"/>
                <w:highlight w:val="none"/>
                <w:lang w:eastAsia="zh-CN"/>
              </w:rPr>
              <w:t>兰溪市人民医院</w:t>
            </w:r>
            <w:r>
              <w:rPr>
                <w:rFonts w:hint="eastAsia" w:ascii="宋体" w:hAnsi="宋体" w:eastAsia="宋体" w:cs="宋体"/>
                <w:color w:val="auto"/>
                <w:sz w:val="21"/>
                <w:szCs w:val="21"/>
                <w:highlight w:val="none"/>
              </w:rPr>
              <w:t>指定。</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2127" w:type="dxa"/>
            <w:tcBorders>
              <w:left w:val="single" w:color="auto" w:sz="4" w:space="0"/>
            </w:tcBorders>
            <w:noWrap w:val="0"/>
            <w:vAlign w:val="center"/>
          </w:tcPr>
          <w:p>
            <w:pPr>
              <w:snapToGrid w:val="0"/>
              <w:spacing w:line="3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付款条件</w:t>
            </w:r>
          </w:p>
        </w:tc>
        <w:tc>
          <w:tcPr>
            <w:tcW w:w="7252" w:type="dxa"/>
            <w:tcBorders>
              <w:right w:val="single" w:color="auto" w:sz="4" w:space="0"/>
            </w:tcBorders>
            <w:noWrap w:val="0"/>
            <w:vAlign w:val="center"/>
          </w:tcPr>
          <w:p>
            <w:pPr>
              <w:pStyle w:val="9"/>
              <w:numPr>
                <w:ilvl w:val="0"/>
                <w:numId w:val="0"/>
              </w:numPr>
              <w:spacing w:line="340" w:lineRule="exact"/>
              <w:ind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1、在合同生效后的7日内，采购人向中标人支付合同金额的70%作为预付款；设备到货安装完成并通过验收后，七个工作日内支付至合同总价的100%；以上付款节点均需在专项债资金到位后支付；</w:t>
            </w:r>
          </w:p>
          <w:p>
            <w:pPr>
              <w:pStyle w:val="9"/>
              <w:numPr>
                <w:ilvl w:val="0"/>
                <w:numId w:val="0"/>
              </w:numPr>
              <w:spacing w:line="340" w:lineRule="exact"/>
              <w:ind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2、如项目被审计部门抽查复审，则以审计部门复核的结论为最终结算结果；</w:t>
            </w:r>
          </w:p>
          <w:p>
            <w:pPr>
              <w:snapToGrid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SA"/>
              </w:rPr>
              <w:t>3、中标人在结算合同价款时须提供正式发票。</w:t>
            </w:r>
          </w:p>
        </w:tc>
      </w:tr>
    </w:tbl>
    <w:p>
      <w:pPr>
        <w:rPr>
          <w:color w:val="auto"/>
          <w:highlight w:val="none"/>
        </w:rPr>
      </w:pPr>
    </w:p>
    <w:p>
      <w:pPr>
        <w:widowControl/>
        <w:spacing w:line="440" w:lineRule="exact"/>
        <w:jc w:val="center"/>
        <w:rPr>
          <w:rFonts w:hint="eastAsia" w:ascii="宋体" w:cs="宋体"/>
          <w:b/>
          <w:bCs/>
          <w:color w:val="auto"/>
          <w:kern w:val="0"/>
          <w:sz w:val="30"/>
          <w:szCs w:val="30"/>
          <w:highlight w:val="none"/>
        </w:rPr>
      </w:pPr>
    </w:p>
    <w:p>
      <w:pPr>
        <w:widowControl/>
        <w:spacing w:line="440" w:lineRule="exact"/>
        <w:jc w:val="center"/>
        <w:rPr>
          <w:rFonts w:hint="eastAsia" w:ascii="宋体" w:cs="宋体"/>
          <w:b/>
          <w:bCs/>
          <w:color w:val="auto"/>
          <w:kern w:val="0"/>
          <w:sz w:val="30"/>
          <w:szCs w:val="30"/>
          <w:highlight w:val="none"/>
        </w:rPr>
      </w:pPr>
    </w:p>
    <w:p>
      <w:pPr>
        <w:widowControl/>
        <w:spacing w:line="440" w:lineRule="exact"/>
        <w:jc w:val="center"/>
        <w:rPr>
          <w:rFonts w:hint="eastAsia" w:ascii="宋体" w:cs="宋体"/>
          <w:b/>
          <w:bCs/>
          <w:color w:val="auto"/>
          <w:kern w:val="0"/>
          <w:sz w:val="30"/>
          <w:szCs w:val="30"/>
          <w:highlight w:val="none"/>
        </w:rPr>
      </w:pPr>
    </w:p>
    <w:p>
      <w:pPr>
        <w:widowControl/>
        <w:spacing w:line="440" w:lineRule="exact"/>
        <w:jc w:val="center"/>
        <w:rPr>
          <w:rFonts w:hint="eastAsia" w:ascii="宋体" w:cs="宋体"/>
          <w:b/>
          <w:bCs/>
          <w:color w:val="auto"/>
          <w:kern w:val="0"/>
          <w:sz w:val="30"/>
          <w:szCs w:val="30"/>
          <w:highlight w:val="none"/>
        </w:rPr>
      </w:pPr>
    </w:p>
    <w:p>
      <w:pPr>
        <w:widowControl/>
        <w:spacing w:line="440" w:lineRule="exact"/>
        <w:jc w:val="center"/>
        <w:rPr>
          <w:rFonts w:hint="eastAsia" w:ascii="宋体" w:cs="宋体"/>
          <w:b/>
          <w:bCs/>
          <w:color w:val="auto"/>
          <w:kern w:val="0"/>
          <w:sz w:val="30"/>
          <w:szCs w:val="30"/>
          <w:highlight w:val="none"/>
        </w:rPr>
      </w:pPr>
    </w:p>
    <w:p>
      <w:pPr>
        <w:widowControl/>
        <w:spacing w:line="440" w:lineRule="exact"/>
        <w:jc w:val="center"/>
        <w:rPr>
          <w:rFonts w:hint="eastAsia" w:ascii="宋体" w:cs="宋体"/>
          <w:b/>
          <w:bCs/>
          <w:color w:val="auto"/>
          <w:kern w:val="0"/>
          <w:sz w:val="30"/>
          <w:szCs w:val="30"/>
          <w:highlight w:val="none"/>
        </w:rPr>
      </w:pPr>
    </w:p>
    <w:p>
      <w:pPr>
        <w:widowControl/>
        <w:spacing w:line="440" w:lineRule="exact"/>
        <w:jc w:val="center"/>
        <w:rPr>
          <w:rFonts w:hint="eastAsia" w:ascii="宋体" w:cs="宋体"/>
          <w:b/>
          <w:bCs/>
          <w:color w:val="auto"/>
          <w:kern w:val="0"/>
          <w:sz w:val="30"/>
          <w:szCs w:val="30"/>
          <w:highlight w:val="none"/>
        </w:rPr>
      </w:pPr>
    </w:p>
    <w:p>
      <w:pPr>
        <w:widowControl/>
        <w:spacing w:line="440" w:lineRule="exact"/>
        <w:jc w:val="center"/>
        <w:rPr>
          <w:rFonts w:hint="eastAsia" w:ascii="宋体" w:cs="宋体"/>
          <w:b/>
          <w:bCs/>
          <w:color w:val="auto"/>
          <w:kern w:val="0"/>
          <w:sz w:val="30"/>
          <w:szCs w:val="30"/>
          <w:highlight w:val="none"/>
        </w:rPr>
      </w:pPr>
    </w:p>
    <w:p>
      <w:pPr>
        <w:widowControl/>
        <w:spacing w:line="440" w:lineRule="exact"/>
        <w:jc w:val="center"/>
        <w:rPr>
          <w:rFonts w:ascii="宋体" w:cs="宋体"/>
          <w:b/>
          <w:bCs/>
          <w:color w:val="auto"/>
          <w:kern w:val="0"/>
          <w:sz w:val="30"/>
          <w:szCs w:val="30"/>
          <w:highlight w:val="none"/>
        </w:rPr>
      </w:pPr>
      <w:r>
        <w:rPr>
          <w:rFonts w:hint="eastAsia" w:ascii="宋体" w:cs="宋体"/>
          <w:b/>
          <w:bCs/>
          <w:color w:val="auto"/>
          <w:kern w:val="0"/>
          <w:sz w:val="30"/>
          <w:szCs w:val="30"/>
          <w:highlight w:val="none"/>
        </w:rPr>
        <w:t>第四章  投标人须知</w:t>
      </w:r>
    </w:p>
    <w:p>
      <w:pPr>
        <w:snapToGrid w:val="0"/>
        <w:spacing w:line="440" w:lineRule="exact"/>
        <w:ind w:firstLine="420" w:firstLineChars="200"/>
        <w:rPr>
          <w:rFonts w:ascii="宋体" w:cs="宋体"/>
          <w:bCs/>
          <w:color w:val="auto"/>
          <w:sz w:val="21"/>
          <w:szCs w:val="21"/>
          <w:highlight w:val="none"/>
        </w:rPr>
      </w:pPr>
      <w:r>
        <w:rPr>
          <w:rFonts w:hint="eastAsia" w:ascii="宋体" w:cs="宋体"/>
          <w:bCs/>
          <w:color w:val="auto"/>
          <w:sz w:val="21"/>
          <w:szCs w:val="21"/>
          <w:highlight w:val="none"/>
        </w:rPr>
        <w:t>一、说明</w:t>
      </w:r>
    </w:p>
    <w:p>
      <w:pPr>
        <w:snapToGrid w:val="0"/>
        <w:spacing w:line="440" w:lineRule="exact"/>
        <w:ind w:firstLine="420" w:firstLineChars="200"/>
        <w:rPr>
          <w:rFonts w:ascii="宋体" w:cs="宋体"/>
          <w:bCs/>
          <w:color w:val="auto"/>
          <w:sz w:val="21"/>
          <w:szCs w:val="21"/>
          <w:highlight w:val="none"/>
        </w:rPr>
      </w:pPr>
      <w:r>
        <w:rPr>
          <w:rFonts w:hint="eastAsia" w:ascii="宋体" w:cs="宋体"/>
          <w:bCs/>
          <w:color w:val="auto"/>
          <w:sz w:val="21"/>
          <w:szCs w:val="21"/>
          <w:highlight w:val="none"/>
        </w:rPr>
        <w:t>1、适用范围</w:t>
      </w:r>
    </w:p>
    <w:p>
      <w:pPr>
        <w:snapToGrid w:val="0"/>
        <w:spacing w:line="440" w:lineRule="exact"/>
        <w:ind w:firstLine="420" w:firstLineChars="200"/>
        <w:rPr>
          <w:rFonts w:ascii="宋体" w:cs="宋体"/>
          <w:bCs/>
          <w:color w:val="auto"/>
          <w:sz w:val="21"/>
          <w:szCs w:val="21"/>
          <w:highlight w:val="none"/>
        </w:rPr>
      </w:pPr>
      <w:r>
        <w:rPr>
          <w:rFonts w:hint="eastAsia" w:ascii="宋体" w:cs="宋体"/>
          <w:bCs/>
          <w:color w:val="auto"/>
          <w:sz w:val="21"/>
          <w:szCs w:val="21"/>
          <w:highlight w:val="none"/>
        </w:rPr>
        <w:t>1.1 本采购文件仅适用于本次采购所叙述的服务</w:t>
      </w:r>
      <w:r>
        <w:rPr>
          <w:rFonts w:hint="eastAsia" w:ascii="宋体" w:cs="宋体"/>
          <w:bCs/>
          <w:color w:val="auto"/>
          <w:sz w:val="21"/>
          <w:szCs w:val="21"/>
          <w:highlight w:val="none"/>
          <w:lang w:val="en-US" w:eastAsia="zh-CN"/>
        </w:rPr>
        <w:t>和安装</w:t>
      </w:r>
      <w:r>
        <w:rPr>
          <w:rFonts w:hint="eastAsia" w:ascii="宋体" w:cs="宋体"/>
          <w:bCs/>
          <w:color w:val="auto"/>
          <w:sz w:val="21"/>
          <w:szCs w:val="21"/>
          <w:highlight w:val="none"/>
        </w:rPr>
        <w:t>采购项目。</w:t>
      </w:r>
    </w:p>
    <w:p>
      <w:pPr>
        <w:snapToGrid w:val="0"/>
        <w:spacing w:line="440" w:lineRule="exact"/>
        <w:ind w:firstLine="420" w:firstLineChars="200"/>
        <w:rPr>
          <w:rFonts w:ascii="宋体" w:cs="宋体"/>
          <w:bCs/>
          <w:color w:val="auto"/>
          <w:sz w:val="21"/>
          <w:szCs w:val="21"/>
          <w:highlight w:val="none"/>
        </w:rPr>
      </w:pPr>
      <w:r>
        <w:rPr>
          <w:rFonts w:hint="eastAsia" w:ascii="宋体" w:cs="宋体"/>
          <w:bCs/>
          <w:color w:val="auto"/>
          <w:sz w:val="21"/>
          <w:szCs w:val="21"/>
          <w:highlight w:val="none"/>
        </w:rPr>
        <w:t>2、定义</w:t>
      </w:r>
    </w:p>
    <w:p>
      <w:pPr>
        <w:snapToGrid w:val="0"/>
        <w:spacing w:line="440" w:lineRule="exact"/>
        <w:ind w:firstLine="420" w:firstLineChars="200"/>
        <w:rPr>
          <w:rFonts w:ascii="宋体" w:cs="宋体"/>
          <w:bCs/>
          <w:color w:val="auto"/>
          <w:sz w:val="21"/>
          <w:szCs w:val="21"/>
          <w:highlight w:val="none"/>
        </w:rPr>
      </w:pPr>
      <w:r>
        <w:rPr>
          <w:rFonts w:hint="eastAsia" w:ascii="宋体" w:cs="宋体"/>
          <w:bCs/>
          <w:color w:val="auto"/>
          <w:sz w:val="21"/>
          <w:szCs w:val="21"/>
          <w:highlight w:val="none"/>
        </w:rPr>
        <w:t>2.1“招标人”系指组织本次采购的浙江中兰工程项目管理有限公司；</w:t>
      </w:r>
    </w:p>
    <w:p>
      <w:pPr>
        <w:snapToGrid w:val="0"/>
        <w:spacing w:line="440" w:lineRule="exact"/>
        <w:ind w:firstLine="420" w:firstLineChars="200"/>
        <w:rPr>
          <w:rFonts w:ascii="宋体" w:cs="宋体"/>
          <w:bCs/>
          <w:color w:val="auto"/>
          <w:sz w:val="21"/>
          <w:szCs w:val="21"/>
          <w:highlight w:val="none"/>
        </w:rPr>
      </w:pPr>
      <w:r>
        <w:rPr>
          <w:rFonts w:hint="eastAsia" w:ascii="宋体" w:cs="宋体"/>
          <w:bCs/>
          <w:color w:val="auto"/>
          <w:sz w:val="21"/>
          <w:szCs w:val="21"/>
          <w:highlight w:val="none"/>
        </w:rPr>
        <w:t>2.2“采购人”系指组织本次采购的</w:t>
      </w:r>
      <w:r>
        <w:rPr>
          <w:rFonts w:hint="eastAsia" w:ascii="宋体" w:cs="宋体"/>
          <w:bCs/>
          <w:color w:val="auto"/>
          <w:sz w:val="21"/>
          <w:szCs w:val="21"/>
          <w:highlight w:val="none"/>
          <w:lang w:eastAsia="zh-CN"/>
        </w:rPr>
        <w:t>兰溪市人民医院</w:t>
      </w:r>
      <w:r>
        <w:rPr>
          <w:rFonts w:hint="eastAsia" w:ascii="宋体" w:cs="宋体"/>
          <w:bCs/>
          <w:color w:val="auto"/>
          <w:sz w:val="21"/>
          <w:szCs w:val="21"/>
          <w:highlight w:val="none"/>
        </w:rPr>
        <w:t>；</w:t>
      </w:r>
    </w:p>
    <w:p>
      <w:pPr>
        <w:snapToGrid w:val="0"/>
        <w:spacing w:line="440" w:lineRule="exact"/>
        <w:ind w:firstLine="420" w:firstLineChars="200"/>
        <w:rPr>
          <w:rFonts w:ascii="宋体" w:cs="宋体"/>
          <w:bCs/>
          <w:color w:val="auto"/>
          <w:sz w:val="21"/>
          <w:szCs w:val="21"/>
          <w:highlight w:val="none"/>
        </w:rPr>
      </w:pPr>
      <w:r>
        <w:rPr>
          <w:rFonts w:hint="eastAsia" w:ascii="宋体" w:cs="宋体"/>
          <w:bCs/>
          <w:color w:val="auto"/>
          <w:sz w:val="21"/>
          <w:szCs w:val="21"/>
          <w:highlight w:val="none"/>
        </w:rPr>
        <w:t>2.3“投标人”系指向投标人提交投标文件的投标人；</w:t>
      </w:r>
    </w:p>
    <w:p>
      <w:pPr>
        <w:snapToGrid w:val="0"/>
        <w:spacing w:line="440" w:lineRule="exact"/>
        <w:ind w:firstLine="422" w:firstLineChars="200"/>
        <w:rPr>
          <w:rFonts w:ascii="宋体" w:cs="宋体"/>
          <w:b/>
          <w:bCs w:val="0"/>
          <w:color w:val="auto"/>
          <w:sz w:val="21"/>
          <w:szCs w:val="21"/>
          <w:highlight w:val="none"/>
        </w:rPr>
      </w:pPr>
      <w:r>
        <w:rPr>
          <w:rFonts w:hint="eastAsia" w:ascii="宋体" w:cs="宋体"/>
          <w:b/>
          <w:bCs w:val="0"/>
          <w:color w:val="auto"/>
          <w:sz w:val="21"/>
          <w:szCs w:val="21"/>
          <w:highlight w:val="none"/>
        </w:rPr>
        <w:t>2.4“货物”系指中标人按采购文件规定须向采购人提供的一切设备、备品备件、工具、手册</w:t>
      </w:r>
      <w:r>
        <w:rPr>
          <w:rFonts w:hint="eastAsia" w:ascii="宋体" w:cs="宋体"/>
          <w:b/>
          <w:bCs w:val="0"/>
          <w:color w:val="auto"/>
          <w:sz w:val="21"/>
          <w:szCs w:val="21"/>
          <w:highlight w:val="none"/>
          <w:lang w:eastAsia="zh-CN"/>
        </w:rPr>
        <w:t>及其他有关</w:t>
      </w:r>
      <w:r>
        <w:rPr>
          <w:rFonts w:hint="eastAsia" w:ascii="宋体" w:cs="宋体"/>
          <w:b/>
          <w:bCs w:val="0"/>
          <w:color w:val="auto"/>
          <w:sz w:val="21"/>
          <w:szCs w:val="21"/>
          <w:highlight w:val="none"/>
        </w:rPr>
        <w:t>技术资料和文字材料；</w:t>
      </w:r>
    </w:p>
    <w:p>
      <w:pPr>
        <w:snapToGrid w:val="0"/>
        <w:spacing w:line="440" w:lineRule="exact"/>
        <w:ind w:firstLine="420" w:firstLineChars="200"/>
        <w:rPr>
          <w:b w:val="0"/>
          <w:bCs/>
          <w:color w:val="auto"/>
          <w:sz w:val="21"/>
          <w:szCs w:val="21"/>
          <w:highlight w:val="none"/>
        </w:rPr>
      </w:pPr>
      <w:r>
        <w:rPr>
          <w:rFonts w:hint="eastAsia" w:ascii="宋体" w:cs="宋体"/>
          <w:b w:val="0"/>
          <w:bCs/>
          <w:color w:val="auto"/>
          <w:sz w:val="21"/>
          <w:szCs w:val="21"/>
          <w:highlight w:val="none"/>
        </w:rPr>
        <w:t>2.5“服务”</w:t>
      </w:r>
      <w:r>
        <w:rPr>
          <w:rFonts w:cs="宋体"/>
          <w:b w:val="0"/>
          <w:bCs/>
          <w:color w:val="auto"/>
          <w:sz w:val="21"/>
          <w:szCs w:val="21"/>
          <w:highlight w:val="none"/>
        </w:rPr>
        <w:t>系</w:t>
      </w:r>
      <w:r>
        <w:rPr>
          <w:b w:val="0"/>
          <w:bCs/>
          <w:color w:val="auto"/>
          <w:sz w:val="21"/>
          <w:szCs w:val="21"/>
          <w:highlight w:val="none"/>
        </w:rPr>
        <w:t>指按采购文件要求的投标人必须承担的义务；</w:t>
      </w:r>
    </w:p>
    <w:p>
      <w:pPr>
        <w:snapToGrid w:val="0"/>
        <w:spacing w:line="440" w:lineRule="exact"/>
        <w:ind w:firstLine="420" w:firstLineChars="200"/>
        <w:rPr>
          <w:rFonts w:ascii="宋体" w:cs="宋体"/>
          <w:bCs/>
          <w:color w:val="auto"/>
          <w:sz w:val="21"/>
          <w:szCs w:val="21"/>
          <w:highlight w:val="none"/>
        </w:rPr>
      </w:pPr>
      <w:r>
        <w:rPr>
          <w:rFonts w:hint="eastAsia" w:ascii="宋体" w:cs="宋体"/>
          <w:bCs/>
          <w:color w:val="auto"/>
          <w:sz w:val="21"/>
          <w:szCs w:val="21"/>
          <w:highlight w:val="none"/>
        </w:rPr>
        <w:t>2.6“★”标记且加黑的文字系指必须满足不能负偏离或必须应答的条款。</w:t>
      </w:r>
    </w:p>
    <w:p>
      <w:pPr>
        <w:snapToGrid w:val="0"/>
        <w:spacing w:line="440" w:lineRule="exact"/>
        <w:ind w:firstLine="420" w:firstLineChars="200"/>
        <w:rPr>
          <w:rFonts w:hint="eastAsia" w:ascii="宋体" w:cs="宋体"/>
          <w:bCs/>
          <w:color w:val="auto"/>
          <w:sz w:val="21"/>
          <w:szCs w:val="21"/>
          <w:highlight w:val="none"/>
        </w:rPr>
      </w:pPr>
      <w:r>
        <w:rPr>
          <w:rFonts w:hint="eastAsia" w:ascii="宋体" w:cs="宋体"/>
          <w:bCs/>
          <w:color w:val="auto"/>
          <w:sz w:val="21"/>
          <w:szCs w:val="21"/>
          <w:highlight w:val="none"/>
        </w:rPr>
        <w:t>★</w:t>
      </w:r>
      <w:r>
        <w:rPr>
          <w:rFonts w:hint="eastAsia" w:ascii="宋体" w:cs="宋体"/>
          <w:bCs/>
          <w:color w:val="auto"/>
          <w:sz w:val="21"/>
          <w:szCs w:val="21"/>
          <w:highlight w:val="none"/>
          <w:lang w:val="en-US" w:eastAsia="zh-CN"/>
        </w:rPr>
        <w:t>2.7</w:t>
      </w:r>
      <w:r>
        <w:rPr>
          <w:rFonts w:hint="eastAsia" w:ascii="宋体" w:cs="宋体"/>
          <w:bCs/>
          <w:color w:val="auto"/>
          <w:sz w:val="21"/>
          <w:szCs w:val="21"/>
          <w:highlight w:val="none"/>
        </w:rPr>
        <w:t>合格的货物来源：</w:t>
      </w:r>
      <w:r>
        <w:rPr>
          <w:rFonts w:hint="eastAsia" w:ascii="宋体" w:cs="宋体"/>
          <w:bCs/>
          <w:color w:val="auto"/>
          <w:sz w:val="21"/>
          <w:szCs w:val="21"/>
          <w:highlight w:val="none"/>
          <w:lang w:val="en-US" w:eastAsia="zh-CN"/>
        </w:rPr>
        <w:t>本项目</w:t>
      </w:r>
      <w:r>
        <w:rPr>
          <w:rFonts w:hint="eastAsia" w:ascii="宋体" w:cs="宋体"/>
          <w:bCs/>
          <w:color w:val="auto"/>
          <w:sz w:val="21"/>
          <w:szCs w:val="21"/>
          <w:highlight w:val="none"/>
        </w:rPr>
        <w:t>允许进口产品投标。</w:t>
      </w:r>
    </w:p>
    <w:p>
      <w:pPr>
        <w:pStyle w:val="16"/>
        <w:spacing w:after="0" w:line="440" w:lineRule="exact"/>
        <w:ind w:right="-392" w:rightChars="-140" w:firstLine="417" w:firstLineChars="198"/>
        <w:outlineLvl w:val="1"/>
        <w:rPr>
          <w:rFonts w:ascii="宋体" w:cs="宋体"/>
          <w:b/>
          <w:color w:val="auto"/>
          <w:sz w:val="21"/>
          <w:szCs w:val="21"/>
          <w:highlight w:val="none"/>
        </w:rPr>
      </w:pPr>
      <w:r>
        <w:rPr>
          <w:rFonts w:hint="eastAsia" w:ascii="宋体" w:cs="宋体"/>
          <w:b/>
          <w:color w:val="auto"/>
          <w:sz w:val="21"/>
          <w:szCs w:val="21"/>
          <w:highlight w:val="none"/>
        </w:rPr>
        <w:t>★3、合格的投标人</w:t>
      </w:r>
    </w:p>
    <w:p>
      <w:pPr>
        <w:tabs>
          <w:tab w:val="left" w:pos="2835"/>
        </w:tabs>
        <w:snapToGrid w:val="0"/>
        <w:spacing w:line="440" w:lineRule="exact"/>
        <w:ind w:firstLine="420" w:firstLineChars="200"/>
        <w:jc w:val="left"/>
        <w:rPr>
          <w:rFonts w:ascii="宋体" w:cs="宋体"/>
          <w:bCs/>
          <w:color w:val="auto"/>
          <w:sz w:val="21"/>
          <w:szCs w:val="21"/>
          <w:highlight w:val="none"/>
        </w:rPr>
      </w:pPr>
      <w:r>
        <w:rPr>
          <w:rFonts w:hint="eastAsia" w:ascii="宋体" w:cs="宋体"/>
          <w:bCs/>
          <w:color w:val="auto"/>
          <w:sz w:val="21"/>
          <w:szCs w:val="21"/>
          <w:highlight w:val="none"/>
        </w:rPr>
        <w:t>3.1.符合《中华人民共和国政府采购法》第二十二条供应商应当具备的条件和浙财采监【2013】24 号《关于规范政府采购供应商资格设定及资格审查的通知》第六条规定，且未被“信用中国” （www.creditchina.gov.cn）、中国政府采购网（www.ccgp.gov.cn）列入失信被执行人、重大税收违法案件当事人名单、政府采购严重违法失信行为记录名单；</w:t>
      </w:r>
    </w:p>
    <w:p>
      <w:pPr>
        <w:pStyle w:val="36"/>
        <w:spacing w:before="0" w:beforeAutospacing="0" w:after="0" w:afterAutospacing="0" w:line="440" w:lineRule="exact"/>
        <w:ind w:firstLine="420" w:firstLineChars="200"/>
        <w:rPr>
          <w:rFonts w:cs="宋体"/>
          <w:color w:val="auto"/>
          <w:sz w:val="21"/>
          <w:szCs w:val="21"/>
          <w:highlight w:val="none"/>
        </w:rPr>
      </w:pPr>
      <w:r>
        <w:rPr>
          <w:rFonts w:hint="eastAsia" w:cs="宋体"/>
          <w:color w:val="auto"/>
          <w:sz w:val="21"/>
          <w:szCs w:val="21"/>
          <w:highlight w:val="none"/>
        </w:rPr>
        <w:t>3.2落实政府采购政策需满足的资格要求：</w:t>
      </w:r>
      <w:r>
        <w:rPr>
          <w:rFonts w:cs="宋体"/>
          <w:color w:val="auto"/>
          <w:sz w:val="21"/>
          <w:szCs w:val="21"/>
          <w:highlight w:val="none"/>
        </w:rPr>
        <w:sym w:font="Wingdings 2" w:char="0052"/>
      </w:r>
      <w:r>
        <w:rPr>
          <w:rFonts w:hint="eastAsia" w:cs="宋体"/>
          <w:color w:val="auto"/>
          <w:sz w:val="21"/>
          <w:szCs w:val="21"/>
          <w:highlight w:val="none"/>
        </w:rPr>
        <w:t>无；</w:t>
      </w:r>
    </w:p>
    <w:p>
      <w:pPr>
        <w:pStyle w:val="36"/>
        <w:spacing w:before="0" w:beforeAutospacing="0" w:after="0" w:afterAutospacing="0" w:line="440" w:lineRule="exact"/>
        <w:ind w:firstLine="420" w:firstLineChars="200"/>
        <w:rPr>
          <w:rFonts w:cs="宋体"/>
          <w:color w:val="auto"/>
          <w:sz w:val="21"/>
          <w:szCs w:val="21"/>
          <w:highlight w:val="none"/>
        </w:rPr>
      </w:pPr>
      <w:r>
        <w:rPr>
          <w:rFonts w:cs="宋体"/>
          <w:color w:val="auto"/>
          <w:sz w:val="21"/>
          <w:szCs w:val="21"/>
          <w:highlight w:val="none"/>
        </w:rPr>
        <w:sym w:font="Wingdings 2" w:char="00A3"/>
      </w:r>
      <w:r>
        <w:rPr>
          <w:rFonts w:hint="eastAsia" w:cs="宋体"/>
          <w:color w:val="auto"/>
          <w:sz w:val="21"/>
          <w:szCs w:val="21"/>
          <w:highlight w:val="none"/>
        </w:rPr>
        <w:t>专门面向中小企业：</w:t>
      </w:r>
    </w:p>
    <w:p>
      <w:pPr>
        <w:pStyle w:val="36"/>
        <w:spacing w:before="0" w:beforeAutospacing="0" w:after="0" w:afterAutospacing="0" w:line="440" w:lineRule="exact"/>
        <w:ind w:firstLine="420" w:firstLineChars="200"/>
        <w:rPr>
          <w:rFonts w:cs="宋体"/>
          <w:color w:val="auto"/>
          <w:sz w:val="21"/>
          <w:szCs w:val="21"/>
          <w:highlight w:val="none"/>
        </w:rPr>
      </w:pPr>
      <w:r>
        <w:rPr>
          <w:rFonts w:cs="宋体"/>
          <w:color w:val="auto"/>
          <w:sz w:val="21"/>
          <w:szCs w:val="21"/>
          <w:highlight w:val="none"/>
        </w:rPr>
        <w:sym w:font="Wingdings 2" w:char="00A3"/>
      </w:r>
      <w:r>
        <w:rPr>
          <w:rFonts w:hint="eastAsia" w:cs="宋体"/>
          <w:color w:val="auto"/>
          <w:sz w:val="21"/>
          <w:szCs w:val="21"/>
          <w:highlight w:val="none"/>
        </w:rPr>
        <w:t>货物全部由符合政策要求的中小企业制造，提供中小企业声明函；</w:t>
      </w:r>
    </w:p>
    <w:p>
      <w:pPr>
        <w:pStyle w:val="36"/>
        <w:spacing w:before="0" w:beforeAutospacing="0" w:after="0" w:afterAutospacing="0" w:line="440" w:lineRule="exact"/>
        <w:ind w:firstLine="420" w:firstLineChars="200"/>
        <w:rPr>
          <w:rFonts w:cs="宋体"/>
          <w:color w:val="auto"/>
          <w:sz w:val="21"/>
          <w:szCs w:val="21"/>
          <w:highlight w:val="none"/>
        </w:rPr>
      </w:pPr>
      <w:r>
        <w:rPr>
          <w:rFonts w:cs="宋体"/>
          <w:color w:val="auto"/>
          <w:sz w:val="21"/>
          <w:szCs w:val="21"/>
          <w:highlight w:val="none"/>
        </w:rPr>
        <w:sym w:font="Wingdings 2" w:char="00A3"/>
      </w:r>
      <w:r>
        <w:rPr>
          <w:rFonts w:hint="eastAsia" w:cs="宋体"/>
          <w:color w:val="auto"/>
          <w:sz w:val="21"/>
          <w:szCs w:val="21"/>
          <w:highlight w:val="none"/>
        </w:rPr>
        <w:t>货物全部由符合政策要求的小微企业制造，提供中小企业声明函；</w:t>
      </w:r>
    </w:p>
    <w:p>
      <w:pPr>
        <w:pStyle w:val="36"/>
        <w:spacing w:before="0" w:beforeAutospacing="0" w:after="0" w:afterAutospacing="0" w:line="440" w:lineRule="exact"/>
        <w:ind w:firstLine="420" w:firstLineChars="200"/>
        <w:rPr>
          <w:rFonts w:cs="宋体"/>
          <w:color w:val="auto"/>
          <w:sz w:val="21"/>
          <w:szCs w:val="21"/>
          <w:highlight w:val="none"/>
        </w:rPr>
      </w:pPr>
      <w:r>
        <w:rPr>
          <w:rFonts w:hint="eastAsia" w:cs="宋体"/>
          <w:color w:val="auto"/>
          <w:sz w:val="21"/>
          <w:szCs w:val="21"/>
          <w:highlight w:val="none"/>
        </w:rPr>
        <w:t>☐工程全部由符合政策要求的中小企业承接，提供中小企业声明函；</w:t>
      </w:r>
    </w:p>
    <w:p>
      <w:pPr>
        <w:pStyle w:val="36"/>
        <w:spacing w:before="0" w:beforeAutospacing="0" w:after="0" w:afterAutospacing="0" w:line="440" w:lineRule="exact"/>
        <w:ind w:firstLine="420" w:firstLineChars="200"/>
        <w:rPr>
          <w:rFonts w:cs="宋体"/>
          <w:color w:val="auto"/>
          <w:sz w:val="21"/>
          <w:szCs w:val="21"/>
          <w:highlight w:val="none"/>
        </w:rPr>
      </w:pPr>
      <w:r>
        <w:rPr>
          <w:rFonts w:hint="eastAsia" w:cs="宋体"/>
          <w:color w:val="auto"/>
          <w:sz w:val="21"/>
          <w:szCs w:val="21"/>
          <w:highlight w:val="none"/>
        </w:rPr>
        <w:t>☐工程全部由符合政策要求的小微企业承接，提供中小企业声明函；</w:t>
      </w:r>
    </w:p>
    <w:p>
      <w:pPr>
        <w:pStyle w:val="36"/>
        <w:spacing w:before="0" w:beforeAutospacing="0" w:after="0" w:afterAutospacing="0" w:line="440" w:lineRule="exact"/>
        <w:ind w:firstLine="420" w:firstLineChars="200"/>
        <w:rPr>
          <w:rFonts w:cs="宋体"/>
          <w:color w:val="auto"/>
          <w:sz w:val="21"/>
          <w:szCs w:val="21"/>
          <w:highlight w:val="none"/>
        </w:rPr>
      </w:pPr>
      <w:r>
        <w:rPr>
          <w:rFonts w:cs="宋体"/>
          <w:color w:val="auto"/>
          <w:sz w:val="21"/>
          <w:szCs w:val="21"/>
          <w:highlight w:val="none"/>
        </w:rPr>
        <w:sym w:font="Wingdings 2" w:char="00A3"/>
      </w:r>
      <w:r>
        <w:rPr>
          <w:rFonts w:hint="eastAsia" w:cs="宋体"/>
          <w:color w:val="auto"/>
          <w:sz w:val="21"/>
          <w:szCs w:val="21"/>
          <w:highlight w:val="none"/>
        </w:rPr>
        <w:t>服务全部由符合政策要求的中小企业承接，提供中小企业声明函；</w:t>
      </w:r>
    </w:p>
    <w:p>
      <w:pPr>
        <w:pStyle w:val="36"/>
        <w:spacing w:before="0" w:beforeAutospacing="0" w:after="0" w:afterAutospacing="0" w:line="440" w:lineRule="exact"/>
        <w:ind w:firstLine="420" w:firstLineChars="200"/>
        <w:rPr>
          <w:rFonts w:cs="宋体"/>
          <w:color w:val="auto"/>
          <w:sz w:val="21"/>
          <w:szCs w:val="21"/>
          <w:highlight w:val="none"/>
        </w:rPr>
      </w:pPr>
      <w:r>
        <w:rPr>
          <w:rFonts w:cs="宋体"/>
          <w:color w:val="auto"/>
          <w:sz w:val="21"/>
          <w:szCs w:val="21"/>
          <w:highlight w:val="none"/>
        </w:rPr>
        <w:sym w:font="Wingdings 2" w:char="00A3"/>
      </w:r>
      <w:r>
        <w:rPr>
          <w:rFonts w:hint="eastAsia" w:cs="宋体"/>
          <w:color w:val="auto"/>
          <w:sz w:val="21"/>
          <w:szCs w:val="21"/>
          <w:highlight w:val="none"/>
        </w:rPr>
        <w:t>服务全部由符合政策要求的小微企业承接，提供中小企业声明函；</w:t>
      </w:r>
    </w:p>
    <w:p>
      <w:pPr>
        <w:pStyle w:val="36"/>
        <w:spacing w:before="0" w:beforeAutospacing="0" w:after="0" w:afterAutospacing="0" w:line="440" w:lineRule="exact"/>
        <w:ind w:firstLine="420" w:firstLineChars="200"/>
        <w:rPr>
          <w:rFonts w:cs="宋体"/>
          <w:color w:val="auto"/>
          <w:sz w:val="21"/>
          <w:szCs w:val="21"/>
          <w:highlight w:val="none"/>
        </w:rPr>
      </w:pPr>
      <w:r>
        <w:rPr>
          <w:rFonts w:hint="eastAsia" w:cs="宋体"/>
          <w:color w:val="auto"/>
          <w:sz w:val="21"/>
          <w:szCs w:val="21"/>
          <w:highlight w:val="none"/>
        </w:rPr>
        <w:t>☐要求以联合体形式参加，提供联合协议和中小企业声明函，联合协议中中小企业合同金额应当达到</w:t>
      </w:r>
      <w:r>
        <w:rPr>
          <w:rFonts w:hint="eastAsia" w:cs="宋体"/>
          <w:color w:val="auto"/>
          <w:sz w:val="21"/>
          <w:szCs w:val="21"/>
          <w:highlight w:val="none"/>
          <w:u w:val="single"/>
        </w:rPr>
        <w:t xml:space="preserve"> / </w:t>
      </w:r>
      <w:r>
        <w:rPr>
          <w:rFonts w:hint="eastAsia" w:cs="宋体"/>
          <w:color w:val="auto"/>
          <w:sz w:val="21"/>
          <w:szCs w:val="21"/>
          <w:highlight w:val="none"/>
        </w:rPr>
        <w:t>%，小微企业合同金额应当达到</w:t>
      </w:r>
      <w:r>
        <w:rPr>
          <w:rFonts w:hint="eastAsia" w:cs="宋体"/>
          <w:color w:val="auto"/>
          <w:sz w:val="21"/>
          <w:szCs w:val="21"/>
          <w:highlight w:val="none"/>
          <w:u w:val="single"/>
        </w:rPr>
        <w:t xml:space="preserve"> / </w:t>
      </w:r>
      <w:r>
        <w:rPr>
          <w:rFonts w:hint="eastAsia" w:cs="宋体"/>
          <w:color w:val="auto"/>
          <w:sz w:val="21"/>
          <w:szCs w:val="21"/>
          <w:highlight w:val="none"/>
        </w:rPr>
        <w:t>%；如果供应商本身提供所有标的均由中小企业制造、承建或承接，视同符合了资格条件，无需再与其他中小企业组成联合体参加政府采购活动，无需提供联合协议；</w:t>
      </w:r>
    </w:p>
    <w:p>
      <w:pPr>
        <w:pStyle w:val="36"/>
        <w:spacing w:before="0" w:beforeAutospacing="0" w:after="0" w:afterAutospacing="0" w:line="440" w:lineRule="exact"/>
        <w:ind w:firstLine="420" w:firstLineChars="200"/>
        <w:rPr>
          <w:rFonts w:cs="宋体"/>
          <w:color w:val="auto"/>
          <w:sz w:val="21"/>
          <w:szCs w:val="21"/>
          <w:highlight w:val="none"/>
        </w:rPr>
      </w:pPr>
      <w:r>
        <w:rPr>
          <w:rFonts w:hint="eastAsia" w:cs="宋体"/>
          <w:color w:val="auto"/>
          <w:sz w:val="21"/>
          <w:szCs w:val="21"/>
          <w:highlight w:val="none"/>
        </w:rPr>
        <w:t>☐要求合同分包，提供分包意向协议和中小企业声明函，分包意向协议中中小企业合同金额应当达到</w:t>
      </w:r>
      <w:r>
        <w:rPr>
          <w:rFonts w:hint="eastAsia" w:cs="宋体"/>
          <w:color w:val="auto"/>
          <w:sz w:val="21"/>
          <w:szCs w:val="21"/>
          <w:highlight w:val="none"/>
          <w:u w:val="single"/>
        </w:rPr>
        <w:t xml:space="preserve"> /   </w:t>
      </w:r>
      <w:r>
        <w:rPr>
          <w:rFonts w:hint="eastAsia" w:cs="宋体"/>
          <w:color w:val="auto"/>
          <w:sz w:val="21"/>
          <w:szCs w:val="21"/>
          <w:highlight w:val="none"/>
        </w:rPr>
        <w:t>%，小微企业合同金额应当达到</w:t>
      </w:r>
      <w:r>
        <w:rPr>
          <w:rFonts w:hint="eastAsia" w:cs="宋体"/>
          <w:color w:val="auto"/>
          <w:sz w:val="21"/>
          <w:szCs w:val="21"/>
          <w:highlight w:val="none"/>
          <w:u w:val="single"/>
        </w:rPr>
        <w:t xml:space="preserve"> / </w:t>
      </w:r>
      <w:r>
        <w:rPr>
          <w:rFonts w:hint="eastAsia" w:cs="宋体"/>
          <w:color w:val="auto"/>
          <w:sz w:val="21"/>
          <w:szCs w:val="21"/>
          <w:highlight w:val="none"/>
        </w:rPr>
        <w:t>%，如果供应商本身提供所有标的均由中小企业制造、承建或承接，视同符合了资格条件，无需再向中小企业分包，无需提供分包意向协议；</w:t>
      </w:r>
    </w:p>
    <w:p>
      <w:pPr>
        <w:pStyle w:val="36"/>
        <w:spacing w:before="0" w:beforeAutospacing="0" w:after="0" w:afterAutospacing="0" w:line="440" w:lineRule="exact"/>
        <w:ind w:firstLine="420" w:firstLineChars="200"/>
        <w:rPr>
          <w:rFonts w:cs="宋体"/>
          <w:color w:val="auto"/>
          <w:sz w:val="21"/>
          <w:szCs w:val="21"/>
          <w:highlight w:val="none"/>
        </w:rPr>
      </w:pPr>
      <w:r>
        <w:rPr>
          <w:rFonts w:hint="eastAsia" w:cs="宋体"/>
          <w:color w:val="auto"/>
          <w:sz w:val="21"/>
          <w:szCs w:val="21"/>
          <w:highlight w:val="none"/>
        </w:rPr>
        <w:t>3.3采购项目需要落实的政府采购政策：执行节约能源、保护环境相关的节能产品政府强制采购和优先采购政策，执行环境标志产品政府优先采购政策；执行扶持不发达地区和少数民族地区、促进中小企业发展、支持监狱企业发展、促进残疾人就业、支持中小企业信用融资等政府采购政策；</w:t>
      </w:r>
    </w:p>
    <w:p>
      <w:pPr>
        <w:pStyle w:val="36"/>
        <w:spacing w:before="0" w:beforeAutospacing="0" w:after="0" w:afterAutospacing="0" w:line="460" w:lineRule="exact"/>
        <w:ind w:firstLine="420" w:firstLineChars="200"/>
        <w:rPr>
          <w:rFonts w:hint="eastAsia" w:ascii="宋体" w:hAnsi="宋体" w:eastAsia="宋体" w:cs="宋体"/>
          <w:color w:val="auto"/>
          <w:sz w:val="21"/>
          <w:szCs w:val="21"/>
          <w:highlight w:val="none"/>
          <w:shd w:val="clear" w:color="auto" w:fill="auto"/>
        </w:rPr>
      </w:pPr>
      <w:r>
        <w:rPr>
          <w:rFonts w:hint="eastAsia" w:cs="宋体"/>
          <w:color w:val="auto"/>
          <w:sz w:val="21"/>
          <w:szCs w:val="21"/>
          <w:highlight w:val="none"/>
        </w:rPr>
        <w:t>3.4本项目的特定资格要求：</w:t>
      </w:r>
      <w:r>
        <w:rPr>
          <w:rFonts w:hint="eastAsia" w:ascii="宋体" w:hAnsi="宋体" w:eastAsia="宋体" w:cs="宋体"/>
          <w:color w:val="auto"/>
          <w:sz w:val="21"/>
          <w:szCs w:val="21"/>
          <w:highlight w:val="none"/>
          <w:shd w:val="clear" w:color="auto" w:fill="auto"/>
        </w:rPr>
        <w:t>投标人应提供有效的医疗器械经营企业许可证和有效的投标产品的医疗器械注册证。</w:t>
      </w:r>
    </w:p>
    <w:p>
      <w:pPr>
        <w:pStyle w:val="36"/>
        <w:spacing w:before="0" w:beforeAutospacing="0" w:after="0" w:afterAutospacing="0" w:line="440" w:lineRule="exact"/>
        <w:ind w:firstLine="420" w:firstLineChars="200"/>
        <w:rPr>
          <w:rFonts w:cs="宋体"/>
          <w:color w:val="auto"/>
          <w:sz w:val="21"/>
          <w:szCs w:val="21"/>
          <w:highlight w:val="none"/>
        </w:rPr>
      </w:pPr>
      <w:r>
        <w:rPr>
          <w:rFonts w:hint="eastAsia" w:cs="宋体"/>
          <w:color w:val="auto"/>
          <w:sz w:val="21"/>
          <w:szCs w:val="21"/>
          <w:highlight w:val="none"/>
        </w:rPr>
        <w:t>3.5本项目不接受联合体参加。</w:t>
      </w:r>
    </w:p>
    <w:p>
      <w:pPr>
        <w:snapToGrid w:val="0"/>
        <w:spacing w:line="440" w:lineRule="exact"/>
        <w:ind w:firstLine="422" w:firstLineChars="200"/>
        <w:rPr>
          <w:rFonts w:ascii="宋体" w:cs="宋体"/>
          <w:bCs/>
          <w:color w:val="auto"/>
          <w:sz w:val="21"/>
          <w:szCs w:val="21"/>
          <w:highlight w:val="none"/>
        </w:rPr>
      </w:pPr>
      <w:r>
        <w:rPr>
          <w:rFonts w:hint="eastAsia" w:ascii="宋体" w:cs="宋体"/>
          <w:b/>
          <w:bCs/>
          <w:color w:val="auto"/>
          <w:sz w:val="21"/>
          <w:szCs w:val="21"/>
          <w:highlight w:val="none"/>
        </w:rPr>
        <w:t>4、投标费用</w:t>
      </w:r>
    </w:p>
    <w:p>
      <w:pPr>
        <w:pStyle w:val="16"/>
        <w:spacing w:after="0" w:line="440" w:lineRule="exact"/>
        <w:ind w:left="34" w:leftChars="12" w:right="-389" w:rightChars="-139" w:firstLine="411" w:firstLineChars="195"/>
        <w:outlineLvl w:val="1"/>
        <w:rPr>
          <w:rFonts w:ascii="宋体" w:cs="宋体"/>
          <w:b/>
          <w:bCs/>
          <w:color w:val="auto"/>
          <w:sz w:val="21"/>
          <w:szCs w:val="21"/>
          <w:highlight w:val="none"/>
        </w:rPr>
      </w:pPr>
      <w:r>
        <w:rPr>
          <w:rFonts w:hint="eastAsia" w:ascii="宋体" w:cs="宋体"/>
          <w:b/>
          <w:bCs/>
          <w:color w:val="auto"/>
          <w:sz w:val="21"/>
          <w:szCs w:val="21"/>
          <w:highlight w:val="none"/>
        </w:rPr>
        <w:t>4.1不论投标过程中的做法和结果如何，投标人应自行承担所有与投标有关的全部费用。采购人在任何情况下均无义务和责任承担上述这些费用。</w:t>
      </w:r>
    </w:p>
    <w:p>
      <w:pPr>
        <w:pStyle w:val="30"/>
        <w:spacing w:line="440" w:lineRule="exact"/>
        <w:ind w:right="-389" w:rightChars="-139" w:firstLine="211" w:firstLineChars="100"/>
        <w:outlineLvl w:val="1"/>
        <w:rPr>
          <w:rFonts w:ascii="宋体" w:cs="宋体"/>
          <w:b/>
          <w:bCs/>
          <w:color w:val="auto"/>
          <w:szCs w:val="21"/>
          <w:highlight w:val="none"/>
        </w:rPr>
      </w:pPr>
      <w:r>
        <w:rPr>
          <w:rFonts w:hint="eastAsia" w:ascii="宋体" w:cs="宋体"/>
          <w:b/>
          <w:bCs/>
          <w:color w:val="auto"/>
          <w:szCs w:val="21"/>
          <w:highlight w:val="none"/>
        </w:rPr>
        <w:t>二、采购文件细则</w:t>
      </w:r>
    </w:p>
    <w:p>
      <w:pPr>
        <w:pStyle w:val="30"/>
        <w:spacing w:line="420" w:lineRule="exact"/>
        <w:ind w:right="-389" w:rightChars="-139" w:firstLine="211" w:firstLineChars="100"/>
        <w:outlineLvl w:val="1"/>
        <w:rPr>
          <w:rFonts w:hint="eastAsia" w:ascii="宋体" w:hAnsi="宋体" w:cs="宋体"/>
          <w:b/>
          <w:bCs/>
          <w:color w:val="auto"/>
          <w:szCs w:val="21"/>
          <w:highlight w:val="none"/>
        </w:rPr>
      </w:pPr>
      <w:r>
        <w:rPr>
          <w:rFonts w:hint="eastAsia" w:ascii="宋体" w:hAnsi="宋体" w:cs="宋体"/>
          <w:b/>
          <w:bCs/>
          <w:color w:val="auto"/>
          <w:szCs w:val="21"/>
          <w:highlight w:val="none"/>
        </w:rPr>
        <w:t>5、采购文件的组成</w:t>
      </w:r>
    </w:p>
    <w:p>
      <w:pPr>
        <w:pStyle w:val="30"/>
        <w:spacing w:line="420" w:lineRule="exact"/>
        <w:ind w:right="-389" w:rightChars="-139" w:firstLine="210" w:firstLineChars="100"/>
        <w:outlineLvl w:val="1"/>
        <w:rPr>
          <w:rFonts w:hint="eastAsia" w:ascii="宋体" w:hAnsi="宋体" w:cs="宋体"/>
          <w:color w:val="auto"/>
          <w:szCs w:val="21"/>
          <w:highlight w:val="none"/>
        </w:rPr>
      </w:pPr>
      <w:r>
        <w:rPr>
          <w:rFonts w:hint="eastAsia" w:ascii="宋体" w:hAnsi="宋体" w:cs="宋体"/>
          <w:bCs/>
          <w:color w:val="auto"/>
          <w:szCs w:val="21"/>
          <w:highlight w:val="none"/>
        </w:rPr>
        <w:t>5.1采购文件</w:t>
      </w:r>
      <w:r>
        <w:rPr>
          <w:rFonts w:hint="eastAsia" w:ascii="宋体" w:hAnsi="宋体" w:cs="宋体"/>
          <w:bCs/>
          <w:color w:val="auto"/>
          <w:szCs w:val="21"/>
          <w:highlight w:val="none"/>
          <w:lang w:val="en-US" w:eastAsia="zh-CN"/>
        </w:rPr>
        <w:t>中</w:t>
      </w:r>
      <w:r>
        <w:rPr>
          <w:rFonts w:hint="eastAsia" w:ascii="宋体" w:hAnsi="宋体" w:cs="宋体"/>
          <w:bCs/>
          <w:color w:val="auto"/>
          <w:szCs w:val="21"/>
          <w:highlight w:val="none"/>
        </w:rPr>
        <w:t>除本《采购文件</w:t>
      </w:r>
      <w:r>
        <w:rPr>
          <w:rFonts w:hint="eastAsia" w:ascii="宋体" w:hAnsi="宋体" w:cs="宋体"/>
          <w:color w:val="auto"/>
          <w:szCs w:val="21"/>
          <w:highlight w:val="none"/>
        </w:rPr>
        <w:t>》内容外，招标人</w:t>
      </w:r>
      <w:r>
        <w:rPr>
          <w:rFonts w:hint="eastAsia" w:ascii="宋体" w:hAnsi="宋体" w:cs="宋体"/>
          <w:color w:val="auto"/>
          <w:szCs w:val="21"/>
          <w:highlight w:val="none"/>
          <w:lang w:val="en-US" w:eastAsia="zh-CN"/>
        </w:rPr>
        <w:t>或采购人</w:t>
      </w:r>
      <w:r>
        <w:rPr>
          <w:rFonts w:hint="eastAsia" w:ascii="宋体" w:hAnsi="宋体" w:cs="宋体"/>
          <w:color w:val="auto"/>
          <w:szCs w:val="21"/>
          <w:highlight w:val="none"/>
        </w:rPr>
        <w:t>在采购期间发出的质疑回答、补遗文件</w:t>
      </w:r>
      <w:r>
        <w:rPr>
          <w:rFonts w:hint="eastAsia" w:ascii="宋体" w:hAnsi="宋体" w:cs="宋体"/>
          <w:color w:val="auto"/>
          <w:szCs w:val="21"/>
          <w:highlight w:val="none"/>
          <w:lang w:eastAsia="zh-CN"/>
        </w:rPr>
        <w:t>和其他</w:t>
      </w:r>
      <w:r>
        <w:rPr>
          <w:rFonts w:hint="eastAsia" w:ascii="宋体" w:hAnsi="宋体" w:cs="宋体"/>
          <w:color w:val="auto"/>
          <w:szCs w:val="21"/>
          <w:highlight w:val="none"/>
        </w:rPr>
        <w:t>正式有效函件，均构成采购文件的组成部分。</w:t>
      </w:r>
    </w:p>
    <w:p>
      <w:pPr>
        <w:spacing w:line="420" w:lineRule="exact"/>
        <w:ind w:left="-176" w:leftChars="-63" w:right="-389" w:rightChars="-139" w:firstLine="420" w:firstLineChars="200"/>
        <w:outlineLvl w:val="1"/>
        <w:rPr>
          <w:rFonts w:hint="eastAsia" w:ascii="宋体" w:hAnsi="宋体" w:cs="宋体"/>
          <w:b/>
          <w:bCs/>
          <w:color w:val="auto"/>
          <w:sz w:val="21"/>
          <w:szCs w:val="21"/>
          <w:highlight w:val="none"/>
        </w:rPr>
      </w:pPr>
      <w:r>
        <w:rPr>
          <w:rFonts w:hint="eastAsia" w:ascii="宋体" w:hAnsi="宋体" w:cs="宋体"/>
          <w:color w:val="auto"/>
          <w:sz w:val="21"/>
          <w:szCs w:val="21"/>
          <w:highlight w:val="none"/>
        </w:rPr>
        <w:t>5.2 投标人应认真对照阅读采购文件中所有的事项、格式、条款和技术规范等。投标人没有按照采购文件要求提交全部资料，或者投标人没有对采购文件在各方面都做出实质性响应是投标人的风险，并可能导致其投标被拒绝。</w:t>
      </w:r>
    </w:p>
    <w:p>
      <w:pPr>
        <w:spacing w:line="420" w:lineRule="exact"/>
        <w:ind w:firstLine="207" w:firstLineChars="98"/>
        <w:outlineLvl w:val="1"/>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6、采购文件的解释</w:t>
      </w:r>
    </w:p>
    <w:p>
      <w:pPr>
        <w:snapToGrid w:val="0"/>
        <w:spacing w:line="420" w:lineRule="exact"/>
        <w:ind w:firstLine="420" w:firstLineChars="200"/>
        <w:outlineLvl w:val="1"/>
        <w:rPr>
          <w:rFonts w:hint="eastAsia" w:ascii="宋体" w:hAnsi="宋体" w:cs="宋体"/>
          <w:color w:val="auto"/>
          <w:sz w:val="21"/>
          <w:szCs w:val="21"/>
          <w:highlight w:val="none"/>
        </w:rPr>
      </w:pPr>
      <w:r>
        <w:rPr>
          <w:rFonts w:hint="eastAsia" w:ascii="宋体" w:hAnsi="宋体" w:cs="宋体"/>
          <w:color w:val="auto"/>
          <w:sz w:val="21"/>
          <w:szCs w:val="21"/>
          <w:highlight w:val="none"/>
        </w:rPr>
        <w:t>投标人如认为采购文件表述不清晰、存在歧视性</w:t>
      </w:r>
      <w:r>
        <w:rPr>
          <w:rFonts w:hint="eastAsia" w:ascii="宋体" w:hAnsi="宋体" w:cs="宋体"/>
          <w:color w:val="auto"/>
          <w:sz w:val="21"/>
          <w:szCs w:val="21"/>
          <w:highlight w:val="none"/>
          <w:lang w:eastAsia="zh-CN"/>
        </w:rPr>
        <w:t>或者其他</w:t>
      </w:r>
      <w:r>
        <w:rPr>
          <w:rFonts w:hint="eastAsia" w:ascii="宋体" w:hAnsi="宋体" w:cs="宋体"/>
          <w:color w:val="auto"/>
          <w:sz w:val="21"/>
          <w:szCs w:val="21"/>
          <w:highlight w:val="none"/>
        </w:rPr>
        <w:t>违法内容的，应当于采购公告“质疑与澄清”款规定的时间前根据</w:t>
      </w:r>
      <w:r>
        <w:rPr>
          <w:rFonts w:hint="eastAsia" w:ascii="宋体" w:hAnsi="宋体" w:cs="宋体"/>
          <w:color w:val="auto"/>
          <w:spacing w:val="3"/>
          <w:sz w:val="21"/>
          <w:szCs w:val="21"/>
          <w:highlight w:val="none"/>
        </w:rPr>
        <w:t>财政部</w:t>
      </w:r>
      <w:r>
        <w:rPr>
          <w:rFonts w:hint="eastAsia" w:ascii="宋体" w:hAnsi="宋体" w:cs="宋体"/>
          <w:color w:val="auto"/>
          <w:sz w:val="21"/>
          <w:szCs w:val="21"/>
          <w:highlight w:val="none"/>
        </w:rPr>
        <w:t>94</w:t>
      </w:r>
      <w:r>
        <w:rPr>
          <w:rFonts w:hint="eastAsia" w:ascii="宋体" w:hAnsi="宋体" w:cs="宋体"/>
          <w:color w:val="auto"/>
          <w:spacing w:val="4"/>
          <w:sz w:val="21"/>
          <w:szCs w:val="21"/>
          <w:highlight w:val="none"/>
        </w:rPr>
        <w:t>号令</w:t>
      </w:r>
      <w:r>
        <w:rPr>
          <w:rFonts w:hint="eastAsia" w:ascii="宋体" w:hAnsi="宋体" w:cs="宋体"/>
          <w:color w:val="auto"/>
          <w:sz w:val="21"/>
          <w:szCs w:val="21"/>
          <w:highlight w:val="none"/>
        </w:rPr>
        <w:t>（《政府采购质疑和投诉办法》）的规定，以书面形式一次性提出，要求采购人和招标人作出书面解释、澄清。招标人将于规定时间前将答疑内容以网上发布公告的形式通知所有已报名的投标人；答疑内容是采购文件的组成部分。</w:t>
      </w:r>
    </w:p>
    <w:p>
      <w:pPr>
        <w:pageBreakBefore w:val="0"/>
        <w:kinsoku/>
        <w:wordWrap/>
        <w:overflowPunct/>
        <w:topLinePunct w:val="0"/>
        <w:bidi w:val="0"/>
        <w:adjustRightInd/>
        <w:snapToGrid w:val="0"/>
        <w:spacing w:line="480" w:lineRule="exact"/>
        <w:ind w:left="0" w:leftChars="0" w:right="0" w:rightChars="0" w:firstLine="420" w:firstLineChars="200"/>
        <w:outlineLvl w:val="1"/>
        <w:rPr>
          <w:rFonts w:hint="eastAsia" w:ascii="宋体" w:hAnsi="宋体" w:eastAsia="宋体"/>
          <w:color w:val="auto"/>
          <w:sz w:val="21"/>
          <w:szCs w:val="21"/>
          <w:highlight w:val="none"/>
          <w:lang w:eastAsia="zh-CN"/>
        </w:rPr>
      </w:pPr>
      <w:r>
        <w:rPr>
          <w:rFonts w:ascii="宋体" w:hAnsi="宋体"/>
          <w:color w:val="auto"/>
          <w:sz w:val="21"/>
          <w:szCs w:val="21"/>
          <w:highlight w:val="none"/>
        </w:rPr>
        <w:t>采购单位联系人：</w:t>
      </w:r>
      <w:r>
        <w:rPr>
          <w:rFonts w:hint="eastAsia" w:ascii="宋体" w:hAnsi="宋体"/>
          <w:color w:val="auto"/>
          <w:sz w:val="21"/>
          <w:szCs w:val="21"/>
          <w:highlight w:val="none"/>
        </w:rPr>
        <w:t>余晓军</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联系电话：15888977605</w:t>
      </w:r>
      <w:r>
        <w:rPr>
          <w:rFonts w:hint="eastAsia" w:ascii="宋体" w:hAnsi="宋体" w:cs="宋体"/>
          <w:b w:val="0"/>
          <w:bCs w:val="0"/>
          <w:i w:val="0"/>
          <w:iCs w:val="0"/>
          <w:caps w:val="0"/>
          <w:color w:val="auto"/>
          <w:spacing w:val="0"/>
          <w:sz w:val="21"/>
          <w:szCs w:val="21"/>
          <w:highlight w:val="none"/>
          <w:shd w:val="clear" w:color="auto" w:fill="FFFFFF"/>
          <w:lang w:val="en-US" w:eastAsia="zh-CN"/>
        </w:rPr>
        <w:t xml:space="preserve"> </w:t>
      </w:r>
    </w:p>
    <w:p>
      <w:pPr>
        <w:widowControl/>
        <w:spacing w:line="420" w:lineRule="exact"/>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质疑受理联系人</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 xml:space="preserve">徐丽琴      </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质疑联系电话：0579-88988422</w:t>
      </w:r>
    </w:p>
    <w:p>
      <w:pPr>
        <w:pageBreakBefore w:val="0"/>
        <w:kinsoku/>
        <w:wordWrap/>
        <w:overflowPunct/>
        <w:topLinePunct w:val="0"/>
        <w:bidi w:val="0"/>
        <w:adjustRightInd/>
        <w:spacing w:line="420" w:lineRule="exact"/>
        <w:ind w:firstLine="310" w:firstLineChars="147"/>
        <w:outlineLvl w:val="1"/>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7、</w:t>
      </w:r>
      <w:r>
        <w:rPr>
          <w:rFonts w:hint="eastAsia" w:ascii="宋体" w:hAnsi="宋体" w:eastAsia="宋体" w:cs="宋体"/>
          <w:b/>
          <w:bCs/>
          <w:color w:val="auto"/>
          <w:sz w:val="21"/>
          <w:szCs w:val="21"/>
          <w:highlight w:val="none"/>
          <w:lang w:eastAsia="zh-CN"/>
        </w:rPr>
        <w:t>采购文件</w:t>
      </w:r>
      <w:r>
        <w:rPr>
          <w:rFonts w:hint="eastAsia" w:ascii="宋体" w:hAnsi="宋体" w:eastAsia="宋体" w:cs="宋体"/>
          <w:b/>
          <w:bCs/>
          <w:color w:val="auto"/>
          <w:sz w:val="21"/>
          <w:szCs w:val="21"/>
          <w:highlight w:val="none"/>
        </w:rPr>
        <w:t>的修改</w:t>
      </w:r>
    </w:p>
    <w:p>
      <w:pPr>
        <w:pageBreakBefore w:val="0"/>
        <w:kinsoku/>
        <w:wordWrap/>
        <w:overflowPunct/>
        <w:topLinePunct w:val="0"/>
        <w:bidi w:val="0"/>
        <w:adjustRightInd/>
        <w:spacing w:line="420" w:lineRule="exact"/>
        <w:ind w:firstLine="315" w:firstLineChars="150"/>
        <w:outlineLvl w:val="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7.1在</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递交截止时间前，</w:t>
      </w:r>
      <w:r>
        <w:rPr>
          <w:rFonts w:hint="eastAsia" w:ascii="宋体" w:hAnsi="宋体" w:eastAsia="宋体" w:cs="宋体"/>
          <w:color w:val="auto"/>
          <w:sz w:val="21"/>
          <w:szCs w:val="21"/>
          <w:highlight w:val="none"/>
          <w:lang w:val="en-US" w:eastAsia="zh-CN"/>
        </w:rPr>
        <w:t>招标人或采购人将</w:t>
      </w:r>
      <w:r>
        <w:rPr>
          <w:rFonts w:hint="eastAsia" w:ascii="宋体" w:hAnsi="宋体" w:eastAsia="宋体" w:cs="宋体"/>
          <w:color w:val="auto"/>
          <w:sz w:val="21"/>
          <w:szCs w:val="21"/>
          <w:highlight w:val="none"/>
        </w:rPr>
        <w:t>有权修改</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招标人或采购人</w:t>
      </w:r>
      <w:r>
        <w:rPr>
          <w:rFonts w:hint="eastAsia" w:ascii="宋体" w:hAnsi="宋体" w:eastAsia="宋体" w:cs="宋体"/>
          <w:color w:val="auto"/>
          <w:sz w:val="21"/>
          <w:szCs w:val="21"/>
          <w:highlight w:val="none"/>
        </w:rPr>
        <w:t>可主动地或在解答投标人提出的澄清问题时对</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进行修改。</w:t>
      </w:r>
    </w:p>
    <w:p>
      <w:pPr>
        <w:pageBreakBefore w:val="0"/>
        <w:kinsoku/>
        <w:wordWrap/>
        <w:overflowPunct/>
        <w:topLinePunct w:val="0"/>
        <w:bidi w:val="0"/>
        <w:adjustRightInd/>
        <w:spacing w:line="420" w:lineRule="exact"/>
        <w:ind w:firstLine="315" w:firstLineChars="150"/>
        <w:outlineLvl w:val="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7.2</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的修改将以书面形式通知所有获取</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的投标人，并对其具有约束力。投标人在收到上述通知后，应立即向招标人回函确认。</w:t>
      </w:r>
    </w:p>
    <w:p>
      <w:pPr>
        <w:pageBreakBefore w:val="0"/>
        <w:kinsoku/>
        <w:wordWrap/>
        <w:overflowPunct/>
        <w:topLinePunct w:val="0"/>
        <w:bidi w:val="0"/>
        <w:adjustRightInd/>
        <w:spacing w:line="420" w:lineRule="exact"/>
        <w:ind w:firstLine="315" w:firstLineChars="150"/>
        <w:outlineLvl w:val="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7.3为使投标人准备投标时有充分时间对</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的修改部分进行研究，招标人可在投标截止前递交截止前通知投标人，适当延长投标文件递交截止期。</w:t>
      </w:r>
    </w:p>
    <w:p>
      <w:pPr>
        <w:pageBreakBefore w:val="0"/>
        <w:kinsoku/>
        <w:wordWrap/>
        <w:overflowPunct/>
        <w:topLinePunct w:val="0"/>
        <w:bidi w:val="0"/>
        <w:adjustRightInd/>
        <w:spacing w:line="42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7.4</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的澄清、答疑、修改、补充文件是</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的组成部分，投标人须按照</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的澄清、答疑、修改、补充文件的要求参与投标，投标人没有做出实质性响应是投标人的风险，并可能导致其投标被拒绝。</w:t>
      </w:r>
    </w:p>
    <w:p>
      <w:pPr>
        <w:pStyle w:val="30"/>
        <w:pageBreakBefore w:val="0"/>
        <w:kinsoku/>
        <w:wordWrap/>
        <w:overflowPunct/>
        <w:topLinePunct w:val="0"/>
        <w:bidi w:val="0"/>
        <w:adjustRightInd/>
        <w:spacing w:line="420" w:lineRule="exact"/>
        <w:ind w:firstLine="316" w:firstLineChars="150"/>
        <w:outlineLvl w:val="1"/>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三、投标文件</w:t>
      </w:r>
    </w:p>
    <w:p>
      <w:pPr>
        <w:pageBreakBefore w:val="0"/>
        <w:kinsoku/>
        <w:wordWrap/>
        <w:overflowPunct/>
        <w:topLinePunct w:val="0"/>
        <w:autoSpaceDE w:val="0"/>
        <w:autoSpaceDN w:val="0"/>
        <w:bidi w:val="0"/>
        <w:adjustRightInd/>
        <w:spacing w:line="420" w:lineRule="exact"/>
        <w:ind w:firstLine="310" w:firstLineChars="147"/>
        <w:textAlignment w:val="bottom"/>
        <w:outlineLvl w:val="1"/>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eastAsia="zh-CN"/>
        </w:rPr>
        <w:t>8</w:t>
      </w:r>
      <w:r>
        <w:rPr>
          <w:rFonts w:hint="eastAsia" w:ascii="宋体" w:hAnsi="宋体" w:eastAsia="宋体" w:cs="宋体"/>
          <w:b/>
          <w:bCs/>
          <w:color w:val="auto"/>
          <w:sz w:val="21"/>
          <w:szCs w:val="21"/>
          <w:highlight w:val="none"/>
        </w:rPr>
        <w:t>、投标文件的语言、计量及货币</w:t>
      </w:r>
    </w:p>
    <w:p>
      <w:pPr>
        <w:pageBreakBefore w:val="0"/>
        <w:kinsoku/>
        <w:wordWrap/>
        <w:overflowPunct/>
        <w:topLinePunct w:val="0"/>
        <w:autoSpaceDE w:val="0"/>
        <w:autoSpaceDN w:val="0"/>
        <w:bidi w:val="0"/>
        <w:adjustRightInd/>
        <w:spacing w:line="420" w:lineRule="exact"/>
        <w:ind w:firstLine="315" w:firstLineChars="150"/>
        <w:textAlignment w:val="bottom"/>
        <w:outlineLvl w:val="1"/>
        <w:rPr>
          <w:rFonts w:hint="eastAsia" w:ascii="宋体" w:hAnsi="宋体" w:eastAsia="宋体" w:cs="宋体"/>
          <w:color w:val="auto"/>
          <w:spacing w:val="-6"/>
          <w:kern w:val="0"/>
          <w:sz w:val="21"/>
          <w:szCs w:val="21"/>
          <w:highlight w:val="none"/>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.1投标及投标人与采购有关的来往通知、函件和文件均应使用中文</w:t>
      </w:r>
      <w:r>
        <w:rPr>
          <w:rFonts w:hint="eastAsia" w:ascii="宋体" w:hAnsi="宋体" w:eastAsia="宋体" w:cs="宋体"/>
          <w:color w:val="auto"/>
          <w:spacing w:val="-6"/>
          <w:kern w:val="0"/>
          <w:sz w:val="21"/>
          <w:szCs w:val="21"/>
          <w:highlight w:val="none"/>
        </w:rPr>
        <w:t>编写。</w:t>
      </w:r>
    </w:p>
    <w:p>
      <w:pPr>
        <w:pageBreakBefore w:val="0"/>
        <w:kinsoku/>
        <w:wordWrap/>
        <w:overflowPunct/>
        <w:topLinePunct w:val="0"/>
        <w:autoSpaceDE w:val="0"/>
        <w:autoSpaceDN w:val="0"/>
        <w:bidi w:val="0"/>
        <w:adjustRightInd/>
        <w:spacing w:line="420" w:lineRule="exact"/>
        <w:ind w:firstLine="315" w:firstLineChars="150"/>
        <w:textAlignment w:val="bottom"/>
        <w:outlineLvl w:val="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.2除在技术规格中另有规定外，计量单位应使用法定计量单位。</w:t>
      </w:r>
    </w:p>
    <w:p>
      <w:pPr>
        <w:pageBreakBefore w:val="0"/>
        <w:kinsoku/>
        <w:wordWrap/>
        <w:overflowPunct/>
        <w:topLinePunct w:val="0"/>
        <w:bidi w:val="0"/>
        <w:adjustRightInd/>
        <w:spacing w:line="420" w:lineRule="exact"/>
        <w:ind w:firstLine="315" w:firstLineChars="150"/>
        <w:outlineLvl w:val="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.3投标报价货币为人民币，单位为元。</w:t>
      </w:r>
    </w:p>
    <w:p>
      <w:pPr>
        <w:pageBreakBefore w:val="0"/>
        <w:kinsoku/>
        <w:wordWrap/>
        <w:overflowPunct/>
        <w:topLinePunct w:val="0"/>
        <w:bidi w:val="0"/>
        <w:adjustRightInd/>
        <w:spacing w:line="420" w:lineRule="exact"/>
        <w:ind w:firstLine="310" w:firstLineChars="147"/>
        <w:outlineLvl w:val="1"/>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9</w:t>
      </w:r>
      <w:r>
        <w:rPr>
          <w:rFonts w:hint="eastAsia" w:ascii="宋体" w:hAnsi="宋体" w:eastAsia="宋体" w:cs="宋体"/>
          <w:b/>
          <w:bCs/>
          <w:color w:val="auto"/>
          <w:sz w:val="21"/>
          <w:szCs w:val="21"/>
          <w:highlight w:val="none"/>
        </w:rPr>
        <w:t>、对投标文件的要求</w:t>
      </w:r>
    </w:p>
    <w:p>
      <w:pPr>
        <w:pageBreakBefore w:val="0"/>
        <w:kinsoku/>
        <w:wordWrap/>
        <w:overflowPunct/>
        <w:topLinePunct w:val="0"/>
        <w:bidi w:val="0"/>
        <w:adjustRightInd/>
        <w:spacing w:line="420" w:lineRule="exact"/>
        <w:ind w:firstLine="315" w:firstLineChars="150"/>
        <w:outlineLvl w:val="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.1投标人应仔细阅读</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的所有内容，按</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的要求提供电子投标文件，并保证所提供的全部资料的真实性，以使投标</w:t>
      </w:r>
      <w:r>
        <w:rPr>
          <w:rFonts w:hint="eastAsia" w:ascii="宋体" w:hAnsi="宋体" w:eastAsia="宋体" w:cs="宋体"/>
          <w:color w:val="auto"/>
          <w:sz w:val="21"/>
          <w:szCs w:val="21"/>
          <w:highlight w:val="none"/>
          <w:lang w:val="en-US" w:eastAsia="zh-CN"/>
        </w:rPr>
        <w:t>人</w:t>
      </w:r>
      <w:r>
        <w:rPr>
          <w:rFonts w:hint="eastAsia" w:ascii="宋体" w:hAnsi="宋体" w:eastAsia="宋体" w:cs="宋体"/>
          <w:color w:val="auto"/>
          <w:sz w:val="21"/>
          <w:szCs w:val="21"/>
          <w:highlight w:val="none"/>
        </w:rPr>
        <w:t>对</w:t>
      </w:r>
      <w:r>
        <w:rPr>
          <w:rFonts w:hint="eastAsia" w:ascii="宋体" w:hAnsi="宋体" w:eastAsia="宋体" w:cs="宋体"/>
          <w:color w:val="auto"/>
          <w:sz w:val="21"/>
          <w:szCs w:val="21"/>
          <w:highlight w:val="none"/>
          <w:lang w:eastAsia="zh-CN"/>
        </w:rPr>
        <w:t>采购文件作出</w:t>
      </w:r>
      <w:r>
        <w:rPr>
          <w:rFonts w:hint="eastAsia" w:ascii="宋体" w:hAnsi="宋体" w:eastAsia="宋体" w:cs="宋体"/>
          <w:color w:val="auto"/>
          <w:sz w:val="21"/>
          <w:szCs w:val="21"/>
          <w:highlight w:val="none"/>
        </w:rPr>
        <w:t>实质性响应，否则，其投标可能被拒绝。</w:t>
      </w:r>
    </w:p>
    <w:p>
      <w:pPr>
        <w:pageBreakBefore w:val="0"/>
        <w:kinsoku/>
        <w:wordWrap/>
        <w:overflowPunct/>
        <w:topLinePunct w:val="0"/>
        <w:bidi w:val="0"/>
        <w:adjustRightInd/>
        <w:spacing w:line="420" w:lineRule="exact"/>
        <w:ind w:firstLine="310" w:firstLineChars="147"/>
        <w:outlineLvl w:val="1"/>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lang w:val="en-US" w:eastAsia="zh-CN"/>
        </w:rPr>
        <w:t>9</w:t>
      </w:r>
      <w:r>
        <w:rPr>
          <w:rFonts w:hint="eastAsia" w:ascii="宋体" w:hAnsi="宋体" w:eastAsia="宋体" w:cs="宋体"/>
          <w:b/>
          <w:color w:val="auto"/>
          <w:sz w:val="21"/>
          <w:szCs w:val="21"/>
          <w:highlight w:val="none"/>
          <w:u w:val="single"/>
        </w:rPr>
        <w:t>.2在</w:t>
      </w:r>
      <w:r>
        <w:rPr>
          <w:rFonts w:hint="eastAsia" w:ascii="宋体" w:hAnsi="宋体" w:eastAsia="宋体" w:cs="宋体"/>
          <w:b/>
          <w:color w:val="auto"/>
          <w:sz w:val="21"/>
          <w:szCs w:val="21"/>
          <w:highlight w:val="none"/>
          <w:u w:val="single"/>
          <w:lang w:eastAsia="zh-CN"/>
        </w:rPr>
        <w:t>采购文件</w:t>
      </w:r>
      <w:r>
        <w:rPr>
          <w:rFonts w:hint="eastAsia" w:ascii="宋体" w:hAnsi="宋体" w:eastAsia="宋体" w:cs="宋体"/>
          <w:b/>
          <w:color w:val="auto"/>
          <w:sz w:val="21"/>
          <w:szCs w:val="21"/>
          <w:highlight w:val="none"/>
          <w:u w:val="single"/>
        </w:rPr>
        <w:t>对服务</w:t>
      </w:r>
      <w:r>
        <w:rPr>
          <w:rFonts w:hint="eastAsia" w:ascii="宋体" w:hAnsi="宋体" w:eastAsia="宋体" w:cs="宋体"/>
          <w:b/>
          <w:color w:val="auto"/>
          <w:sz w:val="21"/>
          <w:szCs w:val="21"/>
          <w:highlight w:val="none"/>
          <w:u w:val="single"/>
          <w:lang w:val="en-US" w:eastAsia="zh-CN"/>
        </w:rPr>
        <w:t>和货物</w:t>
      </w:r>
      <w:r>
        <w:rPr>
          <w:rFonts w:hint="eastAsia" w:ascii="宋体" w:hAnsi="宋体" w:eastAsia="宋体" w:cs="宋体"/>
          <w:b/>
          <w:color w:val="auto"/>
          <w:sz w:val="21"/>
          <w:szCs w:val="21"/>
          <w:highlight w:val="none"/>
          <w:u w:val="single"/>
        </w:rPr>
        <w:t>技术要求中，投标人必须充分应答应满足采购人的强制性的需求，如“★”等，否则将导致废标。</w:t>
      </w:r>
    </w:p>
    <w:p>
      <w:pPr>
        <w:pageBreakBefore w:val="0"/>
        <w:kinsoku/>
        <w:wordWrap/>
        <w:overflowPunct/>
        <w:topLinePunct w:val="0"/>
        <w:bidi w:val="0"/>
        <w:adjustRightInd/>
        <w:spacing w:line="420" w:lineRule="exact"/>
        <w:ind w:firstLine="315" w:firstLineChars="150"/>
        <w:outlineLvl w:val="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.3</w:t>
      </w:r>
      <w:r>
        <w:rPr>
          <w:rFonts w:hint="eastAsia" w:ascii="宋体" w:hAnsi="宋体" w:eastAsia="宋体" w:cs="宋体"/>
          <w:color w:val="auto"/>
          <w:kern w:val="0"/>
          <w:sz w:val="21"/>
          <w:szCs w:val="21"/>
          <w:highlight w:val="none"/>
          <w:lang w:val="zh-CN"/>
        </w:rPr>
        <w:t>投标人须对所参投的</w:t>
      </w:r>
      <w:r>
        <w:rPr>
          <w:rFonts w:hint="eastAsia" w:ascii="宋体" w:hAnsi="宋体" w:eastAsia="宋体" w:cs="宋体"/>
          <w:b w:val="0"/>
          <w:bCs/>
          <w:color w:val="auto"/>
          <w:sz w:val="21"/>
          <w:szCs w:val="21"/>
          <w:highlight w:val="none"/>
          <w:u w:val="none"/>
          <w:lang w:val="en-US" w:eastAsia="zh-CN"/>
        </w:rPr>
        <w:t>货物和</w:t>
      </w:r>
      <w:r>
        <w:rPr>
          <w:rFonts w:hint="eastAsia" w:ascii="宋体" w:hAnsi="宋体" w:eastAsia="宋体" w:cs="宋体"/>
          <w:b w:val="0"/>
          <w:bCs/>
          <w:color w:val="auto"/>
          <w:sz w:val="21"/>
          <w:szCs w:val="21"/>
          <w:highlight w:val="none"/>
          <w:u w:val="none"/>
        </w:rPr>
        <w:t>服务</w:t>
      </w:r>
      <w:r>
        <w:rPr>
          <w:rFonts w:hint="eastAsia" w:ascii="宋体" w:hAnsi="宋体" w:eastAsia="宋体" w:cs="宋体"/>
          <w:color w:val="auto"/>
          <w:kern w:val="0"/>
          <w:sz w:val="21"/>
          <w:szCs w:val="21"/>
          <w:highlight w:val="none"/>
          <w:lang w:val="zh-CN"/>
        </w:rPr>
        <w:t>的专利等知识产权负责，因知识产权问题引起的纠纷由投标人自行承担，采购人不承担因此产生的任何责任。</w:t>
      </w:r>
    </w:p>
    <w:p>
      <w:pPr>
        <w:pageBreakBefore w:val="0"/>
        <w:widowControl/>
        <w:kinsoku/>
        <w:wordWrap/>
        <w:overflowPunct/>
        <w:topLinePunct w:val="0"/>
        <w:bidi w:val="0"/>
        <w:adjustRightInd/>
        <w:spacing w:line="420" w:lineRule="exact"/>
        <w:ind w:firstLine="422" w:firstLineChars="200"/>
        <w:jc w:val="left"/>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1</w:t>
      </w:r>
      <w:r>
        <w:rPr>
          <w:rFonts w:hint="eastAsia" w:ascii="宋体" w:hAnsi="宋体" w:eastAsia="宋体" w:cs="宋体"/>
          <w:b/>
          <w:bCs/>
          <w:color w:val="auto"/>
          <w:kern w:val="0"/>
          <w:sz w:val="21"/>
          <w:szCs w:val="21"/>
          <w:highlight w:val="none"/>
          <w:lang w:val="en-US" w:eastAsia="zh-CN"/>
        </w:rPr>
        <w:t>0</w:t>
      </w:r>
      <w:r>
        <w:rPr>
          <w:rFonts w:hint="eastAsia" w:ascii="宋体" w:hAnsi="宋体" w:eastAsia="宋体" w:cs="宋体"/>
          <w:b/>
          <w:bCs/>
          <w:color w:val="auto"/>
          <w:kern w:val="0"/>
          <w:sz w:val="21"/>
          <w:szCs w:val="21"/>
          <w:highlight w:val="none"/>
        </w:rPr>
        <w:t>、</w:t>
      </w:r>
      <w:r>
        <w:rPr>
          <w:rFonts w:hint="eastAsia" w:ascii="宋体" w:hAnsi="宋体" w:eastAsia="宋体" w:cs="宋体"/>
          <w:b/>
          <w:bCs/>
          <w:color w:val="auto"/>
          <w:sz w:val="21"/>
          <w:szCs w:val="21"/>
          <w:highlight w:val="none"/>
        </w:rPr>
        <w:t>投标文件</w:t>
      </w:r>
      <w:r>
        <w:rPr>
          <w:rFonts w:hint="eastAsia" w:ascii="宋体" w:hAnsi="宋体" w:eastAsia="宋体" w:cs="宋体"/>
          <w:b/>
          <w:bCs/>
          <w:color w:val="auto"/>
          <w:kern w:val="0"/>
          <w:sz w:val="21"/>
          <w:szCs w:val="21"/>
          <w:highlight w:val="none"/>
        </w:rPr>
        <w:t>的组成</w:t>
      </w:r>
    </w:p>
    <w:p>
      <w:pPr>
        <w:pageBreakBefore w:val="0"/>
        <w:widowControl/>
        <w:kinsoku/>
        <w:wordWrap/>
        <w:overflowPunct/>
        <w:topLinePunct w:val="0"/>
        <w:bidi w:val="0"/>
        <w:adjustRightInd/>
        <w:spacing w:line="420" w:lineRule="exact"/>
        <w:ind w:firstLine="420" w:firstLineChars="200"/>
        <w:rPr>
          <w:rFonts w:hint="eastAsia" w:ascii="宋体" w:hAnsi="宋体" w:eastAsia="宋体" w:cs="宋体"/>
          <w:b/>
          <w:bCs/>
          <w:color w:val="auto"/>
          <w:kern w:val="0"/>
          <w:sz w:val="21"/>
          <w:szCs w:val="21"/>
          <w:highlight w:val="none"/>
        </w:rPr>
      </w:pP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lang w:val="en-US" w:eastAsia="zh-CN"/>
        </w:rPr>
        <w:t>0</w:t>
      </w:r>
      <w:r>
        <w:rPr>
          <w:rFonts w:hint="eastAsia" w:ascii="宋体" w:hAnsi="宋体" w:eastAsia="宋体" w:cs="宋体"/>
          <w:color w:val="auto"/>
          <w:kern w:val="0"/>
          <w:sz w:val="21"/>
          <w:szCs w:val="21"/>
          <w:highlight w:val="none"/>
        </w:rPr>
        <w:t>.1 投标文件由资格证明文件、技术商务标、价格标</w:t>
      </w:r>
      <w:r>
        <w:rPr>
          <w:rFonts w:hint="eastAsia" w:ascii="宋体" w:hAnsi="宋体" w:eastAsia="宋体" w:cs="宋体"/>
          <w:color w:val="auto"/>
          <w:kern w:val="0"/>
          <w:sz w:val="21"/>
          <w:szCs w:val="21"/>
          <w:highlight w:val="none"/>
          <w:lang w:eastAsia="zh-CN"/>
        </w:rPr>
        <w:t>三部分组成</w:t>
      </w:r>
      <w:r>
        <w:rPr>
          <w:rFonts w:hint="eastAsia" w:ascii="宋体" w:hAnsi="宋体" w:eastAsia="宋体" w:cs="宋体"/>
          <w:color w:val="auto"/>
          <w:kern w:val="0"/>
          <w:sz w:val="21"/>
          <w:szCs w:val="21"/>
          <w:highlight w:val="none"/>
        </w:rPr>
        <w:t>。</w:t>
      </w:r>
      <w:r>
        <w:rPr>
          <w:rFonts w:hint="eastAsia" w:ascii="宋体" w:hAnsi="宋体" w:eastAsia="宋体" w:cs="宋体"/>
          <w:b/>
          <w:bCs/>
          <w:color w:val="auto"/>
          <w:kern w:val="0"/>
          <w:sz w:val="21"/>
          <w:szCs w:val="21"/>
          <w:highlight w:val="none"/>
        </w:rPr>
        <w:t>电子</w:t>
      </w:r>
      <w:r>
        <w:rPr>
          <w:rFonts w:hint="eastAsia" w:ascii="宋体" w:hAnsi="宋体" w:eastAsia="宋体" w:cs="宋体"/>
          <w:b/>
          <w:bCs/>
          <w:color w:val="auto"/>
          <w:kern w:val="0"/>
          <w:sz w:val="21"/>
          <w:szCs w:val="21"/>
          <w:highlight w:val="none"/>
          <w:lang w:eastAsia="zh-CN"/>
        </w:rPr>
        <w:t>投标文件</w:t>
      </w:r>
      <w:r>
        <w:rPr>
          <w:rFonts w:hint="eastAsia" w:ascii="宋体" w:hAnsi="宋体" w:eastAsia="宋体" w:cs="宋体"/>
          <w:b/>
          <w:bCs/>
          <w:color w:val="auto"/>
          <w:kern w:val="0"/>
          <w:sz w:val="21"/>
          <w:szCs w:val="21"/>
          <w:highlight w:val="none"/>
        </w:rPr>
        <w:t>中所</w:t>
      </w:r>
      <w:r>
        <w:rPr>
          <w:rFonts w:hint="eastAsia" w:ascii="宋体" w:hAnsi="宋体" w:eastAsia="宋体" w:cs="宋体"/>
          <w:b/>
          <w:bCs/>
          <w:color w:val="auto"/>
          <w:kern w:val="0"/>
          <w:sz w:val="21"/>
          <w:szCs w:val="21"/>
          <w:highlight w:val="none"/>
          <w:lang w:eastAsia="zh-CN"/>
        </w:rPr>
        <w:t>需加盖单位公章</w:t>
      </w:r>
      <w:r>
        <w:rPr>
          <w:rFonts w:hint="eastAsia" w:ascii="宋体" w:hAnsi="宋体" w:eastAsia="宋体" w:cs="宋体"/>
          <w:b/>
          <w:bCs/>
          <w:color w:val="auto"/>
          <w:kern w:val="0"/>
          <w:sz w:val="21"/>
          <w:szCs w:val="21"/>
          <w:highlight w:val="none"/>
        </w:rPr>
        <w:t>部分均采用 CA 签章。投标人应根据“政府采购项目电子交易管理操作指南”及本</w:t>
      </w:r>
      <w:r>
        <w:rPr>
          <w:rFonts w:hint="eastAsia" w:ascii="宋体" w:hAnsi="宋体" w:eastAsia="宋体" w:cs="宋体"/>
          <w:b/>
          <w:bCs/>
          <w:color w:val="auto"/>
          <w:kern w:val="0"/>
          <w:sz w:val="21"/>
          <w:szCs w:val="21"/>
          <w:highlight w:val="none"/>
          <w:lang w:eastAsia="zh-CN"/>
        </w:rPr>
        <w:t>采购文件</w:t>
      </w:r>
      <w:r>
        <w:rPr>
          <w:rFonts w:hint="eastAsia" w:ascii="宋体" w:hAnsi="宋体" w:eastAsia="宋体" w:cs="宋体"/>
          <w:b/>
          <w:bCs/>
          <w:color w:val="auto"/>
          <w:kern w:val="0"/>
          <w:sz w:val="21"/>
          <w:szCs w:val="21"/>
          <w:highlight w:val="none"/>
        </w:rPr>
        <w:t>规定的格式和顺序编制电子</w:t>
      </w:r>
      <w:r>
        <w:rPr>
          <w:rFonts w:hint="eastAsia" w:ascii="宋体" w:hAnsi="宋体" w:eastAsia="宋体" w:cs="宋体"/>
          <w:b/>
          <w:bCs/>
          <w:color w:val="auto"/>
          <w:kern w:val="0"/>
          <w:sz w:val="21"/>
          <w:szCs w:val="21"/>
          <w:highlight w:val="none"/>
          <w:lang w:eastAsia="zh-CN"/>
        </w:rPr>
        <w:t>投标文件</w:t>
      </w:r>
      <w:r>
        <w:rPr>
          <w:rFonts w:hint="eastAsia" w:ascii="宋体" w:hAnsi="宋体" w:eastAsia="宋体" w:cs="宋体"/>
          <w:b/>
          <w:bCs/>
          <w:color w:val="auto"/>
          <w:kern w:val="0"/>
          <w:sz w:val="21"/>
          <w:szCs w:val="21"/>
          <w:highlight w:val="none"/>
        </w:rPr>
        <w:t xml:space="preserve">并进行关联定位。 </w:t>
      </w:r>
    </w:p>
    <w:p>
      <w:pPr>
        <w:pageBreakBefore w:val="0"/>
        <w:kinsoku/>
        <w:wordWrap/>
        <w:overflowPunct/>
        <w:topLinePunct w:val="0"/>
        <w:bidi w:val="0"/>
        <w:adjustRightInd/>
        <w:spacing w:line="420" w:lineRule="exact"/>
        <w:ind w:firstLine="310" w:firstLineChars="147"/>
        <w:outlineLvl w:val="1"/>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rPr>
        <w:t>★1</w:t>
      </w:r>
      <w:r>
        <w:rPr>
          <w:rFonts w:hint="eastAsia" w:ascii="宋体" w:hAnsi="宋体" w:eastAsia="宋体" w:cs="宋体"/>
          <w:b/>
          <w:color w:val="auto"/>
          <w:sz w:val="21"/>
          <w:szCs w:val="21"/>
          <w:highlight w:val="none"/>
          <w:lang w:val="en-US" w:eastAsia="zh-CN"/>
        </w:rPr>
        <w:t>0</w:t>
      </w:r>
      <w:r>
        <w:rPr>
          <w:rFonts w:hint="eastAsia" w:ascii="宋体" w:hAnsi="宋体" w:eastAsia="宋体" w:cs="宋体"/>
          <w:b/>
          <w:color w:val="auto"/>
          <w:sz w:val="21"/>
          <w:szCs w:val="21"/>
          <w:highlight w:val="none"/>
        </w:rPr>
        <w:t>.2递交的电子投标文件应分为资格证明文件、技术商务标和价格标，技术商务标为除价格标组成外的所有内容。</w:t>
      </w:r>
      <w:r>
        <w:rPr>
          <w:rFonts w:hint="eastAsia" w:ascii="宋体" w:hAnsi="宋体" w:eastAsia="宋体" w:cs="宋体"/>
          <w:b/>
          <w:color w:val="auto"/>
          <w:sz w:val="21"/>
          <w:szCs w:val="21"/>
          <w:highlight w:val="none"/>
          <w:u w:val="single"/>
        </w:rPr>
        <w:t>资格证明文件、技术商务标不得含报价，否则作废标处理。</w:t>
      </w:r>
    </w:p>
    <w:p>
      <w:pPr>
        <w:widowControl/>
        <w:spacing w:line="420" w:lineRule="exact"/>
        <w:ind w:firstLine="422" w:firstLineChars="200"/>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t>10.3 资格证明文件的组成</w:t>
      </w:r>
    </w:p>
    <w:p>
      <w:pPr>
        <w:spacing w:line="480" w:lineRule="exact"/>
        <w:ind w:firstLine="420" w:firstLineChars="200"/>
        <w:outlineLvl w:val="1"/>
        <w:rPr>
          <w:rFonts w:hint="eastAsia" w:ascii="宋体" w:hAnsi="宋体" w:cs="宋体"/>
          <w:color w:val="auto"/>
          <w:sz w:val="21"/>
          <w:szCs w:val="21"/>
          <w:highlight w:val="none"/>
        </w:rPr>
      </w:pPr>
      <w:r>
        <w:rPr>
          <w:rFonts w:hint="eastAsia" w:ascii="宋体" w:hAnsi="宋体" w:cs="宋体"/>
          <w:color w:val="auto"/>
          <w:sz w:val="21"/>
          <w:szCs w:val="21"/>
          <w:highlight w:val="none"/>
        </w:rPr>
        <w:t>（1）有效的《营业执照》；</w:t>
      </w:r>
    </w:p>
    <w:p>
      <w:pPr>
        <w:spacing w:line="480" w:lineRule="exact"/>
        <w:ind w:firstLine="420" w:firstLineChars="200"/>
        <w:outlineLvl w:val="1"/>
        <w:rPr>
          <w:rFonts w:hint="eastAsia" w:ascii="宋体" w:hAnsi="宋体" w:cs="宋体"/>
          <w:color w:val="auto"/>
          <w:sz w:val="21"/>
          <w:szCs w:val="21"/>
          <w:highlight w:val="none"/>
        </w:rPr>
      </w:pPr>
      <w:r>
        <w:rPr>
          <w:rFonts w:hint="eastAsia" w:ascii="宋体" w:hAnsi="宋体" w:cs="宋体"/>
          <w:color w:val="auto"/>
          <w:sz w:val="21"/>
          <w:szCs w:val="21"/>
          <w:highlight w:val="none"/>
        </w:rPr>
        <w:t>（2）法定代表人授权委托书 、法定代表人身份证复印件、受委托人身份证；</w:t>
      </w:r>
    </w:p>
    <w:p>
      <w:pPr>
        <w:spacing w:line="480" w:lineRule="exact"/>
        <w:ind w:firstLine="420" w:firstLineChars="200"/>
        <w:outlineLvl w:val="1"/>
        <w:rPr>
          <w:rFonts w:hint="eastAsia" w:ascii="宋体" w:hAnsi="宋体" w:cs="宋体"/>
          <w:color w:val="auto"/>
          <w:sz w:val="21"/>
          <w:szCs w:val="21"/>
          <w:highlight w:val="none"/>
        </w:rPr>
      </w:pPr>
      <w:r>
        <w:rPr>
          <w:rFonts w:hint="eastAsia" w:ascii="宋体" w:hAnsi="宋体" w:cs="宋体"/>
          <w:color w:val="auto"/>
          <w:sz w:val="21"/>
          <w:szCs w:val="21"/>
          <w:highlight w:val="none"/>
        </w:rPr>
        <w:t>（3）具备履行合同所必需的设备和专业技术能力的证明（资质）材料原件扫描件；</w:t>
      </w:r>
    </w:p>
    <w:p>
      <w:pPr>
        <w:spacing w:line="480" w:lineRule="exact"/>
        <w:ind w:firstLine="420" w:firstLineChars="200"/>
        <w:outlineLvl w:val="1"/>
        <w:rPr>
          <w:rFonts w:hint="eastAsia" w:ascii="宋体" w:hAnsi="宋体" w:cs="宋体"/>
          <w:color w:val="auto"/>
          <w:sz w:val="21"/>
          <w:szCs w:val="21"/>
          <w:highlight w:val="none"/>
        </w:rPr>
      </w:pPr>
      <w:r>
        <w:rPr>
          <w:rFonts w:hint="eastAsia" w:ascii="宋体" w:hAnsi="宋体" w:cs="宋体"/>
          <w:color w:val="auto"/>
          <w:sz w:val="21"/>
          <w:szCs w:val="21"/>
          <w:highlight w:val="none"/>
        </w:rPr>
        <w:t>（4）提供依法缴纳税收和社会保障资金的相关材料（新成立不足一年的公司须出具情况说明）或《承诺函》；</w:t>
      </w:r>
    </w:p>
    <w:p>
      <w:pPr>
        <w:spacing w:line="480" w:lineRule="exact"/>
        <w:ind w:firstLine="420" w:firstLineChars="200"/>
        <w:outlineLvl w:val="1"/>
        <w:rPr>
          <w:rFonts w:hint="eastAsia" w:ascii="宋体" w:hAnsi="宋体" w:cs="宋体"/>
          <w:color w:val="auto"/>
          <w:sz w:val="21"/>
          <w:szCs w:val="21"/>
          <w:highlight w:val="none"/>
        </w:rPr>
      </w:pPr>
      <w:r>
        <w:rPr>
          <w:rFonts w:hint="eastAsia" w:ascii="宋体" w:hAnsi="宋体" w:cs="宋体"/>
          <w:color w:val="auto"/>
          <w:sz w:val="21"/>
          <w:szCs w:val="21"/>
          <w:highlight w:val="none"/>
        </w:rPr>
        <w:t>（5）参加政府采购活动前3年内在经营活动中没有重大违法记录的书面声明原件扫描件；</w:t>
      </w:r>
    </w:p>
    <w:p>
      <w:pPr>
        <w:spacing w:line="480" w:lineRule="exact"/>
        <w:ind w:firstLine="420" w:firstLineChars="200"/>
        <w:outlineLvl w:val="1"/>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（6）无围标串标挂靠等负面行为承诺书、政府采购活动现场确认声明书</w:t>
      </w:r>
      <w:r>
        <w:rPr>
          <w:rFonts w:hint="eastAsia" w:ascii="宋体" w:hAnsi="宋体" w:cs="宋体"/>
          <w:color w:val="auto"/>
          <w:sz w:val="21"/>
          <w:szCs w:val="21"/>
          <w:highlight w:val="none"/>
          <w:lang w:eastAsia="zh-CN"/>
        </w:rPr>
        <w:t>；</w:t>
      </w:r>
    </w:p>
    <w:p>
      <w:pPr>
        <w:spacing w:line="440" w:lineRule="exact"/>
        <w:ind w:firstLine="420" w:firstLineChars="200"/>
        <w:outlineLvl w:val="1"/>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7</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符合参加政府采购活动应当具备的一般条件的承诺函；</w:t>
      </w:r>
    </w:p>
    <w:p>
      <w:pPr>
        <w:spacing w:line="440" w:lineRule="exact"/>
        <w:ind w:firstLine="420" w:firstLineChars="200"/>
        <w:outlineLvl w:val="1"/>
        <w:rPr>
          <w:rFonts w:hint="default" w:ascii="宋体" w:eastAsia="宋体" w:cs="宋体"/>
          <w:color w:val="auto"/>
          <w:sz w:val="21"/>
          <w:szCs w:val="21"/>
          <w:highlight w:val="none"/>
          <w:lang w:val="en-US" w:eastAsia="zh-CN"/>
        </w:rPr>
      </w:pPr>
      <w:r>
        <w:rPr>
          <w:rFonts w:hint="eastAsia" w:ascii="宋体" w:cs="宋体"/>
          <w:color w:val="auto"/>
          <w:sz w:val="21"/>
          <w:szCs w:val="21"/>
          <w:highlight w:val="none"/>
          <w:lang w:eastAsia="zh-CN"/>
        </w:rPr>
        <w:t>（</w:t>
      </w:r>
      <w:r>
        <w:rPr>
          <w:rFonts w:hint="eastAsia" w:ascii="宋体" w:cs="宋体"/>
          <w:color w:val="auto"/>
          <w:sz w:val="21"/>
          <w:szCs w:val="21"/>
          <w:highlight w:val="none"/>
          <w:lang w:val="en-US" w:eastAsia="zh-CN"/>
        </w:rPr>
        <w:t>8</w:t>
      </w:r>
      <w:r>
        <w:rPr>
          <w:rFonts w:hint="eastAsia" w:ascii="宋体" w:cs="宋体"/>
          <w:color w:val="auto"/>
          <w:sz w:val="21"/>
          <w:szCs w:val="21"/>
          <w:highlight w:val="none"/>
          <w:lang w:eastAsia="zh-CN"/>
        </w:rPr>
        <w:t>）</w:t>
      </w:r>
      <w:r>
        <w:rPr>
          <w:rFonts w:hint="eastAsia" w:ascii="宋体" w:cs="宋体"/>
          <w:color w:val="auto"/>
          <w:sz w:val="21"/>
          <w:szCs w:val="21"/>
          <w:highlight w:val="none"/>
          <w:lang w:val="en-US" w:eastAsia="zh-CN"/>
        </w:rPr>
        <w:t>资格要求中的相关证书；</w:t>
      </w:r>
    </w:p>
    <w:p>
      <w:pPr>
        <w:spacing w:line="440" w:lineRule="exact"/>
        <w:ind w:firstLine="420" w:firstLineChars="200"/>
        <w:outlineLvl w:val="1"/>
        <w:rPr>
          <w:rFonts w:hint="eastAsia"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9</w:t>
      </w:r>
      <w:r>
        <w:rPr>
          <w:rFonts w:hint="eastAsia" w:ascii="宋体" w:hAnsi="宋体" w:cs="宋体"/>
          <w:color w:val="auto"/>
          <w:sz w:val="21"/>
          <w:szCs w:val="21"/>
          <w:highlight w:val="none"/>
        </w:rPr>
        <w:t>）信用记录网络查询页面截图（信用中国与中国政府采购网）任意一处即可</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具体以招标人查询为准</w:t>
      </w:r>
      <w:r>
        <w:rPr>
          <w:rFonts w:hint="eastAsia" w:ascii="宋体" w:hAnsi="宋体" w:cs="宋体"/>
          <w:color w:val="auto"/>
          <w:sz w:val="21"/>
          <w:szCs w:val="21"/>
          <w:highlight w:val="none"/>
        </w:rPr>
        <w:t>；</w:t>
      </w:r>
    </w:p>
    <w:p>
      <w:pPr>
        <w:spacing w:line="480" w:lineRule="exact"/>
        <w:ind w:firstLine="525" w:firstLineChars="250"/>
        <w:outlineLvl w:val="1"/>
        <w:rPr>
          <w:rFonts w:hint="eastAsia" w:ascii="宋体" w:hAnsi="宋体" w:cs="宋体"/>
          <w:color w:val="auto"/>
          <w:sz w:val="21"/>
          <w:szCs w:val="21"/>
          <w:highlight w:val="none"/>
        </w:rPr>
      </w:pPr>
      <w:r>
        <w:rPr>
          <w:rFonts w:hint="eastAsia" w:ascii="宋体" w:hAnsi="宋体" w:cs="宋体"/>
          <w:color w:val="auto"/>
          <w:sz w:val="21"/>
          <w:szCs w:val="21"/>
          <w:highlight w:val="none"/>
        </w:rPr>
        <w:t>根据《关于在政府采购活动中查询及使用信用记录有关问题的通知》（财库[2016]125 号）要求，招标人对投标人信用记录进行查询并甄别。</w:t>
      </w:r>
    </w:p>
    <w:p>
      <w:pPr>
        <w:spacing w:line="480" w:lineRule="exact"/>
        <w:ind w:firstLine="420" w:firstLineChars="200"/>
        <w:outlineLvl w:val="1"/>
        <w:rPr>
          <w:rFonts w:hint="eastAsia" w:ascii="宋体" w:hAnsi="宋体" w:cs="宋体"/>
          <w:color w:val="auto"/>
          <w:sz w:val="21"/>
          <w:szCs w:val="21"/>
          <w:highlight w:val="none"/>
        </w:rPr>
      </w:pPr>
      <w:r>
        <w:rPr>
          <w:rFonts w:hint="eastAsia" w:ascii="宋体" w:hAnsi="宋体" w:cs="宋体"/>
          <w:color w:val="auto"/>
          <w:sz w:val="21"/>
          <w:szCs w:val="21"/>
          <w:highlight w:val="none"/>
        </w:rPr>
        <w:t>1</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信用信息查询的截止时点：开标当日进行查询；</w:t>
      </w:r>
    </w:p>
    <w:p>
      <w:pPr>
        <w:spacing w:line="480" w:lineRule="exact"/>
        <w:ind w:firstLine="420" w:firstLineChars="200"/>
        <w:outlineLvl w:val="1"/>
        <w:rPr>
          <w:rFonts w:hint="eastAsia"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查询渠道：</w:t>
      </w:r>
    </w:p>
    <w:p>
      <w:pPr>
        <w:spacing w:line="480" w:lineRule="exact"/>
        <w:ind w:firstLine="420" w:firstLineChars="200"/>
        <w:outlineLvl w:val="1"/>
        <w:rPr>
          <w:rFonts w:hint="eastAsia" w:ascii="宋体" w:hAnsi="宋体" w:cs="宋体"/>
          <w:color w:val="auto"/>
          <w:sz w:val="21"/>
          <w:szCs w:val="21"/>
          <w:highlight w:val="none"/>
        </w:rPr>
      </w:pPr>
      <w:r>
        <w:rPr>
          <w:rFonts w:hint="eastAsia" w:ascii="宋体" w:hAnsi="宋体" w:cs="宋体"/>
          <w:color w:val="auto"/>
          <w:sz w:val="21"/>
          <w:szCs w:val="21"/>
          <w:highlight w:val="none"/>
        </w:rPr>
        <w:t>信用中国（www.creditchina.gov.cn）；</w:t>
      </w:r>
    </w:p>
    <w:p>
      <w:pPr>
        <w:spacing w:line="480" w:lineRule="exact"/>
        <w:ind w:firstLine="420" w:firstLineChars="200"/>
        <w:outlineLvl w:val="1"/>
        <w:rPr>
          <w:rFonts w:hint="eastAsia" w:ascii="宋体" w:hAnsi="宋体" w:cs="宋体"/>
          <w:color w:val="auto"/>
          <w:sz w:val="21"/>
          <w:szCs w:val="21"/>
          <w:highlight w:val="none"/>
        </w:rPr>
      </w:pPr>
      <w:r>
        <w:rPr>
          <w:rFonts w:hint="eastAsia" w:ascii="宋体" w:hAnsi="宋体" w:cs="宋体"/>
          <w:color w:val="auto"/>
          <w:sz w:val="21"/>
          <w:szCs w:val="21"/>
          <w:highlight w:val="none"/>
        </w:rPr>
        <w:t>中国政府采购网（www.ccgp.gov.cn）；</w:t>
      </w:r>
    </w:p>
    <w:p>
      <w:pPr>
        <w:spacing w:line="480" w:lineRule="exact"/>
        <w:ind w:firstLine="420" w:firstLineChars="200"/>
        <w:outlineLvl w:val="1"/>
        <w:rPr>
          <w:rFonts w:hint="eastAsia" w:ascii="宋体" w:hAnsi="宋体" w:cs="宋体"/>
          <w:color w:val="auto"/>
          <w:sz w:val="21"/>
          <w:szCs w:val="21"/>
          <w:highlight w:val="none"/>
        </w:rPr>
      </w:pPr>
      <w:r>
        <w:rPr>
          <w:rFonts w:hint="eastAsia" w:ascii="宋体" w:hAnsi="宋体" w:cs="宋体"/>
          <w:color w:val="auto"/>
          <w:sz w:val="21"/>
          <w:szCs w:val="21"/>
          <w:highlight w:val="none"/>
        </w:rPr>
        <w:t>3</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信用信息查询记录和证据留存具体方式：招标人和监督人员将查询网页打印、签字与其他采购文件一并保存；</w:t>
      </w:r>
    </w:p>
    <w:p>
      <w:pPr>
        <w:spacing w:line="480" w:lineRule="exact"/>
        <w:ind w:firstLine="420" w:firstLineChars="200"/>
        <w:outlineLvl w:val="1"/>
        <w:rPr>
          <w:rFonts w:hint="eastAsia" w:ascii="宋体" w:hAnsi="宋体" w:cs="宋体"/>
          <w:color w:val="auto"/>
          <w:sz w:val="21"/>
          <w:szCs w:val="21"/>
          <w:highlight w:val="none"/>
        </w:rPr>
      </w:pPr>
      <w:r>
        <w:rPr>
          <w:rFonts w:hint="eastAsia" w:ascii="宋体" w:hAnsi="宋体" w:cs="宋体"/>
          <w:color w:val="auto"/>
          <w:sz w:val="21"/>
          <w:szCs w:val="21"/>
          <w:highlight w:val="none"/>
        </w:rPr>
        <w:t>4</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信用信息的使用规则：投标人存在不良信用记录的，其投标将被作为无效投标。</w:t>
      </w:r>
    </w:p>
    <w:p>
      <w:pPr>
        <w:spacing w:line="480" w:lineRule="exact"/>
        <w:ind w:firstLine="420" w:firstLineChars="200"/>
        <w:outlineLvl w:val="1"/>
        <w:rPr>
          <w:rFonts w:hint="eastAsia" w:ascii="宋体" w:hAnsi="宋体" w:cs="宋体"/>
          <w:color w:val="auto"/>
          <w:sz w:val="21"/>
          <w:szCs w:val="21"/>
          <w:highlight w:val="none"/>
        </w:rPr>
      </w:pPr>
      <w:r>
        <w:rPr>
          <w:rFonts w:hint="eastAsia" w:ascii="宋体" w:hAnsi="宋体" w:cs="宋体"/>
          <w:color w:val="auto"/>
          <w:sz w:val="21"/>
          <w:szCs w:val="21"/>
          <w:highlight w:val="none"/>
        </w:rPr>
        <w:t>不良信用记录指：被列入失信被执行人、重大税收违法案件当事人名单、政府采购严重违法失信行为记录名单或浙江政府采购网曝光台中尚在行政处罚期内的。</w:t>
      </w:r>
    </w:p>
    <w:p>
      <w:pPr>
        <w:pStyle w:val="16"/>
        <w:keepNext w:val="0"/>
        <w:keepLines w:val="0"/>
        <w:pageBreakBefore w:val="0"/>
        <w:widowControl w:val="0"/>
        <w:kinsoku/>
        <w:wordWrap/>
        <w:overflowPunct/>
        <w:topLinePunct w:val="0"/>
        <w:bidi w:val="0"/>
        <w:spacing w:after="0" w:afterLines="0" w:line="400" w:lineRule="exact"/>
        <w:ind w:firstLine="422" w:firstLineChars="200"/>
        <w:textAlignment w:val="auto"/>
        <w:outlineLvl w:val="1"/>
        <w:rPr>
          <w:rFonts w:hint="eastAsia" w:ascii="宋体" w:hAnsi="宋体" w:cs="宋体"/>
          <w:b/>
          <w:color w:val="auto"/>
          <w:sz w:val="21"/>
          <w:szCs w:val="21"/>
          <w:highlight w:val="none"/>
        </w:rPr>
      </w:pPr>
      <w:r>
        <w:rPr>
          <w:rFonts w:hint="eastAsia" w:ascii="宋体" w:hAnsi="宋体" w:cs="宋体"/>
          <w:b/>
          <w:color w:val="auto"/>
          <w:sz w:val="21"/>
          <w:szCs w:val="21"/>
          <w:highlight w:val="none"/>
        </w:rPr>
        <w:t>10.4技术商务标的组成</w:t>
      </w:r>
    </w:p>
    <w:p>
      <w:pPr>
        <w:pStyle w:val="16"/>
        <w:keepNext w:val="0"/>
        <w:keepLines w:val="0"/>
        <w:pageBreakBefore w:val="0"/>
        <w:widowControl w:val="0"/>
        <w:kinsoku/>
        <w:wordWrap/>
        <w:overflowPunct/>
        <w:topLinePunct w:val="0"/>
        <w:bidi w:val="0"/>
        <w:spacing w:after="0" w:afterLines="0" w:line="400" w:lineRule="exact"/>
        <w:ind w:firstLine="420" w:firstLineChars="200"/>
        <w:textAlignment w:val="auto"/>
        <w:outlineLvl w:val="1"/>
        <w:rPr>
          <w:rFonts w:hint="eastAsia" w:ascii="宋体" w:hAnsi="宋体" w:cs="宋体"/>
          <w:color w:val="auto"/>
          <w:sz w:val="21"/>
          <w:szCs w:val="21"/>
          <w:highlight w:val="none"/>
        </w:rPr>
      </w:pPr>
      <w:r>
        <w:rPr>
          <w:rFonts w:hint="eastAsia" w:ascii="宋体" w:hAnsi="宋体" w:cs="宋体"/>
          <w:bCs/>
          <w:color w:val="auto"/>
          <w:sz w:val="21"/>
          <w:szCs w:val="21"/>
          <w:highlight w:val="none"/>
        </w:rPr>
        <w:t>10.4.1 投标人资格、资信</w:t>
      </w:r>
      <w:r>
        <w:rPr>
          <w:rFonts w:hint="eastAsia" w:ascii="宋体" w:hAnsi="宋体" w:cs="宋体"/>
          <w:color w:val="auto"/>
          <w:sz w:val="21"/>
          <w:szCs w:val="21"/>
          <w:highlight w:val="none"/>
        </w:rPr>
        <w:t>合格性</w:t>
      </w:r>
      <w:r>
        <w:rPr>
          <w:rFonts w:hint="eastAsia" w:ascii="宋体" w:hAnsi="宋体" w:cs="宋体"/>
          <w:bCs/>
          <w:color w:val="auto"/>
          <w:sz w:val="21"/>
          <w:szCs w:val="21"/>
          <w:highlight w:val="none"/>
        </w:rPr>
        <w:t>的有关证明及资料；</w:t>
      </w:r>
      <w:r>
        <w:rPr>
          <w:rFonts w:hint="eastAsia" w:ascii="宋体" w:hAnsi="宋体" w:cs="宋体"/>
          <w:color w:val="auto"/>
          <w:sz w:val="21"/>
          <w:szCs w:val="21"/>
          <w:highlight w:val="none"/>
        </w:rPr>
        <w:t>投标人应提交证明其有资格参加投标和中标后有能力履行合同的文件，并作为其投标文件的一部分。投标人提交的合格性的证明文件，投标人在投标时应是符合条件的投标人。其具体内容为：</w:t>
      </w:r>
    </w:p>
    <w:p>
      <w:pPr>
        <w:pageBreakBefore w:val="0"/>
        <w:kinsoku/>
        <w:wordWrap/>
        <w:overflowPunct/>
        <w:topLinePunct w:val="0"/>
        <w:bidi w:val="0"/>
        <w:spacing w:line="480" w:lineRule="exact"/>
        <w:ind w:left="0" w:leftChars="0" w:right="0" w:rightChars="0" w:firstLine="420" w:firstLineChars="200"/>
        <w:rPr>
          <w:rFonts w:hint="eastAsia"/>
          <w:color w:val="auto"/>
          <w:sz w:val="21"/>
          <w:szCs w:val="21"/>
          <w:highlight w:val="none"/>
        </w:rPr>
      </w:pPr>
      <w:r>
        <w:rPr>
          <w:rFonts w:hint="eastAsia"/>
          <w:color w:val="auto"/>
          <w:sz w:val="21"/>
          <w:szCs w:val="21"/>
          <w:highlight w:val="none"/>
        </w:rPr>
        <w:t>（1）</w:t>
      </w:r>
      <w:r>
        <w:rPr>
          <w:color w:val="auto"/>
          <w:sz w:val="21"/>
          <w:szCs w:val="21"/>
          <w:highlight w:val="none"/>
        </w:rPr>
        <w:t>投标声明书；</w:t>
      </w:r>
    </w:p>
    <w:p>
      <w:pPr>
        <w:pageBreakBefore w:val="0"/>
        <w:kinsoku/>
        <w:wordWrap/>
        <w:overflowPunct/>
        <w:topLinePunct w:val="0"/>
        <w:bidi w:val="0"/>
        <w:spacing w:line="480" w:lineRule="exact"/>
        <w:ind w:left="0" w:leftChars="0" w:right="0" w:rightChars="0" w:firstLine="420" w:firstLineChars="200"/>
        <w:rPr>
          <w:color w:val="auto"/>
          <w:sz w:val="21"/>
          <w:szCs w:val="21"/>
          <w:highlight w:val="none"/>
        </w:rPr>
      </w:pPr>
      <w:r>
        <w:rPr>
          <w:rFonts w:hint="eastAsia"/>
          <w:color w:val="auto"/>
          <w:sz w:val="21"/>
          <w:szCs w:val="21"/>
          <w:highlight w:val="none"/>
        </w:rPr>
        <w:t>（</w:t>
      </w:r>
      <w:r>
        <w:rPr>
          <w:rFonts w:hint="eastAsia"/>
          <w:color w:val="auto"/>
          <w:sz w:val="21"/>
          <w:szCs w:val="21"/>
          <w:highlight w:val="none"/>
          <w:lang w:val="en-US" w:eastAsia="zh-CN"/>
        </w:rPr>
        <w:t>2</w:t>
      </w:r>
      <w:r>
        <w:rPr>
          <w:color w:val="auto"/>
          <w:sz w:val="21"/>
          <w:szCs w:val="21"/>
          <w:highlight w:val="none"/>
        </w:rPr>
        <w:t>）投标人基本情况表；</w:t>
      </w:r>
    </w:p>
    <w:p>
      <w:pPr>
        <w:pageBreakBefore w:val="0"/>
        <w:kinsoku/>
        <w:wordWrap/>
        <w:overflowPunct/>
        <w:topLinePunct w:val="0"/>
        <w:bidi w:val="0"/>
        <w:spacing w:line="480" w:lineRule="exact"/>
        <w:ind w:left="0" w:leftChars="0" w:right="0" w:rightChars="0" w:firstLine="420" w:firstLineChars="200"/>
        <w:rPr>
          <w:rFonts w:hint="eastAsia" w:eastAsia="宋体"/>
          <w:color w:val="auto"/>
          <w:sz w:val="21"/>
          <w:szCs w:val="21"/>
          <w:highlight w:val="none"/>
          <w:lang w:eastAsia="zh-CN"/>
        </w:rPr>
      </w:pPr>
      <w:r>
        <w:rPr>
          <w:rFonts w:hint="eastAsia"/>
          <w:color w:val="auto"/>
          <w:sz w:val="21"/>
          <w:szCs w:val="21"/>
          <w:highlight w:val="none"/>
          <w:lang w:eastAsia="zh-CN"/>
        </w:rPr>
        <w:t>（</w:t>
      </w:r>
      <w:r>
        <w:rPr>
          <w:rFonts w:hint="eastAsia"/>
          <w:color w:val="auto"/>
          <w:sz w:val="21"/>
          <w:szCs w:val="21"/>
          <w:highlight w:val="none"/>
          <w:lang w:val="en-US" w:eastAsia="zh-CN"/>
        </w:rPr>
        <w:t>3</w:t>
      </w:r>
      <w:r>
        <w:rPr>
          <w:rFonts w:hint="eastAsia"/>
          <w:color w:val="auto"/>
          <w:sz w:val="21"/>
          <w:szCs w:val="21"/>
          <w:highlight w:val="none"/>
          <w:lang w:eastAsia="zh-CN"/>
        </w:rPr>
        <w:t>）投标产品节能性、环保性评价；</w:t>
      </w:r>
    </w:p>
    <w:p>
      <w:pPr>
        <w:pageBreakBefore w:val="0"/>
        <w:kinsoku/>
        <w:wordWrap/>
        <w:overflowPunct/>
        <w:topLinePunct w:val="0"/>
        <w:bidi w:val="0"/>
        <w:spacing w:line="480" w:lineRule="exact"/>
        <w:ind w:left="0" w:leftChars="0" w:right="0" w:rightChars="0" w:firstLine="420" w:firstLineChars="200"/>
        <w:rPr>
          <w:rFonts w:hint="eastAsia" w:eastAsia="宋体"/>
          <w:color w:val="auto"/>
          <w:sz w:val="21"/>
          <w:szCs w:val="21"/>
          <w:highlight w:val="none"/>
          <w:lang w:eastAsia="zh-CN"/>
        </w:rPr>
      </w:pPr>
      <w:r>
        <w:rPr>
          <w:rFonts w:hint="eastAsia"/>
          <w:color w:val="auto"/>
          <w:sz w:val="21"/>
          <w:szCs w:val="21"/>
          <w:highlight w:val="none"/>
        </w:rPr>
        <w:t>（</w:t>
      </w:r>
      <w:r>
        <w:rPr>
          <w:rFonts w:hint="eastAsia"/>
          <w:color w:val="auto"/>
          <w:sz w:val="21"/>
          <w:szCs w:val="21"/>
          <w:highlight w:val="none"/>
          <w:lang w:val="en-US" w:eastAsia="zh-CN"/>
        </w:rPr>
        <w:t>4</w:t>
      </w:r>
      <w:r>
        <w:rPr>
          <w:color w:val="auto"/>
          <w:sz w:val="21"/>
          <w:szCs w:val="21"/>
          <w:highlight w:val="none"/>
        </w:rPr>
        <w:t>）</w:t>
      </w:r>
      <w:r>
        <w:rPr>
          <w:rFonts w:hint="eastAsia"/>
          <w:color w:val="auto"/>
          <w:sz w:val="21"/>
          <w:szCs w:val="21"/>
          <w:highlight w:val="none"/>
        </w:rPr>
        <w:t>投标人综合实力</w:t>
      </w:r>
      <w:r>
        <w:rPr>
          <w:rFonts w:hint="eastAsia"/>
          <w:color w:val="auto"/>
          <w:sz w:val="21"/>
          <w:szCs w:val="21"/>
          <w:highlight w:val="none"/>
          <w:lang w:eastAsia="zh-CN"/>
        </w:rPr>
        <w:t>；</w:t>
      </w:r>
    </w:p>
    <w:p>
      <w:pPr>
        <w:pageBreakBefore w:val="0"/>
        <w:kinsoku/>
        <w:wordWrap/>
        <w:overflowPunct/>
        <w:topLinePunct w:val="0"/>
        <w:bidi w:val="0"/>
        <w:spacing w:line="480" w:lineRule="exact"/>
        <w:ind w:left="0" w:leftChars="0" w:right="0" w:rightChars="0" w:firstLine="420" w:firstLineChars="200"/>
        <w:rPr>
          <w:color w:val="auto"/>
          <w:sz w:val="21"/>
          <w:szCs w:val="21"/>
          <w:highlight w:val="none"/>
        </w:rPr>
      </w:pPr>
      <w:r>
        <w:rPr>
          <w:rFonts w:hint="eastAsia"/>
          <w:color w:val="auto"/>
          <w:sz w:val="21"/>
          <w:szCs w:val="21"/>
          <w:highlight w:val="none"/>
        </w:rPr>
        <w:t>（</w:t>
      </w:r>
      <w:r>
        <w:rPr>
          <w:rFonts w:hint="eastAsia"/>
          <w:color w:val="auto"/>
          <w:sz w:val="21"/>
          <w:szCs w:val="21"/>
          <w:highlight w:val="none"/>
          <w:lang w:val="en-US" w:eastAsia="zh-CN"/>
        </w:rPr>
        <w:t>5</w:t>
      </w:r>
      <w:r>
        <w:rPr>
          <w:color w:val="auto"/>
          <w:sz w:val="21"/>
          <w:szCs w:val="21"/>
          <w:highlight w:val="none"/>
        </w:rPr>
        <w:t>）成功案例和业绩证明（投标人同类项目实施情况一览表、合同复印件</w:t>
      </w:r>
      <w:r>
        <w:rPr>
          <w:rFonts w:hint="eastAsia"/>
          <w:color w:val="auto"/>
          <w:sz w:val="21"/>
          <w:szCs w:val="21"/>
          <w:highlight w:val="none"/>
        </w:rPr>
        <w:t>等</w:t>
      </w:r>
      <w:r>
        <w:rPr>
          <w:color w:val="auto"/>
          <w:sz w:val="21"/>
          <w:szCs w:val="21"/>
          <w:highlight w:val="none"/>
        </w:rPr>
        <w:t>）；</w:t>
      </w:r>
    </w:p>
    <w:p>
      <w:pPr>
        <w:pageBreakBefore w:val="0"/>
        <w:kinsoku/>
        <w:wordWrap/>
        <w:overflowPunct/>
        <w:topLinePunct w:val="0"/>
        <w:bidi w:val="0"/>
        <w:spacing w:line="480" w:lineRule="exact"/>
        <w:ind w:left="0" w:leftChars="0" w:right="0" w:rightChars="0" w:firstLine="420" w:firstLineChars="200"/>
        <w:rPr>
          <w:rFonts w:hint="eastAsia"/>
          <w:bCs/>
          <w:color w:val="auto"/>
          <w:kern w:val="0"/>
          <w:sz w:val="21"/>
          <w:szCs w:val="21"/>
          <w:highlight w:val="none"/>
        </w:rPr>
      </w:pPr>
      <w:r>
        <w:rPr>
          <w:rFonts w:hint="eastAsia"/>
          <w:color w:val="auto"/>
          <w:sz w:val="21"/>
          <w:szCs w:val="21"/>
          <w:highlight w:val="none"/>
          <w:lang w:eastAsia="zh-CN"/>
        </w:rPr>
        <w:t>（</w:t>
      </w:r>
      <w:r>
        <w:rPr>
          <w:rFonts w:hint="eastAsia"/>
          <w:color w:val="auto"/>
          <w:sz w:val="21"/>
          <w:szCs w:val="21"/>
          <w:highlight w:val="none"/>
          <w:lang w:val="en-US" w:eastAsia="zh-CN"/>
        </w:rPr>
        <w:t>6</w:t>
      </w:r>
      <w:r>
        <w:rPr>
          <w:rFonts w:hint="eastAsia"/>
          <w:color w:val="auto"/>
          <w:sz w:val="21"/>
          <w:szCs w:val="21"/>
          <w:highlight w:val="none"/>
        </w:rPr>
        <w:t>）</w:t>
      </w:r>
      <w:r>
        <w:rPr>
          <w:rFonts w:hint="eastAsia" w:ascii="宋体" w:hAnsi="宋体" w:eastAsia="宋体" w:cs="宋体"/>
          <w:color w:val="auto"/>
          <w:sz w:val="21"/>
          <w:szCs w:val="21"/>
          <w:highlight w:val="none"/>
          <w:lang w:val="zh-CN"/>
        </w:rPr>
        <w:t>技术参数及配置</w:t>
      </w:r>
      <w:r>
        <w:rPr>
          <w:rFonts w:hint="eastAsia"/>
          <w:bCs/>
          <w:color w:val="auto"/>
          <w:kern w:val="0"/>
          <w:sz w:val="21"/>
          <w:szCs w:val="21"/>
          <w:highlight w:val="none"/>
        </w:rPr>
        <w:t>；</w:t>
      </w:r>
    </w:p>
    <w:p>
      <w:pPr>
        <w:pageBreakBefore w:val="0"/>
        <w:kinsoku/>
        <w:wordWrap/>
        <w:overflowPunct/>
        <w:topLinePunct w:val="0"/>
        <w:bidi w:val="0"/>
        <w:spacing w:line="480" w:lineRule="exact"/>
        <w:ind w:left="0" w:leftChars="0" w:right="0" w:rightChars="0" w:firstLine="420" w:firstLineChars="200"/>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（7）</w:t>
      </w:r>
      <w:r>
        <w:rPr>
          <w:rFonts w:hint="eastAsia" w:ascii="宋体" w:hAnsi="宋体"/>
          <w:color w:val="auto"/>
          <w:sz w:val="23"/>
          <w:highlight w:val="none"/>
        </w:rPr>
        <w:t>产品整体配置</w:t>
      </w:r>
      <w:r>
        <w:rPr>
          <w:rFonts w:hint="eastAsia" w:ascii="宋体" w:hAnsi="宋体"/>
          <w:color w:val="auto"/>
          <w:sz w:val="23"/>
          <w:highlight w:val="none"/>
          <w:lang w:val="en-US" w:eastAsia="zh-CN"/>
        </w:rPr>
        <w:t>情况</w:t>
      </w:r>
      <w:r>
        <w:rPr>
          <w:rFonts w:hint="eastAsia" w:ascii="宋体" w:hAnsi="宋体"/>
          <w:color w:val="auto"/>
          <w:sz w:val="23"/>
          <w:highlight w:val="none"/>
          <w:lang w:eastAsia="zh-CN"/>
        </w:rPr>
        <w:t>；</w:t>
      </w:r>
    </w:p>
    <w:p>
      <w:pPr>
        <w:pageBreakBefore w:val="0"/>
        <w:kinsoku/>
        <w:wordWrap/>
        <w:overflowPunct/>
        <w:topLinePunct w:val="0"/>
        <w:bidi w:val="0"/>
        <w:spacing w:line="480" w:lineRule="exact"/>
        <w:ind w:left="0" w:leftChars="0" w:right="0" w:rightChars="0" w:firstLine="420" w:firstLineChars="200"/>
        <w:rPr>
          <w:rFonts w:hint="eastAsia"/>
          <w:bCs/>
          <w:color w:val="auto"/>
          <w:kern w:val="0"/>
          <w:sz w:val="21"/>
          <w:szCs w:val="21"/>
          <w:highlight w:val="none"/>
        </w:rPr>
      </w:pP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lang w:val="en-US" w:eastAsia="zh-CN"/>
        </w:rPr>
        <w:t>）安装、</w:t>
      </w:r>
      <w:r>
        <w:rPr>
          <w:rFonts w:hint="eastAsia" w:ascii="宋体" w:hAnsi="宋体" w:eastAsia="宋体" w:cs="宋体"/>
          <w:color w:val="auto"/>
          <w:sz w:val="21"/>
          <w:szCs w:val="21"/>
          <w:highlight w:val="none"/>
          <w:lang w:val="zh-CN"/>
        </w:rPr>
        <w:t>调试、验收方案</w:t>
      </w:r>
      <w:r>
        <w:rPr>
          <w:rFonts w:hint="eastAsia"/>
          <w:bCs/>
          <w:color w:val="auto"/>
          <w:kern w:val="0"/>
          <w:sz w:val="21"/>
          <w:szCs w:val="21"/>
          <w:highlight w:val="none"/>
        </w:rPr>
        <w:t>；</w:t>
      </w:r>
    </w:p>
    <w:p>
      <w:pPr>
        <w:pageBreakBefore w:val="0"/>
        <w:kinsoku/>
        <w:wordWrap/>
        <w:overflowPunct/>
        <w:topLinePunct w:val="0"/>
        <w:bidi w:val="0"/>
        <w:spacing w:line="480" w:lineRule="exact"/>
        <w:ind w:left="0" w:leftChars="0" w:right="0" w:rightChars="0" w:firstLine="420" w:firstLineChars="200"/>
        <w:rPr>
          <w:rFonts w:hint="eastAsia"/>
          <w:color w:val="auto"/>
          <w:sz w:val="21"/>
          <w:szCs w:val="21"/>
          <w:highlight w:val="none"/>
          <w:lang w:eastAsia="zh-CN"/>
        </w:rPr>
      </w:pPr>
      <w:r>
        <w:rPr>
          <w:rFonts w:hint="eastAsia"/>
          <w:color w:val="auto"/>
          <w:sz w:val="21"/>
          <w:szCs w:val="21"/>
          <w:highlight w:val="none"/>
          <w:lang w:eastAsia="zh-CN"/>
        </w:rPr>
        <w:t>（</w:t>
      </w:r>
      <w:r>
        <w:rPr>
          <w:rFonts w:hint="eastAsia"/>
          <w:color w:val="auto"/>
          <w:sz w:val="21"/>
          <w:szCs w:val="21"/>
          <w:highlight w:val="none"/>
          <w:lang w:val="en-US" w:eastAsia="zh-CN"/>
        </w:rPr>
        <w:t>9</w:t>
      </w:r>
      <w:r>
        <w:rPr>
          <w:rFonts w:hint="eastAsia"/>
          <w:color w:val="auto"/>
          <w:sz w:val="21"/>
          <w:szCs w:val="21"/>
          <w:highlight w:val="none"/>
          <w:lang w:eastAsia="zh-CN"/>
        </w:rPr>
        <w:t>）进度保证措施；</w:t>
      </w:r>
    </w:p>
    <w:p>
      <w:pPr>
        <w:pageBreakBefore w:val="0"/>
        <w:kinsoku/>
        <w:wordWrap/>
        <w:overflowPunct/>
        <w:topLinePunct w:val="0"/>
        <w:bidi w:val="0"/>
        <w:spacing w:line="480" w:lineRule="exact"/>
        <w:ind w:left="0" w:leftChars="0" w:right="0" w:rightChars="0" w:firstLine="420" w:firstLineChars="200"/>
        <w:rPr>
          <w:rFonts w:hint="eastAsia"/>
          <w:color w:val="auto"/>
          <w:sz w:val="21"/>
          <w:szCs w:val="21"/>
          <w:highlight w:val="none"/>
          <w:lang w:eastAsia="zh-CN"/>
        </w:rPr>
      </w:pPr>
      <w:r>
        <w:rPr>
          <w:rFonts w:hint="eastAsia" w:ascii="宋体" w:hAnsi="宋体" w:eastAsia="宋体" w:cs="宋体"/>
          <w:color w:val="auto"/>
          <w:sz w:val="21"/>
          <w:szCs w:val="21"/>
          <w:highlight w:val="none"/>
          <w:lang w:val="zh-CN"/>
        </w:rPr>
        <w:t>（</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lang w:val="zh-CN"/>
        </w:rPr>
        <w:t>）质量保证</w:t>
      </w:r>
      <w:r>
        <w:rPr>
          <w:rFonts w:hint="eastAsia" w:ascii="宋体" w:hAnsi="宋体" w:eastAsia="宋体" w:cs="宋体"/>
          <w:color w:val="auto"/>
          <w:sz w:val="21"/>
          <w:szCs w:val="21"/>
          <w:highlight w:val="none"/>
          <w:lang w:val="en-US" w:eastAsia="zh-CN"/>
        </w:rPr>
        <w:t>及</w:t>
      </w:r>
      <w:r>
        <w:rPr>
          <w:rFonts w:hint="eastAsia" w:ascii="宋体" w:hAnsi="宋体" w:eastAsia="宋体" w:cs="宋体"/>
          <w:color w:val="auto"/>
          <w:sz w:val="21"/>
          <w:szCs w:val="21"/>
          <w:highlight w:val="none"/>
          <w:lang w:val="zh-CN"/>
        </w:rPr>
        <w:t>安全保证措施</w:t>
      </w:r>
      <w:r>
        <w:rPr>
          <w:rFonts w:hint="eastAsia"/>
          <w:bCs/>
          <w:color w:val="auto"/>
          <w:kern w:val="0"/>
          <w:sz w:val="21"/>
          <w:szCs w:val="21"/>
          <w:highlight w:val="none"/>
        </w:rPr>
        <w:t>；</w:t>
      </w:r>
    </w:p>
    <w:p>
      <w:pPr>
        <w:pageBreakBefore w:val="0"/>
        <w:kinsoku/>
        <w:wordWrap/>
        <w:overflowPunct/>
        <w:topLinePunct w:val="0"/>
        <w:bidi w:val="0"/>
        <w:spacing w:line="480" w:lineRule="exact"/>
        <w:ind w:left="0" w:leftChars="0" w:right="0" w:rightChars="0"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zh-CN"/>
        </w:rPr>
        <w:t>）售后服务</w:t>
      </w:r>
      <w:r>
        <w:rPr>
          <w:rFonts w:hint="eastAsia" w:ascii="宋体" w:hAnsi="宋体" w:eastAsia="宋体" w:cs="宋体"/>
          <w:color w:val="auto"/>
          <w:sz w:val="21"/>
          <w:szCs w:val="21"/>
          <w:highlight w:val="none"/>
          <w:lang w:val="en-US" w:eastAsia="zh-CN"/>
        </w:rPr>
        <w:t>及</w:t>
      </w:r>
      <w:r>
        <w:rPr>
          <w:rFonts w:hint="eastAsia" w:ascii="宋体" w:hAnsi="宋体" w:eastAsia="宋体" w:cs="宋体"/>
          <w:color w:val="auto"/>
          <w:sz w:val="21"/>
          <w:szCs w:val="21"/>
          <w:highlight w:val="none"/>
          <w:lang w:val="zh-CN"/>
        </w:rPr>
        <w:t>维修保养培训</w:t>
      </w:r>
      <w:r>
        <w:rPr>
          <w:rFonts w:hint="eastAsia"/>
          <w:bCs/>
          <w:color w:val="auto"/>
          <w:kern w:val="0"/>
          <w:sz w:val="21"/>
          <w:szCs w:val="21"/>
          <w:highlight w:val="none"/>
        </w:rPr>
        <w:t>；</w:t>
      </w:r>
    </w:p>
    <w:p>
      <w:pPr>
        <w:pageBreakBefore w:val="0"/>
        <w:kinsoku/>
        <w:wordWrap/>
        <w:overflowPunct/>
        <w:topLinePunct w:val="0"/>
        <w:bidi w:val="0"/>
        <w:spacing w:line="480" w:lineRule="exact"/>
        <w:ind w:left="0" w:leftChars="0" w:right="0" w:rightChars="0"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）质保期限</w:t>
      </w:r>
      <w:r>
        <w:rPr>
          <w:rFonts w:hint="eastAsia"/>
          <w:bCs/>
          <w:color w:val="auto"/>
          <w:kern w:val="0"/>
          <w:sz w:val="21"/>
          <w:szCs w:val="21"/>
          <w:highlight w:val="none"/>
        </w:rPr>
        <w:t>；</w:t>
      </w:r>
    </w:p>
    <w:p>
      <w:pPr>
        <w:pageBreakBefore w:val="0"/>
        <w:kinsoku/>
        <w:wordWrap/>
        <w:overflowPunct/>
        <w:topLinePunct w:val="0"/>
        <w:bidi w:val="0"/>
        <w:spacing w:line="480" w:lineRule="exact"/>
        <w:ind w:left="0" w:leftChars="0" w:right="0" w:rightChars="0" w:firstLine="420" w:firstLineChars="200"/>
        <w:rPr>
          <w:rFonts w:hint="eastAsia"/>
          <w:color w:val="auto"/>
          <w:sz w:val="21"/>
          <w:szCs w:val="21"/>
          <w:highlight w:val="none"/>
        </w:rPr>
      </w:pPr>
      <w:r>
        <w:rPr>
          <w:rFonts w:hint="eastAsia"/>
          <w:color w:val="auto"/>
          <w:sz w:val="21"/>
          <w:szCs w:val="21"/>
          <w:highlight w:val="none"/>
          <w:lang w:eastAsia="zh-CN"/>
        </w:rPr>
        <w:t>（</w:t>
      </w:r>
      <w:r>
        <w:rPr>
          <w:rFonts w:hint="eastAsia"/>
          <w:color w:val="auto"/>
          <w:sz w:val="21"/>
          <w:szCs w:val="21"/>
          <w:highlight w:val="none"/>
          <w:lang w:val="en-US" w:eastAsia="zh-CN"/>
        </w:rPr>
        <w:t>13</w:t>
      </w:r>
      <w:r>
        <w:rPr>
          <w:rFonts w:hint="eastAsia"/>
          <w:color w:val="auto"/>
          <w:sz w:val="21"/>
          <w:szCs w:val="21"/>
          <w:highlight w:val="none"/>
        </w:rPr>
        <w:t>）</w:t>
      </w:r>
      <w:r>
        <w:rPr>
          <w:rFonts w:hint="eastAsia" w:ascii="宋体" w:hAnsi="宋体"/>
          <w:color w:val="auto"/>
          <w:sz w:val="21"/>
          <w:szCs w:val="21"/>
          <w:highlight w:val="none"/>
        </w:rPr>
        <w:t>针对本项目的合理化建议或优惠措施</w:t>
      </w:r>
      <w:r>
        <w:rPr>
          <w:rFonts w:hint="eastAsia" w:ascii="宋体" w:hAnsi="宋体"/>
          <w:color w:val="auto"/>
          <w:sz w:val="21"/>
          <w:szCs w:val="21"/>
          <w:highlight w:val="none"/>
          <w:lang w:eastAsia="zh-CN"/>
        </w:rPr>
        <w:t>；</w:t>
      </w:r>
    </w:p>
    <w:p>
      <w:pPr>
        <w:pageBreakBefore w:val="0"/>
        <w:kinsoku/>
        <w:wordWrap/>
        <w:overflowPunct/>
        <w:topLinePunct w:val="0"/>
        <w:bidi w:val="0"/>
        <w:spacing w:line="480" w:lineRule="exact"/>
        <w:ind w:left="0" w:leftChars="0" w:right="0" w:rightChars="0" w:firstLine="420" w:firstLineChars="200"/>
        <w:rPr>
          <w:rFonts w:hint="eastAsia" w:ascii="Times New Roman" w:hAnsi="Times New Roman" w:eastAsia="宋体" w:cs="Times New Roman"/>
          <w:color w:val="auto"/>
          <w:sz w:val="21"/>
          <w:szCs w:val="21"/>
          <w:highlight w:val="none"/>
          <w:lang w:eastAsia="zh-CN"/>
        </w:rPr>
      </w:pPr>
      <w:r>
        <w:rPr>
          <w:rFonts w:hint="eastAsia"/>
          <w:color w:val="auto"/>
          <w:sz w:val="21"/>
          <w:szCs w:val="21"/>
          <w:highlight w:val="none"/>
          <w:lang w:eastAsia="zh-CN"/>
        </w:rPr>
        <w:t>（</w:t>
      </w:r>
      <w:r>
        <w:rPr>
          <w:rFonts w:hint="eastAsia"/>
          <w:color w:val="auto"/>
          <w:sz w:val="21"/>
          <w:szCs w:val="21"/>
          <w:highlight w:val="none"/>
          <w:lang w:val="en-US" w:eastAsia="zh-CN"/>
        </w:rPr>
        <w:t>14</w:t>
      </w:r>
      <w:r>
        <w:rPr>
          <w:rFonts w:hint="eastAsia"/>
          <w:color w:val="auto"/>
          <w:sz w:val="21"/>
          <w:szCs w:val="21"/>
          <w:highlight w:val="none"/>
          <w:lang w:eastAsia="zh-CN"/>
        </w:rPr>
        <w:t>）采购需求</w:t>
      </w:r>
      <w:r>
        <w:rPr>
          <w:rFonts w:hint="eastAsia" w:ascii="Times New Roman" w:hAnsi="Times New Roman" w:eastAsia="宋体" w:cs="Times New Roman"/>
          <w:color w:val="auto"/>
          <w:sz w:val="21"/>
          <w:szCs w:val="21"/>
          <w:highlight w:val="none"/>
          <w:lang w:eastAsia="zh-CN"/>
        </w:rPr>
        <w:t>偏离表</w:t>
      </w:r>
      <w:r>
        <w:rPr>
          <w:rFonts w:hint="eastAsia"/>
          <w:bCs/>
          <w:color w:val="auto"/>
          <w:kern w:val="0"/>
          <w:sz w:val="21"/>
          <w:szCs w:val="21"/>
          <w:highlight w:val="none"/>
        </w:rPr>
        <w:t>；</w:t>
      </w:r>
    </w:p>
    <w:p>
      <w:pPr>
        <w:pageBreakBefore w:val="0"/>
        <w:kinsoku/>
        <w:wordWrap/>
        <w:overflowPunct/>
        <w:topLinePunct w:val="0"/>
        <w:bidi w:val="0"/>
        <w:spacing w:line="480" w:lineRule="exact"/>
        <w:ind w:left="0" w:leftChars="0" w:right="0" w:rightChars="0" w:firstLine="420" w:firstLineChars="200"/>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eastAsia="zh-CN"/>
        </w:rPr>
        <w:t>（</w:t>
      </w:r>
      <w:r>
        <w:rPr>
          <w:rFonts w:hint="eastAsia" w:ascii="Times New Roman" w:hAnsi="Times New Roman" w:eastAsia="宋体" w:cs="Times New Roman"/>
          <w:color w:val="auto"/>
          <w:sz w:val="21"/>
          <w:szCs w:val="21"/>
          <w:highlight w:val="none"/>
          <w:lang w:val="en-US" w:eastAsia="zh-CN"/>
        </w:rPr>
        <w:t>1</w:t>
      </w:r>
      <w:r>
        <w:rPr>
          <w:rFonts w:hint="eastAsia" w:cs="Times New Roman"/>
          <w:color w:val="auto"/>
          <w:sz w:val="21"/>
          <w:szCs w:val="21"/>
          <w:highlight w:val="none"/>
          <w:lang w:val="en-US" w:eastAsia="zh-CN"/>
        </w:rPr>
        <w:t>5</w:t>
      </w:r>
      <w:r>
        <w:rPr>
          <w:rFonts w:hint="eastAsia" w:ascii="Times New Roman" w:hAnsi="Times New Roman" w:eastAsia="宋体" w:cs="Times New Roman"/>
          <w:color w:val="auto"/>
          <w:sz w:val="21"/>
          <w:szCs w:val="21"/>
          <w:highlight w:val="none"/>
          <w:lang w:eastAsia="zh-CN"/>
        </w:rPr>
        <w:t>）所投货物详细配置清单；</w:t>
      </w:r>
    </w:p>
    <w:p>
      <w:pPr>
        <w:pageBreakBefore w:val="0"/>
        <w:kinsoku/>
        <w:wordWrap/>
        <w:overflowPunct/>
        <w:topLinePunct w:val="0"/>
        <w:bidi w:val="0"/>
        <w:spacing w:line="480" w:lineRule="exact"/>
        <w:ind w:left="0" w:leftChars="0" w:right="0" w:rightChars="0" w:firstLine="420" w:firstLineChars="200"/>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eastAsia="zh-CN"/>
        </w:rPr>
        <w:t>（</w:t>
      </w:r>
      <w:r>
        <w:rPr>
          <w:rFonts w:hint="eastAsia" w:ascii="Times New Roman" w:hAnsi="Times New Roman" w:eastAsia="宋体" w:cs="Times New Roman"/>
          <w:color w:val="auto"/>
          <w:sz w:val="21"/>
          <w:szCs w:val="21"/>
          <w:highlight w:val="none"/>
          <w:lang w:val="en-US" w:eastAsia="zh-CN"/>
        </w:rPr>
        <w:t>1</w:t>
      </w:r>
      <w:r>
        <w:rPr>
          <w:rFonts w:hint="eastAsia" w:cs="Times New Roman"/>
          <w:color w:val="auto"/>
          <w:sz w:val="21"/>
          <w:szCs w:val="21"/>
          <w:highlight w:val="none"/>
          <w:lang w:val="en-US" w:eastAsia="zh-CN"/>
        </w:rPr>
        <w:t>6</w:t>
      </w:r>
      <w:r>
        <w:rPr>
          <w:rFonts w:hint="eastAsia" w:ascii="Times New Roman" w:hAnsi="Times New Roman" w:eastAsia="宋体" w:cs="Times New Roman"/>
          <w:color w:val="auto"/>
          <w:sz w:val="21"/>
          <w:szCs w:val="21"/>
          <w:highlight w:val="none"/>
          <w:lang w:eastAsia="zh-CN"/>
        </w:rPr>
        <w:t>）主要指标项偏离情况表</w:t>
      </w:r>
      <w:r>
        <w:rPr>
          <w:rFonts w:hint="eastAsia" w:cs="Times New Roman"/>
          <w:color w:val="auto"/>
          <w:sz w:val="21"/>
          <w:szCs w:val="21"/>
          <w:highlight w:val="none"/>
          <w:lang w:eastAsia="zh-CN"/>
        </w:rPr>
        <w:t>（</w:t>
      </w:r>
      <w:r>
        <w:rPr>
          <w:rFonts w:hint="eastAsia" w:cs="Times New Roman"/>
          <w:color w:val="auto"/>
          <w:sz w:val="21"/>
          <w:szCs w:val="21"/>
          <w:highlight w:val="none"/>
          <w:lang w:val="en-US" w:eastAsia="zh-CN"/>
        </w:rPr>
        <w:t>详见附表</w:t>
      </w:r>
      <w:r>
        <w:rPr>
          <w:rFonts w:hint="eastAsia" w:cs="Times New Roman"/>
          <w:color w:val="auto"/>
          <w:sz w:val="21"/>
          <w:szCs w:val="21"/>
          <w:highlight w:val="none"/>
          <w:lang w:eastAsia="zh-CN"/>
        </w:rPr>
        <w:t>）</w:t>
      </w:r>
      <w:r>
        <w:rPr>
          <w:rFonts w:hint="eastAsia"/>
          <w:bCs/>
          <w:color w:val="auto"/>
          <w:kern w:val="0"/>
          <w:sz w:val="21"/>
          <w:szCs w:val="21"/>
          <w:highlight w:val="none"/>
        </w:rPr>
        <w:t>；</w:t>
      </w:r>
    </w:p>
    <w:p>
      <w:pPr>
        <w:pageBreakBefore w:val="0"/>
        <w:kinsoku/>
        <w:wordWrap/>
        <w:overflowPunct/>
        <w:topLinePunct w:val="0"/>
        <w:bidi w:val="0"/>
        <w:spacing w:line="480" w:lineRule="exact"/>
        <w:ind w:right="0" w:rightChars="0" w:firstLine="420" w:firstLineChars="200"/>
        <w:rPr>
          <w:rFonts w:hint="eastAsia" w:eastAsia="宋体"/>
          <w:color w:val="auto"/>
          <w:sz w:val="21"/>
          <w:szCs w:val="21"/>
          <w:highlight w:val="none"/>
          <w:lang w:eastAsia="zh-CN"/>
        </w:rPr>
      </w:pPr>
      <w:r>
        <w:rPr>
          <w:rFonts w:hint="eastAsia"/>
          <w:color w:val="auto"/>
          <w:sz w:val="21"/>
          <w:szCs w:val="21"/>
          <w:highlight w:val="none"/>
        </w:rPr>
        <w:t>（</w:t>
      </w:r>
      <w:r>
        <w:rPr>
          <w:rFonts w:hint="eastAsia"/>
          <w:color w:val="auto"/>
          <w:sz w:val="21"/>
          <w:szCs w:val="21"/>
          <w:highlight w:val="none"/>
          <w:lang w:val="en-US" w:eastAsia="zh-CN"/>
        </w:rPr>
        <w:t>17</w:t>
      </w:r>
      <w:r>
        <w:rPr>
          <w:rFonts w:hint="eastAsia"/>
          <w:color w:val="auto"/>
          <w:sz w:val="21"/>
          <w:szCs w:val="21"/>
          <w:highlight w:val="none"/>
        </w:rPr>
        <w:t>）</w:t>
      </w:r>
      <w:r>
        <w:rPr>
          <w:color w:val="auto"/>
          <w:sz w:val="21"/>
          <w:szCs w:val="21"/>
          <w:highlight w:val="none"/>
        </w:rPr>
        <w:t>技术商务标自评分表</w:t>
      </w:r>
      <w:r>
        <w:rPr>
          <w:rFonts w:hint="eastAsia" w:cs="Times New Roman"/>
          <w:color w:val="auto"/>
          <w:sz w:val="21"/>
          <w:szCs w:val="21"/>
          <w:highlight w:val="none"/>
          <w:lang w:eastAsia="zh-CN"/>
        </w:rPr>
        <w:t>（</w:t>
      </w:r>
      <w:r>
        <w:rPr>
          <w:rFonts w:hint="eastAsia" w:cs="Times New Roman"/>
          <w:color w:val="auto"/>
          <w:sz w:val="21"/>
          <w:szCs w:val="21"/>
          <w:highlight w:val="none"/>
          <w:lang w:val="en-US" w:eastAsia="zh-CN"/>
        </w:rPr>
        <w:t>详见附表</w:t>
      </w:r>
      <w:r>
        <w:rPr>
          <w:rFonts w:hint="eastAsia" w:cs="Times New Roman"/>
          <w:color w:val="auto"/>
          <w:sz w:val="21"/>
          <w:szCs w:val="21"/>
          <w:highlight w:val="none"/>
          <w:lang w:eastAsia="zh-CN"/>
        </w:rPr>
        <w:t>）</w:t>
      </w:r>
      <w:r>
        <w:rPr>
          <w:rFonts w:hint="eastAsia"/>
          <w:color w:val="auto"/>
          <w:sz w:val="21"/>
          <w:szCs w:val="21"/>
          <w:highlight w:val="none"/>
          <w:lang w:eastAsia="zh-CN"/>
        </w:rPr>
        <w:t>；</w:t>
      </w:r>
    </w:p>
    <w:p>
      <w:pPr>
        <w:pStyle w:val="49"/>
        <w:pageBreakBefore w:val="0"/>
        <w:kinsoku/>
        <w:wordWrap/>
        <w:overflowPunct/>
        <w:topLinePunct w:val="0"/>
        <w:bidi w:val="0"/>
        <w:spacing w:line="48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（1</w:t>
      </w:r>
      <w:r>
        <w:rPr>
          <w:rFonts w:hint="eastAsia" w:hAnsi="宋体"/>
          <w:color w:val="auto"/>
          <w:sz w:val="21"/>
          <w:szCs w:val="21"/>
          <w:highlight w:val="none"/>
          <w:lang w:val="en-US" w:eastAsia="zh-CN"/>
        </w:rPr>
        <w:t>8</w:t>
      </w:r>
      <w:r>
        <w:rPr>
          <w:rFonts w:hint="eastAsia" w:ascii="宋体" w:hAnsi="宋体"/>
          <w:color w:val="auto"/>
          <w:sz w:val="21"/>
          <w:szCs w:val="21"/>
          <w:highlight w:val="none"/>
        </w:rPr>
        <w:t>）投标人认为有必要提供的其他资料（或评分需要的相关材料）。</w:t>
      </w:r>
    </w:p>
    <w:p>
      <w:pPr>
        <w:pStyle w:val="16"/>
        <w:keepNext w:val="0"/>
        <w:keepLines w:val="0"/>
        <w:pageBreakBefore w:val="0"/>
        <w:widowControl w:val="0"/>
        <w:kinsoku/>
        <w:wordWrap/>
        <w:overflowPunct/>
        <w:topLinePunct w:val="0"/>
        <w:bidi w:val="0"/>
        <w:spacing w:after="0" w:afterLines="0" w:line="400" w:lineRule="exact"/>
        <w:ind w:firstLine="422" w:firstLineChars="200"/>
        <w:textAlignment w:val="auto"/>
        <w:outlineLvl w:val="1"/>
        <w:rPr>
          <w:rFonts w:hint="eastAsia" w:ascii="宋体" w:hAnsi="宋体" w:cs="宋体"/>
          <w:b/>
          <w:color w:val="auto"/>
          <w:sz w:val="21"/>
          <w:szCs w:val="21"/>
          <w:highlight w:val="none"/>
        </w:rPr>
      </w:pPr>
      <w:r>
        <w:rPr>
          <w:rFonts w:hint="eastAsia" w:ascii="宋体" w:hAnsi="宋体" w:cs="宋体"/>
          <w:b/>
          <w:color w:val="auto"/>
          <w:sz w:val="21"/>
          <w:szCs w:val="21"/>
          <w:highlight w:val="none"/>
        </w:rPr>
        <w:t>10.5价格标的组成</w:t>
      </w:r>
    </w:p>
    <w:p>
      <w:pPr>
        <w:pStyle w:val="16"/>
        <w:keepNext w:val="0"/>
        <w:keepLines w:val="0"/>
        <w:pageBreakBefore w:val="0"/>
        <w:widowControl w:val="0"/>
        <w:kinsoku/>
        <w:wordWrap/>
        <w:overflowPunct/>
        <w:topLinePunct w:val="0"/>
        <w:bidi w:val="0"/>
        <w:spacing w:after="0" w:afterLines="0" w:line="400" w:lineRule="exact"/>
        <w:ind w:firstLine="420" w:firstLineChars="200"/>
        <w:textAlignment w:val="auto"/>
        <w:outlineLvl w:val="1"/>
        <w:rPr>
          <w:rFonts w:hint="eastAsia" w:ascii="宋体" w:hAnsi="宋体" w:cs="宋体"/>
          <w:color w:val="auto"/>
          <w:sz w:val="21"/>
          <w:szCs w:val="21"/>
          <w:highlight w:val="none"/>
        </w:rPr>
      </w:pPr>
      <w:r>
        <w:rPr>
          <w:rFonts w:hint="eastAsia" w:ascii="宋体" w:hAnsi="宋体" w:cs="宋体"/>
          <w:color w:val="auto"/>
          <w:sz w:val="21"/>
          <w:szCs w:val="21"/>
          <w:highlight w:val="none"/>
        </w:rPr>
        <w:t>10.5.1投标函；</w:t>
      </w:r>
    </w:p>
    <w:p>
      <w:pPr>
        <w:pStyle w:val="16"/>
        <w:keepNext w:val="0"/>
        <w:keepLines w:val="0"/>
        <w:pageBreakBefore w:val="0"/>
        <w:widowControl w:val="0"/>
        <w:kinsoku/>
        <w:wordWrap/>
        <w:overflowPunct/>
        <w:topLinePunct w:val="0"/>
        <w:bidi w:val="0"/>
        <w:spacing w:after="0" w:afterLines="0" w:line="400" w:lineRule="exact"/>
        <w:ind w:firstLine="420" w:firstLineChars="200"/>
        <w:textAlignment w:val="auto"/>
        <w:outlineLvl w:val="1"/>
        <w:rPr>
          <w:rFonts w:hint="eastAsia" w:ascii="宋体" w:hAnsi="宋体" w:cs="宋体"/>
          <w:color w:val="auto"/>
          <w:sz w:val="21"/>
          <w:szCs w:val="21"/>
          <w:highlight w:val="none"/>
        </w:rPr>
      </w:pPr>
      <w:r>
        <w:rPr>
          <w:rFonts w:hint="eastAsia" w:ascii="宋体" w:hAnsi="宋体" w:cs="宋体"/>
          <w:color w:val="auto"/>
          <w:sz w:val="21"/>
          <w:szCs w:val="21"/>
          <w:highlight w:val="none"/>
        </w:rPr>
        <w:t>10.5.2开标一览表；</w:t>
      </w:r>
    </w:p>
    <w:p>
      <w:pPr>
        <w:pStyle w:val="16"/>
        <w:keepNext w:val="0"/>
        <w:keepLines w:val="0"/>
        <w:pageBreakBefore w:val="0"/>
        <w:widowControl w:val="0"/>
        <w:kinsoku/>
        <w:wordWrap/>
        <w:overflowPunct/>
        <w:topLinePunct w:val="0"/>
        <w:bidi w:val="0"/>
        <w:spacing w:after="0" w:afterLines="0" w:line="400" w:lineRule="exact"/>
        <w:ind w:firstLine="420" w:firstLineChars="200"/>
        <w:textAlignment w:val="auto"/>
        <w:outlineLvl w:val="1"/>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10.5.3中小企业声明函（如有）</w:t>
      </w:r>
      <w:r>
        <w:rPr>
          <w:rFonts w:hint="eastAsia" w:ascii="宋体" w:hAnsi="宋体" w:cs="宋体"/>
          <w:color w:val="auto"/>
          <w:sz w:val="21"/>
          <w:szCs w:val="21"/>
          <w:highlight w:val="none"/>
          <w:lang w:eastAsia="zh-CN"/>
        </w:rPr>
        <w:t>；</w:t>
      </w:r>
    </w:p>
    <w:p>
      <w:pPr>
        <w:pStyle w:val="16"/>
        <w:keepNext w:val="0"/>
        <w:keepLines w:val="0"/>
        <w:pageBreakBefore w:val="0"/>
        <w:widowControl w:val="0"/>
        <w:kinsoku/>
        <w:wordWrap/>
        <w:overflowPunct/>
        <w:topLinePunct w:val="0"/>
        <w:bidi w:val="0"/>
        <w:spacing w:after="0" w:afterLines="0" w:line="400" w:lineRule="exact"/>
        <w:ind w:firstLine="420" w:firstLineChars="200"/>
        <w:textAlignment w:val="auto"/>
        <w:outlineLvl w:val="1"/>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10.5.4残疾人福利性单位声明函（如有）</w:t>
      </w:r>
      <w:r>
        <w:rPr>
          <w:rFonts w:hint="eastAsia" w:ascii="宋体" w:hAnsi="宋体" w:cs="宋体"/>
          <w:color w:val="auto"/>
          <w:sz w:val="21"/>
          <w:szCs w:val="21"/>
          <w:highlight w:val="none"/>
          <w:lang w:eastAsia="zh-CN"/>
        </w:rPr>
        <w:t>；</w:t>
      </w:r>
    </w:p>
    <w:p>
      <w:pPr>
        <w:pStyle w:val="16"/>
        <w:keepNext w:val="0"/>
        <w:keepLines w:val="0"/>
        <w:pageBreakBefore w:val="0"/>
        <w:widowControl w:val="0"/>
        <w:kinsoku/>
        <w:wordWrap/>
        <w:overflowPunct/>
        <w:topLinePunct w:val="0"/>
        <w:bidi w:val="0"/>
        <w:spacing w:after="0" w:afterLines="0" w:line="400" w:lineRule="exact"/>
        <w:ind w:firstLine="420" w:firstLineChars="200"/>
        <w:textAlignment w:val="auto"/>
        <w:outlineLvl w:val="1"/>
        <w:rPr>
          <w:rFonts w:hint="eastAsia" w:ascii="宋体" w:hAnsi="宋体" w:cs="宋体"/>
          <w:color w:val="auto"/>
          <w:sz w:val="21"/>
          <w:szCs w:val="21"/>
          <w:highlight w:val="none"/>
        </w:rPr>
      </w:pPr>
      <w:r>
        <w:rPr>
          <w:rFonts w:hint="eastAsia" w:ascii="宋体" w:hAnsi="宋体" w:cs="宋体"/>
          <w:color w:val="auto"/>
          <w:sz w:val="21"/>
          <w:szCs w:val="21"/>
          <w:highlight w:val="none"/>
        </w:rPr>
        <w:t>10.5.5投标人认为有必要提供的其他资料，如投标分项报价表等。</w:t>
      </w:r>
    </w:p>
    <w:p>
      <w:pPr>
        <w:keepNext w:val="0"/>
        <w:keepLines w:val="0"/>
        <w:pageBreakBefore w:val="0"/>
        <w:widowControl w:val="0"/>
        <w:kinsoku/>
        <w:wordWrap/>
        <w:overflowPunct/>
        <w:topLinePunct w:val="0"/>
        <w:bidi w:val="0"/>
        <w:spacing w:line="400" w:lineRule="exact"/>
        <w:ind w:firstLine="280" w:firstLineChars="133"/>
        <w:textAlignment w:val="auto"/>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★注：法定代表人授权委托书必须由法定代表人签字并加盖单位公章；其它文件资料均须按采购文件要求加盖单位公章或签字；签章不齐的视同未提供。其中投标文件中所须</w:t>
      </w:r>
      <w:r>
        <w:rPr>
          <w:rFonts w:hint="eastAsia" w:ascii="宋体" w:hAnsi="宋体" w:cs="宋体"/>
          <w:b/>
          <w:bCs/>
          <w:color w:val="auto"/>
          <w:sz w:val="21"/>
          <w:szCs w:val="21"/>
          <w:highlight w:val="none"/>
          <w:lang w:eastAsia="zh-CN"/>
        </w:rPr>
        <w:t>加盖单位公章</w:t>
      </w:r>
      <w:r>
        <w:rPr>
          <w:rFonts w:hint="eastAsia" w:ascii="宋体" w:hAnsi="宋体" w:cs="宋体"/>
          <w:b/>
          <w:bCs/>
          <w:color w:val="auto"/>
          <w:sz w:val="21"/>
          <w:szCs w:val="21"/>
          <w:highlight w:val="none"/>
        </w:rPr>
        <w:t>部分均采用CA签章。</w:t>
      </w:r>
    </w:p>
    <w:p>
      <w:pPr>
        <w:spacing w:line="440" w:lineRule="exact"/>
        <w:ind w:firstLine="280" w:firstLineChars="133"/>
        <w:rPr>
          <w:rFonts w:ascii="Times New Roman" w:hAnsi="Times New Roman"/>
          <w:b/>
          <w:bCs/>
          <w:color w:val="auto"/>
          <w:sz w:val="21"/>
          <w:szCs w:val="21"/>
          <w:highlight w:val="none"/>
        </w:rPr>
      </w:pPr>
      <w:r>
        <w:rPr>
          <w:rFonts w:hint="eastAsia" w:hAnsi="宋体"/>
          <w:b/>
          <w:color w:val="auto"/>
          <w:sz w:val="21"/>
          <w:highlight w:val="none"/>
          <w:lang w:val="en-US" w:eastAsia="zh-CN"/>
        </w:rPr>
        <w:t>最高限价：</w:t>
      </w:r>
      <w:r>
        <w:rPr>
          <w:rFonts w:ascii="Times New Roman" w:hAnsi="Times New Roman"/>
          <w:b/>
          <w:bCs/>
          <w:color w:val="auto"/>
          <w:sz w:val="21"/>
          <w:szCs w:val="21"/>
          <w:highlight w:val="none"/>
        </w:rPr>
        <w:t>本项目设有最高</w:t>
      </w:r>
      <w:r>
        <w:rPr>
          <w:rFonts w:hint="eastAsia" w:ascii="Times New Roman"/>
          <w:b/>
          <w:bCs/>
          <w:color w:val="auto"/>
          <w:sz w:val="21"/>
          <w:szCs w:val="21"/>
          <w:highlight w:val="none"/>
          <w:lang w:val="en-US" w:eastAsia="zh-CN"/>
        </w:rPr>
        <w:t>总价</w:t>
      </w:r>
      <w:r>
        <w:rPr>
          <w:rFonts w:ascii="Times New Roman" w:hAnsi="Times New Roman"/>
          <w:b/>
          <w:bCs/>
          <w:color w:val="auto"/>
          <w:sz w:val="21"/>
          <w:szCs w:val="21"/>
          <w:highlight w:val="none"/>
        </w:rPr>
        <w:t>限价</w:t>
      </w:r>
      <w:r>
        <w:rPr>
          <w:rFonts w:hint="eastAsia" w:hAnsi="宋体" w:cs="Times New Roman"/>
          <w:b/>
          <w:bCs/>
          <w:color w:val="auto"/>
          <w:sz w:val="21"/>
          <w:szCs w:val="21"/>
          <w:highlight w:val="none"/>
          <w:lang w:val="en-US" w:eastAsia="zh-CN"/>
        </w:rPr>
        <w:t>115</w:t>
      </w:r>
      <w:r>
        <w:rPr>
          <w:rFonts w:ascii="Times New Roman" w:hAnsi="Times New Roman"/>
          <w:b/>
          <w:bCs/>
          <w:color w:val="auto"/>
          <w:sz w:val="21"/>
          <w:szCs w:val="21"/>
          <w:highlight w:val="none"/>
        </w:rPr>
        <w:t>万元，</w:t>
      </w:r>
      <w:r>
        <w:rPr>
          <w:rFonts w:hint="eastAsia" w:hAnsi="宋体"/>
          <w:b/>
          <w:color w:val="auto"/>
          <w:sz w:val="21"/>
          <w:highlight w:val="none"/>
        </w:rPr>
        <w:t>[</w:t>
      </w:r>
      <w:r>
        <w:rPr>
          <w:rFonts w:hint="eastAsia" w:ascii="Times New Roman" w:hAnsi="Times New Roman"/>
          <w:b/>
          <w:bCs/>
          <w:color w:val="auto"/>
          <w:sz w:val="21"/>
          <w:szCs w:val="21"/>
          <w:highlight w:val="none"/>
        </w:rPr>
        <w:t>最高限价：单泵血透机</w:t>
      </w:r>
      <w:r>
        <w:rPr>
          <w:rFonts w:hint="eastAsia"/>
          <w:b/>
          <w:bCs/>
          <w:color w:val="auto"/>
          <w:sz w:val="21"/>
          <w:szCs w:val="21"/>
          <w:highlight w:val="none"/>
          <w:lang w:val="en-US" w:eastAsia="zh-CN"/>
        </w:rPr>
        <w:t>95</w:t>
      </w:r>
      <w:r>
        <w:rPr>
          <w:rFonts w:hint="eastAsia" w:ascii="Times New Roman" w:hAnsi="Times New Roman"/>
          <w:b/>
          <w:bCs/>
          <w:color w:val="auto"/>
          <w:sz w:val="21"/>
          <w:szCs w:val="21"/>
          <w:highlight w:val="none"/>
        </w:rPr>
        <w:t xml:space="preserve">万元 /8台；双泵血透机20万元/1台 </w:t>
      </w:r>
      <w:r>
        <w:rPr>
          <w:rFonts w:hint="eastAsia"/>
          <w:b/>
          <w:bCs/>
          <w:color w:val="auto"/>
          <w:sz w:val="21"/>
          <w:szCs w:val="21"/>
          <w:highlight w:val="none"/>
          <w:lang w:eastAsia="zh-CN"/>
        </w:rPr>
        <w:t>。]</w:t>
      </w:r>
      <w:r>
        <w:rPr>
          <w:rFonts w:ascii="Times New Roman" w:hAnsi="Times New Roman"/>
          <w:b/>
          <w:bCs/>
          <w:color w:val="auto"/>
          <w:sz w:val="21"/>
          <w:szCs w:val="21"/>
          <w:highlight w:val="none"/>
        </w:rPr>
        <w:t>高于最高限价为废标</w:t>
      </w:r>
      <w:r>
        <w:rPr>
          <w:rFonts w:hint="eastAsia" w:ascii="Times New Roman"/>
          <w:b/>
          <w:bCs/>
          <w:color w:val="auto"/>
          <w:sz w:val="21"/>
          <w:szCs w:val="21"/>
          <w:highlight w:val="none"/>
          <w:lang w:eastAsia="zh-CN"/>
        </w:rPr>
        <w:t>，</w:t>
      </w:r>
      <w:r>
        <w:rPr>
          <w:rFonts w:hint="eastAsia" w:ascii="Times New Roman"/>
          <w:b/>
          <w:bCs/>
          <w:color w:val="auto"/>
          <w:sz w:val="21"/>
          <w:szCs w:val="21"/>
          <w:highlight w:val="none"/>
          <w:lang w:val="en-US" w:eastAsia="zh-CN"/>
        </w:rPr>
        <w:t>投标报价</w:t>
      </w:r>
      <w:r>
        <w:rPr>
          <w:rFonts w:ascii="Times New Roman" w:hAnsi="Times New Roman"/>
          <w:b/>
          <w:bCs/>
          <w:color w:val="auto"/>
          <w:sz w:val="21"/>
          <w:szCs w:val="21"/>
          <w:highlight w:val="none"/>
        </w:rPr>
        <w:t>为货物按采购人要求送至现场、安装完毕能正常使用的报价。</w:t>
      </w:r>
    </w:p>
    <w:p>
      <w:pPr>
        <w:pStyle w:val="23"/>
        <w:snapToGrid w:val="0"/>
        <w:spacing w:before="0" w:after="0" w:line="480" w:lineRule="exact"/>
        <w:ind w:firstLine="420" w:firstLineChars="200"/>
        <w:jc w:val="left"/>
        <w:rPr>
          <w:rFonts w:cs="宋体"/>
          <w:color w:val="auto"/>
          <w:sz w:val="21"/>
          <w:szCs w:val="21"/>
          <w:highlight w:val="none"/>
        </w:rPr>
      </w:pPr>
      <w:r>
        <w:rPr>
          <w:rFonts w:hint="eastAsia" w:cs="宋体"/>
          <w:color w:val="auto"/>
          <w:sz w:val="21"/>
          <w:szCs w:val="21"/>
          <w:highlight w:val="none"/>
        </w:rPr>
        <w:t>11.1投标报价应以人民币为结算货币。</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Times New Roman" w:eastAsia="宋体" w:cs="宋体"/>
          <w:strike/>
          <w:dstrike w:val="0"/>
          <w:color w:val="auto"/>
          <w:kern w:val="2"/>
          <w:sz w:val="21"/>
          <w:szCs w:val="21"/>
          <w:highlight w:val="none"/>
          <w:lang w:val="en-US" w:eastAsia="zh-CN" w:bidi="ar-SA"/>
        </w:rPr>
      </w:pPr>
      <w:r>
        <w:rPr>
          <w:rFonts w:hint="eastAsia" w:cs="宋体"/>
          <w:color w:val="auto"/>
          <w:sz w:val="21"/>
          <w:szCs w:val="21"/>
          <w:highlight w:val="none"/>
        </w:rPr>
        <w:t>11.1.1</w:t>
      </w:r>
      <w:r>
        <w:rPr>
          <w:rFonts w:hint="eastAsia" w:ascii="宋体" w:hAnsi="宋体" w:cs="宋体"/>
          <w:color w:val="auto"/>
          <w:sz w:val="21"/>
          <w:szCs w:val="21"/>
          <w:highlight w:val="none"/>
        </w:rPr>
        <w:t>标报价包括本项目所需的一切产品购置费、标准附件、备品备件、专用工具、包装、运输、装卸、保险、交货、安装调试、培训、保修、处理缺陷、现场试验、试运行、验收和质保期内售后服务伴随服务、质保期售后服务及合同实施过程中完成本项目应预见和不可预见费用、招标代理费、利润、税金等一切费用</w:t>
      </w:r>
      <w:r>
        <w:rPr>
          <w:rFonts w:hint="eastAsia" w:ascii="宋体" w:hAnsi="宋体" w:eastAsia="宋体" w:cs="Times New Roman"/>
          <w:color w:val="auto"/>
          <w:sz w:val="21"/>
          <w:szCs w:val="21"/>
          <w:highlight w:val="none"/>
        </w:rPr>
        <w:t>。</w:t>
      </w:r>
    </w:p>
    <w:p>
      <w:pPr>
        <w:snapToGrid w:val="0"/>
        <w:spacing w:line="480" w:lineRule="exact"/>
        <w:ind w:firstLine="420" w:firstLineChars="200"/>
        <w:rPr>
          <w:rFonts w:ascii="宋体" w:cs="宋体"/>
          <w:color w:val="auto"/>
          <w:sz w:val="21"/>
          <w:szCs w:val="21"/>
          <w:highlight w:val="none"/>
        </w:rPr>
      </w:pPr>
      <w:r>
        <w:rPr>
          <w:rFonts w:hint="eastAsia" w:ascii="宋体" w:cs="宋体"/>
          <w:color w:val="auto"/>
          <w:sz w:val="21"/>
          <w:szCs w:val="21"/>
          <w:highlight w:val="none"/>
        </w:rPr>
        <w:t>11.1.2投标人所投报的报价为投标人所能承受的整个项目的一次性最低报价，如有漏项，视同已包含在</w:t>
      </w:r>
      <w:r>
        <w:rPr>
          <w:rFonts w:hint="eastAsia" w:ascii="宋体" w:cs="宋体"/>
          <w:color w:val="auto"/>
          <w:sz w:val="21"/>
          <w:szCs w:val="21"/>
          <w:highlight w:val="none"/>
          <w:lang w:eastAsia="zh-CN"/>
        </w:rPr>
        <w:t>其他项目中</w:t>
      </w:r>
      <w:r>
        <w:rPr>
          <w:rFonts w:hint="eastAsia" w:ascii="宋体" w:cs="宋体"/>
          <w:color w:val="auto"/>
          <w:sz w:val="21"/>
          <w:szCs w:val="21"/>
          <w:highlight w:val="none"/>
        </w:rPr>
        <w:t>，投标总价和单价不作调整。</w:t>
      </w:r>
    </w:p>
    <w:p>
      <w:pPr>
        <w:pStyle w:val="23"/>
        <w:spacing w:before="0" w:after="0" w:line="480" w:lineRule="exact"/>
        <w:ind w:firstLine="420" w:firstLineChars="200"/>
        <w:rPr>
          <w:rFonts w:cs="宋体"/>
          <w:color w:val="auto"/>
          <w:sz w:val="21"/>
          <w:szCs w:val="21"/>
          <w:highlight w:val="none"/>
        </w:rPr>
      </w:pPr>
      <w:r>
        <w:rPr>
          <w:rFonts w:hint="eastAsia" w:cs="宋体"/>
          <w:color w:val="auto"/>
          <w:sz w:val="21"/>
          <w:szCs w:val="21"/>
          <w:highlight w:val="none"/>
        </w:rPr>
        <w:t>11.2投标人应在投标函和《开标一览表》上写明投标</w:t>
      </w:r>
      <w:r>
        <w:rPr>
          <w:rFonts w:hint="eastAsia" w:cs="宋体"/>
          <w:color w:val="auto"/>
          <w:sz w:val="21"/>
          <w:szCs w:val="21"/>
          <w:highlight w:val="none"/>
          <w:lang w:val="en-US" w:eastAsia="zh-CN"/>
        </w:rPr>
        <w:t>货物和</w:t>
      </w:r>
      <w:r>
        <w:rPr>
          <w:rFonts w:hint="eastAsia" w:cs="宋体"/>
          <w:color w:val="auto"/>
          <w:sz w:val="21"/>
          <w:szCs w:val="21"/>
          <w:highlight w:val="none"/>
        </w:rPr>
        <w:t>服务的单价和总价。投标文件报价出现前后不一致的，按照下列规定修正：</w:t>
      </w:r>
    </w:p>
    <w:p>
      <w:pPr>
        <w:pStyle w:val="23"/>
        <w:spacing w:before="0" w:after="0" w:line="480" w:lineRule="exact"/>
        <w:ind w:firstLine="420" w:firstLineChars="200"/>
        <w:rPr>
          <w:rFonts w:cs="宋体"/>
          <w:color w:val="auto"/>
          <w:sz w:val="21"/>
          <w:szCs w:val="21"/>
          <w:highlight w:val="none"/>
        </w:rPr>
      </w:pPr>
      <w:r>
        <w:rPr>
          <w:rFonts w:hint="eastAsia" w:cs="宋体"/>
          <w:color w:val="auto"/>
          <w:sz w:val="21"/>
          <w:szCs w:val="21"/>
          <w:highlight w:val="none"/>
        </w:rPr>
        <w:t>11.2.1投标文件中开标一览表（报价表）内容与投标文件中相应内容不一致的，以开标一览表（报价表）为准；</w:t>
      </w:r>
    </w:p>
    <w:p>
      <w:pPr>
        <w:pStyle w:val="23"/>
        <w:spacing w:before="0" w:after="0" w:line="480" w:lineRule="exact"/>
        <w:ind w:firstLine="420" w:firstLineChars="200"/>
        <w:rPr>
          <w:rFonts w:cs="宋体"/>
          <w:color w:val="auto"/>
          <w:sz w:val="21"/>
          <w:szCs w:val="21"/>
          <w:highlight w:val="none"/>
        </w:rPr>
      </w:pPr>
      <w:r>
        <w:rPr>
          <w:rFonts w:hint="eastAsia" w:cs="宋体"/>
          <w:color w:val="auto"/>
          <w:sz w:val="21"/>
          <w:szCs w:val="21"/>
          <w:highlight w:val="none"/>
        </w:rPr>
        <w:t>11.2.2大写金额和小写金额不一致的，以大写金额为准；</w:t>
      </w:r>
    </w:p>
    <w:p>
      <w:pPr>
        <w:pStyle w:val="23"/>
        <w:spacing w:before="0" w:after="0" w:line="480" w:lineRule="exact"/>
        <w:ind w:firstLine="420" w:firstLineChars="200"/>
        <w:rPr>
          <w:rFonts w:cs="宋体"/>
          <w:color w:val="auto"/>
          <w:sz w:val="21"/>
          <w:szCs w:val="21"/>
          <w:highlight w:val="none"/>
        </w:rPr>
      </w:pPr>
      <w:r>
        <w:rPr>
          <w:rFonts w:hint="eastAsia" w:cs="宋体"/>
          <w:color w:val="auto"/>
          <w:sz w:val="21"/>
          <w:szCs w:val="21"/>
          <w:highlight w:val="none"/>
        </w:rPr>
        <w:t>11.2.3单价金额小数点或者百分比有明显错位的，以开标一览表的总价为准，并修改单价；</w:t>
      </w:r>
    </w:p>
    <w:p>
      <w:pPr>
        <w:pStyle w:val="23"/>
        <w:spacing w:before="0" w:after="0" w:line="480" w:lineRule="exact"/>
        <w:ind w:firstLine="420" w:firstLineChars="200"/>
        <w:rPr>
          <w:rFonts w:cs="宋体"/>
          <w:color w:val="auto"/>
          <w:sz w:val="21"/>
          <w:szCs w:val="21"/>
          <w:highlight w:val="none"/>
        </w:rPr>
      </w:pPr>
      <w:r>
        <w:rPr>
          <w:rFonts w:hint="eastAsia" w:cs="宋体"/>
          <w:color w:val="auto"/>
          <w:sz w:val="21"/>
          <w:szCs w:val="21"/>
          <w:highlight w:val="none"/>
        </w:rPr>
        <w:t>11.2.4总价金额与按单价汇总金额不一致的，以单价金额计算结果为准。</w:t>
      </w:r>
    </w:p>
    <w:p>
      <w:pPr>
        <w:pStyle w:val="23"/>
        <w:spacing w:before="0" w:after="0" w:line="480" w:lineRule="exact"/>
        <w:ind w:firstLine="420" w:firstLineChars="200"/>
        <w:rPr>
          <w:rFonts w:cs="宋体"/>
          <w:color w:val="auto"/>
          <w:sz w:val="21"/>
          <w:szCs w:val="21"/>
          <w:highlight w:val="none"/>
        </w:rPr>
      </w:pPr>
      <w:r>
        <w:rPr>
          <w:rFonts w:hint="eastAsia" w:cs="宋体"/>
          <w:color w:val="auto"/>
          <w:sz w:val="21"/>
          <w:szCs w:val="21"/>
          <w:highlight w:val="none"/>
        </w:rPr>
        <w:t>同时出现两种以上不一致的，按照前款规定的顺序修正。修正后的报价按照《政府采购货物和服务招标投标管理办法》（财政部第87号令）第五十一条第二款的规定经投标人确认后产生约束力， 投标人不确认的，其投标无效。</w:t>
      </w:r>
    </w:p>
    <w:p>
      <w:pPr>
        <w:pStyle w:val="23"/>
        <w:spacing w:before="0" w:after="0" w:line="480" w:lineRule="exact"/>
        <w:ind w:firstLine="422" w:firstLineChars="200"/>
        <w:rPr>
          <w:rFonts w:cs="宋体"/>
          <w:b/>
          <w:bCs/>
          <w:color w:val="auto"/>
          <w:sz w:val="21"/>
          <w:szCs w:val="21"/>
          <w:highlight w:val="none"/>
          <w:u w:val="single"/>
        </w:rPr>
      </w:pPr>
      <w:r>
        <w:rPr>
          <w:rFonts w:hint="eastAsia" w:cs="宋体"/>
          <w:b/>
          <w:bCs/>
          <w:color w:val="auto"/>
          <w:sz w:val="21"/>
          <w:szCs w:val="21"/>
          <w:highlight w:val="none"/>
        </w:rPr>
        <w:t>★11.3</w:t>
      </w:r>
      <w:r>
        <w:rPr>
          <w:rFonts w:hint="eastAsia" w:cs="宋体"/>
          <w:b/>
          <w:bCs/>
          <w:color w:val="auto"/>
          <w:sz w:val="21"/>
          <w:szCs w:val="21"/>
          <w:highlight w:val="none"/>
          <w:u w:val="single"/>
        </w:rPr>
        <w:t>采购项目只允许有一个报价，有选择的报价将不予接受，并作无效标处理。</w:t>
      </w:r>
    </w:p>
    <w:p>
      <w:pPr>
        <w:pStyle w:val="23"/>
        <w:spacing w:before="0" w:after="0" w:line="480" w:lineRule="exact"/>
        <w:ind w:firstLine="422" w:firstLineChars="200"/>
        <w:rPr>
          <w:rFonts w:cs="宋体"/>
          <w:b/>
          <w:color w:val="auto"/>
          <w:sz w:val="21"/>
          <w:szCs w:val="21"/>
          <w:highlight w:val="none"/>
        </w:rPr>
      </w:pPr>
      <w:r>
        <w:rPr>
          <w:rFonts w:hint="eastAsia" w:cs="宋体"/>
          <w:b/>
          <w:color w:val="auto"/>
          <w:sz w:val="21"/>
          <w:szCs w:val="21"/>
          <w:highlight w:val="none"/>
        </w:rPr>
        <w:t>11.4投标分项报价表填写时应详细注明该表列举的费用及分项清单。</w:t>
      </w:r>
    </w:p>
    <w:p>
      <w:pPr>
        <w:pStyle w:val="23"/>
        <w:numPr>
          <w:ilvl w:val="0"/>
          <w:numId w:val="7"/>
        </w:numPr>
        <w:spacing w:before="0" w:after="0" w:line="480" w:lineRule="exact"/>
        <w:ind w:firstLine="422" w:firstLineChars="200"/>
        <w:rPr>
          <w:rFonts w:cs="宋体"/>
          <w:b/>
          <w:bCs/>
          <w:color w:val="auto"/>
          <w:kern w:val="0"/>
          <w:sz w:val="21"/>
          <w:szCs w:val="21"/>
          <w:highlight w:val="none"/>
        </w:rPr>
      </w:pPr>
      <w:r>
        <w:rPr>
          <w:rFonts w:hint="eastAsia" w:cs="宋体"/>
          <w:b/>
          <w:bCs/>
          <w:color w:val="auto"/>
          <w:kern w:val="0"/>
          <w:sz w:val="21"/>
          <w:szCs w:val="21"/>
          <w:highlight w:val="none"/>
        </w:rPr>
        <w:t>履约保证金</w:t>
      </w:r>
    </w:p>
    <w:p>
      <w:pPr>
        <w:pStyle w:val="23"/>
        <w:spacing w:before="0" w:after="0" w:line="480" w:lineRule="exact"/>
        <w:ind w:firstLine="420" w:firstLineChars="200"/>
        <w:rPr>
          <w:rFonts w:cs="宋体"/>
          <w:color w:val="auto"/>
          <w:kern w:val="0"/>
          <w:sz w:val="21"/>
          <w:szCs w:val="21"/>
          <w:highlight w:val="none"/>
        </w:rPr>
      </w:pPr>
      <w:r>
        <w:rPr>
          <w:rFonts w:hint="eastAsia" w:cs="宋体"/>
          <w:color w:val="auto"/>
          <w:kern w:val="0"/>
          <w:sz w:val="21"/>
          <w:szCs w:val="21"/>
          <w:highlight w:val="none"/>
        </w:rPr>
        <w:t>12.1未按规定缴纳履约保证金，将视为中标无效；</w:t>
      </w:r>
    </w:p>
    <w:p>
      <w:pPr>
        <w:pStyle w:val="23"/>
        <w:spacing w:before="0" w:after="0" w:line="480" w:lineRule="exact"/>
        <w:ind w:firstLine="420" w:firstLineChars="200"/>
        <w:rPr>
          <w:rFonts w:cs="宋体"/>
          <w:color w:val="auto"/>
          <w:kern w:val="0"/>
          <w:sz w:val="21"/>
          <w:szCs w:val="21"/>
          <w:highlight w:val="none"/>
        </w:rPr>
      </w:pPr>
      <w:r>
        <w:rPr>
          <w:rFonts w:hint="eastAsia" w:cs="宋体"/>
          <w:color w:val="auto"/>
          <w:kern w:val="0"/>
          <w:sz w:val="21"/>
          <w:szCs w:val="21"/>
          <w:highlight w:val="none"/>
        </w:rPr>
        <w:t>12.2履约保证金：在签订合同时中标人向采购人缴纳合同总价1%款项作为履约保证金。履约保证金形式：以银行、保险公司等金融机构出具的保函、保险等非现金形式（可在政采云平台购买，咨询热线 400-903-9583）。合同履约期限届满自动失效。</w:t>
      </w:r>
    </w:p>
    <w:p>
      <w:pPr>
        <w:pStyle w:val="23"/>
        <w:numPr>
          <w:ilvl w:val="0"/>
          <w:numId w:val="7"/>
        </w:numPr>
        <w:spacing w:before="0" w:after="0" w:line="480" w:lineRule="exact"/>
        <w:ind w:firstLine="422" w:firstLineChars="200"/>
        <w:rPr>
          <w:rFonts w:cs="宋体"/>
          <w:b/>
          <w:bCs/>
          <w:color w:val="auto"/>
          <w:kern w:val="0"/>
          <w:sz w:val="21"/>
          <w:szCs w:val="21"/>
          <w:highlight w:val="none"/>
        </w:rPr>
      </w:pPr>
      <w:r>
        <w:rPr>
          <w:rFonts w:hint="eastAsia" w:cs="宋体"/>
          <w:b/>
          <w:bCs/>
          <w:color w:val="auto"/>
          <w:kern w:val="0"/>
          <w:sz w:val="21"/>
          <w:szCs w:val="21"/>
          <w:highlight w:val="none"/>
        </w:rPr>
        <w:t>验收</w:t>
      </w:r>
    </w:p>
    <w:p>
      <w:pPr>
        <w:pStyle w:val="23"/>
        <w:spacing w:before="0" w:after="0" w:line="480" w:lineRule="exact"/>
        <w:ind w:firstLine="420" w:firstLineChars="200"/>
        <w:rPr>
          <w:rFonts w:cs="宋体"/>
          <w:color w:val="auto"/>
          <w:sz w:val="21"/>
          <w:szCs w:val="21"/>
          <w:highlight w:val="none"/>
        </w:rPr>
      </w:pPr>
      <w:r>
        <w:rPr>
          <w:rFonts w:hint="eastAsia" w:cs="宋体"/>
          <w:color w:val="auto"/>
          <w:sz w:val="21"/>
          <w:szCs w:val="21"/>
          <w:highlight w:val="none"/>
        </w:rPr>
        <w:t>13.1采购人组织对中标人履约的验收。大型或者复杂的政府采购项目，应当邀请国家认可的质量检测机构参加验收工作。验收方成员应当在验收书上签字，并承担相应的法律责任。如果发现与合同中要求不符，中标人须承担由此发生的一切损失和费用，并接受相应的处理。</w:t>
      </w:r>
    </w:p>
    <w:p>
      <w:pPr>
        <w:pStyle w:val="23"/>
        <w:spacing w:before="0" w:after="0" w:line="480" w:lineRule="exact"/>
        <w:ind w:firstLine="420" w:firstLineChars="200"/>
        <w:rPr>
          <w:rFonts w:cs="宋体"/>
          <w:color w:val="auto"/>
          <w:sz w:val="21"/>
          <w:szCs w:val="21"/>
          <w:highlight w:val="none"/>
        </w:rPr>
      </w:pPr>
      <w:r>
        <w:rPr>
          <w:rFonts w:hint="eastAsia" w:cs="宋体"/>
          <w:color w:val="auto"/>
          <w:sz w:val="21"/>
          <w:szCs w:val="21"/>
          <w:highlight w:val="none"/>
        </w:rPr>
        <w:t>13.2采购人可以邀请参加本项目的其他投标人或者第三方机构参与验收。参与验收的投标人或者第三方机构的意见作为验收书的参考资料一并存档。</w:t>
      </w:r>
    </w:p>
    <w:p>
      <w:pPr>
        <w:pStyle w:val="23"/>
        <w:spacing w:before="0" w:after="0" w:line="480" w:lineRule="exact"/>
        <w:ind w:firstLine="420" w:firstLineChars="200"/>
        <w:rPr>
          <w:rFonts w:cs="宋体"/>
          <w:color w:val="auto"/>
          <w:sz w:val="21"/>
          <w:szCs w:val="21"/>
          <w:highlight w:val="none"/>
        </w:rPr>
      </w:pPr>
      <w:r>
        <w:rPr>
          <w:rFonts w:hint="eastAsia" w:cs="宋体"/>
          <w:color w:val="auto"/>
          <w:sz w:val="21"/>
          <w:szCs w:val="21"/>
          <w:highlight w:val="none"/>
        </w:rPr>
        <w:t>13.3严格按照采购合同开展履约验收。采购人成立验收小组，按照采购合同的约定对投标人履约情况进行验收。验收时，按照采购合同的约定对每一项技术、服务、安全标准的履约情况进行确认。验收结束后，应当出具验收意见书，列明各项标准的验收情况及项目总体评价，由验收双方共同签署。验收结果与采购合同约定的资金支付条件挂钩。履约验收的各项资料应当存档备查。</w:t>
      </w:r>
    </w:p>
    <w:p>
      <w:pPr>
        <w:pStyle w:val="23"/>
        <w:spacing w:before="0" w:after="0" w:line="480" w:lineRule="exact"/>
        <w:ind w:firstLine="420" w:firstLineChars="200"/>
        <w:rPr>
          <w:rFonts w:cs="宋体"/>
          <w:color w:val="auto"/>
          <w:sz w:val="21"/>
          <w:szCs w:val="21"/>
          <w:highlight w:val="none"/>
        </w:rPr>
      </w:pPr>
      <w:r>
        <w:rPr>
          <w:rFonts w:hint="eastAsia" w:cs="宋体"/>
          <w:color w:val="auto"/>
          <w:sz w:val="21"/>
          <w:szCs w:val="21"/>
          <w:highlight w:val="none"/>
        </w:rPr>
        <w:t>13.4采购人原则上应当在履约验收之日起2个工作日内，将履约验收结果在浙江政府采购网上公告。</w:t>
      </w:r>
    </w:p>
    <w:p>
      <w:pPr>
        <w:spacing w:line="480" w:lineRule="exact"/>
        <w:ind w:firstLine="420" w:firstLineChars="200"/>
        <w:outlineLvl w:val="1"/>
        <w:rPr>
          <w:rFonts w:ascii="宋体" w:cs="宋体"/>
          <w:color w:val="auto"/>
          <w:sz w:val="21"/>
          <w:szCs w:val="21"/>
          <w:highlight w:val="none"/>
        </w:rPr>
      </w:pPr>
      <w:r>
        <w:rPr>
          <w:rFonts w:hint="eastAsia" w:ascii="宋体" w:cs="宋体"/>
          <w:color w:val="auto"/>
          <w:sz w:val="21"/>
          <w:szCs w:val="21"/>
          <w:highlight w:val="none"/>
        </w:rPr>
        <w:t>13.5验收合格的项目，采购人将根据采购合同的约定及时向投标人支付采购资金。验收不合格的项目，采购人将依法及时处理。采购合同的履行、违约责任和解决争议的方式等适用《中华人民共和国民法典》。投标人在履约过程中有政府采购法律法规规定的违法违规情形的，采购人应当及时报告本级财政部门。</w:t>
      </w:r>
    </w:p>
    <w:p>
      <w:pPr>
        <w:pStyle w:val="5"/>
        <w:spacing w:before="0" w:after="0" w:line="480" w:lineRule="exact"/>
        <w:ind w:firstLine="422" w:firstLineChars="200"/>
        <w:rPr>
          <w:rFonts w:ascii="宋体" w:eastAsia="宋体" w:cs="宋体"/>
          <w:bCs w:val="0"/>
          <w:color w:val="auto"/>
          <w:sz w:val="21"/>
          <w:szCs w:val="21"/>
          <w:highlight w:val="none"/>
        </w:rPr>
      </w:pPr>
      <w:r>
        <w:rPr>
          <w:rFonts w:hint="eastAsia" w:ascii="宋体" w:eastAsia="宋体" w:cs="宋体"/>
          <w:bCs w:val="0"/>
          <w:color w:val="auto"/>
          <w:sz w:val="21"/>
          <w:szCs w:val="21"/>
          <w:highlight w:val="none"/>
        </w:rPr>
        <w:t>14、投标有效期</w:t>
      </w:r>
    </w:p>
    <w:p>
      <w:pPr>
        <w:spacing w:line="480" w:lineRule="exact"/>
        <w:ind w:firstLine="420" w:firstLineChars="200"/>
        <w:rPr>
          <w:rFonts w:ascii="宋体" w:cs="宋体"/>
          <w:color w:val="auto"/>
          <w:sz w:val="21"/>
          <w:szCs w:val="21"/>
          <w:highlight w:val="none"/>
        </w:rPr>
      </w:pPr>
      <w:r>
        <w:rPr>
          <w:rFonts w:hint="eastAsia" w:ascii="宋体" w:cs="宋体"/>
          <w:color w:val="auto"/>
          <w:sz w:val="21"/>
          <w:szCs w:val="21"/>
          <w:highlight w:val="none"/>
        </w:rPr>
        <w:t>14.1投标文件从开标之日起，投标有效期为90天。</w:t>
      </w:r>
    </w:p>
    <w:p>
      <w:pPr>
        <w:spacing w:line="480" w:lineRule="exact"/>
        <w:ind w:firstLine="420" w:firstLineChars="200"/>
        <w:rPr>
          <w:rFonts w:ascii="宋体" w:cs="宋体"/>
          <w:color w:val="auto"/>
          <w:sz w:val="21"/>
          <w:szCs w:val="21"/>
          <w:highlight w:val="none"/>
        </w:rPr>
      </w:pPr>
      <w:r>
        <w:rPr>
          <w:rFonts w:hint="eastAsia" w:ascii="宋体" w:cs="宋体"/>
          <w:color w:val="auto"/>
          <w:sz w:val="21"/>
          <w:szCs w:val="21"/>
          <w:highlight w:val="none"/>
        </w:rPr>
        <w:t xml:space="preserve">14.2 特殊情况下，在原投标有效期截止之前，采购人可要求投标人同意延长有效期，这种要求与答复均应以书面形式提交。 </w:t>
      </w:r>
    </w:p>
    <w:p>
      <w:pPr>
        <w:spacing w:line="480" w:lineRule="exact"/>
        <w:ind w:firstLine="420" w:firstLineChars="200"/>
        <w:rPr>
          <w:rFonts w:ascii="宋体" w:cs="宋体"/>
          <w:color w:val="auto"/>
          <w:sz w:val="21"/>
          <w:szCs w:val="21"/>
          <w:highlight w:val="none"/>
        </w:rPr>
      </w:pPr>
      <w:r>
        <w:rPr>
          <w:rFonts w:hint="eastAsia" w:ascii="宋体" w:cs="宋体"/>
          <w:color w:val="auto"/>
          <w:sz w:val="21"/>
          <w:szCs w:val="21"/>
          <w:highlight w:val="none"/>
        </w:rPr>
        <w:t>14.3 中标人的投标文件自开标之日起至合同履行</w:t>
      </w:r>
      <w:r>
        <w:rPr>
          <w:rFonts w:hint="eastAsia" w:ascii="宋体" w:cs="宋体"/>
          <w:color w:val="auto"/>
          <w:sz w:val="21"/>
          <w:szCs w:val="21"/>
          <w:highlight w:val="none"/>
          <w:lang w:eastAsia="zh-CN"/>
        </w:rPr>
        <w:t>完毕</w:t>
      </w:r>
      <w:r>
        <w:rPr>
          <w:rFonts w:hint="eastAsia" w:ascii="宋体" w:cs="宋体"/>
          <w:color w:val="auto"/>
          <w:sz w:val="21"/>
          <w:szCs w:val="21"/>
          <w:highlight w:val="none"/>
        </w:rPr>
        <w:t>止均保持有效。</w:t>
      </w:r>
    </w:p>
    <w:p>
      <w:pPr>
        <w:pStyle w:val="5"/>
        <w:spacing w:before="0" w:after="0" w:line="480" w:lineRule="exact"/>
        <w:ind w:firstLine="422" w:firstLineChars="200"/>
        <w:rPr>
          <w:rFonts w:ascii="宋体" w:eastAsia="宋体" w:cs="宋体"/>
          <w:bCs w:val="0"/>
          <w:color w:val="auto"/>
          <w:sz w:val="21"/>
          <w:szCs w:val="21"/>
          <w:highlight w:val="none"/>
        </w:rPr>
      </w:pPr>
      <w:r>
        <w:rPr>
          <w:rFonts w:hint="eastAsia" w:ascii="宋体" w:eastAsia="宋体" w:cs="宋体"/>
          <w:bCs w:val="0"/>
          <w:color w:val="auto"/>
          <w:sz w:val="21"/>
          <w:szCs w:val="21"/>
          <w:highlight w:val="none"/>
        </w:rPr>
        <w:t>15、投标偏离及建议</w:t>
      </w:r>
    </w:p>
    <w:p>
      <w:pPr>
        <w:spacing w:line="480" w:lineRule="exact"/>
        <w:ind w:firstLine="420" w:firstLineChars="200"/>
        <w:rPr>
          <w:rFonts w:ascii="宋体" w:cs="宋体"/>
          <w:color w:val="auto"/>
          <w:sz w:val="21"/>
          <w:szCs w:val="21"/>
          <w:highlight w:val="none"/>
        </w:rPr>
      </w:pPr>
      <w:r>
        <w:rPr>
          <w:rFonts w:hint="eastAsia" w:ascii="宋体" w:cs="宋体"/>
          <w:color w:val="auto"/>
          <w:sz w:val="21"/>
          <w:szCs w:val="21"/>
          <w:highlight w:val="none"/>
        </w:rPr>
        <w:t>15.1投标人如对项目的要求在技术和商务方面有偏离，均须在规范的偏离表中提出。</w:t>
      </w:r>
    </w:p>
    <w:p>
      <w:pPr>
        <w:spacing w:line="480" w:lineRule="exact"/>
        <w:ind w:firstLine="420" w:firstLineChars="200"/>
        <w:rPr>
          <w:rFonts w:ascii="宋体" w:cs="宋体"/>
          <w:color w:val="auto"/>
          <w:sz w:val="21"/>
          <w:szCs w:val="21"/>
          <w:highlight w:val="none"/>
        </w:rPr>
      </w:pPr>
      <w:r>
        <w:rPr>
          <w:rFonts w:hint="eastAsia" w:ascii="宋体" w:cs="宋体"/>
          <w:color w:val="auto"/>
          <w:sz w:val="21"/>
          <w:szCs w:val="21"/>
          <w:highlight w:val="none"/>
        </w:rPr>
        <w:t>15.2投标人可以在投标文件中对采购设备的技术规格要求提出推荐和替代意见，但所提出的意见应优于采购文件中提出的响应要求，并且使采购人满意。</w:t>
      </w:r>
    </w:p>
    <w:p>
      <w:pPr>
        <w:spacing w:line="480" w:lineRule="exact"/>
        <w:ind w:firstLine="420" w:firstLineChars="200"/>
        <w:rPr>
          <w:rFonts w:ascii="宋体" w:cs="宋体"/>
          <w:bCs/>
          <w:color w:val="auto"/>
          <w:sz w:val="21"/>
          <w:szCs w:val="21"/>
          <w:highlight w:val="none"/>
        </w:rPr>
      </w:pPr>
      <w:r>
        <w:rPr>
          <w:rFonts w:hint="eastAsia" w:ascii="宋体" w:cs="宋体"/>
          <w:bCs/>
          <w:color w:val="auto"/>
          <w:sz w:val="21"/>
          <w:szCs w:val="21"/>
          <w:highlight w:val="none"/>
        </w:rPr>
        <w:t>16、投标文件格式</w:t>
      </w:r>
    </w:p>
    <w:p>
      <w:pPr>
        <w:spacing w:line="480" w:lineRule="exact"/>
        <w:ind w:firstLine="420" w:firstLineChars="200"/>
        <w:rPr>
          <w:rFonts w:ascii="宋体" w:cs="宋体"/>
          <w:bCs/>
          <w:color w:val="auto"/>
          <w:sz w:val="21"/>
          <w:szCs w:val="21"/>
          <w:highlight w:val="none"/>
        </w:rPr>
      </w:pPr>
      <w:r>
        <w:rPr>
          <w:rFonts w:hint="eastAsia" w:ascii="宋体" w:cs="宋体"/>
          <w:bCs/>
          <w:color w:val="auto"/>
          <w:sz w:val="21"/>
          <w:szCs w:val="21"/>
          <w:highlight w:val="none"/>
        </w:rPr>
        <w:t>16.1 投标人应参照采购文件中第八章提供的“投标文件格式”填写并装订。</w:t>
      </w:r>
    </w:p>
    <w:p>
      <w:pPr>
        <w:spacing w:line="480" w:lineRule="exact"/>
        <w:ind w:firstLine="420" w:firstLineChars="200"/>
        <w:rPr>
          <w:rFonts w:ascii="宋体" w:cs="宋体"/>
          <w:bCs/>
          <w:color w:val="auto"/>
          <w:sz w:val="21"/>
          <w:szCs w:val="21"/>
          <w:highlight w:val="none"/>
        </w:rPr>
      </w:pPr>
      <w:r>
        <w:rPr>
          <w:rFonts w:hint="eastAsia" w:ascii="宋体" w:cs="宋体"/>
          <w:bCs/>
          <w:color w:val="auto"/>
          <w:sz w:val="21"/>
          <w:szCs w:val="21"/>
          <w:highlight w:val="none"/>
        </w:rPr>
        <w:t>16.2 所有投标文件均在政采云系统上传，包括资格证明文件、技术商务标、价格标。备份的投标文件邮寄给浙江中兰工程项目管理有限公司备用。</w:t>
      </w:r>
    </w:p>
    <w:p>
      <w:pPr>
        <w:spacing w:line="480" w:lineRule="exact"/>
        <w:ind w:firstLine="422" w:firstLineChars="200"/>
        <w:rPr>
          <w:rFonts w:ascii="宋体" w:cs="宋体"/>
          <w:b/>
          <w:color w:val="auto"/>
          <w:sz w:val="21"/>
          <w:szCs w:val="21"/>
          <w:highlight w:val="none"/>
        </w:rPr>
      </w:pPr>
      <w:r>
        <w:rPr>
          <w:rFonts w:hint="eastAsia" w:ascii="宋体" w:cs="宋体"/>
          <w:b/>
          <w:color w:val="auto"/>
          <w:sz w:val="21"/>
          <w:szCs w:val="21"/>
          <w:highlight w:val="none"/>
        </w:rPr>
        <w:t>四、本项目实行电子投标。</w:t>
      </w:r>
    </w:p>
    <w:p>
      <w:pPr>
        <w:spacing w:line="480" w:lineRule="exact"/>
        <w:ind w:firstLine="420" w:firstLineChars="200"/>
        <w:rPr>
          <w:rFonts w:ascii="宋体" w:cs="宋体"/>
          <w:bCs/>
          <w:color w:val="auto"/>
          <w:sz w:val="21"/>
          <w:szCs w:val="21"/>
          <w:highlight w:val="none"/>
        </w:rPr>
      </w:pPr>
      <w:r>
        <w:rPr>
          <w:rFonts w:hint="eastAsia" w:ascii="宋体" w:cs="宋体"/>
          <w:bCs/>
          <w:color w:val="auto"/>
          <w:sz w:val="21"/>
          <w:szCs w:val="21"/>
          <w:highlight w:val="none"/>
        </w:rPr>
        <w:t>17、投标人应准备电子投标文件、以介质存储的数据电文形式的备份投标文件两类：</w:t>
      </w:r>
    </w:p>
    <w:p>
      <w:pPr>
        <w:spacing w:line="480" w:lineRule="exact"/>
        <w:ind w:firstLine="420" w:firstLineChars="200"/>
        <w:rPr>
          <w:rFonts w:ascii="宋体" w:cs="宋体"/>
          <w:color w:val="auto"/>
          <w:sz w:val="21"/>
          <w:szCs w:val="21"/>
          <w:highlight w:val="none"/>
        </w:rPr>
      </w:pPr>
      <w:r>
        <w:rPr>
          <w:rFonts w:hint="eastAsia" w:ascii="宋体" w:cs="宋体"/>
          <w:color w:val="auto"/>
          <w:sz w:val="21"/>
          <w:szCs w:val="21"/>
          <w:highlight w:val="none"/>
        </w:rPr>
        <w:t>17.1电子投标文件，按政采云平台项目采购－电子招投标操作指南及本采购文件要求递交。</w:t>
      </w:r>
    </w:p>
    <w:p>
      <w:pPr>
        <w:spacing w:line="480" w:lineRule="exact"/>
        <w:ind w:firstLine="420" w:firstLineChars="200"/>
        <w:rPr>
          <w:rFonts w:ascii="宋体" w:cs="宋体"/>
          <w:color w:val="auto"/>
          <w:sz w:val="21"/>
          <w:szCs w:val="21"/>
          <w:highlight w:val="none"/>
        </w:rPr>
      </w:pPr>
      <w:r>
        <w:rPr>
          <w:rFonts w:hint="eastAsia" w:ascii="宋体" w:cs="宋体"/>
          <w:color w:val="auto"/>
          <w:sz w:val="21"/>
          <w:szCs w:val="21"/>
          <w:highlight w:val="none"/>
        </w:rPr>
        <w:t>17.2以介质存储的数据电文形式的备份投标文件，按政采云平台项目采购－电子招投标操作指南中上传的电子投标文件格式，以介质是U盘或DVD光盘存储形式提供。数量为1份。</w:t>
      </w:r>
    </w:p>
    <w:p>
      <w:pPr>
        <w:spacing w:line="480" w:lineRule="exact"/>
        <w:ind w:firstLine="420" w:firstLineChars="200"/>
        <w:rPr>
          <w:rFonts w:ascii="宋体" w:cs="宋体"/>
          <w:color w:val="auto"/>
          <w:sz w:val="21"/>
          <w:szCs w:val="21"/>
          <w:highlight w:val="none"/>
        </w:rPr>
      </w:pPr>
      <w:r>
        <w:rPr>
          <w:rFonts w:hint="eastAsia" w:ascii="宋体" w:cs="宋体"/>
          <w:color w:val="auto"/>
          <w:sz w:val="21"/>
          <w:szCs w:val="21"/>
          <w:highlight w:val="none"/>
        </w:rPr>
        <w:t>17.3投标文件启用顺序和效力。投标文件的启用，按先后顺位分别为电子投标文件、以介质存储的数据电文形式的备份投标文件。顺位在先的投标文件已按时解密的，备份投标文件自动失效。在下一顺位的投标文件启用时，前一顺位的投标文件自动失效。</w:t>
      </w:r>
    </w:p>
    <w:p>
      <w:pPr>
        <w:spacing w:line="480" w:lineRule="exact"/>
        <w:ind w:firstLine="422" w:firstLineChars="200"/>
        <w:rPr>
          <w:rFonts w:ascii="宋体" w:cs="宋体"/>
          <w:b/>
          <w:bCs/>
          <w:color w:val="auto"/>
          <w:sz w:val="21"/>
          <w:szCs w:val="21"/>
          <w:highlight w:val="none"/>
        </w:rPr>
      </w:pPr>
      <w:r>
        <w:rPr>
          <w:rFonts w:hint="eastAsia" w:ascii="宋体" w:cs="宋体"/>
          <w:b/>
          <w:bCs/>
          <w:color w:val="auto"/>
          <w:sz w:val="21"/>
          <w:szCs w:val="21"/>
          <w:highlight w:val="none"/>
        </w:rPr>
        <w:t>★未传输递交电子投标文件的，投标无效。未按规定提供相应的备份投标文件，造成项目开评标活动无法进行下去的，投标无效。</w:t>
      </w:r>
    </w:p>
    <w:p>
      <w:pPr>
        <w:spacing w:line="480" w:lineRule="exact"/>
        <w:ind w:firstLine="422" w:firstLineChars="200"/>
        <w:rPr>
          <w:rFonts w:ascii="宋体" w:cs="宋体"/>
          <w:b/>
          <w:color w:val="auto"/>
          <w:sz w:val="21"/>
          <w:szCs w:val="21"/>
          <w:highlight w:val="none"/>
        </w:rPr>
      </w:pPr>
      <w:r>
        <w:rPr>
          <w:rFonts w:hint="eastAsia" w:ascii="宋体" w:cs="宋体"/>
          <w:b/>
          <w:color w:val="auto"/>
          <w:sz w:val="21"/>
          <w:szCs w:val="21"/>
          <w:highlight w:val="none"/>
        </w:rPr>
        <w:t>18“电子加密投标文件”的上传、递交：</w:t>
      </w:r>
    </w:p>
    <w:p>
      <w:pPr>
        <w:spacing w:line="480" w:lineRule="exact"/>
        <w:ind w:firstLine="420" w:firstLineChars="200"/>
        <w:rPr>
          <w:rFonts w:ascii="宋体" w:cs="宋体"/>
          <w:color w:val="auto"/>
          <w:sz w:val="21"/>
          <w:szCs w:val="21"/>
          <w:highlight w:val="none"/>
        </w:rPr>
      </w:pPr>
      <w:r>
        <w:rPr>
          <w:rFonts w:hint="eastAsia" w:ascii="宋体" w:cs="宋体"/>
          <w:color w:val="auto"/>
          <w:sz w:val="21"/>
          <w:szCs w:val="21"/>
          <w:highlight w:val="none"/>
        </w:rPr>
        <w:t>18.1投标人应在投标截止时间前将“电子加密投标文件”成功上传递交至“政府采购云平台”，否则投标无效。</w:t>
      </w:r>
    </w:p>
    <w:p>
      <w:pPr>
        <w:spacing w:line="480" w:lineRule="exact"/>
        <w:ind w:firstLine="420" w:firstLineChars="200"/>
        <w:rPr>
          <w:rFonts w:ascii="宋体" w:cs="宋体"/>
          <w:color w:val="auto"/>
          <w:sz w:val="21"/>
          <w:szCs w:val="21"/>
          <w:highlight w:val="none"/>
        </w:rPr>
      </w:pPr>
      <w:r>
        <w:rPr>
          <w:rFonts w:hint="eastAsia" w:ascii="宋体" w:cs="宋体"/>
          <w:color w:val="auto"/>
          <w:sz w:val="21"/>
          <w:szCs w:val="21"/>
          <w:highlight w:val="none"/>
        </w:rPr>
        <w:t>18.2“电子加密投标文件”成功上传递交后，投标人可自行打印投标文件接收回执。</w:t>
      </w:r>
    </w:p>
    <w:p>
      <w:pPr>
        <w:spacing w:line="480" w:lineRule="exact"/>
        <w:ind w:firstLine="422" w:firstLineChars="200"/>
        <w:rPr>
          <w:rFonts w:ascii="宋体" w:cs="宋体"/>
          <w:b/>
          <w:color w:val="auto"/>
          <w:sz w:val="21"/>
          <w:szCs w:val="21"/>
          <w:highlight w:val="none"/>
        </w:rPr>
      </w:pPr>
      <w:r>
        <w:rPr>
          <w:rFonts w:hint="eastAsia" w:ascii="宋体" w:cs="宋体"/>
          <w:b/>
          <w:color w:val="auto"/>
          <w:sz w:val="21"/>
          <w:szCs w:val="21"/>
          <w:highlight w:val="none"/>
        </w:rPr>
        <w:t>19、“备份投标文件”的密封包装、递交：</w:t>
      </w:r>
    </w:p>
    <w:p>
      <w:pPr>
        <w:spacing w:line="480" w:lineRule="exact"/>
        <w:ind w:firstLine="420" w:firstLineChars="200"/>
        <w:rPr>
          <w:rFonts w:ascii="宋体" w:cs="宋体"/>
          <w:color w:val="auto"/>
          <w:sz w:val="21"/>
          <w:szCs w:val="21"/>
          <w:highlight w:val="none"/>
        </w:rPr>
      </w:pPr>
      <w:r>
        <w:rPr>
          <w:rFonts w:hint="eastAsia" w:ascii="宋体" w:cs="宋体"/>
          <w:color w:val="auto"/>
          <w:sz w:val="21"/>
          <w:szCs w:val="21"/>
          <w:highlight w:val="none"/>
        </w:rPr>
        <w:t>19.1投标人在“政府采购云平台”完成“电子加密投标文件”的上传递交后，还可以（邮寄形式或直接送达）在投标截止时间前递交以介质是U盘或DVD光盘存储的 “备份投标文件”（一份）；</w:t>
      </w:r>
    </w:p>
    <w:p>
      <w:pPr>
        <w:spacing w:line="480" w:lineRule="exact"/>
        <w:ind w:firstLine="420" w:firstLineChars="200"/>
        <w:rPr>
          <w:rFonts w:ascii="宋体" w:cs="宋体"/>
          <w:color w:val="auto"/>
          <w:sz w:val="21"/>
          <w:szCs w:val="21"/>
          <w:highlight w:val="none"/>
        </w:rPr>
      </w:pPr>
      <w:r>
        <w:rPr>
          <w:rFonts w:hint="eastAsia" w:ascii="宋体" w:cs="宋体"/>
          <w:color w:val="auto"/>
          <w:sz w:val="21"/>
          <w:szCs w:val="21"/>
          <w:highlight w:val="none"/>
        </w:rPr>
        <w:t>19.2“备份投标文件”应当密封包装，并在包装上标注投标项目名称、投标人名称并加盖公章。没有密封包装或者逾期邮寄送达至投标地点的“备份投标文件”将不予接收；</w:t>
      </w:r>
    </w:p>
    <w:p>
      <w:pPr>
        <w:spacing w:line="480" w:lineRule="exact"/>
        <w:ind w:firstLine="420" w:firstLineChars="200"/>
        <w:rPr>
          <w:rFonts w:ascii="宋体" w:cs="宋体"/>
          <w:color w:val="auto"/>
          <w:sz w:val="21"/>
          <w:szCs w:val="21"/>
          <w:highlight w:val="none"/>
        </w:rPr>
      </w:pPr>
      <w:r>
        <w:rPr>
          <w:rFonts w:hint="eastAsia" w:ascii="宋体" w:cs="宋体"/>
          <w:color w:val="auto"/>
          <w:sz w:val="21"/>
          <w:szCs w:val="21"/>
          <w:highlight w:val="none"/>
        </w:rPr>
        <w:t xml:space="preserve">19.3通过“政府采购云平台”成功上传递交的“电子加密投标文件”已按时解密的，“备份投标文件”自动失效。投标截止时间前，投标人仅递交了“备份投标文件”而未将“电子加密投标文件”成功上传至“政府采购云平台”的，投标无效。  </w:t>
      </w:r>
    </w:p>
    <w:p>
      <w:pPr>
        <w:spacing w:line="480" w:lineRule="exact"/>
        <w:ind w:firstLine="422" w:firstLineChars="200"/>
        <w:outlineLvl w:val="1"/>
        <w:rPr>
          <w:rFonts w:ascii="宋体" w:cs="宋体"/>
          <w:b/>
          <w:bCs/>
          <w:color w:val="auto"/>
          <w:sz w:val="21"/>
          <w:szCs w:val="21"/>
          <w:highlight w:val="none"/>
        </w:rPr>
      </w:pPr>
      <w:r>
        <w:rPr>
          <w:rFonts w:hint="eastAsia" w:ascii="宋体" w:cs="宋体"/>
          <w:b/>
          <w:bCs/>
          <w:color w:val="auto"/>
          <w:sz w:val="21"/>
          <w:szCs w:val="21"/>
          <w:highlight w:val="none"/>
        </w:rPr>
        <w:t>20、投标文件的密封和标记</w:t>
      </w:r>
    </w:p>
    <w:p>
      <w:pPr>
        <w:spacing w:line="480" w:lineRule="exact"/>
        <w:ind w:firstLine="420" w:firstLineChars="200"/>
        <w:outlineLvl w:val="1"/>
        <w:rPr>
          <w:rFonts w:ascii="宋体" w:cs="宋体"/>
          <w:color w:val="auto"/>
          <w:sz w:val="21"/>
          <w:szCs w:val="21"/>
          <w:highlight w:val="none"/>
        </w:rPr>
      </w:pPr>
      <w:r>
        <w:rPr>
          <w:rFonts w:hint="eastAsia" w:ascii="宋体" w:cs="宋体"/>
          <w:color w:val="auto"/>
          <w:sz w:val="21"/>
          <w:szCs w:val="21"/>
          <w:highlight w:val="none"/>
        </w:rPr>
        <w:t>20.1投标人线上制作的投标文件，采用 CA 数字证书进行电子签章及加密。</w:t>
      </w:r>
    </w:p>
    <w:p>
      <w:pPr>
        <w:spacing w:line="480" w:lineRule="exact"/>
        <w:ind w:firstLine="420" w:firstLineChars="200"/>
        <w:outlineLvl w:val="1"/>
        <w:rPr>
          <w:rFonts w:ascii="宋体" w:cs="宋体"/>
          <w:color w:val="auto"/>
          <w:sz w:val="21"/>
          <w:szCs w:val="21"/>
          <w:highlight w:val="none"/>
        </w:rPr>
      </w:pPr>
      <w:r>
        <w:rPr>
          <w:rFonts w:hint="eastAsia" w:ascii="宋体" w:cs="宋体"/>
          <w:color w:val="auto"/>
          <w:sz w:val="21"/>
          <w:szCs w:val="21"/>
          <w:highlight w:val="none"/>
        </w:rPr>
        <w:t>20.2投标人邮寄及现场递交的备份电子投标文件应密封封装，注明投标人名称、项目名称、项目编号等，</w:t>
      </w:r>
      <w:r>
        <w:rPr>
          <w:rFonts w:hint="eastAsia" w:ascii="宋体" w:cs="宋体"/>
          <w:color w:val="auto"/>
          <w:sz w:val="21"/>
          <w:szCs w:val="21"/>
          <w:highlight w:val="none"/>
          <w:lang w:eastAsia="zh-CN"/>
        </w:rPr>
        <w:t>并在</w:t>
      </w:r>
      <w:r>
        <w:rPr>
          <w:rFonts w:hint="eastAsia" w:ascii="宋体" w:cs="宋体"/>
          <w:color w:val="auto"/>
          <w:sz w:val="21"/>
          <w:szCs w:val="21"/>
          <w:highlight w:val="none"/>
        </w:rPr>
        <w:t>封口处加盖公章。</w:t>
      </w:r>
    </w:p>
    <w:p>
      <w:pPr>
        <w:spacing w:line="480" w:lineRule="exact"/>
        <w:ind w:firstLine="422" w:firstLineChars="200"/>
        <w:outlineLvl w:val="1"/>
        <w:rPr>
          <w:rFonts w:ascii="宋体" w:cs="宋体"/>
          <w:b/>
          <w:bCs/>
          <w:color w:val="auto"/>
          <w:sz w:val="21"/>
          <w:szCs w:val="21"/>
          <w:highlight w:val="none"/>
        </w:rPr>
      </w:pPr>
      <w:r>
        <w:rPr>
          <w:rFonts w:hint="eastAsia" w:ascii="宋体" w:cs="宋体"/>
          <w:b/>
          <w:bCs/>
          <w:color w:val="auto"/>
          <w:sz w:val="21"/>
          <w:szCs w:val="21"/>
          <w:highlight w:val="none"/>
        </w:rPr>
        <w:t>21、投标地点和时间</w:t>
      </w:r>
    </w:p>
    <w:p>
      <w:pPr>
        <w:snapToGrid w:val="0"/>
        <w:spacing w:line="480" w:lineRule="exact"/>
        <w:ind w:firstLine="420" w:firstLineChars="200"/>
        <w:outlineLvl w:val="1"/>
        <w:rPr>
          <w:rFonts w:ascii="宋体" w:cs="宋体"/>
          <w:b/>
          <w:bCs/>
          <w:color w:val="auto"/>
          <w:sz w:val="21"/>
          <w:szCs w:val="21"/>
          <w:highlight w:val="none"/>
        </w:rPr>
      </w:pPr>
      <w:r>
        <w:rPr>
          <w:rFonts w:hint="eastAsia" w:ascii="宋体" w:cs="宋体"/>
          <w:color w:val="auto"/>
          <w:sz w:val="21"/>
          <w:szCs w:val="21"/>
          <w:highlight w:val="none"/>
        </w:rPr>
        <w:t>21.1投标地点：</w:t>
      </w:r>
      <w:r>
        <w:rPr>
          <w:rFonts w:hint="eastAsia" w:ascii="宋体" w:cs="宋体"/>
          <w:b/>
          <w:bCs/>
          <w:color w:val="auto"/>
          <w:sz w:val="21"/>
          <w:szCs w:val="21"/>
          <w:highlight w:val="none"/>
          <w:u w:val="single"/>
        </w:rPr>
        <w:t xml:space="preserve">政府采购云平台（https://www.zcygov.cn/）在线投标 </w:t>
      </w:r>
      <w:r>
        <w:rPr>
          <w:rFonts w:hint="eastAsia" w:ascii="宋体" w:cs="宋体"/>
          <w:b/>
          <w:bCs/>
          <w:color w:val="auto"/>
          <w:sz w:val="21"/>
          <w:szCs w:val="21"/>
          <w:highlight w:val="none"/>
        </w:rPr>
        <w:t>。</w:t>
      </w:r>
    </w:p>
    <w:p>
      <w:pPr>
        <w:snapToGrid w:val="0"/>
        <w:spacing w:line="480" w:lineRule="exact"/>
        <w:ind w:firstLine="420" w:firstLineChars="200"/>
        <w:outlineLvl w:val="1"/>
        <w:rPr>
          <w:rFonts w:ascii="宋体" w:cs="宋体"/>
          <w:color w:val="auto"/>
          <w:sz w:val="21"/>
          <w:szCs w:val="21"/>
          <w:highlight w:val="none"/>
        </w:rPr>
      </w:pPr>
      <w:r>
        <w:rPr>
          <w:rFonts w:hint="eastAsia" w:ascii="宋体" w:cs="宋体"/>
          <w:color w:val="auto"/>
          <w:sz w:val="21"/>
          <w:szCs w:val="21"/>
          <w:highlight w:val="none"/>
        </w:rPr>
        <w:t>21.2 投标截止时间：</w:t>
      </w:r>
      <w:r>
        <w:rPr>
          <w:rFonts w:hint="eastAsia" w:ascii="宋体" w:cs="宋体"/>
          <w:color w:val="auto"/>
          <w:sz w:val="21"/>
          <w:szCs w:val="21"/>
          <w:highlight w:val="none"/>
          <w:lang w:eastAsia="zh-CN"/>
        </w:rPr>
        <w:t>2024年</w:t>
      </w:r>
      <w:r>
        <w:rPr>
          <w:rFonts w:hint="eastAsia" w:ascii="宋体" w:cs="宋体"/>
          <w:color w:val="auto"/>
          <w:sz w:val="21"/>
          <w:szCs w:val="21"/>
          <w:highlight w:val="none"/>
          <w:lang w:val="en-US" w:eastAsia="zh-CN"/>
        </w:rPr>
        <w:t>11</w:t>
      </w:r>
      <w:r>
        <w:rPr>
          <w:rFonts w:hint="eastAsia" w:ascii="宋体" w:cs="宋体"/>
          <w:color w:val="auto"/>
          <w:sz w:val="21"/>
          <w:szCs w:val="21"/>
          <w:highlight w:val="none"/>
          <w:lang w:eastAsia="zh-CN"/>
        </w:rPr>
        <w:t>月</w:t>
      </w:r>
      <w:r>
        <w:rPr>
          <w:rFonts w:hint="eastAsia" w:ascii="宋体" w:cs="宋体"/>
          <w:color w:val="auto"/>
          <w:sz w:val="21"/>
          <w:szCs w:val="21"/>
          <w:highlight w:val="none"/>
          <w:lang w:val="en-US" w:eastAsia="zh-CN"/>
        </w:rPr>
        <w:t>27</w:t>
      </w:r>
      <w:r>
        <w:rPr>
          <w:rFonts w:hint="eastAsia" w:ascii="宋体" w:cs="宋体"/>
          <w:color w:val="auto"/>
          <w:sz w:val="21"/>
          <w:szCs w:val="21"/>
          <w:highlight w:val="none"/>
          <w:lang w:eastAsia="zh-CN"/>
        </w:rPr>
        <w:t>日09:30</w:t>
      </w:r>
      <w:r>
        <w:rPr>
          <w:rFonts w:hint="eastAsia" w:ascii="宋体" w:cs="宋体"/>
          <w:color w:val="auto"/>
          <w:sz w:val="21"/>
          <w:szCs w:val="21"/>
          <w:highlight w:val="none"/>
        </w:rPr>
        <w:t>。</w:t>
      </w:r>
    </w:p>
    <w:p>
      <w:pPr>
        <w:spacing w:line="480" w:lineRule="exact"/>
        <w:ind w:firstLine="420" w:firstLineChars="200"/>
        <w:outlineLvl w:val="1"/>
        <w:rPr>
          <w:rFonts w:ascii="宋体" w:cs="宋体"/>
          <w:color w:val="auto"/>
          <w:sz w:val="21"/>
          <w:szCs w:val="21"/>
          <w:highlight w:val="none"/>
        </w:rPr>
      </w:pPr>
      <w:r>
        <w:rPr>
          <w:rFonts w:hint="eastAsia" w:ascii="宋体" w:cs="宋体"/>
          <w:color w:val="auto"/>
          <w:sz w:val="21"/>
          <w:szCs w:val="21"/>
          <w:highlight w:val="none"/>
        </w:rPr>
        <w:t>21.3投标截止前，允许投标人补充、修改或者撤回电子投标文件。补充或者修改电子投标文件的，应当先行撤回原文件，补充、修改后重新传输递交。投标截止时间前未完成传输的，视为撤回投标文件。投标、响应截止时间后送达的投标文件，将被政采云平台拒收。</w:t>
      </w:r>
    </w:p>
    <w:p>
      <w:pPr>
        <w:snapToGrid w:val="0"/>
        <w:spacing w:line="480" w:lineRule="exact"/>
        <w:ind w:firstLine="422" w:firstLineChars="200"/>
        <w:jc w:val="left"/>
        <w:outlineLvl w:val="1"/>
        <w:rPr>
          <w:rFonts w:ascii="宋体" w:cs="宋体"/>
          <w:b/>
          <w:color w:val="auto"/>
          <w:sz w:val="21"/>
          <w:szCs w:val="21"/>
          <w:highlight w:val="none"/>
        </w:rPr>
      </w:pPr>
      <w:r>
        <w:rPr>
          <w:rFonts w:hint="eastAsia" w:ascii="宋体" w:cs="宋体"/>
          <w:b/>
          <w:bCs/>
          <w:color w:val="auto"/>
          <w:sz w:val="21"/>
          <w:szCs w:val="21"/>
          <w:highlight w:val="none"/>
        </w:rPr>
        <w:t>★五、联合体投标</w:t>
      </w:r>
    </w:p>
    <w:p>
      <w:pPr>
        <w:snapToGrid w:val="0"/>
        <w:spacing w:line="480" w:lineRule="exact"/>
        <w:ind w:firstLine="422" w:firstLineChars="200"/>
        <w:jc w:val="left"/>
        <w:outlineLvl w:val="1"/>
        <w:rPr>
          <w:rFonts w:ascii="宋体" w:cs="宋体"/>
          <w:b/>
          <w:color w:val="auto"/>
          <w:sz w:val="21"/>
          <w:szCs w:val="21"/>
          <w:highlight w:val="none"/>
        </w:rPr>
      </w:pPr>
      <w:r>
        <w:rPr>
          <w:rFonts w:hint="eastAsia" w:ascii="宋体" w:cs="宋体"/>
          <w:b/>
          <w:color w:val="auto"/>
          <w:sz w:val="21"/>
          <w:szCs w:val="21"/>
          <w:highlight w:val="none"/>
        </w:rPr>
        <w:t>22.本项目不接受联合体投标。</w:t>
      </w:r>
    </w:p>
    <w:p>
      <w:pPr>
        <w:snapToGrid w:val="0"/>
        <w:spacing w:line="480" w:lineRule="exact"/>
        <w:ind w:firstLine="422" w:firstLineChars="200"/>
        <w:jc w:val="left"/>
        <w:outlineLvl w:val="1"/>
        <w:rPr>
          <w:rFonts w:ascii="宋体" w:cs="宋体"/>
          <w:b/>
          <w:bCs/>
          <w:color w:val="auto"/>
          <w:sz w:val="21"/>
          <w:szCs w:val="21"/>
          <w:highlight w:val="none"/>
        </w:rPr>
      </w:pPr>
      <w:r>
        <w:rPr>
          <w:rFonts w:hint="eastAsia" w:ascii="宋体" w:cs="宋体"/>
          <w:b/>
          <w:bCs/>
          <w:color w:val="auto"/>
          <w:sz w:val="21"/>
          <w:szCs w:val="21"/>
          <w:highlight w:val="none"/>
        </w:rPr>
        <w:t>六、关联企业投标</w:t>
      </w:r>
    </w:p>
    <w:p>
      <w:pPr>
        <w:snapToGrid w:val="0"/>
        <w:spacing w:line="480" w:lineRule="exact"/>
        <w:ind w:firstLine="420" w:firstLineChars="200"/>
        <w:outlineLvl w:val="1"/>
        <w:rPr>
          <w:rFonts w:ascii="宋体" w:cs="宋体"/>
          <w:color w:val="auto"/>
          <w:sz w:val="21"/>
          <w:szCs w:val="21"/>
          <w:highlight w:val="none"/>
        </w:rPr>
      </w:pPr>
      <w:r>
        <w:rPr>
          <w:rFonts w:hint="eastAsia" w:ascii="宋体" w:cs="宋体"/>
          <w:color w:val="auto"/>
          <w:sz w:val="21"/>
          <w:szCs w:val="21"/>
          <w:highlight w:val="none"/>
        </w:rPr>
        <w:t>23.1本采购文件所称关联企业，是指存在关联关系的企业；“关联关系”的界定适用《中华人民共和国公司法</w:t>
      </w:r>
      <w:r>
        <w:rPr>
          <w:rFonts w:hint="eastAsia" w:ascii="宋体" w:cs="宋体"/>
          <w:color w:val="auto"/>
          <w:sz w:val="21"/>
          <w:szCs w:val="21"/>
          <w:highlight w:val="none"/>
          <w:lang w:eastAsia="zh-CN"/>
        </w:rPr>
        <w:t>》第二百一十六条</w:t>
      </w:r>
      <w:r>
        <w:rPr>
          <w:rFonts w:hint="eastAsia" w:ascii="宋体" w:cs="宋体"/>
          <w:color w:val="auto"/>
          <w:sz w:val="21"/>
          <w:szCs w:val="21"/>
          <w:highlight w:val="none"/>
        </w:rPr>
        <w:t>之规定。</w:t>
      </w:r>
    </w:p>
    <w:p>
      <w:pPr>
        <w:snapToGrid w:val="0"/>
        <w:spacing w:line="480" w:lineRule="exact"/>
        <w:ind w:firstLine="420" w:firstLineChars="200"/>
        <w:outlineLvl w:val="1"/>
        <w:rPr>
          <w:rFonts w:ascii="宋体" w:cs="宋体"/>
          <w:color w:val="auto"/>
          <w:sz w:val="21"/>
          <w:szCs w:val="21"/>
          <w:highlight w:val="none"/>
        </w:rPr>
      </w:pPr>
      <w:r>
        <w:rPr>
          <w:rFonts w:hint="eastAsia" w:ascii="宋体" w:cs="宋体"/>
          <w:color w:val="auto"/>
          <w:sz w:val="21"/>
          <w:szCs w:val="21"/>
          <w:highlight w:val="none"/>
        </w:rPr>
        <w:t>★23.2关联企业中，同一个法定代表人的两个及两个以上法定代表人，母公司、全资子公司及其控股公司，都不得同时投标；一经发现，将导致投标同时被拒绝。</w:t>
      </w:r>
    </w:p>
    <w:p>
      <w:pPr>
        <w:snapToGrid w:val="0"/>
        <w:spacing w:line="480" w:lineRule="exact"/>
        <w:ind w:firstLine="420" w:firstLineChars="200"/>
        <w:outlineLvl w:val="1"/>
        <w:rPr>
          <w:rFonts w:ascii="宋体" w:cs="宋体"/>
          <w:color w:val="auto"/>
          <w:sz w:val="21"/>
          <w:szCs w:val="21"/>
          <w:highlight w:val="none"/>
        </w:rPr>
      </w:pPr>
      <w:r>
        <w:rPr>
          <w:rFonts w:hint="eastAsia" w:ascii="宋体" w:cs="宋体"/>
          <w:color w:val="auto"/>
          <w:sz w:val="21"/>
          <w:szCs w:val="21"/>
          <w:highlight w:val="none"/>
        </w:rPr>
        <w:t>根据中华人民共和国财政部令第 87 号文件第三十一条规定，使用综合评分法的采购项目，提供相同品牌产品（或同品牌核心产品）且通过资格审查、符合性审查的不同投标人参加同一合同项下投标的，按一家投标人计算，评审后得分最高的同品牌（或同品牌核心产品）投标人获得中标人推荐资格；评审得分相同的，由采购人或者招标人委托评标委员会按照采购文件规定的方式确定一个投标人获得中标人推荐资格，采购文件未规定的采取随机抽取方式确定，其他同品牌（核心产品）投标人不作为中标候选人。本项目将按随机抽取方式确定一个投标获得中标人推荐资格。</w:t>
      </w:r>
    </w:p>
    <w:p>
      <w:pPr>
        <w:snapToGrid w:val="0"/>
        <w:spacing w:line="480" w:lineRule="exact"/>
        <w:ind w:firstLine="420" w:firstLineChars="200"/>
        <w:outlineLvl w:val="1"/>
        <w:rPr>
          <w:rFonts w:ascii="宋体" w:cs="宋体"/>
          <w:color w:val="auto"/>
          <w:sz w:val="21"/>
          <w:szCs w:val="21"/>
          <w:highlight w:val="none"/>
        </w:rPr>
      </w:pPr>
      <w:r>
        <w:rPr>
          <w:rFonts w:hint="eastAsia" w:ascii="宋体" w:cs="宋体"/>
          <w:color w:val="auto"/>
          <w:sz w:val="21"/>
          <w:szCs w:val="21"/>
          <w:highlight w:val="none"/>
        </w:rPr>
        <w:t>23.3除23.2所述情形之外的关联企业允许同时投标。</w:t>
      </w:r>
    </w:p>
    <w:p>
      <w:pPr>
        <w:snapToGrid w:val="0"/>
        <w:spacing w:line="480" w:lineRule="exact"/>
        <w:ind w:firstLine="420" w:firstLineChars="200"/>
        <w:outlineLvl w:val="1"/>
        <w:rPr>
          <w:rFonts w:ascii="宋体" w:cs="宋体"/>
          <w:color w:val="auto"/>
          <w:sz w:val="21"/>
          <w:szCs w:val="21"/>
          <w:highlight w:val="none"/>
        </w:rPr>
      </w:pPr>
      <w:r>
        <w:rPr>
          <w:rFonts w:hint="eastAsia" w:ascii="宋体" w:cs="宋体"/>
          <w:color w:val="auto"/>
          <w:sz w:val="21"/>
          <w:szCs w:val="21"/>
          <w:highlight w:val="none"/>
        </w:rPr>
        <w:t>23.4多家代理商或经销商参加投标，如其中两家或两家以上投标人存在分级代理或代销关系，且提供的是其所代理品牌的产品的，比照本条第2项处理。</w:t>
      </w:r>
    </w:p>
    <w:p>
      <w:pPr>
        <w:snapToGrid w:val="0"/>
        <w:spacing w:line="480" w:lineRule="exact"/>
        <w:ind w:firstLine="422" w:firstLineChars="200"/>
        <w:outlineLvl w:val="1"/>
        <w:rPr>
          <w:rFonts w:ascii="宋体" w:cs="宋体"/>
          <w:b/>
          <w:bCs/>
          <w:color w:val="auto"/>
          <w:sz w:val="21"/>
          <w:szCs w:val="21"/>
          <w:highlight w:val="none"/>
        </w:rPr>
      </w:pPr>
      <w:r>
        <w:rPr>
          <w:rFonts w:hint="eastAsia" w:ascii="宋体" w:cs="宋体"/>
          <w:b/>
          <w:bCs/>
          <w:color w:val="auto"/>
          <w:sz w:val="21"/>
          <w:szCs w:val="21"/>
          <w:highlight w:val="none"/>
        </w:rPr>
        <w:t>七、转包与分包</w:t>
      </w:r>
    </w:p>
    <w:p>
      <w:pPr>
        <w:snapToGrid w:val="0"/>
        <w:spacing w:line="480" w:lineRule="exact"/>
        <w:ind w:firstLine="420" w:firstLineChars="200"/>
        <w:outlineLvl w:val="1"/>
        <w:rPr>
          <w:rFonts w:ascii="宋体" w:cs="宋体"/>
          <w:color w:val="auto"/>
          <w:sz w:val="21"/>
          <w:szCs w:val="21"/>
          <w:highlight w:val="none"/>
        </w:rPr>
      </w:pPr>
      <w:r>
        <w:rPr>
          <w:rFonts w:hint="eastAsia" w:ascii="宋体" w:cs="宋体"/>
          <w:color w:val="auto"/>
          <w:sz w:val="21"/>
          <w:szCs w:val="21"/>
          <w:highlight w:val="none"/>
        </w:rPr>
        <w:t>24.1本项目不允许转包。</w:t>
      </w:r>
    </w:p>
    <w:p>
      <w:pPr>
        <w:snapToGrid w:val="0"/>
        <w:spacing w:line="480" w:lineRule="exact"/>
        <w:ind w:firstLine="420" w:firstLineChars="200"/>
        <w:outlineLvl w:val="1"/>
        <w:rPr>
          <w:rFonts w:ascii="宋体" w:cs="宋体"/>
          <w:color w:val="auto"/>
          <w:sz w:val="21"/>
          <w:szCs w:val="21"/>
          <w:highlight w:val="none"/>
        </w:rPr>
      </w:pPr>
      <w:r>
        <w:rPr>
          <w:rFonts w:hint="eastAsia" w:ascii="宋体" w:cs="宋体"/>
          <w:color w:val="auto"/>
          <w:sz w:val="21"/>
          <w:szCs w:val="21"/>
          <w:highlight w:val="none"/>
        </w:rPr>
        <w:t>24.2本项目允许分包。</w:t>
      </w:r>
    </w:p>
    <w:p>
      <w:pPr>
        <w:snapToGrid w:val="0"/>
        <w:spacing w:line="480" w:lineRule="exact"/>
        <w:ind w:firstLine="422" w:firstLineChars="200"/>
        <w:jc w:val="left"/>
        <w:outlineLvl w:val="1"/>
        <w:rPr>
          <w:rFonts w:ascii="宋体" w:cs="宋体"/>
          <w:b/>
          <w:bCs/>
          <w:color w:val="auto"/>
          <w:sz w:val="21"/>
          <w:szCs w:val="21"/>
          <w:highlight w:val="none"/>
        </w:rPr>
      </w:pPr>
      <w:r>
        <w:rPr>
          <w:rFonts w:hint="eastAsia" w:ascii="宋体" w:cs="宋体"/>
          <w:b/>
          <w:bCs/>
          <w:color w:val="auto"/>
          <w:sz w:val="21"/>
          <w:szCs w:val="21"/>
          <w:highlight w:val="none"/>
        </w:rPr>
        <w:t>八、特别说明：</w:t>
      </w:r>
    </w:p>
    <w:p>
      <w:pPr>
        <w:snapToGrid w:val="0"/>
        <w:spacing w:line="480" w:lineRule="exact"/>
        <w:ind w:firstLine="422" w:firstLineChars="200"/>
        <w:jc w:val="left"/>
        <w:rPr>
          <w:rFonts w:ascii="宋体" w:cs="宋体"/>
          <w:b/>
          <w:bCs/>
          <w:color w:val="auto"/>
          <w:sz w:val="21"/>
          <w:szCs w:val="21"/>
          <w:highlight w:val="none"/>
        </w:rPr>
      </w:pPr>
      <w:r>
        <w:rPr>
          <w:rFonts w:hint="eastAsia" w:ascii="宋体" w:cs="宋体"/>
          <w:b/>
          <w:bCs/>
          <w:color w:val="auto"/>
          <w:sz w:val="21"/>
          <w:szCs w:val="21"/>
          <w:highlight w:val="none"/>
        </w:rPr>
        <w:t>★</w:t>
      </w:r>
      <w:r>
        <w:rPr>
          <w:rFonts w:hint="eastAsia" w:ascii="宋体" w:cs="宋体"/>
          <w:color w:val="auto"/>
          <w:sz w:val="21"/>
          <w:szCs w:val="21"/>
          <w:highlight w:val="none"/>
        </w:rPr>
        <w:t>25.1直接或者间接受采购人控制的当事人，或者与采购人受共同上级控制的当事人，为本次采购进行设计或编制规范和其他文件的当事人，或者直接或间接地与为本次采购进行设计或编制规范、其他文件的个人、企业、招标人或其附属机构有关联关系的当事人，不得参加本项目投标。</w:t>
      </w:r>
    </w:p>
    <w:p>
      <w:pPr>
        <w:snapToGrid w:val="0"/>
        <w:spacing w:line="480" w:lineRule="exact"/>
        <w:ind w:firstLine="422" w:firstLineChars="200"/>
        <w:outlineLvl w:val="1"/>
        <w:rPr>
          <w:rFonts w:ascii="宋体" w:cs="宋体"/>
          <w:color w:val="auto"/>
          <w:sz w:val="21"/>
          <w:szCs w:val="21"/>
          <w:highlight w:val="none"/>
        </w:rPr>
      </w:pPr>
      <w:r>
        <w:rPr>
          <w:rFonts w:hint="eastAsia" w:ascii="宋体" w:cs="宋体"/>
          <w:b/>
          <w:color w:val="auto"/>
          <w:sz w:val="21"/>
          <w:szCs w:val="21"/>
          <w:highlight w:val="none"/>
        </w:rPr>
        <w:t>★</w:t>
      </w:r>
      <w:r>
        <w:rPr>
          <w:rFonts w:hint="eastAsia" w:ascii="宋体" w:cs="宋体"/>
          <w:color w:val="auto"/>
          <w:sz w:val="21"/>
          <w:szCs w:val="21"/>
          <w:highlight w:val="none"/>
        </w:rPr>
        <w:t>25.2投标人投标所使用的资格、信誉、荣誉、业绩与企业认证必须为本法定代表人所拥有。投标人投标所使用的采购项目实施人员可以为其控股公司的工作人员。</w:t>
      </w:r>
    </w:p>
    <w:p>
      <w:pPr>
        <w:snapToGrid w:val="0"/>
        <w:spacing w:line="480" w:lineRule="exact"/>
        <w:ind w:firstLine="422" w:firstLineChars="200"/>
        <w:outlineLvl w:val="1"/>
        <w:rPr>
          <w:rFonts w:ascii="宋体" w:cs="宋体"/>
          <w:color w:val="auto"/>
          <w:sz w:val="21"/>
          <w:szCs w:val="21"/>
          <w:highlight w:val="none"/>
        </w:rPr>
      </w:pPr>
      <w:r>
        <w:rPr>
          <w:rFonts w:hint="eastAsia" w:ascii="宋体" w:cs="宋体"/>
          <w:b/>
          <w:color w:val="auto"/>
          <w:sz w:val="21"/>
          <w:szCs w:val="21"/>
          <w:highlight w:val="none"/>
        </w:rPr>
        <w:t>★</w:t>
      </w:r>
      <w:r>
        <w:rPr>
          <w:rFonts w:hint="eastAsia" w:ascii="宋体" w:cs="宋体"/>
          <w:color w:val="auto"/>
          <w:sz w:val="21"/>
          <w:szCs w:val="21"/>
          <w:highlight w:val="none"/>
        </w:rPr>
        <w:t>25.3投标人在投标活动中提供任何虚假材料或从事其他违法活动的，其投标无效，并报监管部门查处；中标后发现的，中标人须依照《中华人民共和国消费者权益保护法</w:t>
      </w:r>
      <w:r>
        <w:rPr>
          <w:rFonts w:hint="eastAsia" w:ascii="宋体" w:cs="宋体"/>
          <w:color w:val="auto"/>
          <w:sz w:val="21"/>
          <w:szCs w:val="21"/>
          <w:highlight w:val="none"/>
          <w:lang w:eastAsia="zh-CN"/>
        </w:rPr>
        <w:t>》第四十九条</w:t>
      </w:r>
      <w:r>
        <w:rPr>
          <w:rFonts w:hint="eastAsia" w:ascii="宋体" w:cs="宋体"/>
          <w:color w:val="auto"/>
          <w:sz w:val="21"/>
          <w:szCs w:val="21"/>
          <w:highlight w:val="none"/>
        </w:rPr>
        <w:t>之规定双倍赔偿采购人。且民事赔偿并不免除违法投标人的行政与刑事责任。</w:t>
      </w:r>
    </w:p>
    <w:p>
      <w:pPr>
        <w:snapToGrid w:val="0"/>
        <w:spacing w:line="480" w:lineRule="exact"/>
        <w:ind w:firstLine="422" w:firstLineChars="200"/>
        <w:outlineLvl w:val="1"/>
        <w:rPr>
          <w:rFonts w:ascii="宋体" w:cs="宋体"/>
          <w:color w:val="auto"/>
          <w:sz w:val="21"/>
          <w:szCs w:val="21"/>
          <w:highlight w:val="none"/>
        </w:rPr>
      </w:pPr>
      <w:r>
        <w:rPr>
          <w:rFonts w:hint="eastAsia" w:ascii="宋体" w:cs="宋体"/>
          <w:b/>
          <w:color w:val="auto"/>
          <w:sz w:val="21"/>
          <w:szCs w:val="21"/>
          <w:highlight w:val="none"/>
        </w:rPr>
        <w:t>★</w:t>
      </w:r>
      <w:r>
        <w:rPr>
          <w:rFonts w:hint="eastAsia" w:ascii="宋体" w:cs="宋体"/>
          <w:color w:val="auto"/>
          <w:sz w:val="21"/>
          <w:szCs w:val="21"/>
          <w:highlight w:val="none"/>
        </w:rPr>
        <w:t>25.4投标人应仔细阅读采购文件的所有内容，按照采购文件的要求提交投标文件。投标文件应对采购文件的要求</w:t>
      </w:r>
      <w:r>
        <w:rPr>
          <w:rFonts w:hint="eastAsia" w:ascii="宋体" w:cs="宋体"/>
          <w:color w:val="auto"/>
          <w:sz w:val="21"/>
          <w:szCs w:val="21"/>
          <w:highlight w:val="none"/>
          <w:lang w:eastAsia="zh-CN"/>
        </w:rPr>
        <w:t>作出</w:t>
      </w:r>
      <w:r>
        <w:rPr>
          <w:rFonts w:hint="eastAsia" w:ascii="宋体" w:cs="宋体"/>
          <w:color w:val="auto"/>
          <w:sz w:val="21"/>
          <w:szCs w:val="21"/>
          <w:highlight w:val="none"/>
        </w:rPr>
        <w:t>实质性响应，并对所提供的全部资料的真实性承担法律责任。</w:t>
      </w:r>
    </w:p>
    <w:p>
      <w:pPr>
        <w:spacing w:line="480" w:lineRule="exact"/>
        <w:ind w:firstLine="422" w:firstLineChars="200"/>
        <w:outlineLvl w:val="1"/>
        <w:rPr>
          <w:rFonts w:ascii="宋体" w:cs="宋体"/>
          <w:b/>
          <w:bCs/>
          <w:color w:val="auto"/>
          <w:sz w:val="21"/>
          <w:szCs w:val="21"/>
          <w:highlight w:val="none"/>
        </w:rPr>
      </w:pPr>
      <w:r>
        <w:rPr>
          <w:rFonts w:hint="eastAsia" w:ascii="宋体" w:cs="宋体"/>
          <w:b/>
          <w:bCs/>
          <w:color w:val="auto"/>
          <w:sz w:val="21"/>
          <w:szCs w:val="21"/>
          <w:highlight w:val="none"/>
        </w:rPr>
        <w:t>九、无效投标的具体情形</w:t>
      </w:r>
    </w:p>
    <w:p>
      <w:pPr>
        <w:spacing w:line="480" w:lineRule="exact"/>
        <w:ind w:firstLine="422" w:firstLineChars="200"/>
        <w:outlineLvl w:val="1"/>
        <w:rPr>
          <w:rFonts w:ascii="宋体" w:cs="宋体"/>
          <w:b/>
          <w:bCs/>
          <w:color w:val="auto"/>
          <w:sz w:val="21"/>
          <w:szCs w:val="21"/>
          <w:highlight w:val="none"/>
        </w:rPr>
      </w:pPr>
      <w:r>
        <w:rPr>
          <w:rFonts w:hint="eastAsia" w:ascii="宋体" w:cs="宋体"/>
          <w:b/>
          <w:bCs/>
          <w:color w:val="auto"/>
          <w:sz w:val="21"/>
          <w:szCs w:val="21"/>
          <w:highlight w:val="none"/>
        </w:rPr>
        <w:t>26、有以下情形之一将作无效标处理</w:t>
      </w:r>
    </w:p>
    <w:p>
      <w:pPr>
        <w:spacing w:line="480" w:lineRule="exact"/>
        <w:ind w:firstLine="420" w:firstLineChars="200"/>
        <w:outlineLvl w:val="1"/>
        <w:rPr>
          <w:rFonts w:ascii="宋体" w:cs="宋体"/>
          <w:bCs/>
          <w:color w:val="auto"/>
          <w:sz w:val="21"/>
          <w:szCs w:val="21"/>
          <w:highlight w:val="none"/>
        </w:rPr>
      </w:pPr>
      <w:r>
        <w:rPr>
          <w:rFonts w:hint="eastAsia" w:ascii="宋体" w:cs="宋体"/>
          <w:bCs/>
          <w:color w:val="auto"/>
          <w:sz w:val="21"/>
          <w:szCs w:val="21"/>
          <w:highlight w:val="none"/>
        </w:rPr>
        <w:t>26.1未按照采购文件中规定要求签署、盖章；</w:t>
      </w:r>
    </w:p>
    <w:p>
      <w:pPr>
        <w:spacing w:line="480" w:lineRule="exact"/>
        <w:ind w:firstLine="420" w:firstLineChars="200"/>
        <w:outlineLvl w:val="1"/>
        <w:rPr>
          <w:rFonts w:ascii="宋体" w:cs="宋体"/>
          <w:bCs/>
          <w:color w:val="auto"/>
          <w:sz w:val="21"/>
          <w:szCs w:val="21"/>
          <w:highlight w:val="none"/>
        </w:rPr>
      </w:pPr>
      <w:r>
        <w:rPr>
          <w:rFonts w:hint="eastAsia" w:ascii="宋体" w:cs="宋体"/>
          <w:bCs/>
          <w:color w:val="auto"/>
          <w:sz w:val="21"/>
          <w:szCs w:val="21"/>
          <w:highlight w:val="none"/>
        </w:rPr>
        <w:t>26.2不具备采购文件中规</w:t>
      </w:r>
      <w:r>
        <w:rPr>
          <w:rFonts w:hint="eastAsia" w:ascii="宋体" w:cs="宋体"/>
          <w:bCs/>
          <w:color w:val="auto"/>
          <w:sz w:val="21"/>
          <w:szCs w:val="21"/>
          <w:highlight w:val="none"/>
          <w:lang w:eastAsia="zh-CN"/>
        </w:rPr>
        <w:t>定的</w:t>
      </w:r>
      <w:r>
        <w:rPr>
          <w:rFonts w:hint="eastAsia" w:ascii="宋体" w:cs="宋体"/>
          <w:bCs/>
          <w:color w:val="auto"/>
          <w:sz w:val="21"/>
          <w:szCs w:val="21"/>
          <w:highlight w:val="none"/>
        </w:rPr>
        <w:t>资格要求；</w:t>
      </w:r>
    </w:p>
    <w:p>
      <w:pPr>
        <w:spacing w:line="480" w:lineRule="exact"/>
        <w:ind w:firstLine="420" w:firstLineChars="200"/>
        <w:outlineLvl w:val="1"/>
        <w:rPr>
          <w:rFonts w:ascii="宋体" w:cs="宋体"/>
          <w:bCs/>
          <w:color w:val="auto"/>
          <w:sz w:val="21"/>
          <w:szCs w:val="21"/>
          <w:highlight w:val="none"/>
        </w:rPr>
      </w:pPr>
      <w:r>
        <w:rPr>
          <w:rFonts w:hint="eastAsia" w:ascii="宋体" w:cs="宋体"/>
          <w:color w:val="auto"/>
          <w:sz w:val="21"/>
          <w:szCs w:val="21"/>
          <w:highlight w:val="none"/>
        </w:rPr>
        <w:t>26.3不符合</w:t>
      </w:r>
      <w:r>
        <w:rPr>
          <w:rFonts w:hint="eastAsia" w:ascii="宋体" w:cs="宋体"/>
          <w:color w:val="auto"/>
          <w:sz w:val="21"/>
          <w:szCs w:val="21"/>
          <w:highlight w:val="none"/>
          <w:lang w:eastAsia="zh-CN"/>
        </w:rPr>
        <w:t>法律法规</w:t>
      </w:r>
      <w:r>
        <w:rPr>
          <w:rFonts w:hint="eastAsia" w:ascii="宋体" w:cs="宋体"/>
          <w:color w:val="auto"/>
          <w:sz w:val="21"/>
          <w:szCs w:val="21"/>
          <w:highlight w:val="none"/>
        </w:rPr>
        <w:t>和采购文件中规定的其他实质性要求。</w:t>
      </w:r>
      <w:bookmarkStart w:id="3" w:name="_Toc353536903"/>
    </w:p>
    <w:bookmarkEnd w:id="3"/>
    <w:p>
      <w:pPr>
        <w:spacing w:line="480" w:lineRule="exact"/>
        <w:ind w:firstLine="422" w:firstLineChars="200"/>
        <w:outlineLvl w:val="1"/>
        <w:rPr>
          <w:rFonts w:hint="eastAsia" w:ascii="宋体" w:cs="宋体"/>
          <w:b/>
          <w:bCs/>
          <w:color w:val="auto"/>
          <w:sz w:val="21"/>
          <w:szCs w:val="21"/>
          <w:highlight w:val="none"/>
          <w:lang w:val="en-US" w:eastAsia="zh-CN"/>
        </w:rPr>
      </w:pPr>
      <w:r>
        <w:rPr>
          <w:rFonts w:hint="eastAsia" w:ascii="宋体" w:cs="宋体"/>
          <w:b/>
          <w:bCs/>
          <w:color w:val="auto"/>
          <w:sz w:val="21"/>
          <w:szCs w:val="21"/>
          <w:highlight w:val="none"/>
          <w:lang w:val="en-US" w:eastAsia="zh-CN"/>
        </w:rPr>
        <w:t>27.除政府采购法律法规规定的恶意串通、视同串通投标情形外，在不影响公平竞争的前提下，采购人、采购代理机构应在采购文件中明确规定参与同一个标段（包）的供应商存在下列情形之一的，其投标（响应）文件无效：</w:t>
      </w:r>
    </w:p>
    <w:p>
      <w:pPr>
        <w:numPr>
          <w:ilvl w:val="0"/>
          <w:numId w:val="0"/>
        </w:numPr>
        <w:spacing w:line="480" w:lineRule="exact"/>
        <w:ind w:firstLine="422" w:firstLineChars="200"/>
        <w:outlineLvl w:val="1"/>
        <w:rPr>
          <w:rFonts w:hint="eastAsia" w:ascii="宋体" w:cs="宋体"/>
          <w:b/>
          <w:bCs/>
          <w:color w:val="auto"/>
          <w:sz w:val="21"/>
          <w:szCs w:val="21"/>
          <w:highlight w:val="none"/>
          <w:lang w:val="en-US" w:eastAsia="zh-CN"/>
        </w:rPr>
      </w:pPr>
      <w:r>
        <w:rPr>
          <w:rFonts w:hint="eastAsia" w:ascii="宋体" w:cs="宋体"/>
          <w:b/>
          <w:bCs/>
          <w:color w:val="auto"/>
          <w:sz w:val="21"/>
          <w:szCs w:val="21"/>
          <w:highlight w:val="none"/>
          <w:lang w:val="en-US" w:eastAsia="zh-CN"/>
        </w:rPr>
        <w:t>（一）不同供应商制作电子投标（响应）文件的计算机网卡MAC地址相同的；</w:t>
      </w:r>
    </w:p>
    <w:p>
      <w:pPr>
        <w:numPr>
          <w:ilvl w:val="0"/>
          <w:numId w:val="0"/>
        </w:numPr>
        <w:spacing w:line="480" w:lineRule="exact"/>
        <w:ind w:firstLine="422" w:firstLineChars="200"/>
        <w:outlineLvl w:val="1"/>
        <w:rPr>
          <w:rFonts w:hint="eastAsia" w:ascii="宋体" w:cs="宋体"/>
          <w:b/>
          <w:bCs/>
          <w:color w:val="auto"/>
          <w:sz w:val="21"/>
          <w:szCs w:val="21"/>
          <w:highlight w:val="none"/>
          <w:lang w:val="en-US" w:eastAsia="zh-CN"/>
        </w:rPr>
      </w:pPr>
      <w:r>
        <w:rPr>
          <w:rFonts w:hint="eastAsia" w:ascii="宋体" w:cs="宋体"/>
          <w:b/>
          <w:bCs/>
          <w:color w:val="auto"/>
          <w:sz w:val="21"/>
          <w:szCs w:val="21"/>
          <w:highlight w:val="none"/>
          <w:lang w:val="en-US" w:eastAsia="zh-CN"/>
        </w:rPr>
        <w:t>（二）不同供应商制作电子投标（响应）文件的计算机硬盘序列号相同的；</w:t>
      </w:r>
    </w:p>
    <w:p>
      <w:pPr>
        <w:numPr>
          <w:ilvl w:val="0"/>
          <w:numId w:val="0"/>
        </w:numPr>
        <w:spacing w:line="480" w:lineRule="exact"/>
        <w:ind w:firstLine="422" w:firstLineChars="200"/>
        <w:outlineLvl w:val="1"/>
        <w:rPr>
          <w:rFonts w:hint="default" w:ascii="宋体" w:eastAsia="宋体" w:cs="宋体"/>
          <w:b/>
          <w:bCs/>
          <w:color w:val="auto"/>
          <w:sz w:val="21"/>
          <w:szCs w:val="21"/>
          <w:highlight w:val="none"/>
          <w:lang w:val="en-US" w:eastAsia="zh-CN"/>
        </w:rPr>
      </w:pPr>
      <w:r>
        <w:rPr>
          <w:rFonts w:hint="eastAsia" w:ascii="宋体" w:cs="宋体"/>
          <w:b/>
          <w:bCs/>
          <w:color w:val="auto"/>
          <w:sz w:val="21"/>
          <w:szCs w:val="21"/>
          <w:highlight w:val="none"/>
          <w:lang w:val="en-US" w:eastAsia="zh-CN"/>
        </w:rPr>
        <w:t>（三）不同供应商的投标（响应）文件的内容存在两处以上细节错误一致，且无法合理解释的。</w:t>
      </w:r>
    </w:p>
    <w:p>
      <w:pPr>
        <w:spacing w:line="480" w:lineRule="exact"/>
        <w:ind w:firstLine="422" w:firstLineChars="200"/>
        <w:outlineLvl w:val="1"/>
        <w:rPr>
          <w:rFonts w:ascii="宋体" w:cs="宋体"/>
          <w:b/>
          <w:bCs/>
          <w:color w:val="auto"/>
          <w:sz w:val="21"/>
          <w:szCs w:val="21"/>
          <w:highlight w:val="none"/>
        </w:rPr>
      </w:pPr>
      <w:r>
        <w:rPr>
          <w:rFonts w:hint="eastAsia" w:ascii="宋体" w:cs="宋体"/>
          <w:b/>
          <w:bCs/>
          <w:color w:val="auto"/>
          <w:sz w:val="21"/>
          <w:szCs w:val="21"/>
          <w:highlight w:val="none"/>
        </w:rPr>
        <w:t xml:space="preserve">十、中止电子交易活动的情形 </w:t>
      </w:r>
    </w:p>
    <w:p>
      <w:pPr>
        <w:spacing w:line="480" w:lineRule="exact"/>
        <w:ind w:firstLine="422" w:firstLineChars="200"/>
        <w:outlineLvl w:val="1"/>
        <w:rPr>
          <w:rFonts w:ascii="宋体" w:cs="宋体"/>
          <w:color w:val="auto"/>
          <w:sz w:val="21"/>
          <w:szCs w:val="21"/>
          <w:highlight w:val="none"/>
        </w:rPr>
      </w:pPr>
      <w:r>
        <w:rPr>
          <w:rFonts w:hint="eastAsia" w:ascii="宋体" w:cs="宋体"/>
          <w:b/>
          <w:bCs/>
          <w:color w:val="auto"/>
          <w:sz w:val="21"/>
          <w:szCs w:val="21"/>
          <w:highlight w:val="none"/>
        </w:rPr>
        <w:t>27、有以下情形之一将中止电子交易活动</w:t>
      </w:r>
    </w:p>
    <w:p>
      <w:pPr>
        <w:snapToGrid w:val="0"/>
        <w:spacing w:line="480" w:lineRule="exact"/>
        <w:ind w:firstLine="420" w:firstLineChars="200"/>
        <w:outlineLvl w:val="1"/>
        <w:rPr>
          <w:rFonts w:ascii="宋体" w:cs="宋体"/>
          <w:color w:val="auto"/>
          <w:sz w:val="21"/>
          <w:szCs w:val="21"/>
          <w:highlight w:val="none"/>
        </w:rPr>
      </w:pPr>
      <w:r>
        <w:rPr>
          <w:rFonts w:hint="eastAsia" w:ascii="宋体" w:cs="宋体"/>
          <w:color w:val="auto"/>
          <w:sz w:val="21"/>
          <w:szCs w:val="21"/>
          <w:highlight w:val="none"/>
        </w:rPr>
        <w:t xml:space="preserve">27.1电子交易平台发生故障而无法登录访问的； </w:t>
      </w:r>
    </w:p>
    <w:p>
      <w:pPr>
        <w:snapToGrid w:val="0"/>
        <w:spacing w:line="480" w:lineRule="exact"/>
        <w:ind w:firstLine="420" w:firstLineChars="200"/>
        <w:outlineLvl w:val="1"/>
        <w:rPr>
          <w:rFonts w:ascii="宋体" w:cs="宋体"/>
          <w:color w:val="auto"/>
          <w:sz w:val="21"/>
          <w:szCs w:val="21"/>
          <w:highlight w:val="none"/>
        </w:rPr>
      </w:pPr>
      <w:r>
        <w:rPr>
          <w:rFonts w:hint="eastAsia" w:ascii="宋体" w:cs="宋体"/>
          <w:color w:val="auto"/>
          <w:sz w:val="21"/>
          <w:szCs w:val="21"/>
          <w:highlight w:val="none"/>
        </w:rPr>
        <w:t>27.2电子交易平台应用或数据库出现错误，不能进行正常操作的；</w:t>
      </w:r>
    </w:p>
    <w:p>
      <w:pPr>
        <w:snapToGrid w:val="0"/>
        <w:spacing w:line="480" w:lineRule="exact"/>
        <w:ind w:firstLine="420" w:firstLineChars="200"/>
        <w:outlineLvl w:val="1"/>
        <w:rPr>
          <w:rFonts w:ascii="宋体" w:cs="宋体"/>
          <w:color w:val="auto"/>
          <w:sz w:val="21"/>
          <w:szCs w:val="21"/>
          <w:highlight w:val="none"/>
        </w:rPr>
      </w:pPr>
      <w:r>
        <w:rPr>
          <w:rFonts w:hint="eastAsia" w:ascii="宋体" w:cs="宋体"/>
          <w:color w:val="auto"/>
          <w:sz w:val="21"/>
          <w:szCs w:val="21"/>
          <w:highlight w:val="none"/>
        </w:rPr>
        <w:t>27.3电子交易平台发现严重安全漏洞，有潜在泄密危险的；</w:t>
      </w:r>
    </w:p>
    <w:p>
      <w:pPr>
        <w:snapToGrid w:val="0"/>
        <w:spacing w:line="480" w:lineRule="exact"/>
        <w:ind w:firstLine="420" w:firstLineChars="200"/>
        <w:outlineLvl w:val="1"/>
        <w:rPr>
          <w:rFonts w:ascii="宋体" w:cs="宋体"/>
          <w:color w:val="auto"/>
          <w:sz w:val="21"/>
          <w:szCs w:val="21"/>
          <w:highlight w:val="none"/>
        </w:rPr>
      </w:pPr>
      <w:r>
        <w:rPr>
          <w:rFonts w:hint="eastAsia" w:ascii="宋体" w:cs="宋体"/>
          <w:color w:val="auto"/>
          <w:sz w:val="21"/>
          <w:szCs w:val="21"/>
          <w:highlight w:val="none"/>
        </w:rPr>
        <w:t xml:space="preserve">27.4病毒发作导致不能进行正常操作的； </w:t>
      </w:r>
    </w:p>
    <w:p>
      <w:pPr>
        <w:snapToGrid w:val="0"/>
        <w:spacing w:line="480" w:lineRule="exact"/>
        <w:ind w:firstLine="420" w:firstLineChars="200"/>
        <w:outlineLvl w:val="1"/>
        <w:rPr>
          <w:rFonts w:ascii="宋体" w:cs="宋体"/>
          <w:color w:val="auto"/>
          <w:sz w:val="21"/>
          <w:szCs w:val="21"/>
          <w:highlight w:val="none"/>
        </w:rPr>
      </w:pPr>
      <w:r>
        <w:rPr>
          <w:rFonts w:hint="eastAsia" w:ascii="宋体" w:cs="宋体"/>
          <w:color w:val="auto"/>
          <w:sz w:val="21"/>
          <w:szCs w:val="21"/>
          <w:highlight w:val="none"/>
        </w:rPr>
        <w:t>27.5其他无法保证电子交易的公平、公正和安全的情况。</w:t>
      </w:r>
    </w:p>
    <w:p>
      <w:pPr>
        <w:snapToGrid w:val="0"/>
        <w:spacing w:line="480" w:lineRule="exact"/>
        <w:ind w:firstLine="420" w:firstLineChars="200"/>
        <w:outlineLvl w:val="1"/>
        <w:rPr>
          <w:rFonts w:ascii="宋体" w:cs="宋体"/>
          <w:color w:val="auto"/>
          <w:sz w:val="21"/>
          <w:szCs w:val="21"/>
          <w:highlight w:val="none"/>
        </w:rPr>
      </w:pPr>
      <w:r>
        <w:rPr>
          <w:rFonts w:hint="eastAsia" w:ascii="宋体" w:cs="宋体"/>
          <w:color w:val="auto"/>
          <w:sz w:val="21"/>
          <w:szCs w:val="21"/>
          <w:highlight w:val="none"/>
        </w:rPr>
        <w:t xml:space="preserve"> 出现前款规定情形，不影响采购公平、公正性的，招标人可以待上述情形消除后继续组织电子交易活动，也可以决定某些环节以纸质形式进行；影响或可能影响采购公平、公正性的，应当重新采购。</w:t>
      </w:r>
    </w:p>
    <w:p>
      <w:pPr>
        <w:pStyle w:val="23"/>
        <w:snapToGrid w:val="0"/>
        <w:spacing w:before="0" w:after="0" w:line="480" w:lineRule="exact"/>
        <w:ind w:firstLine="422" w:firstLineChars="200"/>
        <w:jc w:val="left"/>
        <w:outlineLvl w:val="0"/>
        <w:rPr>
          <w:rFonts w:cs="宋体"/>
          <w:b/>
          <w:bCs/>
          <w:color w:val="auto"/>
          <w:sz w:val="21"/>
          <w:szCs w:val="21"/>
          <w:highlight w:val="none"/>
        </w:rPr>
      </w:pPr>
      <w:r>
        <w:rPr>
          <w:rFonts w:hint="eastAsia" w:cs="宋体"/>
          <w:b/>
          <w:bCs/>
          <w:color w:val="auto"/>
          <w:sz w:val="21"/>
          <w:szCs w:val="21"/>
          <w:highlight w:val="none"/>
        </w:rPr>
        <w:t>28、电子投标特别提醒</w:t>
      </w:r>
    </w:p>
    <w:p>
      <w:pPr>
        <w:pStyle w:val="23"/>
        <w:snapToGrid w:val="0"/>
        <w:spacing w:before="0" w:after="0" w:line="480" w:lineRule="exact"/>
        <w:ind w:firstLine="420" w:firstLineChars="200"/>
        <w:jc w:val="left"/>
        <w:outlineLvl w:val="0"/>
        <w:rPr>
          <w:rFonts w:cs="宋体"/>
          <w:color w:val="auto"/>
          <w:sz w:val="21"/>
          <w:szCs w:val="21"/>
          <w:highlight w:val="none"/>
        </w:rPr>
      </w:pPr>
      <w:r>
        <w:rPr>
          <w:rFonts w:hint="eastAsia" w:cs="宋体"/>
          <w:color w:val="auto"/>
          <w:sz w:val="21"/>
          <w:szCs w:val="21"/>
          <w:highlight w:val="none"/>
        </w:rPr>
        <w:t>28.1请所有投标人在政采云系统准时参加线上开标活动，并且要求法定代表人或授权委托人全程在线。</w:t>
      </w:r>
    </w:p>
    <w:p>
      <w:pPr>
        <w:pStyle w:val="23"/>
        <w:snapToGrid w:val="0"/>
        <w:spacing w:before="0" w:after="0" w:line="480" w:lineRule="exact"/>
        <w:ind w:firstLine="420" w:firstLineChars="200"/>
        <w:jc w:val="left"/>
        <w:outlineLvl w:val="0"/>
        <w:rPr>
          <w:rFonts w:cs="宋体"/>
          <w:color w:val="auto"/>
          <w:sz w:val="21"/>
          <w:szCs w:val="21"/>
          <w:highlight w:val="none"/>
        </w:rPr>
      </w:pPr>
      <w:r>
        <w:rPr>
          <w:rFonts w:hint="eastAsia" w:cs="宋体"/>
          <w:color w:val="auto"/>
          <w:sz w:val="21"/>
          <w:szCs w:val="21"/>
          <w:highlight w:val="none"/>
        </w:rPr>
        <w:t>28.2投标截止时间后，招标人将线上开启解密，投标人需及时用 CA 锁在线解密，解密时间为半小时，逾期解密，投标人自行承担风险。</w:t>
      </w:r>
    </w:p>
    <w:p>
      <w:pPr>
        <w:pStyle w:val="23"/>
        <w:snapToGrid w:val="0"/>
        <w:spacing w:before="0" w:after="0" w:line="480" w:lineRule="exact"/>
        <w:ind w:firstLine="420" w:firstLineChars="200"/>
        <w:jc w:val="left"/>
        <w:outlineLvl w:val="0"/>
        <w:rPr>
          <w:rFonts w:cs="宋体"/>
          <w:color w:val="auto"/>
          <w:sz w:val="21"/>
          <w:szCs w:val="21"/>
          <w:highlight w:val="none"/>
        </w:rPr>
      </w:pPr>
      <w:r>
        <w:rPr>
          <w:rFonts w:hint="eastAsia" w:cs="宋体"/>
          <w:color w:val="auto"/>
          <w:sz w:val="21"/>
          <w:szCs w:val="21"/>
          <w:highlight w:val="none"/>
        </w:rPr>
        <w:t>28.3解密投标文件的 CA 锁必须跟制作投标文件的 CA 锁为同一个， 否则将导致解密失败。</w:t>
      </w:r>
    </w:p>
    <w:p>
      <w:pPr>
        <w:pStyle w:val="23"/>
        <w:snapToGrid w:val="0"/>
        <w:spacing w:before="0" w:after="0" w:line="480" w:lineRule="exact"/>
        <w:ind w:firstLine="420" w:firstLineChars="200"/>
        <w:jc w:val="left"/>
        <w:outlineLvl w:val="0"/>
        <w:rPr>
          <w:rFonts w:cs="宋体"/>
          <w:color w:val="auto"/>
          <w:sz w:val="21"/>
          <w:szCs w:val="21"/>
          <w:highlight w:val="none"/>
        </w:rPr>
      </w:pPr>
      <w:r>
        <w:rPr>
          <w:rFonts w:hint="eastAsia" w:cs="宋体"/>
          <w:color w:val="auto"/>
          <w:sz w:val="21"/>
          <w:szCs w:val="21"/>
          <w:highlight w:val="none"/>
        </w:rPr>
        <w:t>28.4若解密失败，且投标人未按要求提供备份电子投标文件，将导致废标。</w:t>
      </w:r>
    </w:p>
    <w:p>
      <w:pPr>
        <w:pStyle w:val="23"/>
        <w:snapToGrid w:val="0"/>
        <w:spacing w:before="0" w:after="0" w:line="480" w:lineRule="exact"/>
        <w:ind w:firstLine="420" w:firstLineChars="200"/>
        <w:jc w:val="left"/>
        <w:outlineLvl w:val="0"/>
        <w:rPr>
          <w:rFonts w:cs="宋体"/>
          <w:b/>
          <w:bCs/>
          <w:color w:val="auto"/>
          <w:sz w:val="21"/>
          <w:szCs w:val="21"/>
          <w:highlight w:val="none"/>
        </w:rPr>
      </w:pPr>
      <w:r>
        <w:rPr>
          <w:rFonts w:hint="eastAsia" w:cs="宋体"/>
          <w:color w:val="auto"/>
          <w:sz w:val="21"/>
          <w:szCs w:val="21"/>
          <w:highlight w:val="none"/>
        </w:rPr>
        <w:t>28.5中标人还需将纸质版投标文件（一正三副）邮寄到浙江中兰工程有限公司留档备用，纸质版投标文件由资格证明文件、技术商务标、价格标三部分组成，并且分别胶装成册。</w:t>
      </w:r>
      <w:r>
        <w:rPr>
          <w:rFonts w:hint="eastAsia" w:cs="宋体"/>
          <w:b/>
          <w:bCs/>
          <w:color w:val="auto"/>
          <w:sz w:val="21"/>
          <w:szCs w:val="21"/>
          <w:highlight w:val="none"/>
        </w:rPr>
        <w:t>纸质投标文件必须跟上传到政采云系统的电子加密文件一致，并且均需加盖单位公章。</w:t>
      </w:r>
    </w:p>
    <w:p>
      <w:pPr>
        <w:spacing w:line="480" w:lineRule="exact"/>
        <w:ind w:firstLine="422" w:firstLineChars="200"/>
        <w:rPr>
          <w:rFonts w:ascii="宋体" w:cs="宋体"/>
          <w:b/>
          <w:bCs/>
          <w:color w:val="auto"/>
          <w:sz w:val="21"/>
          <w:szCs w:val="21"/>
          <w:highlight w:val="none"/>
        </w:rPr>
      </w:pPr>
      <w:r>
        <w:rPr>
          <w:rFonts w:hint="eastAsia" w:ascii="宋体" w:cs="宋体"/>
          <w:b/>
          <w:bCs/>
          <w:color w:val="auto"/>
          <w:sz w:val="21"/>
          <w:szCs w:val="21"/>
          <w:highlight w:val="none"/>
        </w:rPr>
        <w:t>十一、关于中小企业、支持监狱企业发展、促进残疾人就业、扶持不发达地区和少数民族地区参与政府采购活动的规定</w:t>
      </w:r>
    </w:p>
    <w:p>
      <w:pPr>
        <w:spacing w:line="480" w:lineRule="exact"/>
        <w:ind w:firstLine="420" w:firstLineChars="200"/>
        <w:rPr>
          <w:rFonts w:ascii="宋体" w:cs="宋体"/>
          <w:color w:val="auto"/>
          <w:sz w:val="21"/>
          <w:szCs w:val="21"/>
          <w:highlight w:val="none"/>
        </w:rPr>
      </w:pPr>
      <w:r>
        <w:rPr>
          <w:rFonts w:hint="eastAsia" w:ascii="宋体" w:cs="宋体"/>
          <w:color w:val="auto"/>
          <w:sz w:val="21"/>
          <w:szCs w:val="21"/>
          <w:highlight w:val="none"/>
        </w:rPr>
        <w:t>29.1 根据《中小企业划型标准规定》（工信部联企业[2011]300 号）、《政府采购促进中小企业发展管理办法》（财库〔2020〕46 号）的有关规定，《政府采购促进中小企业发展管理办法》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pPr>
        <w:spacing w:line="480" w:lineRule="exact"/>
        <w:ind w:firstLine="420" w:firstLineChars="200"/>
        <w:rPr>
          <w:rFonts w:ascii="宋体" w:cs="宋体"/>
          <w:color w:val="auto"/>
          <w:sz w:val="21"/>
          <w:szCs w:val="21"/>
          <w:highlight w:val="none"/>
        </w:rPr>
      </w:pPr>
      <w:r>
        <w:rPr>
          <w:rFonts w:hint="eastAsia" w:ascii="宋体" w:cs="宋体"/>
          <w:color w:val="auto"/>
          <w:sz w:val="21"/>
          <w:szCs w:val="21"/>
          <w:highlight w:val="none"/>
        </w:rPr>
        <w:t>29.2 根据《关于政府采购支持监狱企业发展有关问题的通知》（财库[2014]68 号）的规定。</w:t>
      </w:r>
    </w:p>
    <w:p>
      <w:pPr>
        <w:spacing w:line="480" w:lineRule="exact"/>
        <w:ind w:firstLine="420" w:firstLineChars="200"/>
        <w:rPr>
          <w:rFonts w:ascii="宋体" w:cs="宋体"/>
          <w:color w:val="auto"/>
          <w:sz w:val="21"/>
          <w:szCs w:val="21"/>
          <w:highlight w:val="none"/>
        </w:rPr>
      </w:pPr>
      <w:r>
        <w:rPr>
          <w:rFonts w:hint="eastAsia" w:ascii="宋体" w:cs="宋体"/>
          <w:color w:val="auto"/>
          <w:sz w:val="21"/>
          <w:szCs w:val="21"/>
          <w:highlight w:val="none"/>
        </w:rPr>
        <w:t>1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pPr>
        <w:spacing w:line="480" w:lineRule="exact"/>
        <w:ind w:firstLine="420" w:firstLineChars="200"/>
        <w:rPr>
          <w:rFonts w:ascii="宋体" w:cs="宋体"/>
          <w:color w:val="auto"/>
          <w:sz w:val="21"/>
          <w:szCs w:val="21"/>
          <w:highlight w:val="none"/>
        </w:rPr>
      </w:pPr>
      <w:r>
        <w:rPr>
          <w:rFonts w:hint="eastAsia" w:ascii="宋体" w:cs="宋体"/>
          <w:color w:val="auto"/>
          <w:sz w:val="21"/>
          <w:szCs w:val="21"/>
          <w:highlight w:val="none"/>
        </w:rPr>
        <w:t xml:space="preserve"> 2在政府采购活动中，监狱企业视同小型、微型企业，享受预留份额、</w:t>
      </w:r>
      <w:r>
        <w:rPr>
          <w:rFonts w:hint="eastAsia" w:ascii="宋体" w:cs="宋体"/>
          <w:color w:val="auto"/>
          <w:sz w:val="21"/>
          <w:szCs w:val="21"/>
          <w:highlight w:val="none"/>
          <w:lang w:eastAsia="zh-CN"/>
        </w:rPr>
        <w:t>评审</w:t>
      </w:r>
      <w:r>
        <w:rPr>
          <w:rFonts w:hint="eastAsia" w:ascii="宋体" w:cs="宋体"/>
          <w:color w:val="auto"/>
          <w:sz w:val="21"/>
          <w:szCs w:val="21"/>
          <w:highlight w:val="none"/>
        </w:rPr>
        <w:t>价格扣除等政府采购促进中小企业发展的政府采购政策。向监狱企业采购的金额，计入面向中小企业采购的统计数据。</w:t>
      </w:r>
    </w:p>
    <w:p>
      <w:pPr>
        <w:spacing w:line="480" w:lineRule="exact"/>
        <w:ind w:firstLine="420" w:firstLineChars="200"/>
        <w:rPr>
          <w:rFonts w:ascii="宋体" w:cs="宋体"/>
          <w:color w:val="auto"/>
          <w:sz w:val="21"/>
          <w:szCs w:val="21"/>
          <w:highlight w:val="none"/>
        </w:rPr>
      </w:pPr>
      <w:r>
        <w:rPr>
          <w:rFonts w:hint="eastAsia" w:ascii="宋体" w:cs="宋体"/>
          <w:color w:val="auto"/>
          <w:sz w:val="21"/>
          <w:szCs w:val="21"/>
          <w:highlight w:val="none"/>
        </w:rPr>
        <w:t>29.3 符合《关于促进残疾人就业政府采购政策的通知》（财库〔2017〕141 号）规定。</w:t>
      </w:r>
    </w:p>
    <w:p>
      <w:pPr>
        <w:spacing w:line="480" w:lineRule="exact"/>
        <w:ind w:firstLine="420" w:firstLineChars="200"/>
        <w:rPr>
          <w:rFonts w:ascii="宋体" w:cs="宋体"/>
          <w:color w:val="auto"/>
          <w:sz w:val="21"/>
          <w:szCs w:val="21"/>
          <w:highlight w:val="none"/>
        </w:rPr>
      </w:pPr>
      <w:r>
        <w:rPr>
          <w:rFonts w:hint="eastAsia" w:ascii="宋体" w:cs="宋体"/>
          <w:color w:val="auto"/>
          <w:sz w:val="21"/>
          <w:szCs w:val="21"/>
          <w:highlight w:val="none"/>
        </w:rPr>
        <w:t>1享受政府采购支持政策的残疾人福利性单位应当同时满足以下条件：</w:t>
      </w:r>
    </w:p>
    <w:p>
      <w:pPr>
        <w:spacing w:line="480" w:lineRule="exact"/>
        <w:ind w:firstLine="420" w:firstLineChars="200"/>
        <w:rPr>
          <w:rFonts w:ascii="宋体" w:cs="宋体"/>
          <w:color w:val="auto"/>
          <w:sz w:val="21"/>
          <w:szCs w:val="21"/>
          <w:highlight w:val="none"/>
        </w:rPr>
      </w:pPr>
      <w:r>
        <w:rPr>
          <w:rFonts w:hint="eastAsia" w:ascii="宋体" w:cs="宋体"/>
          <w:color w:val="auto"/>
          <w:sz w:val="21"/>
          <w:szCs w:val="21"/>
          <w:highlight w:val="none"/>
        </w:rPr>
        <w:t xml:space="preserve">（a）安置的残疾人占本单位在职职工人数的比例不低于 25%（含 25%），并且安置的残疾人人数不少于 10 人（含 10 人）； </w:t>
      </w:r>
    </w:p>
    <w:p>
      <w:pPr>
        <w:spacing w:line="480" w:lineRule="exact"/>
        <w:ind w:firstLine="420" w:firstLineChars="200"/>
        <w:rPr>
          <w:rFonts w:ascii="宋体" w:cs="宋体"/>
          <w:color w:val="auto"/>
          <w:sz w:val="21"/>
          <w:szCs w:val="21"/>
          <w:highlight w:val="none"/>
        </w:rPr>
      </w:pPr>
      <w:r>
        <w:rPr>
          <w:rFonts w:hint="eastAsia" w:ascii="宋体" w:cs="宋体"/>
          <w:color w:val="auto"/>
          <w:sz w:val="21"/>
          <w:szCs w:val="21"/>
          <w:highlight w:val="none"/>
        </w:rPr>
        <w:t>（b）依法与安置的每位残疾人签订了一年以上（含一年）的劳动合同或服务协议；</w:t>
      </w:r>
    </w:p>
    <w:p>
      <w:pPr>
        <w:spacing w:line="480" w:lineRule="exact"/>
        <w:ind w:firstLine="420" w:firstLineChars="200"/>
        <w:rPr>
          <w:rFonts w:ascii="宋体" w:cs="宋体"/>
          <w:color w:val="auto"/>
          <w:sz w:val="21"/>
          <w:szCs w:val="21"/>
          <w:highlight w:val="none"/>
        </w:rPr>
      </w:pPr>
      <w:r>
        <w:rPr>
          <w:rFonts w:hint="eastAsia" w:ascii="宋体" w:cs="宋体"/>
          <w:color w:val="auto"/>
          <w:sz w:val="21"/>
          <w:szCs w:val="21"/>
          <w:highlight w:val="none"/>
        </w:rPr>
        <w:t>（c）为安置的每位残疾人按月足额缴纳了基本养老保险、基本医疗保险、失业保险、工伤保险和生育保险等社会保险费；</w:t>
      </w:r>
    </w:p>
    <w:p>
      <w:pPr>
        <w:spacing w:line="480" w:lineRule="exact"/>
        <w:ind w:firstLine="420" w:firstLineChars="200"/>
        <w:rPr>
          <w:rFonts w:ascii="宋体" w:cs="宋体"/>
          <w:color w:val="auto"/>
          <w:sz w:val="21"/>
          <w:szCs w:val="21"/>
          <w:highlight w:val="none"/>
        </w:rPr>
      </w:pPr>
      <w:r>
        <w:rPr>
          <w:rFonts w:hint="eastAsia" w:ascii="宋体" w:cs="宋体"/>
          <w:color w:val="auto"/>
          <w:sz w:val="21"/>
          <w:szCs w:val="21"/>
          <w:highlight w:val="none"/>
        </w:rPr>
        <w:t>（d）通过银行等金融机构向安置的每位残疾人，按月支付了不低于单位所在区县适用的经省级人民政府批准的月最低工资标准的工资；</w:t>
      </w:r>
    </w:p>
    <w:p>
      <w:pPr>
        <w:spacing w:line="480" w:lineRule="exact"/>
        <w:ind w:firstLine="420" w:firstLineChars="200"/>
        <w:rPr>
          <w:rFonts w:ascii="宋体" w:cs="宋体"/>
          <w:color w:val="auto"/>
          <w:sz w:val="21"/>
          <w:szCs w:val="21"/>
          <w:highlight w:val="none"/>
        </w:rPr>
      </w:pPr>
      <w:r>
        <w:rPr>
          <w:rFonts w:hint="eastAsia" w:ascii="宋体" w:cs="宋体"/>
          <w:color w:val="auto"/>
          <w:sz w:val="21"/>
          <w:szCs w:val="21"/>
          <w:highlight w:val="none"/>
        </w:rPr>
        <w:t>（e）提供本单位制造的货物、承担的工程或者服务（以下简称产品），或者提供其他残疾人福利性单位制造的货物（不包括使用非残疾人福利性单位注册商标的货物）。前款所称残疾人是指法定劳动年龄内，持有《中华人民共和国残疾人证》或者《中华人民共和国残疾军人证（1 至 8 级）》的自然人，包括具有劳动条件和劳动意愿的精神残疾人。在职职工人数是指与残疾人福利性单位建立劳动关系并依法签订劳动合同或者服务协议的雇员人数。</w:t>
      </w:r>
    </w:p>
    <w:p>
      <w:pPr>
        <w:spacing w:line="480" w:lineRule="exact"/>
        <w:ind w:firstLine="420" w:firstLineChars="200"/>
        <w:rPr>
          <w:rFonts w:ascii="宋体" w:cs="宋体"/>
          <w:color w:val="auto"/>
          <w:sz w:val="21"/>
          <w:szCs w:val="21"/>
          <w:highlight w:val="none"/>
        </w:rPr>
      </w:pPr>
      <w:r>
        <w:rPr>
          <w:rFonts w:hint="eastAsia" w:ascii="宋体" w:cs="宋体"/>
          <w:color w:val="auto"/>
          <w:sz w:val="21"/>
          <w:szCs w:val="21"/>
          <w:highlight w:val="none"/>
        </w:rPr>
        <w:t>2符合条件的残疾人福利性单位在参加政府采购活动时，应当提供本采购文件规定的《残疾人福利性单位声明函》（见附件），并对声明的真实性负责。任何单位或者个人在政府采购活动中均不得要求残疾人福利性单位提供其他证明声明函内容的材料。中标、成交投标人为残疾人福利性单位的，采购人或者其委托的采购代理机构应当随中标、成交结果同时公告其《残疾人福利性单位声明函》，接受社会监督。投标人提供的《残疾人福利性单位声明函》与事实不符的，依照《</w:t>
      </w:r>
      <w:r>
        <w:rPr>
          <w:rFonts w:hint="eastAsia" w:ascii="宋体" w:cs="宋体"/>
          <w:color w:val="auto"/>
          <w:sz w:val="21"/>
          <w:szCs w:val="21"/>
          <w:highlight w:val="none"/>
          <w:lang w:eastAsia="zh-CN"/>
        </w:rPr>
        <w:t>中华人民共和国政府采购法</w:t>
      </w:r>
      <w:r>
        <w:rPr>
          <w:rFonts w:hint="eastAsia" w:ascii="宋体" w:cs="宋体"/>
          <w:color w:val="auto"/>
          <w:sz w:val="21"/>
          <w:szCs w:val="21"/>
          <w:highlight w:val="none"/>
        </w:rPr>
        <w:t xml:space="preserve">》第七十七条第一款的规定追究法律责任。 </w:t>
      </w:r>
    </w:p>
    <w:p>
      <w:pPr>
        <w:spacing w:line="480" w:lineRule="exact"/>
        <w:ind w:firstLine="420" w:firstLineChars="200"/>
        <w:rPr>
          <w:rFonts w:ascii="宋体" w:cs="宋体"/>
          <w:color w:val="auto"/>
          <w:sz w:val="21"/>
          <w:szCs w:val="21"/>
          <w:highlight w:val="none"/>
        </w:rPr>
      </w:pPr>
      <w:r>
        <w:rPr>
          <w:rFonts w:hint="eastAsia" w:ascii="宋体" w:cs="宋体"/>
          <w:color w:val="auto"/>
          <w:sz w:val="21"/>
          <w:szCs w:val="21"/>
          <w:highlight w:val="none"/>
        </w:rPr>
        <w:t>3在政府采购活动中，残疾人福利性单位视同小型、微型企业，享受预留份额、</w:t>
      </w:r>
      <w:r>
        <w:rPr>
          <w:rFonts w:hint="eastAsia" w:ascii="宋体" w:cs="宋体"/>
          <w:color w:val="auto"/>
          <w:sz w:val="21"/>
          <w:szCs w:val="21"/>
          <w:highlight w:val="none"/>
          <w:lang w:eastAsia="zh-CN"/>
        </w:rPr>
        <w:t>评审</w:t>
      </w:r>
      <w:r>
        <w:rPr>
          <w:rFonts w:hint="eastAsia" w:ascii="宋体" w:cs="宋体"/>
          <w:color w:val="auto"/>
          <w:sz w:val="21"/>
          <w:szCs w:val="21"/>
          <w:highlight w:val="none"/>
        </w:rPr>
        <w:t>价格扣除等促进中小企业发展的政府采购政策。向残疾人福利性单位采购的金额，计入面向中小企业采购的统计数据。残疾人福利性单位属于小型、微型企业的，不重复享受政策。</w:t>
      </w:r>
    </w:p>
    <w:p>
      <w:pPr>
        <w:spacing w:line="480" w:lineRule="exact"/>
        <w:ind w:firstLine="420" w:firstLineChars="200"/>
        <w:rPr>
          <w:rFonts w:ascii="宋体" w:cs="宋体"/>
          <w:color w:val="auto"/>
          <w:sz w:val="21"/>
          <w:szCs w:val="21"/>
          <w:highlight w:val="none"/>
        </w:rPr>
      </w:pPr>
      <w:r>
        <w:rPr>
          <w:rFonts w:hint="eastAsia" w:ascii="宋体" w:cs="宋体"/>
          <w:color w:val="auto"/>
          <w:sz w:val="21"/>
          <w:szCs w:val="21"/>
          <w:highlight w:val="none"/>
        </w:rPr>
        <w:t>29.4 符合国家政策扶持不发达地区和少数民族地区在政府采购活动中，不发达地区和少数民族地区企业，享受预留份额、</w:t>
      </w:r>
      <w:r>
        <w:rPr>
          <w:rFonts w:hint="eastAsia" w:ascii="宋体" w:cs="宋体"/>
          <w:color w:val="auto"/>
          <w:sz w:val="21"/>
          <w:szCs w:val="21"/>
          <w:highlight w:val="none"/>
          <w:lang w:eastAsia="zh-CN"/>
        </w:rPr>
        <w:t>评审</w:t>
      </w:r>
      <w:r>
        <w:rPr>
          <w:rFonts w:hint="eastAsia" w:ascii="宋体" w:cs="宋体"/>
          <w:color w:val="auto"/>
          <w:sz w:val="21"/>
          <w:szCs w:val="21"/>
          <w:highlight w:val="none"/>
        </w:rPr>
        <w:t>价格扣除等政府采购促进中小企业发展的政府采购政策。向不发达地区和少数民族地区企业采购的金额，计入面向中小企业采购的统计数据。不发达地区和少数民族地区企业属于小型、微型企业的，不重复享受政策。</w:t>
      </w:r>
    </w:p>
    <w:p>
      <w:pPr>
        <w:pStyle w:val="23"/>
        <w:snapToGrid w:val="0"/>
        <w:spacing w:before="120" w:after="120" w:line="240" w:lineRule="auto"/>
        <w:jc w:val="center"/>
        <w:outlineLvl w:val="0"/>
        <w:rPr>
          <w:rFonts w:cs="宋体"/>
          <w:b/>
          <w:color w:val="auto"/>
          <w:sz w:val="28"/>
          <w:szCs w:val="28"/>
          <w:highlight w:val="none"/>
        </w:rPr>
      </w:pPr>
    </w:p>
    <w:p>
      <w:pPr>
        <w:rPr>
          <w:rFonts w:cs="宋体"/>
          <w:b/>
          <w:color w:val="auto"/>
          <w:szCs w:val="28"/>
          <w:highlight w:val="none"/>
        </w:rPr>
      </w:pPr>
    </w:p>
    <w:p>
      <w:pPr>
        <w:pStyle w:val="2"/>
        <w:rPr>
          <w:color w:val="auto"/>
          <w:highlight w:val="none"/>
        </w:rPr>
      </w:pPr>
    </w:p>
    <w:p>
      <w:pPr>
        <w:pStyle w:val="16"/>
        <w:rPr>
          <w:rFonts w:cs="宋体"/>
          <w:b/>
          <w:color w:val="auto"/>
          <w:szCs w:val="28"/>
          <w:highlight w:val="none"/>
        </w:rPr>
      </w:pPr>
    </w:p>
    <w:p>
      <w:pPr>
        <w:pStyle w:val="23"/>
        <w:snapToGrid w:val="0"/>
        <w:spacing w:before="120" w:after="120" w:line="240" w:lineRule="auto"/>
        <w:jc w:val="center"/>
        <w:outlineLvl w:val="0"/>
        <w:rPr>
          <w:rFonts w:cs="宋体"/>
          <w:b/>
          <w:color w:val="auto"/>
          <w:sz w:val="30"/>
          <w:szCs w:val="30"/>
          <w:highlight w:val="none"/>
        </w:rPr>
      </w:pPr>
      <w:r>
        <w:rPr>
          <w:rFonts w:hint="eastAsia" w:cs="宋体"/>
          <w:b/>
          <w:color w:val="auto"/>
          <w:sz w:val="30"/>
          <w:szCs w:val="30"/>
          <w:highlight w:val="none"/>
        </w:rPr>
        <w:t>第五章  开标和评标须知</w:t>
      </w:r>
    </w:p>
    <w:p>
      <w:pPr>
        <w:snapToGrid w:val="0"/>
        <w:spacing w:line="520" w:lineRule="exact"/>
        <w:ind w:firstLine="384" w:firstLineChars="182"/>
        <w:outlineLvl w:val="1"/>
        <w:rPr>
          <w:rFonts w:ascii="宋体" w:cs="宋体"/>
          <w:b/>
          <w:bCs/>
          <w:color w:val="auto"/>
          <w:sz w:val="21"/>
          <w:szCs w:val="21"/>
          <w:highlight w:val="none"/>
        </w:rPr>
      </w:pPr>
      <w:r>
        <w:rPr>
          <w:rFonts w:hint="eastAsia" w:ascii="宋体" w:cs="宋体"/>
          <w:b/>
          <w:bCs/>
          <w:color w:val="auto"/>
          <w:sz w:val="21"/>
          <w:szCs w:val="21"/>
          <w:highlight w:val="none"/>
        </w:rPr>
        <w:t>一、开标</w:t>
      </w:r>
    </w:p>
    <w:p>
      <w:pPr>
        <w:snapToGrid w:val="0"/>
        <w:spacing w:line="520" w:lineRule="exact"/>
        <w:ind w:firstLine="382" w:firstLineChars="182"/>
        <w:outlineLvl w:val="1"/>
        <w:rPr>
          <w:rFonts w:ascii="宋体" w:cs="宋体"/>
          <w:color w:val="auto"/>
          <w:sz w:val="21"/>
          <w:szCs w:val="21"/>
          <w:highlight w:val="none"/>
        </w:rPr>
      </w:pPr>
      <w:r>
        <w:rPr>
          <w:rFonts w:hint="eastAsia" w:ascii="宋体" w:cs="宋体"/>
          <w:color w:val="auto"/>
          <w:sz w:val="21"/>
          <w:szCs w:val="21"/>
          <w:highlight w:val="none"/>
        </w:rPr>
        <w:t>1.1、开标现场人员由</w:t>
      </w:r>
      <w:r>
        <w:rPr>
          <w:rFonts w:hint="eastAsia" w:ascii="宋体" w:cs="宋体"/>
          <w:color w:val="auto"/>
          <w:sz w:val="21"/>
          <w:szCs w:val="21"/>
          <w:highlight w:val="none"/>
        </w:rPr>
        <w:t>公证处、</w:t>
      </w:r>
      <w:r>
        <w:rPr>
          <w:rFonts w:hint="eastAsia" w:ascii="宋体" w:cs="宋体"/>
          <w:color w:val="auto"/>
          <w:sz w:val="21"/>
          <w:szCs w:val="21"/>
          <w:highlight w:val="none"/>
        </w:rPr>
        <w:t>项目经办人 1 名、代理监督人员 1 名、采购人（采购人代表和采购监督人员各 1 名）及评审专家组成。</w:t>
      </w:r>
    </w:p>
    <w:p>
      <w:pPr>
        <w:snapToGrid w:val="0"/>
        <w:spacing w:line="420" w:lineRule="exact"/>
        <w:ind w:firstLine="382" w:firstLineChars="182"/>
        <w:outlineLvl w:val="1"/>
        <w:rPr>
          <w:rFonts w:ascii="宋体" w:cs="宋体"/>
          <w:b/>
          <w:bCs/>
          <w:color w:val="auto"/>
          <w:sz w:val="21"/>
          <w:szCs w:val="21"/>
          <w:highlight w:val="none"/>
        </w:rPr>
      </w:pPr>
      <w:r>
        <w:rPr>
          <w:rFonts w:hint="eastAsia" w:ascii="宋体" w:cs="宋体"/>
          <w:color w:val="auto"/>
          <w:sz w:val="21"/>
          <w:szCs w:val="21"/>
          <w:highlight w:val="none"/>
        </w:rPr>
        <w:t>1.2 招标人在采购文件规定的时间和地点公开开标，浙江中兰工程项目管理有限公司将按照采购文件规定的时间、地点和程序组织评标，各评审专家及相关人员应参加评审活动并接受核验、签到，无关人员不得进入评审现场。</w:t>
      </w:r>
      <w:r>
        <w:rPr>
          <w:rFonts w:hint="eastAsia" w:ascii="宋体" w:cs="宋体"/>
          <w:b/>
          <w:bCs/>
          <w:color w:val="auto"/>
          <w:sz w:val="21"/>
          <w:szCs w:val="21"/>
          <w:highlight w:val="none"/>
        </w:rPr>
        <w:t>投标截止时间后，投标人登录政采云平台，用“项目采购－开标评标”功能对电子投标文件进行在线解密。在线解密电子投标文件时间为开标时间起半个小时内。</w:t>
      </w:r>
    </w:p>
    <w:p>
      <w:pPr>
        <w:snapToGrid w:val="0"/>
        <w:spacing w:line="520" w:lineRule="exact"/>
        <w:ind w:firstLine="384" w:firstLineChars="182"/>
        <w:outlineLvl w:val="1"/>
        <w:rPr>
          <w:rFonts w:ascii="宋体" w:cs="宋体"/>
          <w:b/>
          <w:bCs/>
          <w:color w:val="auto"/>
          <w:sz w:val="21"/>
          <w:szCs w:val="21"/>
          <w:highlight w:val="none"/>
        </w:rPr>
      </w:pPr>
      <w:r>
        <w:rPr>
          <w:rFonts w:hint="eastAsia" w:ascii="宋体" w:cs="宋体"/>
          <w:b/>
          <w:bCs/>
          <w:color w:val="auto"/>
          <w:sz w:val="21"/>
          <w:szCs w:val="21"/>
          <w:highlight w:val="none"/>
        </w:rPr>
        <w:t>二、评标委员会</w:t>
      </w:r>
    </w:p>
    <w:p>
      <w:pPr>
        <w:snapToGrid w:val="0"/>
        <w:spacing w:line="520" w:lineRule="exact"/>
        <w:ind w:firstLine="382" w:firstLineChars="182"/>
        <w:outlineLvl w:val="1"/>
        <w:rPr>
          <w:rFonts w:ascii="宋体" w:cs="宋体"/>
          <w:color w:val="auto"/>
          <w:sz w:val="21"/>
          <w:szCs w:val="21"/>
          <w:highlight w:val="none"/>
        </w:rPr>
      </w:pPr>
      <w:r>
        <w:rPr>
          <w:rFonts w:hint="eastAsia" w:ascii="宋体" w:cs="宋体"/>
          <w:color w:val="auto"/>
          <w:sz w:val="21"/>
          <w:szCs w:val="21"/>
          <w:highlight w:val="none"/>
        </w:rPr>
        <w:t>2.1 招标人将根据采购文件的特点组成评标委员会。评标委员会对投标文件进行审查、质疑、评估和比较。</w:t>
      </w:r>
    </w:p>
    <w:p>
      <w:pPr>
        <w:snapToGrid w:val="0"/>
        <w:spacing w:line="520" w:lineRule="exact"/>
        <w:ind w:firstLine="382" w:firstLineChars="182"/>
        <w:outlineLvl w:val="1"/>
        <w:rPr>
          <w:rFonts w:ascii="宋体" w:cs="宋体"/>
          <w:color w:val="auto"/>
          <w:sz w:val="21"/>
          <w:szCs w:val="21"/>
          <w:highlight w:val="none"/>
        </w:rPr>
      </w:pPr>
      <w:r>
        <w:rPr>
          <w:rFonts w:hint="eastAsia" w:ascii="宋体" w:cs="宋体"/>
          <w:color w:val="auto"/>
          <w:sz w:val="21"/>
          <w:szCs w:val="21"/>
          <w:highlight w:val="none"/>
        </w:rPr>
        <w:t>2.2 询标期间，投标人法定代表人或其委托代理人必须在钉钉直播中确认。</w:t>
      </w:r>
    </w:p>
    <w:p>
      <w:pPr>
        <w:snapToGrid w:val="0"/>
        <w:spacing w:line="520" w:lineRule="exact"/>
        <w:ind w:firstLine="384" w:firstLineChars="182"/>
        <w:outlineLvl w:val="1"/>
        <w:rPr>
          <w:rFonts w:ascii="宋体" w:cs="宋体"/>
          <w:b/>
          <w:bCs/>
          <w:color w:val="auto"/>
          <w:sz w:val="21"/>
          <w:szCs w:val="21"/>
          <w:highlight w:val="none"/>
        </w:rPr>
      </w:pPr>
      <w:r>
        <w:rPr>
          <w:rFonts w:hint="eastAsia" w:ascii="宋体" w:cs="宋体"/>
          <w:b/>
          <w:bCs/>
          <w:color w:val="auto"/>
          <w:sz w:val="21"/>
          <w:szCs w:val="21"/>
          <w:highlight w:val="none"/>
        </w:rPr>
        <w:t>三、对投标文件的审查和响应性的确定</w:t>
      </w:r>
    </w:p>
    <w:p>
      <w:pPr>
        <w:snapToGrid w:val="0"/>
        <w:spacing w:line="520" w:lineRule="exact"/>
        <w:ind w:firstLine="382" w:firstLineChars="182"/>
        <w:outlineLvl w:val="1"/>
        <w:rPr>
          <w:rFonts w:ascii="宋体" w:cs="宋体"/>
          <w:color w:val="auto"/>
          <w:sz w:val="21"/>
          <w:szCs w:val="21"/>
          <w:highlight w:val="none"/>
        </w:rPr>
      </w:pPr>
      <w:r>
        <w:rPr>
          <w:rFonts w:hint="eastAsia" w:ascii="宋体" w:cs="宋体"/>
          <w:color w:val="auto"/>
          <w:sz w:val="21"/>
          <w:szCs w:val="21"/>
          <w:highlight w:val="none"/>
        </w:rPr>
        <w:t>3.1 开标后，评标委员会将审查投标文件是否完整，文件是否恰当地签署。</w:t>
      </w:r>
    </w:p>
    <w:p>
      <w:pPr>
        <w:snapToGrid w:val="0"/>
        <w:spacing w:line="520" w:lineRule="exact"/>
        <w:ind w:firstLine="382" w:firstLineChars="182"/>
        <w:outlineLvl w:val="1"/>
        <w:rPr>
          <w:rFonts w:ascii="宋体" w:cs="宋体"/>
          <w:color w:val="auto"/>
          <w:sz w:val="21"/>
          <w:szCs w:val="21"/>
          <w:highlight w:val="none"/>
        </w:rPr>
      </w:pPr>
      <w:r>
        <w:rPr>
          <w:rFonts w:hint="eastAsia" w:ascii="宋体" w:cs="宋体"/>
          <w:color w:val="auto"/>
          <w:sz w:val="21"/>
          <w:szCs w:val="21"/>
          <w:highlight w:val="none"/>
        </w:rPr>
        <w:t>3.2对于投标文件中不构成实质性偏差的不正规、不一致或不规则，采购人可以接受，但这种接受不能损害或影响任何投标人的相对排序。</w:t>
      </w:r>
    </w:p>
    <w:p>
      <w:pPr>
        <w:snapToGrid w:val="0"/>
        <w:spacing w:line="520" w:lineRule="exact"/>
        <w:ind w:firstLine="382" w:firstLineChars="182"/>
        <w:outlineLvl w:val="1"/>
        <w:rPr>
          <w:rFonts w:ascii="宋体" w:cs="宋体"/>
          <w:color w:val="auto"/>
          <w:sz w:val="21"/>
          <w:szCs w:val="21"/>
          <w:highlight w:val="none"/>
        </w:rPr>
      </w:pPr>
      <w:r>
        <w:rPr>
          <w:rFonts w:hint="eastAsia" w:ascii="宋体" w:cs="宋体"/>
          <w:color w:val="auto"/>
          <w:sz w:val="21"/>
          <w:szCs w:val="21"/>
          <w:highlight w:val="none"/>
        </w:rPr>
        <w:t>3.3在详细评标之前，根据本须知第3.4条的规定，采购人要审查每份投标文件是否实质性响应了采购文件的要求。实质性响应的投标应该是与采购文件要求的全部条款、条件和规格相符，没有重大偏离的投标。对关键条文的偏离、保留或反对，例如关于“★”条款及特别说明为强制性要求的偏离将被认为是实质性的偏离。评标委员会决定投标的响应性只根据投标文件的内容，而不寻求外部的证据。</w:t>
      </w:r>
    </w:p>
    <w:p>
      <w:pPr>
        <w:snapToGrid w:val="0"/>
        <w:spacing w:line="420" w:lineRule="exact"/>
        <w:ind w:firstLine="382" w:firstLineChars="182"/>
        <w:outlineLvl w:val="1"/>
        <w:rPr>
          <w:rFonts w:ascii="宋体" w:cs="宋体"/>
          <w:color w:val="auto"/>
          <w:sz w:val="21"/>
          <w:szCs w:val="21"/>
          <w:highlight w:val="none"/>
        </w:rPr>
      </w:pPr>
      <w:r>
        <w:rPr>
          <w:rFonts w:hint="eastAsia" w:ascii="宋体" w:cs="宋体"/>
          <w:color w:val="auto"/>
          <w:sz w:val="21"/>
          <w:szCs w:val="21"/>
          <w:highlight w:val="none"/>
        </w:rPr>
        <w:t>3.4 实质性没有响应采购文件要求的投标将被拒绝。投标人不得通过修改或撤销不符合要求的偏离或保留从而使其投标成为实质性响应的投标。</w:t>
      </w:r>
    </w:p>
    <w:p>
      <w:pPr>
        <w:snapToGrid w:val="0"/>
        <w:spacing w:line="520" w:lineRule="exact"/>
        <w:ind w:firstLine="384" w:firstLineChars="182"/>
        <w:outlineLvl w:val="1"/>
        <w:rPr>
          <w:rFonts w:ascii="宋体" w:cs="宋体"/>
          <w:b/>
          <w:bCs/>
          <w:color w:val="auto"/>
          <w:sz w:val="21"/>
          <w:szCs w:val="21"/>
          <w:highlight w:val="none"/>
        </w:rPr>
      </w:pPr>
      <w:r>
        <w:rPr>
          <w:rFonts w:hint="eastAsia" w:ascii="宋体" w:cs="宋体"/>
          <w:b/>
          <w:bCs/>
          <w:color w:val="auto"/>
          <w:sz w:val="21"/>
          <w:szCs w:val="21"/>
          <w:highlight w:val="none"/>
        </w:rPr>
        <w:t>如发现下列情况之一的，其投标将被拒绝或无效：</w:t>
      </w:r>
    </w:p>
    <w:p>
      <w:pPr>
        <w:snapToGrid w:val="0"/>
        <w:spacing w:line="520" w:lineRule="exact"/>
        <w:ind w:firstLine="382" w:firstLineChars="182"/>
        <w:outlineLvl w:val="1"/>
        <w:rPr>
          <w:rFonts w:ascii="宋体" w:cs="宋体"/>
          <w:color w:val="auto"/>
          <w:sz w:val="21"/>
          <w:szCs w:val="21"/>
          <w:highlight w:val="none"/>
        </w:rPr>
      </w:pPr>
      <w:r>
        <w:rPr>
          <w:rFonts w:hint="eastAsia" w:ascii="宋体" w:cs="宋体"/>
          <w:color w:val="auto"/>
          <w:sz w:val="21"/>
          <w:szCs w:val="21"/>
          <w:highlight w:val="none"/>
        </w:rPr>
        <w:t>3.5.1未按采购文件规定提供相关文件，如资格证明、身份证明等；提供虚假资料的（含中标后查实的）。超出经营范围投标的。</w:t>
      </w:r>
    </w:p>
    <w:p>
      <w:pPr>
        <w:widowControl/>
        <w:spacing w:line="520" w:lineRule="exact"/>
        <w:ind w:firstLine="420"/>
        <w:jc w:val="left"/>
        <w:rPr>
          <w:rFonts w:ascii="宋体" w:cs="宋体"/>
          <w:color w:val="auto"/>
          <w:sz w:val="21"/>
          <w:szCs w:val="21"/>
          <w:highlight w:val="none"/>
        </w:rPr>
      </w:pPr>
      <w:r>
        <w:rPr>
          <w:rFonts w:hint="eastAsia" w:ascii="宋体" w:cs="宋体"/>
          <w:color w:val="auto"/>
          <w:sz w:val="21"/>
          <w:szCs w:val="21"/>
          <w:highlight w:val="none"/>
        </w:rPr>
        <w:t>3.5.2投标文件不符合采购文件规定，未按规定格式填写，内容不全或关键字迹模糊、无法辨认的。涂改文件、伪造或编造投标文件的。</w:t>
      </w:r>
    </w:p>
    <w:p>
      <w:pPr>
        <w:snapToGrid w:val="0"/>
        <w:spacing w:line="520" w:lineRule="exact"/>
        <w:ind w:firstLine="382" w:firstLineChars="182"/>
        <w:outlineLvl w:val="1"/>
        <w:rPr>
          <w:rFonts w:ascii="宋体" w:cs="宋体"/>
          <w:color w:val="auto"/>
          <w:sz w:val="21"/>
          <w:szCs w:val="21"/>
          <w:highlight w:val="none"/>
        </w:rPr>
      </w:pPr>
      <w:r>
        <w:rPr>
          <w:rFonts w:hint="eastAsia" w:ascii="宋体" w:cs="宋体"/>
          <w:color w:val="auto"/>
          <w:sz w:val="21"/>
          <w:szCs w:val="21"/>
          <w:highlight w:val="none"/>
        </w:rPr>
        <w:t>3.5.3借用或冒用他人名义或证件投标的。</w:t>
      </w:r>
    </w:p>
    <w:p>
      <w:pPr>
        <w:snapToGrid w:val="0"/>
        <w:spacing w:line="520" w:lineRule="exact"/>
        <w:ind w:firstLine="382" w:firstLineChars="182"/>
        <w:outlineLvl w:val="1"/>
        <w:rPr>
          <w:rFonts w:ascii="宋体" w:cs="宋体"/>
          <w:strike/>
          <w:color w:val="auto"/>
          <w:sz w:val="21"/>
          <w:szCs w:val="21"/>
          <w:highlight w:val="none"/>
        </w:rPr>
      </w:pPr>
      <w:r>
        <w:rPr>
          <w:rFonts w:hint="eastAsia" w:ascii="宋体" w:cs="宋体"/>
          <w:color w:val="auto"/>
          <w:sz w:val="21"/>
          <w:szCs w:val="21"/>
          <w:highlight w:val="none"/>
        </w:rPr>
        <w:t>3.5.4投标人逾期送达投标文件。</w:t>
      </w:r>
    </w:p>
    <w:p>
      <w:pPr>
        <w:widowControl/>
        <w:spacing w:line="520" w:lineRule="exact"/>
        <w:ind w:firstLine="420"/>
        <w:jc w:val="left"/>
        <w:rPr>
          <w:rFonts w:ascii="宋体" w:cs="宋体"/>
          <w:color w:val="auto"/>
          <w:sz w:val="21"/>
          <w:szCs w:val="21"/>
          <w:highlight w:val="none"/>
          <w:u w:val="single"/>
        </w:rPr>
      </w:pPr>
      <w:r>
        <w:rPr>
          <w:rFonts w:hint="eastAsia" w:ascii="宋体" w:cs="宋体"/>
          <w:color w:val="auto"/>
          <w:sz w:val="21"/>
          <w:szCs w:val="21"/>
          <w:highlight w:val="none"/>
        </w:rPr>
        <w:t>3.5.5未按采购文件的要求签字或盖章的（仅限于单位印章和法定代表人或其委托代理人签字）。</w:t>
      </w:r>
    </w:p>
    <w:p>
      <w:pPr>
        <w:snapToGrid w:val="0"/>
        <w:spacing w:line="520" w:lineRule="exact"/>
        <w:ind w:firstLine="382" w:firstLineChars="182"/>
        <w:outlineLvl w:val="1"/>
        <w:rPr>
          <w:rFonts w:ascii="宋体" w:cs="宋体"/>
          <w:color w:val="auto"/>
          <w:sz w:val="21"/>
          <w:szCs w:val="21"/>
          <w:highlight w:val="none"/>
        </w:rPr>
      </w:pPr>
      <w:r>
        <w:rPr>
          <w:rFonts w:hint="eastAsia" w:ascii="宋体" w:cs="宋体"/>
          <w:color w:val="auto"/>
          <w:sz w:val="21"/>
          <w:szCs w:val="21"/>
          <w:highlight w:val="none"/>
        </w:rPr>
        <w:t>3.5.6 参投项目的技术商务或价格与采购文件偏离的部分，不能使采购人满意，或实质性不响应投标文件的。</w:t>
      </w:r>
    </w:p>
    <w:p>
      <w:pPr>
        <w:snapToGrid w:val="0"/>
        <w:spacing w:line="520" w:lineRule="exact"/>
        <w:ind w:firstLine="382" w:firstLineChars="182"/>
        <w:outlineLvl w:val="1"/>
        <w:rPr>
          <w:rFonts w:ascii="宋体" w:cs="宋体"/>
          <w:color w:val="auto"/>
          <w:sz w:val="21"/>
          <w:szCs w:val="21"/>
          <w:highlight w:val="none"/>
        </w:rPr>
      </w:pPr>
      <w:r>
        <w:rPr>
          <w:rFonts w:hint="eastAsia" w:ascii="宋体" w:cs="宋体"/>
          <w:color w:val="auto"/>
          <w:sz w:val="21"/>
          <w:szCs w:val="21"/>
          <w:highlight w:val="none"/>
        </w:rPr>
        <w:t>3.5.7技术商务标中体现或包含投标报价。</w:t>
      </w:r>
    </w:p>
    <w:p>
      <w:pPr>
        <w:snapToGrid w:val="0"/>
        <w:spacing w:line="520" w:lineRule="exact"/>
        <w:ind w:firstLine="382" w:firstLineChars="182"/>
        <w:outlineLvl w:val="1"/>
        <w:rPr>
          <w:rFonts w:ascii="宋体" w:cs="宋体"/>
          <w:color w:val="auto"/>
          <w:sz w:val="21"/>
          <w:szCs w:val="21"/>
          <w:highlight w:val="none"/>
        </w:rPr>
      </w:pPr>
      <w:r>
        <w:rPr>
          <w:rFonts w:hint="eastAsia" w:ascii="宋体" w:cs="宋体"/>
          <w:color w:val="auto"/>
          <w:sz w:val="21"/>
          <w:szCs w:val="21"/>
          <w:highlight w:val="none"/>
        </w:rPr>
        <w:t>3.5.8投标中不同投标人的投标文件出现雷同或相似（包括部分雷同或相似），对所有雷同或相似投标文件按废标处理，采购人将保留进一步追究责任的权利。</w:t>
      </w:r>
    </w:p>
    <w:p>
      <w:pPr>
        <w:snapToGrid w:val="0"/>
        <w:spacing w:line="520" w:lineRule="exact"/>
        <w:ind w:firstLine="382" w:firstLineChars="182"/>
        <w:outlineLvl w:val="1"/>
        <w:rPr>
          <w:rFonts w:ascii="宋体" w:cs="宋体"/>
          <w:color w:val="auto"/>
          <w:sz w:val="21"/>
          <w:szCs w:val="21"/>
          <w:highlight w:val="none"/>
        </w:rPr>
      </w:pPr>
      <w:r>
        <w:rPr>
          <w:rFonts w:hint="eastAsia" w:ascii="宋体" w:cs="宋体"/>
          <w:color w:val="auto"/>
          <w:sz w:val="21"/>
          <w:szCs w:val="21"/>
          <w:highlight w:val="none"/>
        </w:rPr>
        <w:t>3.5.9投标人递交二份内容不同的投标文件，或在一份投标文件中对同一项目</w:t>
      </w:r>
      <w:r>
        <w:rPr>
          <w:rFonts w:hint="eastAsia" w:ascii="宋体" w:cs="宋体"/>
          <w:color w:val="auto"/>
          <w:sz w:val="21"/>
          <w:szCs w:val="21"/>
          <w:highlight w:val="none"/>
          <w:lang w:eastAsia="zh-CN"/>
        </w:rPr>
        <w:t>有两个</w:t>
      </w:r>
      <w:r>
        <w:rPr>
          <w:rFonts w:hint="eastAsia" w:ascii="宋体" w:cs="宋体"/>
          <w:color w:val="auto"/>
          <w:sz w:val="21"/>
          <w:szCs w:val="21"/>
          <w:highlight w:val="none"/>
        </w:rPr>
        <w:t>或多个报价，且未声明哪个有效的。按照采购文件规定提交备选投标方案的除外。</w:t>
      </w:r>
    </w:p>
    <w:p>
      <w:pPr>
        <w:snapToGrid w:val="0"/>
        <w:spacing w:line="520" w:lineRule="exact"/>
        <w:ind w:firstLine="382" w:firstLineChars="182"/>
        <w:outlineLvl w:val="1"/>
        <w:rPr>
          <w:rFonts w:ascii="宋体" w:cs="宋体"/>
          <w:color w:val="auto"/>
          <w:sz w:val="21"/>
          <w:szCs w:val="21"/>
          <w:highlight w:val="none"/>
        </w:rPr>
      </w:pPr>
      <w:r>
        <w:rPr>
          <w:rFonts w:hint="eastAsia" w:ascii="宋体" w:cs="宋体"/>
          <w:color w:val="auto"/>
          <w:sz w:val="21"/>
          <w:szCs w:val="21"/>
          <w:highlight w:val="none"/>
        </w:rPr>
        <w:t>3.5.10投标人名称或组织结构与资格审查时不一致，投标人不以自己真正身份参加投标，以挂户或以他人名义参与投标的。投标人不具备独立法定代表人资格或不具有独立承担民事责任能力的（如分公司、办事处等）。投标人参加政府采购活动前三年内在经营活动中有重大违法记录的。</w:t>
      </w:r>
    </w:p>
    <w:p>
      <w:pPr>
        <w:snapToGrid w:val="0"/>
        <w:spacing w:line="520" w:lineRule="exact"/>
        <w:ind w:firstLine="382" w:firstLineChars="182"/>
        <w:outlineLvl w:val="1"/>
        <w:rPr>
          <w:rFonts w:ascii="宋体" w:cs="宋体"/>
          <w:color w:val="auto"/>
          <w:sz w:val="21"/>
          <w:szCs w:val="21"/>
          <w:highlight w:val="none"/>
        </w:rPr>
      </w:pPr>
      <w:r>
        <w:rPr>
          <w:rFonts w:hint="eastAsia" w:ascii="宋体" w:cs="宋体"/>
          <w:color w:val="auto"/>
          <w:sz w:val="21"/>
          <w:szCs w:val="21"/>
          <w:highlight w:val="none"/>
        </w:rPr>
        <w:t>3.5.11未实质性响应采购文件要求或者投标文件有采购人不能接受的附加条件的。</w:t>
      </w:r>
    </w:p>
    <w:p>
      <w:pPr>
        <w:snapToGrid w:val="0"/>
        <w:spacing w:line="520" w:lineRule="exact"/>
        <w:ind w:firstLine="382" w:firstLineChars="182"/>
        <w:outlineLvl w:val="1"/>
        <w:rPr>
          <w:rFonts w:ascii="宋体" w:cs="宋体"/>
          <w:color w:val="auto"/>
          <w:sz w:val="21"/>
          <w:szCs w:val="21"/>
          <w:highlight w:val="none"/>
        </w:rPr>
      </w:pPr>
      <w:r>
        <w:rPr>
          <w:rFonts w:hint="eastAsia" w:ascii="宋体" w:cs="宋体"/>
          <w:color w:val="auto"/>
          <w:sz w:val="21"/>
          <w:szCs w:val="21"/>
          <w:highlight w:val="none"/>
        </w:rPr>
        <w:t>3.5.12投标人的报价超过最高限价的</w:t>
      </w:r>
      <w:r>
        <w:rPr>
          <w:rFonts w:hint="eastAsia" w:ascii="宋体" w:cs="宋体"/>
          <w:color w:val="auto"/>
          <w:sz w:val="21"/>
          <w:szCs w:val="21"/>
          <w:highlight w:val="none"/>
          <w:lang w:eastAsia="zh-CN"/>
        </w:rPr>
        <w:t>和其他</w:t>
      </w:r>
      <w:r>
        <w:rPr>
          <w:rFonts w:hint="eastAsia" w:ascii="宋体" w:cs="宋体"/>
          <w:color w:val="auto"/>
          <w:sz w:val="21"/>
          <w:szCs w:val="21"/>
          <w:highlight w:val="none"/>
        </w:rPr>
        <w:t>不符合《</w:t>
      </w:r>
      <w:r>
        <w:rPr>
          <w:rFonts w:hint="eastAsia" w:ascii="宋体" w:cs="宋体"/>
          <w:color w:val="auto"/>
          <w:sz w:val="21"/>
          <w:szCs w:val="21"/>
          <w:highlight w:val="none"/>
          <w:lang w:eastAsia="zh-CN"/>
        </w:rPr>
        <w:t>中华人民共和国政府采购法</w:t>
      </w:r>
      <w:r>
        <w:rPr>
          <w:rFonts w:hint="eastAsia" w:ascii="宋体" w:cs="宋体"/>
          <w:color w:val="auto"/>
          <w:sz w:val="21"/>
          <w:szCs w:val="21"/>
          <w:highlight w:val="none"/>
        </w:rPr>
        <w:t>》或省、市有关政府采购</w:t>
      </w:r>
      <w:r>
        <w:rPr>
          <w:rFonts w:hint="eastAsia" w:ascii="宋体" w:cs="宋体"/>
          <w:color w:val="auto"/>
          <w:sz w:val="21"/>
          <w:szCs w:val="21"/>
          <w:highlight w:val="none"/>
          <w:lang w:eastAsia="zh-CN"/>
        </w:rPr>
        <w:t>法律法规</w:t>
      </w:r>
      <w:r>
        <w:rPr>
          <w:rFonts w:hint="eastAsia" w:ascii="宋体" w:cs="宋体"/>
          <w:color w:val="auto"/>
          <w:sz w:val="21"/>
          <w:szCs w:val="21"/>
          <w:highlight w:val="none"/>
        </w:rPr>
        <w:t>要求的。</w:t>
      </w:r>
    </w:p>
    <w:p>
      <w:pPr>
        <w:snapToGrid w:val="0"/>
        <w:spacing w:line="520" w:lineRule="exact"/>
        <w:ind w:firstLine="384" w:firstLineChars="182"/>
        <w:outlineLvl w:val="1"/>
        <w:rPr>
          <w:rFonts w:ascii="宋体" w:cs="宋体"/>
          <w:b/>
          <w:bCs/>
          <w:color w:val="auto"/>
          <w:sz w:val="21"/>
          <w:szCs w:val="21"/>
          <w:highlight w:val="none"/>
        </w:rPr>
      </w:pPr>
      <w:r>
        <w:rPr>
          <w:rFonts w:hint="eastAsia" w:ascii="宋体" w:cs="宋体"/>
          <w:b/>
          <w:bCs/>
          <w:color w:val="auto"/>
          <w:sz w:val="21"/>
          <w:szCs w:val="21"/>
          <w:highlight w:val="none"/>
        </w:rPr>
        <w:t>四、投标文件的澄清</w:t>
      </w:r>
    </w:p>
    <w:p>
      <w:pPr>
        <w:spacing w:line="520" w:lineRule="exact"/>
        <w:ind w:right="120" w:firstLine="420" w:firstLineChars="200"/>
        <w:rPr>
          <w:rFonts w:ascii="宋体" w:cs="宋体"/>
          <w:color w:val="auto"/>
          <w:sz w:val="21"/>
          <w:szCs w:val="21"/>
          <w:highlight w:val="none"/>
        </w:rPr>
      </w:pPr>
      <w:r>
        <w:rPr>
          <w:rFonts w:hint="eastAsia" w:ascii="宋体" w:cs="宋体"/>
          <w:color w:val="auto"/>
          <w:sz w:val="21"/>
          <w:szCs w:val="21"/>
          <w:highlight w:val="none"/>
        </w:rPr>
        <w:t>在评标期间，评标委员会可要求投标人对其投标文件进行澄清，但不得寻求、提供或允许对投标价格等实质性内容作任何更改。有关澄清的要求和答复均通过电子化平台进行。</w:t>
      </w:r>
    </w:p>
    <w:p>
      <w:pPr>
        <w:snapToGrid w:val="0"/>
        <w:spacing w:line="520" w:lineRule="exact"/>
        <w:ind w:firstLine="384" w:firstLineChars="182"/>
        <w:outlineLvl w:val="1"/>
        <w:rPr>
          <w:rFonts w:ascii="宋体" w:cs="宋体"/>
          <w:b/>
          <w:bCs/>
          <w:color w:val="auto"/>
          <w:sz w:val="21"/>
          <w:szCs w:val="21"/>
          <w:highlight w:val="none"/>
        </w:rPr>
      </w:pPr>
      <w:r>
        <w:rPr>
          <w:rFonts w:hint="eastAsia" w:ascii="宋体" w:cs="宋体"/>
          <w:b/>
          <w:bCs/>
          <w:color w:val="auto"/>
          <w:sz w:val="21"/>
          <w:szCs w:val="21"/>
          <w:highlight w:val="none"/>
        </w:rPr>
        <w:t>五、对投标文件的评估和比较</w:t>
      </w:r>
    </w:p>
    <w:p>
      <w:pPr>
        <w:spacing w:line="520" w:lineRule="exact"/>
        <w:ind w:right="120" w:firstLine="420" w:firstLineChars="200"/>
        <w:rPr>
          <w:rFonts w:ascii="宋体" w:cs="宋体"/>
          <w:b/>
          <w:bCs/>
          <w:color w:val="auto"/>
          <w:sz w:val="21"/>
          <w:szCs w:val="21"/>
          <w:highlight w:val="none"/>
        </w:rPr>
      </w:pPr>
      <w:r>
        <w:rPr>
          <w:rFonts w:hint="eastAsia" w:ascii="宋体" w:cs="宋体"/>
          <w:color w:val="auto"/>
          <w:sz w:val="21"/>
          <w:szCs w:val="21"/>
          <w:highlight w:val="none"/>
        </w:rPr>
        <w:t>5.1 由评标委员会对各投标文件的全部内容进行审阅，并确定各投标文件是否合格有效。凡是对采购文件的实质性要约内容不作响应的投标，将被视为不合格的投标，而不予接受。经过评标，对其投标文件中</w:t>
      </w:r>
      <w:r>
        <w:rPr>
          <w:rFonts w:hint="eastAsia" w:ascii="宋体" w:cs="宋体"/>
          <w:color w:val="auto"/>
          <w:sz w:val="21"/>
          <w:szCs w:val="21"/>
          <w:highlight w:val="none"/>
          <w:lang w:eastAsia="zh-CN"/>
        </w:rPr>
        <w:t>需要</w:t>
      </w:r>
      <w:r>
        <w:rPr>
          <w:rFonts w:hint="eastAsia" w:ascii="宋体" w:cs="宋体"/>
          <w:color w:val="auto"/>
          <w:sz w:val="21"/>
          <w:szCs w:val="21"/>
          <w:highlight w:val="none"/>
        </w:rPr>
        <w:t>进行澄清的问题，将由评标委员会向投标人进行询标，投标人应接受询标、澄清；其记录须经投标人的法定代表人或委托代理人确认，并应视作投标文件的补充，对投标人具有约束力。</w:t>
      </w:r>
      <w:r>
        <w:rPr>
          <w:rFonts w:hint="eastAsia" w:ascii="宋体" w:cs="宋体"/>
          <w:b/>
          <w:bCs/>
          <w:color w:val="auto"/>
          <w:sz w:val="21"/>
          <w:szCs w:val="21"/>
          <w:highlight w:val="none"/>
        </w:rPr>
        <w:t>评标过程中如发现有异常情况，由评委集体讨论决定。</w:t>
      </w:r>
    </w:p>
    <w:p>
      <w:pPr>
        <w:spacing w:line="520" w:lineRule="exact"/>
        <w:ind w:right="120" w:firstLine="422" w:firstLineChars="200"/>
        <w:rPr>
          <w:rFonts w:ascii="宋体" w:cs="宋体"/>
          <w:b/>
          <w:color w:val="auto"/>
          <w:sz w:val="21"/>
          <w:szCs w:val="21"/>
          <w:highlight w:val="none"/>
        </w:rPr>
      </w:pPr>
      <w:r>
        <w:rPr>
          <w:rFonts w:hint="eastAsia" w:ascii="宋体" w:cs="宋体"/>
          <w:b/>
          <w:color w:val="auto"/>
          <w:sz w:val="21"/>
          <w:szCs w:val="21"/>
          <w:highlight w:val="none"/>
        </w:rPr>
        <w:t>5.2若本项目采购响应（指投标或谈判、报价）截止</w:t>
      </w:r>
      <w:r>
        <w:rPr>
          <w:rFonts w:hint="eastAsia" w:ascii="宋体" w:cs="宋体"/>
          <w:b/>
          <w:color w:val="auto"/>
          <w:sz w:val="21"/>
          <w:szCs w:val="21"/>
          <w:highlight w:val="none"/>
          <w:lang w:eastAsia="zh-CN"/>
        </w:rPr>
        <w:t>时间</w:t>
      </w:r>
      <w:r>
        <w:rPr>
          <w:rFonts w:hint="eastAsia" w:ascii="宋体" w:cs="宋体"/>
          <w:b/>
          <w:color w:val="auto"/>
          <w:sz w:val="21"/>
          <w:szCs w:val="21"/>
          <w:highlight w:val="none"/>
        </w:rPr>
        <w:t>及评审期间，出现有效投标人不足3家的，将依法重新组织采购活动或经评标委员会评审本次投标仍具有竞争力的，经采购人申请可继续采用原方式采购或者其他采购形式组织采购。</w:t>
      </w:r>
    </w:p>
    <w:p>
      <w:pPr>
        <w:widowControl/>
        <w:spacing w:line="520" w:lineRule="exact"/>
        <w:ind w:firstLine="422" w:firstLineChars="200"/>
        <w:jc w:val="left"/>
        <w:rPr>
          <w:rFonts w:ascii="宋体" w:cs="宋体"/>
          <w:b/>
          <w:color w:val="auto"/>
          <w:sz w:val="21"/>
          <w:szCs w:val="21"/>
          <w:highlight w:val="none"/>
        </w:rPr>
      </w:pPr>
      <w:r>
        <w:rPr>
          <w:rFonts w:hint="eastAsia" w:ascii="宋体" w:cs="宋体"/>
          <w:b/>
          <w:color w:val="auto"/>
          <w:sz w:val="21"/>
          <w:szCs w:val="21"/>
          <w:highlight w:val="none"/>
        </w:rPr>
        <w:t>5.3在评标、询标及调查考核的基础上，评标委员会按照平等、客观、公正的原则，先评技术商务标（含资信与服务），对合格的投标人进行技术商务分计算，再评价格标，审查价格标及其组价是否合理，最后按技术商务标、价格标情况，对采购项目做出评标结论，按本项目评标办法细则确定为中标人。（《评标细则》见后）。</w:t>
      </w:r>
    </w:p>
    <w:p>
      <w:pPr>
        <w:snapToGrid w:val="0"/>
        <w:spacing w:line="520" w:lineRule="exact"/>
        <w:ind w:firstLine="384" w:firstLineChars="182"/>
        <w:outlineLvl w:val="1"/>
        <w:rPr>
          <w:rFonts w:ascii="宋体" w:cs="宋体"/>
          <w:b/>
          <w:bCs/>
          <w:color w:val="auto"/>
          <w:sz w:val="21"/>
          <w:szCs w:val="21"/>
          <w:highlight w:val="none"/>
        </w:rPr>
      </w:pPr>
      <w:r>
        <w:rPr>
          <w:rFonts w:hint="eastAsia" w:ascii="宋体" w:cs="宋体"/>
          <w:b/>
          <w:bCs/>
          <w:color w:val="auto"/>
          <w:sz w:val="21"/>
          <w:szCs w:val="21"/>
          <w:highlight w:val="none"/>
        </w:rPr>
        <w:t>6.评审原则</w:t>
      </w:r>
    </w:p>
    <w:p>
      <w:pPr>
        <w:snapToGrid w:val="0"/>
        <w:spacing w:line="520" w:lineRule="exact"/>
        <w:ind w:firstLine="384" w:firstLineChars="182"/>
        <w:outlineLvl w:val="1"/>
        <w:rPr>
          <w:rFonts w:ascii="宋体" w:cs="宋体"/>
          <w:b/>
          <w:bCs/>
          <w:color w:val="auto"/>
          <w:sz w:val="21"/>
          <w:szCs w:val="21"/>
          <w:highlight w:val="none"/>
        </w:rPr>
      </w:pPr>
      <w:r>
        <w:rPr>
          <w:rFonts w:hint="eastAsia" w:ascii="宋体" w:cs="宋体"/>
          <w:b/>
          <w:bCs/>
          <w:color w:val="auto"/>
          <w:sz w:val="21"/>
          <w:szCs w:val="21"/>
          <w:highlight w:val="none"/>
        </w:rPr>
        <w:t>6.1 评标委员会必须公平、公正、客观，不带任何倾向性和启发性；不得向外界透露任何与评标有关的内容；任何单位和个人不得干扰、影响评标的正常进行；评标委员会及有关工作人员不得私下与投标人接触。</w:t>
      </w:r>
    </w:p>
    <w:p>
      <w:pPr>
        <w:snapToGrid w:val="0"/>
        <w:spacing w:line="520" w:lineRule="exact"/>
        <w:ind w:firstLine="384" w:firstLineChars="182"/>
        <w:outlineLvl w:val="1"/>
        <w:rPr>
          <w:rFonts w:ascii="宋体" w:cs="宋体"/>
          <w:b/>
          <w:bCs/>
          <w:color w:val="auto"/>
          <w:sz w:val="21"/>
          <w:szCs w:val="21"/>
          <w:highlight w:val="none"/>
        </w:rPr>
      </w:pPr>
      <w:r>
        <w:rPr>
          <w:rFonts w:hint="eastAsia" w:ascii="宋体" w:cs="宋体"/>
          <w:b/>
          <w:bCs/>
          <w:color w:val="auto"/>
          <w:sz w:val="21"/>
          <w:szCs w:val="21"/>
          <w:highlight w:val="none"/>
        </w:rPr>
        <w:t>6.2 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并告知投标人择期重新评审的时间和地点。</w:t>
      </w:r>
    </w:p>
    <w:p>
      <w:pPr>
        <w:snapToGrid w:val="0"/>
        <w:spacing w:line="420" w:lineRule="exact"/>
        <w:ind w:firstLine="384" w:firstLineChars="182"/>
        <w:outlineLvl w:val="1"/>
        <w:rPr>
          <w:rFonts w:ascii="宋体" w:cs="宋体"/>
          <w:b/>
          <w:bCs/>
          <w:color w:val="auto"/>
          <w:sz w:val="21"/>
          <w:szCs w:val="21"/>
          <w:highlight w:val="none"/>
        </w:rPr>
      </w:pPr>
      <w:r>
        <w:rPr>
          <w:rFonts w:hint="eastAsia" w:ascii="宋体" w:cs="宋体"/>
          <w:b/>
          <w:bCs/>
          <w:color w:val="auto"/>
          <w:sz w:val="21"/>
          <w:szCs w:val="21"/>
          <w:highlight w:val="none"/>
        </w:rPr>
        <w:t>6.3 评审人员对有关采购文件、投标文件、现场演示（如有）的说明、解释、要求、标准存在不同意见的，持不同意见的评审人员及其意见或理由应予以完整记录，并在评审过程中按照少数服从多数的原则表决执行。对采购文件本身不明确或存在歧义、矛盾的内容，应作对投标人而非采购人有利的解释；对因采购文件中有关产品技术参数需求表述不清导致投标人实质性响应不一致时，应终止评审，重新组织采购。评审人员拒绝在评审报告中签字又不说明其不同意见或理由的，由现场监督员记录在案后，可视为同意评审结果。</w:t>
      </w:r>
    </w:p>
    <w:p>
      <w:pPr>
        <w:snapToGrid w:val="0"/>
        <w:spacing w:line="520" w:lineRule="exact"/>
        <w:ind w:firstLine="384" w:firstLineChars="182"/>
        <w:outlineLvl w:val="1"/>
        <w:rPr>
          <w:rFonts w:ascii="宋体" w:cs="宋体"/>
          <w:b/>
          <w:bCs/>
          <w:color w:val="auto"/>
          <w:sz w:val="21"/>
          <w:szCs w:val="21"/>
          <w:highlight w:val="none"/>
        </w:rPr>
      </w:pPr>
      <w:r>
        <w:rPr>
          <w:rFonts w:hint="eastAsia" w:ascii="宋体" w:cs="宋体"/>
          <w:b/>
          <w:bCs/>
          <w:color w:val="auto"/>
          <w:sz w:val="21"/>
          <w:szCs w:val="21"/>
          <w:highlight w:val="none"/>
        </w:rPr>
        <w:t>七、保密</w:t>
      </w:r>
    </w:p>
    <w:p>
      <w:pPr>
        <w:snapToGrid w:val="0"/>
        <w:spacing w:line="520" w:lineRule="exact"/>
        <w:ind w:firstLine="382" w:firstLineChars="182"/>
        <w:outlineLvl w:val="1"/>
        <w:rPr>
          <w:rFonts w:ascii="宋体" w:cs="宋体"/>
          <w:color w:val="auto"/>
          <w:sz w:val="21"/>
          <w:szCs w:val="21"/>
          <w:highlight w:val="none"/>
        </w:rPr>
      </w:pPr>
      <w:r>
        <w:rPr>
          <w:rFonts w:hint="eastAsia" w:ascii="宋体" w:cs="宋体"/>
          <w:color w:val="auto"/>
          <w:sz w:val="21"/>
          <w:szCs w:val="21"/>
          <w:highlight w:val="none"/>
        </w:rPr>
        <w:t>7.1 在开标、投标期间，投标人不得向评标委员会成员询问评标情况，不得进行旨在影响评标结果的活动。</w:t>
      </w:r>
    </w:p>
    <w:p>
      <w:pPr>
        <w:snapToGrid w:val="0"/>
        <w:spacing w:line="520" w:lineRule="exact"/>
        <w:ind w:firstLine="382" w:firstLineChars="182"/>
        <w:outlineLvl w:val="1"/>
        <w:rPr>
          <w:rFonts w:ascii="宋体" w:cs="宋体"/>
          <w:color w:val="auto"/>
          <w:sz w:val="21"/>
          <w:szCs w:val="21"/>
          <w:highlight w:val="none"/>
        </w:rPr>
      </w:pPr>
      <w:r>
        <w:rPr>
          <w:rFonts w:hint="eastAsia" w:ascii="宋体" w:cs="宋体"/>
          <w:color w:val="auto"/>
          <w:sz w:val="21"/>
          <w:szCs w:val="21"/>
          <w:highlight w:val="none"/>
        </w:rPr>
        <w:t>7.2 为保证定标的公正性，在评标过程中，评标成员不得与投标人私人交换意见。在采购工作结束后，凡与评标情况有接触的任何人不得也不应将评标情况扩散出评标成员之外。</w:t>
      </w:r>
    </w:p>
    <w:p>
      <w:pPr>
        <w:snapToGrid w:val="0"/>
        <w:spacing w:line="520" w:lineRule="exact"/>
        <w:ind w:firstLine="382" w:firstLineChars="182"/>
        <w:outlineLvl w:val="1"/>
        <w:rPr>
          <w:rFonts w:ascii="宋体" w:cs="宋体"/>
          <w:color w:val="auto"/>
          <w:sz w:val="21"/>
          <w:szCs w:val="21"/>
          <w:highlight w:val="none"/>
        </w:rPr>
      </w:pPr>
      <w:r>
        <w:rPr>
          <w:rFonts w:hint="eastAsia" w:ascii="宋体" w:cs="宋体"/>
          <w:color w:val="auto"/>
          <w:sz w:val="21"/>
          <w:szCs w:val="21"/>
          <w:highlight w:val="none"/>
        </w:rPr>
        <w:t>7.3 评标委员会不向落标方解释未中标原因，不退还投标文件。</w:t>
      </w:r>
    </w:p>
    <w:p>
      <w:pPr>
        <w:snapToGrid w:val="0"/>
        <w:spacing w:line="520" w:lineRule="exact"/>
        <w:ind w:firstLine="384" w:firstLineChars="182"/>
        <w:outlineLvl w:val="1"/>
        <w:rPr>
          <w:rFonts w:ascii="宋体" w:cs="宋体"/>
          <w:b/>
          <w:bCs/>
          <w:color w:val="auto"/>
          <w:sz w:val="21"/>
          <w:szCs w:val="21"/>
          <w:highlight w:val="none"/>
        </w:rPr>
      </w:pPr>
      <w:r>
        <w:rPr>
          <w:rFonts w:hint="eastAsia" w:ascii="宋体" w:cs="宋体"/>
          <w:b/>
          <w:bCs/>
          <w:color w:val="auto"/>
          <w:sz w:val="21"/>
          <w:szCs w:val="21"/>
          <w:highlight w:val="none"/>
        </w:rPr>
        <w:t>八、定标</w:t>
      </w:r>
    </w:p>
    <w:p>
      <w:pPr>
        <w:snapToGrid w:val="0"/>
        <w:spacing w:line="520" w:lineRule="exact"/>
        <w:ind w:firstLine="382" w:firstLineChars="182"/>
        <w:outlineLvl w:val="1"/>
        <w:rPr>
          <w:rFonts w:ascii="宋体" w:cs="宋体"/>
          <w:color w:val="auto"/>
          <w:sz w:val="21"/>
          <w:szCs w:val="21"/>
          <w:highlight w:val="none"/>
        </w:rPr>
      </w:pPr>
      <w:r>
        <w:rPr>
          <w:rFonts w:hint="eastAsia" w:ascii="宋体" w:cs="宋体"/>
          <w:color w:val="auto"/>
          <w:sz w:val="21"/>
          <w:szCs w:val="21"/>
          <w:highlight w:val="none"/>
        </w:rPr>
        <w:t>8.1评标结束后，由采购人确认评标结果并报兰溪市政府采购监督管理办公室备案，中标人公告后2个工作日内向招标人领取中标通知书。如有投标人对评标结果提出质疑的，采购人可在质疑处理完毕后确定中标人。</w:t>
      </w:r>
    </w:p>
    <w:p>
      <w:pPr>
        <w:snapToGrid w:val="0"/>
        <w:spacing w:line="520" w:lineRule="exact"/>
        <w:ind w:firstLine="382" w:firstLineChars="182"/>
        <w:outlineLvl w:val="1"/>
        <w:rPr>
          <w:rFonts w:ascii="宋体" w:cs="宋体"/>
          <w:color w:val="auto"/>
          <w:sz w:val="21"/>
          <w:szCs w:val="21"/>
          <w:highlight w:val="none"/>
        </w:rPr>
      </w:pPr>
      <w:r>
        <w:rPr>
          <w:rFonts w:hint="eastAsia" w:ascii="宋体" w:cs="宋体"/>
          <w:color w:val="auto"/>
          <w:sz w:val="21"/>
          <w:szCs w:val="21"/>
          <w:highlight w:val="none"/>
        </w:rPr>
        <w:t>8.2 《中标通知书》将作为签订合同的重要依据。</w:t>
      </w:r>
    </w:p>
    <w:p>
      <w:pPr>
        <w:snapToGrid w:val="0"/>
        <w:spacing w:line="520" w:lineRule="exact"/>
        <w:ind w:firstLine="384" w:firstLineChars="182"/>
        <w:outlineLvl w:val="1"/>
        <w:rPr>
          <w:rFonts w:ascii="宋体" w:cs="宋体"/>
          <w:b/>
          <w:bCs/>
          <w:color w:val="auto"/>
          <w:sz w:val="21"/>
          <w:szCs w:val="21"/>
          <w:highlight w:val="none"/>
        </w:rPr>
      </w:pPr>
      <w:r>
        <w:rPr>
          <w:rFonts w:hint="eastAsia" w:ascii="宋体" w:cs="宋体"/>
          <w:b/>
          <w:bCs/>
          <w:color w:val="auto"/>
          <w:sz w:val="21"/>
          <w:szCs w:val="21"/>
          <w:highlight w:val="none"/>
        </w:rPr>
        <w:t>九、签订合同</w:t>
      </w:r>
    </w:p>
    <w:p>
      <w:pPr>
        <w:snapToGrid w:val="0"/>
        <w:spacing w:line="520" w:lineRule="exact"/>
        <w:ind w:firstLine="382" w:firstLineChars="182"/>
        <w:outlineLvl w:val="1"/>
        <w:rPr>
          <w:rFonts w:ascii="宋体" w:cs="宋体"/>
          <w:color w:val="auto"/>
          <w:sz w:val="21"/>
          <w:szCs w:val="21"/>
          <w:highlight w:val="none"/>
        </w:rPr>
      </w:pPr>
      <w:r>
        <w:rPr>
          <w:rFonts w:hint="eastAsia" w:ascii="宋体" w:cs="宋体"/>
          <w:color w:val="auto"/>
          <w:sz w:val="21"/>
          <w:szCs w:val="21"/>
          <w:highlight w:val="none"/>
        </w:rPr>
        <w:t xml:space="preserve">9.1中标人按《中标通知书》指定的时间、地点与采购人签订合同。同时，招标人对合同内容进行审查，如发现与采购结果和投标承诺内容不一致的，应予以纠正。 </w:t>
      </w:r>
    </w:p>
    <w:p>
      <w:pPr>
        <w:snapToGrid w:val="0"/>
        <w:spacing w:line="520" w:lineRule="exact"/>
        <w:ind w:firstLine="382" w:firstLineChars="182"/>
        <w:outlineLvl w:val="1"/>
        <w:rPr>
          <w:rFonts w:ascii="宋体" w:cs="宋体"/>
          <w:color w:val="auto"/>
          <w:sz w:val="21"/>
          <w:szCs w:val="21"/>
          <w:highlight w:val="none"/>
        </w:rPr>
      </w:pPr>
      <w:r>
        <w:rPr>
          <w:rFonts w:hint="eastAsia" w:ascii="宋体" w:cs="宋体"/>
          <w:color w:val="auto"/>
          <w:sz w:val="21"/>
          <w:szCs w:val="21"/>
          <w:highlight w:val="none"/>
        </w:rPr>
        <w:t>9.2采购文件、中标人的投标文件及澄清文件等，均为签订采购合同的依据。</w:t>
      </w:r>
    </w:p>
    <w:p>
      <w:pPr>
        <w:snapToGrid w:val="0"/>
        <w:spacing w:line="520" w:lineRule="exact"/>
        <w:ind w:firstLine="382" w:firstLineChars="182"/>
        <w:outlineLvl w:val="1"/>
        <w:rPr>
          <w:rFonts w:ascii="宋体" w:cs="宋体"/>
          <w:color w:val="auto"/>
          <w:sz w:val="21"/>
          <w:szCs w:val="21"/>
          <w:highlight w:val="none"/>
        </w:rPr>
      </w:pPr>
      <w:r>
        <w:rPr>
          <w:rFonts w:hint="eastAsia" w:ascii="宋体" w:cs="宋体"/>
          <w:color w:val="auto"/>
          <w:sz w:val="21"/>
          <w:szCs w:val="21"/>
          <w:highlight w:val="none"/>
        </w:rPr>
        <w:t>9.3中标人拖延、拒签合同的，取消中标资格。</w:t>
      </w:r>
    </w:p>
    <w:p>
      <w:pPr>
        <w:pStyle w:val="4"/>
        <w:rPr>
          <w:rFonts w:ascii="宋体" w:eastAsia="宋体" w:cs="宋体"/>
          <w:color w:val="auto"/>
          <w:sz w:val="21"/>
          <w:szCs w:val="21"/>
          <w:highlight w:val="none"/>
        </w:rPr>
      </w:pPr>
    </w:p>
    <w:p>
      <w:pPr>
        <w:rPr>
          <w:rFonts w:ascii="宋体" w:cs="宋体"/>
          <w:color w:val="auto"/>
          <w:sz w:val="21"/>
          <w:szCs w:val="21"/>
          <w:highlight w:val="none"/>
        </w:rPr>
      </w:pPr>
    </w:p>
    <w:p>
      <w:pPr>
        <w:rPr>
          <w:color w:val="auto"/>
          <w:highlight w:val="none"/>
        </w:rPr>
      </w:pPr>
    </w:p>
    <w:p>
      <w:pPr>
        <w:pStyle w:val="38"/>
        <w:rPr>
          <w:color w:val="auto"/>
          <w:highlight w:val="none"/>
        </w:rPr>
      </w:pPr>
    </w:p>
    <w:p>
      <w:pPr>
        <w:pStyle w:val="51"/>
        <w:rPr>
          <w:color w:val="auto"/>
          <w:highlight w:val="none"/>
        </w:rPr>
      </w:pPr>
    </w:p>
    <w:p>
      <w:pPr>
        <w:rPr>
          <w:color w:val="auto"/>
          <w:highlight w:val="none"/>
        </w:rPr>
      </w:pPr>
    </w:p>
    <w:p>
      <w:pPr>
        <w:pStyle w:val="38"/>
        <w:rPr>
          <w:color w:val="auto"/>
          <w:highlight w:val="none"/>
        </w:rPr>
      </w:pPr>
    </w:p>
    <w:p>
      <w:pPr>
        <w:pStyle w:val="51"/>
        <w:rPr>
          <w:color w:val="auto"/>
          <w:highlight w:val="none"/>
        </w:rPr>
      </w:pPr>
    </w:p>
    <w:p>
      <w:pPr>
        <w:rPr>
          <w:color w:val="auto"/>
          <w:highlight w:val="none"/>
        </w:rPr>
      </w:pPr>
    </w:p>
    <w:p>
      <w:pPr>
        <w:pStyle w:val="38"/>
        <w:rPr>
          <w:color w:val="auto"/>
          <w:highlight w:val="none"/>
        </w:rPr>
      </w:pPr>
    </w:p>
    <w:p>
      <w:pPr>
        <w:pStyle w:val="51"/>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pStyle w:val="23"/>
        <w:keepNext w:val="0"/>
        <w:keepLines w:val="0"/>
        <w:pageBreakBefore w:val="0"/>
        <w:widowControl w:val="0"/>
        <w:numPr>
          <w:ilvl w:val="0"/>
          <w:numId w:val="8"/>
        </w:numPr>
        <w:kinsoku/>
        <w:wordWrap/>
        <w:overflowPunct/>
        <w:topLinePunct w:val="0"/>
        <w:autoSpaceDE/>
        <w:autoSpaceDN/>
        <w:bidi w:val="0"/>
        <w:adjustRightInd/>
        <w:snapToGrid w:val="0"/>
        <w:spacing w:before="0" w:after="0" w:line="640" w:lineRule="exact"/>
        <w:jc w:val="center"/>
        <w:textAlignment w:val="auto"/>
        <w:outlineLvl w:val="0"/>
        <w:rPr>
          <w:rFonts w:cs="宋体"/>
          <w:b/>
          <w:color w:val="auto"/>
          <w:sz w:val="32"/>
          <w:szCs w:val="32"/>
          <w:highlight w:val="none"/>
        </w:rPr>
      </w:pPr>
      <w:r>
        <w:rPr>
          <w:rFonts w:hint="eastAsia" w:cs="宋体"/>
          <w:b/>
          <w:color w:val="auto"/>
          <w:sz w:val="32"/>
          <w:szCs w:val="32"/>
          <w:highlight w:val="none"/>
        </w:rPr>
        <w:t xml:space="preserve"> 评 标 细 则</w:t>
      </w:r>
    </w:p>
    <w:p>
      <w:pPr>
        <w:snapToGrid w:val="0"/>
        <w:spacing w:line="500" w:lineRule="exact"/>
        <w:ind w:firstLine="420" w:firstLineChars="200"/>
        <w:outlineLvl w:val="1"/>
        <w:rPr>
          <w:rFonts w:hint="eastAsia" w:ascii="宋体" w:hAnsi="宋体" w:cs="宋体"/>
          <w:color w:val="auto"/>
          <w:sz w:val="21"/>
          <w:szCs w:val="21"/>
          <w:highlight w:val="none"/>
        </w:rPr>
      </w:pPr>
      <w:r>
        <w:rPr>
          <w:rFonts w:hint="eastAsia" w:ascii="宋体" w:hAnsi="宋体" w:cs="宋体"/>
          <w:color w:val="auto"/>
          <w:sz w:val="21"/>
          <w:szCs w:val="21"/>
          <w:highlight w:val="none"/>
        </w:rPr>
        <w:t>根据《中华人民共和国政府采购法》、《中华人民共和国招标投标法》、《浙江省财政厅关于印发浙江省政府采购项目电子交易管理暂行办法的通知》（浙财采监〔2019〕10 号）以及兰溪市的有关规定，更好地做到公开、公平、公正，结合本次采购的特点，特制定本评标定标办法。</w:t>
      </w:r>
    </w:p>
    <w:p>
      <w:pPr>
        <w:snapToGrid w:val="0"/>
        <w:spacing w:line="500" w:lineRule="exact"/>
        <w:ind w:firstLine="422" w:firstLineChars="200"/>
        <w:outlineLvl w:val="1"/>
        <w:rPr>
          <w:rFonts w:hint="eastAsia" w:ascii="宋体" w:hAnsi="宋体" w:cs="宋体"/>
          <w:b/>
          <w:color w:val="auto"/>
          <w:sz w:val="21"/>
          <w:szCs w:val="21"/>
          <w:highlight w:val="none"/>
        </w:rPr>
      </w:pPr>
      <w:r>
        <w:rPr>
          <w:rFonts w:hint="eastAsia" w:ascii="宋体" w:hAnsi="宋体" w:cs="宋体"/>
          <w:b/>
          <w:color w:val="auto"/>
          <w:sz w:val="21"/>
          <w:szCs w:val="21"/>
          <w:highlight w:val="none"/>
        </w:rPr>
        <w:t>一 、评标组织</w:t>
      </w:r>
    </w:p>
    <w:p>
      <w:pPr>
        <w:snapToGrid w:val="0"/>
        <w:spacing w:line="500" w:lineRule="exact"/>
        <w:ind w:firstLine="420" w:firstLineChars="200"/>
        <w:outlineLvl w:val="1"/>
        <w:rPr>
          <w:rFonts w:hint="eastAsia" w:ascii="宋体" w:hAnsi="宋体" w:cs="宋体"/>
          <w:color w:val="auto"/>
          <w:sz w:val="21"/>
          <w:szCs w:val="21"/>
          <w:highlight w:val="none"/>
        </w:rPr>
      </w:pPr>
      <w:r>
        <w:rPr>
          <w:rFonts w:hint="eastAsia" w:ascii="宋体" w:hAnsi="宋体" w:cs="宋体"/>
          <w:color w:val="auto"/>
          <w:sz w:val="21"/>
          <w:szCs w:val="21"/>
          <w:highlight w:val="none"/>
        </w:rPr>
        <w:t>评标委员会由采购人代表和评审专家组成。</w:t>
      </w:r>
    </w:p>
    <w:p>
      <w:pPr>
        <w:snapToGrid w:val="0"/>
        <w:spacing w:line="400" w:lineRule="exact"/>
        <w:ind w:firstLine="422" w:firstLineChars="200"/>
        <w:outlineLvl w:val="1"/>
        <w:rPr>
          <w:rFonts w:hint="eastAsia" w:ascii="宋体" w:hAnsi="宋体" w:cs="宋体"/>
          <w:b/>
          <w:color w:val="auto"/>
          <w:sz w:val="21"/>
          <w:szCs w:val="21"/>
          <w:highlight w:val="none"/>
        </w:rPr>
      </w:pPr>
      <w:r>
        <w:rPr>
          <w:rFonts w:hint="eastAsia" w:ascii="宋体" w:hAnsi="宋体" w:cs="宋体"/>
          <w:b/>
          <w:color w:val="auto"/>
          <w:sz w:val="21"/>
          <w:szCs w:val="21"/>
          <w:highlight w:val="none"/>
        </w:rPr>
        <w:t>二、评审纪律和要求</w:t>
      </w:r>
    </w:p>
    <w:p>
      <w:pPr>
        <w:adjustRightInd w:val="0"/>
        <w:snapToGrid w:val="0"/>
        <w:spacing w:line="40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1.评审专家必须公平、公正评审，遵纪守法，客观、廉洁地履行职责。</w:t>
      </w:r>
    </w:p>
    <w:p>
      <w:pPr>
        <w:adjustRightInd w:val="0"/>
        <w:snapToGrid w:val="0"/>
        <w:spacing w:line="40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2.评审专家在评审开始前，应关闭并上交随身携带的各种通信工具。</w:t>
      </w:r>
    </w:p>
    <w:p>
      <w:pPr>
        <w:adjustRightInd w:val="0"/>
        <w:snapToGrid w:val="0"/>
        <w:spacing w:line="40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3.评审专家在评审过程中，未经许可不得中途离开评审现场，不得迟到早退。</w:t>
      </w:r>
    </w:p>
    <w:p>
      <w:pPr>
        <w:adjustRightInd w:val="0"/>
        <w:snapToGrid w:val="0"/>
        <w:spacing w:line="40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4.评审专家和工作人员不得透露评审过程中的讨论情况和评审结果。</w:t>
      </w:r>
    </w:p>
    <w:p>
      <w:pPr>
        <w:adjustRightInd w:val="0"/>
        <w:snapToGrid w:val="0"/>
        <w:spacing w:line="40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5.评审时，评审专家须按采购文件规定的程序、条件和标准，对投标人投标文件的合规性、完整性和有效性进行审查、比较和评估，其中对投标人的资格条件、主要技术参数、商务报价和其他评审要素等，评审专家应逐项进行审查、比较，不得漏评少评。如发现与采购文件要求相偏离的，应对其偏离情形进行必要的核实，并在工作底稿中予以说明；如属于实质性偏离或符合无效投标文件的，可询问投标人，并允许投标人进行陈述申辩，但不允许其对偏离条款进行补充、修正或撤回。</w:t>
      </w:r>
    </w:p>
    <w:p>
      <w:pPr>
        <w:adjustRightInd w:val="0"/>
        <w:snapToGrid w:val="0"/>
        <w:spacing w:line="40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6.采购人、招标人不得向评审委员会的评审专家</w:t>
      </w:r>
      <w:r>
        <w:rPr>
          <w:rFonts w:hint="eastAsia" w:ascii="宋体" w:hAnsi="宋体" w:cs="宋体"/>
          <w:color w:val="auto"/>
          <w:sz w:val="21"/>
          <w:szCs w:val="21"/>
          <w:highlight w:val="none"/>
          <w:lang w:eastAsia="zh-CN"/>
        </w:rPr>
        <w:t>做</w:t>
      </w:r>
      <w:r>
        <w:rPr>
          <w:rFonts w:hint="eastAsia" w:ascii="宋体" w:hAnsi="宋体" w:cs="宋体"/>
          <w:color w:val="auto"/>
          <w:sz w:val="21"/>
          <w:szCs w:val="21"/>
          <w:highlight w:val="none"/>
        </w:rPr>
        <w:t>倾向性、误导性的解释或者说明。</w:t>
      </w:r>
    </w:p>
    <w:p>
      <w:pPr>
        <w:adjustRightInd w:val="0"/>
        <w:snapToGrid w:val="0"/>
        <w:spacing w:line="40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7.招标人应当为评审专家提供必要的评审条件和相应的评审工作底稿，并严格按规定程序组织评审专家有步骤地进行项目评审，对各评审专家的评审情况和评审意见进行合理性和合规性审查，对明显畸高、畸低的重大差异评审情况（其总评分偏离平均分30%以上），提醒相关评审专家进行复核或书面说明理由。</w:t>
      </w:r>
    </w:p>
    <w:p>
      <w:pPr>
        <w:adjustRightInd w:val="0"/>
        <w:snapToGrid w:val="0"/>
        <w:spacing w:line="40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8.评审专家在评审过程中不得将自己的观点强加给其他评审专家，评审专家应自主发表见解，对评审意见承担个人责任。</w:t>
      </w:r>
    </w:p>
    <w:p>
      <w:pPr>
        <w:adjustRightInd w:val="0"/>
        <w:snapToGrid w:val="0"/>
        <w:spacing w:line="40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9.评审结束后，评审委员会应向招标人提交项目评审报告。评审报告是采购人确定中标人的合法依据，评审委员会应当如实、客观地反映评审情况，按采购文件的评审办法和细则的规定推荐中标候选人，说明推荐理由，并重点对中标候选人的技术、服务和价格等情况进行评价和比较。如排名第一的投标人报价为最高报价的，评审报告中须对其报价的合理性等进行分析和特别说明。</w:t>
      </w:r>
    </w:p>
    <w:p>
      <w:pPr>
        <w:adjustRightInd w:val="0"/>
        <w:snapToGrid w:val="0"/>
        <w:spacing w:line="40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10.评审专家应当独立、客观、公正地提出评审意见，不得带有倾向性，不得影响其他评审专家评审，并在评审报告上签字；如对评审报告有异议的，可在报告上签署不同意见，并说明理由，否则将视为同意。</w:t>
      </w:r>
    </w:p>
    <w:p>
      <w:pPr>
        <w:adjustRightInd w:val="0"/>
        <w:snapToGrid w:val="0"/>
        <w:spacing w:line="40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11.评审专家应当遵守评审工作纪律，不得泄露评审文件、评审情况和评审中获悉的商业秘密。</w:t>
      </w:r>
    </w:p>
    <w:p>
      <w:pPr>
        <w:adjustRightInd w:val="0"/>
        <w:snapToGrid w:val="0"/>
        <w:spacing w:line="40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评审委员会在评审过程中发现投标人有行贿、提供虚假材料或者串通等违法行为的，应当及时向财政部门报告。</w:t>
      </w:r>
    </w:p>
    <w:p>
      <w:pPr>
        <w:adjustRightInd w:val="0"/>
        <w:snapToGrid w:val="0"/>
        <w:spacing w:line="40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12.采购文件内容违反国家有关强制性规定的，评审委员会应当停止评审并向采购人说明情况。</w:t>
      </w:r>
    </w:p>
    <w:p>
      <w:pPr>
        <w:adjustRightInd w:val="0"/>
        <w:snapToGrid w:val="0"/>
        <w:spacing w:line="40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13.评审专家应当配合招标人和采购人答复投标人提出的质疑。</w:t>
      </w:r>
    </w:p>
    <w:p>
      <w:pPr>
        <w:adjustRightInd w:val="0"/>
        <w:snapToGrid w:val="0"/>
        <w:spacing w:line="40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14.评审专家应当配合财政部门的投诉处理工作。</w:t>
      </w:r>
    </w:p>
    <w:p>
      <w:pPr>
        <w:adjustRightInd w:val="0"/>
        <w:snapToGrid w:val="0"/>
        <w:spacing w:line="40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15.评审专家有如下行为之一的，责令改正，给予警告，可以并处一千元以下的罚款：</w:t>
      </w:r>
    </w:p>
    <w:p>
      <w:pPr>
        <w:adjustRightInd w:val="0"/>
        <w:snapToGrid w:val="0"/>
        <w:spacing w:line="40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①明知应当回避而未主动回避的；</w:t>
      </w:r>
    </w:p>
    <w:p>
      <w:pPr>
        <w:adjustRightInd w:val="0"/>
        <w:snapToGrid w:val="0"/>
        <w:spacing w:line="400" w:lineRule="exact"/>
        <w:ind w:firstLine="376" w:firstLineChars="200"/>
        <w:rPr>
          <w:rFonts w:hint="eastAsia" w:ascii="宋体" w:hAnsi="宋体" w:cs="宋体"/>
          <w:color w:val="auto"/>
          <w:sz w:val="21"/>
          <w:szCs w:val="21"/>
          <w:highlight w:val="none"/>
        </w:rPr>
      </w:pPr>
      <w:r>
        <w:rPr>
          <w:rFonts w:hint="eastAsia" w:ascii="宋体" w:hAnsi="宋体" w:cs="宋体"/>
          <w:snapToGrid w:val="0"/>
          <w:color w:val="auto"/>
          <w:spacing w:val="-11"/>
          <w:kern w:val="0"/>
          <w:sz w:val="21"/>
          <w:szCs w:val="21"/>
          <w:highlight w:val="none"/>
        </w:rPr>
        <w:t>②在得知自己为评审专家身份后至评审结束前时段内私下接触投标人的</w:t>
      </w:r>
      <w:r>
        <w:rPr>
          <w:rFonts w:hint="eastAsia" w:ascii="宋体" w:hAnsi="宋体" w:cs="宋体"/>
          <w:color w:val="auto"/>
          <w:sz w:val="21"/>
          <w:szCs w:val="21"/>
          <w:highlight w:val="none"/>
        </w:rPr>
        <w:t>；</w:t>
      </w:r>
    </w:p>
    <w:p>
      <w:pPr>
        <w:adjustRightInd w:val="0"/>
        <w:snapToGrid w:val="0"/>
        <w:spacing w:line="40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③在评审过程中擅离职守，影响评审程序正常进行的；</w:t>
      </w:r>
    </w:p>
    <w:p>
      <w:pPr>
        <w:adjustRightInd w:val="0"/>
        <w:snapToGrid w:val="0"/>
        <w:spacing w:line="40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④在评审过程有明显不合理或者不正当倾向性的；</w:t>
      </w:r>
    </w:p>
    <w:p>
      <w:pPr>
        <w:adjustRightInd w:val="0"/>
        <w:snapToGrid w:val="0"/>
        <w:spacing w:line="40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⑤未按采购文件规定的评审方法和标准进行评审的。</w:t>
      </w:r>
    </w:p>
    <w:p>
      <w:pPr>
        <w:adjustRightInd w:val="0"/>
        <w:snapToGrid w:val="0"/>
        <w:spacing w:line="40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⑥上述①至⑤行为影响中标结果的，中标结果无效。</w:t>
      </w:r>
    </w:p>
    <w:p>
      <w:pPr>
        <w:adjustRightInd w:val="0"/>
        <w:snapToGrid w:val="0"/>
        <w:spacing w:line="40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16.政府采购评审专家未按照采购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p>
    <w:p>
      <w:pPr>
        <w:adjustRightInd w:val="0"/>
        <w:snapToGrid w:val="0"/>
        <w:spacing w:line="40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政府采购评审专家与投标人存在利害关系未回避的，处2万元以上5万元以下的罚款，禁止其参加政府采购评审活动。</w:t>
      </w:r>
    </w:p>
    <w:p>
      <w:pPr>
        <w:adjustRightInd w:val="0"/>
        <w:snapToGrid w:val="0"/>
        <w:spacing w:line="40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政府采购评审专家收受采购人、招标人、投标人贿赂或者获取其他不正当利益，构成犯罪的，依法追究刑事责任；尚不构成犯罪的，处2万元以上5万元以下的罚款，禁止其参加政府采购评审活动。</w:t>
      </w:r>
    </w:p>
    <w:p>
      <w:pPr>
        <w:adjustRightInd w:val="0"/>
        <w:snapToGrid w:val="0"/>
        <w:spacing w:line="40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政府采购评审专家有上述违法行为的，其评审意见无效，不得获取评审费；有违法所得的，没收违法所得；给他人造成损失的，依法承担民事责任。</w:t>
      </w:r>
    </w:p>
    <w:p>
      <w:pPr>
        <w:snapToGrid w:val="0"/>
        <w:spacing w:line="400" w:lineRule="exact"/>
        <w:ind w:firstLine="422" w:firstLineChars="200"/>
        <w:outlineLvl w:val="1"/>
        <w:rPr>
          <w:rFonts w:hint="eastAsia" w:ascii="宋体" w:hAnsi="宋体" w:cs="宋体"/>
          <w:b/>
          <w:color w:val="auto"/>
          <w:sz w:val="21"/>
          <w:szCs w:val="21"/>
          <w:highlight w:val="none"/>
        </w:rPr>
      </w:pPr>
      <w:r>
        <w:rPr>
          <w:rFonts w:hint="eastAsia" w:ascii="宋体" w:hAnsi="宋体" w:cs="宋体"/>
          <w:b/>
          <w:color w:val="auto"/>
          <w:sz w:val="21"/>
          <w:szCs w:val="21"/>
          <w:highlight w:val="none"/>
        </w:rPr>
        <w:t>三 、评（定）标方法</w:t>
      </w:r>
    </w:p>
    <w:p>
      <w:pPr>
        <w:pStyle w:val="36"/>
        <w:adjustRightInd w:val="0"/>
        <w:snapToGrid w:val="0"/>
        <w:spacing w:before="0" w:beforeAutospacing="0" w:after="0" w:afterAutospacing="0" w:line="400" w:lineRule="exact"/>
        <w:ind w:firstLine="420" w:firstLineChars="200"/>
        <w:rPr>
          <w:rFonts w:hint="eastAsia" w:cs="宋体"/>
          <w:color w:val="auto"/>
          <w:sz w:val="21"/>
          <w:szCs w:val="21"/>
          <w:highlight w:val="none"/>
        </w:rPr>
      </w:pPr>
      <w:r>
        <w:rPr>
          <w:rFonts w:hint="eastAsia" w:cs="宋体"/>
          <w:color w:val="auto"/>
          <w:sz w:val="21"/>
          <w:szCs w:val="21"/>
          <w:highlight w:val="none"/>
        </w:rPr>
        <w:t>本次评标采</w:t>
      </w:r>
      <w:r>
        <w:rPr>
          <w:rFonts w:hint="eastAsia" w:cs="宋体"/>
          <w:bCs/>
          <w:color w:val="auto"/>
          <w:sz w:val="21"/>
          <w:szCs w:val="21"/>
          <w:highlight w:val="none"/>
        </w:rPr>
        <w:t>用</w:t>
      </w:r>
      <w:r>
        <w:rPr>
          <w:rFonts w:hint="eastAsia" w:cs="宋体"/>
          <w:b/>
          <w:bCs/>
          <w:color w:val="auto"/>
          <w:sz w:val="21"/>
          <w:szCs w:val="21"/>
          <w:highlight w:val="none"/>
        </w:rPr>
        <w:t>综合评分法</w:t>
      </w:r>
      <w:r>
        <w:rPr>
          <w:rFonts w:hint="eastAsia" w:cs="宋体"/>
          <w:color w:val="auto"/>
          <w:sz w:val="21"/>
          <w:szCs w:val="21"/>
          <w:highlight w:val="none"/>
        </w:rPr>
        <w:t>，评标委员会首先对投标文件的完整性、符合性、响应性等进行审查。凡不符合有关规定或不响应采购文件要求的投标文件将不进入评标范围。评标专家组以开标、评标、询标情况为基本依据，对有效</w:t>
      </w:r>
      <w:r>
        <w:rPr>
          <w:rFonts w:hint="eastAsia" w:ascii="宋体" w:hAnsi="宋体" w:eastAsia="宋体" w:cs="宋体"/>
          <w:color w:val="auto"/>
          <w:sz w:val="21"/>
          <w:szCs w:val="21"/>
          <w:highlight w:val="none"/>
        </w:rPr>
        <w:t>的投标文件及其投标人按评标内容进行分析、评议，确定合格中标人，先评技术商务标得分（含资信与服务），后再开价格标，取合格投标人中投标价格最终最低的投标报价为评标基准价，对合格的投标人进行价格分计算，以二项总分最高为中标人排名第一的投标人为中标候选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排名第二的投标人为候补中标候选人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有效投标人为3家时推荐2名中标候选人，有效投标人大于3家时，推荐3名中标候选人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……其他投标人中标候选资格</w:t>
      </w:r>
      <w:r>
        <w:rPr>
          <w:rFonts w:hint="eastAsia" w:ascii="宋体" w:hAnsi="宋体" w:eastAsia="宋体" w:cs="宋体"/>
          <w:color w:val="auto"/>
          <w:sz w:val="21"/>
          <w:szCs w:val="21"/>
          <w:highlight w:val="none"/>
          <w:lang w:eastAsia="zh-CN"/>
        </w:rPr>
        <w:t>以此类推</w:t>
      </w:r>
      <w:r>
        <w:rPr>
          <w:rFonts w:hint="eastAsia" w:ascii="宋体" w:hAnsi="宋体" w:eastAsia="宋体" w:cs="宋体"/>
          <w:color w:val="auto"/>
          <w:sz w:val="21"/>
          <w:szCs w:val="21"/>
          <w:highlight w:val="none"/>
        </w:rPr>
        <w:t>。评分过程中采用四舍五入法，并保留小数2位。（总得分相同的，按投标报价由低到高顺序排列；技术商务分与价格分都相同的，抽签决定中标人）。中标人因不可抗力或者自身原因不能履行采购合同的，采购人可以与排位在中标人之后第一位的中标候选人签订采购合同，以此类推或重新组织采购。</w:t>
      </w:r>
    </w:p>
    <w:p>
      <w:pPr>
        <w:pStyle w:val="36"/>
        <w:adjustRightInd w:val="0"/>
        <w:snapToGrid w:val="0"/>
        <w:spacing w:before="0" w:beforeAutospacing="0" w:after="0" w:afterAutospacing="0" w:line="400" w:lineRule="exact"/>
        <w:ind w:firstLine="422" w:firstLineChars="200"/>
        <w:rPr>
          <w:rFonts w:cs="宋体"/>
          <w:b/>
          <w:bCs/>
          <w:color w:val="auto"/>
          <w:sz w:val="21"/>
          <w:szCs w:val="21"/>
          <w:highlight w:val="none"/>
        </w:rPr>
      </w:pPr>
      <w:r>
        <w:rPr>
          <w:rFonts w:hint="eastAsia" w:cs="宋体"/>
          <w:b/>
          <w:bCs/>
          <w:color w:val="auto"/>
          <w:sz w:val="21"/>
          <w:szCs w:val="21"/>
          <w:highlight w:val="none"/>
        </w:rPr>
        <w:t>四、政府采购政策落实：</w:t>
      </w:r>
    </w:p>
    <w:p>
      <w:pPr>
        <w:pStyle w:val="36"/>
        <w:keepNext w:val="0"/>
        <w:keepLines w:val="0"/>
        <w:widowControl/>
        <w:suppressLineNumbers w:val="0"/>
        <w:spacing w:before="100" w:beforeAutospacing="0" w:after="100" w:afterAutospacing="0" w:line="360" w:lineRule="auto"/>
        <w:ind w:left="0" w:right="0" w:firstLine="420"/>
        <w:jc w:val="left"/>
        <w:rPr>
          <w:rFonts w:hint="eastAsia" w:ascii="宋体" w:hAnsi="宋体" w:eastAsia="宋体" w:cs="宋体"/>
          <w:b w:val="0"/>
          <w:bCs w:val="0"/>
          <w:i w:val="0"/>
          <w:iCs w:val="0"/>
          <w:color w:val="auto"/>
          <w:spacing w:val="0"/>
          <w:w w:val="100"/>
          <w:sz w:val="21"/>
          <w:szCs w:val="21"/>
          <w:highlight w:val="none"/>
          <w:vertAlign w:val="baseline"/>
        </w:rPr>
      </w:pPr>
      <w:r>
        <w:rPr>
          <w:rFonts w:hint="eastAsia" w:ascii="宋体" w:hAnsi="宋体" w:eastAsia="宋体" w:cs="宋体"/>
          <w:b w:val="0"/>
          <w:bCs w:val="0"/>
          <w:i w:val="0"/>
          <w:iCs w:val="0"/>
          <w:color w:val="auto"/>
          <w:spacing w:val="0"/>
          <w:w w:val="100"/>
          <w:sz w:val="21"/>
          <w:szCs w:val="21"/>
          <w:highlight w:val="none"/>
          <w:vertAlign w:val="baseline"/>
        </w:rPr>
        <w:t>1.采购项目需要落实的政府采购政策</w:t>
      </w:r>
    </w:p>
    <w:p>
      <w:pPr>
        <w:pStyle w:val="36"/>
        <w:keepNext w:val="0"/>
        <w:keepLines w:val="0"/>
        <w:widowControl/>
        <w:suppressLineNumbers w:val="0"/>
        <w:spacing w:before="100" w:beforeAutospacing="0" w:after="100" w:afterAutospacing="0" w:line="360" w:lineRule="auto"/>
        <w:ind w:left="0" w:right="0" w:firstLine="420"/>
        <w:jc w:val="left"/>
        <w:rPr>
          <w:rFonts w:hint="eastAsia" w:ascii="宋体" w:hAnsi="宋体" w:eastAsia="宋体" w:cs="宋体"/>
          <w:color w:val="auto"/>
          <w:sz w:val="21"/>
          <w:szCs w:val="21"/>
          <w:highlight w:val="none"/>
        </w:rPr>
      </w:pPr>
      <w:r>
        <w:rPr>
          <w:rFonts w:hint="eastAsia" w:ascii="宋体" w:hAnsi="宋体" w:eastAsia="宋体" w:cs="宋体"/>
          <w:b w:val="0"/>
          <w:bCs w:val="0"/>
          <w:i w:val="0"/>
          <w:iCs w:val="0"/>
          <w:color w:val="auto"/>
          <w:spacing w:val="0"/>
          <w:w w:val="100"/>
          <w:sz w:val="21"/>
          <w:szCs w:val="21"/>
          <w:highlight w:val="none"/>
          <w:vertAlign w:val="baseline"/>
        </w:rPr>
        <w:t>1.1 本项目原则上采购本国生产的货物、工程和服务，</w:t>
      </w:r>
      <w:r>
        <w:rPr>
          <w:rFonts w:hint="eastAsia" w:ascii="宋体" w:hAnsi="宋体" w:eastAsia="宋体" w:cs="宋体"/>
          <w:b w:val="0"/>
          <w:bCs w:val="0"/>
          <w:i w:val="0"/>
          <w:iCs w:val="0"/>
          <w:color w:val="auto"/>
          <w:spacing w:val="0"/>
          <w:w w:val="100"/>
          <w:sz w:val="21"/>
          <w:szCs w:val="21"/>
          <w:highlight w:val="none"/>
          <w:vertAlign w:val="baseline"/>
          <w:lang w:val="en-US" w:eastAsia="zh-CN"/>
        </w:rPr>
        <w:t>不</w:t>
      </w:r>
      <w:r>
        <w:rPr>
          <w:rFonts w:hint="eastAsia" w:ascii="宋体" w:hAnsi="宋体" w:eastAsia="宋体" w:cs="宋体"/>
          <w:b w:val="0"/>
          <w:bCs w:val="0"/>
          <w:i w:val="0"/>
          <w:iCs w:val="0"/>
          <w:color w:val="auto"/>
          <w:spacing w:val="0"/>
          <w:w w:val="100"/>
          <w:sz w:val="21"/>
          <w:szCs w:val="21"/>
          <w:highlight w:val="none"/>
          <w:vertAlign w:val="baseline"/>
        </w:rPr>
        <w:t>允许采购进口产品。除非采购人采购进口产品，已经在采购活动开始前向财政部门提出申请并获得财政部门审核同意，且在采购需求中明确规定可以采购进口产品，未明确视同不得采购进口产品（但如果因信息不对称等原因，仍有满足需求的国内产品要求参与采购竞争的，采购人、采购机构不会对其加以限制，仍将按照公平竞争原则实施采购）。</w:t>
      </w:r>
    </w:p>
    <w:p>
      <w:pPr>
        <w:pStyle w:val="36"/>
        <w:keepNext w:val="0"/>
        <w:keepLines w:val="0"/>
        <w:widowControl/>
        <w:suppressLineNumbers w:val="0"/>
        <w:spacing w:before="100" w:beforeAutospacing="0" w:after="100" w:afterAutospacing="0" w:line="360" w:lineRule="auto"/>
        <w:ind w:left="0" w:right="0" w:firstLine="420"/>
        <w:jc w:val="left"/>
        <w:rPr>
          <w:rFonts w:hint="eastAsia" w:ascii="宋体" w:hAnsi="宋体" w:eastAsia="宋体" w:cs="宋体"/>
          <w:color w:val="auto"/>
          <w:sz w:val="21"/>
          <w:szCs w:val="21"/>
          <w:highlight w:val="none"/>
        </w:rPr>
      </w:pPr>
      <w:r>
        <w:rPr>
          <w:rFonts w:hint="eastAsia" w:ascii="宋体" w:hAnsi="宋体" w:eastAsia="宋体" w:cs="宋体"/>
          <w:b w:val="0"/>
          <w:bCs w:val="0"/>
          <w:i w:val="0"/>
          <w:iCs w:val="0"/>
          <w:color w:val="auto"/>
          <w:spacing w:val="0"/>
          <w:w w:val="100"/>
          <w:sz w:val="21"/>
          <w:szCs w:val="21"/>
          <w:highlight w:val="none"/>
          <w:vertAlign w:val="baseline"/>
        </w:rPr>
        <w:t>1.2 支持绿色发展</w:t>
      </w:r>
    </w:p>
    <w:p>
      <w:pPr>
        <w:pStyle w:val="36"/>
        <w:keepNext w:val="0"/>
        <w:keepLines w:val="0"/>
        <w:widowControl/>
        <w:suppressLineNumbers w:val="0"/>
        <w:spacing w:before="100" w:beforeAutospacing="0" w:after="100" w:afterAutospacing="0" w:line="360" w:lineRule="auto"/>
        <w:ind w:left="0" w:right="0" w:firstLine="420"/>
        <w:jc w:val="left"/>
        <w:rPr>
          <w:rFonts w:hint="eastAsia" w:ascii="宋体" w:hAnsi="宋体" w:eastAsia="宋体" w:cs="宋体"/>
          <w:color w:val="auto"/>
          <w:sz w:val="21"/>
          <w:szCs w:val="21"/>
          <w:highlight w:val="none"/>
        </w:rPr>
      </w:pPr>
      <w:r>
        <w:rPr>
          <w:rFonts w:hint="eastAsia" w:ascii="宋体" w:hAnsi="宋体" w:eastAsia="宋体" w:cs="宋体"/>
          <w:b w:val="0"/>
          <w:bCs w:val="0"/>
          <w:i w:val="0"/>
          <w:iCs w:val="0"/>
          <w:color w:val="auto"/>
          <w:spacing w:val="0"/>
          <w:w w:val="100"/>
          <w:sz w:val="21"/>
          <w:szCs w:val="21"/>
          <w:highlight w:val="none"/>
          <w:vertAlign w:val="baseline"/>
        </w:rPr>
        <w:t>1.2.1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采购人拟采购的产品属于政府强制采购的节能产品品目清单范围的，供应商未按采购文件要求提供国家确定的认证机构出具的、处于有效期之内的节能产品认证证书的，投标无效。</w:t>
      </w:r>
    </w:p>
    <w:p>
      <w:pPr>
        <w:pStyle w:val="36"/>
        <w:keepNext w:val="0"/>
        <w:keepLines w:val="0"/>
        <w:widowControl/>
        <w:suppressLineNumbers w:val="0"/>
        <w:spacing w:before="100" w:beforeAutospacing="0" w:after="100" w:afterAutospacing="0" w:line="360" w:lineRule="auto"/>
        <w:ind w:left="0" w:right="0" w:firstLine="420"/>
        <w:jc w:val="left"/>
        <w:rPr>
          <w:rFonts w:hint="eastAsia" w:ascii="宋体" w:hAnsi="宋体" w:eastAsia="宋体" w:cs="宋体"/>
          <w:color w:val="auto"/>
          <w:sz w:val="21"/>
          <w:szCs w:val="21"/>
          <w:highlight w:val="none"/>
        </w:rPr>
      </w:pPr>
      <w:r>
        <w:rPr>
          <w:rFonts w:hint="eastAsia" w:ascii="宋体" w:hAnsi="宋体" w:eastAsia="宋体" w:cs="宋体"/>
          <w:b w:val="0"/>
          <w:bCs w:val="0"/>
          <w:i w:val="0"/>
          <w:iCs w:val="0"/>
          <w:color w:val="auto"/>
          <w:spacing w:val="0"/>
          <w:w w:val="100"/>
          <w:sz w:val="21"/>
          <w:szCs w:val="21"/>
          <w:highlight w:val="none"/>
          <w:vertAlign w:val="baseline"/>
        </w:rPr>
        <w:t>1.2.2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pStyle w:val="36"/>
        <w:keepNext w:val="0"/>
        <w:keepLines w:val="0"/>
        <w:widowControl/>
        <w:suppressLineNumbers w:val="0"/>
        <w:spacing w:before="100" w:beforeAutospacing="0" w:after="100" w:afterAutospacing="0" w:line="360" w:lineRule="auto"/>
        <w:ind w:left="0" w:right="0" w:firstLine="420"/>
        <w:jc w:val="left"/>
        <w:rPr>
          <w:rFonts w:hint="eastAsia" w:ascii="宋体" w:hAnsi="宋体" w:eastAsia="宋体" w:cs="宋体"/>
          <w:color w:val="auto"/>
          <w:sz w:val="21"/>
          <w:szCs w:val="21"/>
          <w:highlight w:val="none"/>
        </w:rPr>
      </w:pPr>
      <w:r>
        <w:rPr>
          <w:rFonts w:hint="eastAsia" w:ascii="宋体" w:hAnsi="宋体" w:eastAsia="宋体" w:cs="宋体"/>
          <w:b w:val="0"/>
          <w:bCs w:val="0"/>
          <w:i w:val="0"/>
          <w:iCs w:val="0"/>
          <w:color w:val="auto"/>
          <w:spacing w:val="0"/>
          <w:w w:val="100"/>
          <w:sz w:val="21"/>
          <w:szCs w:val="21"/>
          <w:highlight w:val="none"/>
          <w:vertAlign w:val="baseline"/>
        </w:rPr>
        <w:t>1.3支持中小企业发展</w:t>
      </w:r>
    </w:p>
    <w:p>
      <w:pPr>
        <w:pStyle w:val="36"/>
        <w:keepNext w:val="0"/>
        <w:keepLines w:val="0"/>
        <w:widowControl/>
        <w:suppressLineNumbers w:val="0"/>
        <w:spacing w:before="100" w:beforeAutospacing="0" w:after="100" w:afterAutospacing="0" w:line="360" w:lineRule="auto"/>
        <w:ind w:left="0" w:right="0" w:firstLine="420"/>
        <w:jc w:val="left"/>
        <w:rPr>
          <w:rFonts w:hint="eastAsia" w:ascii="宋体" w:hAnsi="宋体" w:eastAsia="宋体" w:cs="宋体"/>
          <w:color w:val="auto"/>
          <w:sz w:val="21"/>
          <w:szCs w:val="21"/>
          <w:highlight w:val="none"/>
        </w:rPr>
      </w:pPr>
      <w:r>
        <w:rPr>
          <w:rFonts w:hint="eastAsia" w:ascii="宋体" w:hAnsi="宋体" w:eastAsia="宋体" w:cs="宋体"/>
          <w:b w:val="0"/>
          <w:bCs w:val="0"/>
          <w:i w:val="0"/>
          <w:iCs w:val="0"/>
          <w:color w:val="auto"/>
          <w:spacing w:val="0"/>
          <w:w w:val="100"/>
          <w:sz w:val="21"/>
          <w:szCs w:val="21"/>
          <w:highlight w:val="none"/>
          <w:vertAlign w:val="baseline"/>
        </w:rPr>
        <w:t>1.3.1中小企业，是指在中华人民共和国境内依法设立，依据国务院批准的中小企业划分标准确定的中型企业、小型企业和微型企业，但与大企业的负责人为同一人，或者与大企业存在直接控股、管理关系的除外。</w:t>
      </w:r>
    </w:p>
    <w:p>
      <w:pPr>
        <w:pStyle w:val="36"/>
        <w:keepNext w:val="0"/>
        <w:keepLines w:val="0"/>
        <w:widowControl/>
        <w:suppressLineNumbers w:val="0"/>
        <w:spacing w:before="100" w:beforeAutospacing="0" w:after="100" w:afterAutospacing="0" w:line="360" w:lineRule="auto"/>
        <w:ind w:left="0" w:right="0" w:firstLine="420"/>
        <w:jc w:val="left"/>
        <w:rPr>
          <w:rFonts w:hint="eastAsia" w:ascii="宋体" w:hAnsi="宋体" w:eastAsia="宋体" w:cs="宋体"/>
          <w:color w:val="auto"/>
          <w:sz w:val="21"/>
          <w:szCs w:val="21"/>
          <w:highlight w:val="none"/>
        </w:rPr>
      </w:pPr>
      <w:r>
        <w:rPr>
          <w:rFonts w:hint="eastAsia" w:ascii="宋体" w:hAnsi="宋体" w:eastAsia="宋体" w:cs="宋体"/>
          <w:b w:val="0"/>
          <w:bCs w:val="0"/>
          <w:i w:val="0"/>
          <w:iCs w:val="0"/>
          <w:color w:val="auto"/>
          <w:spacing w:val="0"/>
          <w:w w:val="100"/>
          <w:sz w:val="21"/>
          <w:szCs w:val="21"/>
          <w:highlight w:val="none"/>
          <w:vertAlign w:val="baseline"/>
        </w:rPr>
        <w:t>符合中小企业划分标准的个体工商户，在政府采购活动中视同中小企业。</w:t>
      </w:r>
    </w:p>
    <w:p>
      <w:pPr>
        <w:pStyle w:val="36"/>
        <w:keepNext w:val="0"/>
        <w:keepLines w:val="0"/>
        <w:widowControl/>
        <w:suppressLineNumbers w:val="0"/>
        <w:spacing w:before="100" w:beforeAutospacing="0" w:after="100" w:afterAutospacing="0" w:line="360" w:lineRule="auto"/>
        <w:ind w:left="0" w:right="0" w:firstLine="420"/>
        <w:jc w:val="left"/>
        <w:rPr>
          <w:rFonts w:hint="eastAsia" w:ascii="宋体" w:hAnsi="宋体" w:eastAsia="宋体" w:cs="宋体"/>
          <w:color w:val="auto"/>
          <w:sz w:val="21"/>
          <w:szCs w:val="21"/>
          <w:highlight w:val="none"/>
        </w:rPr>
      </w:pPr>
      <w:r>
        <w:rPr>
          <w:rFonts w:hint="eastAsia" w:ascii="宋体" w:hAnsi="宋体" w:eastAsia="宋体" w:cs="宋体"/>
          <w:b w:val="0"/>
          <w:bCs w:val="0"/>
          <w:i w:val="0"/>
          <w:iCs w:val="0"/>
          <w:color w:val="auto"/>
          <w:spacing w:val="0"/>
          <w:w w:val="100"/>
          <w:sz w:val="21"/>
          <w:szCs w:val="21"/>
          <w:highlight w:val="none"/>
          <w:vertAlign w:val="baseline"/>
        </w:rPr>
        <w:t>1.3.2在政府采购活动中，供应商提供的货物、工程或者服务符合下列情形的，享受中小企业扶持政策：</w:t>
      </w:r>
    </w:p>
    <w:p>
      <w:pPr>
        <w:pStyle w:val="36"/>
        <w:keepNext w:val="0"/>
        <w:keepLines w:val="0"/>
        <w:widowControl/>
        <w:suppressLineNumbers w:val="0"/>
        <w:spacing w:before="100" w:beforeAutospacing="0" w:after="100" w:afterAutospacing="0" w:line="360" w:lineRule="auto"/>
        <w:ind w:left="0" w:right="0" w:firstLine="420"/>
        <w:jc w:val="left"/>
        <w:rPr>
          <w:rFonts w:hint="eastAsia" w:ascii="宋体" w:hAnsi="宋体" w:eastAsia="宋体" w:cs="宋体"/>
          <w:color w:val="auto"/>
          <w:sz w:val="21"/>
          <w:szCs w:val="21"/>
          <w:highlight w:val="none"/>
        </w:rPr>
      </w:pPr>
      <w:r>
        <w:rPr>
          <w:rFonts w:hint="eastAsia" w:ascii="宋体" w:hAnsi="宋体" w:eastAsia="宋体" w:cs="宋体"/>
          <w:b w:val="0"/>
          <w:bCs w:val="0"/>
          <w:i w:val="0"/>
          <w:iCs w:val="0"/>
          <w:color w:val="auto"/>
          <w:spacing w:val="0"/>
          <w:w w:val="100"/>
          <w:sz w:val="21"/>
          <w:szCs w:val="21"/>
          <w:highlight w:val="none"/>
          <w:vertAlign w:val="baseline"/>
        </w:rPr>
        <w:t>1.3.2.1在货物采购项目中，货物由中小企业制造，即货物由中小企业生产且使用该中小企业商号或者注册商标；</w:t>
      </w:r>
    </w:p>
    <w:p>
      <w:pPr>
        <w:pStyle w:val="36"/>
        <w:keepNext w:val="0"/>
        <w:keepLines w:val="0"/>
        <w:widowControl/>
        <w:suppressLineNumbers w:val="0"/>
        <w:spacing w:before="100" w:beforeAutospacing="0" w:after="100" w:afterAutospacing="0" w:line="360" w:lineRule="auto"/>
        <w:ind w:left="0" w:right="0" w:firstLine="420"/>
        <w:jc w:val="left"/>
        <w:rPr>
          <w:rFonts w:hint="eastAsia" w:ascii="宋体" w:hAnsi="宋体" w:eastAsia="宋体" w:cs="宋体"/>
          <w:color w:val="auto"/>
          <w:sz w:val="21"/>
          <w:szCs w:val="21"/>
          <w:highlight w:val="none"/>
        </w:rPr>
      </w:pPr>
      <w:r>
        <w:rPr>
          <w:rFonts w:hint="eastAsia" w:ascii="宋体" w:hAnsi="宋体" w:eastAsia="宋体" w:cs="宋体"/>
          <w:b w:val="0"/>
          <w:bCs w:val="0"/>
          <w:i w:val="0"/>
          <w:iCs w:val="0"/>
          <w:color w:val="auto"/>
          <w:spacing w:val="0"/>
          <w:w w:val="100"/>
          <w:sz w:val="21"/>
          <w:szCs w:val="21"/>
          <w:highlight w:val="none"/>
          <w:vertAlign w:val="baseline"/>
        </w:rPr>
        <w:t>1.3.2.2在工程采购项目中，工程由中小企业承建，即工程施工单位为中小企业；</w:t>
      </w:r>
    </w:p>
    <w:p>
      <w:pPr>
        <w:pStyle w:val="36"/>
        <w:keepNext w:val="0"/>
        <w:keepLines w:val="0"/>
        <w:widowControl/>
        <w:suppressLineNumbers w:val="0"/>
        <w:spacing w:before="100" w:beforeAutospacing="0" w:after="100" w:afterAutospacing="0" w:line="360" w:lineRule="auto"/>
        <w:ind w:left="0" w:right="0" w:firstLine="420"/>
        <w:jc w:val="left"/>
        <w:rPr>
          <w:rFonts w:hint="eastAsia" w:ascii="宋体" w:hAnsi="宋体" w:eastAsia="宋体" w:cs="宋体"/>
          <w:color w:val="auto"/>
          <w:sz w:val="21"/>
          <w:szCs w:val="21"/>
          <w:highlight w:val="none"/>
        </w:rPr>
      </w:pPr>
      <w:r>
        <w:rPr>
          <w:rFonts w:hint="eastAsia" w:ascii="宋体" w:hAnsi="宋体" w:eastAsia="宋体" w:cs="宋体"/>
          <w:b w:val="0"/>
          <w:bCs w:val="0"/>
          <w:i w:val="0"/>
          <w:iCs w:val="0"/>
          <w:color w:val="auto"/>
          <w:spacing w:val="0"/>
          <w:w w:val="100"/>
          <w:sz w:val="21"/>
          <w:szCs w:val="21"/>
          <w:highlight w:val="none"/>
          <w:vertAlign w:val="baseline"/>
        </w:rPr>
        <w:t>1.3.2.3在服务采购项目中，服务由中小企业承接，即提供服务的人员为中小企业依照《中华人民共和国劳动合同法》订立劳动合同的从业人员。</w:t>
      </w:r>
    </w:p>
    <w:p>
      <w:pPr>
        <w:pStyle w:val="36"/>
        <w:keepNext w:val="0"/>
        <w:keepLines w:val="0"/>
        <w:widowControl/>
        <w:suppressLineNumbers w:val="0"/>
        <w:spacing w:before="100" w:beforeAutospacing="0" w:after="100" w:afterAutospacing="0" w:line="360" w:lineRule="auto"/>
        <w:ind w:left="0" w:right="0" w:firstLine="420"/>
        <w:jc w:val="left"/>
        <w:rPr>
          <w:rFonts w:hint="eastAsia" w:ascii="宋体" w:hAnsi="宋体" w:eastAsia="宋体" w:cs="宋体"/>
          <w:color w:val="auto"/>
          <w:sz w:val="21"/>
          <w:szCs w:val="21"/>
          <w:highlight w:val="none"/>
        </w:rPr>
      </w:pPr>
      <w:r>
        <w:rPr>
          <w:rFonts w:hint="eastAsia" w:ascii="宋体" w:hAnsi="宋体" w:eastAsia="宋体" w:cs="宋体"/>
          <w:b w:val="0"/>
          <w:bCs w:val="0"/>
          <w:i w:val="0"/>
          <w:iCs w:val="0"/>
          <w:color w:val="auto"/>
          <w:spacing w:val="0"/>
          <w:w w:val="100"/>
          <w:sz w:val="21"/>
          <w:szCs w:val="21"/>
          <w:highlight w:val="none"/>
          <w:vertAlign w:val="baseline"/>
        </w:rPr>
        <w:t>在货物采购项目中，供应商提供的货物既有中小企业制造货物，也有大型企业制造货物的，不享受中小企业扶持政策。</w:t>
      </w:r>
    </w:p>
    <w:p>
      <w:pPr>
        <w:pStyle w:val="36"/>
        <w:keepNext w:val="0"/>
        <w:keepLines w:val="0"/>
        <w:widowControl/>
        <w:suppressLineNumbers w:val="0"/>
        <w:spacing w:before="100" w:beforeAutospacing="0" w:after="100" w:afterAutospacing="0" w:line="360" w:lineRule="auto"/>
        <w:ind w:left="0" w:right="0" w:firstLine="420"/>
        <w:jc w:val="left"/>
        <w:rPr>
          <w:rFonts w:hint="eastAsia" w:ascii="宋体" w:hAnsi="宋体" w:eastAsia="宋体" w:cs="宋体"/>
          <w:b w:val="0"/>
          <w:bCs w:val="0"/>
          <w:i w:val="0"/>
          <w:iCs w:val="0"/>
          <w:color w:val="auto"/>
          <w:spacing w:val="0"/>
          <w:w w:val="100"/>
          <w:sz w:val="21"/>
          <w:szCs w:val="21"/>
          <w:highlight w:val="none"/>
          <w:vertAlign w:val="baseline"/>
        </w:rPr>
      </w:pPr>
      <w:r>
        <w:rPr>
          <w:rFonts w:hint="eastAsia" w:ascii="宋体" w:hAnsi="宋体" w:eastAsia="宋体" w:cs="宋体"/>
          <w:b w:val="0"/>
          <w:bCs w:val="0"/>
          <w:i w:val="0"/>
          <w:iCs w:val="0"/>
          <w:color w:val="auto"/>
          <w:spacing w:val="0"/>
          <w:w w:val="100"/>
          <w:sz w:val="21"/>
          <w:szCs w:val="21"/>
          <w:highlight w:val="none"/>
          <w:vertAlign w:val="baseline"/>
        </w:rPr>
        <w:t>以联合体形式参加政府采购活动，联合体各方均为中小企业的，联合体视同中小企业。其中，联合体各方均为小微企业的，联合体视同小微企业。</w:t>
      </w:r>
    </w:p>
    <w:p>
      <w:pPr>
        <w:pStyle w:val="36"/>
        <w:keepNext w:val="0"/>
        <w:keepLines w:val="0"/>
        <w:widowControl/>
        <w:suppressLineNumbers w:val="0"/>
        <w:spacing w:before="100" w:beforeAutospacing="0" w:after="100" w:afterAutospacing="0" w:line="360" w:lineRule="auto"/>
        <w:ind w:left="0" w:right="0" w:firstLine="420"/>
        <w:jc w:val="left"/>
        <w:rPr>
          <w:rFonts w:hint="eastAsia" w:ascii="宋体" w:hAnsi="宋体" w:eastAsia="宋体" w:cs="宋体"/>
          <w:color w:val="auto"/>
          <w:sz w:val="21"/>
          <w:szCs w:val="21"/>
          <w:highlight w:val="none"/>
        </w:rPr>
      </w:pPr>
      <w:r>
        <w:rPr>
          <w:rFonts w:hint="eastAsia" w:ascii="宋体" w:hAnsi="宋体" w:eastAsia="宋体" w:cs="宋体"/>
          <w:b w:val="0"/>
          <w:bCs w:val="0"/>
          <w:i w:val="0"/>
          <w:iCs w:val="0"/>
          <w:color w:val="auto"/>
          <w:spacing w:val="0"/>
          <w:w w:val="100"/>
          <w:sz w:val="21"/>
          <w:szCs w:val="21"/>
          <w:highlight w:val="none"/>
          <w:vertAlign w:val="baseline"/>
        </w:rPr>
        <w:t>1.3.3对于未预留份额专门面向中小企业的政府采购货物或服务项目，以及预留份额政府采购货物或服务项目中的非预留部分标项，对小型和微型企业的投标报价给予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扣除，用扣除后的价格参加评审。组成联合体或者接受分包的小微企业与联合体内其他企业、分包企业之间存在直接控股、管理关系的，不享受价格扣除优惠政策。</w:t>
      </w:r>
    </w:p>
    <w:p>
      <w:pPr>
        <w:pStyle w:val="36"/>
        <w:keepNext w:val="0"/>
        <w:keepLines w:val="0"/>
        <w:widowControl/>
        <w:suppressLineNumbers w:val="0"/>
        <w:spacing w:before="100" w:beforeAutospacing="0" w:after="100" w:afterAutospacing="0" w:line="360" w:lineRule="auto"/>
        <w:ind w:left="0" w:right="0" w:firstLine="420"/>
        <w:jc w:val="left"/>
        <w:rPr>
          <w:rFonts w:hint="eastAsia" w:ascii="宋体" w:hAnsi="宋体" w:eastAsia="宋体" w:cs="宋体"/>
          <w:color w:val="auto"/>
          <w:sz w:val="21"/>
          <w:szCs w:val="21"/>
          <w:highlight w:val="none"/>
        </w:rPr>
      </w:pPr>
      <w:r>
        <w:rPr>
          <w:rFonts w:hint="eastAsia" w:ascii="宋体" w:hAnsi="宋体" w:eastAsia="宋体" w:cs="宋体"/>
          <w:b w:val="0"/>
          <w:bCs w:val="0"/>
          <w:i w:val="0"/>
          <w:iCs w:val="0"/>
          <w:color w:val="auto"/>
          <w:spacing w:val="0"/>
          <w:w w:val="100"/>
          <w:sz w:val="21"/>
          <w:szCs w:val="21"/>
          <w:highlight w:val="none"/>
          <w:vertAlign w:val="baseline"/>
        </w:rPr>
        <w:t>1.3.4符合《关于促进残疾人就业政府采购政策的通知》（财库〔2017〕141号）规定的条件并提供《残疾人福利性单位声明函》（附件1）的残疾人福利性单位视同小型、微型企业；</w:t>
      </w:r>
    </w:p>
    <w:p>
      <w:pPr>
        <w:pStyle w:val="36"/>
        <w:keepNext w:val="0"/>
        <w:keepLines w:val="0"/>
        <w:widowControl/>
        <w:suppressLineNumbers w:val="0"/>
        <w:spacing w:before="100" w:beforeAutospacing="0" w:after="100" w:afterAutospacing="0" w:line="360" w:lineRule="auto"/>
        <w:ind w:left="0" w:right="0" w:firstLine="420"/>
        <w:jc w:val="left"/>
        <w:rPr>
          <w:rFonts w:hint="eastAsia" w:ascii="宋体" w:hAnsi="宋体" w:eastAsia="宋体" w:cs="宋体"/>
          <w:color w:val="auto"/>
          <w:sz w:val="21"/>
          <w:szCs w:val="21"/>
          <w:highlight w:val="none"/>
        </w:rPr>
      </w:pPr>
      <w:r>
        <w:rPr>
          <w:rFonts w:hint="eastAsia" w:ascii="宋体" w:hAnsi="宋体" w:eastAsia="宋体" w:cs="宋体"/>
          <w:b w:val="0"/>
          <w:bCs w:val="0"/>
          <w:i w:val="0"/>
          <w:iCs w:val="0"/>
          <w:color w:val="auto"/>
          <w:spacing w:val="0"/>
          <w:w w:val="100"/>
          <w:sz w:val="21"/>
          <w:szCs w:val="21"/>
          <w:highlight w:val="none"/>
          <w:vertAlign w:val="baseline"/>
        </w:rPr>
        <w:t>1.3.5符合《关于政府采购支持监狱企业发展有关问题的通知》（财库</w:t>
      </w:r>
      <w:r>
        <w:rPr>
          <w:rFonts w:hint="eastAsia" w:hAnsi="宋体" w:cs="宋体"/>
          <w:b w:val="0"/>
          <w:bCs w:val="0"/>
          <w:i w:val="0"/>
          <w:iCs w:val="0"/>
          <w:color w:val="auto"/>
          <w:spacing w:val="0"/>
          <w:w w:val="100"/>
          <w:sz w:val="21"/>
          <w:szCs w:val="21"/>
          <w:highlight w:val="none"/>
          <w:vertAlign w:val="baseline"/>
          <w:lang w:eastAsia="zh-CN"/>
        </w:rPr>
        <w:t>〔2014〕68号</w:t>
      </w:r>
      <w:r>
        <w:rPr>
          <w:rFonts w:hint="eastAsia" w:ascii="宋体" w:hAnsi="宋体" w:eastAsia="宋体" w:cs="宋体"/>
          <w:b w:val="0"/>
          <w:bCs w:val="0"/>
          <w:i w:val="0"/>
          <w:iCs w:val="0"/>
          <w:color w:val="auto"/>
          <w:spacing w:val="0"/>
          <w:w w:val="100"/>
          <w:sz w:val="21"/>
          <w:szCs w:val="21"/>
          <w:highlight w:val="none"/>
          <w:vertAlign w:val="baseline"/>
        </w:rPr>
        <w:t>）规定的监狱企业并提供由省级以上监狱管理局、戒毒管理局（含新疆生产建设兵团）出具的属于监狱企业证明文件的，视同为小型、微型企业。</w:t>
      </w:r>
    </w:p>
    <w:p>
      <w:pPr>
        <w:pStyle w:val="36"/>
        <w:keepNext w:val="0"/>
        <w:keepLines w:val="0"/>
        <w:widowControl/>
        <w:suppressLineNumbers w:val="0"/>
        <w:spacing w:before="100" w:beforeAutospacing="0" w:after="100" w:afterAutospacing="0" w:line="360" w:lineRule="auto"/>
        <w:ind w:left="0" w:right="0" w:firstLine="420"/>
        <w:jc w:val="left"/>
        <w:rPr>
          <w:rFonts w:hint="eastAsia" w:ascii="宋体" w:hAnsi="宋体" w:eastAsia="宋体" w:cs="宋体"/>
          <w:color w:val="auto"/>
          <w:sz w:val="21"/>
          <w:szCs w:val="21"/>
          <w:highlight w:val="none"/>
        </w:rPr>
      </w:pPr>
      <w:r>
        <w:rPr>
          <w:rFonts w:hint="eastAsia" w:ascii="宋体" w:hAnsi="宋体" w:eastAsia="宋体" w:cs="宋体"/>
          <w:b w:val="0"/>
          <w:bCs w:val="0"/>
          <w:i w:val="0"/>
          <w:iCs w:val="0"/>
          <w:color w:val="auto"/>
          <w:spacing w:val="0"/>
          <w:w w:val="100"/>
          <w:sz w:val="21"/>
          <w:szCs w:val="21"/>
          <w:highlight w:val="none"/>
          <w:vertAlign w:val="baseline"/>
        </w:rPr>
        <w:t>1.3.6可享受中小企业扶持政策的供应商应按照采购文件格式要求提供《中小企业声明函》，供应商提供的《中小企业声明函》与实际情况不符的，供应商未按采购文件要求提供国家确定的认证机构出具的、处于有效期之内的产品认证证书的，不享受中小企业扶持政策。声明内容不实的，属于提供虚假材料谋取中标、成交的，依法承担法律责任。</w:t>
      </w:r>
    </w:p>
    <w:p>
      <w:pPr>
        <w:pStyle w:val="36"/>
        <w:keepNext w:val="0"/>
        <w:keepLines w:val="0"/>
        <w:widowControl/>
        <w:suppressLineNumbers w:val="0"/>
        <w:spacing w:before="100" w:beforeAutospacing="0" w:after="100" w:afterAutospacing="0" w:line="360" w:lineRule="auto"/>
        <w:ind w:left="0" w:right="0" w:firstLine="420"/>
        <w:jc w:val="left"/>
        <w:rPr>
          <w:rFonts w:hint="eastAsia" w:ascii="宋体" w:hAnsi="宋体" w:eastAsia="宋体" w:cs="宋体"/>
          <w:color w:val="auto"/>
          <w:sz w:val="21"/>
          <w:szCs w:val="21"/>
          <w:highlight w:val="none"/>
        </w:rPr>
      </w:pPr>
      <w:r>
        <w:rPr>
          <w:rFonts w:hint="eastAsia" w:ascii="宋体" w:hAnsi="宋体" w:eastAsia="宋体" w:cs="宋体"/>
          <w:b w:val="0"/>
          <w:bCs w:val="0"/>
          <w:i w:val="0"/>
          <w:iCs w:val="0"/>
          <w:color w:val="auto"/>
          <w:spacing w:val="0"/>
          <w:w w:val="100"/>
          <w:sz w:val="21"/>
          <w:szCs w:val="21"/>
          <w:highlight w:val="none"/>
          <w:vertAlign w:val="baseline"/>
        </w:rPr>
        <w:t>1.3.7中小企业享受扶持政策获得政府采购合同的，小微企业不得将合同分包给大中型企业，中型企业不得将合同分包给大型企业。</w:t>
      </w:r>
    </w:p>
    <w:p>
      <w:pPr>
        <w:pStyle w:val="36"/>
        <w:keepNext w:val="0"/>
        <w:keepLines w:val="0"/>
        <w:widowControl/>
        <w:suppressLineNumbers w:val="0"/>
        <w:spacing w:before="100" w:beforeAutospacing="0" w:after="100" w:afterAutospacing="0" w:line="360" w:lineRule="auto"/>
        <w:ind w:left="0" w:right="0" w:firstLine="420"/>
        <w:jc w:val="left"/>
        <w:rPr>
          <w:rFonts w:hint="eastAsia" w:ascii="宋体" w:hAnsi="宋体" w:eastAsia="宋体" w:cs="宋体"/>
          <w:color w:val="auto"/>
          <w:sz w:val="21"/>
          <w:szCs w:val="21"/>
          <w:highlight w:val="none"/>
        </w:rPr>
      </w:pPr>
      <w:r>
        <w:rPr>
          <w:rFonts w:hint="eastAsia" w:ascii="宋体" w:hAnsi="宋体" w:eastAsia="宋体" w:cs="宋体"/>
          <w:b w:val="0"/>
          <w:bCs w:val="0"/>
          <w:i w:val="0"/>
          <w:iCs w:val="0"/>
          <w:color w:val="auto"/>
          <w:spacing w:val="0"/>
          <w:w w:val="100"/>
          <w:sz w:val="21"/>
          <w:szCs w:val="21"/>
          <w:highlight w:val="none"/>
          <w:vertAlign w:val="baseline"/>
        </w:rPr>
        <w:t>1.4支持创新发展</w:t>
      </w:r>
    </w:p>
    <w:p>
      <w:pPr>
        <w:pStyle w:val="36"/>
        <w:keepNext w:val="0"/>
        <w:keepLines w:val="0"/>
        <w:widowControl/>
        <w:suppressLineNumbers w:val="0"/>
        <w:spacing w:before="100" w:beforeAutospacing="0" w:after="100" w:afterAutospacing="0" w:line="360" w:lineRule="auto"/>
        <w:ind w:left="0" w:right="0" w:firstLine="420"/>
        <w:jc w:val="left"/>
        <w:rPr>
          <w:rFonts w:hint="eastAsia" w:ascii="宋体" w:hAnsi="宋体" w:eastAsia="宋体" w:cs="宋体"/>
          <w:color w:val="auto"/>
          <w:sz w:val="21"/>
          <w:szCs w:val="21"/>
          <w:highlight w:val="none"/>
        </w:rPr>
      </w:pPr>
      <w:r>
        <w:rPr>
          <w:rFonts w:hint="eastAsia" w:ascii="宋体" w:hAnsi="宋体" w:eastAsia="宋体" w:cs="宋体"/>
          <w:b w:val="0"/>
          <w:bCs w:val="0"/>
          <w:i w:val="0"/>
          <w:iCs w:val="0"/>
          <w:color w:val="auto"/>
          <w:spacing w:val="0"/>
          <w:w w:val="100"/>
          <w:sz w:val="21"/>
          <w:szCs w:val="21"/>
          <w:highlight w:val="none"/>
          <w:vertAlign w:val="baseline"/>
        </w:rPr>
        <w:t>1.4.1 采购人优先采购被认定为首台套产品和“制造精品”的自主创新产品。</w:t>
      </w:r>
    </w:p>
    <w:p>
      <w:pPr>
        <w:pStyle w:val="36"/>
        <w:keepNext w:val="0"/>
        <w:keepLines w:val="0"/>
        <w:widowControl/>
        <w:suppressLineNumbers w:val="0"/>
        <w:spacing w:before="100" w:beforeAutospacing="0" w:after="100" w:afterAutospacing="0" w:line="360" w:lineRule="auto"/>
        <w:ind w:left="0" w:right="0" w:firstLine="420"/>
        <w:jc w:val="left"/>
        <w:rPr>
          <w:rFonts w:hint="eastAsia" w:ascii="宋体" w:hAnsi="宋体" w:eastAsia="宋体" w:cs="宋体"/>
          <w:color w:val="auto"/>
          <w:sz w:val="21"/>
          <w:szCs w:val="21"/>
          <w:highlight w:val="none"/>
        </w:rPr>
      </w:pPr>
      <w:r>
        <w:rPr>
          <w:rFonts w:hint="eastAsia" w:ascii="宋体" w:hAnsi="宋体" w:eastAsia="宋体" w:cs="宋体"/>
          <w:b w:val="0"/>
          <w:bCs w:val="0"/>
          <w:i w:val="0"/>
          <w:iCs w:val="0"/>
          <w:color w:val="auto"/>
          <w:spacing w:val="0"/>
          <w:w w:val="100"/>
          <w:sz w:val="21"/>
          <w:szCs w:val="21"/>
          <w:highlight w:val="none"/>
          <w:vertAlign w:val="baseline"/>
        </w:rPr>
        <w:t>1.4.2首台套产品被纳入《首台套产品推广应用指导目录》之日起</w:t>
      </w:r>
      <w:r>
        <w:rPr>
          <w:rFonts w:hint="eastAsia" w:ascii="宋体" w:hAnsi="宋体" w:eastAsia="宋体" w:cs="宋体"/>
          <w:b/>
          <w:bCs/>
          <w:i w:val="0"/>
          <w:iCs w:val="0"/>
          <w:color w:val="auto"/>
          <w:spacing w:val="0"/>
          <w:w w:val="100"/>
          <w:sz w:val="21"/>
          <w:szCs w:val="21"/>
          <w:highlight w:val="none"/>
          <w:vertAlign w:val="baseline"/>
        </w:rPr>
        <w:t>3年内</w:t>
      </w:r>
      <w:r>
        <w:rPr>
          <w:rFonts w:hint="eastAsia" w:ascii="宋体" w:hAnsi="宋体" w:eastAsia="宋体" w:cs="宋体"/>
          <w:b w:val="0"/>
          <w:bCs w:val="0"/>
          <w:i w:val="0"/>
          <w:iCs w:val="0"/>
          <w:color w:val="auto"/>
          <w:spacing w:val="0"/>
          <w:w w:val="100"/>
          <w:sz w:val="21"/>
          <w:szCs w:val="21"/>
          <w:highlight w:val="none"/>
          <w:vertAlign w:val="baseline"/>
        </w:rPr>
        <w:t>，以及产品核心技术高于国内领先水平，并具有明晰自主知识产权的“制造精品”产品，自认定之日起</w:t>
      </w:r>
      <w:r>
        <w:rPr>
          <w:rFonts w:hint="eastAsia" w:ascii="宋体" w:hAnsi="宋体" w:eastAsia="宋体" w:cs="宋体"/>
          <w:b/>
          <w:bCs/>
          <w:i w:val="0"/>
          <w:iCs w:val="0"/>
          <w:color w:val="auto"/>
          <w:spacing w:val="0"/>
          <w:w w:val="100"/>
          <w:sz w:val="21"/>
          <w:szCs w:val="21"/>
          <w:highlight w:val="none"/>
          <w:vertAlign w:val="baseline"/>
        </w:rPr>
        <w:t>3年内</w:t>
      </w:r>
      <w:r>
        <w:rPr>
          <w:rFonts w:hint="eastAsia" w:ascii="宋体" w:hAnsi="宋体" w:eastAsia="宋体" w:cs="宋体"/>
          <w:b w:val="0"/>
          <w:bCs w:val="0"/>
          <w:i w:val="0"/>
          <w:iCs w:val="0"/>
          <w:color w:val="auto"/>
          <w:spacing w:val="0"/>
          <w:w w:val="100"/>
          <w:sz w:val="21"/>
          <w:szCs w:val="21"/>
          <w:highlight w:val="none"/>
          <w:vertAlign w:val="baseline"/>
        </w:rPr>
        <w:t>视同已具备相应销售业绩，参加政府采购活动时业绩分值为满分。</w:t>
      </w:r>
    </w:p>
    <w:p>
      <w:pPr>
        <w:pStyle w:val="36"/>
        <w:keepNext w:val="0"/>
        <w:keepLines w:val="0"/>
        <w:pageBreakBefore w:val="0"/>
        <w:widowControl/>
        <w:suppressLineNumbers w:val="0"/>
        <w:kinsoku/>
        <w:wordWrap/>
        <w:overflowPunct/>
        <w:topLinePunct w:val="0"/>
        <w:autoSpaceDE/>
        <w:autoSpaceDN/>
        <w:bidi w:val="0"/>
        <w:adjustRightInd/>
        <w:spacing w:before="0" w:beforeAutospacing="0" w:after="0" w:afterAutospacing="0" w:line="500" w:lineRule="exact"/>
        <w:ind w:left="0" w:right="0" w:firstLine="420"/>
        <w:jc w:val="both"/>
        <w:textAlignment w:val="auto"/>
        <w:rPr>
          <w:rFonts w:hint="eastAsia" w:ascii="宋体" w:hAnsi="宋体" w:eastAsia="宋体" w:cs="宋体"/>
          <w:color w:val="auto"/>
          <w:sz w:val="21"/>
          <w:szCs w:val="21"/>
          <w:highlight w:val="none"/>
        </w:rPr>
      </w:pPr>
      <w:r>
        <w:rPr>
          <w:rFonts w:hint="eastAsia" w:ascii="宋体" w:hAnsi="宋体" w:eastAsia="宋体" w:cs="宋体"/>
          <w:b w:val="0"/>
          <w:bCs w:val="0"/>
          <w:i w:val="0"/>
          <w:iCs w:val="0"/>
          <w:color w:val="auto"/>
          <w:spacing w:val="0"/>
          <w:w w:val="100"/>
          <w:sz w:val="21"/>
          <w:szCs w:val="21"/>
          <w:highlight w:val="none"/>
          <w:vertAlign w:val="baseline"/>
        </w:rPr>
        <w:t>1.5中小企业信用融资：为支持和促进中小企业发展，进一步发挥政府采购政策功能， 省财政厅、浙江银监局、省金融办制定了《浙江省政府采购支持中小企业信用融资试点办法》浙财采监</w:t>
      </w:r>
      <w:r>
        <w:rPr>
          <w:rFonts w:hint="eastAsia" w:hAnsi="宋体" w:cs="宋体"/>
          <w:b w:val="0"/>
          <w:bCs w:val="0"/>
          <w:i w:val="0"/>
          <w:iCs w:val="0"/>
          <w:color w:val="auto"/>
          <w:spacing w:val="0"/>
          <w:w w:val="100"/>
          <w:sz w:val="21"/>
          <w:szCs w:val="21"/>
          <w:highlight w:val="none"/>
          <w:vertAlign w:val="baseline"/>
          <w:lang w:eastAsia="zh-CN"/>
        </w:rPr>
        <w:t>〔2012〕13号</w:t>
      </w:r>
      <w:r>
        <w:rPr>
          <w:rFonts w:hint="eastAsia" w:ascii="宋体" w:hAnsi="宋体" w:eastAsia="宋体" w:cs="宋体"/>
          <w:b w:val="0"/>
          <w:bCs w:val="0"/>
          <w:i w:val="0"/>
          <w:iCs w:val="0"/>
          <w:color w:val="auto"/>
          <w:spacing w:val="0"/>
          <w:w w:val="100"/>
          <w:sz w:val="21"/>
          <w:szCs w:val="21"/>
          <w:highlight w:val="none"/>
          <w:vertAlign w:val="baseline"/>
        </w:rPr>
        <w:t>，所称的政府采购信用融资，是指银行业金融机构</w:t>
      </w:r>
      <w:r>
        <w:rPr>
          <w:rFonts w:hint="eastAsia" w:ascii="宋体" w:hAnsi="宋体" w:eastAsia="宋体" w:cs="宋体"/>
          <w:b w:val="0"/>
          <w:bCs w:val="0"/>
          <w:i w:val="0"/>
          <w:iCs w:val="0"/>
          <w:color w:val="auto"/>
          <w:spacing w:val="0"/>
          <w:w w:val="100"/>
          <w:sz w:val="21"/>
          <w:szCs w:val="21"/>
          <w:highlight w:val="none"/>
          <w:vertAlign w:val="baseline"/>
          <w:lang w:eastAsia="zh-CN"/>
        </w:rPr>
        <w:t>（</w:t>
      </w:r>
      <w:r>
        <w:rPr>
          <w:rFonts w:hint="eastAsia" w:ascii="宋体" w:hAnsi="宋体" w:eastAsia="宋体" w:cs="宋体"/>
          <w:b w:val="0"/>
          <w:bCs w:val="0"/>
          <w:i w:val="0"/>
          <w:iCs w:val="0"/>
          <w:color w:val="auto"/>
          <w:spacing w:val="0"/>
          <w:w w:val="100"/>
          <w:sz w:val="21"/>
          <w:szCs w:val="21"/>
          <w:highlight w:val="none"/>
          <w:vertAlign w:val="baseline"/>
        </w:rPr>
        <w:t>以下简称银行</w:t>
      </w:r>
      <w:r>
        <w:rPr>
          <w:rFonts w:hint="eastAsia" w:ascii="宋体" w:hAnsi="宋体" w:eastAsia="宋体" w:cs="宋体"/>
          <w:b w:val="0"/>
          <w:bCs w:val="0"/>
          <w:i w:val="0"/>
          <w:iCs w:val="0"/>
          <w:color w:val="auto"/>
          <w:spacing w:val="0"/>
          <w:w w:val="100"/>
          <w:sz w:val="21"/>
          <w:szCs w:val="21"/>
          <w:highlight w:val="none"/>
          <w:vertAlign w:val="baseline"/>
          <w:lang w:eastAsia="zh-CN"/>
        </w:rPr>
        <w:t>）</w:t>
      </w:r>
      <w:r>
        <w:rPr>
          <w:rFonts w:hint="eastAsia" w:ascii="宋体" w:hAnsi="宋体" w:eastAsia="宋体" w:cs="宋体"/>
          <w:b w:val="0"/>
          <w:bCs w:val="0"/>
          <w:i w:val="0"/>
          <w:iCs w:val="0"/>
          <w:color w:val="auto"/>
          <w:spacing w:val="0"/>
          <w:w w:val="100"/>
          <w:sz w:val="21"/>
          <w:szCs w:val="21"/>
          <w:highlight w:val="none"/>
          <w:vertAlign w:val="baseline"/>
        </w:rPr>
        <w:t>以政府采购诚信考核和信用审查为基础，凭借政府采购合同，按优于一般中小企业的贷款利率直接向申请贷款的投标人发放贷款的一种融资方式。投标人</w:t>
      </w:r>
      <w:r>
        <w:rPr>
          <w:rFonts w:hint="eastAsia" w:ascii="宋体" w:hAnsi="宋体" w:eastAsia="宋体" w:cs="宋体"/>
          <w:b w:val="0"/>
          <w:bCs w:val="0"/>
          <w:i w:val="0"/>
          <w:iCs w:val="0"/>
          <w:color w:val="auto"/>
          <w:spacing w:val="0"/>
          <w:w w:val="100"/>
          <w:sz w:val="21"/>
          <w:szCs w:val="21"/>
          <w:highlight w:val="none"/>
          <w:vertAlign w:val="baseline"/>
          <w:lang w:eastAsia="zh-CN"/>
        </w:rPr>
        <w:t>可登录</w:t>
      </w:r>
      <w:r>
        <w:rPr>
          <w:rFonts w:hint="eastAsia" w:ascii="宋体" w:hAnsi="宋体" w:eastAsia="宋体" w:cs="宋体"/>
          <w:b w:val="0"/>
          <w:bCs w:val="0"/>
          <w:i w:val="0"/>
          <w:iCs w:val="0"/>
          <w:color w:val="auto"/>
          <w:spacing w:val="0"/>
          <w:w w:val="100"/>
          <w:sz w:val="21"/>
          <w:szCs w:val="21"/>
          <w:highlight w:val="none"/>
          <w:vertAlign w:val="baseline"/>
        </w:rPr>
        <w:t>政采云</w:t>
      </w:r>
      <w:r>
        <w:rPr>
          <w:rFonts w:hint="eastAsia" w:ascii="宋体" w:hAnsi="宋体" w:eastAsia="宋体" w:cs="宋体"/>
          <w:b w:val="0"/>
          <w:bCs w:val="0"/>
          <w:i w:val="0"/>
          <w:iCs w:val="0"/>
          <w:color w:val="auto"/>
          <w:spacing w:val="0"/>
          <w:w w:val="100"/>
          <w:sz w:val="21"/>
          <w:szCs w:val="21"/>
          <w:highlight w:val="none"/>
          <w:vertAlign w:val="baseline"/>
          <w:lang w:eastAsia="zh-CN"/>
        </w:rPr>
        <w:t>（</w:t>
      </w:r>
      <w:r>
        <w:rPr>
          <w:rFonts w:hint="eastAsia" w:ascii="宋体" w:hAnsi="宋体" w:eastAsia="宋体" w:cs="宋体"/>
          <w:b w:val="0"/>
          <w:bCs w:val="0"/>
          <w:i w:val="0"/>
          <w:iCs w:val="0"/>
          <w:color w:val="auto"/>
          <w:spacing w:val="0"/>
          <w:w w:val="100"/>
          <w:sz w:val="21"/>
          <w:szCs w:val="21"/>
          <w:highlight w:val="none"/>
          <w:vertAlign w:val="baseline"/>
        </w:rPr>
        <w:t>https://www.zcygov.cn/</w:t>
      </w:r>
      <w:r>
        <w:rPr>
          <w:rFonts w:hint="eastAsia" w:ascii="宋体" w:hAnsi="宋体" w:eastAsia="宋体" w:cs="宋体"/>
          <w:b w:val="0"/>
          <w:bCs w:val="0"/>
          <w:i w:val="0"/>
          <w:iCs w:val="0"/>
          <w:color w:val="auto"/>
          <w:spacing w:val="0"/>
          <w:w w:val="100"/>
          <w:sz w:val="21"/>
          <w:szCs w:val="21"/>
          <w:highlight w:val="none"/>
          <w:vertAlign w:val="baseline"/>
          <w:lang w:eastAsia="zh-CN"/>
        </w:rPr>
        <w:t>）</w:t>
      </w:r>
      <w:r>
        <w:rPr>
          <w:rFonts w:hint="eastAsia" w:ascii="宋体" w:hAnsi="宋体" w:eastAsia="宋体" w:cs="宋体"/>
          <w:b w:val="0"/>
          <w:bCs w:val="0"/>
          <w:i w:val="0"/>
          <w:iCs w:val="0"/>
          <w:color w:val="auto"/>
          <w:spacing w:val="0"/>
          <w:w w:val="100"/>
          <w:sz w:val="21"/>
          <w:szCs w:val="21"/>
          <w:highlight w:val="none"/>
          <w:vertAlign w:val="baseline"/>
        </w:rPr>
        <w:t>的中小企业信用融资栏目了解相关信息</w:t>
      </w:r>
      <w:r>
        <w:rPr>
          <w:rFonts w:hint="eastAsia" w:ascii="宋体" w:hAnsi="宋体" w:eastAsia="宋体" w:cs="宋体"/>
          <w:b w:val="0"/>
          <w:bCs w:val="0"/>
          <w:i w:val="0"/>
          <w:iCs w:val="0"/>
          <w:color w:val="auto"/>
          <w:spacing w:val="0"/>
          <w:w w:val="100"/>
          <w:sz w:val="21"/>
          <w:szCs w:val="21"/>
          <w:highlight w:val="none"/>
          <w:vertAlign w:val="baseline"/>
          <w:lang w:eastAsia="zh-CN"/>
        </w:rPr>
        <w:t>。</w:t>
      </w:r>
      <w:r>
        <w:rPr>
          <w:rFonts w:hint="eastAsia" w:ascii="宋体" w:hAnsi="宋体" w:eastAsia="宋体" w:cs="宋体"/>
          <w:b w:val="0"/>
          <w:bCs w:val="0"/>
          <w:i w:val="0"/>
          <w:iCs w:val="0"/>
          <w:color w:val="auto"/>
          <w:spacing w:val="0"/>
          <w:w w:val="100"/>
          <w:sz w:val="21"/>
          <w:szCs w:val="21"/>
          <w:highlight w:val="none"/>
          <w:vertAlign w:val="baseline"/>
        </w:rPr>
        <w:t>供应商可以通过浙江政府采购网</w:t>
      </w:r>
      <w:r>
        <w:rPr>
          <w:rFonts w:hint="eastAsia" w:ascii="宋体" w:hAnsi="宋体" w:eastAsia="宋体" w:cs="宋体"/>
          <w:b w:val="0"/>
          <w:bCs w:val="0"/>
          <w:i w:val="0"/>
          <w:iCs w:val="0"/>
          <w:color w:val="auto"/>
          <w:spacing w:val="0"/>
          <w:w w:val="100"/>
          <w:sz w:val="21"/>
          <w:szCs w:val="21"/>
          <w:highlight w:val="none"/>
          <w:vertAlign w:val="baseline"/>
          <w:lang w:eastAsia="zh-CN"/>
        </w:rPr>
        <w:t>（</w:t>
      </w:r>
      <w:r>
        <w:rPr>
          <w:rFonts w:hint="eastAsia" w:ascii="宋体" w:hAnsi="宋体" w:eastAsia="宋体" w:cs="宋体"/>
          <w:b w:val="0"/>
          <w:bCs w:val="0"/>
          <w:i w:val="0"/>
          <w:iCs w:val="0"/>
          <w:color w:val="auto"/>
          <w:spacing w:val="0"/>
          <w:w w:val="100"/>
          <w:sz w:val="21"/>
          <w:szCs w:val="21"/>
          <w:highlight w:val="none"/>
          <w:vertAlign w:val="baseline"/>
        </w:rPr>
        <w:t>https://zfcg.czt.zj.gov.cn/</w:t>
      </w:r>
      <w:r>
        <w:rPr>
          <w:rFonts w:hint="eastAsia" w:ascii="宋体" w:hAnsi="宋体" w:eastAsia="宋体" w:cs="宋体"/>
          <w:b w:val="0"/>
          <w:bCs w:val="0"/>
          <w:i w:val="0"/>
          <w:iCs w:val="0"/>
          <w:color w:val="auto"/>
          <w:spacing w:val="0"/>
          <w:w w:val="100"/>
          <w:sz w:val="21"/>
          <w:szCs w:val="21"/>
          <w:highlight w:val="none"/>
          <w:vertAlign w:val="baseline"/>
          <w:lang w:eastAsia="zh-CN"/>
        </w:rPr>
        <w:t>）</w:t>
      </w:r>
      <w:r>
        <w:rPr>
          <w:rFonts w:hint="eastAsia" w:ascii="宋体" w:hAnsi="宋体" w:eastAsia="宋体" w:cs="宋体"/>
          <w:b w:val="0"/>
          <w:bCs w:val="0"/>
          <w:i w:val="0"/>
          <w:iCs w:val="0"/>
          <w:color w:val="auto"/>
          <w:spacing w:val="0"/>
          <w:w w:val="100"/>
          <w:sz w:val="21"/>
          <w:szCs w:val="21"/>
          <w:highlight w:val="none"/>
          <w:vertAlign w:val="baseline"/>
        </w:rPr>
        <w:t>首页的“浙江政采贷”模块进入申请，还可以通过政府采购云平台</w:t>
      </w:r>
      <w:r>
        <w:rPr>
          <w:rFonts w:hint="eastAsia" w:ascii="宋体" w:hAnsi="宋体" w:eastAsia="宋体" w:cs="宋体"/>
          <w:b w:val="0"/>
          <w:bCs w:val="0"/>
          <w:i w:val="0"/>
          <w:iCs w:val="0"/>
          <w:color w:val="auto"/>
          <w:spacing w:val="0"/>
          <w:w w:val="100"/>
          <w:sz w:val="21"/>
          <w:szCs w:val="21"/>
          <w:highlight w:val="none"/>
          <w:vertAlign w:val="baseline"/>
          <w:lang w:eastAsia="zh-CN"/>
        </w:rPr>
        <w:t>（</w:t>
      </w:r>
      <w:r>
        <w:rPr>
          <w:rFonts w:hint="eastAsia" w:ascii="宋体" w:hAnsi="宋体" w:eastAsia="宋体" w:cs="宋体"/>
          <w:b w:val="0"/>
          <w:bCs w:val="0"/>
          <w:i w:val="0"/>
          <w:iCs w:val="0"/>
          <w:color w:val="auto"/>
          <w:spacing w:val="0"/>
          <w:w w:val="100"/>
          <w:sz w:val="21"/>
          <w:szCs w:val="21"/>
          <w:highlight w:val="none"/>
          <w:vertAlign w:val="baseline"/>
        </w:rPr>
        <w:t>https://www.zcygov.cn/</w:t>
      </w:r>
      <w:r>
        <w:rPr>
          <w:rFonts w:hint="eastAsia" w:ascii="宋体" w:hAnsi="宋体" w:eastAsia="宋体" w:cs="宋体"/>
          <w:b w:val="0"/>
          <w:bCs w:val="0"/>
          <w:i w:val="0"/>
          <w:iCs w:val="0"/>
          <w:color w:val="auto"/>
          <w:spacing w:val="0"/>
          <w:w w:val="100"/>
          <w:sz w:val="21"/>
          <w:szCs w:val="21"/>
          <w:highlight w:val="none"/>
          <w:vertAlign w:val="baseline"/>
          <w:lang w:eastAsia="zh-CN"/>
        </w:rPr>
        <w:t>）</w:t>
      </w:r>
      <w:r>
        <w:rPr>
          <w:rFonts w:hint="eastAsia" w:ascii="宋体" w:hAnsi="宋体" w:eastAsia="宋体" w:cs="宋体"/>
          <w:b w:val="0"/>
          <w:bCs w:val="0"/>
          <w:i w:val="0"/>
          <w:iCs w:val="0"/>
          <w:color w:val="auto"/>
          <w:spacing w:val="0"/>
          <w:w w:val="100"/>
          <w:sz w:val="21"/>
          <w:szCs w:val="21"/>
          <w:highlight w:val="none"/>
          <w:vertAlign w:val="baseline"/>
        </w:rPr>
        <w:t>首页的“金融服务”模块进入申请。</w:t>
      </w:r>
    </w:p>
    <w:p>
      <w:pPr>
        <w:snapToGrid w:val="0"/>
        <w:spacing w:line="500" w:lineRule="exact"/>
        <w:ind w:firstLine="420" w:firstLineChars="200"/>
        <w:outlineLvl w:val="1"/>
        <w:rPr>
          <w:rFonts w:hint="eastAsia" w:ascii="宋体" w:hAnsi="宋体" w:cs="宋体"/>
          <w:b/>
          <w:color w:val="auto"/>
          <w:sz w:val="21"/>
          <w:szCs w:val="21"/>
          <w:highlight w:val="none"/>
        </w:rPr>
      </w:pPr>
      <w:r>
        <w:rPr>
          <w:rFonts w:hint="eastAsia" w:ascii="宋体" w:hAnsi="宋体" w:cs="宋体"/>
          <w:color w:val="auto"/>
          <w:sz w:val="21"/>
          <w:szCs w:val="21"/>
          <w:highlight w:val="none"/>
          <w:lang w:bidi="ar"/>
        </w:rPr>
        <w:t xml:space="preserve"> </w:t>
      </w:r>
      <w:r>
        <w:rPr>
          <w:rFonts w:hint="eastAsia" w:ascii="宋体" w:hAnsi="宋体" w:cs="宋体"/>
          <w:b/>
          <w:color w:val="auto"/>
          <w:sz w:val="21"/>
          <w:szCs w:val="21"/>
          <w:highlight w:val="none"/>
        </w:rPr>
        <w:t>五、技术商务标评定（满分为</w:t>
      </w:r>
      <w:r>
        <w:rPr>
          <w:rFonts w:hint="eastAsia" w:ascii="宋体" w:hAnsi="宋体" w:cs="宋体"/>
          <w:b/>
          <w:color w:val="auto"/>
          <w:sz w:val="21"/>
          <w:szCs w:val="21"/>
          <w:highlight w:val="none"/>
          <w:lang w:val="en-US" w:eastAsia="zh-CN"/>
        </w:rPr>
        <w:t>70</w:t>
      </w:r>
      <w:r>
        <w:rPr>
          <w:rFonts w:hint="eastAsia" w:ascii="宋体" w:hAnsi="宋体" w:cs="宋体"/>
          <w:b/>
          <w:color w:val="auto"/>
          <w:sz w:val="21"/>
          <w:szCs w:val="21"/>
          <w:highlight w:val="none"/>
        </w:rPr>
        <w:t>分）</w:t>
      </w:r>
    </w:p>
    <w:p>
      <w:pPr>
        <w:snapToGrid w:val="0"/>
        <w:spacing w:line="500" w:lineRule="exact"/>
        <w:ind w:firstLine="420" w:firstLineChars="200"/>
        <w:outlineLvl w:val="1"/>
        <w:rPr>
          <w:rFonts w:hint="eastAsia" w:ascii="宋体" w:hAnsi="宋体" w:cs="宋体"/>
          <w:color w:val="auto"/>
          <w:sz w:val="21"/>
          <w:szCs w:val="21"/>
          <w:highlight w:val="none"/>
        </w:rPr>
      </w:pPr>
      <w:r>
        <w:rPr>
          <w:rFonts w:hint="eastAsia" w:ascii="宋体" w:hAnsi="宋体" w:cs="宋体"/>
          <w:color w:val="auto"/>
          <w:sz w:val="21"/>
          <w:szCs w:val="21"/>
          <w:highlight w:val="none"/>
        </w:rPr>
        <w:t>技术商务分设置为</w:t>
      </w:r>
      <w:r>
        <w:rPr>
          <w:rFonts w:hint="eastAsia" w:ascii="宋体" w:hAnsi="宋体" w:cs="宋体"/>
          <w:color w:val="auto"/>
          <w:sz w:val="21"/>
          <w:szCs w:val="21"/>
          <w:highlight w:val="none"/>
          <w:lang w:val="en-US" w:eastAsia="zh-CN"/>
        </w:rPr>
        <w:t>70</w:t>
      </w:r>
      <w:r>
        <w:rPr>
          <w:rFonts w:hint="eastAsia" w:ascii="宋体" w:hAnsi="宋体" w:cs="宋体"/>
          <w:color w:val="auto"/>
          <w:sz w:val="21"/>
          <w:szCs w:val="21"/>
          <w:highlight w:val="none"/>
        </w:rPr>
        <w:t>分，分值分配见以下表格。评标委员会根据表格内容，对各投标人的技术商务标进行审核和评论后，由各成员独立酌情给分，打分时保留小数点后1位，每人一份评分表，并签名。在统计得分时，如果发现某一单项评分超过评分细则规定的分值范围，则该张评分表无效。投标人技术商务标（含资信与服务）最终得分为评标委员会成员的有效评分的算术平均值。计算时保留小数点后2位。</w:t>
      </w:r>
    </w:p>
    <w:tbl>
      <w:tblPr>
        <w:tblStyle w:val="39"/>
        <w:tblW w:w="100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1175"/>
        <w:gridCol w:w="7211"/>
        <w:gridCol w:w="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9" w:type="dxa"/>
            <w:noWrap w:val="0"/>
            <w:vAlign w:val="center"/>
          </w:tcPr>
          <w:p>
            <w:pPr>
              <w:widowControl/>
              <w:jc w:val="center"/>
              <w:textAlignment w:val="center"/>
              <w:rPr>
                <w:rFonts w:ascii="宋体" w:hAnsi="宋体" w:cs="宋体"/>
                <w:color w:val="auto"/>
                <w:sz w:val="21"/>
                <w:szCs w:val="21"/>
                <w:highlight w:val="none"/>
              </w:rPr>
            </w:pPr>
            <w:bookmarkStart w:id="4" w:name="OLE_LINK2"/>
            <w:r>
              <w:rPr>
                <w:rFonts w:hint="eastAsia" w:ascii="宋体" w:hAnsi="宋体" w:cs="宋体"/>
                <w:color w:val="auto"/>
                <w:kern w:val="0"/>
                <w:sz w:val="21"/>
                <w:szCs w:val="21"/>
                <w:highlight w:val="none"/>
                <w:lang w:bidi="ar"/>
              </w:rPr>
              <w:t>序号</w:t>
            </w:r>
          </w:p>
        </w:tc>
        <w:tc>
          <w:tcPr>
            <w:tcW w:w="1175" w:type="dxa"/>
            <w:noWrap w:val="0"/>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评分因素</w:t>
            </w:r>
          </w:p>
        </w:tc>
        <w:tc>
          <w:tcPr>
            <w:tcW w:w="7211" w:type="dxa"/>
            <w:noWrap w:val="0"/>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评分内容及细则</w:t>
            </w:r>
          </w:p>
        </w:tc>
        <w:tc>
          <w:tcPr>
            <w:tcW w:w="980" w:type="dxa"/>
            <w:noWrap w:val="0"/>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95" w:type="dxa"/>
            <w:gridSpan w:val="4"/>
            <w:noWrap w:val="0"/>
            <w:vAlign w:val="center"/>
          </w:tcPr>
          <w:p>
            <w:pPr>
              <w:widowControl/>
              <w:jc w:val="left"/>
              <w:textAlignment w:val="center"/>
              <w:rPr>
                <w:rFonts w:hint="default" w:ascii="宋体" w:hAnsi="宋体" w:cs="宋体"/>
                <w:color w:val="auto"/>
                <w:kern w:val="0"/>
                <w:sz w:val="21"/>
                <w:szCs w:val="21"/>
                <w:highlight w:val="none"/>
                <w:lang w:val="en-US" w:bidi="ar"/>
              </w:rPr>
            </w:pPr>
            <w:r>
              <w:rPr>
                <w:rFonts w:hint="eastAsia" w:ascii="宋体" w:hAnsi="宋体" w:cs="宋体"/>
                <w:color w:val="auto"/>
                <w:kern w:val="0"/>
                <w:sz w:val="21"/>
                <w:szCs w:val="21"/>
                <w:highlight w:val="none"/>
                <w:lang w:val="en-US" w:eastAsia="zh-CN" w:bidi="ar"/>
              </w:rPr>
              <w:t>资信部分（8分）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9" w:type="dxa"/>
            <w:noWrap w:val="0"/>
            <w:vAlign w:val="center"/>
          </w:tcPr>
          <w:p>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175" w:type="dxa"/>
            <w:noWrap w:val="0"/>
            <w:vAlign w:val="center"/>
          </w:tcPr>
          <w:p>
            <w:pPr>
              <w:widowControl/>
              <w:jc w:val="left"/>
              <w:textAlignment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投标产品节能性、环保性评价</w:t>
            </w:r>
          </w:p>
        </w:tc>
        <w:tc>
          <w:tcPr>
            <w:tcW w:w="7211" w:type="dxa"/>
            <w:noWrap w:val="0"/>
            <w:vAlign w:val="center"/>
          </w:tcPr>
          <w:p>
            <w:pPr>
              <w:widowControl/>
              <w:jc w:val="left"/>
              <w:textAlignment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对所投产品是否取得有效的政府采购节能产品、环境标志产品认证证书的情况进行评价给分（已列入强制要求的除外）。所投产品取得节能产品认证证书的，得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val="zh-CN"/>
              </w:rPr>
              <w:t>分；所投产品取得环境标志产品的，得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val="zh-CN"/>
              </w:rPr>
              <w:t>分；证明材料：提供国家</w:t>
            </w:r>
            <w:r>
              <w:rPr>
                <w:rFonts w:hint="eastAsia" w:ascii="宋体" w:hAnsi="宋体" w:cs="宋体"/>
                <w:color w:val="auto"/>
                <w:sz w:val="21"/>
                <w:szCs w:val="21"/>
                <w:highlight w:val="none"/>
                <w:lang w:val="en-US" w:eastAsia="zh-CN"/>
              </w:rPr>
              <w:t>认可</w:t>
            </w:r>
            <w:r>
              <w:rPr>
                <w:rFonts w:hint="eastAsia" w:ascii="宋体" w:hAnsi="宋体" w:eastAsia="宋体" w:cs="宋体"/>
                <w:color w:val="auto"/>
                <w:sz w:val="21"/>
                <w:szCs w:val="21"/>
                <w:highlight w:val="none"/>
                <w:lang w:val="zh-CN"/>
              </w:rPr>
              <w:t>的认证机构出具的、处于有效期之内的节能产品、环境标志产品认证证书复印件或扫描件</w:t>
            </w:r>
            <w:r>
              <w:rPr>
                <w:rFonts w:hint="eastAsia" w:ascii="宋体" w:hAnsi="宋体" w:eastAsia="宋体" w:cs="宋体"/>
                <w:color w:val="auto"/>
                <w:sz w:val="21"/>
                <w:szCs w:val="21"/>
                <w:highlight w:val="none"/>
                <w:lang w:val="en-US" w:eastAsia="zh-CN"/>
              </w:rPr>
              <w:t>并</w:t>
            </w:r>
            <w:r>
              <w:rPr>
                <w:rFonts w:hint="eastAsia" w:ascii="宋体" w:hAnsi="宋体" w:eastAsia="宋体" w:cs="宋体"/>
                <w:color w:val="auto"/>
                <w:sz w:val="21"/>
                <w:szCs w:val="21"/>
                <w:highlight w:val="none"/>
                <w:lang w:val="zh-CN"/>
              </w:rPr>
              <w:t>加盖</w:t>
            </w:r>
            <w:r>
              <w:rPr>
                <w:rFonts w:hint="eastAsia" w:ascii="宋体" w:hAnsi="宋体" w:eastAsia="宋体" w:cs="宋体"/>
                <w:color w:val="auto"/>
                <w:sz w:val="21"/>
                <w:szCs w:val="21"/>
                <w:highlight w:val="none"/>
                <w:lang w:val="en-US" w:eastAsia="zh-CN"/>
              </w:rPr>
              <w:t>单位</w:t>
            </w:r>
            <w:r>
              <w:rPr>
                <w:rFonts w:hint="eastAsia" w:ascii="宋体" w:hAnsi="宋体" w:eastAsia="宋体" w:cs="宋体"/>
                <w:color w:val="auto"/>
                <w:sz w:val="21"/>
                <w:szCs w:val="21"/>
                <w:highlight w:val="none"/>
                <w:lang w:val="zh-CN"/>
              </w:rPr>
              <w:t>公章，否则该项不得分。</w:t>
            </w:r>
            <w:r>
              <w:rPr>
                <w:rFonts w:hint="eastAsia" w:ascii="宋体" w:hAnsi="宋体" w:cs="宋体"/>
                <w:color w:val="auto"/>
                <w:sz w:val="21"/>
                <w:szCs w:val="21"/>
                <w:highlight w:val="none"/>
                <w:lang w:val="en-US" w:eastAsia="zh-CN"/>
              </w:rPr>
              <w:t>本项</w:t>
            </w:r>
            <w:r>
              <w:rPr>
                <w:rFonts w:hint="eastAsia" w:ascii="宋体" w:hAnsi="宋体" w:eastAsia="宋体" w:cs="宋体"/>
                <w:color w:val="auto"/>
                <w:sz w:val="21"/>
                <w:szCs w:val="21"/>
                <w:highlight w:val="none"/>
                <w:lang w:val="zh-CN"/>
              </w:rPr>
              <w:t>最高得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zh-CN"/>
              </w:rPr>
              <w:t>分</w:t>
            </w:r>
          </w:p>
        </w:tc>
        <w:tc>
          <w:tcPr>
            <w:tcW w:w="980" w:type="dxa"/>
            <w:noWrap w:val="0"/>
            <w:vAlign w:val="center"/>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0-</w:t>
            </w:r>
            <w:r>
              <w:rPr>
                <w:rFonts w:hint="eastAsia" w:ascii="宋体" w:hAnsi="宋体" w:eastAsia="宋体" w:cs="宋体"/>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9" w:type="dxa"/>
            <w:noWrap w:val="0"/>
            <w:vAlign w:val="center"/>
          </w:tcPr>
          <w:p>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2</w:t>
            </w:r>
          </w:p>
        </w:tc>
        <w:tc>
          <w:tcPr>
            <w:tcW w:w="1175" w:type="dxa"/>
            <w:noWrap w:val="0"/>
            <w:vAlign w:val="center"/>
          </w:tcPr>
          <w:p>
            <w:pPr>
              <w:widowControl/>
              <w:jc w:val="left"/>
              <w:textAlignment w:val="center"/>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sz w:val="21"/>
                <w:szCs w:val="21"/>
                <w:highlight w:val="none"/>
                <w:lang w:val="zh-CN"/>
              </w:rPr>
              <w:t>投标人业绩</w:t>
            </w:r>
          </w:p>
        </w:tc>
        <w:tc>
          <w:tcPr>
            <w:tcW w:w="7211" w:type="dxa"/>
            <w:noWrap w:val="0"/>
            <w:vAlign w:val="center"/>
          </w:tcPr>
          <w:p>
            <w:pPr>
              <w:widowControl/>
              <w:jc w:val="left"/>
              <w:textAlignment w:val="center"/>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rPr>
              <w:t>投标人提供20</w:t>
            </w:r>
            <w:r>
              <w:rPr>
                <w:rFonts w:hint="eastAsia" w:ascii="宋体" w:hAnsi="宋体" w:eastAsia="宋体" w:cs="宋体"/>
                <w:color w:val="auto"/>
                <w:sz w:val="21"/>
                <w:szCs w:val="21"/>
                <w:highlight w:val="none"/>
                <w:lang w:val="en-US" w:eastAsia="zh-CN"/>
              </w:rPr>
              <w:t>21</w:t>
            </w:r>
            <w:r>
              <w:rPr>
                <w:rFonts w:hint="eastAsia" w:ascii="宋体" w:hAnsi="宋体" w:eastAsia="宋体" w:cs="宋体"/>
                <w:color w:val="auto"/>
                <w:sz w:val="21"/>
                <w:szCs w:val="21"/>
                <w:highlight w:val="none"/>
                <w:lang w:val="zh-CN"/>
              </w:rPr>
              <w:t>年1月1日以来（以合同签订时间为准）类似成功案例：每</w:t>
            </w:r>
            <w:r>
              <w:rPr>
                <w:rFonts w:hint="eastAsia" w:ascii="宋体" w:hAnsi="宋体" w:eastAsia="宋体" w:cs="宋体"/>
                <w:color w:val="auto"/>
                <w:sz w:val="21"/>
                <w:szCs w:val="21"/>
                <w:highlight w:val="none"/>
                <w:lang w:val="en-US" w:eastAsia="zh-CN"/>
              </w:rPr>
              <w:t>提供一个</w:t>
            </w:r>
            <w:r>
              <w:rPr>
                <w:rFonts w:hint="eastAsia" w:ascii="宋体" w:hAnsi="宋体" w:eastAsia="宋体" w:cs="宋体"/>
                <w:color w:val="auto"/>
                <w:sz w:val="21"/>
                <w:szCs w:val="21"/>
                <w:highlight w:val="none"/>
                <w:lang w:val="zh-CN"/>
              </w:rPr>
              <w:t>合同</w:t>
            </w:r>
            <w:r>
              <w:rPr>
                <w:rFonts w:hint="eastAsia" w:ascii="宋体" w:hAnsi="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采购</w:t>
            </w:r>
            <w:r>
              <w:rPr>
                <w:rFonts w:hint="eastAsia" w:ascii="宋体" w:hAnsi="宋体" w:cs="宋体"/>
                <w:color w:val="auto"/>
                <w:sz w:val="21"/>
                <w:szCs w:val="21"/>
                <w:highlight w:val="none"/>
                <w:lang w:val="en-US" w:eastAsia="zh-CN"/>
              </w:rPr>
              <w:t>单泵血透机和双泵血透机供货合同的</w:t>
            </w:r>
            <w:r>
              <w:rPr>
                <w:rFonts w:hint="eastAsia" w:ascii="宋体" w:hAnsi="宋体" w:cs="宋体"/>
                <w:color w:val="auto"/>
                <w:sz w:val="21"/>
                <w:szCs w:val="21"/>
                <w:highlight w:val="none"/>
                <w:lang w:val="zh-CN"/>
              </w:rPr>
              <w:t>）</w:t>
            </w:r>
            <w:r>
              <w:rPr>
                <w:rFonts w:hint="eastAsia" w:ascii="宋体" w:hAnsi="宋体" w:eastAsia="宋体" w:cs="宋体"/>
                <w:color w:val="auto"/>
                <w:sz w:val="21"/>
                <w:szCs w:val="21"/>
                <w:highlight w:val="none"/>
                <w:lang w:val="zh-CN"/>
              </w:rPr>
              <w:t>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val="zh-CN"/>
              </w:rPr>
              <w:t>分，最</w:t>
            </w:r>
            <w:r>
              <w:rPr>
                <w:rFonts w:hint="eastAsia" w:ascii="宋体" w:hAnsi="宋体" w:eastAsia="宋体" w:cs="宋体"/>
                <w:color w:val="auto"/>
                <w:sz w:val="21"/>
                <w:szCs w:val="21"/>
                <w:highlight w:val="none"/>
                <w:lang w:val="en-US" w:eastAsia="zh-CN"/>
              </w:rPr>
              <w:t>高</w:t>
            </w:r>
            <w:r>
              <w:rPr>
                <w:rFonts w:hint="eastAsia" w:ascii="宋体" w:hAnsi="宋体" w:eastAsia="宋体" w:cs="宋体"/>
                <w:color w:val="auto"/>
                <w:sz w:val="21"/>
                <w:szCs w:val="21"/>
                <w:highlight w:val="none"/>
                <w:lang w:val="zh-CN"/>
              </w:rPr>
              <w:t>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val="zh-CN"/>
              </w:rPr>
              <w:t>分。</w:t>
            </w:r>
          </w:p>
          <w:p>
            <w:pPr>
              <w:widowControl/>
              <w:jc w:val="left"/>
              <w:textAlignment w:val="center"/>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注：投标时</w:t>
            </w:r>
            <w:r>
              <w:rPr>
                <w:rFonts w:hint="eastAsia" w:ascii="宋体" w:hAnsi="宋体" w:eastAsia="宋体" w:cs="宋体"/>
                <w:color w:val="auto"/>
                <w:sz w:val="21"/>
                <w:szCs w:val="21"/>
                <w:highlight w:val="none"/>
                <w:lang w:val="zh-CN"/>
              </w:rPr>
              <w:t>提供业绩合同</w:t>
            </w:r>
            <w:r>
              <w:rPr>
                <w:rFonts w:hint="eastAsia" w:ascii="宋体" w:hAnsi="宋体" w:cs="宋体"/>
                <w:color w:val="auto"/>
                <w:sz w:val="21"/>
                <w:szCs w:val="21"/>
                <w:highlight w:val="none"/>
                <w:lang w:val="en-US" w:eastAsia="zh-CN"/>
              </w:rPr>
              <w:t>复印件或</w:t>
            </w:r>
            <w:r>
              <w:rPr>
                <w:rFonts w:hint="eastAsia" w:ascii="宋体" w:hAnsi="宋体" w:eastAsia="宋体" w:cs="宋体"/>
                <w:color w:val="auto"/>
                <w:sz w:val="21"/>
                <w:szCs w:val="21"/>
                <w:highlight w:val="none"/>
                <w:lang w:val="zh-CN"/>
              </w:rPr>
              <w:t>扫描件并加盖</w:t>
            </w:r>
            <w:r>
              <w:rPr>
                <w:rFonts w:hint="eastAsia" w:ascii="宋体" w:hAnsi="宋体" w:cs="宋体"/>
                <w:color w:val="auto"/>
                <w:sz w:val="21"/>
                <w:szCs w:val="21"/>
                <w:highlight w:val="none"/>
                <w:lang w:val="en-US" w:eastAsia="zh-CN"/>
              </w:rPr>
              <w:t>单位</w:t>
            </w:r>
            <w:r>
              <w:rPr>
                <w:rFonts w:hint="eastAsia" w:ascii="宋体" w:hAnsi="宋体" w:eastAsia="宋体" w:cs="宋体"/>
                <w:color w:val="auto"/>
                <w:sz w:val="21"/>
                <w:szCs w:val="21"/>
                <w:highlight w:val="none"/>
                <w:lang w:val="zh-CN"/>
              </w:rPr>
              <w:t>公章，否则不得分）。</w:t>
            </w:r>
          </w:p>
        </w:tc>
        <w:tc>
          <w:tcPr>
            <w:tcW w:w="980" w:type="dxa"/>
            <w:noWrap w:val="0"/>
            <w:vAlign w:val="center"/>
          </w:tcPr>
          <w:p>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0-</w:t>
            </w:r>
            <w:r>
              <w:rPr>
                <w:rFonts w:hint="eastAsia" w:ascii="宋体" w:hAnsi="宋体" w:eastAsia="宋体" w:cs="宋体"/>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729" w:type="dxa"/>
            <w:noWrap w:val="0"/>
            <w:vAlign w:val="center"/>
          </w:tcPr>
          <w:p>
            <w:pPr>
              <w:widowControl/>
              <w:jc w:val="center"/>
              <w:textAlignment w:val="center"/>
              <w:rPr>
                <w:rFonts w:hint="eastAsia" w:ascii="宋体" w:hAnsi="宋体" w:eastAsia="宋体" w:cs="宋体"/>
                <w:color w:val="auto"/>
                <w:sz w:val="21"/>
                <w:szCs w:val="21"/>
                <w:highlight w:val="none"/>
                <w:lang w:val="zh-CN" w:eastAsia="zh-CN"/>
              </w:rPr>
            </w:pPr>
            <w:r>
              <w:rPr>
                <w:rFonts w:hint="eastAsia" w:ascii="宋体" w:hAnsi="宋体" w:cs="宋体"/>
                <w:color w:val="auto"/>
                <w:sz w:val="21"/>
                <w:szCs w:val="21"/>
                <w:highlight w:val="none"/>
                <w:lang w:val="en-US" w:eastAsia="zh-CN"/>
              </w:rPr>
              <w:t>3</w:t>
            </w:r>
          </w:p>
        </w:tc>
        <w:tc>
          <w:tcPr>
            <w:tcW w:w="1175" w:type="dxa"/>
            <w:noWrap w:val="0"/>
            <w:vAlign w:val="center"/>
          </w:tcPr>
          <w:p>
            <w:pPr>
              <w:widowControl/>
              <w:jc w:val="left"/>
              <w:textAlignment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投标人综合实力</w:t>
            </w:r>
          </w:p>
        </w:tc>
        <w:tc>
          <w:tcPr>
            <w:tcW w:w="7211" w:type="dxa"/>
            <w:noWrap w:val="0"/>
            <w:vAlign w:val="center"/>
          </w:tcPr>
          <w:p>
            <w:pPr>
              <w:widowControl/>
              <w:jc w:val="left"/>
              <w:textAlignment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投标人具</w:t>
            </w:r>
            <w:r>
              <w:rPr>
                <w:rFonts w:hint="eastAsia" w:ascii="宋体" w:hAnsi="宋体" w:eastAsia="宋体" w:cs="宋体"/>
                <w:color w:val="auto"/>
                <w:sz w:val="21"/>
                <w:szCs w:val="21"/>
                <w:highlight w:val="none"/>
                <w:lang w:val="en-US" w:eastAsia="zh-CN"/>
              </w:rPr>
              <w:t>有</w:t>
            </w:r>
            <w:r>
              <w:rPr>
                <w:rFonts w:hint="eastAsia" w:ascii="宋体" w:hAnsi="宋体" w:eastAsia="宋体" w:cs="宋体"/>
                <w:color w:val="auto"/>
                <w:sz w:val="21"/>
                <w:szCs w:val="21"/>
                <w:highlight w:val="none"/>
                <w:lang w:val="zh-CN"/>
              </w:rPr>
              <w:t>有效的质量管理体系认证、环境质量管理体系认证、职业健康管理体系认证证书，每</w:t>
            </w:r>
            <w:r>
              <w:rPr>
                <w:rFonts w:hint="eastAsia" w:ascii="宋体" w:hAnsi="宋体" w:cs="宋体"/>
                <w:color w:val="auto"/>
                <w:sz w:val="21"/>
                <w:szCs w:val="21"/>
                <w:highlight w:val="none"/>
                <w:lang w:val="en-US" w:eastAsia="zh-CN"/>
              </w:rPr>
              <w:t>本证书</w:t>
            </w:r>
            <w:r>
              <w:rPr>
                <w:rFonts w:hint="eastAsia" w:ascii="宋体" w:hAnsi="宋体" w:eastAsia="宋体" w:cs="宋体"/>
                <w:color w:val="auto"/>
                <w:sz w:val="21"/>
                <w:szCs w:val="21"/>
                <w:highlight w:val="none"/>
                <w:lang w:val="zh-CN"/>
              </w:rPr>
              <w:t>得1分，</w:t>
            </w:r>
            <w:r>
              <w:rPr>
                <w:rFonts w:hint="eastAsia" w:ascii="宋体" w:hAnsi="宋体" w:cs="宋体"/>
                <w:color w:val="auto"/>
                <w:sz w:val="21"/>
                <w:szCs w:val="21"/>
                <w:highlight w:val="none"/>
                <w:lang w:val="en-US" w:eastAsia="zh-CN"/>
              </w:rPr>
              <w:t>本项</w:t>
            </w:r>
            <w:r>
              <w:rPr>
                <w:rFonts w:hint="eastAsia" w:ascii="宋体" w:hAnsi="宋体" w:eastAsia="宋体" w:cs="宋体"/>
                <w:color w:val="auto"/>
                <w:sz w:val="21"/>
                <w:szCs w:val="21"/>
                <w:highlight w:val="none"/>
                <w:lang w:val="zh-CN"/>
              </w:rPr>
              <w:t>最高得3分。</w:t>
            </w:r>
          </w:p>
          <w:p>
            <w:pPr>
              <w:widowControl/>
              <w:jc w:val="left"/>
              <w:textAlignment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注：投标文件需提供相关证书复印件或扫描件</w:t>
            </w:r>
            <w:r>
              <w:rPr>
                <w:rFonts w:hint="eastAsia" w:ascii="宋体" w:hAnsi="宋体" w:eastAsia="宋体" w:cs="宋体"/>
                <w:color w:val="auto"/>
                <w:sz w:val="21"/>
                <w:szCs w:val="21"/>
                <w:highlight w:val="none"/>
                <w:lang w:val="en-US" w:eastAsia="zh-CN"/>
              </w:rPr>
              <w:t>并</w:t>
            </w:r>
            <w:r>
              <w:rPr>
                <w:rFonts w:hint="eastAsia" w:ascii="宋体" w:hAnsi="宋体" w:eastAsia="宋体" w:cs="宋体"/>
                <w:color w:val="auto"/>
                <w:sz w:val="21"/>
                <w:szCs w:val="21"/>
                <w:highlight w:val="none"/>
                <w:lang w:val="zh-CN"/>
              </w:rPr>
              <w:t>加盖</w:t>
            </w:r>
            <w:r>
              <w:rPr>
                <w:rFonts w:hint="eastAsia" w:ascii="宋体" w:hAnsi="宋体" w:eastAsia="宋体" w:cs="宋体"/>
                <w:color w:val="auto"/>
                <w:sz w:val="21"/>
                <w:szCs w:val="21"/>
                <w:highlight w:val="none"/>
                <w:lang w:val="en-US" w:eastAsia="zh-CN"/>
              </w:rPr>
              <w:t>单位</w:t>
            </w:r>
            <w:r>
              <w:rPr>
                <w:rFonts w:hint="eastAsia" w:ascii="宋体" w:hAnsi="宋体" w:eastAsia="宋体" w:cs="宋体"/>
                <w:color w:val="auto"/>
                <w:sz w:val="21"/>
                <w:szCs w:val="21"/>
                <w:highlight w:val="none"/>
                <w:lang w:val="zh-CN"/>
              </w:rPr>
              <w:t>公章，否则该项不得分。</w:t>
            </w:r>
          </w:p>
        </w:tc>
        <w:tc>
          <w:tcPr>
            <w:tcW w:w="980" w:type="dxa"/>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0-</w:t>
            </w:r>
            <w:r>
              <w:rPr>
                <w:rFonts w:hint="eastAsia" w:ascii="宋体" w:hAnsi="宋体" w:eastAsia="宋体" w:cs="宋体"/>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0095" w:type="dxa"/>
            <w:gridSpan w:val="4"/>
            <w:noWrap w:val="0"/>
            <w:vAlign w:val="center"/>
          </w:tcPr>
          <w:p>
            <w:pPr>
              <w:widowControl/>
              <w:jc w:val="left"/>
              <w:textAlignment w:val="center"/>
              <w:rPr>
                <w:rFonts w:hint="default"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技术部分（62分）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2" w:hRule="atLeast"/>
          <w:jc w:val="center"/>
        </w:trPr>
        <w:tc>
          <w:tcPr>
            <w:tcW w:w="729" w:type="dxa"/>
            <w:noWrap w:val="0"/>
            <w:vAlign w:val="center"/>
          </w:tcPr>
          <w:p>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4</w:t>
            </w:r>
          </w:p>
        </w:tc>
        <w:tc>
          <w:tcPr>
            <w:tcW w:w="1175" w:type="dxa"/>
            <w:noWrap w:val="0"/>
            <w:vAlign w:val="center"/>
          </w:tcPr>
          <w:p>
            <w:pPr>
              <w:widowControl/>
              <w:jc w:val="left"/>
              <w:textAlignment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技术参数</w:t>
            </w:r>
          </w:p>
          <w:p>
            <w:pPr>
              <w:widowControl/>
              <w:jc w:val="left"/>
              <w:textAlignment w:val="center"/>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sz w:val="21"/>
                <w:szCs w:val="21"/>
                <w:highlight w:val="none"/>
                <w:lang w:val="zh-CN"/>
              </w:rPr>
              <w:t>及配置</w:t>
            </w:r>
          </w:p>
        </w:tc>
        <w:tc>
          <w:tcPr>
            <w:tcW w:w="7211" w:type="dxa"/>
            <w:noWrap w:val="0"/>
            <w:vAlign w:val="center"/>
          </w:tcPr>
          <w:p>
            <w:pPr>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en-US" w:eastAsia="zh-CN"/>
              </w:rPr>
              <w:t>根据各投标人所投设备性能以及技术参数和设备质量对采购文件各项基本要求（采购需求要求中具体技术要求细项条款）的逐项响应、承诺等方面情况由</w:t>
            </w:r>
            <w:r>
              <w:rPr>
                <w:rFonts w:hint="eastAsia" w:ascii="宋体" w:hAnsi="宋体" w:cs="宋体"/>
                <w:color w:val="auto"/>
                <w:sz w:val="21"/>
                <w:szCs w:val="21"/>
                <w:highlight w:val="none"/>
                <w:lang w:val="en-US" w:eastAsia="zh-CN"/>
              </w:rPr>
              <w:t>专家</w:t>
            </w:r>
            <w:r>
              <w:rPr>
                <w:rFonts w:hint="eastAsia" w:ascii="宋体" w:hAnsi="宋体" w:eastAsia="宋体" w:cs="宋体"/>
                <w:color w:val="auto"/>
                <w:sz w:val="21"/>
                <w:szCs w:val="21"/>
                <w:highlight w:val="none"/>
                <w:lang w:val="en-US" w:eastAsia="zh-CN"/>
              </w:rPr>
              <w:t>进行评议评分，投标人所投设备完全满足采购文件技术规范及要求的，得2</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lang w:val="en-US" w:eastAsia="zh-CN"/>
              </w:rPr>
              <w:t xml:space="preserve">分。 </w:t>
            </w:r>
          </w:p>
          <w:p>
            <w:pPr>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en-US" w:eastAsia="zh-CN"/>
              </w:rPr>
              <w:t xml:space="preserve">（1）正偏离不加分。 </w:t>
            </w:r>
          </w:p>
          <w:p>
            <w:pPr>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（2）采购需求中标注“▲”项的指标，每负偏离一项扣2分，其他负偏离每项负偏离扣1分；2</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lang w:val="en-US" w:eastAsia="zh-CN"/>
              </w:rPr>
              <w:t xml:space="preserve">分扣完为止。 </w:t>
            </w:r>
          </w:p>
          <w:p>
            <w:pPr>
              <w:pStyle w:val="5"/>
              <w:pageBreakBefore w:val="0"/>
              <w:kinsoku/>
              <w:wordWrap/>
              <w:overflowPunct/>
              <w:topLinePunct w:val="0"/>
              <w:autoSpaceDE/>
              <w:autoSpaceDN/>
              <w:bidi w:val="0"/>
              <w:adjustRightInd/>
              <w:snapToGrid/>
              <w:spacing w:before="0" w:after="0" w:line="360" w:lineRule="exact"/>
              <w:rPr>
                <w:rFonts w:hint="eastAsia"/>
                <w:color w:val="auto"/>
                <w:highlight w:val="none"/>
                <w:lang w:val="zh-CN" w:eastAsia="zh-CN"/>
              </w:rPr>
            </w:pPr>
            <w:r>
              <w:rPr>
                <w:rFonts w:hint="eastAsia" w:ascii="宋体" w:hAnsi="宋体" w:eastAsia="宋体" w:cs="宋体"/>
                <w:b w:val="0"/>
                <w:bCs w:val="0"/>
                <w:color w:val="auto"/>
                <w:kern w:val="2"/>
                <w:sz w:val="21"/>
                <w:szCs w:val="21"/>
                <w:highlight w:val="none"/>
                <w:lang w:val="en-US" w:eastAsia="zh-CN" w:bidi="ar-SA"/>
              </w:rPr>
              <w:t>（3）标“▲”“★”的技术参数，投标人需提供产品使用说明书或datasheet或技术白皮书或样本或图纸或计算数据或检测报告等相关证明文件的描述、相应佐证材料等进行认定。</w:t>
            </w:r>
          </w:p>
        </w:tc>
        <w:tc>
          <w:tcPr>
            <w:tcW w:w="980" w:type="dxa"/>
            <w:noWrap w:val="0"/>
            <w:vAlign w:val="center"/>
          </w:tcPr>
          <w:p>
            <w:pPr>
              <w:snapToGrid w:val="0"/>
              <w:spacing w:line="400" w:lineRule="exact"/>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1"/>
                <w:szCs w:val="21"/>
                <w:highlight w:val="none"/>
                <w:lang w:bidi="ar"/>
              </w:rPr>
              <w:t>0-</w:t>
            </w:r>
            <w:r>
              <w:rPr>
                <w:rFonts w:hint="eastAsia" w:ascii="宋体" w:hAnsi="宋体" w:eastAsia="宋体" w:cs="宋体"/>
                <w:color w:val="auto"/>
                <w:kern w:val="0"/>
                <w:sz w:val="21"/>
                <w:szCs w:val="21"/>
                <w:highlight w:val="none"/>
                <w:lang w:val="en-US" w:eastAsia="zh-CN" w:bidi="ar"/>
              </w:rPr>
              <w:t>2</w:t>
            </w:r>
            <w:r>
              <w:rPr>
                <w:rFonts w:hint="eastAsia" w:ascii="宋体" w:hAnsi="宋体" w:cs="宋体"/>
                <w:color w:val="auto"/>
                <w:kern w:val="0"/>
                <w:sz w:val="21"/>
                <w:szCs w:val="21"/>
                <w:highlight w:val="none"/>
                <w:lang w:val="en-US" w:eastAsia="zh-CN" w:bidi="ar"/>
              </w:rPr>
              <w:t>8</w:t>
            </w:r>
            <w:r>
              <w:rPr>
                <w:rFonts w:hint="eastAsia" w:ascii="宋体" w:hAnsi="宋体" w:eastAsia="宋体" w:cs="宋体"/>
                <w:color w:val="auto"/>
                <w:kern w:val="0"/>
                <w:sz w:val="21"/>
                <w:szCs w:val="21"/>
                <w:highlight w:val="none"/>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9" w:type="dxa"/>
            <w:noWrap w:val="0"/>
            <w:vAlign w:val="center"/>
          </w:tcPr>
          <w:p>
            <w:pPr>
              <w:widowControl/>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1175" w:type="dxa"/>
            <w:noWrap w:val="0"/>
            <w:vAlign w:val="top"/>
          </w:tcPr>
          <w:p>
            <w:pPr>
              <w:spacing w:line="311" w:lineRule="auto"/>
              <w:rPr>
                <w:rFonts w:ascii="宋体" w:hAnsi="宋体"/>
                <w:color w:val="auto"/>
                <w:sz w:val="23"/>
                <w:highlight w:val="none"/>
              </w:rPr>
            </w:pPr>
          </w:p>
          <w:p>
            <w:pPr>
              <w:spacing w:before="158" w:line="383" w:lineRule="auto"/>
              <w:jc w:val="center"/>
              <w:rPr>
                <w:rFonts w:hint="eastAsia" w:ascii="宋体" w:hAnsi="宋体" w:eastAsia="宋体" w:cs="宋体"/>
                <w:color w:val="auto"/>
                <w:sz w:val="21"/>
                <w:szCs w:val="21"/>
                <w:highlight w:val="none"/>
                <w:lang w:val="en-US" w:eastAsia="zh-CN"/>
              </w:rPr>
            </w:pPr>
            <w:r>
              <w:rPr>
                <w:rFonts w:hint="eastAsia" w:ascii="宋体" w:hAnsi="宋体"/>
                <w:color w:val="auto"/>
                <w:sz w:val="23"/>
                <w:highlight w:val="none"/>
              </w:rPr>
              <w:t>产品整体配置</w:t>
            </w:r>
          </w:p>
        </w:tc>
        <w:tc>
          <w:tcPr>
            <w:tcW w:w="7211" w:type="dxa"/>
            <w:noWrap w:val="0"/>
            <w:vAlign w:val="top"/>
          </w:tcPr>
          <w:p>
            <w:pPr>
              <w:widowControl/>
              <w:jc w:val="left"/>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拟投入产品的性能优劣，包括技术先进程度、技术的成熟稳定性、安全性等情况，由专家进行打分。</w:t>
            </w:r>
          </w:p>
          <w:p>
            <w:pPr>
              <w:widowControl/>
              <w:jc w:val="left"/>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1）产品技术成熟、先进性、可靠性、拓展性强的得5分；</w:t>
            </w:r>
          </w:p>
          <w:p>
            <w:pPr>
              <w:widowControl/>
              <w:jc w:val="left"/>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2）产品技术成熟、先进性、可靠性、拓展性较好的得4分；</w:t>
            </w:r>
          </w:p>
          <w:p>
            <w:pPr>
              <w:widowControl/>
              <w:jc w:val="left"/>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3）产品技术成熟、先进性、可靠性、拓展性基本可行的得3分；</w:t>
            </w:r>
          </w:p>
          <w:p>
            <w:pPr>
              <w:widowControl/>
              <w:jc w:val="left"/>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4）产品技术成熟、先进性、可靠性、拓展性不够科学、不够先进的得2分；</w:t>
            </w:r>
          </w:p>
          <w:p>
            <w:pPr>
              <w:widowControl/>
              <w:jc w:val="left"/>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5）产品技术成熟、先进性、可靠性、拓展性差的得1分；</w:t>
            </w:r>
          </w:p>
          <w:p>
            <w:pPr>
              <w:widowControl/>
              <w:jc w:val="left"/>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6）对内容未进行阐述的得0分。</w:t>
            </w:r>
          </w:p>
        </w:tc>
        <w:tc>
          <w:tcPr>
            <w:tcW w:w="980" w:type="dxa"/>
            <w:noWrap w:val="0"/>
            <w:vAlign w:val="center"/>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9" w:type="dxa"/>
            <w:noWrap w:val="0"/>
            <w:vAlign w:val="center"/>
          </w:tcPr>
          <w:p>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1175" w:type="dxa"/>
            <w:noWrap w:val="0"/>
            <w:vAlign w:val="center"/>
          </w:tcPr>
          <w:p>
            <w:pPr>
              <w:widowControl/>
              <w:jc w:val="left"/>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安装、</w:t>
            </w:r>
            <w:r>
              <w:rPr>
                <w:rFonts w:hint="eastAsia" w:ascii="宋体" w:hAnsi="宋体" w:eastAsia="宋体" w:cs="宋体"/>
                <w:color w:val="auto"/>
                <w:sz w:val="21"/>
                <w:szCs w:val="21"/>
                <w:highlight w:val="none"/>
                <w:lang w:val="zh-CN"/>
              </w:rPr>
              <w:t>调试、验收方案</w:t>
            </w:r>
          </w:p>
        </w:tc>
        <w:tc>
          <w:tcPr>
            <w:tcW w:w="7211" w:type="dxa"/>
            <w:noWrap w:val="0"/>
            <w:vAlign w:val="center"/>
          </w:tcPr>
          <w:p>
            <w:pPr>
              <w:widowControl/>
              <w:jc w:val="left"/>
              <w:textAlignment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根据投标人提供包括安装调试技术实施方案、验收方案</w:t>
            </w:r>
            <w:r>
              <w:rPr>
                <w:rFonts w:hint="eastAsia" w:ascii="宋体" w:hAnsi="宋体" w:eastAsia="宋体" w:cs="宋体"/>
                <w:color w:val="auto"/>
                <w:sz w:val="21"/>
                <w:szCs w:val="21"/>
                <w:highlight w:val="none"/>
                <w:lang w:val="en-US" w:eastAsia="zh-CN"/>
              </w:rPr>
              <w:t>等由专家进行打分</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zh-CN" w:eastAsia="zh-CN"/>
              </w:rPr>
              <w:t>（</w:t>
            </w:r>
            <w:r>
              <w:rPr>
                <w:rFonts w:hint="eastAsia" w:ascii="宋体" w:hAnsi="宋体" w:eastAsia="宋体" w:cs="宋体"/>
                <w:color w:val="auto"/>
                <w:sz w:val="21"/>
                <w:szCs w:val="21"/>
                <w:highlight w:val="none"/>
                <w:lang w:val="en-US" w:eastAsia="zh-CN"/>
              </w:rPr>
              <w:t>最高得5分）</w:t>
            </w:r>
          </w:p>
          <w:p>
            <w:pPr>
              <w:widowControl/>
              <w:jc w:val="left"/>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（1）对以上内容进行了阐述且完善、合理、适用的，得5分；</w:t>
            </w:r>
          </w:p>
          <w:p>
            <w:pPr>
              <w:widowControl/>
              <w:jc w:val="left"/>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（2）对以上内容进行了阐述基本完善、较合理、适用的，得3分；</w:t>
            </w:r>
          </w:p>
          <w:p>
            <w:pPr>
              <w:widowControl/>
              <w:jc w:val="left"/>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（3）对以上内容进行了阐述但一般合理的，得1分；</w:t>
            </w:r>
          </w:p>
          <w:p>
            <w:pPr>
              <w:widowControl/>
              <w:jc w:val="left"/>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（4）对以上内容未进行阐述的，得0分。</w:t>
            </w:r>
          </w:p>
        </w:tc>
        <w:tc>
          <w:tcPr>
            <w:tcW w:w="980" w:type="dxa"/>
            <w:noWrap w:val="0"/>
            <w:vAlign w:val="center"/>
          </w:tcPr>
          <w:p>
            <w:pPr>
              <w:snapToGrid w:val="0"/>
              <w:spacing w:line="400" w:lineRule="exact"/>
              <w:jc w:val="center"/>
              <w:rPr>
                <w:rFonts w:hint="eastAsia" w:ascii="宋体" w:hAnsi="宋体" w:eastAsia="宋体" w:cs="宋体"/>
                <w:color w:val="auto"/>
                <w:spacing w:val="15"/>
                <w:kern w:val="2"/>
                <w:sz w:val="24"/>
                <w:szCs w:val="24"/>
                <w:highlight w:val="none"/>
                <w:lang w:val="en-US" w:eastAsia="zh-CN" w:bidi="ar-SA"/>
              </w:rPr>
            </w:pPr>
            <w:r>
              <w:rPr>
                <w:rFonts w:hint="eastAsia" w:ascii="宋体" w:hAnsi="宋体" w:eastAsia="宋体" w:cs="宋体"/>
                <w:color w:val="auto"/>
                <w:kern w:val="0"/>
                <w:sz w:val="21"/>
                <w:szCs w:val="21"/>
                <w:highlight w:val="none"/>
                <w:lang w:val="en-US" w:eastAsia="zh-CN" w:bidi="ar"/>
              </w:rPr>
              <w:t>5</w:t>
            </w:r>
            <w:r>
              <w:rPr>
                <w:rFonts w:hint="eastAsia" w:ascii="宋体" w:hAnsi="宋体" w:eastAsia="宋体" w:cs="宋体"/>
                <w:color w:val="auto"/>
                <w:kern w:val="0"/>
                <w:sz w:val="21"/>
                <w:szCs w:val="21"/>
                <w:highlight w:val="none"/>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9" w:type="dxa"/>
            <w:noWrap w:val="0"/>
            <w:vAlign w:val="center"/>
          </w:tcPr>
          <w:p>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p>
        </w:tc>
        <w:tc>
          <w:tcPr>
            <w:tcW w:w="1175" w:type="dxa"/>
            <w:noWrap w:val="0"/>
            <w:vAlign w:val="center"/>
          </w:tcPr>
          <w:p>
            <w:pPr>
              <w:widowControl/>
              <w:jc w:val="left"/>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zh-CN"/>
              </w:rPr>
              <w:t>进度保证措施</w:t>
            </w:r>
          </w:p>
        </w:tc>
        <w:tc>
          <w:tcPr>
            <w:tcW w:w="7211" w:type="dxa"/>
            <w:noWrap w:val="0"/>
            <w:vAlign w:val="center"/>
          </w:tcPr>
          <w:p>
            <w:pPr>
              <w:widowControl/>
              <w:jc w:val="left"/>
              <w:textAlignment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根据投标人提供的进度计划及保证措施的针对性、可靠性等</w:t>
            </w:r>
            <w:r>
              <w:rPr>
                <w:rFonts w:hint="eastAsia" w:ascii="宋体" w:hAnsi="宋体" w:eastAsia="宋体" w:cs="宋体"/>
                <w:color w:val="auto"/>
                <w:sz w:val="21"/>
                <w:szCs w:val="21"/>
                <w:highlight w:val="none"/>
                <w:lang w:val="en-US" w:eastAsia="zh-CN"/>
              </w:rPr>
              <w:t>由专家进行打分</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zh-CN" w:eastAsia="zh-CN"/>
              </w:rPr>
              <w:t>（</w:t>
            </w:r>
            <w:r>
              <w:rPr>
                <w:rFonts w:hint="eastAsia" w:ascii="宋体" w:hAnsi="宋体" w:eastAsia="宋体" w:cs="宋体"/>
                <w:color w:val="auto"/>
                <w:sz w:val="21"/>
                <w:szCs w:val="21"/>
                <w:highlight w:val="none"/>
                <w:lang w:val="en-US" w:eastAsia="zh-CN"/>
              </w:rPr>
              <w:t>最高得5分）</w:t>
            </w:r>
          </w:p>
          <w:p>
            <w:pPr>
              <w:widowControl/>
              <w:jc w:val="left"/>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（1）对以上内容进行了阐述且完善、合理、适用的，得5分；</w:t>
            </w:r>
          </w:p>
          <w:p>
            <w:pPr>
              <w:widowControl/>
              <w:jc w:val="left"/>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（2）对以上内容进行了阐述基本完善、较合理、适用的，得3分；</w:t>
            </w:r>
          </w:p>
          <w:p>
            <w:pPr>
              <w:widowControl/>
              <w:jc w:val="left"/>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（3）对以上内容进行了阐述但一般合理的，得1分；</w:t>
            </w:r>
          </w:p>
          <w:p>
            <w:pPr>
              <w:widowControl/>
              <w:jc w:val="left"/>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（4）对以上内容未进行阐述的，得0分。</w:t>
            </w:r>
          </w:p>
        </w:tc>
        <w:tc>
          <w:tcPr>
            <w:tcW w:w="980" w:type="dxa"/>
            <w:noWrap w:val="0"/>
            <w:vAlign w:val="center"/>
          </w:tcPr>
          <w:p>
            <w:pPr>
              <w:widowControl/>
              <w:numPr>
                <w:ilvl w:val="0"/>
                <w:numId w:val="0"/>
              </w:numPr>
              <w:spacing w:line="240" w:lineRule="auto"/>
              <w:ind w:left="0" w:leftChars="0"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1"/>
                <w:szCs w:val="21"/>
                <w:highlight w:val="none"/>
                <w:lang w:val="en-US" w:eastAsia="zh-CN" w:bidi="ar"/>
              </w:rPr>
              <w:t>5</w:t>
            </w:r>
            <w:r>
              <w:rPr>
                <w:rFonts w:hint="eastAsia" w:ascii="宋体" w:hAnsi="宋体" w:eastAsia="宋体" w:cs="宋体"/>
                <w:color w:val="auto"/>
                <w:kern w:val="0"/>
                <w:sz w:val="21"/>
                <w:szCs w:val="21"/>
                <w:highlight w:val="none"/>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9" w:type="dxa"/>
            <w:noWrap w:val="0"/>
            <w:vAlign w:val="center"/>
          </w:tcPr>
          <w:p>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p>
        </w:tc>
        <w:tc>
          <w:tcPr>
            <w:tcW w:w="1175" w:type="dxa"/>
            <w:noWrap w:val="0"/>
            <w:vAlign w:val="center"/>
          </w:tcPr>
          <w:p>
            <w:pPr>
              <w:widowControl/>
              <w:jc w:val="left"/>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zh-CN"/>
              </w:rPr>
              <w:t>质量保证</w:t>
            </w:r>
            <w:r>
              <w:rPr>
                <w:rFonts w:hint="eastAsia" w:ascii="宋体" w:hAnsi="宋体" w:eastAsia="宋体" w:cs="宋体"/>
                <w:color w:val="auto"/>
                <w:sz w:val="21"/>
                <w:szCs w:val="21"/>
                <w:highlight w:val="none"/>
                <w:lang w:val="en-US" w:eastAsia="zh-CN"/>
              </w:rPr>
              <w:t>及</w:t>
            </w:r>
            <w:r>
              <w:rPr>
                <w:rFonts w:hint="eastAsia" w:ascii="宋体" w:hAnsi="宋体" w:eastAsia="宋体" w:cs="宋体"/>
                <w:color w:val="auto"/>
                <w:sz w:val="21"/>
                <w:szCs w:val="21"/>
                <w:highlight w:val="none"/>
                <w:lang w:val="zh-CN"/>
              </w:rPr>
              <w:t>安全保证措施</w:t>
            </w:r>
          </w:p>
        </w:tc>
        <w:tc>
          <w:tcPr>
            <w:tcW w:w="7211" w:type="dxa"/>
            <w:noWrap w:val="0"/>
            <w:vAlign w:val="center"/>
          </w:tcPr>
          <w:p>
            <w:pPr>
              <w:widowControl/>
              <w:jc w:val="left"/>
              <w:textAlignment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根据投标人对本项目保证施工质量</w:t>
            </w:r>
            <w:r>
              <w:rPr>
                <w:rFonts w:hint="eastAsia" w:ascii="宋体" w:hAnsi="宋体" w:eastAsia="宋体" w:cs="宋体"/>
                <w:color w:val="auto"/>
                <w:sz w:val="21"/>
                <w:szCs w:val="21"/>
                <w:highlight w:val="none"/>
                <w:lang w:val="zh-CN" w:eastAsia="zh-CN"/>
              </w:rPr>
              <w:t>、</w:t>
            </w:r>
            <w:r>
              <w:rPr>
                <w:rFonts w:hint="eastAsia" w:ascii="宋体" w:hAnsi="宋体" w:eastAsia="宋体" w:cs="宋体"/>
                <w:color w:val="auto"/>
                <w:sz w:val="21"/>
                <w:szCs w:val="21"/>
                <w:highlight w:val="none"/>
                <w:lang w:val="zh-CN"/>
              </w:rPr>
              <w:t>安全保证方案和措施等</w:t>
            </w:r>
            <w:r>
              <w:rPr>
                <w:rFonts w:hint="eastAsia" w:ascii="宋体" w:hAnsi="宋体" w:eastAsia="宋体" w:cs="宋体"/>
                <w:color w:val="auto"/>
                <w:sz w:val="21"/>
                <w:szCs w:val="21"/>
                <w:highlight w:val="none"/>
                <w:lang w:val="en-US" w:eastAsia="zh-CN"/>
              </w:rPr>
              <w:t>由专家进行打分</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zh-CN" w:eastAsia="zh-CN"/>
              </w:rPr>
              <w:t>（</w:t>
            </w:r>
            <w:r>
              <w:rPr>
                <w:rFonts w:hint="eastAsia" w:ascii="宋体" w:hAnsi="宋体" w:eastAsia="宋体" w:cs="宋体"/>
                <w:color w:val="auto"/>
                <w:sz w:val="21"/>
                <w:szCs w:val="21"/>
                <w:highlight w:val="none"/>
                <w:lang w:val="en-US" w:eastAsia="zh-CN"/>
              </w:rPr>
              <w:t>最高得5分）</w:t>
            </w:r>
          </w:p>
          <w:p>
            <w:pPr>
              <w:widowControl/>
              <w:jc w:val="left"/>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（1）对以上内容进行了阐述且完善、合理、适用的，得5分；</w:t>
            </w:r>
          </w:p>
          <w:p>
            <w:pPr>
              <w:widowControl/>
              <w:jc w:val="left"/>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（2）对以上内容进行了阐述基本完善、较合理、适用的，得3分；</w:t>
            </w:r>
          </w:p>
          <w:p>
            <w:pPr>
              <w:widowControl/>
              <w:jc w:val="left"/>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（3）对以上内容进行了阐述但一般合理的，得1分；</w:t>
            </w:r>
          </w:p>
          <w:p>
            <w:pPr>
              <w:widowControl/>
              <w:jc w:val="left"/>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（4）对以上内容未进行阐述的，得0分。</w:t>
            </w:r>
          </w:p>
        </w:tc>
        <w:tc>
          <w:tcPr>
            <w:tcW w:w="980" w:type="dxa"/>
            <w:noWrap w:val="0"/>
            <w:vAlign w:val="center"/>
          </w:tcPr>
          <w:p>
            <w:pPr>
              <w:snapToGrid w:val="0"/>
              <w:spacing w:line="40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1"/>
                <w:szCs w:val="21"/>
                <w:highlight w:val="none"/>
                <w:lang w:val="en-US" w:eastAsia="zh-CN" w:bidi="ar"/>
              </w:rPr>
              <w:t>5</w:t>
            </w:r>
            <w:r>
              <w:rPr>
                <w:rFonts w:hint="eastAsia" w:ascii="宋体" w:hAnsi="宋体" w:eastAsia="宋体" w:cs="宋体"/>
                <w:color w:val="auto"/>
                <w:kern w:val="0"/>
                <w:sz w:val="21"/>
                <w:szCs w:val="21"/>
                <w:highlight w:val="none"/>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9" w:type="dxa"/>
            <w:vMerge w:val="restart"/>
            <w:noWrap w:val="0"/>
            <w:vAlign w:val="center"/>
          </w:tcPr>
          <w:p>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w:t>
            </w:r>
          </w:p>
        </w:tc>
        <w:tc>
          <w:tcPr>
            <w:tcW w:w="1175" w:type="dxa"/>
            <w:vMerge w:val="restart"/>
            <w:noWrap w:val="0"/>
            <w:vAlign w:val="center"/>
          </w:tcPr>
          <w:p>
            <w:pPr>
              <w:widowControl/>
              <w:jc w:val="left"/>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zh-CN"/>
              </w:rPr>
              <w:t>售后服务</w:t>
            </w:r>
            <w:r>
              <w:rPr>
                <w:rFonts w:hint="eastAsia" w:ascii="宋体" w:hAnsi="宋体" w:eastAsia="宋体" w:cs="宋体"/>
                <w:color w:val="auto"/>
                <w:sz w:val="21"/>
                <w:szCs w:val="21"/>
                <w:highlight w:val="none"/>
                <w:lang w:val="en-US" w:eastAsia="zh-CN"/>
              </w:rPr>
              <w:t>及</w:t>
            </w:r>
            <w:r>
              <w:rPr>
                <w:rFonts w:hint="eastAsia" w:ascii="宋体" w:hAnsi="宋体" w:eastAsia="宋体" w:cs="宋体"/>
                <w:color w:val="auto"/>
                <w:sz w:val="21"/>
                <w:szCs w:val="21"/>
                <w:highlight w:val="none"/>
                <w:lang w:val="zh-CN"/>
              </w:rPr>
              <w:t>维修保养培训</w:t>
            </w:r>
          </w:p>
        </w:tc>
        <w:tc>
          <w:tcPr>
            <w:tcW w:w="7211" w:type="dxa"/>
            <w:noWrap w:val="0"/>
            <w:vAlign w:val="center"/>
          </w:tcPr>
          <w:p>
            <w:pPr>
              <w:widowControl/>
              <w:jc w:val="left"/>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根据投标人提供的针对本项目的产品售后服务方案，包括但不限于</w:t>
            </w:r>
          </w:p>
          <w:p>
            <w:pPr>
              <w:widowControl/>
              <w:jc w:val="left"/>
              <w:textAlignment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①</w:t>
            </w:r>
            <w:r>
              <w:rPr>
                <w:rFonts w:hint="eastAsia" w:ascii="宋体" w:hAnsi="宋体" w:eastAsia="宋体" w:cs="宋体"/>
                <w:color w:val="auto"/>
                <w:sz w:val="21"/>
                <w:szCs w:val="21"/>
                <w:highlight w:val="none"/>
                <w:lang w:val="en-US" w:eastAsia="zh-CN"/>
              </w:rPr>
              <w:t>售后服务的形式（上门服务、远程服务等）、</w:t>
            </w:r>
            <w:r>
              <w:rPr>
                <w:rFonts w:hint="eastAsia" w:ascii="宋体" w:hAnsi="宋体" w:eastAsia="宋体" w:cs="宋体"/>
                <w:color w:val="auto"/>
                <w:sz w:val="21"/>
                <w:szCs w:val="21"/>
                <w:highlight w:val="none"/>
                <w:lang w:val="zh-CN" w:eastAsia="zh-CN"/>
              </w:rPr>
              <w:t>②</w:t>
            </w:r>
            <w:r>
              <w:rPr>
                <w:rFonts w:hint="eastAsia" w:ascii="宋体" w:hAnsi="宋体" w:eastAsia="宋体" w:cs="宋体"/>
                <w:color w:val="auto"/>
                <w:sz w:val="21"/>
                <w:szCs w:val="21"/>
                <w:highlight w:val="none"/>
                <w:lang w:val="en-US" w:eastAsia="zh-CN"/>
              </w:rPr>
              <w:t>售后服务人员配置、</w:t>
            </w:r>
            <w:r>
              <w:rPr>
                <w:rFonts w:hint="eastAsia" w:ascii="宋体" w:hAnsi="宋体" w:eastAsia="宋体" w:cs="宋体"/>
                <w:color w:val="auto"/>
                <w:sz w:val="21"/>
                <w:szCs w:val="21"/>
                <w:highlight w:val="none"/>
                <w:lang w:val="zh-CN" w:eastAsia="zh-CN"/>
              </w:rPr>
              <w:t>③</w:t>
            </w:r>
            <w:r>
              <w:rPr>
                <w:rFonts w:hint="eastAsia" w:ascii="宋体" w:hAnsi="宋体" w:eastAsia="宋体" w:cs="宋体"/>
                <w:color w:val="auto"/>
                <w:sz w:val="21"/>
                <w:szCs w:val="21"/>
                <w:highlight w:val="none"/>
                <w:lang w:val="en-US" w:eastAsia="zh-CN"/>
              </w:rPr>
              <w:t>用户故障的响应时间、处理、</w:t>
            </w:r>
            <w:r>
              <w:rPr>
                <w:rFonts w:hint="eastAsia" w:ascii="宋体" w:hAnsi="宋体" w:eastAsia="宋体" w:cs="宋体"/>
                <w:color w:val="auto"/>
                <w:sz w:val="21"/>
                <w:szCs w:val="21"/>
                <w:highlight w:val="none"/>
                <w:lang w:val="zh-CN" w:eastAsia="zh-CN"/>
              </w:rPr>
              <w:t>④</w:t>
            </w:r>
            <w:r>
              <w:rPr>
                <w:rFonts w:hint="eastAsia" w:ascii="宋体" w:hAnsi="宋体" w:eastAsia="宋体" w:cs="宋体"/>
                <w:color w:val="auto"/>
                <w:sz w:val="21"/>
                <w:szCs w:val="21"/>
                <w:highlight w:val="none"/>
                <w:lang w:val="en-US" w:eastAsia="zh-CN"/>
              </w:rPr>
              <w:t>应急响应能力、</w:t>
            </w:r>
            <w:r>
              <w:rPr>
                <w:rFonts w:hint="eastAsia" w:ascii="宋体" w:hAnsi="宋体" w:eastAsia="宋体" w:cs="宋体"/>
                <w:color w:val="auto"/>
                <w:sz w:val="21"/>
                <w:szCs w:val="21"/>
                <w:highlight w:val="none"/>
                <w:lang w:val="zh-CN" w:eastAsia="zh-CN"/>
              </w:rPr>
              <w:t>⑤</w:t>
            </w:r>
            <w:r>
              <w:rPr>
                <w:rFonts w:hint="eastAsia" w:ascii="宋体" w:hAnsi="宋体" w:eastAsia="宋体" w:cs="宋体"/>
                <w:color w:val="auto"/>
                <w:sz w:val="21"/>
                <w:szCs w:val="21"/>
                <w:highlight w:val="none"/>
                <w:lang w:val="en-US" w:eastAsia="zh-CN"/>
              </w:rPr>
              <w:t>售后服务方案、备品备件储备和承诺等由专家进行打分。</w:t>
            </w:r>
            <w:r>
              <w:rPr>
                <w:rFonts w:hint="eastAsia" w:ascii="宋体" w:hAnsi="宋体" w:eastAsia="宋体" w:cs="宋体"/>
                <w:color w:val="auto"/>
                <w:sz w:val="21"/>
                <w:szCs w:val="21"/>
                <w:highlight w:val="none"/>
                <w:lang w:val="zh-CN" w:eastAsia="zh-CN"/>
              </w:rPr>
              <w:t>（</w:t>
            </w:r>
            <w:r>
              <w:rPr>
                <w:rFonts w:hint="eastAsia" w:ascii="宋体" w:hAnsi="宋体" w:eastAsia="宋体" w:cs="宋体"/>
                <w:color w:val="auto"/>
                <w:sz w:val="21"/>
                <w:szCs w:val="21"/>
                <w:highlight w:val="none"/>
                <w:lang w:val="zh-CN"/>
              </w:rPr>
              <w:t>每项</w:t>
            </w:r>
            <w:r>
              <w:rPr>
                <w:rFonts w:hint="eastAsia" w:ascii="宋体" w:hAnsi="宋体" w:eastAsia="宋体" w:cs="宋体"/>
                <w:color w:val="auto"/>
                <w:sz w:val="21"/>
                <w:szCs w:val="21"/>
                <w:highlight w:val="none"/>
                <w:lang w:val="en-US" w:eastAsia="zh-CN"/>
              </w:rPr>
              <w:t>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zh-CN"/>
              </w:rPr>
              <w:t>分，最</w:t>
            </w:r>
            <w:r>
              <w:rPr>
                <w:rFonts w:hint="eastAsia" w:ascii="宋体" w:hAnsi="宋体" w:eastAsia="宋体" w:cs="宋体"/>
                <w:color w:val="auto"/>
                <w:sz w:val="21"/>
                <w:szCs w:val="21"/>
                <w:highlight w:val="none"/>
                <w:lang w:val="en-US" w:eastAsia="zh-CN"/>
              </w:rPr>
              <w:t>高得</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zh-CN"/>
              </w:rPr>
              <w:t>分</w:t>
            </w:r>
            <w:r>
              <w:rPr>
                <w:rFonts w:hint="eastAsia" w:ascii="宋体" w:hAnsi="宋体" w:eastAsia="宋体" w:cs="宋体"/>
                <w:color w:val="auto"/>
                <w:sz w:val="21"/>
                <w:szCs w:val="21"/>
                <w:highlight w:val="none"/>
                <w:lang w:val="zh-CN" w:eastAsia="zh-CN"/>
              </w:rPr>
              <w:t>）</w:t>
            </w:r>
          </w:p>
          <w:p>
            <w:pPr>
              <w:widowControl/>
              <w:jc w:val="left"/>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（1）对以上内容进行了阐述且完善、合理、适用的，得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分；</w:t>
            </w:r>
          </w:p>
          <w:p>
            <w:pPr>
              <w:widowControl/>
              <w:jc w:val="left"/>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（2）对以上内容进行了阐述基本完善、较合理、适用的，得</w:t>
            </w:r>
            <w:r>
              <w:rPr>
                <w:rFonts w:hint="eastAsia" w:ascii="宋体" w:hAnsi="宋体" w:cs="宋体"/>
                <w:color w:val="auto"/>
                <w:sz w:val="21"/>
                <w:szCs w:val="21"/>
                <w:highlight w:val="none"/>
                <w:lang w:val="en-US" w:eastAsia="zh-CN"/>
              </w:rPr>
              <w:t>0.7</w:t>
            </w:r>
            <w:r>
              <w:rPr>
                <w:rFonts w:hint="eastAsia" w:ascii="宋体" w:hAnsi="宋体" w:eastAsia="宋体" w:cs="宋体"/>
                <w:color w:val="auto"/>
                <w:sz w:val="21"/>
                <w:szCs w:val="21"/>
                <w:highlight w:val="none"/>
                <w:lang w:val="en-US" w:eastAsia="zh-CN"/>
              </w:rPr>
              <w:t>分；</w:t>
            </w:r>
          </w:p>
          <w:p>
            <w:pPr>
              <w:widowControl/>
              <w:jc w:val="left"/>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（3）对以上内容进行了阐述但一般合理的，得0.</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分；</w:t>
            </w:r>
          </w:p>
          <w:p>
            <w:pPr>
              <w:widowControl/>
              <w:jc w:val="left"/>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（4）对以上内容未进行阐述的，得0分。</w:t>
            </w:r>
          </w:p>
        </w:tc>
        <w:tc>
          <w:tcPr>
            <w:tcW w:w="980" w:type="dxa"/>
            <w:noWrap w:val="0"/>
            <w:vAlign w:val="center"/>
          </w:tcPr>
          <w:p>
            <w:pPr>
              <w:snapToGrid w:val="0"/>
              <w:spacing w:line="40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1"/>
                <w:szCs w:val="21"/>
                <w:highlight w:val="none"/>
                <w:lang w:val="en-US" w:eastAsia="zh-CN" w:bidi="ar"/>
              </w:rPr>
              <w:t>5</w:t>
            </w:r>
            <w:r>
              <w:rPr>
                <w:rFonts w:hint="eastAsia" w:ascii="宋体" w:hAnsi="宋体" w:eastAsia="宋体" w:cs="宋体"/>
                <w:color w:val="auto"/>
                <w:kern w:val="0"/>
                <w:sz w:val="21"/>
                <w:szCs w:val="21"/>
                <w:highlight w:val="none"/>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9" w:type="dxa"/>
            <w:vMerge w:val="continue"/>
            <w:noWrap w:val="0"/>
            <w:vAlign w:val="center"/>
          </w:tcPr>
          <w:p>
            <w:pPr>
              <w:widowControl/>
              <w:jc w:val="center"/>
              <w:textAlignment w:val="center"/>
              <w:rPr>
                <w:rFonts w:hint="eastAsia" w:ascii="宋体" w:hAnsi="宋体" w:eastAsia="宋体" w:cs="宋体"/>
                <w:color w:val="auto"/>
                <w:sz w:val="21"/>
                <w:szCs w:val="21"/>
                <w:highlight w:val="none"/>
                <w:lang w:val="en-US" w:eastAsia="zh-CN"/>
              </w:rPr>
            </w:pPr>
          </w:p>
        </w:tc>
        <w:tc>
          <w:tcPr>
            <w:tcW w:w="1175" w:type="dxa"/>
            <w:vMerge w:val="continue"/>
            <w:noWrap w:val="0"/>
            <w:vAlign w:val="center"/>
          </w:tcPr>
          <w:p>
            <w:pPr>
              <w:widowControl/>
              <w:jc w:val="left"/>
              <w:textAlignment w:val="center"/>
              <w:rPr>
                <w:rFonts w:hint="eastAsia" w:ascii="宋体" w:hAnsi="宋体" w:eastAsia="宋体" w:cs="宋体"/>
                <w:color w:val="auto"/>
                <w:sz w:val="21"/>
                <w:szCs w:val="21"/>
                <w:highlight w:val="none"/>
                <w:lang w:val="zh-CN"/>
              </w:rPr>
            </w:pPr>
          </w:p>
        </w:tc>
        <w:tc>
          <w:tcPr>
            <w:tcW w:w="7211" w:type="dxa"/>
            <w:noWrap w:val="0"/>
            <w:vAlign w:val="center"/>
          </w:tcPr>
          <w:p>
            <w:pPr>
              <w:widowControl/>
              <w:jc w:val="left"/>
              <w:textAlignment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维修保养：</w:t>
            </w:r>
            <w:r>
              <w:rPr>
                <w:rFonts w:hint="eastAsia" w:ascii="宋体" w:hAnsi="宋体" w:eastAsia="宋体" w:cs="宋体"/>
                <w:color w:val="auto"/>
                <w:sz w:val="21"/>
                <w:szCs w:val="21"/>
                <w:highlight w:val="none"/>
                <w:lang w:val="en-US" w:eastAsia="zh-CN"/>
              </w:rPr>
              <w:t>中标人负责</w:t>
            </w:r>
            <w:r>
              <w:rPr>
                <w:rFonts w:hint="eastAsia" w:ascii="宋体" w:hAnsi="宋体" w:eastAsia="宋体" w:cs="宋体"/>
                <w:color w:val="auto"/>
                <w:sz w:val="21"/>
                <w:szCs w:val="21"/>
                <w:highlight w:val="none"/>
                <w:lang w:val="zh-CN"/>
              </w:rPr>
              <w:t>提供维修人员的培训，提供培训方案</w:t>
            </w:r>
            <w:r>
              <w:rPr>
                <w:rFonts w:hint="eastAsia" w:ascii="宋体" w:hAnsi="宋体" w:eastAsia="宋体" w:cs="宋体"/>
                <w:color w:val="auto"/>
                <w:sz w:val="21"/>
                <w:szCs w:val="21"/>
                <w:highlight w:val="none"/>
                <w:lang w:val="en-US" w:eastAsia="zh-CN"/>
              </w:rPr>
              <w:t>等由专家进行打分。</w:t>
            </w:r>
            <w:r>
              <w:rPr>
                <w:rFonts w:hint="eastAsia" w:ascii="宋体" w:hAnsi="宋体" w:eastAsia="宋体" w:cs="宋体"/>
                <w:color w:val="auto"/>
                <w:sz w:val="21"/>
                <w:szCs w:val="21"/>
                <w:highlight w:val="none"/>
                <w:lang w:val="zh-CN" w:eastAsia="zh-CN"/>
              </w:rPr>
              <w:t>（</w:t>
            </w:r>
            <w:r>
              <w:rPr>
                <w:rFonts w:hint="eastAsia" w:ascii="宋体" w:hAnsi="宋体" w:eastAsia="宋体" w:cs="宋体"/>
                <w:color w:val="auto"/>
                <w:sz w:val="21"/>
                <w:szCs w:val="21"/>
                <w:highlight w:val="none"/>
                <w:lang w:val="en-US" w:eastAsia="zh-CN"/>
              </w:rPr>
              <w:t>最高得5分）</w:t>
            </w:r>
          </w:p>
          <w:p>
            <w:pPr>
              <w:widowControl/>
              <w:jc w:val="left"/>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（1）对以上内容进行了阐述且完善、合理、适用的，得5分；</w:t>
            </w:r>
          </w:p>
          <w:p>
            <w:pPr>
              <w:widowControl/>
              <w:jc w:val="left"/>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（2）对以上内容进行了阐述基本完善、较合理、适用的，得3分；</w:t>
            </w:r>
          </w:p>
          <w:p>
            <w:pPr>
              <w:widowControl/>
              <w:jc w:val="left"/>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（3）对以上内容进行了阐述但一般合理的，得1分；</w:t>
            </w:r>
          </w:p>
          <w:p>
            <w:pPr>
              <w:widowControl/>
              <w:jc w:val="left"/>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（4）对以上内容未进行阐述的，得0分。</w:t>
            </w:r>
          </w:p>
        </w:tc>
        <w:tc>
          <w:tcPr>
            <w:tcW w:w="980" w:type="dxa"/>
            <w:noWrap w:val="0"/>
            <w:vAlign w:val="center"/>
          </w:tcPr>
          <w:p>
            <w:pPr>
              <w:snapToGrid w:val="0"/>
              <w:spacing w:line="400" w:lineRule="exact"/>
              <w:jc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5</w:t>
            </w:r>
            <w:r>
              <w:rPr>
                <w:rFonts w:hint="eastAsia" w:ascii="宋体" w:hAnsi="宋体" w:eastAsia="宋体" w:cs="宋体"/>
                <w:color w:val="auto"/>
                <w:kern w:val="0"/>
                <w:sz w:val="21"/>
                <w:szCs w:val="21"/>
                <w:highlight w:val="none"/>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9" w:type="dxa"/>
            <w:noWrap w:val="0"/>
            <w:vAlign w:val="center"/>
          </w:tcPr>
          <w:p>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1175" w:type="dxa"/>
            <w:noWrap w:val="0"/>
            <w:vAlign w:val="center"/>
          </w:tcPr>
          <w:p>
            <w:pPr>
              <w:widowControl/>
              <w:jc w:val="left"/>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质保期限</w:t>
            </w:r>
          </w:p>
        </w:tc>
        <w:tc>
          <w:tcPr>
            <w:tcW w:w="7211" w:type="dxa"/>
            <w:noWrap w:val="0"/>
            <w:vAlign w:val="center"/>
          </w:tcPr>
          <w:p>
            <w:pPr>
              <w:widowControl/>
              <w:jc w:val="left"/>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质保服务期限在满足采购文件要求3年的基础上，每增加1年加1分，最高得2分。注：提供承诺书，投标人承诺中标后提供原厂质保服务），不提供不得分。</w:t>
            </w:r>
          </w:p>
        </w:tc>
        <w:tc>
          <w:tcPr>
            <w:tcW w:w="98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9" w:type="dxa"/>
            <w:noWrap w:val="0"/>
            <w:vAlign w:val="center"/>
          </w:tcPr>
          <w:p>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w:t>
            </w:r>
          </w:p>
        </w:tc>
        <w:tc>
          <w:tcPr>
            <w:tcW w:w="1175" w:type="dxa"/>
            <w:noWrap w:val="0"/>
            <w:vAlign w:val="center"/>
          </w:tcPr>
          <w:p>
            <w:pPr>
              <w:widowControl/>
              <w:jc w:val="left"/>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zh-CN"/>
              </w:rPr>
              <w:t>合理化建议</w:t>
            </w:r>
          </w:p>
        </w:tc>
        <w:tc>
          <w:tcPr>
            <w:tcW w:w="7211" w:type="dxa"/>
            <w:noWrap w:val="0"/>
            <w:vAlign w:val="center"/>
          </w:tcPr>
          <w:p>
            <w:pPr>
              <w:widowControl/>
              <w:jc w:val="left"/>
              <w:textAlignment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根据投标人提供的合理性、完整性、可行性，提出的有效的改进措施和合理化建议</w:t>
            </w:r>
            <w:r>
              <w:rPr>
                <w:rFonts w:hint="eastAsia" w:ascii="宋体" w:hAnsi="宋体" w:eastAsia="宋体" w:cs="宋体"/>
                <w:color w:val="auto"/>
                <w:sz w:val="21"/>
                <w:szCs w:val="21"/>
                <w:highlight w:val="none"/>
                <w:lang w:val="en-US" w:eastAsia="zh-CN"/>
              </w:rPr>
              <w:t>等由专家进行打分</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zh-CN" w:eastAsia="zh-CN"/>
              </w:rPr>
              <w:t>（</w:t>
            </w:r>
            <w:r>
              <w:rPr>
                <w:rFonts w:hint="eastAsia" w:ascii="宋体" w:hAnsi="宋体" w:eastAsia="宋体" w:cs="宋体"/>
                <w:color w:val="auto"/>
                <w:sz w:val="21"/>
                <w:szCs w:val="21"/>
                <w:highlight w:val="none"/>
                <w:lang w:val="en-US" w:eastAsia="zh-CN"/>
              </w:rPr>
              <w:t>最高得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分）</w:t>
            </w:r>
          </w:p>
          <w:p>
            <w:pPr>
              <w:widowControl/>
              <w:jc w:val="left"/>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（1）对以上内容进行了阐述且完善、合理、适用的，得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分；</w:t>
            </w:r>
          </w:p>
          <w:p>
            <w:pPr>
              <w:widowControl/>
              <w:jc w:val="left"/>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（2）对以上内容进行了阐述基本完善、较合理、适用的，得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分；</w:t>
            </w:r>
          </w:p>
          <w:p>
            <w:pPr>
              <w:widowControl/>
              <w:jc w:val="left"/>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（3）对以上内容进行了阐述但一般合理的，得</w:t>
            </w:r>
            <w:r>
              <w:rPr>
                <w:rFonts w:hint="eastAsia" w:ascii="宋体" w:hAnsi="宋体" w:cs="宋体"/>
                <w:color w:val="auto"/>
                <w:sz w:val="21"/>
                <w:szCs w:val="21"/>
                <w:highlight w:val="none"/>
                <w:lang w:val="en-US" w:eastAsia="zh-CN"/>
              </w:rPr>
              <w:t>0.5</w:t>
            </w:r>
            <w:r>
              <w:rPr>
                <w:rFonts w:hint="eastAsia" w:ascii="宋体" w:hAnsi="宋体" w:eastAsia="宋体" w:cs="宋体"/>
                <w:color w:val="auto"/>
                <w:sz w:val="21"/>
                <w:szCs w:val="21"/>
                <w:highlight w:val="none"/>
                <w:lang w:val="en-US" w:eastAsia="zh-CN"/>
              </w:rPr>
              <w:t>分；</w:t>
            </w:r>
          </w:p>
          <w:p>
            <w:pPr>
              <w:widowControl/>
              <w:jc w:val="left"/>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（4）对以上内容未进行阐述的，得0分。</w:t>
            </w:r>
          </w:p>
        </w:tc>
        <w:tc>
          <w:tcPr>
            <w:tcW w:w="980" w:type="dxa"/>
            <w:noWrap w:val="0"/>
            <w:vAlign w:val="center"/>
          </w:tcPr>
          <w:p>
            <w:pPr>
              <w:snapToGrid w:val="0"/>
              <w:spacing w:line="400" w:lineRule="exact"/>
              <w:jc w:val="center"/>
              <w:rPr>
                <w:rFonts w:hint="eastAsia" w:ascii="宋体" w:hAnsi="宋体" w:eastAsia="宋体" w:cs="宋体"/>
                <w:color w:val="auto"/>
                <w:kern w:val="2"/>
                <w:sz w:val="24"/>
                <w:szCs w:val="24"/>
                <w:highlight w:val="none"/>
                <w:lang w:val="zh-CN" w:eastAsia="zh-CN" w:bidi="ar-SA"/>
              </w:rPr>
            </w:pPr>
            <w:r>
              <w:rPr>
                <w:rFonts w:hint="eastAsia" w:ascii="宋体" w:hAnsi="宋体" w:cs="宋体"/>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jc w:val="center"/>
        </w:trPr>
        <w:tc>
          <w:tcPr>
            <w:tcW w:w="10095" w:type="dxa"/>
            <w:gridSpan w:val="4"/>
            <w:noWrap w:val="0"/>
            <w:vAlign w:val="center"/>
          </w:tcPr>
          <w:p>
            <w:pPr>
              <w:jc w:val="left"/>
              <w:textAlignment w:val="center"/>
              <w:rPr>
                <w:rFonts w:hint="eastAsia" w:ascii="宋体" w:hAnsi="宋体" w:cs="宋体"/>
                <w:color w:val="auto"/>
                <w:sz w:val="21"/>
                <w:szCs w:val="21"/>
                <w:highlight w:val="none"/>
              </w:rPr>
            </w:pPr>
            <w:r>
              <w:rPr>
                <w:rFonts w:hint="eastAsia" w:ascii="宋体" w:hAnsi="宋体" w:eastAsia="宋体" w:cs="宋体"/>
                <w:b/>
                <w:bCs/>
                <w:color w:val="auto"/>
                <w:kern w:val="0"/>
                <w:sz w:val="21"/>
                <w:szCs w:val="21"/>
                <w:highlight w:val="none"/>
              </w:rPr>
              <w:t>注：1.以上所有相关证明均提供复印件</w:t>
            </w:r>
            <w:r>
              <w:rPr>
                <w:rFonts w:hint="eastAsia" w:ascii="宋体" w:hAnsi="宋体" w:eastAsia="宋体" w:cs="宋体"/>
                <w:b/>
                <w:bCs/>
                <w:color w:val="auto"/>
                <w:kern w:val="0"/>
                <w:sz w:val="21"/>
                <w:szCs w:val="21"/>
                <w:highlight w:val="none"/>
                <w:lang w:val="en-US" w:eastAsia="zh-CN"/>
              </w:rPr>
              <w:t>或扫描件</w:t>
            </w:r>
            <w:r>
              <w:rPr>
                <w:rFonts w:hint="eastAsia" w:ascii="宋体" w:hAnsi="宋体" w:eastAsia="宋体" w:cs="宋体"/>
                <w:b/>
                <w:bCs/>
                <w:color w:val="auto"/>
                <w:kern w:val="0"/>
                <w:sz w:val="21"/>
                <w:szCs w:val="21"/>
                <w:highlight w:val="none"/>
              </w:rPr>
              <w:t>加盖公章，</w:t>
            </w:r>
            <w:r>
              <w:rPr>
                <w:rFonts w:hint="eastAsia" w:ascii="宋体" w:hAnsi="宋体" w:eastAsia="宋体" w:cs="宋体"/>
                <w:b/>
                <w:bCs/>
                <w:color w:val="auto"/>
                <w:sz w:val="21"/>
                <w:szCs w:val="21"/>
                <w:highlight w:val="none"/>
              </w:rPr>
              <w:t>若未按上述要求提供书面及证明材料，或提供的书面及证明材料与事实不符，或提供的书面及证明材料无法提供完整的投标响应信息的均不给分。2.任何由于投标人原因导致书面及证明材料缺失、字迹模糊无法分辨、内容错漏的情形，均可能导致该投标人的评审项失分。</w:t>
            </w:r>
          </w:p>
        </w:tc>
      </w:tr>
      <w:bookmarkEnd w:id="4"/>
    </w:tbl>
    <w:p>
      <w:pPr>
        <w:snapToGrid w:val="0"/>
        <w:spacing w:line="420" w:lineRule="exact"/>
        <w:ind w:firstLine="422" w:firstLineChars="200"/>
        <w:outlineLvl w:val="1"/>
        <w:rPr>
          <w:rFonts w:hint="eastAsia" w:ascii="宋体" w:hAnsi="宋体" w:eastAsia="宋体" w:cs="宋体"/>
          <w:b/>
          <w:color w:val="auto"/>
          <w:sz w:val="21"/>
          <w:szCs w:val="21"/>
          <w:highlight w:val="none"/>
          <w:shd w:val="clear" w:color="auto" w:fill="auto"/>
        </w:rPr>
      </w:pPr>
      <w:r>
        <w:rPr>
          <w:rFonts w:hint="eastAsia" w:ascii="宋体" w:hAnsi="宋体" w:eastAsia="宋体" w:cs="宋体"/>
          <w:b/>
          <w:color w:val="auto"/>
          <w:sz w:val="21"/>
          <w:szCs w:val="21"/>
          <w:highlight w:val="none"/>
          <w:shd w:val="clear" w:color="auto" w:fill="auto"/>
        </w:rPr>
        <w:t>四、价格分（满分为</w:t>
      </w:r>
      <w:r>
        <w:rPr>
          <w:rFonts w:hint="eastAsia" w:ascii="宋体" w:hAnsi="宋体" w:eastAsia="宋体" w:cs="宋体"/>
          <w:b/>
          <w:color w:val="auto"/>
          <w:sz w:val="21"/>
          <w:szCs w:val="21"/>
          <w:highlight w:val="none"/>
          <w:shd w:val="clear" w:color="auto" w:fill="auto"/>
          <w:lang w:val="en-US" w:eastAsia="zh-CN"/>
        </w:rPr>
        <w:t>30</w:t>
      </w:r>
      <w:r>
        <w:rPr>
          <w:rFonts w:hint="eastAsia" w:ascii="宋体" w:hAnsi="宋体" w:eastAsia="宋体" w:cs="宋体"/>
          <w:b/>
          <w:color w:val="auto"/>
          <w:sz w:val="21"/>
          <w:szCs w:val="21"/>
          <w:highlight w:val="none"/>
          <w:shd w:val="clear" w:color="auto" w:fill="auto"/>
        </w:rPr>
        <w:t>分）</w:t>
      </w:r>
    </w:p>
    <w:p>
      <w:pPr>
        <w:snapToGrid w:val="0"/>
        <w:spacing w:line="420" w:lineRule="exact"/>
        <w:ind w:firstLine="420" w:firstLineChars="200"/>
        <w:outlineLvl w:val="1"/>
        <w:rPr>
          <w:rFonts w:hint="eastAsia"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4.1 价格标的开启：技术商务标评审结束后，开启合格投标人的价格标，公开宣读并由投标人确认。对没有合格的投标人价格标将不予开启。价格分采用低价优先法计算，即满足采购文件要求且投标价格最终最低的投标报价为评标基准价，其价格分为满分。投标人的价格分按照下列公式计算：</w:t>
      </w:r>
    </w:p>
    <w:p>
      <w:pPr>
        <w:snapToGrid w:val="0"/>
        <w:spacing w:line="420" w:lineRule="exact"/>
        <w:ind w:firstLine="384" w:firstLineChars="182"/>
        <w:outlineLvl w:val="1"/>
        <w:rPr>
          <w:rFonts w:hint="eastAsia" w:ascii="宋体" w:hAnsi="宋体" w:cs="宋体"/>
          <w:color w:val="auto"/>
          <w:sz w:val="21"/>
          <w:szCs w:val="21"/>
          <w:highlight w:val="none"/>
          <w:shd w:val="clear" w:color="auto" w:fill="auto"/>
        </w:rPr>
      </w:pPr>
      <w:r>
        <w:rPr>
          <w:rFonts w:hint="eastAsia" w:ascii="宋体" w:hAnsi="宋体" w:cs="宋体"/>
          <w:b/>
          <w:bCs/>
          <w:color w:val="auto"/>
          <w:sz w:val="21"/>
          <w:szCs w:val="21"/>
          <w:highlight w:val="none"/>
          <w:shd w:val="clear" w:color="auto" w:fill="auto"/>
        </w:rPr>
        <w:t>投标报价得分=（评标基准价/投标报价）×</w:t>
      </w:r>
      <w:r>
        <w:rPr>
          <w:rFonts w:hint="eastAsia" w:ascii="宋体" w:hAnsi="宋体" w:cs="宋体"/>
          <w:b/>
          <w:bCs/>
          <w:color w:val="auto"/>
          <w:sz w:val="21"/>
          <w:szCs w:val="21"/>
          <w:highlight w:val="none"/>
          <w:shd w:val="clear" w:color="auto" w:fill="auto"/>
          <w:lang w:val="en-US" w:eastAsia="zh-CN"/>
        </w:rPr>
        <w:t>30</w:t>
      </w:r>
      <w:r>
        <w:rPr>
          <w:rFonts w:hint="eastAsia" w:ascii="宋体" w:hAnsi="宋体" w:cs="宋体"/>
          <w:b/>
          <w:bCs/>
          <w:color w:val="auto"/>
          <w:sz w:val="21"/>
          <w:szCs w:val="21"/>
          <w:highlight w:val="none"/>
          <w:shd w:val="clear" w:color="auto" w:fill="auto"/>
        </w:rPr>
        <w:t>%×100</w:t>
      </w:r>
    </w:p>
    <w:p>
      <w:pPr>
        <w:snapToGrid w:val="0"/>
        <w:spacing w:line="420" w:lineRule="exact"/>
        <w:ind w:firstLine="420" w:firstLineChars="200"/>
        <w:outlineLvl w:val="1"/>
        <w:rPr>
          <w:rFonts w:hint="eastAsia" w:ascii="宋体" w:hAnsi="宋体" w:cs="宋体"/>
          <w:bCs/>
          <w:color w:val="auto"/>
          <w:sz w:val="21"/>
          <w:szCs w:val="21"/>
          <w:highlight w:val="none"/>
          <w:shd w:val="clear" w:color="auto" w:fill="auto"/>
        </w:rPr>
      </w:pPr>
      <w:r>
        <w:rPr>
          <w:rFonts w:hint="eastAsia" w:ascii="宋体" w:hAnsi="宋体" w:cs="宋体"/>
          <w:bCs/>
          <w:color w:val="auto"/>
          <w:sz w:val="21"/>
          <w:szCs w:val="21"/>
          <w:highlight w:val="none"/>
          <w:shd w:val="clear" w:color="auto" w:fill="auto"/>
        </w:rPr>
        <w:t>4.2 根据浙江省财政厅浙江省中小企业局转发财政部工业和信息化部关于印发</w:t>
      </w:r>
      <w:r>
        <w:rPr>
          <w:rFonts w:hint="eastAsia" w:ascii="宋体" w:hAnsi="宋体" w:cs="宋体"/>
          <w:b/>
          <w:bCs/>
          <w:color w:val="auto"/>
          <w:sz w:val="21"/>
          <w:szCs w:val="21"/>
          <w:highlight w:val="none"/>
          <w:shd w:val="clear" w:color="auto" w:fill="auto"/>
        </w:rPr>
        <w:t>《政府采购促进中小企业发展管理办法》的通知（财库〔2020〕46 号）</w:t>
      </w:r>
      <w:r>
        <w:rPr>
          <w:rFonts w:hint="eastAsia" w:ascii="宋体" w:hAnsi="宋体" w:cs="宋体"/>
          <w:bCs/>
          <w:color w:val="auto"/>
          <w:sz w:val="21"/>
          <w:szCs w:val="21"/>
          <w:highlight w:val="none"/>
          <w:shd w:val="clear" w:color="auto" w:fill="auto"/>
        </w:rPr>
        <w:t>规定，参加浙江省政府采购的中小企业供应商，应根据浙江省财政厅《关于开展政府采购供应商网上注册登记和诚信管理工作的通知》（浙财采监</w:t>
      </w:r>
      <w:r>
        <w:rPr>
          <w:rFonts w:hint="eastAsia" w:ascii="宋体" w:hAnsi="宋体" w:cs="宋体"/>
          <w:bCs/>
          <w:color w:val="auto"/>
          <w:sz w:val="21"/>
          <w:szCs w:val="21"/>
          <w:highlight w:val="none"/>
          <w:shd w:val="clear" w:color="auto" w:fill="auto"/>
          <w:lang w:eastAsia="zh-CN"/>
        </w:rPr>
        <w:t>〔2010〕8号</w:t>
      </w:r>
      <w:r>
        <w:rPr>
          <w:rFonts w:hint="eastAsia" w:ascii="宋体" w:hAnsi="宋体" w:cs="宋体"/>
          <w:bCs/>
          <w:color w:val="auto"/>
          <w:sz w:val="21"/>
          <w:szCs w:val="21"/>
          <w:highlight w:val="none"/>
          <w:shd w:val="clear" w:color="auto" w:fill="auto"/>
        </w:rPr>
        <w:t>文）的要求，通过浙江政府采购网申请注册加入政府采购供应商库。</w:t>
      </w:r>
    </w:p>
    <w:p>
      <w:pPr>
        <w:snapToGrid w:val="0"/>
        <w:spacing w:line="420" w:lineRule="exact"/>
        <w:ind w:firstLine="384" w:firstLineChars="182"/>
        <w:outlineLvl w:val="1"/>
        <w:rPr>
          <w:rFonts w:hint="eastAsia" w:ascii="宋体" w:hAnsi="宋体" w:cs="宋体"/>
          <w:b/>
          <w:bCs/>
          <w:color w:val="auto"/>
          <w:sz w:val="21"/>
          <w:szCs w:val="21"/>
          <w:highlight w:val="none"/>
          <w:shd w:val="clear" w:color="auto" w:fill="auto"/>
        </w:rPr>
      </w:pPr>
      <w:r>
        <w:rPr>
          <w:rFonts w:hint="eastAsia" w:ascii="宋体" w:hAnsi="宋体" w:cs="宋体"/>
          <w:b/>
          <w:bCs/>
          <w:color w:val="auto"/>
          <w:sz w:val="21"/>
          <w:szCs w:val="21"/>
          <w:highlight w:val="none"/>
          <w:shd w:val="clear" w:color="auto" w:fill="auto"/>
        </w:rPr>
        <w:t>已注册入库且符合《政府采购促进中小企业发展管理办法》的通知（财库〔2020〕46 号）</w:t>
      </w:r>
      <w:r>
        <w:rPr>
          <w:rFonts w:hint="eastAsia" w:ascii="宋体" w:hAnsi="宋体" w:cs="宋体"/>
          <w:b/>
          <w:bCs/>
          <w:color w:val="auto"/>
          <w:sz w:val="21"/>
          <w:szCs w:val="21"/>
          <w:highlight w:val="none"/>
          <w:shd w:val="clear" w:color="auto" w:fill="auto"/>
          <w:lang w:val="en-US" w:eastAsia="zh-CN"/>
        </w:rPr>
        <w:t>和《关于进一步加大政府采购支持中小企业力度的通知》（财库〔2022〕19号）</w:t>
      </w:r>
      <w:r>
        <w:rPr>
          <w:rFonts w:hint="eastAsia" w:ascii="宋体" w:hAnsi="宋体" w:cs="宋体"/>
          <w:b/>
          <w:bCs/>
          <w:color w:val="auto"/>
          <w:sz w:val="21"/>
          <w:szCs w:val="21"/>
          <w:highlight w:val="none"/>
          <w:shd w:val="clear" w:color="auto" w:fill="auto"/>
        </w:rPr>
        <w:t>规定的小微企业条件的，在参加浙江省政府采购活动时可享受文件规定的优惠政策。</w:t>
      </w:r>
    </w:p>
    <w:p>
      <w:pPr>
        <w:snapToGrid w:val="0"/>
        <w:spacing w:line="420" w:lineRule="exact"/>
        <w:ind w:firstLine="382" w:firstLineChars="182"/>
        <w:outlineLvl w:val="1"/>
        <w:rPr>
          <w:rFonts w:hint="eastAsia"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 xml:space="preserve">4.3政策功能的评标价格扣除 </w:t>
      </w:r>
    </w:p>
    <w:p>
      <w:pPr>
        <w:snapToGrid w:val="0"/>
        <w:spacing w:line="420" w:lineRule="exact"/>
        <w:ind w:firstLine="420" w:firstLineChars="200"/>
        <w:outlineLvl w:val="1"/>
        <w:rPr>
          <w:rFonts w:hint="eastAsia"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 xml:space="preserve">（1）“评标价格”是指符合相关政策要求，按一定比例对投标报价进行政策功能的扣除后，仅用作价格分评分的价格（中标价及合同价仍以其投标报价为准）。 </w:t>
      </w:r>
    </w:p>
    <w:p>
      <w:pPr>
        <w:snapToGrid w:val="0"/>
        <w:spacing w:line="420" w:lineRule="exact"/>
        <w:ind w:firstLine="382" w:firstLineChars="182"/>
        <w:outlineLvl w:val="1"/>
        <w:rPr>
          <w:rFonts w:hint="eastAsia"/>
          <w:color w:val="auto"/>
          <w:highlight w:val="none"/>
          <w:shd w:val="clear" w:color="auto" w:fill="auto"/>
        </w:rPr>
      </w:pPr>
      <w:r>
        <w:rPr>
          <w:rFonts w:hint="eastAsia" w:ascii="宋体" w:hAnsi="宋体" w:cs="宋体"/>
          <w:color w:val="auto"/>
          <w:sz w:val="21"/>
          <w:szCs w:val="21"/>
          <w:highlight w:val="none"/>
          <w:shd w:val="clear" w:color="auto" w:fill="auto"/>
        </w:rPr>
        <w:t>（2）在货物采购项目中，货物由中小企业制造，即货物由中小企业生产且使用该中小企业商号或者注册商标，其评标价格</w:t>
      </w:r>
      <w:r>
        <w:rPr>
          <w:rFonts w:hint="eastAsia" w:ascii="宋体" w:hAnsi="宋体" w:cs="宋体"/>
          <w:color w:val="auto"/>
          <w:sz w:val="21"/>
          <w:szCs w:val="21"/>
          <w:highlight w:val="none"/>
          <w:shd w:val="clear" w:color="auto" w:fill="auto"/>
          <w:lang w:eastAsia="zh-CN"/>
        </w:rPr>
        <w:t>：</w:t>
      </w:r>
      <w:r>
        <w:rPr>
          <w:rFonts w:hint="default" w:ascii="Times New Roman" w:hAnsi="Times New Roman" w:eastAsia="宋体" w:cs="Times New Roman"/>
          <w:b w:val="0"/>
          <w:bCs/>
          <w:color w:val="auto"/>
          <w:sz w:val="21"/>
          <w:szCs w:val="21"/>
          <w:highlight w:val="none"/>
          <w:shd w:val="clear" w:color="auto" w:fill="auto"/>
        </w:rPr>
        <w:t>对于小型和微型企业产品的价格给予</w:t>
      </w:r>
      <w:r>
        <w:rPr>
          <w:rFonts w:hint="eastAsia" w:ascii="Times New Roman" w:hAnsi="Times New Roman" w:eastAsia="宋体" w:cs="Times New Roman"/>
          <w:b w:val="0"/>
          <w:bCs/>
          <w:color w:val="auto"/>
          <w:sz w:val="21"/>
          <w:szCs w:val="21"/>
          <w:highlight w:val="none"/>
          <w:shd w:val="clear" w:color="auto" w:fill="auto"/>
          <w:lang w:val="en-US" w:eastAsia="zh-CN"/>
        </w:rPr>
        <w:t>1</w:t>
      </w:r>
      <w:r>
        <w:rPr>
          <w:rFonts w:hint="default" w:ascii="Times New Roman" w:hAnsi="Times New Roman" w:eastAsia="宋体" w:cs="Times New Roman"/>
          <w:b w:val="0"/>
          <w:bCs/>
          <w:color w:val="auto"/>
          <w:sz w:val="21"/>
          <w:szCs w:val="21"/>
          <w:highlight w:val="none"/>
          <w:shd w:val="clear" w:color="auto" w:fill="auto"/>
        </w:rPr>
        <w:t>0%的扣除</w:t>
      </w:r>
      <w:r>
        <w:rPr>
          <w:rFonts w:hint="default" w:ascii="Times New Roman" w:hAnsi="Times New Roman" w:eastAsia="宋体" w:cs="Times New Roman"/>
          <w:b w:val="0"/>
          <w:bCs/>
          <w:color w:val="auto"/>
          <w:sz w:val="21"/>
          <w:szCs w:val="21"/>
          <w:highlight w:val="none"/>
          <w:shd w:val="clear" w:color="auto" w:fill="auto"/>
          <w:lang w:eastAsia="zh-CN"/>
        </w:rPr>
        <w:t>，对于符合条件的联合体的报价给予</w:t>
      </w:r>
      <w:r>
        <w:rPr>
          <w:rFonts w:hint="eastAsia" w:ascii="Times New Roman" w:hAnsi="Times New Roman" w:eastAsia="宋体" w:cs="Times New Roman"/>
          <w:b w:val="0"/>
          <w:bCs/>
          <w:color w:val="auto"/>
          <w:sz w:val="21"/>
          <w:szCs w:val="21"/>
          <w:highlight w:val="none"/>
          <w:shd w:val="clear" w:color="auto" w:fill="auto"/>
          <w:lang w:val="en-US" w:eastAsia="zh-CN"/>
        </w:rPr>
        <w:t>3</w:t>
      </w:r>
      <w:r>
        <w:rPr>
          <w:rFonts w:hint="default" w:ascii="Times New Roman" w:hAnsi="Times New Roman" w:eastAsia="宋体" w:cs="Times New Roman"/>
          <w:b w:val="0"/>
          <w:bCs/>
          <w:color w:val="auto"/>
          <w:sz w:val="21"/>
          <w:szCs w:val="21"/>
          <w:highlight w:val="none"/>
          <w:shd w:val="clear" w:color="auto" w:fill="auto"/>
        </w:rPr>
        <w:t>%的扣除，</w:t>
      </w:r>
      <w:r>
        <w:rPr>
          <w:rFonts w:hint="default" w:ascii="Times New Roman" w:hAnsi="Times New Roman" w:eastAsia="宋体" w:cs="Times New Roman"/>
          <w:b w:val="0"/>
          <w:bCs/>
          <w:color w:val="auto"/>
          <w:sz w:val="21"/>
          <w:szCs w:val="21"/>
          <w:highlight w:val="none"/>
          <w:shd w:val="clear" w:color="auto" w:fill="auto"/>
          <w:lang w:val="en-US" w:eastAsia="zh-CN"/>
        </w:rPr>
        <w:t>用扣除后的价格参加评审</w:t>
      </w:r>
      <w:r>
        <w:rPr>
          <w:rFonts w:hint="eastAsia" w:ascii="Times New Roman" w:hAnsi="Times New Roman" w:eastAsia="宋体" w:cs="Times New Roman"/>
          <w:b w:val="0"/>
          <w:bCs/>
          <w:color w:val="auto"/>
          <w:sz w:val="21"/>
          <w:szCs w:val="21"/>
          <w:highlight w:val="none"/>
          <w:shd w:val="clear" w:color="auto" w:fill="auto"/>
          <w:lang w:val="en-US" w:eastAsia="zh-CN"/>
        </w:rPr>
        <w:t>。</w:t>
      </w:r>
    </w:p>
    <w:p>
      <w:pPr>
        <w:snapToGrid w:val="0"/>
        <w:spacing w:line="420" w:lineRule="exact"/>
        <w:ind w:firstLine="382" w:firstLineChars="182"/>
        <w:outlineLvl w:val="1"/>
        <w:rPr>
          <w:rFonts w:hint="eastAsia"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 xml:space="preserve">在货物采购项目中，供应商提供的货物既有中小企业制造货物，也有大型企业制造货物的，不享受本办法规定的中小企业扶持政策。 </w:t>
      </w:r>
    </w:p>
    <w:p>
      <w:pPr>
        <w:snapToGrid w:val="0"/>
        <w:spacing w:line="420" w:lineRule="exact"/>
        <w:ind w:firstLine="384" w:firstLineChars="182"/>
        <w:outlineLvl w:val="1"/>
        <w:rPr>
          <w:rFonts w:hint="eastAsia" w:ascii="宋体" w:hAnsi="宋体" w:cs="宋体"/>
          <w:color w:val="auto"/>
          <w:sz w:val="21"/>
          <w:szCs w:val="21"/>
          <w:highlight w:val="none"/>
          <w:shd w:val="clear" w:color="auto" w:fill="auto"/>
        </w:rPr>
      </w:pPr>
      <w:r>
        <w:rPr>
          <w:rFonts w:hint="eastAsia" w:ascii="宋体" w:hAnsi="宋体" w:cs="宋体"/>
          <w:b/>
          <w:bCs/>
          <w:color w:val="auto"/>
          <w:sz w:val="21"/>
          <w:szCs w:val="21"/>
          <w:highlight w:val="none"/>
          <w:shd w:val="clear" w:color="auto" w:fill="auto"/>
        </w:rPr>
        <w:t>（</w:t>
      </w:r>
      <w:r>
        <w:rPr>
          <w:rFonts w:hint="eastAsia" w:ascii="宋体" w:hAnsi="宋体" w:cs="宋体"/>
          <w:b/>
          <w:bCs/>
          <w:color w:val="auto"/>
          <w:sz w:val="21"/>
          <w:szCs w:val="21"/>
          <w:highlight w:val="none"/>
          <w:shd w:val="clear" w:color="auto" w:fill="auto"/>
          <w:lang w:val="en-US" w:eastAsia="zh-CN"/>
        </w:rPr>
        <w:t>3</w:t>
      </w:r>
      <w:r>
        <w:rPr>
          <w:rFonts w:hint="eastAsia" w:ascii="宋体" w:hAnsi="宋体" w:cs="宋体"/>
          <w:b/>
          <w:bCs/>
          <w:color w:val="auto"/>
          <w:sz w:val="21"/>
          <w:szCs w:val="21"/>
          <w:highlight w:val="none"/>
          <w:shd w:val="clear" w:color="auto" w:fill="auto"/>
        </w:rPr>
        <w:t>）在价格标文件中，需提供《中小企业声明函》，未提供视为不符合政策功能的评标价格扣除要求，将不予评标价格的扣除。</w:t>
      </w:r>
    </w:p>
    <w:p>
      <w:pPr>
        <w:snapToGrid w:val="0"/>
        <w:spacing w:line="420" w:lineRule="exact"/>
        <w:ind w:firstLine="382" w:firstLineChars="182"/>
        <w:outlineLvl w:val="1"/>
        <w:rPr>
          <w:rFonts w:hint="eastAsia"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 xml:space="preserve"> 残疾人福利性单位参加投标【提供《残疾人福利性单位声明函》】，视为小型、微型企业，享受小微企业政策扶持。此项由评标委员会集体核实后统一打分。 </w:t>
      </w:r>
    </w:p>
    <w:p>
      <w:pPr>
        <w:snapToGrid w:val="0"/>
        <w:spacing w:line="420" w:lineRule="exact"/>
        <w:ind w:firstLine="382" w:firstLineChars="182"/>
        <w:outlineLvl w:val="1"/>
        <w:rPr>
          <w:rFonts w:hint="eastAsia"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 xml:space="preserve"> </w:t>
      </w:r>
      <w:r>
        <w:rPr>
          <w:rFonts w:hint="eastAsia" w:ascii="宋体" w:hAnsi="宋体" w:eastAsia="宋体" w:cs="宋体"/>
          <w:strike w:val="0"/>
          <w:dstrike w:val="0"/>
          <w:color w:val="auto"/>
          <w:sz w:val="21"/>
          <w:szCs w:val="21"/>
          <w:highlight w:val="none"/>
          <w:shd w:val="clear" w:color="auto" w:fill="auto"/>
        </w:rPr>
        <w:t>监狱企业</w:t>
      </w:r>
      <w:r>
        <w:rPr>
          <w:rFonts w:hint="eastAsia" w:ascii="宋体" w:hAnsi="宋体" w:cs="宋体"/>
          <w:color w:val="auto"/>
          <w:sz w:val="21"/>
          <w:szCs w:val="21"/>
          <w:highlight w:val="none"/>
          <w:shd w:val="clear" w:color="auto" w:fill="auto"/>
        </w:rPr>
        <w:t>参加投标【提供《</w:t>
      </w:r>
      <w:r>
        <w:rPr>
          <w:rFonts w:hint="eastAsia" w:ascii="宋体" w:hAnsi="宋体" w:eastAsia="宋体" w:cs="宋体"/>
          <w:strike w:val="0"/>
          <w:dstrike w:val="0"/>
          <w:color w:val="auto"/>
          <w:sz w:val="21"/>
          <w:szCs w:val="21"/>
          <w:highlight w:val="none"/>
          <w:shd w:val="clear" w:color="auto" w:fill="auto"/>
        </w:rPr>
        <w:t>监狱企业</w:t>
      </w:r>
      <w:r>
        <w:rPr>
          <w:rFonts w:hint="eastAsia" w:ascii="宋体" w:hAnsi="宋体" w:cs="宋体"/>
          <w:color w:val="auto"/>
          <w:sz w:val="21"/>
          <w:szCs w:val="21"/>
          <w:highlight w:val="none"/>
          <w:shd w:val="clear" w:color="auto" w:fill="auto"/>
        </w:rPr>
        <w:t xml:space="preserve">声明函》】，视为小型、微型企业，享受小微企业政策扶持。此项由评标委员会集体核实后统一打分。 </w:t>
      </w:r>
    </w:p>
    <w:p>
      <w:pPr>
        <w:snapToGrid w:val="0"/>
        <w:spacing w:line="420" w:lineRule="exact"/>
        <w:ind w:firstLine="382" w:firstLineChars="182"/>
        <w:outlineLvl w:val="1"/>
        <w:rPr>
          <w:rFonts w:hint="eastAsia" w:ascii="宋体" w:hAnsi="宋体" w:eastAsia="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4.4 根据《政府采购货物和服务招标投标管理办法》（财政部第87号令）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napToGrid w:val="0"/>
        <w:spacing w:line="420" w:lineRule="exact"/>
        <w:ind w:firstLine="384" w:firstLineChars="182"/>
        <w:outlineLvl w:val="1"/>
        <w:rPr>
          <w:rFonts w:hint="eastAsia" w:ascii="宋体" w:hAnsi="宋体" w:eastAsia="宋体" w:cs="宋体"/>
          <w:b/>
          <w:color w:val="auto"/>
          <w:sz w:val="21"/>
          <w:szCs w:val="21"/>
          <w:highlight w:val="none"/>
          <w:shd w:val="clear" w:color="auto" w:fill="auto"/>
        </w:rPr>
      </w:pPr>
      <w:bookmarkStart w:id="5" w:name="_Toc276459699"/>
      <w:r>
        <w:rPr>
          <w:rFonts w:hint="eastAsia" w:ascii="宋体" w:hAnsi="宋体" w:eastAsia="宋体" w:cs="宋体"/>
          <w:b/>
          <w:color w:val="auto"/>
          <w:sz w:val="21"/>
          <w:szCs w:val="21"/>
          <w:highlight w:val="none"/>
          <w:shd w:val="clear" w:color="auto" w:fill="auto"/>
        </w:rPr>
        <w:t>五、总分计算方法（满分为100分）</w:t>
      </w:r>
    </w:p>
    <w:p>
      <w:pPr>
        <w:pStyle w:val="113"/>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计算公式：投标人的最终得分= 技术商务得分 + 价格得分（所有分值四舍五入，保留到小数点后2位</w:t>
      </w:r>
      <w:r>
        <w:rPr>
          <w:rFonts w:hint="eastAsia" w:ascii="宋体" w:hAnsi="宋体" w:eastAsia="宋体" w:cs="宋体"/>
          <w:color w:val="auto"/>
          <w:sz w:val="21"/>
          <w:szCs w:val="21"/>
          <w:highlight w:val="none"/>
          <w:shd w:val="clear" w:color="auto" w:fill="auto"/>
          <w:lang w:eastAsia="zh-CN"/>
        </w:rPr>
        <w:t>）</w:t>
      </w:r>
      <w:r>
        <w:rPr>
          <w:rFonts w:hint="eastAsia" w:ascii="宋体" w:hAnsi="宋体" w:eastAsia="宋体" w:cs="宋体"/>
          <w:color w:val="auto"/>
          <w:sz w:val="21"/>
          <w:szCs w:val="21"/>
          <w:highlight w:val="none"/>
          <w:shd w:val="clear" w:color="auto" w:fill="auto"/>
        </w:rPr>
        <w:t>。</w:t>
      </w:r>
      <w:bookmarkEnd w:id="5"/>
    </w:p>
    <w:p>
      <w:pPr>
        <w:pStyle w:val="113"/>
        <w:rPr>
          <w:rFonts w:hint="eastAsia" w:ascii="宋体" w:cs="宋体"/>
          <w:color w:val="auto"/>
          <w:sz w:val="21"/>
          <w:szCs w:val="21"/>
          <w:highlight w:val="none"/>
        </w:rPr>
      </w:pPr>
    </w:p>
    <w:p>
      <w:pPr>
        <w:pStyle w:val="113"/>
        <w:rPr>
          <w:rFonts w:hint="eastAsia" w:ascii="宋体" w:cs="宋体"/>
          <w:color w:val="auto"/>
          <w:sz w:val="21"/>
          <w:szCs w:val="21"/>
          <w:highlight w:val="none"/>
        </w:rPr>
      </w:pPr>
    </w:p>
    <w:p>
      <w:pPr>
        <w:pStyle w:val="113"/>
        <w:rPr>
          <w:rFonts w:hint="eastAsia" w:ascii="宋体" w:cs="宋体"/>
          <w:color w:val="auto"/>
          <w:sz w:val="21"/>
          <w:szCs w:val="21"/>
          <w:highlight w:val="none"/>
        </w:rPr>
      </w:pPr>
    </w:p>
    <w:p>
      <w:pPr>
        <w:pStyle w:val="113"/>
        <w:rPr>
          <w:rFonts w:hint="eastAsia" w:ascii="宋体" w:cs="宋体"/>
          <w:color w:val="auto"/>
          <w:sz w:val="21"/>
          <w:szCs w:val="21"/>
          <w:highlight w:val="none"/>
        </w:rPr>
      </w:pPr>
    </w:p>
    <w:p>
      <w:pPr>
        <w:pStyle w:val="113"/>
        <w:rPr>
          <w:rFonts w:hint="eastAsia" w:ascii="宋体" w:cs="宋体"/>
          <w:color w:val="auto"/>
          <w:sz w:val="21"/>
          <w:szCs w:val="21"/>
          <w:highlight w:val="none"/>
        </w:rPr>
      </w:pPr>
    </w:p>
    <w:p>
      <w:pPr>
        <w:pStyle w:val="113"/>
        <w:rPr>
          <w:rFonts w:hint="eastAsia" w:ascii="宋体" w:cs="宋体"/>
          <w:color w:val="auto"/>
          <w:sz w:val="21"/>
          <w:szCs w:val="21"/>
          <w:highlight w:val="none"/>
        </w:rPr>
      </w:pPr>
    </w:p>
    <w:p>
      <w:pPr>
        <w:pStyle w:val="113"/>
        <w:rPr>
          <w:rFonts w:hint="eastAsia" w:ascii="宋体" w:cs="宋体"/>
          <w:color w:val="auto"/>
          <w:sz w:val="21"/>
          <w:szCs w:val="21"/>
          <w:highlight w:val="none"/>
        </w:rPr>
      </w:pPr>
    </w:p>
    <w:p>
      <w:pPr>
        <w:pStyle w:val="113"/>
        <w:rPr>
          <w:rFonts w:hint="eastAsia" w:ascii="宋体" w:cs="宋体"/>
          <w:color w:val="auto"/>
          <w:sz w:val="21"/>
          <w:szCs w:val="21"/>
          <w:highlight w:val="none"/>
        </w:rPr>
      </w:pPr>
    </w:p>
    <w:p>
      <w:pPr>
        <w:pStyle w:val="113"/>
        <w:rPr>
          <w:rFonts w:hint="eastAsia" w:ascii="宋体" w:cs="宋体"/>
          <w:color w:val="auto"/>
          <w:sz w:val="21"/>
          <w:szCs w:val="21"/>
          <w:highlight w:val="none"/>
        </w:rPr>
      </w:pPr>
    </w:p>
    <w:p>
      <w:pPr>
        <w:pStyle w:val="113"/>
        <w:rPr>
          <w:rFonts w:hint="eastAsia" w:ascii="宋体" w:cs="宋体"/>
          <w:color w:val="auto"/>
          <w:sz w:val="21"/>
          <w:szCs w:val="21"/>
          <w:highlight w:val="none"/>
        </w:rPr>
      </w:pPr>
    </w:p>
    <w:p>
      <w:pPr>
        <w:pStyle w:val="113"/>
        <w:rPr>
          <w:rFonts w:hint="eastAsia" w:ascii="宋体" w:cs="宋体"/>
          <w:color w:val="auto"/>
          <w:sz w:val="21"/>
          <w:szCs w:val="21"/>
          <w:highlight w:val="none"/>
        </w:rPr>
      </w:pPr>
    </w:p>
    <w:p>
      <w:pPr>
        <w:pStyle w:val="23"/>
        <w:numPr>
          <w:ilvl w:val="0"/>
          <w:numId w:val="9"/>
        </w:numPr>
        <w:snapToGrid w:val="0"/>
        <w:spacing w:before="0" w:after="0" w:line="600" w:lineRule="exact"/>
        <w:jc w:val="center"/>
        <w:outlineLvl w:val="0"/>
        <w:rPr>
          <w:rFonts w:cs="宋体"/>
          <w:b/>
          <w:color w:val="auto"/>
          <w:sz w:val="32"/>
          <w:highlight w:val="none"/>
        </w:rPr>
      </w:pPr>
      <w:r>
        <w:rPr>
          <w:rFonts w:hint="eastAsia" w:cs="宋体"/>
          <w:b/>
          <w:color w:val="auto"/>
          <w:sz w:val="32"/>
          <w:highlight w:val="none"/>
        </w:rPr>
        <w:t>合同主要条款（范本）</w:t>
      </w:r>
    </w:p>
    <w:p>
      <w:pPr>
        <w:pageBreakBefore w:val="0"/>
        <w:kinsoku/>
        <w:wordWrap/>
        <w:overflowPunct/>
        <w:topLinePunct w:val="0"/>
        <w:autoSpaceDE/>
        <w:autoSpaceDN/>
        <w:bidi w:val="0"/>
        <w:spacing w:line="460" w:lineRule="exact"/>
        <w:ind w:firstLine="420" w:firstLineChars="200"/>
        <w:textAlignment w:val="auto"/>
        <w:rPr>
          <w:rFonts w:ascii="宋体" w:hAnsi="宋体" w:cs="宋体"/>
          <w:color w:val="auto"/>
          <w:sz w:val="21"/>
          <w:szCs w:val="21"/>
          <w:highlight w:val="none"/>
          <w:u w:val="single"/>
        </w:rPr>
      </w:pPr>
      <w:bookmarkStart w:id="6" w:name="_Toc20313"/>
      <w:r>
        <w:rPr>
          <w:rFonts w:hint="eastAsia" w:ascii="宋体" w:hAnsi="宋体" w:cs="宋体"/>
          <w:color w:val="auto"/>
          <w:sz w:val="21"/>
          <w:szCs w:val="21"/>
          <w:highlight w:val="none"/>
        </w:rPr>
        <w:t>甲方：</w:t>
      </w:r>
      <w:r>
        <w:rPr>
          <w:rFonts w:hint="eastAsia" w:ascii="宋体" w:hAnsi="宋体" w:cs="宋体"/>
          <w:color w:val="auto"/>
          <w:sz w:val="21"/>
          <w:szCs w:val="21"/>
          <w:highlight w:val="none"/>
          <w:u w:val="single"/>
        </w:rPr>
        <w:t xml:space="preserve"> </w:t>
      </w:r>
      <w:r>
        <w:rPr>
          <w:rFonts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 xml:space="preserve">  </w:t>
      </w:r>
      <w:r>
        <w:rPr>
          <w:rFonts w:ascii="宋体" w:hAnsi="宋体" w:cs="宋体"/>
          <w:color w:val="auto"/>
          <w:sz w:val="21"/>
          <w:szCs w:val="21"/>
          <w:highlight w:val="none"/>
        </w:rPr>
        <w:t xml:space="preserve">  </w:t>
      </w:r>
      <w:r>
        <w:rPr>
          <w:rFonts w:hint="eastAsia" w:ascii="宋体" w:hAnsi="宋体" w:cs="宋体"/>
          <w:color w:val="auto"/>
          <w:sz w:val="21"/>
          <w:szCs w:val="21"/>
          <w:highlight w:val="none"/>
        </w:rPr>
        <w:t>签订地点：</w:t>
      </w:r>
      <w:r>
        <w:rPr>
          <w:rFonts w:hint="eastAsia" w:ascii="宋体" w:hAnsi="宋体" w:cs="宋体"/>
          <w:color w:val="auto"/>
          <w:sz w:val="21"/>
          <w:szCs w:val="21"/>
          <w:highlight w:val="none"/>
          <w:u w:val="single"/>
        </w:rPr>
        <w:t xml:space="preserve">          </w:t>
      </w:r>
    </w:p>
    <w:p>
      <w:pPr>
        <w:pageBreakBefore w:val="0"/>
        <w:kinsoku/>
        <w:wordWrap/>
        <w:overflowPunct/>
        <w:topLinePunct w:val="0"/>
        <w:autoSpaceDE/>
        <w:autoSpaceDN/>
        <w:bidi w:val="0"/>
        <w:spacing w:line="460" w:lineRule="exact"/>
        <w:ind w:firstLine="420" w:firstLineChars="200"/>
        <w:textAlignment w:val="auto"/>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乙方：</w:t>
      </w:r>
      <w:r>
        <w:rPr>
          <w:rFonts w:hint="eastAsia" w:ascii="宋体" w:hAnsi="宋体" w:cs="宋体"/>
          <w:color w:val="auto"/>
          <w:sz w:val="21"/>
          <w:szCs w:val="21"/>
          <w:highlight w:val="none"/>
          <w:u w:val="single"/>
        </w:rPr>
        <w:t xml:space="preserve">                  </w:t>
      </w:r>
      <w:r>
        <w:rPr>
          <w:rFonts w:ascii="宋体" w:hAnsi="宋体" w:cs="宋体"/>
          <w:color w:val="auto"/>
          <w:sz w:val="21"/>
          <w:szCs w:val="21"/>
          <w:highlight w:val="none"/>
          <w:u w:val="single"/>
        </w:rPr>
        <w:t xml:space="preserve">     </w:t>
      </w:r>
      <w:r>
        <w:rPr>
          <w:rFonts w:ascii="宋体" w:hAnsi="宋体" w:cs="宋体"/>
          <w:color w:val="auto"/>
          <w:sz w:val="21"/>
          <w:szCs w:val="21"/>
          <w:highlight w:val="none"/>
        </w:rPr>
        <w:t xml:space="preserve">    </w:t>
      </w:r>
      <w:r>
        <w:rPr>
          <w:rFonts w:hint="eastAsia" w:ascii="宋体" w:hAnsi="宋体" w:cs="宋体"/>
          <w:color w:val="auto"/>
          <w:sz w:val="21"/>
          <w:szCs w:val="21"/>
          <w:highlight w:val="none"/>
        </w:rPr>
        <w:t>签订时间：</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年</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月</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日</w:t>
      </w:r>
    </w:p>
    <w:p>
      <w:pPr>
        <w:pageBreakBefore w:val="0"/>
        <w:kinsoku/>
        <w:wordWrap/>
        <w:overflowPunct/>
        <w:topLinePunct w:val="0"/>
        <w:autoSpaceDE/>
        <w:autoSpaceDN/>
        <w:bidi w:val="0"/>
        <w:spacing w:line="46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1.总则</w:t>
      </w:r>
    </w:p>
    <w:p>
      <w:pPr>
        <w:pageBreakBefore w:val="0"/>
        <w:kinsoku/>
        <w:wordWrap/>
        <w:overflowPunct/>
        <w:topLinePunct w:val="0"/>
        <w:autoSpaceDE/>
        <w:autoSpaceDN/>
        <w:bidi w:val="0"/>
        <w:spacing w:line="46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根据《中华人民共和国政府采购法》、《中华人民共和国民法典》等有关政府采购法规，甲乙双方按照</w:t>
      </w:r>
      <w:r>
        <w:rPr>
          <w:rFonts w:hint="eastAsia" w:hAnsi="宋体" w:cs="宋体"/>
          <w:b/>
          <w:bCs/>
          <w:color w:val="auto"/>
          <w:sz w:val="21"/>
          <w:szCs w:val="21"/>
          <w:highlight w:val="none"/>
          <w:u w:val="single"/>
        </w:rPr>
        <w:t xml:space="preserve">                   </w:t>
      </w:r>
      <w:r>
        <w:rPr>
          <w:rFonts w:hint="eastAsia" w:ascii="宋体" w:hAnsi="宋体" w:cs="宋体"/>
          <w:color w:val="auto"/>
          <w:sz w:val="21"/>
          <w:szCs w:val="21"/>
          <w:highlight w:val="none"/>
        </w:rPr>
        <w:t>（采购编号：</w:t>
      </w:r>
      <w:r>
        <w:rPr>
          <w:rFonts w:hint="eastAsia"/>
          <w:b/>
          <w:color w:val="auto"/>
          <w:sz w:val="21"/>
          <w:szCs w:val="21"/>
          <w:highlight w:val="none"/>
          <w:u w:val="single"/>
        </w:rPr>
        <w:t xml:space="preserve">              </w:t>
      </w:r>
      <w:r>
        <w:rPr>
          <w:rFonts w:hint="eastAsia" w:ascii="宋体" w:hAnsi="宋体" w:cs="宋体"/>
          <w:color w:val="auto"/>
          <w:sz w:val="21"/>
          <w:szCs w:val="21"/>
          <w:highlight w:val="none"/>
        </w:rPr>
        <w:t>）采购结果，签订本合同：</w:t>
      </w:r>
    </w:p>
    <w:p>
      <w:pPr>
        <w:keepNext/>
        <w:keepLines/>
        <w:pageBreakBefore w:val="0"/>
        <w:kinsoku/>
        <w:wordWrap/>
        <w:overflowPunct/>
        <w:topLinePunct w:val="0"/>
        <w:autoSpaceDE/>
        <w:autoSpaceDN/>
        <w:bidi w:val="0"/>
        <w:snapToGrid w:val="0"/>
        <w:spacing w:line="460" w:lineRule="exact"/>
        <w:ind w:firstLine="422" w:firstLineChars="200"/>
        <w:textAlignment w:val="auto"/>
        <w:outlineLvl w:val="1"/>
        <w:rPr>
          <w:rFonts w:hint="eastAsia" w:ascii="宋体" w:hAnsi="宋体" w:cs="宋体"/>
          <w:b/>
          <w:bCs/>
          <w:color w:val="auto"/>
          <w:sz w:val="21"/>
          <w:szCs w:val="21"/>
          <w:highlight w:val="none"/>
        </w:rPr>
      </w:pPr>
      <w:bookmarkStart w:id="7" w:name="_Toc41375494"/>
      <w:bookmarkStart w:id="8" w:name="_Toc25327"/>
      <w:bookmarkStart w:id="9" w:name="_Toc13673"/>
      <w:bookmarkStart w:id="10" w:name="_Toc31672"/>
      <w:bookmarkStart w:id="11" w:name="_Toc293916921"/>
      <w:r>
        <w:rPr>
          <w:rFonts w:hint="eastAsia" w:ascii="宋体" w:hAnsi="宋体" w:cs="宋体"/>
          <w:b/>
          <w:bCs/>
          <w:color w:val="auto"/>
          <w:sz w:val="21"/>
          <w:szCs w:val="21"/>
          <w:highlight w:val="none"/>
        </w:rPr>
        <w:t>2．合同文件</w:t>
      </w:r>
      <w:bookmarkEnd w:id="7"/>
      <w:bookmarkEnd w:id="8"/>
      <w:bookmarkEnd w:id="9"/>
      <w:bookmarkEnd w:id="10"/>
    </w:p>
    <w:bookmarkEnd w:id="11"/>
    <w:p>
      <w:pPr>
        <w:pageBreakBefore w:val="0"/>
        <w:kinsoku/>
        <w:wordWrap/>
        <w:overflowPunct/>
        <w:topLinePunct w:val="0"/>
        <w:autoSpaceDE/>
        <w:autoSpaceDN/>
        <w:bidi w:val="0"/>
        <w:snapToGrid w:val="0"/>
        <w:spacing w:line="46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2.1本合同条款和合同补充条款或说明；</w:t>
      </w:r>
    </w:p>
    <w:p>
      <w:pPr>
        <w:pageBreakBefore w:val="0"/>
        <w:kinsoku/>
        <w:wordWrap/>
        <w:overflowPunct/>
        <w:topLinePunct w:val="0"/>
        <w:autoSpaceDE/>
        <w:autoSpaceDN/>
        <w:bidi w:val="0"/>
        <w:snapToGrid w:val="0"/>
        <w:spacing w:line="46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2.2中标通知书； </w:t>
      </w:r>
    </w:p>
    <w:p>
      <w:pPr>
        <w:pageBreakBefore w:val="0"/>
        <w:kinsoku/>
        <w:wordWrap/>
        <w:overflowPunct/>
        <w:topLinePunct w:val="0"/>
        <w:autoSpaceDE/>
        <w:autoSpaceDN/>
        <w:bidi w:val="0"/>
        <w:snapToGrid w:val="0"/>
        <w:spacing w:line="46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2.3投标人在询标时的书面承诺； </w:t>
      </w:r>
    </w:p>
    <w:p>
      <w:pPr>
        <w:pageBreakBefore w:val="0"/>
        <w:kinsoku/>
        <w:wordWrap/>
        <w:overflowPunct/>
        <w:topLinePunct w:val="0"/>
        <w:autoSpaceDE/>
        <w:autoSpaceDN/>
        <w:bidi w:val="0"/>
        <w:snapToGrid w:val="0"/>
        <w:spacing w:line="46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2.4投标文件；</w:t>
      </w:r>
    </w:p>
    <w:p>
      <w:pPr>
        <w:pageBreakBefore w:val="0"/>
        <w:kinsoku/>
        <w:wordWrap/>
        <w:overflowPunct/>
        <w:topLinePunct w:val="0"/>
        <w:autoSpaceDE/>
        <w:autoSpaceDN/>
        <w:bidi w:val="0"/>
        <w:snapToGrid w:val="0"/>
        <w:spacing w:line="46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2.5补充文件；</w:t>
      </w:r>
    </w:p>
    <w:p>
      <w:pPr>
        <w:pageBreakBefore w:val="0"/>
        <w:kinsoku/>
        <w:wordWrap/>
        <w:overflowPunct/>
        <w:topLinePunct w:val="0"/>
        <w:autoSpaceDE/>
        <w:autoSpaceDN/>
        <w:bidi w:val="0"/>
        <w:snapToGrid w:val="0"/>
        <w:spacing w:line="46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2.6采购文件；</w:t>
      </w:r>
    </w:p>
    <w:p>
      <w:pPr>
        <w:pageBreakBefore w:val="0"/>
        <w:kinsoku/>
        <w:wordWrap/>
        <w:overflowPunct/>
        <w:topLinePunct w:val="0"/>
        <w:autoSpaceDE/>
        <w:autoSpaceDN/>
        <w:bidi w:val="0"/>
        <w:snapToGrid w:val="0"/>
        <w:spacing w:line="46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上述所指合同文件应认为是互相补充和解释的，但是有模棱两可或互相矛盾之处，以其所列内容先后顺序为准。</w:t>
      </w:r>
    </w:p>
    <w:p>
      <w:pPr>
        <w:pageBreakBefore w:val="0"/>
        <w:kinsoku/>
        <w:wordWrap/>
        <w:overflowPunct/>
        <w:topLinePunct w:val="0"/>
        <w:autoSpaceDE/>
        <w:autoSpaceDN/>
        <w:bidi w:val="0"/>
        <w:snapToGrid w:val="0"/>
        <w:spacing w:line="460" w:lineRule="exact"/>
        <w:ind w:firstLine="422" w:firstLineChars="200"/>
        <w:textAlignment w:val="auto"/>
        <w:rPr>
          <w:rFonts w:hint="eastAsia" w:ascii="宋体" w:hAnsi="宋体" w:cs="宋体"/>
          <w:b/>
          <w:bCs/>
          <w:color w:val="auto"/>
          <w:sz w:val="21"/>
          <w:szCs w:val="21"/>
          <w:highlight w:val="none"/>
        </w:rPr>
      </w:pPr>
      <w:bookmarkStart w:id="12" w:name="_Toc29265"/>
      <w:bookmarkStart w:id="13" w:name="_Toc11411"/>
      <w:bookmarkStart w:id="14" w:name="_Toc41375495"/>
      <w:bookmarkStart w:id="15" w:name="_Toc293916379"/>
      <w:bookmarkStart w:id="16" w:name="_Toc293916028"/>
      <w:bookmarkStart w:id="17" w:name="_Toc293916936"/>
      <w:r>
        <w:rPr>
          <w:rFonts w:hint="eastAsia" w:ascii="宋体" w:hAnsi="宋体" w:cs="宋体"/>
          <w:b/>
          <w:bCs/>
          <w:color w:val="auto"/>
          <w:sz w:val="21"/>
          <w:szCs w:val="21"/>
          <w:highlight w:val="none"/>
        </w:rPr>
        <w:t>3．合同价款</w:t>
      </w:r>
      <w:bookmarkEnd w:id="12"/>
      <w:bookmarkEnd w:id="13"/>
      <w:r>
        <w:rPr>
          <w:rFonts w:hint="eastAsia" w:ascii="宋体" w:hAnsi="宋体" w:cs="宋体"/>
          <w:b/>
          <w:bCs/>
          <w:color w:val="auto"/>
          <w:sz w:val="21"/>
          <w:szCs w:val="21"/>
          <w:highlight w:val="none"/>
        </w:rPr>
        <w:t>及付款方式</w:t>
      </w:r>
      <w:bookmarkEnd w:id="14"/>
    </w:p>
    <w:p>
      <w:pPr>
        <w:pageBreakBefore w:val="0"/>
        <w:kinsoku/>
        <w:wordWrap/>
        <w:overflowPunct/>
        <w:topLinePunct w:val="0"/>
        <w:autoSpaceDE/>
        <w:autoSpaceDN/>
        <w:bidi w:val="0"/>
        <w:snapToGrid w:val="0"/>
        <w:spacing w:line="46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3.1本合同金额为（大写）：___________________元（￥_______________元）人民币。</w:t>
      </w:r>
    </w:p>
    <w:p>
      <w:pPr>
        <w:pageBreakBefore w:val="0"/>
        <w:kinsoku/>
        <w:wordWrap/>
        <w:overflowPunct/>
        <w:topLinePunct w:val="0"/>
        <w:autoSpaceDE/>
        <w:autoSpaceDN/>
        <w:bidi w:val="0"/>
        <w:snapToGrid w:val="0"/>
        <w:spacing w:line="46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注：（1）</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投标报价包括本项目所需的一切产品购置费、标准附件、备品备件、专用工具、包装、运输、装卸、保险、交货、安装调试、培训、保修、处理缺陷、现场试验、试运行、验收和质保期内售后服务伴随服务、质保期售后服务及合同实施过程中完成本项目应预见和不可预见费用、招标代理费、利润、税金等一切费用。</w:t>
      </w:r>
    </w:p>
    <w:p>
      <w:pPr>
        <w:pageBreakBefore w:val="0"/>
        <w:kinsoku/>
        <w:wordWrap/>
        <w:overflowPunct/>
        <w:topLinePunct w:val="0"/>
        <w:autoSpaceDE/>
        <w:autoSpaceDN/>
        <w:bidi w:val="0"/>
        <w:spacing w:line="460" w:lineRule="exact"/>
        <w:ind w:firstLine="422" w:firstLineChars="200"/>
        <w:textAlignment w:val="auto"/>
        <w:rPr>
          <w:color w:val="auto"/>
          <w:highlight w:val="none"/>
        </w:rPr>
      </w:pPr>
      <w:r>
        <w:rPr>
          <w:rFonts w:hint="eastAsia" w:ascii="宋体" w:hAnsi="宋体" w:cs="宋体"/>
          <w:b/>
          <w:color w:val="auto"/>
          <w:sz w:val="21"/>
          <w:szCs w:val="21"/>
          <w:highlight w:val="none"/>
        </w:rPr>
        <w:t>（</w:t>
      </w:r>
      <w:r>
        <w:rPr>
          <w:rFonts w:hint="eastAsia" w:ascii="宋体" w:hAnsi="宋体" w:cs="宋体"/>
          <w:b/>
          <w:color w:val="auto"/>
          <w:sz w:val="21"/>
          <w:szCs w:val="21"/>
          <w:highlight w:val="none"/>
          <w:lang w:val="en-US" w:eastAsia="zh-CN"/>
        </w:rPr>
        <w:t>2</w:t>
      </w:r>
      <w:r>
        <w:rPr>
          <w:rFonts w:hint="eastAsia" w:ascii="宋体" w:hAnsi="宋体" w:cs="宋体"/>
          <w:b/>
          <w:color w:val="auto"/>
          <w:sz w:val="21"/>
          <w:szCs w:val="21"/>
          <w:highlight w:val="none"/>
        </w:rPr>
        <w:t>）投标分项报价清单根据乙方中标的清单另附。</w:t>
      </w:r>
    </w:p>
    <w:p>
      <w:pPr>
        <w:pageBreakBefore w:val="0"/>
        <w:kinsoku/>
        <w:wordWrap/>
        <w:overflowPunct/>
        <w:topLinePunct w:val="0"/>
        <w:autoSpaceDE/>
        <w:autoSpaceDN/>
        <w:bidi w:val="0"/>
        <w:snapToGrid w:val="0"/>
        <w:spacing w:line="460" w:lineRule="exact"/>
        <w:ind w:firstLine="420" w:firstLineChars="200"/>
        <w:textAlignment w:val="auto"/>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rPr>
        <w:t>3.2付款方式</w:t>
      </w:r>
      <w:r>
        <w:rPr>
          <w:rFonts w:hint="eastAsia" w:ascii="宋体" w:hAnsi="宋体" w:cs="宋体"/>
          <w:color w:val="auto"/>
          <w:sz w:val="21"/>
          <w:szCs w:val="21"/>
          <w:highlight w:val="none"/>
          <w:lang w:eastAsia="zh-CN"/>
        </w:rPr>
        <w:t>：</w:t>
      </w:r>
    </w:p>
    <w:p>
      <w:pPr>
        <w:pageBreakBefore w:val="0"/>
        <w:kinsoku/>
        <w:wordWrap/>
        <w:overflowPunct/>
        <w:topLinePunct w:val="0"/>
        <w:autoSpaceDE/>
        <w:autoSpaceDN/>
        <w:bidi w:val="0"/>
        <w:snapToGrid w:val="0"/>
        <w:spacing w:line="460" w:lineRule="exact"/>
        <w:ind w:firstLine="420" w:firstLineChars="200"/>
        <w:textAlignment w:val="auto"/>
        <w:rPr>
          <w:rFonts w:hint="eastAsia" w:ascii="宋体" w:hAnsi="宋体" w:cs="宋体"/>
          <w:b w:val="0"/>
          <w:bCs w:val="0"/>
          <w:i w:val="0"/>
          <w:iCs w:val="0"/>
          <w:color w:val="auto"/>
          <w:spacing w:val="0"/>
          <w:w w:val="100"/>
          <w:kern w:val="0"/>
          <w:sz w:val="21"/>
          <w:szCs w:val="21"/>
          <w:highlight w:val="none"/>
          <w:vertAlign w:val="baseline"/>
          <w:lang w:val="en-US" w:eastAsia="zh-CN" w:bidi="ar-SA"/>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lang w:eastAsia="zh-CN"/>
        </w:rPr>
        <w:t>）</w:t>
      </w:r>
      <w:r>
        <w:rPr>
          <w:rFonts w:hint="eastAsia" w:ascii="宋体" w:hAnsi="宋体" w:cs="宋体"/>
          <w:b w:val="0"/>
          <w:bCs w:val="0"/>
          <w:i w:val="0"/>
          <w:iCs w:val="0"/>
          <w:color w:val="auto"/>
          <w:spacing w:val="0"/>
          <w:w w:val="100"/>
          <w:kern w:val="0"/>
          <w:sz w:val="21"/>
          <w:szCs w:val="21"/>
          <w:highlight w:val="none"/>
          <w:vertAlign w:val="baseline"/>
          <w:lang w:val="en-US" w:eastAsia="zh-CN" w:bidi="ar-SA"/>
        </w:rPr>
        <w:t>在合同生效后的7日内，甲方向乙方支付合同金额的70%作为预付款；设备到货安装完成并通过验收后，七个工作日内支付至合同总价的100%；以上付款节点均需在专项债资金到位后支付；</w:t>
      </w:r>
    </w:p>
    <w:p>
      <w:pPr>
        <w:pageBreakBefore w:val="0"/>
        <w:kinsoku/>
        <w:wordWrap/>
        <w:overflowPunct/>
        <w:topLinePunct w:val="0"/>
        <w:autoSpaceDE/>
        <w:autoSpaceDN/>
        <w:bidi w:val="0"/>
        <w:snapToGrid w:val="0"/>
        <w:spacing w:line="460" w:lineRule="exact"/>
        <w:ind w:firstLine="420" w:firstLineChars="200"/>
        <w:textAlignment w:val="auto"/>
        <w:rPr>
          <w:rFonts w:hint="eastAsia" w:ascii="宋体" w:hAnsi="宋体" w:cs="宋体"/>
          <w:b w:val="0"/>
          <w:bCs w:val="0"/>
          <w:i w:val="0"/>
          <w:iCs w:val="0"/>
          <w:color w:val="auto"/>
          <w:spacing w:val="0"/>
          <w:w w:val="100"/>
          <w:kern w:val="0"/>
          <w:sz w:val="21"/>
          <w:szCs w:val="21"/>
          <w:highlight w:val="none"/>
          <w:vertAlign w:val="baseline"/>
          <w:lang w:val="en-US" w:eastAsia="zh-CN" w:bidi="ar-SA"/>
        </w:rPr>
      </w:pPr>
      <w:r>
        <w:rPr>
          <w:rFonts w:hint="eastAsia" w:ascii="宋体" w:hAnsi="宋体" w:cs="宋体"/>
          <w:b w:val="0"/>
          <w:bCs w:val="0"/>
          <w:i w:val="0"/>
          <w:iCs w:val="0"/>
          <w:color w:val="auto"/>
          <w:spacing w:val="0"/>
          <w:w w:val="100"/>
          <w:kern w:val="0"/>
          <w:sz w:val="21"/>
          <w:szCs w:val="21"/>
          <w:highlight w:val="none"/>
          <w:vertAlign w:val="baseline"/>
          <w:lang w:val="en-US" w:eastAsia="zh-CN" w:bidi="ar-SA"/>
        </w:rPr>
        <w:t>（2）如项目被审计部门抽查复审，则以审计部门复核的结论为最终结算结果；</w:t>
      </w:r>
    </w:p>
    <w:p>
      <w:pPr>
        <w:pageBreakBefore w:val="0"/>
        <w:kinsoku/>
        <w:wordWrap/>
        <w:overflowPunct/>
        <w:topLinePunct w:val="0"/>
        <w:autoSpaceDE/>
        <w:autoSpaceDN/>
        <w:bidi w:val="0"/>
        <w:snapToGrid w:val="0"/>
        <w:spacing w:line="460" w:lineRule="exact"/>
        <w:ind w:firstLine="420" w:firstLineChars="200"/>
        <w:textAlignment w:val="auto"/>
        <w:rPr>
          <w:rFonts w:hint="eastAsia" w:ascii="宋体" w:hAnsi="宋体" w:cs="宋体"/>
          <w:b w:val="0"/>
          <w:bCs w:val="0"/>
          <w:i w:val="0"/>
          <w:iCs w:val="0"/>
          <w:color w:val="auto"/>
          <w:spacing w:val="0"/>
          <w:w w:val="100"/>
          <w:kern w:val="0"/>
          <w:sz w:val="21"/>
          <w:szCs w:val="21"/>
          <w:highlight w:val="none"/>
          <w:vertAlign w:val="baseline"/>
          <w:lang w:val="en-US" w:eastAsia="zh-CN" w:bidi="ar-SA"/>
        </w:rPr>
      </w:pPr>
      <w:r>
        <w:rPr>
          <w:rFonts w:hint="eastAsia" w:ascii="宋体" w:hAnsi="宋体" w:cs="宋体"/>
          <w:b w:val="0"/>
          <w:bCs w:val="0"/>
          <w:i w:val="0"/>
          <w:iCs w:val="0"/>
          <w:color w:val="auto"/>
          <w:spacing w:val="0"/>
          <w:w w:val="100"/>
          <w:kern w:val="0"/>
          <w:sz w:val="21"/>
          <w:szCs w:val="21"/>
          <w:highlight w:val="none"/>
          <w:vertAlign w:val="baseline"/>
          <w:lang w:val="en-US" w:eastAsia="zh-CN" w:bidi="ar-SA"/>
        </w:rPr>
        <w:t>（3）乙方在结算合同价款时须提供正式发票。</w:t>
      </w:r>
    </w:p>
    <w:p>
      <w:pPr>
        <w:pStyle w:val="4"/>
        <w:keepNext w:val="0"/>
        <w:keepLines w:val="0"/>
        <w:pageBreakBefore w:val="0"/>
        <w:widowControl/>
        <w:numPr>
          <w:ilvl w:val="0"/>
          <w:numId w:val="0"/>
        </w:numPr>
        <w:suppressLineNumbers w:val="0"/>
        <w:kinsoku/>
        <w:wordWrap/>
        <w:overflowPunct/>
        <w:topLinePunct w:val="0"/>
        <w:autoSpaceDE/>
        <w:autoSpaceDN/>
        <w:bidi w:val="0"/>
        <w:adjustRightInd/>
        <w:spacing w:before="0" w:beforeAutospacing="0" w:after="0" w:afterAutospacing="0" w:line="460" w:lineRule="exact"/>
        <w:ind w:firstLine="422"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i w:val="0"/>
          <w:iCs w:val="0"/>
          <w:color w:val="auto"/>
          <w:spacing w:val="0"/>
          <w:w w:val="100"/>
          <w:sz w:val="21"/>
          <w:szCs w:val="21"/>
          <w:highlight w:val="none"/>
          <w:vertAlign w:val="baseline"/>
          <w:lang w:val="en-US" w:eastAsia="zh-CN"/>
        </w:rPr>
        <w:t>4、</w:t>
      </w:r>
      <w:r>
        <w:rPr>
          <w:rFonts w:hint="eastAsia" w:ascii="宋体" w:hAnsi="宋体" w:eastAsia="宋体" w:cs="宋体"/>
          <w:b/>
          <w:bCs/>
          <w:i w:val="0"/>
          <w:iCs w:val="0"/>
          <w:color w:val="auto"/>
          <w:spacing w:val="0"/>
          <w:w w:val="100"/>
          <w:sz w:val="21"/>
          <w:szCs w:val="21"/>
          <w:highlight w:val="none"/>
          <w:vertAlign w:val="baseline"/>
        </w:rPr>
        <w:t>预付款</w:t>
      </w:r>
      <w:r>
        <w:rPr>
          <w:rFonts w:hint="eastAsia" w:ascii="宋体" w:hAnsi="宋体" w:eastAsia="宋体" w:cs="宋体"/>
          <w:b/>
          <w:bCs/>
          <w:i w:val="0"/>
          <w:iCs w:val="0"/>
          <w:color w:val="auto"/>
          <w:spacing w:val="0"/>
          <w:w w:val="100"/>
          <w:sz w:val="21"/>
          <w:szCs w:val="21"/>
          <w:highlight w:val="none"/>
          <w:vertAlign w:val="baseline"/>
          <w:lang w:val="en-US" w:eastAsia="zh-CN"/>
        </w:rPr>
        <w:t>的规定</w:t>
      </w:r>
    </w:p>
    <w:p>
      <w:pPr>
        <w:pStyle w:val="36"/>
        <w:keepNext w:val="0"/>
        <w:keepLines w:val="0"/>
        <w:pageBreakBefore w:val="0"/>
        <w:widowControl/>
        <w:suppressLineNumbers w:val="0"/>
        <w:kinsoku/>
        <w:wordWrap/>
        <w:overflowPunct/>
        <w:topLinePunct w:val="0"/>
        <w:autoSpaceDE/>
        <w:autoSpaceDN/>
        <w:bidi w:val="0"/>
        <w:adjustRightInd/>
        <w:spacing w:before="0" w:beforeAutospacing="0" w:after="0" w:afterAutospacing="0" w:line="460" w:lineRule="exact"/>
        <w:ind w:left="0" w:right="0" w:firstLine="482"/>
        <w:jc w:val="both"/>
        <w:textAlignment w:val="auto"/>
        <w:rPr>
          <w:rFonts w:hint="eastAsia" w:ascii="宋体" w:hAnsi="宋体" w:eastAsia="宋体" w:cs="宋体"/>
          <w:b w:val="0"/>
          <w:bCs w:val="0"/>
          <w:i w:val="0"/>
          <w:iCs w:val="0"/>
          <w:color w:val="auto"/>
          <w:spacing w:val="0"/>
          <w:w w:val="100"/>
          <w:sz w:val="21"/>
          <w:szCs w:val="21"/>
          <w:highlight w:val="none"/>
          <w:vertAlign w:val="baseline"/>
        </w:rPr>
      </w:pPr>
      <w:r>
        <w:rPr>
          <w:rFonts w:hint="eastAsia" w:ascii="宋体" w:hAnsi="宋体" w:eastAsia="宋体" w:cs="宋体"/>
          <w:b w:val="0"/>
          <w:bCs w:val="0"/>
          <w:i w:val="0"/>
          <w:iCs w:val="0"/>
          <w:color w:val="auto"/>
          <w:spacing w:val="0"/>
          <w:w w:val="100"/>
          <w:sz w:val="21"/>
          <w:szCs w:val="21"/>
          <w:highlight w:val="none"/>
          <w:vertAlign w:val="baseline"/>
          <w:lang w:val="en-US" w:eastAsia="zh-CN"/>
        </w:rPr>
        <w:t>4.1甲方</w:t>
      </w:r>
      <w:r>
        <w:rPr>
          <w:rFonts w:hint="eastAsia" w:ascii="宋体" w:hAnsi="宋体" w:eastAsia="宋体" w:cs="宋体"/>
          <w:b w:val="0"/>
          <w:bCs w:val="0"/>
          <w:i w:val="0"/>
          <w:iCs w:val="0"/>
          <w:color w:val="auto"/>
          <w:spacing w:val="0"/>
          <w:w w:val="100"/>
          <w:sz w:val="21"/>
          <w:szCs w:val="21"/>
          <w:highlight w:val="none"/>
          <w:vertAlign w:val="baseline"/>
        </w:rPr>
        <w:t>应当在政府采购合同中约定预付款，对中小企业合同预付款比例原则上不低于合同金额的40％，不高于合同金额的70%；项目分年安排预算的，每年预付款比例不低于项目年度计划支付资金额的40％，不高于年度计划支付资金额的70%；采购项目实施以</w:t>
      </w:r>
      <w:r>
        <w:rPr>
          <w:rFonts w:hint="eastAsia" w:ascii="宋体" w:hAnsi="宋体" w:eastAsia="宋体" w:cs="宋体"/>
          <w:b/>
          <w:bCs/>
          <w:i w:val="0"/>
          <w:iCs w:val="0"/>
          <w:color w:val="auto"/>
          <w:spacing w:val="0"/>
          <w:w w:val="100"/>
          <w:sz w:val="21"/>
          <w:szCs w:val="21"/>
          <w:highlight w:val="none"/>
          <w:vertAlign w:val="baseline"/>
        </w:rPr>
        <w:t>人工投入为主</w:t>
      </w:r>
      <w:r>
        <w:rPr>
          <w:rFonts w:hint="eastAsia" w:ascii="宋体" w:hAnsi="宋体" w:eastAsia="宋体" w:cs="宋体"/>
          <w:b w:val="0"/>
          <w:bCs w:val="0"/>
          <w:i w:val="0"/>
          <w:iCs w:val="0"/>
          <w:color w:val="auto"/>
          <w:spacing w:val="0"/>
          <w:w w:val="100"/>
          <w:sz w:val="21"/>
          <w:szCs w:val="21"/>
          <w:highlight w:val="none"/>
          <w:vertAlign w:val="baseline"/>
        </w:rPr>
        <w:t>的，可适当降低预付款比例，但不得低于</w:t>
      </w:r>
      <w:r>
        <w:rPr>
          <w:rFonts w:hint="eastAsia" w:ascii="宋体" w:hAnsi="宋体" w:eastAsia="宋体" w:cs="宋体"/>
          <w:b/>
          <w:bCs/>
          <w:i w:val="0"/>
          <w:iCs w:val="0"/>
          <w:color w:val="auto"/>
          <w:spacing w:val="0"/>
          <w:w w:val="100"/>
          <w:sz w:val="21"/>
          <w:szCs w:val="21"/>
          <w:highlight w:val="none"/>
          <w:vertAlign w:val="baseline"/>
        </w:rPr>
        <w:t>30%。</w:t>
      </w:r>
      <w:r>
        <w:rPr>
          <w:rFonts w:hint="eastAsia" w:ascii="宋体" w:hAnsi="宋体" w:eastAsia="宋体" w:cs="宋体"/>
          <w:b w:val="0"/>
          <w:bCs w:val="0"/>
          <w:i w:val="0"/>
          <w:iCs w:val="0"/>
          <w:color w:val="auto"/>
          <w:spacing w:val="0"/>
          <w:w w:val="100"/>
          <w:sz w:val="21"/>
          <w:szCs w:val="21"/>
          <w:highlight w:val="none"/>
          <w:vertAlign w:val="baseline"/>
        </w:rPr>
        <w:t>对</w:t>
      </w:r>
      <w:r>
        <w:rPr>
          <w:rFonts w:hint="eastAsia" w:hAnsi="宋体" w:cs="宋体"/>
          <w:b w:val="0"/>
          <w:bCs w:val="0"/>
          <w:i w:val="0"/>
          <w:iCs w:val="0"/>
          <w:color w:val="auto"/>
          <w:spacing w:val="0"/>
          <w:w w:val="100"/>
          <w:sz w:val="21"/>
          <w:szCs w:val="21"/>
          <w:highlight w:val="none"/>
          <w:vertAlign w:val="baseline"/>
          <w:lang w:eastAsia="zh-CN"/>
        </w:rPr>
        <w:t>乙方</w:t>
      </w:r>
      <w:r>
        <w:rPr>
          <w:rFonts w:hint="eastAsia" w:ascii="宋体" w:hAnsi="宋体" w:eastAsia="宋体" w:cs="宋体"/>
          <w:b w:val="0"/>
          <w:bCs w:val="0"/>
          <w:i w:val="0"/>
          <w:iCs w:val="0"/>
          <w:color w:val="auto"/>
          <w:spacing w:val="0"/>
          <w:w w:val="100"/>
          <w:sz w:val="21"/>
          <w:szCs w:val="21"/>
          <w:highlight w:val="none"/>
          <w:vertAlign w:val="baseline"/>
        </w:rPr>
        <w:t>为大型企业的项目或者以人工投入为主且实行按月定期结算支付款项的项目，预付款可低于上述比例或者不约定预付款。在签订合同时，</w:t>
      </w:r>
      <w:r>
        <w:rPr>
          <w:rFonts w:hint="eastAsia" w:hAnsi="宋体" w:cs="宋体"/>
          <w:b w:val="0"/>
          <w:bCs w:val="0"/>
          <w:i w:val="0"/>
          <w:iCs w:val="0"/>
          <w:color w:val="auto"/>
          <w:spacing w:val="0"/>
          <w:w w:val="100"/>
          <w:sz w:val="21"/>
          <w:szCs w:val="21"/>
          <w:highlight w:val="none"/>
          <w:vertAlign w:val="baseline"/>
          <w:lang w:eastAsia="zh-CN"/>
        </w:rPr>
        <w:t>乙方</w:t>
      </w:r>
      <w:r>
        <w:rPr>
          <w:rFonts w:hint="eastAsia" w:ascii="宋体" w:hAnsi="宋体" w:eastAsia="宋体" w:cs="宋体"/>
          <w:b w:val="0"/>
          <w:bCs w:val="0"/>
          <w:i w:val="0"/>
          <w:iCs w:val="0"/>
          <w:color w:val="auto"/>
          <w:spacing w:val="0"/>
          <w:w w:val="100"/>
          <w:sz w:val="21"/>
          <w:szCs w:val="21"/>
          <w:highlight w:val="none"/>
          <w:vertAlign w:val="baseline"/>
        </w:rPr>
        <w:t>明确表示无需预付款或者主动要求降低预付款比例的，</w:t>
      </w:r>
      <w:r>
        <w:rPr>
          <w:rFonts w:hint="eastAsia" w:hAnsi="宋体" w:cs="宋体"/>
          <w:b w:val="0"/>
          <w:bCs w:val="0"/>
          <w:i w:val="0"/>
          <w:iCs w:val="0"/>
          <w:color w:val="auto"/>
          <w:spacing w:val="0"/>
          <w:w w:val="100"/>
          <w:sz w:val="21"/>
          <w:szCs w:val="21"/>
          <w:highlight w:val="none"/>
          <w:vertAlign w:val="baseline"/>
          <w:lang w:eastAsia="zh-CN"/>
        </w:rPr>
        <w:t>甲方</w:t>
      </w:r>
      <w:r>
        <w:rPr>
          <w:rFonts w:hint="eastAsia" w:ascii="宋体" w:hAnsi="宋体" w:eastAsia="宋体" w:cs="宋体"/>
          <w:b w:val="0"/>
          <w:bCs w:val="0"/>
          <w:i w:val="0"/>
          <w:iCs w:val="0"/>
          <w:color w:val="auto"/>
          <w:spacing w:val="0"/>
          <w:w w:val="100"/>
          <w:sz w:val="21"/>
          <w:szCs w:val="21"/>
          <w:highlight w:val="none"/>
          <w:vertAlign w:val="baseline"/>
        </w:rPr>
        <w:t>可不适用前述规定。</w:t>
      </w:r>
      <w:r>
        <w:rPr>
          <w:rFonts w:hint="eastAsia" w:hAnsi="宋体" w:cs="宋体"/>
          <w:b w:val="0"/>
          <w:bCs w:val="0"/>
          <w:i w:val="0"/>
          <w:iCs w:val="0"/>
          <w:color w:val="auto"/>
          <w:spacing w:val="0"/>
          <w:w w:val="100"/>
          <w:sz w:val="21"/>
          <w:szCs w:val="21"/>
          <w:highlight w:val="none"/>
          <w:vertAlign w:val="baseline"/>
          <w:lang w:eastAsia="zh-CN"/>
        </w:rPr>
        <w:t>甲方</w:t>
      </w:r>
      <w:r>
        <w:rPr>
          <w:rFonts w:hint="eastAsia" w:ascii="宋体" w:hAnsi="宋体" w:eastAsia="宋体" w:cs="宋体"/>
          <w:b w:val="0"/>
          <w:bCs w:val="0"/>
          <w:i w:val="0"/>
          <w:iCs w:val="0"/>
          <w:color w:val="auto"/>
          <w:spacing w:val="0"/>
          <w:w w:val="100"/>
          <w:sz w:val="21"/>
          <w:szCs w:val="21"/>
          <w:highlight w:val="none"/>
          <w:vertAlign w:val="baseline"/>
        </w:rPr>
        <w:t>根据项目特点、</w:t>
      </w:r>
      <w:r>
        <w:rPr>
          <w:rFonts w:hint="eastAsia" w:hAnsi="宋体" w:cs="宋体"/>
          <w:b w:val="0"/>
          <w:bCs w:val="0"/>
          <w:i w:val="0"/>
          <w:iCs w:val="0"/>
          <w:color w:val="auto"/>
          <w:spacing w:val="0"/>
          <w:w w:val="100"/>
          <w:sz w:val="21"/>
          <w:szCs w:val="21"/>
          <w:highlight w:val="none"/>
          <w:vertAlign w:val="baseline"/>
          <w:lang w:eastAsia="zh-CN"/>
        </w:rPr>
        <w:t>乙方</w:t>
      </w:r>
      <w:r>
        <w:rPr>
          <w:rFonts w:hint="eastAsia" w:ascii="宋体" w:hAnsi="宋体" w:eastAsia="宋体" w:cs="宋体"/>
          <w:b w:val="0"/>
          <w:bCs w:val="0"/>
          <w:i w:val="0"/>
          <w:iCs w:val="0"/>
          <w:color w:val="auto"/>
          <w:spacing w:val="0"/>
          <w:w w:val="100"/>
          <w:sz w:val="21"/>
          <w:szCs w:val="21"/>
          <w:highlight w:val="none"/>
          <w:vertAlign w:val="baseline"/>
        </w:rPr>
        <w:t>诚信等因素，可以要求</w:t>
      </w:r>
      <w:r>
        <w:rPr>
          <w:rFonts w:hint="eastAsia" w:hAnsi="宋体" w:cs="宋体"/>
          <w:b w:val="0"/>
          <w:bCs w:val="0"/>
          <w:i w:val="0"/>
          <w:iCs w:val="0"/>
          <w:color w:val="auto"/>
          <w:spacing w:val="0"/>
          <w:w w:val="100"/>
          <w:sz w:val="21"/>
          <w:szCs w:val="21"/>
          <w:highlight w:val="none"/>
          <w:vertAlign w:val="baseline"/>
          <w:lang w:eastAsia="zh-CN"/>
        </w:rPr>
        <w:t>乙方</w:t>
      </w:r>
      <w:r>
        <w:rPr>
          <w:rFonts w:hint="eastAsia" w:ascii="宋体" w:hAnsi="宋体" w:eastAsia="宋体" w:cs="宋体"/>
          <w:b w:val="0"/>
          <w:bCs w:val="0"/>
          <w:i w:val="0"/>
          <w:iCs w:val="0"/>
          <w:color w:val="auto"/>
          <w:spacing w:val="0"/>
          <w:w w:val="100"/>
          <w:sz w:val="21"/>
          <w:szCs w:val="21"/>
          <w:highlight w:val="none"/>
          <w:vertAlign w:val="baseline"/>
        </w:rPr>
        <w:t>提交银行、保险公司等金融机构出具的预付款保函或其他担保措施。政府采购预付款应在</w:t>
      </w:r>
      <w:r>
        <w:rPr>
          <w:rFonts w:hint="eastAsia" w:ascii="宋体" w:hAnsi="宋体" w:eastAsia="宋体" w:cs="宋体"/>
          <w:b w:val="0"/>
          <w:bCs w:val="0"/>
          <w:i w:val="0"/>
          <w:iCs w:val="0"/>
          <w:color w:val="auto"/>
          <w:spacing w:val="0"/>
          <w:w w:val="100"/>
          <w:sz w:val="21"/>
          <w:szCs w:val="21"/>
          <w:highlight w:val="none"/>
          <w:u w:val="none"/>
          <w:vertAlign w:val="baseline"/>
        </w:rPr>
        <w:t>合同生效以及具备实施条件后</w:t>
      </w:r>
      <w:r>
        <w:rPr>
          <w:rFonts w:hint="eastAsia" w:ascii="宋体" w:hAnsi="宋体" w:eastAsia="宋体" w:cs="宋体"/>
          <w:b/>
          <w:bCs/>
          <w:i w:val="0"/>
          <w:iCs w:val="0"/>
          <w:color w:val="auto"/>
          <w:spacing w:val="0"/>
          <w:w w:val="100"/>
          <w:sz w:val="21"/>
          <w:szCs w:val="21"/>
          <w:highlight w:val="none"/>
          <w:vertAlign w:val="baseline"/>
        </w:rPr>
        <w:t>7个工作日内</w:t>
      </w:r>
      <w:r>
        <w:rPr>
          <w:rFonts w:hint="eastAsia" w:ascii="宋体" w:hAnsi="宋体" w:eastAsia="宋体" w:cs="宋体"/>
          <w:b w:val="0"/>
          <w:bCs w:val="0"/>
          <w:i w:val="0"/>
          <w:iCs w:val="0"/>
          <w:color w:val="auto"/>
          <w:spacing w:val="0"/>
          <w:w w:val="100"/>
          <w:sz w:val="21"/>
          <w:szCs w:val="21"/>
          <w:highlight w:val="none"/>
          <w:vertAlign w:val="baseline"/>
        </w:rPr>
        <w:t>支付。政府采购工程以及与工程建设有关的货物、服务，采用招标方式采购的，预付款从其相关规定。</w:t>
      </w:r>
    </w:p>
    <w:p>
      <w:pPr>
        <w:pageBreakBefore w:val="0"/>
        <w:kinsoku/>
        <w:wordWrap/>
        <w:overflowPunct/>
        <w:topLinePunct w:val="0"/>
        <w:autoSpaceDE/>
        <w:autoSpaceDN/>
        <w:bidi w:val="0"/>
        <w:spacing w:line="460" w:lineRule="exact"/>
        <w:ind w:firstLine="420" w:firstLineChars="200"/>
        <w:textAlignment w:val="auto"/>
        <w:rPr>
          <w:rFonts w:ascii="宋体" w:hAnsi="宋体" w:cs="宋体"/>
          <w:color w:val="auto"/>
          <w:sz w:val="21"/>
          <w:szCs w:val="21"/>
          <w:highlight w:val="none"/>
          <w:lang w:val="zh-CN"/>
        </w:rPr>
      </w:pPr>
      <w:r>
        <w:rPr>
          <w:rFonts w:hint="eastAsia" w:ascii="宋体" w:hAnsi="宋体" w:cs="宋体"/>
          <w:color w:val="auto"/>
          <w:sz w:val="21"/>
          <w:szCs w:val="21"/>
          <w:highlight w:val="none"/>
        </w:rPr>
        <w:t>5、工</w:t>
      </w:r>
      <w:r>
        <w:rPr>
          <w:rFonts w:ascii="宋体" w:hAnsi="宋体" w:cs="宋体"/>
          <w:color w:val="auto"/>
          <w:sz w:val="21"/>
          <w:szCs w:val="21"/>
          <w:highlight w:val="none"/>
          <w:lang w:val="zh-CN"/>
        </w:rPr>
        <w:t>期</w:t>
      </w:r>
      <w:r>
        <w:rPr>
          <w:rFonts w:hint="eastAsia" w:ascii="宋体" w:hAnsi="宋体" w:cs="宋体"/>
          <w:color w:val="auto"/>
          <w:sz w:val="21"/>
          <w:szCs w:val="21"/>
          <w:highlight w:val="none"/>
        </w:rPr>
        <w:t>及供货地点要求</w:t>
      </w:r>
      <w:r>
        <w:rPr>
          <w:rFonts w:ascii="宋体" w:hAnsi="宋体" w:cs="宋体"/>
          <w:color w:val="auto"/>
          <w:sz w:val="21"/>
          <w:szCs w:val="21"/>
          <w:highlight w:val="none"/>
          <w:lang w:val="zh-CN"/>
        </w:rPr>
        <w:t>：</w:t>
      </w:r>
      <w:r>
        <w:rPr>
          <w:rFonts w:hint="eastAsia" w:ascii="宋体" w:hAnsi="宋体" w:cs="宋体"/>
          <w:color w:val="auto"/>
          <w:sz w:val="21"/>
          <w:szCs w:val="21"/>
          <w:highlight w:val="none"/>
        </w:rPr>
        <w:t>乙方</w:t>
      </w:r>
      <w:r>
        <w:rPr>
          <w:rFonts w:ascii="宋体" w:hAnsi="宋体" w:cs="宋体"/>
          <w:b/>
          <w:bCs/>
          <w:color w:val="auto"/>
          <w:sz w:val="21"/>
          <w:szCs w:val="21"/>
          <w:highlight w:val="none"/>
          <w:lang w:val="zh-CN"/>
        </w:rPr>
        <w:t>须在</w:t>
      </w:r>
      <w:r>
        <w:rPr>
          <w:rFonts w:hint="eastAsia" w:ascii="宋体" w:hAnsi="宋体" w:cs="宋体"/>
          <w:b/>
          <w:bCs/>
          <w:color w:val="auto"/>
          <w:sz w:val="21"/>
          <w:szCs w:val="21"/>
          <w:highlight w:val="none"/>
        </w:rPr>
        <w:t>合同签订后</w:t>
      </w:r>
      <w:r>
        <w:rPr>
          <w:rFonts w:hint="eastAsia" w:ascii="宋体" w:hAnsi="宋体" w:cs="宋体"/>
          <w:b/>
          <w:bCs/>
          <w:color w:val="auto"/>
          <w:sz w:val="21"/>
          <w:szCs w:val="21"/>
          <w:highlight w:val="none"/>
          <w:u w:val="single"/>
          <w:lang w:val="en-US" w:eastAsia="zh-CN"/>
        </w:rPr>
        <w:t xml:space="preserve">  天</w:t>
      </w:r>
      <w:r>
        <w:rPr>
          <w:rFonts w:ascii="宋体" w:hAnsi="宋体" w:cs="宋体"/>
          <w:b/>
          <w:bCs/>
          <w:color w:val="auto"/>
          <w:sz w:val="21"/>
          <w:szCs w:val="21"/>
          <w:highlight w:val="none"/>
        </w:rPr>
        <w:t>内</w:t>
      </w:r>
      <w:r>
        <w:rPr>
          <w:rFonts w:ascii="宋体" w:hAnsi="宋体" w:cs="宋体"/>
          <w:b/>
          <w:bCs/>
          <w:color w:val="auto"/>
          <w:sz w:val="21"/>
          <w:szCs w:val="21"/>
          <w:highlight w:val="none"/>
          <w:lang w:val="zh-CN"/>
        </w:rPr>
        <w:t>按照</w:t>
      </w:r>
      <w:r>
        <w:rPr>
          <w:rFonts w:hint="eastAsia" w:ascii="宋体" w:hAnsi="宋体" w:cs="宋体"/>
          <w:b/>
          <w:bCs/>
          <w:color w:val="auto"/>
          <w:sz w:val="21"/>
          <w:szCs w:val="21"/>
          <w:highlight w:val="none"/>
        </w:rPr>
        <w:t>甲方</w:t>
      </w:r>
      <w:r>
        <w:rPr>
          <w:rFonts w:ascii="宋体" w:hAnsi="宋体" w:cs="宋体"/>
          <w:b/>
          <w:bCs/>
          <w:color w:val="auto"/>
          <w:sz w:val="21"/>
          <w:szCs w:val="21"/>
          <w:highlight w:val="none"/>
          <w:lang w:val="zh-CN"/>
        </w:rPr>
        <w:t>实际要求完成</w:t>
      </w:r>
      <w:r>
        <w:rPr>
          <w:rFonts w:hint="eastAsia" w:ascii="宋体" w:hAnsi="宋体" w:cs="宋体"/>
          <w:b/>
          <w:bCs/>
          <w:color w:val="auto"/>
          <w:sz w:val="21"/>
          <w:szCs w:val="21"/>
          <w:highlight w:val="none"/>
        </w:rPr>
        <w:t>全部</w:t>
      </w:r>
      <w:r>
        <w:rPr>
          <w:rFonts w:ascii="宋体" w:hAnsi="宋体" w:cs="宋体"/>
          <w:b/>
          <w:bCs/>
          <w:color w:val="auto"/>
          <w:sz w:val="21"/>
          <w:szCs w:val="21"/>
          <w:highlight w:val="none"/>
          <w:lang w:val="zh-CN"/>
        </w:rPr>
        <w:t>设备安装、调试</w:t>
      </w:r>
      <w:r>
        <w:rPr>
          <w:rFonts w:hint="eastAsia" w:ascii="宋体" w:hAnsi="宋体" w:cs="宋体"/>
          <w:b/>
          <w:bCs/>
          <w:color w:val="auto"/>
          <w:sz w:val="21"/>
          <w:szCs w:val="21"/>
          <w:highlight w:val="none"/>
          <w:lang w:val="zh-CN"/>
        </w:rPr>
        <w:t>，</w:t>
      </w:r>
      <w:r>
        <w:rPr>
          <w:rFonts w:ascii="宋体" w:hAnsi="宋体" w:cs="宋体"/>
          <w:b/>
          <w:bCs/>
          <w:color w:val="auto"/>
          <w:sz w:val="21"/>
          <w:szCs w:val="21"/>
          <w:highlight w:val="none"/>
          <w:lang w:val="zh-CN"/>
        </w:rPr>
        <w:t>进入试运行</w:t>
      </w:r>
      <w:r>
        <w:rPr>
          <w:rFonts w:hint="eastAsia" w:ascii="宋体" w:hAnsi="宋体" w:cs="宋体"/>
          <w:b/>
          <w:bCs/>
          <w:color w:val="auto"/>
          <w:sz w:val="21"/>
          <w:szCs w:val="21"/>
          <w:highlight w:val="none"/>
          <w:lang w:val="zh-CN"/>
        </w:rPr>
        <w:t>。</w:t>
      </w:r>
    </w:p>
    <w:p>
      <w:pPr>
        <w:pageBreakBefore w:val="0"/>
        <w:kinsoku/>
        <w:wordWrap/>
        <w:overflowPunct/>
        <w:topLinePunct w:val="0"/>
        <w:autoSpaceDE/>
        <w:autoSpaceDN/>
        <w:bidi w:val="0"/>
        <w:spacing w:line="460" w:lineRule="exact"/>
        <w:ind w:firstLine="422" w:firstLineChars="200"/>
        <w:textAlignment w:val="auto"/>
        <w:rPr>
          <w:rFonts w:hint="eastAsia" w:ascii="宋体" w:hAnsi="宋体" w:cs="宋体"/>
          <w:b/>
          <w:bCs/>
          <w:color w:val="auto"/>
          <w:sz w:val="21"/>
          <w:szCs w:val="21"/>
          <w:highlight w:val="none"/>
          <w:u w:val="single"/>
        </w:rPr>
      </w:pPr>
      <w:r>
        <w:rPr>
          <w:rFonts w:hint="eastAsia" w:ascii="宋体" w:hAnsi="宋体" w:cs="宋体"/>
          <w:b/>
          <w:bCs/>
          <w:color w:val="auto"/>
          <w:sz w:val="21"/>
          <w:szCs w:val="21"/>
          <w:highlight w:val="none"/>
        </w:rPr>
        <w:t>供货地点：</w:t>
      </w:r>
      <w:r>
        <w:rPr>
          <w:rFonts w:hint="eastAsia" w:ascii="宋体" w:hAnsi="宋体" w:cs="宋体"/>
          <w:color w:val="auto"/>
          <w:sz w:val="21"/>
          <w:szCs w:val="21"/>
          <w:highlight w:val="none"/>
        </w:rPr>
        <w:t>由</w:t>
      </w:r>
      <w:r>
        <w:rPr>
          <w:rFonts w:hint="eastAsia" w:ascii="宋体" w:hAnsi="宋体" w:cs="宋体"/>
          <w:color w:val="auto"/>
          <w:sz w:val="21"/>
          <w:szCs w:val="21"/>
          <w:highlight w:val="none"/>
          <w:lang w:eastAsia="zh-CN"/>
        </w:rPr>
        <w:t>兰溪市人民医院</w:t>
      </w:r>
      <w:r>
        <w:rPr>
          <w:rFonts w:hint="eastAsia" w:ascii="宋体" w:hAnsi="宋体" w:cs="宋体"/>
          <w:color w:val="auto"/>
          <w:sz w:val="21"/>
          <w:szCs w:val="21"/>
          <w:highlight w:val="none"/>
        </w:rPr>
        <w:t>指定</w:t>
      </w:r>
      <w:r>
        <w:rPr>
          <w:rFonts w:hint="eastAsia" w:ascii="宋体" w:hAnsi="宋体" w:cs="宋体"/>
          <w:b/>
          <w:bCs/>
          <w:color w:val="auto"/>
          <w:sz w:val="21"/>
          <w:szCs w:val="21"/>
          <w:highlight w:val="none"/>
        </w:rPr>
        <w:t>。</w:t>
      </w:r>
    </w:p>
    <w:p>
      <w:pPr>
        <w:keepNext/>
        <w:keepLines/>
        <w:pageBreakBefore w:val="0"/>
        <w:kinsoku/>
        <w:wordWrap/>
        <w:overflowPunct/>
        <w:topLinePunct w:val="0"/>
        <w:autoSpaceDE/>
        <w:autoSpaceDN/>
        <w:bidi w:val="0"/>
        <w:snapToGrid w:val="0"/>
        <w:spacing w:line="460" w:lineRule="exact"/>
        <w:ind w:firstLine="422" w:firstLineChars="200"/>
        <w:textAlignment w:val="auto"/>
        <w:outlineLvl w:val="1"/>
        <w:rPr>
          <w:rFonts w:hint="eastAsia" w:ascii="宋体" w:hAnsi="宋体" w:cs="宋体"/>
          <w:b/>
          <w:bCs/>
          <w:color w:val="auto"/>
          <w:sz w:val="21"/>
          <w:szCs w:val="21"/>
          <w:highlight w:val="none"/>
        </w:rPr>
      </w:pPr>
      <w:bookmarkStart w:id="18" w:name="_Toc6426"/>
      <w:bookmarkStart w:id="19" w:name="_Toc4928"/>
      <w:bookmarkStart w:id="20" w:name="_Toc18875"/>
      <w:bookmarkStart w:id="21" w:name="_Toc41375497"/>
      <w:r>
        <w:rPr>
          <w:rFonts w:hint="eastAsia" w:ascii="宋体" w:hAnsi="宋体" w:cs="宋体"/>
          <w:b/>
          <w:bCs/>
          <w:color w:val="auto"/>
          <w:sz w:val="21"/>
          <w:szCs w:val="21"/>
          <w:highlight w:val="none"/>
        </w:rPr>
        <w:t>6．技术要求</w:t>
      </w:r>
      <w:bookmarkEnd w:id="18"/>
      <w:bookmarkEnd w:id="19"/>
      <w:bookmarkEnd w:id="20"/>
      <w:bookmarkEnd w:id="21"/>
    </w:p>
    <w:bookmarkEnd w:id="15"/>
    <w:bookmarkEnd w:id="16"/>
    <w:bookmarkEnd w:id="17"/>
    <w:p>
      <w:pPr>
        <w:pageBreakBefore w:val="0"/>
        <w:widowControl/>
        <w:kinsoku/>
        <w:wordWrap/>
        <w:overflowPunct/>
        <w:topLinePunct w:val="0"/>
        <w:autoSpaceDE/>
        <w:autoSpaceDN/>
        <w:bidi w:val="0"/>
        <w:snapToGrid w:val="0"/>
        <w:spacing w:line="460" w:lineRule="exact"/>
        <w:ind w:firstLine="457" w:firstLineChars="218"/>
        <w:jc w:val="left"/>
        <w:textAlignment w:val="auto"/>
        <w:rPr>
          <w:rFonts w:hint="eastAsia" w:ascii="宋体" w:hAnsi="宋体" w:cs="宋体"/>
          <w:bCs/>
          <w:color w:val="auto"/>
          <w:sz w:val="21"/>
          <w:szCs w:val="21"/>
          <w:highlight w:val="none"/>
        </w:rPr>
      </w:pPr>
      <w:r>
        <w:rPr>
          <w:rFonts w:hint="eastAsia" w:ascii="宋体" w:hAnsi="宋体" w:cs="宋体"/>
          <w:bCs/>
          <w:color w:val="auto"/>
          <w:sz w:val="21"/>
          <w:szCs w:val="21"/>
          <w:highlight w:val="none"/>
        </w:rPr>
        <w:t>6.</w:t>
      </w:r>
      <w:r>
        <w:rPr>
          <w:rFonts w:hint="eastAsia" w:ascii="宋体" w:hAnsi="宋体" w:cs="宋体"/>
          <w:bCs/>
          <w:color w:val="auto"/>
          <w:sz w:val="21"/>
          <w:szCs w:val="21"/>
          <w:highlight w:val="none"/>
          <w:lang w:val="en-US" w:eastAsia="zh-CN"/>
        </w:rPr>
        <w:t>1</w:t>
      </w:r>
      <w:r>
        <w:rPr>
          <w:rFonts w:hint="eastAsia" w:ascii="宋体" w:hAnsi="宋体" w:cs="宋体"/>
          <w:bCs/>
          <w:color w:val="auto"/>
          <w:sz w:val="21"/>
          <w:szCs w:val="21"/>
          <w:highlight w:val="none"/>
        </w:rPr>
        <w:t>系统技术要求：按本项目采购文件采购需求执行，如乙方投标文件优于采购文件的按乙方投标文件条款执行。</w:t>
      </w:r>
    </w:p>
    <w:p>
      <w:pPr>
        <w:pageBreakBefore w:val="0"/>
        <w:widowControl/>
        <w:kinsoku/>
        <w:wordWrap/>
        <w:overflowPunct/>
        <w:topLinePunct w:val="0"/>
        <w:autoSpaceDE/>
        <w:autoSpaceDN/>
        <w:bidi w:val="0"/>
        <w:snapToGrid w:val="0"/>
        <w:spacing w:line="460" w:lineRule="exact"/>
        <w:ind w:firstLine="457" w:firstLineChars="218"/>
        <w:jc w:val="left"/>
        <w:textAlignment w:val="auto"/>
        <w:rPr>
          <w:rFonts w:hint="eastAsia" w:ascii="宋体" w:hAnsi="宋体" w:cs="宋体"/>
          <w:bCs/>
          <w:color w:val="auto"/>
          <w:sz w:val="21"/>
          <w:szCs w:val="21"/>
          <w:highlight w:val="none"/>
        </w:rPr>
      </w:pPr>
      <w:r>
        <w:rPr>
          <w:rFonts w:hint="eastAsia" w:ascii="宋体" w:hAnsi="宋体" w:cs="宋体"/>
          <w:bCs/>
          <w:color w:val="auto"/>
          <w:sz w:val="21"/>
          <w:szCs w:val="21"/>
          <w:highlight w:val="none"/>
        </w:rPr>
        <w:t>6.</w:t>
      </w:r>
      <w:r>
        <w:rPr>
          <w:rFonts w:hint="eastAsia" w:ascii="宋体" w:hAnsi="宋体" w:cs="宋体"/>
          <w:bCs/>
          <w:color w:val="auto"/>
          <w:sz w:val="21"/>
          <w:szCs w:val="21"/>
          <w:highlight w:val="none"/>
          <w:lang w:val="en-US" w:eastAsia="zh-CN"/>
        </w:rPr>
        <w:t>2</w:t>
      </w:r>
      <w:r>
        <w:rPr>
          <w:rFonts w:hint="eastAsia" w:ascii="宋体" w:hAnsi="宋体" w:cs="宋体"/>
          <w:bCs/>
          <w:color w:val="auto"/>
          <w:sz w:val="21"/>
          <w:szCs w:val="21"/>
          <w:highlight w:val="none"/>
        </w:rPr>
        <w:t>系统功能需求：按本项目采购文件采购需求执行，如乙方投标文件优于采购文件的按乙方投标文件条款执行 。</w:t>
      </w:r>
    </w:p>
    <w:p>
      <w:pPr>
        <w:pageBreakBefore w:val="0"/>
        <w:widowControl/>
        <w:kinsoku/>
        <w:wordWrap/>
        <w:overflowPunct/>
        <w:topLinePunct w:val="0"/>
        <w:autoSpaceDE/>
        <w:autoSpaceDN/>
        <w:bidi w:val="0"/>
        <w:snapToGrid w:val="0"/>
        <w:spacing w:line="460" w:lineRule="exact"/>
        <w:ind w:firstLine="457" w:firstLineChars="218"/>
        <w:jc w:val="left"/>
        <w:textAlignment w:val="auto"/>
        <w:rPr>
          <w:rFonts w:hint="eastAsia" w:ascii="宋体" w:hAnsi="宋体" w:cs="宋体"/>
          <w:bCs/>
          <w:color w:val="auto"/>
          <w:sz w:val="21"/>
          <w:szCs w:val="21"/>
          <w:highlight w:val="none"/>
        </w:rPr>
      </w:pPr>
      <w:r>
        <w:rPr>
          <w:rFonts w:hint="eastAsia" w:ascii="宋体" w:hAnsi="宋体" w:cs="宋体"/>
          <w:bCs/>
          <w:color w:val="auto"/>
          <w:sz w:val="21"/>
          <w:szCs w:val="21"/>
          <w:highlight w:val="none"/>
        </w:rPr>
        <w:t>6.</w:t>
      </w:r>
      <w:r>
        <w:rPr>
          <w:rFonts w:hint="eastAsia" w:ascii="宋体" w:hAnsi="宋体" w:cs="宋体"/>
          <w:bCs/>
          <w:color w:val="auto"/>
          <w:sz w:val="21"/>
          <w:szCs w:val="21"/>
          <w:highlight w:val="none"/>
          <w:lang w:val="en-US" w:eastAsia="zh-CN"/>
        </w:rPr>
        <w:t>3</w:t>
      </w:r>
      <w:r>
        <w:rPr>
          <w:rFonts w:hint="eastAsia" w:ascii="宋体" w:hAnsi="宋体" w:cs="宋体"/>
          <w:bCs/>
          <w:color w:val="auto"/>
          <w:sz w:val="21"/>
          <w:szCs w:val="21"/>
          <w:highlight w:val="none"/>
        </w:rPr>
        <w:t>具体设备采购及要求：按本项目采购文件采购需求执行，如乙方投标文件优于采购文件的按乙方投标文件条款执行。</w:t>
      </w:r>
    </w:p>
    <w:p>
      <w:pPr>
        <w:pageBreakBefore w:val="0"/>
        <w:widowControl/>
        <w:kinsoku/>
        <w:wordWrap/>
        <w:overflowPunct/>
        <w:topLinePunct w:val="0"/>
        <w:autoSpaceDE/>
        <w:autoSpaceDN/>
        <w:bidi w:val="0"/>
        <w:snapToGrid w:val="0"/>
        <w:spacing w:line="460" w:lineRule="exact"/>
        <w:ind w:firstLine="457" w:firstLineChars="218"/>
        <w:jc w:val="left"/>
        <w:textAlignment w:val="auto"/>
        <w:rPr>
          <w:rFonts w:hint="eastAsia" w:ascii="宋体" w:hAnsi="宋体" w:cs="宋体"/>
          <w:bCs/>
          <w:color w:val="auto"/>
          <w:sz w:val="21"/>
          <w:szCs w:val="21"/>
          <w:highlight w:val="none"/>
        </w:rPr>
      </w:pPr>
      <w:r>
        <w:rPr>
          <w:rFonts w:hint="eastAsia" w:ascii="宋体" w:hAnsi="宋体" w:cs="宋体"/>
          <w:bCs/>
          <w:color w:val="auto"/>
          <w:sz w:val="21"/>
          <w:szCs w:val="21"/>
          <w:highlight w:val="none"/>
        </w:rPr>
        <w:t>6.</w:t>
      </w:r>
      <w:r>
        <w:rPr>
          <w:rFonts w:hint="eastAsia" w:ascii="宋体" w:hAnsi="宋体" w:cs="宋体"/>
          <w:bCs/>
          <w:color w:val="auto"/>
          <w:sz w:val="21"/>
          <w:szCs w:val="21"/>
          <w:highlight w:val="none"/>
          <w:lang w:val="en-US" w:eastAsia="zh-CN"/>
        </w:rPr>
        <w:t>4</w:t>
      </w:r>
      <w:r>
        <w:rPr>
          <w:rFonts w:hint="eastAsia" w:ascii="宋体" w:hAnsi="宋体" w:cs="宋体"/>
          <w:bCs/>
          <w:color w:val="auto"/>
          <w:sz w:val="21"/>
          <w:szCs w:val="21"/>
          <w:highlight w:val="none"/>
        </w:rPr>
        <w:t>技术资料：乙方应及时向甲方提供使用货物、软件等有关的技术资料。</w:t>
      </w:r>
    </w:p>
    <w:p>
      <w:pPr>
        <w:pageBreakBefore w:val="0"/>
        <w:widowControl/>
        <w:kinsoku/>
        <w:wordWrap/>
        <w:overflowPunct/>
        <w:topLinePunct w:val="0"/>
        <w:autoSpaceDE/>
        <w:autoSpaceDN/>
        <w:bidi w:val="0"/>
        <w:snapToGrid w:val="0"/>
        <w:spacing w:line="460" w:lineRule="exact"/>
        <w:ind w:firstLine="457" w:firstLineChars="218"/>
        <w:jc w:val="left"/>
        <w:textAlignment w:val="auto"/>
        <w:rPr>
          <w:rFonts w:hint="eastAsia" w:ascii="宋体" w:hAnsi="宋体" w:cs="宋体"/>
          <w:bCs/>
          <w:color w:val="auto"/>
          <w:sz w:val="21"/>
          <w:szCs w:val="21"/>
          <w:highlight w:val="none"/>
        </w:rPr>
      </w:pPr>
      <w:r>
        <w:rPr>
          <w:rFonts w:hint="eastAsia" w:ascii="宋体" w:hAnsi="宋体" w:cs="宋体"/>
          <w:bCs/>
          <w:color w:val="auto"/>
          <w:sz w:val="21"/>
          <w:szCs w:val="21"/>
          <w:highlight w:val="none"/>
        </w:rPr>
        <w:t>6.</w:t>
      </w:r>
      <w:r>
        <w:rPr>
          <w:rFonts w:hint="eastAsia" w:ascii="宋体" w:hAnsi="宋体" w:cs="宋体"/>
          <w:bCs/>
          <w:color w:val="auto"/>
          <w:sz w:val="21"/>
          <w:szCs w:val="21"/>
          <w:highlight w:val="none"/>
          <w:lang w:val="en-US" w:eastAsia="zh-CN"/>
        </w:rPr>
        <w:t>5</w:t>
      </w:r>
      <w:r>
        <w:rPr>
          <w:rFonts w:hint="eastAsia" w:ascii="宋体" w:hAnsi="宋体" w:cs="宋体"/>
          <w:bCs/>
          <w:color w:val="auto"/>
          <w:sz w:val="21"/>
          <w:szCs w:val="21"/>
          <w:highlight w:val="none"/>
        </w:rPr>
        <w:t xml:space="preserve"> 培训：乙方须为使用相关人员进行使用培训，包括安装和操作，使</w:t>
      </w:r>
      <w:r>
        <w:rPr>
          <w:rFonts w:hint="eastAsia" w:ascii="宋体" w:hAnsi="宋体" w:cs="宋体"/>
          <w:bCs/>
          <w:color w:val="auto"/>
          <w:sz w:val="21"/>
          <w:szCs w:val="21"/>
          <w:highlight w:val="none"/>
          <w:lang w:val="en-US" w:eastAsia="zh-CN"/>
        </w:rPr>
        <w:t>用</w:t>
      </w:r>
      <w:r>
        <w:rPr>
          <w:rFonts w:hint="eastAsia" w:ascii="宋体" w:hAnsi="宋体" w:cs="宋体"/>
          <w:bCs/>
          <w:color w:val="auto"/>
          <w:sz w:val="21"/>
          <w:szCs w:val="21"/>
          <w:highlight w:val="none"/>
        </w:rPr>
        <w:t>相关人员能够尽快熟练操作使用。</w:t>
      </w:r>
    </w:p>
    <w:p>
      <w:pPr>
        <w:keepNext/>
        <w:keepLines/>
        <w:pageBreakBefore w:val="0"/>
        <w:kinsoku/>
        <w:wordWrap/>
        <w:overflowPunct/>
        <w:topLinePunct w:val="0"/>
        <w:autoSpaceDE/>
        <w:autoSpaceDN/>
        <w:bidi w:val="0"/>
        <w:snapToGrid w:val="0"/>
        <w:spacing w:line="460" w:lineRule="exact"/>
        <w:ind w:firstLine="422" w:firstLineChars="200"/>
        <w:textAlignment w:val="auto"/>
        <w:outlineLvl w:val="1"/>
        <w:rPr>
          <w:rFonts w:hint="eastAsia" w:ascii="宋体" w:hAnsi="宋体" w:cs="宋体"/>
          <w:b/>
          <w:bCs/>
          <w:color w:val="auto"/>
          <w:sz w:val="21"/>
          <w:szCs w:val="21"/>
          <w:highlight w:val="none"/>
        </w:rPr>
      </w:pPr>
      <w:bookmarkStart w:id="22" w:name="_Toc17404"/>
      <w:bookmarkStart w:id="23" w:name="_Toc31362"/>
      <w:bookmarkStart w:id="24" w:name="_Toc41375498"/>
      <w:bookmarkStart w:id="25" w:name="_Toc30517"/>
      <w:r>
        <w:rPr>
          <w:rFonts w:hint="eastAsia" w:ascii="宋体" w:hAnsi="宋体" w:cs="宋体"/>
          <w:b/>
          <w:bCs/>
          <w:color w:val="auto"/>
          <w:sz w:val="21"/>
          <w:szCs w:val="21"/>
          <w:highlight w:val="none"/>
        </w:rPr>
        <w:t>7．</w:t>
      </w:r>
      <w:bookmarkEnd w:id="22"/>
      <w:r>
        <w:rPr>
          <w:rFonts w:hint="eastAsia" w:ascii="宋体" w:hAnsi="宋体" w:cs="宋体"/>
          <w:b/>
          <w:bCs/>
          <w:color w:val="auto"/>
          <w:sz w:val="21"/>
          <w:szCs w:val="21"/>
          <w:highlight w:val="none"/>
        </w:rPr>
        <w:t>项目实施要求</w:t>
      </w:r>
      <w:bookmarkEnd w:id="23"/>
      <w:bookmarkEnd w:id="24"/>
      <w:bookmarkEnd w:id="25"/>
    </w:p>
    <w:p>
      <w:pPr>
        <w:pageBreakBefore w:val="0"/>
        <w:widowControl/>
        <w:kinsoku/>
        <w:wordWrap/>
        <w:overflowPunct/>
        <w:topLinePunct w:val="0"/>
        <w:autoSpaceDE/>
        <w:autoSpaceDN/>
        <w:bidi w:val="0"/>
        <w:snapToGrid w:val="0"/>
        <w:spacing w:line="460" w:lineRule="exact"/>
        <w:ind w:firstLine="457" w:firstLineChars="218"/>
        <w:jc w:val="left"/>
        <w:textAlignment w:val="auto"/>
        <w:rPr>
          <w:rFonts w:hint="eastAsia" w:ascii="宋体" w:hAnsi="宋体" w:cs="宋体"/>
          <w:bCs/>
          <w:color w:val="auto"/>
          <w:sz w:val="21"/>
          <w:szCs w:val="21"/>
          <w:highlight w:val="none"/>
        </w:rPr>
      </w:pPr>
      <w:r>
        <w:rPr>
          <w:rFonts w:hint="eastAsia" w:ascii="宋体" w:hAnsi="宋体" w:cs="宋体"/>
          <w:bCs/>
          <w:color w:val="auto"/>
          <w:sz w:val="21"/>
          <w:szCs w:val="21"/>
          <w:highlight w:val="none"/>
        </w:rPr>
        <w:t>7.1知识产权：项目成果所有权和使用权均属于甲方所有。乙方不得以任何理由留存或抵押，否则承担由此产生的一切法律和经济责任。未经甲方书面同意，任何单位和个人不得转让和使用本项目成果。</w:t>
      </w:r>
    </w:p>
    <w:p>
      <w:pPr>
        <w:pageBreakBefore w:val="0"/>
        <w:widowControl/>
        <w:kinsoku/>
        <w:wordWrap/>
        <w:overflowPunct/>
        <w:topLinePunct w:val="0"/>
        <w:autoSpaceDE/>
        <w:autoSpaceDN/>
        <w:bidi w:val="0"/>
        <w:snapToGrid w:val="0"/>
        <w:spacing w:line="460" w:lineRule="exact"/>
        <w:ind w:firstLine="457" w:firstLineChars="218"/>
        <w:jc w:val="left"/>
        <w:textAlignment w:val="auto"/>
        <w:rPr>
          <w:rFonts w:hint="eastAsia" w:ascii="宋体" w:hAnsi="宋体" w:cs="宋体"/>
          <w:bCs/>
          <w:color w:val="auto"/>
          <w:sz w:val="21"/>
          <w:szCs w:val="21"/>
          <w:highlight w:val="none"/>
        </w:rPr>
      </w:pPr>
      <w:r>
        <w:rPr>
          <w:rFonts w:hint="eastAsia" w:ascii="宋体" w:hAnsi="宋体" w:cs="宋体"/>
          <w:bCs/>
          <w:color w:val="auto"/>
          <w:sz w:val="21"/>
          <w:szCs w:val="21"/>
          <w:highlight w:val="none"/>
        </w:rPr>
        <w:t>7.2资料档案及保密要求：</w:t>
      </w:r>
    </w:p>
    <w:p>
      <w:pPr>
        <w:pageBreakBefore w:val="0"/>
        <w:widowControl/>
        <w:kinsoku/>
        <w:wordWrap/>
        <w:overflowPunct/>
        <w:topLinePunct w:val="0"/>
        <w:autoSpaceDE/>
        <w:autoSpaceDN/>
        <w:bidi w:val="0"/>
        <w:snapToGrid w:val="0"/>
        <w:spacing w:line="460" w:lineRule="exact"/>
        <w:ind w:firstLine="457" w:firstLineChars="218"/>
        <w:jc w:val="left"/>
        <w:textAlignment w:val="auto"/>
        <w:rPr>
          <w:rFonts w:hint="eastAsia" w:ascii="宋体" w:hAnsi="宋体" w:cs="宋体"/>
          <w:bCs/>
          <w:color w:val="auto"/>
          <w:sz w:val="21"/>
          <w:szCs w:val="21"/>
          <w:highlight w:val="none"/>
        </w:rPr>
      </w:pPr>
      <w:r>
        <w:rPr>
          <w:rFonts w:hint="eastAsia" w:ascii="宋体" w:hAnsi="宋体" w:cs="宋体"/>
          <w:bCs/>
          <w:color w:val="auto"/>
          <w:sz w:val="21"/>
          <w:szCs w:val="21"/>
          <w:highlight w:val="none"/>
        </w:rPr>
        <w:t>（1）乙方应当遵守相关保密</w:t>
      </w:r>
      <w:r>
        <w:rPr>
          <w:rFonts w:hint="eastAsia" w:ascii="宋体" w:hAnsi="宋体" w:cs="宋体"/>
          <w:bCs/>
          <w:color w:val="auto"/>
          <w:sz w:val="21"/>
          <w:szCs w:val="21"/>
          <w:highlight w:val="none"/>
          <w:lang w:eastAsia="zh-CN"/>
        </w:rPr>
        <w:t>法律法规</w:t>
      </w:r>
      <w:r>
        <w:rPr>
          <w:rFonts w:hint="eastAsia" w:ascii="宋体" w:hAnsi="宋体" w:cs="宋体"/>
          <w:bCs/>
          <w:color w:val="auto"/>
          <w:sz w:val="21"/>
          <w:szCs w:val="21"/>
          <w:highlight w:val="none"/>
        </w:rPr>
        <w:t>，确保甲方及被执法单位的信息安全，乙方需与甲方签订保密协议。</w:t>
      </w:r>
    </w:p>
    <w:p>
      <w:pPr>
        <w:pStyle w:val="13"/>
        <w:pageBreakBefore w:val="0"/>
        <w:kinsoku/>
        <w:wordWrap/>
        <w:overflowPunct/>
        <w:topLinePunct w:val="0"/>
        <w:autoSpaceDE/>
        <w:autoSpaceDN/>
        <w:bidi w:val="0"/>
        <w:spacing w:line="460" w:lineRule="exact"/>
        <w:ind w:firstLine="420" w:firstLineChars="200"/>
        <w:textAlignment w:val="auto"/>
        <w:rPr>
          <w:rFonts w:hint="eastAsia" w:ascii="宋体" w:hAnsi="宋体" w:cs="宋体"/>
          <w:bCs/>
          <w:color w:val="auto"/>
          <w:sz w:val="21"/>
          <w:szCs w:val="21"/>
          <w:highlight w:val="none"/>
        </w:rPr>
      </w:pPr>
      <w:r>
        <w:rPr>
          <w:rFonts w:hint="eastAsia" w:ascii="宋体" w:hAnsi="宋体" w:cs="宋体"/>
          <w:bCs/>
          <w:color w:val="auto"/>
          <w:sz w:val="21"/>
          <w:szCs w:val="21"/>
          <w:highlight w:val="none"/>
        </w:rPr>
        <w:t>（2）乙方必须将技术（服务）成果送到指定地点，各项技术参数及成果必须满足甲方的要求</w:t>
      </w:r>
      <w:r>
        <w:rPr>
          <w:rStyle w:val="47"/>
          <w:rFonts w:hint="eastAsia" w:ascii="宋体" w:hAnsi="宋体" w:cs="宋体"/>
          <w:color w:val="auto"/>
          <w:highlight w:val="none"/>
        </w:rPr>
        <w:t>并</w:t>
      </w:r>
      <w:r>
        <w:rPr>
          <w:rFonts w:hint="eastAsia" w:ascii="宋体" w:hAnsi="宋体" w:cs="宋体"/>
          <w:color w:val="auto"/>
          <w:sz w:val="21"/>
          <w:szCs w:val="21"/>
          <w:highlight w:val="none"/>
        </w:rPr>
        <w:t>符合国家标准，达到</w:t>
      </w:r>
      <w:r>
        <w:rPr>
          <w:rFonts w:hint="eastAsia" w:ascii="宋体" w:hAnsi="宋体" w:cs="宋体"/>
          <w:color w:val="auto"/>
          <w:sz w:val="21"/>
          <w:szCs w:val="21"/>
          <w:highlight w:val="none"/>
          <w:lang w:eastAsia="zh-CN"/>
        </w:rPr>
        <w:t>使用</w:t>
      </w:r>
      <w:r>
        <w:rPr>
          <w:rFonts w:hint="eastAsia" w:ascii="宋体" w:hAnsi="宋体" w:cs="宋体"/>
          <w:color w:val="auto"/>
          <w:sz w:val="21"/>
          <w:szCs w:val="21"/>
          <w:highlight w:val="none"/>
        </w:rPr>
        <w:t>效果</w:t>
      </w:r>
      <w:r>
        <w:rPr>
          <w:rFonts w:hint="eastAsia" w:ascii="宋体" w:hAnsi="宋体" w:cs="宋体"/>
          <w:bCs/>
          <w:color w:val="auto"/>
          <w:sz w:val="21"/>
          <w:szCs w:val="21"/>
          <w:highlight w:val="none"/>
        </w:rPr>
        <w:t>。</w:t>
      </w:r>
    </w:p>
    <w:p>
      <w:pPr>
        <w:pageBreakBefore w:val="0"/>
        <w:widowControl/>
        <w:kinsoku/>
        <w:wordWrap/>
        <w:overflowPunct/>
        <w:topLinePunct w:val="0"/>
        <w:autoSpaceDE/>
        <w:autoSpaceDN/>
        <w:bidi w:val="0"/>
        <w:snapToGrid w:val="0"/>
        <w:spacing w:line="460" w:lineRule="exact"/>
        <w:ind w:firstLine="457" w:firstLineChars="218"/>
        <w:jc w:val="left"/>
        <w:textAlignment w:val="auto"/>
        <w:rPr>
          <w:rFonts w:hint="eastAsia" w:ascii="宋体" w:hAnsi="宋体" w:cs="宋体"/>
          <w:bCs/>
          <w:color w:val="auto"/>
          <w:sz w:val="21"/>
          <w:szCs w:val="21"/>
          <w:highlight w:val="none"/>
        </w:rPr>
      </w:pPr>
      <w:r>
        <w:rPr>
          <w:rFonts w:hint="eastAsia" w:ascii="宋体" w:hAnsi="宋体" w:cs="宋体"/>
          <w:bCs/>
          <w:color w:val="auto"/>
          <w:sz w:val="21"/>
          <w:szCs w:val="21"/>
          <w:highlight w:val="none"/>
        </w:rPr>
        <w:t>7.</w:t>
      </w:r>
      <w:r>
        <w:rPr>
          <w:rFonts w:hint="eastAsia" w:ascii="宋体" w:hAnsi="宋体" w:cs="宋体"/>
          <w:bCs/>
          <w:color w:val="auto"/>
          <w:sz w:val="21"/>
          <w:szCs w:val="21"/>
          <w:highlight w:val="none"/>
          <w:lang w:val="en-US" w:eastAsia="zh-CN"/>
        </w:rPr>
        <w:t>3</w:t>
      </w:r>
      <w:r>
        <w:rPr>
          <w:rFonts w:hint="eastAsia" w:ascii="宋体" w:hAnsi="宋体" w:cs="宋体"/>
          <w:bCs/>
          <w:color w:val="auto"/>
          <w:sz w:val="21"/>
          <w:szCs w:val="21"/>
          <w:highlight w:val="none"/>
        </w:rPr>
        <w:t>其他服务承诺：在合同执行期间，如服务计划书中的承诺标准低于国家新颁布的技术标准及要求时，则乙方应该按照新颁布的标准执行。</w:t>
      </w:r>
    </w:p>
    <w:p>
      <w:pPr>
        <w:keepNext/>
        <w:keepLines/>
        <w:pageBreakBefore w:val="0"/>
        <w:kinsoku/>
        <w:wordWrap/>
        <w:overflowPunct/>
        <w:topLinePunct w:val="0"/>
        <w:autoSpaceDE/>
        <w:autoSpaceDN/>
        <w:bidi w:val="0"/>
        <w:snapToGrid w:val="0"/>
        <w:spacing w:line="460" w:lineRule="exact"/>
        <w:ind w:firstLine="422" w:firstLineChars="200"/>
        <w:textAlignment w:val="auto"/>
        <w:outlineLvl w:val="1"/>
        <w:rPr>
          <w:rFonts w:hint="eastAsia" w:ascii="宋体" w:hAnsi="宋体" w:cs="宋体"/>
          <w:b/>
          <w:bCs/>
          <w:color w:val="auto"/>
          <w:sz w:val="21"/>
          <w:szCs w:val="21"/>
          <w:highlight w:val="none"/>
        </w:rPr>
      </w:pPr>
      <w:bookmarkStart w:id="26" w:name="_Toc24744"/>
      <w:bookmarkStart w:id="27" w:name="_Toc9616"/>
      <w:bookmarkStart w:id="28" w:name="_Toc7362"/>
      <w:bookmarkStart w:id="29" w:name="_Toc41375499"/>
      <w:r>
        <w:rPr>
          <w:rFonts w:hint="eastAsia" w:ascii="宋体" w:hAnsi="宋体" w:cs="宋体"/>
          <w:b/>
          <w:bCs/>
          <w:color w:val="auto"/>
          <w:sz w:val="21"/>
          <w:szCs w:val="21"/>
          <w:highlight w:val="none"/>
        </w:rPr>
        <w:t>8．</w:t>
      </w:r>
      <w:bookmarkEnd w:id="26"/>
      <w:r>
        <w:rPr>
          <w:rFonts w:hint="eastAsia" w:ascii="宋体" w:hAnsi="宋体" w:cs="宋体"/>
          <w:b/>
          <w:bCs/>
          <w:color w:val="auto"/>
          <w:sz w:val="21"/>
          <w:szCs w:val="21"/>
          <w:highlight w:val="none"/>
        </w:rPr>
        <w:t>质量保证</w:t>
      </w:r>
      <w:bookmarkEnd w:id="27"/>
      <w:bookmarkEnd w:id="28"/>
      <w:bookmarkEnd w:id="29"/>
    </w:p>
    <w:p>
      <w:pPr>
        <w:pageBreakBefore w:val="0"/>
        <w:widowControl/>
        <w:kinsoku/>
        <w:wordWrap/>
        <w:overflowPunct/>
        <w:topLinePunct w:val="0"/>
        <w:autoSpaceDE/>
        <w:autoSpaceDN/>
        <w:bidi w:val="0"/>
        <w:snapToGrid w:val="0"/>
        <w:spacing w:line="460" w:lineRule="exact"/>
        <w:ind w:firstLine="457" w:firstLineChars="218"/>
        <w:jc w:val="left"/>
        <w:textAlignment w:val="auto"/>
        <w:rPr>
          <w:rFonts w:hint="eastAsia" w:ascii="宋体" w:hAnsi="宋体" w:cs="宋体"/>
          <w:bCs/>
          <w:color w:val="auto"/>
          <w:sz w:val="21"/>
          <w:szCs w:val="21"/>
          <w:highlight w:val="none"/>
        </w:rPr>
      </w:pPr>
      <w:r>
        <w:rPr>
          <w:rFonts w:hint="eastAsia" w:ascii="宋体" w:hAnsi="宋体" w:cs="宋体"/>
          <w:bCs/>
          <w:color w:val="auto"/>
          <w:sz w:val="21"/>
          <w:szCs w:val="21"/>
          <w:highlight w:val="none"/>
        </w:rPr>
        <w:t>8.1乙方应按采购文件规定的货物性能、技术要求、质量标准向甲方提供未经使用的全新产品。</w:t>
      </w:r>
    </w:p>
    <w:p>
      <w:pPr>
        <w:pageBreakBefore w:val="0"/>
        <w:widowControl/>
        <w:kinsoku/>
        <w:wordWrap/>
        <w:overflowPunct/>
        <w:topLinePunct w:val="0"/>
        <w:autoSpaceDE/>
        <w:autoSpaceDN/>
        <w:bidi w:val="0"/>
        <w:snapToGrid w:val="0"/>
        <w:spacing w:line="460" w:lineRule="exact"/>
        <w:ind w:firstLine="457" w:firstLineChars="218"/>
        <w:jc w:val="left"/>
        <w:textAlignment w:val="auto"/>
        <w:rPr>
          <w:rFonts w:hint="eastAsia" w:ascii="宋体" w:hAnsi="宋体" w:cs="宋体"/>
          <w:bCs/>
          <w:color w:val="auto"/>
          <w:sz w:val="21"/>
          <w:szCs w:val="21"/>
          <w:highlight w:val="none"/>
        </w:rPr>
      </w:pPr>
      <w:r>
        <w:rPr>
          <w:rFonts w:hint="eastAsia" w:ascii="宋体" w:hAnsi="宋体" w:cs="宋体"/>
          <w:bCs/>
          <w:color w:val="auto"/>
          <w:sz w:val="21"/>
          <w:szCs w:val="21"/>
          <w:highlight w:val="none"/>
        </w:rPr>
        <w:t>8.2乙方提供的货物在质保期内因货物本身的质量问题发生故障，乙方应负责免费更换。对达不到技术要求者，根据实际情况，经双方协商，可按以下办法处理：</w:t>
      </w:r>
    </w:p>
    <w:p>
      <w:pPr>
        <w:pageBreakBefore w:val="0"/>
        <w:widowControl/>
        <w:kinsoku/>
        <w:wordWrap/>
        <w:overflowPunct/>
        <w:topLinePunct w:val="0"/>
        <w:autoSpaceDE/>
        <w:autoSpaceDN/>
        <w:bidi w:val="0"/>
        <w:snapToGrid w:val="0"/>
        <w:spacing w:line="460" w:lineRule="exact"/>
        <w:ind w:firstLine="457" w:firstLineChars="218"/>
        <w:jc w:val="left"/>
        <w:textAlignment w:val="auto"/>
        <w:rPr>
          <w:rFonts w:hint="eastAsia" w:ascii="宋体" w:hAnsi="宋体" w:cs="宋体"/>
          <w:bCs/>
          <w:color w:val="auto"/>
          <w:sz w:val="21"/>
          <w:szCs w:val="21"/>
          <w:highlight w:val="none"/>
        </w:rPr>
      </w:pPr>
      <w:r>
        <w:rPr>
          <w:rFonts w:hint="eastAsia" w:ascii="宋体" w:hAnsi="宋体" w:cs="宋体"/>
          <w:bCs/>
          <w:color w:val="auto"/>
          <w:sz w:val="21"/>
          <w:szCs w:val="21"/>
          <w:highlight w:val="none"/>
        </w:rPr>
        <w:t>⑴更换：由乙方承担所发生的全部费用。</w:t>
      </w:r>
    </w:p>
    <w:p>
      <w:pPr>
        <w:pageBreakBefore w:val="0"/>
        <w:widowControl/>
        <w:kinsoku/>
        <w:wordWrap/>
        <w:overflowPunct/>
        <w:topLinePunct w:val="0"/>
        <w:autoSpaceDE/>
        <w:autoSpaceDN/>
        <w:bidi w:val="0"/>
        <w:snapToGrid w:val="0"/>
        <w:spacing w:line="460" w:lineRule="exact"/>
        <w:ind w:firstLine="457" w:firstLineChars="218"/>
        <w:jc w:val="left"/>
        <w:textAlignment w:val="auto"/>
        <w:rPr>
          <w:rFonts w:hint="eastAsia" w:ascii="宋体" w:hAnsi="宋体" w:cs="宋体"/>
          <w:bCs/>
          <w:color w:val="auto"/>
          <w:sz w:val="21"/>
          <w:szCs w:val="21"/>
          <w:highlight w:val="none"/>
        </w:rPr>
      </w:pPr>
      <w:r>
        <w:rPr>
          <w:rFonts w:hint="eastAsia" w:ascii="宋体" w:hAnsi="宋体" w:cs="宋体"/>
          <w:bCs/>
          <w:color w:val="auto"/>
          <w:sz w:val="21"/>
          <w:szCs w:val="21"/>
          <w:highlight w:val="none"/>
        </w:rPr>
        <w:t>⑵贬值处理：由甲乙双方合议定价。</w:t>
      </w:r>
    </w:p>
    <w:p>
      <w:pPr>
        <w:pageBreakBefore w:val="0"/>
        <w:widowControl/>
        <w:kinsoku/>
        <w:wordWrap/>
        <w:overflowPunct/>
        <w:topLinePunct w:val="0"/>
        <w:autoSpaceDE/>
        <w:autoSpaceDN/>
        <w:bidi w:val="0"/>
        <w:snapToGrid w:val="0"/>
        <w:spacing w:line="460" w:lineRule="exact"/>
        <w:ind w:firstLine="457" w:firstLineChars="218"/>
        <w:jc w:val="left"/>
        <w:textAlignment w:val="auto"/>
        <w:rPr>
          <w:rFonts w:hint="eastAsia" w:ascii="宋体" w:hAnsi="宋体" w:cs="宋体"/>
          <w:bCs/>
          <w:color w:val="auto"/>
          <w:sz w:val="21"/>
          <w:szCs w:val="21"/>
          <w:highlight w:val="none"/>
        </w:rPr>
      </w:pPr>
      <w:r>
        <w:rPr>
          <w:rFonts w:hint="eastAsia" w:ascii="宋体" w:hAnsi="宋体" w:cs="宋体"/>
          <w:bCs/>
          <w:color w:val="auto"/>
          <w:sz w:val="21"/>
          <w:szCs w:val="21"/>
          <w:highlight w:val="none"/>
        </w:rPr>
        <w:t>⑶退货处理：乙方应退还甲方支付的合同款，同时应承担该货物的直接费用（运输、保险、检验、</w:t>
      </w:r>
      <w:r>
        <w:rPr>
          <w:rFonts w:hint="eastAsia" w:ascii="宋体" w:hAnsi="宋体" w:cs="宋体"/>
          <w:bCs/>
          <w:color w:val="auto"/>
          <w:sz w:val="21"/>
          <w:szCs w:val="21"/>
          <w:highlight w:val="none"/>
          <w:lang w:eastAsia="zh-CN"/>
        </w:rPr>
        <w:t>贷款利息</w:t>
      </w:r>
      <w:r>
        <w:rPr>
          <w:rFonts w:hint="eastAsia" w:ascii="宋体" w:hAnsi="宋体" w:cs="宋体"/>
          <w:bCs/>
          <w:color w:val="auto"/>
          <w:sz w:val="21"/>
          <w:szCs w:val="21"/>
          <w:highlight w:val="none"/>
        </w:rPr>
        <w:t>及银行手续费等）。</w:t>
      </w:r>
    </w:p>
    <w:p>
      <w:pPr>
        <w:pageBreakBefore w:val="0"/>
        <w:widowControl/>
        <w:kinsoku/>
        <w:wordWrap/>
        <w:overflowPunct/>
        <w:topLinePunct w:val="0"/>
        <w:autoSpaceDE/>
        <w:autoSpaceDN/>
        <w:bidi w:val="0"/>
        <w:snapToGrid w:val="0"/>
        <w:spacing w:line="460" w:lineRule="exact"/>
        <w:ind w:firstLine="457" w:firstLineChars="218"/>
        <w:jc w:val="left"/>
        <w:textAlignment w:val="auto"/>
        <w:rPr>
          <w:rFonts w:hint="eastAsia" w:ascii="宋体" w:hAnsi="宋体" w:cs="宋体"/>
          <w:bCs/>
          <w:color w:val="auto"/>
          <w:sz w:val="21"/>
          <w:szCs w:val="21"/>
          <w:highlight w:val="none"/>
        </w:rPr>
      </w:pPr>
      <w:r>
        <w:rPr>
          <w:rFonts w:hint="eastAsia" w:ascii="宋体" w:hAnsi="宋体" w:cs="宋体"/>
          <w:bCs/>
          <w:color w:val="auto"/>
          <w:sz w:val="21"/>
          <w:szCs w:val="21"/>
          <w:highlight w:val="none"/>
        </w:rPr>
        <w:t>8.3如在使用过程中发生质量问题，乙方在接到甲方通知后在4小时内到达甲方现场。</w:t>
      </w:r>
    </w:p>
    <w:p>
      <w:pPr>
        <w:pageBreakBefore w:val="0"/>
        <w:widowControl/>
        <w:kinsoku/>
        <w:wordWrap/>
        <w:overflowPunct/>
        <w:topLinePunct w:val="0"/>
        <w:autoSpaceDE/>
        <w:autoSpaceDN/>
        <w:bidi w:val="0"/>
        <w:snapToGrid w:val="0"/>
        <w:spacing w:line="460" w:lineRule="exact"/>
        <w:ind w:firstLine="457" w:firstLineChars="218"/>
        <w:jc w:val="left"/>
        <w:textAlignment w:val="auto"/>
        <w:rPr>
          <w:rFonts w:hint="eastAsia" w:ascii="宋体" w:hAnsi="宋体" w:cs="宋体"/>
          <w:bCs/>
          <w:color w:val="auto"/>
          <w:sz w:val="21"/>
          <w:szCs w:val="21"/>
          <w:highlight w:val="none"/>
        </w:rPr>
      </w:pPr>
      <w:r>
        <w:rPr>
          <w:rFonts w:hint="eastAsia" w:ascii="宋体" w:hAnsi="宋体" w:cs="宋体"/>
          <w:bCs/>
          <w:color w:val="auto"/>
          <w:sz w:val="21"/>
          <w:szCs w:val="21"/>
          <w:highlight w:val="none"/>
        </w:rPr>
        <w:t>8.4在质保期内，乙方应对货物出现的质量及安全问题负责处理解决并承担一切费用。</w:t>
      </w:r>
    </w:p>
    <w:p>
      <w:pPr>
        <w:pageBreakBefore w:val="0"/>
        <w:widowControl/>
        <w:kinsoku/>
        <w:wordWrap/>
        <w:overflowPunct/>
        <w:topLinePunct w:val="0"/>
        <w:autoSpaceDE/>
        <w:autoSpaceDN/>
        <w:bidi w:val="0"/>
        <w:snapToGrid w:val="0"/>
        <w:spacing w:line="460" w:lineRule="exact"/>
        <w:ind w:firstLine="457" w:firstLineChars="218"/>
        <w:jc w:val="left"/>
        <w:textAlignment w:val="auto"/>
        <w:rPr>
          <w:rFonts w:hint="eastAsia" w:ascii="宋体" w:hAnsi="宋体" w:cs="宋体"/>
          <w:bCs/>
          <w:color w:val="auto"/>
          <w:sz w:val="21"/>
          <w:szCs w:val="21"/>
          <w:highlight w:val="none"/>
        </w:rPr>
      </w:pPr>
      <w:r>
        <w:rPr>
          <w:rFonts w:hint="eastAsia" w:ascii="宋体" w:hAnsi="宋体" w:cs="宋体"/>
          <w:bCs/>
          <w:color w:val="auto"/>
          <w:sz w:val="21"/>
          <w:szCs w:val="21"/>
          <w:highlight w:val="none"/>
        </w:rPr>
        <w:t>8.5上述的货物免费保修期为</w:t>
      </w:r>
      <w:r>
        <w:rPr>
          <w:rFonts w:hint="eastAsia" w:ascii="宋体" w:hAnsi="宋体" w:cs="宋体"/>
          <w:bCs/>
          <w:color w:val="auto"/>
          <w:sz w:val="21"/>
          <w:szCs w:val="21"/>
          <w:highlight w:val="none"/>
          <w:u w:val="single"/>
        </w:rPr>
        <w:t xml:space="preserve">    年</w:t>
      </w:r>
      <w:r>
        <w:rPr>
          <w:rFonts w:hint="eastAsia" w:ascii="宋体" w:hAnsi="宋体" w:cs="宋体"/>
          <w:bCs/>
          <w:color w:val="auto"/>
          <w:sz w:val="21"/>
          <w:szCs w:val="21"/>
          <w:highlight w:val="none"/>
        </w:rPr>
        <w:t>，因人为因素出现的故障不在免费保修范围内。超过保修期的机器设备，</w:t>
      </w:r>
      <w:r>
        <w:rPr>
          <w:rFonts w:hint="eastAsia" w:ascii="宋体" w:hAnsi="宋体" w:cs="宋体"/>
          <w:bCs/>
          <w:color w:val="auto"/>
          <w:sz w:val="21"/>
          <w:szCs w:val="21"/>
          <w:highlight w:val="none"/>
          <w:lang w:eastAsia="zh-CN"/>
        </w:rPr>
        <w:t>终身维修</w:t>
      </w:r>
      <w:r>
        <w:rPr>
          <w:rFonts w:hint="eastAsia" w:ascii="宋体" w:hAnsi="宋体" w:cs="宋体"/>
          <w:bCs/>
          <w:color w:val="auto"/>
          <w:sz w:val="21"/>
          <w:szCs w:val="21"/>
          <w:highlight w:val="none"/>
        </w:rPr>
        <w:t>，维修时只收部件成本费。</w:t>
      </w:r>
    </w:p>
    <w:p>
      <w:pPr>
        <w:pageBreakBefore w:val="0"/>
        <w:kinsoku/>
        <w:wordWrap/>
        <w:overflowPunct/>
        <w:topLinePunct w:val="0"/>
        <w:autoSpaceDE/>
        <w:autoSpaceDN/>
        <w:bidi w:val="0"/>
        <w:spacing w:line="460" w:lineRule="exact"/>
        <w:ind w:firstLine="422" w:firstLineChars="200"/>
        <w:textAlignment w:val="auto"/>
        <w:rPr>
          <w:rFonts w:hint="eastAsia" w:ascii="宋体" w:hAnsi="宋体" w:cs="宋体"/>
          <w:b/>
          <w:color w:val="auto"/>
          <w:sz w:val="21"/>
          <w:szCs w:val="21"/>
          <w:highlight w:val="none"/>
        </w:rPr>
      </w:pPr>
      <w:bookmarkStart w:id="30" w:name="_Toc32767"/>
      <w:bookmarkStart w:id="31" w:name="_Toc41375500"/>
      <w:bookmarkStart w:id="32" w:name="_Toc709"/>
      <w:bookmarkStart w:id="33" w:name="_Toc3597"/>
      <w:r>
        <w:rPr>
          <w:rFonts w:hint="eastAsia" w:ascii="宋体" w:hAnsi="宋体" w:cs="宋体"/>
          <w:b/>
          <w:color w:val="auto"/>
          <w:sz w:val="21"/>
          <w:szCs w:val="21"/>
          <w:highlight w:val="none"/>
          <w:lang w:val="en-US" w:eastAsia="zh-CN"/>
        </w:rPr>
        <w:t>10</w:t>
      </w:r>
      <w:r>
        <w:rPr>
          <w:rFonts w:hint="eastAsia" w:ascii="宋体" w:hAnsi="宋体" w:cs="宋体"/>
          <w:b/>
          <w:color w:val="auto"/>
          <w:sz w:val="21"/>
          <w:szCs w:val="21"/>
          <w:highlight w:val="none"/>
        </w:rPr>
        <w:t>、验收：</w:t>
      </w:r>
    </w:p>
    <w:p>
      <w:pPr>
        <w:pageBreakBefore w:val="0"/>
        <w:kinsoku/>
        <w:wordWrap/>
        <w:overflowPunct/>
        <w:topLinePunct w:val="0"/>
        <w:autoSpaceDE/>
        <w:autoSpaceDN/>
        <w:bidi w:val="0"/>
        <w:spacing w:line="460" w:lineRule="exact"/>
        <w:ind w:firstLine="525" w:firstLineChars="25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10.1</w:t>
      </w:r>
      <w:r>
        <w:rPr>
          <w:rFonts w:hint="eastAsia" w:ascii="宋体" w:hAnsi="宋体" w:cs="宋体"/>
          <w:color w:val="auto"/>
          <w:sz w:val="21"/>
          <w:szCs w:val="21"/>
          <w:highlight w:val="none"/>
        </w:rPr>
        <w:t>货物运达后须由甲、乙方的安装人员自行查验，如开箱后确认货物错发，丢失及损坏，乙方应承担责任；</w:t>
      </w:r>
    </w:p>
    <w:p>
      <w:pPr>
        <w:pageBreakBefore w:val="0"/>
        <w:kinsoku/>
        <w:wordWrap/>
        <w:overflowPunct/>
        <w:topLinePunct w:val="0"/>
        <w:autoSpaceDE/>
        <w:autoSpaceDN/>
        <w:bidi w:val="0"/>
        <w:spacing w:line="460" w:lineRule="exact"/>
        <w:ind w:firstLine="525" w:firstLineChars="250"/>
        <w:textAlignment w:val="auto"/>
        <w:rPr>
          <w:rFonts w:hint="eastAsia" w:ascii="宋体" w:hAnsi="宋体" w:cs="宋体"/>
          <w:strike/>
          <w:color w:val="auto"/>
          <w:sz w:val="21"/>
          <w:szCs w:val="21"/>
          <w:highlight w:val="none"/>
        </w:rPr>
      </w:pPr>
      <w:r>
        <w:rPr>
          <w:rFonts w:hint="eastAsia" w:ascii="宋体" w:hAnsi="宋体" w:cs="宋体"/>
          <w:color w:val="auto"/>
          <w:sz w:val="21"/>
          <w:szCs w:val="21"/>
          <w:highlight w:val="none"/>
          <w:lang w:val="en-US" w:eastAsia="zh-CN"/>
        </w:rPr>
        <w:t>10.2</w:t>
      </w:r>
      <w:r>
        <w:rPr>
          <w:rFonts w:hint="eastAsia" w:ascii="宋体" w:hAnsi="宋体" w:cs="宋体"/>
          <w:color w:val="auto"/>
          <w:sz w:val="21"/>
          <w:szCs w:val="21"/>
          <w:highlight w:val="none"/>
        </w:rPr>
        <w:t>甲乙双方按照合同和共同商定的验收条款对调试完毕的设备进行验收。乙方应事先准备好验收文件并获得甲方的确认，如验收合格，双方代表人在验收文件上签字完成终交验收手续，正式交付使用。</w:t>
      </w:r>
    </w:p>
    <w:p>
      <w:pPr>
        <w:pageBreakBefore w:val="0"/>
        <w:kinsoku/>
        <w:wordWrap/>
        <w:overflowPunct/>
        <w:topLinePunct w:val="0"/>
        <w:autoSpaceDE/>
        <w:autoSpaceDN/>
        <w:bidi w:val="0"/>
        <w:spacing w:line="460" w:lineRule="exact"/>
        <w:ind w:firstLine="525" w:firstLineChars="250"/>
        <w:textAlignment w:val="auto"/>
        <w:rPr>
          <w:rFonts w:hint="eastAsia" w:ascii="宋体" w:hAnsi="宋体" w:cs="宋体"/>
          <w:strike/>
          <w:color w:val="auto"/>
          <w:sz w:val="21"/>
          <w:szCs w:val="21"/>
          <w:highlight w:val="none"/>
        </w:rPr>
      </w:pPr>
      <w:r>
        <w:rPr>
          <w:rFonts w:hint="eastAsia" w:ascii="宋体" w:hAnsi="宋体" w:cs="宋体"/>
          <w:color w:val="auto"/>
          <w:sz w:val="21"/>
          <w:szCs w:val="21"/>
          <w:highlight w:val="none"/>
          <w:lang w:val="en-US" w:eastAsia="zh-CN"/>
        </w:rPr>
        <w:t>10.3</w:t>
      </w:r>
      <w:r>
        <w:rPr>
          <w:rFonts w:hint="eastAsia" w:ascii="宋体" w:hAnsi="宋体" w:cs="宋体"/>
          <w:color w:val="auto"/>
          <w:sz w:val="21"/>
          <w:szCs w:val="21"/>
          <w:highlight w:val="none"/>
        </w:rPr>
        <w:t>乙方所提供的货物安装调试完成后，甲方必须按本合同所约定的货物清单及要求对货物的品牌、外观、规格、数量、配件及安装调试后的使用性能、运行状况、技术资料及其他进行验收，乙方必须在验收现场提供必要的技术支持。</w:t>
      </w:r>
    </w:p>
    <w:p>
      <w:pPr>
        <w:pStyle w:val="13"/>
        <w:pageBreakBefore w:val="0"/>
        <w:kinsoku/>
        <w:wordWrap/>
        <w:overflowPunct/>
        <w:topLinePunct w:val="0"/>
        <w:autoSpaceDE/>
        <w:autoSpaceDN/>
        <w:bidi w:val="0"/>
        <w:spacing w:line="460" w:lineRule="exact"/>
        <w:ind w:firstLine="420" w:firstLineChars="200"/>
        <w:textAlignment w:val="auto"/>
        <w:rPr>
          <w:rFonts w:hint="eastAsia" w:ascii="宋体" w:hAnsi="宋体" w:cs="宋体"/>
          <w:bCs/>
          <w:color w:val="auto"/>
          <w:sz w:val="21"/>
          <w:szCs w:val="21"/>
          <w:highlight w:val="none"/>
        </w:rPr>
      </w:pPr>
      <w:r>
        <w:rPr>
          <w:rFonts w:hint="eastAsia" w:ascii="宋体" w:hAnsi="宋体" w:cs="宋体"/>
          <w:color w:val="auto"/>
          <w:sz w:val="21"/>
          <w:szCs w:val="21"/>
          <w:highlight w:val="none"/>
          <w:lang w:val="en-US" w:eastAsia="zh-CN"/>
        </w:rPr>
        <w:t>10</w:t>
      </w:r>
      <w:r>
        <w:rPr>
          <w:rFonts w:hint="eastAsia" w:ascii="宋体" w:hAnsi="宋体" w:cs="宋体"/>
          <w:bCs/>
          <w:color w:val="auto"/>
          <w:sz w:val="21"/>
          <w:szCs w:val="21"/>
          <w:highlight w:val="none"/>
        </w:rPr>
        <w:t>.</w:t>
      </w:r>
      <w:r>
        <w:rPr>
          <w:rFonts w:hint="eastAsia" w:ascii="宋体" w:hAnsi="宋体" w:cs="宋体"/>
          <w:bCs/>
          <w:color w:val="auto"/>
          <w:sz w:val="21"/>
          <w:szCs w:val="21"/>
          <w:highlight w:val="none"/>
          <w:lang w:val="en-US" w:eastAsia="zh-CN"/>
        </w:rPr>
        <w:t>4</w:t>
      </w:r>
      <w:r>
        <w:rPr>
          <w:rFonts w:hint="eastAsia" w:ascii="宋体" w:hAnsi="宋体" w:cs="宋体"/>
          <w:bCs/>
          <w:color w:val="auto"/>
          <w:sz w:val="21"/>
          <w:szCs w:val="21"/>
          <w:highlight w:val="none"/>
        </w:rPr>
        <w:t>验收标准及方式：根据国家现行技术标准，按采购文件和合同规定的验收评定标准</w:t>
      </w:r>
      <w:r>
        <w:rPr>
          <w:rStyle w:val="47"/>
          <w:rFonts w:hint="eastAsia" w:ascii="宋体" w:hAnsi="宋体" w:cs="宋体"/>
          <w:color w:val="auto"/>
          <w:highlight w:val="none"/>
        </w:rPr>
        <w:t>以及技术参数等</w:t>
      </w:r>
      <w:r>
        <w:rPr>
          <w:rFonts w:hint="eastAsia" w:ascii="宋体" w:hAnsi="宋体" w:cs="宋体"/>
          <w:bCs/>
          <w:color w:val="auto"/>
          <w:sz w:val="21"/>
          <w:szCs w:val="21"/>
          <w:highlight w:val="none"/>
        </w:rPr>
        <w:t>规范，由甲方组织验收，</w:t>
      </w:r>
      <w:r>
        <w:rPr>
          <w:rFonts w:hint="eastAsia" w:ascii="宋体" w:hAnsi="宋体" w:cs="宋体"/>
          <w:color w:val="auto"/>
          <w:sz w:val="21"/>
          <w:szCs w:val="21"/>
          <w:highlight w:val="none"/>
        </w:rPr>
        <w:t>并出具验收书。验收书应包括</w:t>
      </w:r>
      <w:r>
        <w:rPr>
          <w:rFonts w:hint="eastAsia" w:ascii="宋体" w:hAnsi="宋体" w:cs="宋体"/>
          <w:color w:val="auto"/>
          <w:sz w:val="21"/>
          <w:szCs w:val="21"/>
          <w:highlight w:val="none"/>
          <w:lang w:val="en-US" w:eastAsia="zh-CN"/>
        </w:rPr>
        <w:t>产品、</w:t>
      </w:r>
      <w:r>
        <w:rPr>
          <w:rFonts w:hint="eastAsia" w:ascii="宋体" w:hAnsi="宋体" w:cs="宋体"/>
          <w:color w:val="auto"/>
          <w:sz w:val="21"/>
          <w:szCs w:val="21"/>
          <w:highlight w:val="none"/>
        </w:rPr>
        <w:t>技术、服务、安全标准的履约情况。</w:t>
      </w:r>
    </w:p>
    <w:p>
      <w:pPr>
        <w:pageBreakBefore w:val="0"/>
        <w:kinsoku/>
        <w:wordWrap/>
        <w:overflowPunct/>
        <w:topLinePunct w:val="0"/>
        <w:autoSpaceDE/>
        <w:autoSpaceDN/>
        <w:bidi w:val="0"/>
        <w:spacing w:line="46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10.5</w:t>
      </w:r>
      <w:r>
        <w:rPr>
          <w:rFonts w:hint="eastAsia" w:ascii="宋体" w:hAnsi="宋体" w:cs="宋体"/>
          <w:color w:val="auto"/>
          <w:sz w:val="21"/>
          <w:szCs w:val="21"/>
          <w:highlight w:val="none"/>
        </w:rPr>
        <w:t>甲方应在乙方所提供的货物安装调试完成后</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个工作日内验收完毕。验收结果经甲乙双方确认后，填写《验收</w:t>
      </w:r>
      <w:r>
        <w:rPr>
          <w:rFonts w:hint="eastAsia" w:ascii="宋体" w:hAnsi="宋体" w:cs="宋体"/>
          <w:color w:val="auto"/>
          <w:sz w:val="21"/>
          <w:szCs w:val="21"/>
          <w:highlight w:val="none"/>
          <w:lang w:val="en-US" w:eastAsia="zh-CN"/>
        </w:rPr>
        <w:t>报告</w:t>
      </w:r>
      <w:r>
        <w:rPr>
          <w:rFonts w:hint="eastAsia" w:ascii="宋体" w:hAnsi="宋体" w:cs="宋体"/>
          <w:color w:val="auto"/>
          <w:sz w:val="21"/>
          <w:szCs w:val="21"/>
          <w:highlight w:val="none"/>
        </w:rPr>
        <w:t>》并签名、加盖各自单位的公章。</w:t>
      </w:r>
    </w:p>
    <w:p>
      <w:pPr>
        <w:pageBreakBefore w:val="0"/>
        <w:kinsoku/>
        <w:wordWrap/>
        <w:overflowPunct/>
        <w:topLinePunct w:val="0"/>
        <w:autoSpaceDE/>
        <w:autoSpaceDN/>
        <w:bidi w:val="0"/>
        <w:spacing w:line="46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10.6</w:t>
      </w:r>
      <w:r>
        <w:rPr>
          <w:rFonts w:hint="eastAsia" w:ascii="宋体" w:hAnsi="宋体" w:cs="宋体"/>
          <w:color w:val="auto"/>
          <w:sz w:val="21"/>
          <w:szCs w:val="21"/>
          <w:highlight w:val="none"/>
        </w:rPr>
        <w:t>如发现货物与合同规定不符，甲方有权拒绝接受，所产生的任何费用由乙方负责，并向乙方提出索赔。如货物在保证期内被证明存在缺陷，包括潜在的缺陷或使用不合适的材料，甲方有权凭有关证明文件向乙方提出索赔。</w:t>
      </w:r>
    </w:p>
    <w:p>
      <w:pPr>
        <w:keepNext/>
        <w:keepLines/>
        <w:pageBreakBefore w:val="0"/>
        <w:kinsoku/>
        <w:wordWrap/>
        <w:overflowPunct/>
        <w:topLinePunct w:val="0"/>
        <w:autoSpaceDE/>
        <w:autoSpaceDN/>
        <w:bidi w:val="0"/>
        <w:snapToGrid w:val="0"/>
        <w:spacing w:line="460" w:lineRule="exact"/>
        <w:ind w:firstLine="422" w:firstLineChars="200"/>
        <w:textAlignment w:val="auto"/>
        <w:outlineLvl w:val="1"/>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1</w:t>
      </w:r>
      <w:r>
        <w:rPr>
          <w:rFonts w:hint="eastAsia" w:ascii="宋体" w:hAnsi="宋体" w:cs="宋体"/>
          <w:b/>
          <w:bCs/>
          <w:color w:val="auto"/>
          <w:sz w:val="21"/>
          <w:szCs w:val="21"/>
          <w:highlight w:val="none"/>
          <w:lang w:val="en-US" w:eastAsia="zh-CN"/>
        </w:rPr>
        <w:t>1</w:t>
      </w:r>
      <w:r>
        <w:rPr>
          <w:rFonts w:hint="eastAsia" w:ascii="宋体" w:hAnsi="宋体" w:cs="宋体"/>
          <w:b/>
          <w:bCs/>
          <w:color w:val="auto"/>
          <w:sz w:val="21"/>
          <w:szCs w:val="21"/>
          <w:highlight w:val="none"/>
        </w:rPr>
        <w:t>．违约行为</w:t>
      </w:r>
      <w:bookmarkEnd w:id="30"/>
      <w:bookmarkEnd w:id="31"/>
      <w:bookmarkEnd w:id="32"/>
      <w:bookmarkEnd w:id="33"/>
    </w:p>
    <w:p>
      <w:pPr>
        <w:pageBreakBefore w:val="0"/>
        <w:kinsoku/>
        <w:wordWrap/>
        <w:overflowPunct/>
        <w:topLinePunct w:val="0"/>
        <w:autoSpaceDE/>
        <w:autoSpaceDN/>
        <w:bidi w:val="0"/>
        <w:adjustRightInd w:val="0"/>
        <w:snapToGrid w:val="0"/>
        <w:spacing w:line="460" w:lineRule="exact"/>
        <w:ind w:firstLine="420" w:firstLineChars="200"/>
        <w:textAlignment w:val="auto"/>
        <w:rPr>
          <w:rFonts w:hint="eastAsia" w:ascii="宋体" w:hAnsi="宋体" w:cs="宋体"/>
          <w:color w:val="auto"/>
          <w:sz w:val="21"/>
          <w:szCs w:val="21"/>
          <w:highlight w:val="none"/>
          <w:lang w:val="zh-CN"/>
        </w:rPr>
      </w:pPr>
      <w:r>
        <w:rPr>
          <w:rFonts w:hint="eastAsia" w:ascii="宋体" w:hAnsi="宋体" w:cs="宋体"/>
          <w:color w:val="auto"/>
          <w:sz w:val="21"/>
          <w:szCs w:val="21"/>
          <w:highlight w:val="none"/>
        </w:rPr>
        <w:t>1</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lang w:val="zh-CN"/>
        </w:rPr>
        <w:t>.1乙方有下列行为将视为违约：</w:t>
      </w:r>
    </w:p>
    <w:p>
      <w:pPr>
        <w:pageBreakBefore w:val="0"/>
        <w:kinsoku/>
        <w:wordWrap/>
        <w:overflowPunct/>
        <w:topLinePunct w:val="0"/>
        <w:autoSpaceDE/>
        <w:autoSpaceDN/>
        <w:bidi w:val="0"/>
        <w:adjustRightInd w:val="0"/>
        <w:snapToGrid w:val="0"/>
        <w:spacing w:line="460" w:lineRule="exact"/>
        <w:ind w:firstLine="420" w:firstLineChars="200"/>
        <w:textAlignment w:val="auto"/>
        <w:rPr>
          <w:rFonts w:hint="eastAsia" w:ascii="宋体" w:hAnsi="宋体" w:cs="宋体"/>
          <w:color w:val="auto"/>
          <w:sz w:val="21"/>
          <w:szCs w:val="21"/>
          <w:highlight w:val="none"/>
          <w:lang w:val="zh-CN"/>
        </w:rPr>
      </w:pPr>
      <w:r>
        <w:rPr>
          <w:rFonts w:hint="eastAsia" w:ascii="宋体" w:hAnsi="宋体" w:cs="宋体"/>
          <w:color w:val="auto"/>
          <w:sz w:val="21"/>
          <w:szCs w:val="21"/>
          <w:highlight w:val="none"/>
          <w:lang w:val="zh-CN"/>
        </w:rPr>
        <w:t>（1）逾期交货或延迟完工，不可抗力除外。</w:t>
      </w:r>
    </w:p>
    <w:p>
      <w:pPr>
        <w:pageBreakBefore w:val="0"/>
        <w:kinsoku/>
        <w:wordWrap/>
        <w:overflowPunct/>
        <w:topLinePunct w:val="0"/>
        <w:autoSpaceDE/>
        <w:autoSpaceDN/>
        <w:bidi w:val="0"/>
        <w:adjustRightInd w:val="0"/>
        <w:snapToGrid w:val="0"/>
        <w:spacing w:line="460" w:lineRule="exact"/>
        <w:ind w:firstLine="420" w:firstLineChars="200"/>
        <w:textAlignment w:val="auto"/>
        <w:rPr>
          <w:rFonts w:hint="eastAsia" w:ascii="宋体" w:hAnsi="宋体" w:cs="宋体"/>
          <w:color w:val="auto"/>
          <w:sz w:val="21"/>
          <w:szCs w:val="21"/>
          <w:highlight w:val="none"/>
          <w:lang w:val="zh-CN"/>
        </w:rPr>
      </w:pPr>
      <w:r>
        <w:rPr>
          <w:rFonts w:hint="eastAsia" w:ascii="宋体" w:hAnsi="宋体" w:cs="宋体"/>
          <w:color w:val="auto"/>
          <w:sz w:val="21"/>
          <w:szCs w:val="21"/>
          <w:highlight w:val="none"/>
          <w:lang w:val="zh-CN"/>
        </w:rPr>
        <w:t>（2）提交的货物（服务）规格和技术参数、质量等跟乙方的投标文件中相关承诺存在着不符，并私自降低货物（服务）的规格和技术参数、质量等。</w:t>
      </w:r>
    </w:p>
    <w:p>
      <w:pPr>
        <w:pageBreakBefore w:val="0"/>
        <w:kinsoku/>
        <w:wordWrap/>
        <w:overflowPunct/>
        <w:topLinePunct w:val="0"/>
        <w:autoSpaceDE/>
        <w:autoSpaceDN/>
        <w:bidi w:val="0"/>
        <w:adjustRightInd w:val="0"/>
        <w:snapToGrid w:val="0"/>
        <w:spacing w:line="460" w:lineRule="exact"/>
        <w:ind w:firstLine="420" w:firstLineChars="200"/>
        <w:textAlignment w:val="auto"/>
        <w:rPr>
          <w:rFonts w:hint="eastAsia" w:ascii="宋体" w:hAnsi="宋体" w:cs="宋体"/>
          <w:color w:val="auto"/>
          <w:sz w:val="21"/>
          <w:szCs w:val="21"/>
          <w:highlight w:val="none"/>
          <w:lang w:val="zh-CN"/>
        </w:rPr>
      </w:pPr>
      <w:r>
        <w:rPr>
          <w:rFonts w:hint="eastAsia" w:ascii="宋体" w:hAnsi="宋体" w:cs="宋体"/>
          <w:color w:val="auto"/>
          <w:sz w:val="21"/>
          <w:szCs w:val="21"/>
          <w:highlight w:val="none"/>
          <w:lang w:val="zh-CN"/>
        </w:rPr>
        <w:t>（3）不履行合同条款或只履行部分合同条款，或拒绝履行合同义务。</w:t>
      </w:r>
    </w:p>
    <w:p>
      <w:pPr>
        <w:pageBreakBefore w:val="0"/>
        <w:kinsoku/>
        <w:wordWrap/>
        <w:overflowPunct/>
        <w:topLinePunct w:val="0"/>
        <w:autoSpaceDE/>
        <w:autoSpaceDN/>
        <w:bidi w:val="0"/>
        <w:adjustRightInd w:val="0"/>
        <w:snapToGrid w:val="0"/>
        <w:spacing w:line="460" w:lineRule="exact"/>
        <w:ind w:firstLine="420" w:firstLineChars="200"/>
        <w:textAlignment w:val="auto"/>
        <w:rPr>
          <w:rFonts w:hint="eastAsia" w:ascii="宋体" w:hAnsi="宋体" w:cs="宋体"/>
          <w:color w:val="auto"/>
          <w:sz w:val="21"/>
          <w:szCs w:val="21"/>
          <w:highlight w:val="none"/>
          <w:lang w:val="zh-CN"/>
        </w:rPr>
      </w:pPr>
      <w:r>
        <w:rPr>
          <w:rFonts w:hint="eastAsia" w:ascii="宋体" w:hAnsi="宋体" w:cs="宋体"/>
          <w:color w:val="auto"/>
          <w:sz w:val="21"/>
          <w:szCs w:val="21"/>
          <w:highlight w:val="none"/>
          <w:lang w:val="zh-CN"/>
        </w:rPr>
        <w:t>（4）违反政府采购法和国家其他的相关法律法规。</w:t>
      </w:r>
    </w:p>
    <w:p>
      <w:pPr>
        <w:pageBreakBefore w:val="0"/>
        <w:kinsoku/>
        <w:wordWrap/>
        <w:overflowPunct/>
        <w:topLinePunct w:val="0"/>
        <w:autoSpaceDE/>
        <w:autoSpaceDN/>
        <w:bidi w:val="0"/>
        <w:adjustRightInd w:val="0"/>
        <w:snapToGrid w:val="0"/>
        <w:spacing w:line="460" w:lineRule="exact"/>
        <w:ind w:firstLine="420" w:firstLineChars="200"/>
        <w:textAlignment w:val="auto"/>
        <w:rPr>
          <w:rFonts w:hint="eastAsia" w:ascii="宋体" w:hAnsi="宋体" w:cs="宋体"/>
          <w:color w:val="auto"/>
          <w:sz w:val="21"/>
          <w:szCs w:val="21"/>
          <w:highlight w:val="none"/>
          <w:lang w:val="zh-CN"/>
        </w:rPr>
      </w:pPr>
      <w:r>
        <w:rPr>
          <w:rFonts w:hint="eastAsia" w:ascii="宋体" w:hAnsi="宋体" w:cs="宋体"/>
          <w:color w:val="auto"/>
          <w:sz w:val="21"/>
          <w:szCs w:val="21"/>
          <w:highlight w:val="none"/>
        </w:rPr>
        <w:t>1</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lang w:val="zh-CN"/>
        </w:rPr>
        <w:t>.2甲方有下列行为将视为违约：</w:t>
      </w:r>
    </w:p>
    <w:p>
      <w:pPr>
        <w:pageBreakBefore w:val="0"/>
        <w:kinsoku/>
        <w:wordWrap/>
        <w:overflowPunct/>
        <w:topLinePunct w:val="0"/>
        <w:autoSpaceDE/>
        <w:autoSpaceDN/>
        <w:bidi w:val="0"/>
        <w:adjustRightInd w:val="0"/>
        <w:snapToGrid w:val="0"/>
        <w:spacing w:line="460" w:lineRule="exact"/>
        <w:ind w:firstLine="420" w:firstLineChars="200"/>
        <w:textAlignment w:val="auto"/>
        <w:rPr>
          <w:rFonts w:hint="eastAsia" w:ascii="宋体" w:hAnsi="宋体" w:cs="宋体"/>
          <w:color w:val="auto"/>
          <w:sz w:val="21"/>
          <w:szCs w:val="21"/>
          <w:highlight w:val="none"/>
          <w:lang w:val="zh-CN"/>
        </w:rPr>
      </w:pPr>
      <w:r>
        <w:rPr>
          <w:rFonts w:hint="eastAsia" w:ascii="宋体" w:hAnsi="宋体" w:cs="宋体"/>
          <w:color w:val="auto"/>
          <w:sz w:val="21"/>
          <w:szCs w:val="21"/>
          <w:highlight w:val="none"/>
          <w:lang w:val="zh-CN"/>
        </w:rPr>
        <w:t>（1）无正当理由拒绝接受乙方交付的货物（服务）或逾期延迟验收。</w:t>
      </w:r>
    </w:p>
    <w:p>
      <w:pPr>
        <w:pageBreakBefore w:val="0"/>
        <w:kinsoku/>
        <w:wordWrap/>
        <w:overflowPunct/>
        <w:topLinePunct w:val="0"/>
        <w:autoSpaceDE/>
        <w:autoSpaceDN/>
        <w:bidi w:val="0"/>
        <w:adjustRightInd w:val="0"/>
        <w:snapToGrid w:val="0"/>
        <w:spacing w:line="460" w:lineRule="exact"/>
        <w:ind w:firstLine="420" w:firstLineChars="200"/>
        <w:textAlignment w:val="auto"/>
        <w:rPr>
          <w:rFonts w:hint="eastAsia" w:ascii="宋体" w:hAnsi="宋体" w:cs="宋体"/>
          <w:color w:val="auto"/>
          <w:sz w:val="21"/>
          <w:szCs w:val="21"/>
          <w:highlight w:val="none"/>
          <w:lang w:val="zh-CN"/>
        </w:rPr>
      </w:pPr>
      <w:r>
        <w:rPr>
          <w:rFonts w:hint="eastAsia" w:ascii="宋体" w:hAnsi="宋体" w:cs="宋体"/>
          <w:color w:val="auto"/>
          <w:sz w:val="21"/>
          <w:szCs w:val="21"/>
          <w:highlight w:val="none"/>
          <w:lang w:val="zh-CN"/>
        </w:rPr>
        <w:t>（2）违反政府采购法和国家其他的相关法律法规。</w:t>
      </w:r>
    </w:p>
    <w:p>
      <w:pPr>
        <w:pageBreakBefore w:val="0"/>
        <w:kinsoku/>
        <w:wordWrap/>
        <w:overflowPunct/>
        <w:topLinePunct w:val="0"/>
        <w:autoSpaceDE/>
        <w:autoSpaceDN/>
        <w:bidi w:val="0"/>
        <w:adjustRightInd/>
        <w:spacing w:line="460" w:lineRule="exact"/>
        <w:ind w:firstLine="527" w:firstLineChars="250"/>
        <w:textAlignment w:val="auto"/>
        <w:rPr>
          <w:rFonts w:hint="eastAsia" w:ascii="宋体" w:hAnsi="宋体" w:eastAsia="宋体" w:cs="宋体"/>
          <w:b/>
          <w:bCs/>
          <w:color w:val="auto"/>
          <w:sz w:val="21"/>
          <w:szCs w:val="21"/>
          <w:highlight w:val="none"/>
        </w:rPr>
      </w:pPr>
      <w:bookmarkStart w:id="34" w:name="_Toc7714"/>
      <w:bookmarkStart w:id="35" w:name="_Toc6643"/>
      <w:bookmarkStart w:id="36" w:name="_Toc30803"/>
      <w:bookmarkStart w:id="37" w:name="_Toc41375502"/>
      <w:r>
        <w:rPr>
          <w:rFonts w:hint="eastAsia" w:ascii="宋体" w:hAnsi="宋体" w:eastAsia="宋体" w:cs="宋体"/>
          <w:b/>
          <w:bCs/>
          <w:color w:val="auto"/>
          <w:sz w:val="21"/>
          <w:szCs w:val="21"/>
          <w:highlight w:val="none"/>
          <w:lang w:val="en-US" w:eastAsia="zh-CN"/>
        </w:rPr>
        <w:t>12、</w:t>
      </w:r>
      <w:r>
        <w:rPr>
          <w:rFonts w:hint="eastAsia" w:ascii="宋体" w:hAnsi="宋体" w:eastAsia="宋体" w:cs="宋体"/>
          <w:b/>
          <w:bCs/>
          <w:color w:val="auto"/>
          <w:sz w:val="21"/>
          <w:szCs w:val="21"/>
          <w:highlight w:val="none"/>
        </w:rPr>
        <w:t>保险</w:t>
      </w:r>
    </w:p>
    <w:p>
      <w:pPr>
        <w:pageBreakBefore w:val="0"/>
        <w:kinsoku/>
        <w:wordWrap/>
        <w:overflowPunct/>
        <w:topLinePunct w:val="0"/>
        <w:autoSpaceDE/>
        <w:autoSpaceDN/>
        <w:bidi w:val="0"/>
        <w:adjustRightInd/>
        <w:spacing w:line="460" w:lineRule="exact"/>
        <w:ind w:firstLine="315" w:firstLine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第三者责任保险</w:t>
      </w:r>
    </w:p>
    <w:p>
      <w:pPr>
        <w:pageBreakBefore w:val="0"/>
        <w:kinsoku/>
        <w:wordWrap/>
        <w:overflowPunct/>
        <w:topLinePunct w:val="0"/>
        <w:autoSpaceDE/>
        <w:autoSpaceDN/>
        <w:bidi w:val="0"/>
        <w:adjustRightInd/>
        <w:spacing w:line="460" w:lineRule="exact"/>
        <w:ind w:firstLine="315" w:firstLine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乙方应对乙方人员以及第三方全权负责（如乙方应投保第三责任险），在乙方的责任区内由于乙方原因导致自己员工或第三方的事故由乙方负责，甲方不承担任何责任。</w:t>
      </w:r>
    </w:p>
    <w:p>
      <w:pPr>
        <w:pageBreakBefore w:val="0"/>
        <w:kinsoku/>
        <w:wordWrap/>
        <w:overflowPunct/>
        <w:topLinePunct w:val="0"/>
        <w:autoSpaceDE/>
        <w:autoSpaceDN/>
        <w:bidi w:val="0"/>
        <w:adjustRightInd/>
        <w:spacing w:line="460" w:lineRule="exact"/>
        <w:ind w:firstLine="315" w:firstLine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员工人身意外</w:t>
      </w:r>
    </w:p>
    <w:p>
      <w:pPr>
        <w:pageBreakBefore w:val="0"/>
        <w:kinsoku/>
        <w:wordWrap/>
        <w:overflowPunct/>
        <w:topLinePunct w:val="0"/>
        <w:autoSpaceDE/>
        <w:autoSpaceDN/>
        <w:bidi w:val="0"/>
        <w:adjustRightInd/>
        <w:spacing w:line="460" w:lineRule="exact"/>
        <w:ind w:firstLine="315" w:firstLine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在服务期内，乙方所有人员的事故由乙方自行全权负责（如乙方应对其员工投保人身意外险），以保证甲方在乙方工作人员索赔时不受任何责任的约束。</w:t>
      </w:r>
    </w:p>
    <w:p>
      <w:pPr>
        <w:pageBreakBefore w:val="0"/>
        <w:kinsoku/>
        <w:wordWrap/>
        <w:overflowPunct/>
        <w:topLinePunct w:val="0"/>
        <w:autoSpaceDE/>
        <w:autoSpaceDN/>
        <w:bidi w:val="0"/>
        <w:adjustRightInd/>
        <w:spacing w:line="460" w:lineRule="exact"/>
        <w:ind w:firstLine="315" w:firstLine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其他保险及费用</w:t>
      </w:r>
    </w:p>
    <w:p>
      <w:pPr>
        <w:pageBreakBefore w:val="0"/>
        <w:kinsoku/>
        <w:wordWrap/>
        <w:overflowPunct/>
        <w:topLinePunct w:val="0"/>
        <w:autoSpaceDE/>
        <w:autoSpaceDN/>
        <w:bidi w:val="0"/>
        <w:adjustRightInd/>
        <w:spacing w:line="460" w:lineRule="exact"/>
        <w:ind w:firstLine="315" w:firstLine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乙方须按《中华人民共和国民法典》和政府有关各部门规定为全体服务人员缴纳所有相关的社会保险及其他相关费用。乙方对此全权负责。</w:t>
      </w:r>
    </w:p>
    <w:p>
      <w:pPr>
        <w:pStyle w:val="114"/>
        <w:pageBreakBefore w:val="0"/>
        <w:kinsoku/>
        <w:wordWrap/>
        <w:overflowPunct/>
        <w:topLinePunct w:val="0"/>
        <w:autoSpaceDE/>
        <w:autoSpaceDN/>
        <w:bidi w:val="0"/>
        <w:adjustRightInd/>
        <w:spacing w:line="460" w:lineRule="exact"/>
        <w:ind w:firstLine="406" w:firstLineChars="200"/>
        <w:textAlignment w:val="auto"/>
        <w:rPr>
          <w:rFonts w:hint="eastAsia" w:ascii="宋体" w:hAnsi="宋体" w:eastAsia="宋体" w:cs="宋体"/>
          <w:color w:val="auto"/>
          <w:sz w:val="21"/>
          <w:szCs w:val="21"/>
          <w:highlight w:val="none"/>
        </w:rPr>
      </w:pPr>
      <w:r>
        <w:rPr>
          <w:rFonts w:hint="eastAsia" w:ascii="宋体" w:hAnsi="宋体" w:cs="宋体"/>
          <w:b/>
          <w:bCs/>
          <w:i w:val="0"/>
          <w:iCs w:val="0"/>
          <w:color w:val="auto"/>
          <w:spacing w:val="-4"/>
          <w:w w:val="100"/>
          <w:sz w:val="21"/>
          <w:szCs w:val="21"/>
          <w:highlight w:val="none"/>
          <w:vertAlign w:val="baseline"/>
          <w:lang w:val="en-US" w:eastAsia="zh-CN"/>
        </w:rPr>
        <w:t>13</w:t>
      </w:r>
      <w:r>
        <w:rPr>
          <w:rFonts w:hint="eastAsia" w:ascii="宋体" w:hAnsi="宋体" w:eastAsia="宋体" w:cs="宋体"/>
          <w:b/>
          <w:bCs/>
          <w:i w:val="0"/>
          <w:iCs w:val="0"/>
          <w:color w:val="auto"/>
          <w:spacing w:val="-4"/>
          <w:w w:val="100"/>
          <w:sz w:val="21"/>
          <w:szCs w:val="21"/>
          <w:highlight w:val="none"/>
          <w:vertAlign w:val="baseline"/>
          <w:lang w:val="en-US" w:eastAsia="zh-CN"/>
        </w:rPr>
        <w:t>、</w:t>
      </w:r>
      <w:r>
        <w:rPr>
          <w:rFonts w:hint="eastAsia" w:ascii="宋体" w:hAnsi="宋体" w:eastAsia="宋体" w:cs="宋体"/>
          <w:b/>
          <w:bCs/>
          <w:i w:val="0"/>
          <w:iCs w:val="0"/>
          <w:color w:val="auto"/>
          <w:spacing w:val="-4"/>
          <w:w w:val="100"/>
          <w:sz w:val="21"/>
          <w:szCs w:val="21"/>
          <w:highlight w:val="none"/>
          <w:vertAlign w:val="baseline"/>
        </w:rPr>
        <w:t>履约保证金</w:t>
      </w:r>
    </w:p>
    <w:p>
      <w:pPr>
        <w:pageBreakBefore w:val="0"/>
        <w:numPr>
          <w:ilvl w:val="0"/>
          <w:numId w:val="0"/>
        </w:numPr>
        <w:kinsoku/>
        <w:wordWrap/>
        <w:overflowPunct/>
        <w:topLinePunct w:val="0"/>
        <w:autoSpaceDE/>
        <w:autoSpaceDN/>
        <w:bidi w:val="0"/>
        <w:spacing w:line="460" w:lineRule="exact"/>
        <w:ind w:firstLine="422" w:firstLineChars="200"/>
        <w:textAlignment w:val="auto"/>
        <w:rPr>
          <w:rFonts w:hint="eastAsia" w:ascii="宋体" w:hAnsi="宋体" w:eastAsia="宋体" w:cs="宋体"/>
          <w:b/>
          <w:bCs/>
          <w:i w:val="0"/>
          <w:iCs w:val="0"/>
          <w:color w:val="auto"/>
          <w:spacing w:val="0"/>
          <w:w w:val="100"/>
          <w:sz w:val="21"/>
          <w:szCs w:val="21"/>
          <w:highlight w:val="none"/>
          <w:vertAlign w:val="baseline"/>
        </w:rPr>
      </w:pPr>
      <w:r>
        <w:rPr>
          <w:rFonts w:hint="eastAsia" w:ascii="宋体" w:hAnsi="宋体" w:eastAsia="宋体" w:cs="宋体"/>
          <w:b/>
          <w:bCs/>
          <w:i w:val="0"/>
          <w:iCs w:val="0"/>
          <w:color w:val="auto"/>
          <w:spacing w:val="0"/>
          <w:w w:val="100"/>
          <w:sz w:val="21"/>
          <w:szCs w:val="21"/>
          <w:highlight w:val="none"/>
          <w:vertAlign w:val="baseline"/>
        </w:rPr>
        <w:t>拟签订的合同文本要求</w:t>
      </w:r>
      <w:r>
        <w:rPr>
          <w:rFonts w:hint="eastAsia" w:ascii="宋体" w:hAnsi="宋体" w:cs="宋体"/>
          <w:b/>
          <w:bCs/>
          <w:i w:val="0"/>
          <w:iCs w:val="0"/>
          <w:color w:val="auto"/>
          <w:spacing w:val="0"/>
          <w:w w:val="100"/>
          <w:sz w:val="21"/>
          <w:szCs w:val="21"/>
          <w:highlight w:val="none"/>
          <w:vertAlign w:val="baseline"/>
          <w:lang w:eastAsia="zh-CN"/>
        </w:rPr>
        <w:t>乙方</w:t>
      </w:r>
      <w:r>
        <w:rPr>
          <w:rFonts w:hint="eastAsia" w:ascii="宋体" w:hAnsi="宋体" w:eastAsia="宋体" w:cs="宋体"/>
          <w:b/>
          <w:bCs/>
          <w:i w:val="0"/>
          <w:iCs w:val="0"/>
          <w:color w:val="auto"/>
          <w:spacing w:val="0"/>
          <w:w w:val="100"/>
          <w:sz w:val="21"/>
          <w:szCs w:val="21"/>
          <w:highlight w:val="none"/>
          <w:vertAlign w:val="baseline"/>
        </w:rPr>
        <w:t>提交履约保证金的，</w:t>
      </w:r>
      <w:r>
        <w:rPr>
          <w:rFonts w:hint="eastAsia" w:ascii="宋体" w:hAnsi="宋体" w:cs="宋体"/>
          <w:b/>
          <w:bCs/>
          <w:i w:val="0"/>
          <w:iCs w:val="0"/>
          <w:color w:val="auto"/>
          <w:spacing w:val="0"/>
          <w:w w:val="100"/>
          <w:sz w:val="21"/>
          <w:szCs w:val="21"/>
          <w:highlight w:val="none"/>
          <w:vertAlign w:val="baseline"/>
          <w:lang w:eastAsia="zh-CN"/>
        </w:rPr>
        <w:t>乙方</w:t>
      </w:r>
      <w:r>
        <w:rPr>
          <w:rFonts w:hint="eastAsia" w:ascii="宋体" w:hAnsi="宋体" w:eastAsia="宋体" w:cs="宋体"/>
          <w:b/>
          <w:bCs/>
          <w:i w:val="0"/>
          <w:iCs w:val="0"/>
          <w:color w:val="auto"/>
          <w:spacing w:val="0"/>
          <w:w w:val="100"/>
          <w:sz w:val="21"/>
          <w:szCs w:val="21"/>
          <w:highlight w:val="none"/>
          <w:vertAlign w:val="baseline"/>
        </w:rPr>
        <w:t>应当以支票、汇票、本票或者金融机构、担保机构出具的保函等非现金形式提交。履约保证金的数额不得超过政府采购合同金额的1%。鼓励和支持</w:t>
      </w:r>
      <w:r>
        <w:rPr>
          <w:rFonts w:hint="eastAsia" w:ascii="宋体" w:hAnsi="宋体" w:cs="宋体"/>
          <w:b/>
          <w:bCs/>
          <w:i w:val="0"/>
          <w:iCs w:val="0"/>
          <w:color w:val="auto"/>
          <w:spacing w:val="0"/>
          <w:w w:val="100"/>
          <w:sz w:val="21"/>
          <w:szCs w:val="21"/>
          <w:highlight w:val="none"/>
          <w:vertAlign w:val="baseline"/>
          <w:lang w:eastAsia="zh-CN"/>
        </w:rPr>
        <w:t>乙方</w:t>
      </w:r>
      <w:r>
        <w:rPr>
          <w:rFonts w:hint="eastAsia" w:ascii="宋体" w:hAnsi="宋体" w:eastAsia="宋体" w:cs="宋体"/>
          <w:b/>
          <w:bCs/>
          <w:i w:val="0"/>
          <w:iCs w:val="0"/>
          <w:color w:val="auto"/>
          <w:spacing w:val="0"/>
          <w:w w:val="100"/>
          <w:sz w:val="21"/>
          <w:szCs w:val="21"/>
          <w:highlight w:val="none"/>
          <w:vertAlign w:val="baseline"/>
        </w:rPr>
        <w:t>以履约保函形式提供履约保证金。</w:t>
      </w:r>
    </w:p>
    <w:p>
      <w:pPr>
        <w:pageBreakBefore w:val="0"/>
        <w:numPr>
          <w:ilvl w:val="0"/>
          <w:numId w:val="0"/>
        </w:numPr>
        <w:kinsoku/>
        <w:wordWrap/>
        <w:overflowPunct/>
        <w:topLinePunct w:val="0"/>
        <w:autoSpaceDE/>
        <w:autoSpaceDN/>
        <w:bidi w:val="0"/>
        <w:spacing w:line="460" w:lineRule="exact"/>
        <w:ind w:firstLine="422" w:firstLineChars="200"/>
        <w:textAlignment w:val="auto"/>
        <w:rPr>
          <w:rFonts w:hint="eastAsia" w:ascii="宋体" w:hAnsi="宋体" w:eastAsia="宋体" w:cs="宋体"/>
          <w:b/>
          <w:bCs/>
          <w:i w:val="0"/>
          <w:iCs w:val="0"/>
          <w:color w:val="auto"/>
          <w:spacing w:val="0"/>
          <w:w w:val="100"/>
          <w:sz w:val="21"/>
          <w:szCs w:val="21"/>
          <w:highlight w:val="none"/>
          <w:vertAlign w:val="baseline"/>
        </w:rPr>
      </w:pPr>
      <w:r>
        <w:rPr>
          <w:rFonts w:hint="eastAsia" w:ascii="宋体" w:hAnsi="宋体" w:cs="宋体"/>
          <w:b/>
          <w:bCs/>
          <w:i w:val="0"/>
          <w:iCs w:val="0"/>
          <w:color w:val="auto"/>
          <w:spacing w:val="0"/>
          <w:w w:val="100"/>
          <w:sz w:val="21"/>
          <w:szCs w:val="21"/>
          <w:highlight w:val="none"/>
          <w:vertAlign w:val="baseline"/>
          <w:lang w:eastAsia="zh-CN"/>
        </w:rPr>
        <w:t>乙方</w:t>
      </w:r>
      <w:r>
        <w:rPr>
          <w:rFonts w:hint="eastAsia" w:ascii="宋体" w:hAnsi="宋体" w:eastAsia="宋体" w:cs="宋体"/>
          <w:b/>
          <w:bCs/>
          <w:i w:val="0"/>
          <w:iCs w:val="0"/>
          <w:color w:val="auto"/>
          <w:spacing w:val="0"/>
          <w:w w:val="100"/>
          <w:sz w:val="21"/>
          <w:szCs w:val="21"/>
          <w:highlight w:val="none"/>
          <w:vertAlign w:val="baseline"/>
        </w:rPr>
        <w:t>可登录政采云平台</w:t>
      </w:r>
      <w:r>
        <w:rPr>
          <w:rFonts w:hint="eastAsia" w:ascii="宋体" w:hAnsi="宋体" w:eastAsia="宋体" w:cs="宋体"/>
          <w:b/>
          <w:bCs/>
          <w:i w:val="0"/>
          <w:iCs w:val="0"/>
          <w:color w:val="auto"/>
          <w:spacing w:val="0"/>
          <w:w w:val="100"/>
          <w:sz w:val="21"/>
          <w:szCs w:val="21"/>
          <w:highlight w:val="none"/>
          <w:vertAlign w:val="baseline"/>
          <w:lang w:eastAsia="zh-CN"/>
        </w:rPr>
        <w:t>－</w:t>
      </w:r>
      <w:r>
        <w:rPr>
          <w:rFonts w:hint="eastAsia" w:ascii="宋体" w:hAnsi="宋体" w:eastAsia="宋体" w:cs="宋体"/>
          <w:b/>
          <w:bCs/>
          <w:i w:val="0"/>
          <w:iCs w:val="0"/>
          <w:color w:val="auto"/>
          <w:spacing w:val="0"/>
          <w:w w:val="100"/>
          <w:sz w:val="21"/>
          <w:szCs w:val="21"/>
          <w:highlight w:val="none"/>
          <w:vertAlign w:val="baseline"/>
        </w:rPr>
        <w:t>【金融服务】—【我的项目】—【已备案合同】以保函形式提供：1、</w:t>
      </w:r>
      <w:r>
        <w:rPr>
          <w:rFonts w:hint="eastAsia" w:ascii="宋体" w:hAnsi="宋体" w:cs="宋体"/>
          <w:b/>
          <w:bCs/>
          <w:i w:val="0"/>
          <w:iCs w:val="0"/>
          <w:color w:val="auto"/>
          <w:spacing w:val="0"/>
          <w:w w:val="100"/>
          <w:sz w:val="21"/>
          <w:szCs w:val="21"/>
          <w:highlight w:val="none"/>
          <w:vertAlign w:val="baseline"/>
          <w:lang w:eastAsia="zh-CN"/>
        </w:rPr>
        <w:t>乙方</w:t>
      </w:r>
      <w:r>
        <w:rPr>
          <w:rFonts w:hint="eastAsia" w:ascii="宋体" w:hAnsi="宋体" w:eastAsia="宋体" w:cs="宋体"/>
          <w:b/>
          <w:bCs/>
          <w:i w:val="0"/>
          <w:iCs w:val="0"/>
          <w:color w:val="auto"/>
          <w:spacing w:val="0"/>
          <w:w w:val="100"/>
          <w:sz w:val="21"/>
          <w:szCs w:val="21"/>
          <w:highlight w:val="none"/>
          <w:vertAlign w:val="baseline"/>
        </w:rPr>
        <w:t>在合同列表选择需要投保的合同，点击[保函推荐]。2、在弹框里查看推荐的保函产品，</w:t>
      </w:r>
      <w:r>
        <w:rPr>
          <w:rFonts w:hint="eastAsia" w:ascii="宋体" w:hAnsi="宋体" w:cs="宋体"/>
          <w:b/>
          <w:bCs/>
          <w:i w:val="0"/>
          <w:iCs w:val="0"/>
          <w:color w:val="auto"/>
          <w:spacing w:val="0"/>
          <w:w w:val="100"/>
          <w:sz w:val="21"/>
          <w:szCs w:val="21"/>
          <w:highlight w:val="none"/>
          <w:vertAlign w:val="baseline"/>
          <w:lang w:eastAsia="zh-CN"/>
        </w:rPr>
        <w:t>乙方</w:t>
      </w:r>
      <w:r>
        <w:rPr>
          <w:rFonts w:hint="eastAsia" w:ascii="宋体" w:hAnsi="宋体" w:eastAsia="宋体" w:cs="宋体"/>
          <w:b/>
          <w:bCs/>
          <w:i w:val="0"/>
          <w:iCs w:val="0"/>
          <w:color w:val="auto"/>
          <w:spacing w:val="0"/>
          <w:w w:val="100"/>
          <w:sz w:val="21"/>
          <w:szCs w:val="21"/>
          <w:highlight w:val="none"/>
          <w:vertAlign w:val="baseline"/>
        </w:rPr>
        <w:t>自行选择保函产品，点击[立即申请]。3、在弹框里填写保函申请信息。具体步骤：选择产品—填写</w:t>
      </w:r>
      <w:r>
        <w:rPr>
          <w:rFonts w:hint="eastAsia" w:ascii="宋体" w:hAnsi="宋体" w:cs="宋体"/>
          <w:b/>
          <w:bCs/>
          <w:i w:val="0"/>
          <w:iCs w:val="0"/>
          <w:color w:val="auto"/>
          <w:spacing w:val="0"/>
          <w:w w:val="100"/>
          <w:sz w:val="21"/>
          <w:szCs w:val="21"/>
          <w:highlight w:val="none"/>
          <w:vertAlign w:val="baseline"/>
          <w:lang w:eastAsia="zh-CN"/>
        </w:rPr>
        <w:t>乙方</w:t>
      </w:r>
      <w:r>
        <w:rPr>
          <w:rFonts w:hint="eastAsia" w:ascii="宋体" w:hAnsi="宋体" w:eastAsia="宋体" w:cs="宋体"/>
          <w:b/>
          <w:bCs/>
          <w:i w:val="0"/>
          <w:iCs w:val="0"/>
          <w:color w:val="auto"/>
          <w:spacing w:val="0"/>
          <w:w w:val="100"/>
          <w:sz w:val="21"/>
          <w:szCs w:val="21"/>
          <w:highlight w:val="none"/>
          <w:vertAlign w:val="baseline"/>
        </w:rPr>
        <w:t>信息—选择中标项目—确认信息—等待保险/保函受理—确认保单—支付保费—成功出单。政采云金融专线400-903-9583。</w:t>
      </w:r>
    </w:p>
    <w:p>
      <w:pPr>
        <w:pageBreakBefore w:val="0"/>
        <w:kinsoku/>
        <w:wordWrap/>
        <w:overflowPunct/>
        <w:topLinePunct w:val="0"/>
        <w:autoSpaceDE/>
        <w:autoSpaceDN/>
        <w:bidi w:val="0"/>
        <w:spacing w:line="460" w:lineRule="exact"/>
        <w:ind w:left="560"/>
        <w:textAlignment w:val="auto"/>
        <w:rPr>
          <w:rFonts w:hint="eastAsia" w:ascii="宋体" w:hAnsi="宋体"/>
          <w:b/>
          <w:color w:val="auto"/>
          <w:sz w:val="21"/>
          <w:szCs w:val="21"/>
          <w:highlight w:val="none"/>
        </w:rPr>
      </w:pPr>
      <w:r>
        <w:rPr>
          <w:rFonts w:hint="eastAsia" w:ascii="宋体" w:hAnsi="宋体" w:cs="宋体"/>
          <w:b/>
          <w:color w:val="auto"/>
          <w:sz w:val="21"/>
          <w:szCs w:val="21"/>
          <w:highlight w:val="none"/>
          <w:lang w:val="en-US" w:eastAsia="zh-CN"/>
        </w:rPr>
        <w:t>14</w:t>
      </w:r>
      <w:r>
        <w:rPr>
          <w:rFonts w:hint="eastAsia" w:ascii="宋体" w:hAnsi="宋体" w:cs="宋体"/>
          <w:b/>
          <w:color w:val="auto"/>
          <w:sz w:val="21"/>
          <w:szCs w:val="21"/>
          <w:highlight w:val="none"/>
        </w:rPr>
        <w:t>、</w:t>
      </w:r>
      <w:r>
        <w:rPr>
          <w:rFonts w:hint="eastAsia" w:ascii="宋体" w:hAnsi="宋体"/>
          <w:b/>
          <w:color w:val="auto"/>
          <w:sz w:val="21"/>
          <w:szCs w:val="21"/>
          <w:highlight w:val="none"/>
        </w:rPr>
        <w:t>违约责任：</w:t>
      </w:r>
    </w:p>
    <w:p>
      <w:pPr>
        <w:pageBreakBefore w:val="0"/>
        <w:kinsoku/>
        <w:wordWrap/>
        <w:overflowPunct/>
        <w:topLinePunct w:val="0"/>
        <w:autoSpaceDE/>
        <w:autoSpaceDN/>
        <w:bidi w:val="0"/>
        <w:spacing w:line="460" w:lineRule="exact"/>
        <w:ind w:firstLine="420" w:firstLineChars="200"/>
        <w:jc w:val="left"/>
        <w:textAlignment w:val="auto"/>
        <w:rPr>
          <w:rFonts w:hint="eastAsia" w:ascii="宋体" w:hAnsi="宋体"/>
          <w:color w:val="auto"/>
          <w:sz w:val="21"/>
          <w:szCs w:val="21"/>
          <w:highlight w:val="none"/>
        </w:rPr>
      </w:pPr>
      <w:r>
        <w:rPr>
          <w:rFonts w:hint="eastAsia" w:ascii="宋体" w:hAnsi="宋体"/>
          <w:color w:val="auto"/>
          <w:sz w:val="21"/>
          <w:szCs w:val="21"/>
          <w:highlight w:val="none"/>
          <w:lang w:val="en-US" w:eastAsia="zh-CN"/>
        </w:rPr>
        <w:t>14.1</w:t>
      </w:r>
      <w:r>
        <w:rPr>
          <w:rFonts w:hint="eastAsia" w:ascii="宋体" w:hAnsi="宋体"/>
          <w:color w:val="auto"/>
          <w:sz w:val="21"/>
          <w:szCs w:val="21"/>
          <w:highlight w:val="none"/>
        </w:rPr>
        <w:t xml:space="preserve">乙方在签订合同的同时需向甲方交纳合同总金额1％的履约保证金（大写）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留作履保，乙方应当以</w:t>
      </w:r>
      <w:r>
        <w:rPr>
          <w:rFonts w:hint="eastAsia" w:ascii="宋体" w:hAnsi="宋体" w:cs="宋体"/>
          <w:color w:val="auto"/>
          <w:sz w:val="21"/>
          <w:szCs w:val="21"/>
          <w:highlight w:val="none"/>
        </w:rPr>
        <w:t>银行、保险公司等金融机构出具的保函、保险等非现金形式（可在政采云平台购买，咨询热线400-903-9583）</w:t>
      </w:r>
      <w:r>
        <w:rPr>
          <w:rFonts w:hint="eastAsia" w:ascii="宋体" w:hAnsi="宋体"/>
          <w:color w:val="auto"/>
          <w:sz w:val="21"/>
          <w:szCs w:val="21"/>
          <w:highlight w:val="none"/>
        </w:rPr>
        <w:t>。履约保证金的数额不得超过政府采购合同金额的1%。鼓励和支持乙方以履约保函形式提供履约保证金。</w:t>
      </w:r>
    </w:p>
    <w:p>
      <w:pPr>
        <w:pageBreakBefore w:val="0"/>
        <w:kinsoku/>
        <w:wordWrap/>
        <w:overflowPunct/>
        <w:topLinePunct w:val="0"/>
        <w:autoSpaceDE/>
        <w:autoSpaceDN/>
        <w:bidi w:val="0"/>
        <w:spacing w:line="460" w:lineRule="exact"/>
        <w:ind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rPr>
        <w:t>注：乙方可登录政采云平台－【金融服务】—【我的项目】—【已备案合同】以保函形式提供：</w:t>
      </w:r>
    </w:p>
    <w:p>
      <w:pPr>
        <w:pageBreakBefore w:val="0"/>
        <w:kinsoku/>
        <w:wordWrap/>
        <w:overflowPunct/>
        <w:topLinePunct w:val="0"/>
        <w:autoSpaceDE/>
        <w:autoSpaceDN/>
        <w:bidi w:val="0"/>
        <w:spacing w:line="460" w:lineRule="exact"/>
        <w:ind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rPr>
        <w:t>1）乙方在合同列表选择需要投保的合同，点击[保函推荐]。</w:t>
      </w:r>
    </w:p>
    <w:p>
      <w:pPr>
        <w:pageBreakBefore w:val="0"/>
        <w:kinsoku/>
        <w:wordWrap/>
        <w:overflowPunct/>
        <w:topLinePunct w:val="0"/>
        <w:autoSpaceDE/>
        <w:autoSpaceDN/>
        <w:bidi w:val="0"/>
        <w:spacing w:line="460" w:lineRule="exact"/>
        <w:ind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rPr>
        <w:t>2）在弹框里查看推荐的保函产品，乙方自行选择保函产品，点击[立即申请]。</w:t>
      </w:r>
    </w:p>
    <w:p>
      <w:pPr>
        <w:pageBreakBefore w:val="0"/>
        <w:kinsoku/>
        <w:wordWrap/>
        <w:overflowPunct/>
        <w:topLinePunct w:val="0"/>
        <w:autoSpaceDE/>
        <w:autoSpaceDN/>
        <w:bidi w:val="0"/>
        <w:spacing w:line="460" w:lineRule="exact"/>
        <w:ind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rPr>
        <w:t>3）在弹框里填写保函申请信息。具体步骤：选择产品—填写乙方信息—选择中标项目—确认信息—等待保险/保函受理—确认保单—支付保费—成功出单。政采云金融专线400-903-9583。</w:t>
      </w:r>
    </w:p>
    <w:p>
      <w:pPr>
        <w:pageBreakBefore w:val="0"/>
        <w:kinsoku/>
        <w:wordWrap/>
        <w:overflowPunct/>
        <w:topLinePunct w:val="0"/>
        <w:autoSpaceDE/>
        <w:autoSpaceDN/>
        <w:bidi w:val="0"/>
        <w:spacing w:line="460" w:lineRule="exact"/>
        <w:textAlignment w:val="auto"/>
        <w:rPr>
          <w:rFonts w:hint="eastAsia" w:ascii="宋体" w:hAnsi="宋体"/>
          <w:color w:val="auto"/>
          <w:sz w:val="21"/>
          <w:szCs w:val="21"/>
          <w:highlight w:val="none"/>
        </w:rPr>
      </w:pPr>
      <w:r>
        <w:rPr>
          <w:rFonts w:hint="eastAsia" w:ascii="宋体" w:hAnsi="宋体"/>
          <w:color w:val="auto"/>
          <w:sz w:val="21"/>
          <w:szCs w:val="21"/>
          <w:highlight w:val="none"/>
        </w:rPr>
        <w:t xml:space="preserve">   </w:t>
      </w:r>
      <w:r>
        <w:rPr>
          <w:rFonts w:hint="eastAsia" w:ascii="宋体" w:hAnsi="宋体"/>
          <w:color w:val="auto"/>
          <w:sz w:val="21"/>
          <w:szCs w:val="21"/>
          <w:highlight w:val="none"/>
          <w:lang w:val="en-US" w:eastAsia="zh-CN"/>
        </w:rPr>
        <w:t>14.2</w:t>
      </w:r>
      <w:r>
        <w:rPr>
          <w:rFonts w:hint="eastAsia" w:ascii="宋体" w:hAnsi="宋体"/>
          <w:color w:val="auto"/>
          <w:sz w:val="21"/>
          <w:szCs w:val="21"/>
          <w:highlight w:val="none"/>
        </w:rPr>
        <w:t>如乙方延期交（提）货，除人力不可抗拒的因素外，乙方应偿还延期违约金，按延期货物价值每日</w:t>
      </w:r>
      <w:r>
        <w:rPr>
          <w:rFonts w:hint="eastAsia" w:ascii="宋体" w:hAnsi="宋体"/>
          <w:color w:val="auto"/>
          <w:sz w:val="21"/>
          <w:szCs w:val="21"/>
          <w:highlight w:val="none"/>
          <w:u w:val="single"/>
        </w:rPr>
        <w:t>万分之四</w:t>
      </w:r>
      <w:r>
        <w:rPr>
          <w:rFonts w:hint="eastAsia" w:ascii="宋体" w:hAnsi="宋体"/>
          <w:color w:val="auto"/>
          <w:sz w:val="21"/>
          <w:szCs w:val="21"/>
          <w:highlight w:val="none"/>
        </w:rPr>
        <w:t>的标准从履约保证金中扣除。</w:t>
      </w:r>
    </w:p>
    <w:p>
      <w:pPr>
        <w:pageBreakBefore w:val="0"/>
        <w:kinsoku/>
        <w:wordWrap/>
        <w:overflowPunct/>
        <w:topLinePunct w:val="0"/>
        <w:autoSpaceDE/>
        <w:autoSpaceDN/>
        <w:bidi w:val="0"/>
        <w:spacing w:line="460" w:lineRule="exact"/>
        <w:textAlignment w:val="auto"/>
        <w:rPr>
          <w:rFonts w:hint="eastAsia" w:ascii="宋体" w:hAnsi="宋体"/>
          <w:color w:val="auto"/>
          <w:sz w:val="21"/>
          <w:szCs w:val="21"/>
          <w:highlight w:val="none"/>
        </w:rPr>
      </w:pPr>
      <w:r>
        <w:rPr>
          <w:rFonts w:hint="eastAsia" w:ascii="宋体" w:hAnsi="宋体"/>
          <w:color w:val="auto"/>
          <w:sz w:val="21"/>
          <w:szCs w:val="21"/>
          <w:highlight w:val="none"/>
        </w:rPr>
        <w:t xml:space="preserve">    </w:t>
      </w:r>
      <w:r>
        <w:rPr>
          <w:rFonts w:hint="eastAsia" w:ascii="宋体" w:hAnsi="宋体"/>
          <w:color w:val="auto"/>
          <w:sz w:val="21"/>
          <w:szCs w:val="21"/>
          <w:highlight w:val="none"/>
          <w:lang w:val="en-US" w:eastAsia="zh-CN"/>
        </w:rPr>
        <w:t>14.3</w:t>
      </w:r>
      <w:r>
        <w:rPr>
          <w:rFonts w:hint="eastAsia" w:ascii="宋体" w:hAnsi="宋体"/>
          <w:color w:val="auto"/>
          <w:sz w:val="21"/>
          <w:szCs w:val="21"/>
          <w:highlight w:val="none"/>
        </w:rPr>
        <w:t>如甲方延期付款时（有正当拒付理由者除外）应向乙方偿还延期付款违约金，按每日托收金额的</w:t>
      </w:r>
      <w:r>
        <w:rPr>
          <w:rFonts w:hint="eastAsia" w:ascii="宋体" w:hAnsi="宋体"/>
          <w:color w:val="auto"/>
          <w:sz w:val="21"/>
          <w:szCs w:val="21"/>
          <w:highlight w:val="none"/>
          <w:u w:val="single"/>
        </w:rPr>
        <w:t>万分之四</w:t>
      </w:r>
      <w:r>
        <w:rPr>
          <w:rFonts w:hint="eastAsia" w:ascii="宋体" w:hAnsi="宋体"/>
          <w:color w:val="auto"/>
          <w:sz w:val="21"/>
          <w:szCs w:val="21"/>
          <w:highlight w:val="none"/>
        </w:rPr>
        <w:t>计算。</w:t>
      </w:r>
    </w:p>
    <w:p>
      <w:pPr>
        <w:pageBreakBefore w:val="0"/>
        <w:kinsoku/>
        <w:wordWrap/>
        <w:overflowPunct/>
        <w:topLinePunct w:val="0"/>
        <w:autoSpaceDE/>
        <w:autoSpaceDN/>
        <w:bidi w:val="0"/>
        <w:spacing w:line="460" w:lineRule="exact"/>
        <w:textAlignment w:val="auto"/>
        <w:rPr>
          <w:rFonts w:hint="eastAsia" w:ascii="宋体" w:hAnsi="宋体"/>
          <w:color w:val="auto"/>
          <w:sz w:val="21"/>
          <w:szCs w:val="21"/>
          <w:highlight w:val="none"/>
        </w:rPr>
      </w:pPr>
      <w:r>
        <w:rPr>
          <w:rFonts w:hint="eastAsia" w:ascii="宋体" w:hAnsi="宋体"/>
          <w:color w:val="auto"/>
          <w:sz w:val="21"/>
          <w:szCs w:val="21"/>
          <w:highlight w:val="none"/>
        </w:rPr>
        <w:t xml:space="preserve"> </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 xml:space="preserve"> </w:t>
      </w:r>
      <w:r>
        <w:rPr>
          <w:rFonts w:hint="eastAsia" w:ascii="宋体" w:hAnsi="宋体"/>
          <w:color w:val="auto"/>
          <w:sz w:val="21"/>
          <w:szCs w:val="21"/>
          <w:highlight w:val="none"/>
          <w:lang w:val="en-US" w:eastAsia="zh-CN"/>
        </w:rPr>
        <w:t>14.4</w:t>
      </w:r>
      <w:r>
        <w:rPr>
          <w:rFonts w:hint="eastAsia" w:ascii="宋体" w:hAnsi="宋体"/>
          <w:color w:val="auto"/>
          <w:sz w:val="21"/>
          <w:szCs w:val="21"/>
          <w:highlight w:val="none"/>
        </w:rPr>
        <w:t>由于甲方延期的原因要求延期交货时，甲方应按规定承付货款，并承担乙方所提供的代为保管费用（按有关仓储规定另议）。</w:t>
      </w:r>
    </w:p>
    <w:p>
      <w:pPr>
        <w:keepNext/>
        <w:keepLines/>
        <w:pageBreakBefore w:val="0"/>
        <w:kinsoku/>
        <w:wordWrap/>
        <w:overflowPunct/>
        <w:topLinePunct w:val="0"/>
        <w:autoSpaceDE/>
        <w:autoSpaceDN/>
        <w:bidi w:val="0"/>
        <w:snapToGrid w:val="0"/>
        <w:spacing w:line="460" w:lineRule="exact"/>
        <w:ind w:firstLine="422" w:firstLineChars="200"/>
        <w:textAlignment w:val="auto"/>
        <w:outlineLvl w:val="1"/>
        <w:rPr>
          <w:rFonts w:hint="eastAsia" w:ascii="宋体" w:hAnsi="宋体" w:cs="宋体"/>
          <w:b/>
          <w:bCs/>
          <w:color w:val="auto"/>
          <w:sz w:val="21"/>
          <w:szCs w:val="21"/>
          <w:highlight w:val="none"/>
        </w:rPr>
      </w:pPr>
      <w:r>
        <w:rPr>
          <w:rFonts w:hint="eastAsia" w:ascii="宋体" w:hAnsi="宋体" w:cs="宋体"/>
          <w:b/>
          <w:bCs/>
          <w:color w:val="auto"/>
          <w:sz w:val="21"/>
          <w:szCs w:val="21"/>
          <w:highlight w:val="none"/>
          <w:lang w:val="en-US" w:eastAsia="zh-CN"/>
        </w:rPr>
        <w:t>15</w:t>
      </w:r>
      <w:r>
        <w:rPr>
          <w:rFonts w:hint="eastAsia" w:ascii="宋体" w:hAnsi="宋体" w:cs="宋体"/>
          <w:b/>
          <w:bCs/>
          <w:color w:val="auto"/>
          <w:sz w:val="21"/>
          <w:szCs w:val="21"/>
          <w:highlight w:val="none"/>
        </w:rPr>
        <w:t>．不可抗力</w:t>
      </w:r>
      <w:bookmarkEnd w:id="34"/>
      <w:bookmarkEnd w:id="35"/>
      <w:bookmarkEnd w:id="36"/>
      <w:bookmarkEnd w:id="37"/>
    </w:p>
    <w:p>
      <w:pPr>
        <w:pageBreakBefore w:val="0"/>
        <w:kinsoku/>
        <w:wordWrap/>
        <w:overflowPunct/>
        <w:topLinePunct w:val="0"/>
        <w:autoSpaceDE/>
        <w:autoSpaceDN/>
        <w:bidi w:val="0"/>
        <w:snapToGrid w:val="0"/>
        <w:spacing w:line="46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15</w:t>
      </w:r>
      <w:r>
        <w:rPr>
          <w:rFonts w:hint="eastAsia" w:ascii="宋体" w:hAnsi="宋体" w:cs="宋体"/>
          <w:color w:val="auto"/>
          <w:sz w:val="21"/>
          <w:szCs w:val="21"/>
          <w:highlight w:val="none"/>
        </w:rPr>
        <w:t>.1不可抗力事故系指甲乙双方在缔结合同时所不能预见的，并且它的发生及其后果无法避免和无法克服的事故。</w:t>
      </w:r>
    </w:p>
    <w:p>
      <w:pPr>
        <w:pStyle w:val="36"/>
        <w:pageBreakBefore w:val="0"/>
        <w:kinsoku/>
        <w:wordWrap/>
        <w:overflowPunct/>
        <w:topLinePunct w:val="0"/>
        <w:autoSpaceDE/>
        <w:autoSpaceDN/>
        <w:bidi w:val="0"/>
        <w:spacing w:before="0" w:beforeAutospacing="0" w:after="0" w:afterAutospacing="0" w:line="460" w:lineRule="exact"/>
        <w:ind w:firstLine="420" w:firstLineChars="200"/>
        <w:textAlignment w:val="auto"/>
        <w:rPr>
          <w:rFonts w:hint="eastAsia" w:cs="宋体"/>
          <w:color w:val="auto"/>
          <w:sz w:val="21"/>
          <w:szCs w:val="21"/>
          <w:highlight w:val="none"/>
        </w:rPr>
      </w:pPr>
      <w:r>
        <w:rPr>
          <w:rFonts w:hint="eastAsia" w:cs="宋体"/>
          <w:color w:val="auto"/>
          <w:sz w:val="21"/>
          <w:szCs w:val="21"/>
          <w:highlight w:val="none"/>
        </w:rPr>
        <w:t>1</w:t>
      </w:r>
      <w:r>
        <w:rPr>
          <w:rFonts w:hint="eastAsia" w:cs="宋体"/>
          <w:color w:val="auto"/>
          <w:sz w:val="21"/>
          <w:szCs w:val="21"/>
          <w:highlight w:val="none"/>
          <w:lang w:val="en-US" w:eastAsia="zh-CN"/>
        </w:rPr>
        <w:t>5</w:t>
      </w:r>
      <w:r>
        <w:rPr>
          <w:rFonts w:hint="eastAsia" w:cs="宋体"/>
          <w:color w:val="auto"/>
          <w:sz w:val="21"/>
          <w:szCs w:val="21"/>
          <w:highlight w:val="none"/>
        </w:rPr>
        <w:t>.2签约双方任一方由于不可抗力事故的影响而不能执行合同时，当事方应尽快以书面形式将不可抗力的情况和原因通知对方。合同各方应尽可能继续履行合同义务，并积极寻求采取合理的措施履行不受不可抗力影响的其他事项。合同各方应通过友好协商在合理的时间内达成进一步履行合同。</w:t>
      </w:r>
    </w:p>
    <w:p>
      <w:pPr>
        <w:pageBreakBefore w:val="0"/>
        <w:kinsoku/>
        <w:wordWrap/>
        <w:overflowPunct/>
        <w:topLinePunct w:val="0"/>
        <w:autoSpaceDE/>
        <w:autoSpaceDN/>
        <w:bidi w:val="0"/>
        <w:spacing w:line="460" w:lineRule="exact"/>
        <w:ind w:firstLine="422" w:firstLineChars="200"/>
        <w:textAlignment w:val="auto"/>
        <w:rPr>
          <w:rFonts w:hint="eastAsia" w:ascii="宋体" w:hAnsi="宋体" w:cs="宋体"/>
          <w:color w:val="auto"/>
          <w:sz w:val="21"/>
          <w:szCs w:val="21"/>
          <w:highlight w:val="none"/>
        </w:rPr>
      </w:pPr>
      <w:r>
        <w:rPr>
          <w:rFonts w:hint="eastAsia" w:ascii="宋体" w:hAnsi="宋体" w:cs="宋体"/>
          <w:b/>
          <w:color w:val="auto"/>
          <w:sz w:val="21"/>
          <w:szCs w:val="21"/>
          <w:highlight w:val="none"/>
        </w:rPr>
        <w:t>1</w:t>
      </w:r>
      <w:r>
        <w:rPr>
          <w:rFonts w:hint="eastAsia" w:ascii="宋体" w:hAnsi="宋体" w:cs="宋体"/>
          <w:b/>
          <w:color w:val="auto"/>
          <w:sz w:val="21"/>
          <w:szCs w:val="21"/>
          <w:highlight w:val="none"/>
          <w:lang w:val="en-US" w:eastAsia="zh-CN"/>
        </w:rPr>
        <w:t>6</w:t>
      </w:r>
      <w:r>
        <w:rPr>
          <w:rFonts w:hint="eastAsia" w:ascii="宋体" w:hAnsi="宋体" w:cs="宋体"/>
          <w:b/>
          <w:color w:val="auto"/>
          <w:sz w:val="21"/>
          <w:szCs w:val="21"/>
          <w:highlight w:val="none"/>
        </w:rPr>
        <w:t>、合同相关文件：</w:t>
      </w:r>
      <w:r>
        <w:rPr>
          <w:rFonts w:hint="eastAsia" w:ascii="宋体" w:hAnsi="宋体" w:cs="宋体"/>
          <w:color w:val="auto"/>
          <w:sz w:val="21"/>
          <w:szCs w:val="21"/>
          <w:highlight w:val="none"/>
        </w:rPr>
        <w:t>有关本次采购项目的采购文件以及相关的函件如答疑函、承诺函等均为本合同不可分割的一部分。若“本次采购项目的采购文件以及相关的函件、如答疑函、承诺函”与本合同有出入时，以“本次采购项目的采购文件以及相关的函件如答疑函、承诺函”为准。</w:t>
      </w:r>
    </w:p>
    <w:p>
      <w:pPr>
        <w:pageBreakBefore w:val="0"/>
        <w:kinsoku/>
        <w:wordWrap/>
        <w:overflowPunct/>
        <w:topLinePunct w:val="0"/>
        <w:autoSpaceDE/>
        <w:autoSpaceDN/>
        <w:bidi w:val="0"/>
        <w:spacing w:line="460" w:lineRule="exact"/>
        <w:ind w:firstLine="422" w:firstLineChars="200"/>
        <w:textAlignment w:val="auto"/>
        <w:rPr>
          <w:rFonts w:hint="eastAsia" w:ascii="宋体" w:hAnsi="宋体" w:cs="宋体"/>
          <w:color w:val="auto"/>
          <w:sz w:val="21"/>
          <w:szCs w:val="21"/>
          <w:highlight w:val="none"/>
        </w:rPr>
      </w:pPr>
      <w:r>
        <w:rPr>
          <w:rFonts w:hint="eastAsia" w:ascii="宋体" w:hAnsi="宋体" w:cs="宋体"/>
          <w:b/>
          <w:color w:val="auto"/>
          <w:sz w:val="21"/>
          <w:szCs w:val="21"/>
          <w:highlight w:val="none"/>
        </w:rPr>
        <w:t>1</w:t>
      </w:r>
      <w:r>
        <w:rPr>
          <w:rFonts w:hint="eastAsia" w:ascii="宋体" w:hAnsi="宋体" w:cs="宋体"/>
          <w:b/>
          <w:color w:val="auto"/>
          <w:sz w:val="21"/>
          <w:szCs w:val="21"/>
          <w:highlight w:val="none"/>
          <w:lang w:val="en-US" w:eastAsia="zh-CN"/>
        </w:rPr>
        <w:t>7</w:t>
      </w:r>
      <w:r>
        <w:rPr>
          <w:rFonts w:hint="eastAsia" w:ascii="宋体" w:hAnsi="宋体" w:cs="宋体"/>
          <w:b/>
          <w:color w:val="auto"/>
          <w:sz w:val="21"/>
          <w:szCs w:val="21"/>
          <w:highlight w:val="none"/>
        </w:rPr>
        <w:t>、合同在执行过程中出现的未尽事宜，</w:t>
      </w:r>
      <w:r>
        <w:rPr>
          <w:rFonts w:hint="eastAsia" w:ascii="宋体" w:hAnsi="宋体" w:cs="宋体"/>
          <w:color w:val="auto"/>
          <w:sz w:val="21"/>
          <w:szCs w:val="21"/>
          <w:highlight w:val="none"/>
        </w:rPr>
        <w:t>双方在不违背本合同和采购（招标）文件的原则下，协商解决，协商结果以书面形式盖章记录在案，作为本合同的附件，具有同等效力。</w:t>
      </w:r>
    </w:p>
    <w:p>
      <w:pPr>
        <w:pageBreakBefore w:val="0"/>
        <w:kinsoku/>
        <w:wordWrap/>
        <w:overflowPunct/>
        <w:topLinePunct w:val="0"/>
        <w:autoSpaceDE/>
        <w:autoSpaceDN/>
        <w:bidi w:val="0"/>
        <w:spacing w:line="460" w:lineRule="exact"/>
        <w:ind w:firstLine="422" w:firstLineChars="200"/>
        <w:textAlignment w:val="auto"/>
        <w:rPr>
          <w:rFonts w:hint="eastAsia" w:ascii="宋体" w:hAnsi="宋体" w:cs="宋体"/>
          <w:color w:val="auto"/>
          <w:sz w:val="21"/>
          <w:szCs w:val="21"/>
          <w:highlight w:val="none"/>
        </w:rPr>
      </w:pPr>
      <w:r>
        <w:rPr>
          <w:rFonts w:hint="eastAsia" w:ascii="宋体" w:hAnsi="宋体" w:cs="宋体"/>
          <w:b/>
          <w:color w:val="auto"/>
          <w:sz w:val="21"/>
          <w:szCs w:val="21"/>
          <w:highlight w:val="none"/>
        </w:rPr>
        <w:t>1</w:t>
      </w:r>
      <w:r>
        <w:rPr>
          <w:rFonts w:hint="eastAsia" w:ascii="宋体" w:hAnsi="宋体" w:cs="宋体"/>
          <w:b/>
          <w:color w:val="auto"/>
          <w:sz w:val="21"/>
          <w:szCs w:val="21"/>
          <w:highlight w:val="none"/>
          <w:lang w:val="en-US" w:eastAsia="zh-CN"/>
        </w:rPr>
        <w:t>8</w:t>
      </w:r>
      <w:r>
        <w:rPr>
          <w:rFonts w:hint="eastAsia" w:ascii="宋体" w:hAnsi="宋体" w:cs="宋体"/>
          <w:b/>
          <w:color w:val="auto"/>
          <w:sz w:val="21"/>
          <w:szCs w:val="21"/>
          <w:highlight w:val="none"/>
        </w:rPr>
        <w:t>、合同争议处理方式：</w:t>
      </w:r>
      <w:r>
        <w:rPr>
          <w:rFonts w:hint="eastAsia" w:ascii="宋体" w:hAnsi="宋体" w:cs="宋体"/>
          <w:color w:val="auto"/>
          <w:sz w:val="21"/>
          <w:szCs w:val="21"/>
          <w:highlight w:val="none"/>
        </w:rPr>
        <w:t>本合同在履行中若发生争议，双方应协商解决。协商不成时，按下列第</w:t>
      </w:r>
      <w:r>
        <w:rPr>
          <w:rFonts w:hint="eastAsia" w:ascii="宋体" w:hAnsi="宋体" w:cs="宋体"/>
          <w:color w:val="auto"/>
          <w:sz w:val="21"/>
          <w:szCs w:val="21"/>
          <w:highlight w:val="none"/>
          <w:u w:val="single"/>
        </w:rPr>
        <w:t xml:space="preserve"> 2 </w:t>
      </w:r>
      <w:r>
        <w:rPr>
          <w:rFonts w:hint="eastAsia" w:ascii="宋体" w:hAnsi="宋体" w:cs="宋体"/>
          <w:color w:val="auto"/>
          <w:sz w:val="21"/>
          <w:szCs w:val="21"/>
          <w:highlight w:val="none"/>
        </w:rPr>
        <w:t>种方式处理：</w:t>
      </w:r>
    </w:p>
    <w:p>
      <w:pPr>
        <w:pageBreakBefore w:val="0"/>
        <w:kinsoku/>
        <w:wordWrap/>
        <w:overflowPunct/>
        <w:topLinePunct w:val="0"/>
        <w:autoSpaceDE/>
        <w:autoSpaceDN/>
        <w:bidi w:val="0"/>
        <w:spacing w:line="46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（1）提交</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仲裁委员会仲裁。    （2）依法向</w:t>
      </w:r>
      <w:r>
        <w:rPr>
          <w:rFonts w:hint="eastAsia" w:ascii="宋体" w:hAnsi="宋体" w:cs="宋体"/>
          <w:color w:val="auto"/>
          <w:sz w:val="21"/>
          <w:szCs w:val="21"/>
          <w:highlight w:val="none"/>
          <w:u w:val="single"/>
        </w:rPr>
        <w:t>兰溪市人民法院</w:t>
      </w:r>
      <w:r>
        <w:rPr>
          <w:rFonts w:hint="eastAsia" w:ascii="宋体" w:hAnsi="宋体" w:cs="宋体"/>
          <w:color w:val="auto"/>
          <w:sz w:val="21"/>
          <w:szCs w:val="21"/>
          <w:highlight w:val="none"/>
        </w:rPr>
        <w:t>起诉。</w:t>
      </w:r>
    </w:p>
    <w:p>
      <w:pPr>
        <w:pageBreakBefore w:val="0"/>
        <w:kinsoku/>
        <w:wordWrap/>
        <w:overflowPunct/>
        <w:topLinePunct w:val="0"/>
        <w:autoSpaceDE/>
        <w:autoSpaceDN/>
        <w:bidi w:val="0"/>
        <w:spacing w:line="460" w:lineRule="exact"/>
        <w:ind w:firstLine="435"/>
        <w:textAlignment w:val="auto"/>
        <w:rPr>
          <w:rFonts w:hint="eastAsia"/>
          <w:color w:val="auto"/>
          <w:sz w:val="21"/>
          <w:highlight w:val="none"/>
        </w:rPr>
      </w:pPr>
      <w:r>
        <w:rPr>
          <w:rFonts w:hAnsi="宋体"/>
          <w:color w:val="auto"/>
          <w:sz w:val="21"/>
          <w:highlight w:val="none"/>
        </w:rPr>
        <w:t>本合同一式</w:t>
      </w:r>
      <w:r>
        <w:rPr>
          <w:rFonts w:hint="eastAsia" w:hAnsi="宋体"/>
          <w:color w:val="auto"/>
          <w:sz w:val="21"/>
          <w:highlight w:val="none"/>
        </w:rPr>
        <w:t>五</w:t>
      </w:r>
      <w:r>
        <w:rPr>
          <w:rFonts w:hAnsi="宋体"/>
          <w:color w:val="auto"/>
          <w:sz w:val="21"/>
          <w:highlight w:val="none"/>
        </w:rPr>
        <w:t>份，甲、乙双方各执二份</w:t>
      </w:r>
      <w:r>
        <w:rPr>
          <w:rFonts w:hint="eastAsia" w:hAnsi="宋体"/>
          <w:color w:val="auto"/>
          <w:sz w:val="21"/>
          <w:highlight w:val="none"/>
        </w:rPr>
        <w:t>，</w:t>
      </w:r>
      <w:r>
        <w:rPr>
          <w:rFonts w:hint="eastAsia"/>
          <w:color w:val="auto"/>
          <w:sz w:val="21"/>
          <w:highlight w:val="none"/>
        </w:rPr>
        <w:t>浙江中兰工程项目管理有限公司</w:t>
      </w:r>
      <w:r>
        <w:rPr>
          <w:color w:val="auto"/>
          <w:sz w:val="21"/>
          <w:highlight w:val="none"/>
        </w:rPr>
        <w:t>一份</w:t>
      </w:r>
      <w:r>
        <w:rPr>
          <w:rFonts w:hAnsi="宋体"/>
          <w:color w:val="auto"/>
          <w:sz w:val="21"/>
          <w:highlight w:val="none"/>
        </w:rPr>
        <w:t>。</w:t>
      </w:r>
    </w:p>
    <w:p>
      <w:pPr>
        <w:pageBreakBefore w:val="0"/>
        <w:kinsoku/>
        <w:wordWrap/>
        <w:overflowPunct/>
        <w:topLinePunct w:val="0"/>
        <w:autoSpaceDE/>
        <w:autoSpaceDN/>
        <w:bidi w:val="0"/>
        <w:spacing w:line="460" w:lineRule="exact"/>
        <w:ind w:firstLine="435"/>
        <w:textAlignment w:val="auto"/>
        <w:rPr>
          <w:color w:val="auto"/>
          <w:sz w:val="21"/>
          <w:highlight w:val="none"/>
        </w:rPr>
      </w:pPr>
      <w:r>
        <w:rPr>
          <w:rFonts w:hAnsi="宋体"/>
          <w:color w:val="auto"/>
          <w:sz w:val="21"/>
          <w:highlight w:val="none"/>
        </w:rPr>
        <w:t>合同附件和本合同均具有同等法律效力。</w:t>
      </w:r>
    </w:p>
    <w:p>
      <w:pPr>
        <w:pageBreakBefore w:val="0"/>
        <w:kinsoku/>
        <w:wordWrap/>
        <w:overflowPunct/>
        <w:topLinePunct w:val="0"/>
        <w:autoSpaceDE/>
        <w:autoSpaceDN/>
        <w:bidi w:val="0"/>
        <w:spacing w:line="46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本合同有效期限：自签订之日起生效。</w:t>
      </w:r>
    </w:p>
    <w:p>
      <w:pPr>
        <w:spacing w:line="440" w:lineRule="exact"/>
        <w:rPr>
          <w:color w:val="auto"/>
          <w:sz w:val="21"/>
          <w:szCs w:val="21"/>
          <w:highlight w:val="none"/>
        </w:rPr>
      </w:pP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77"/>
        <w:gridCol w:w="4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2" w:hRule="exact"/>
          <w:jc w:val="center"/>
        </w:trPr>
        <w:tc>
          <w:tcPr>
            <w:tcW w:w="4377" w:type="dxa"/>
            <w:noWrap w:val="0"/>
            <w:vAlign w:val="top"/>
          </w:tcPr>
          <w:p>
            <w:pPr>
              <w:spacing w:line="338" w:lineRule="exact"/>
              <w:jc w:val="center"/>
              <w:rPr>
                <w:color w:val="auto"/>
                <w:sz w:val="21"/>
                <w:szCs w:val="21"/>
                <w:highlight w:val="none"/>
              </w:rPr>
            </w:pPr>
            <w:r>
              <w:rPr>
                <w:color w:val="auto"/>
                <w:sz w:val="21"/>
                <w:szCs w:val="21"/>
                <w:highlight w:val="none"/>
              </w:rPr>
              <w:t>甲方</w:t>
            </w:r>
          </w:p>
          <w:p>
            <w:pPr>
              <w:spacing w:line="338" w:lineRule="exact"/>
              <w:rPr>
                <w:color w:val="auto"/>
                <w:sz w:val="21"/>
                <w:szCs w:val="21"/>
                <w:highlight w:val="none"/>
              </w:rPr>
            </w:pPr>
            <w:r>
              <w:rPr>
                <w:color w:val="auto"/>
                <w:sz w:val="21"/>
                <w:szCs w:val="21"/>
                <w:highlight w:val="none"/>
              </w:rPr>
              <w:t>单位名称（章）：</w:t>
            </w:r>
          </w:p>
          <w:p>
            <w:pPr>
              <w:spacing w:line="338" w:lineRule="exact"/>
              <w:rPr>
                <w:color w:val="auto"/>
                <w:sz w:val="21"/>
                <w:szCs w:val="21"/>
                <w:highlight w:val="none"/>
              </w:rPr>
            </w:pPr>
          </w:p>
          <w:p>
            <w:pPr>
              <w:spacing w:line="338" w:lineRule="exact"/>
              <w:rPr>
                <w:color w:val="auto"/>
                <w:sz w:val="21"/>
                <w:szCs w:val="21"/>
                <w:highlight w:val="none"/>
              </w:rPr>
            </w:pPr>
            <w:r>
              <w:rPr>
                <w:color w:val="auto"/>
                <w:sz w:val="21"/>
                <w:szCs w:val="21"/>
                <w:highlight w:val="none"/>
              </w:rPr>
              <w:t>单位地址：</w:t>
            </w:r>
          </w:p>
          <w:p>
            <w:pPr>
              <w:spacing w:line="338" w:lineRule="exact"/>
              <w:rPr>
                <w:color w:val="auto"/>
                <w:sz w:val="21"/>
                <w:szCs w:val="21"/>
                <w:highlight w:val="none"/>
              </w:rPr>
            </w:pPr>
          </w:p>
          <w:p>
            <w:pPr>
              <w:spacing w:line="338" w:lineRule="exact"/>
              <w:rPr>
                <w:color w:val="auto"/>
                <w:sz w:val="21"/>
                <w:szCs w:val="21"/>
                <w:highlight w:val="none"/>
              </w:rPr>
            </w:pPr>
            <w:r>
              <w:rPr>
                <w:color w:val="auto"/>
                <w:sz w:val="21"/>
                <w:szCs w:val="21"/>
                <w:highlight w:val="none"/>
              </w:rPr>
              <w:t>法定代表人（签字）：</w:t>
            </w:r>
          </w:p>
          <w:p>
            <w:pPr>
              <w:spacing w:line="338" w:lineRule="exact"/>
              <w:rPr>
                <w:color w:val="auto"/>
                <w:sz w:val="21"/>
                <w:szCs w:val="21"/>
                <w:highlight w:val="none"/>
              </w:rPr>
            </w:pPr>
            <w:r>
              <w:rPr>
                <w:color w:val="auto"/>
                <w:sz w:val="21"/>
                <w:szCs w:val="21"/>
                <w:highlight w:val="none"/>
              </w:rPr>
              <w:t>委托代理人（签字）：</w:t>
            </w:r>
          </w:p>
          <w:p>
            <w:pPr>
              <w:spacing w:line="338" w:lineRule="exact"/>
              <w:rPr>
                <w:color w:val="auto"/>
                <w:sz w:val="21"/>
                <w:szCs w:val="21"/>
                <w:highlight w:val="none"/>
              </w:rPr>
            </w:pPr>
            <w:r>
              <w:rPr>
                <w:color w:val="auto"/>
                <w:sz w:val="21"/>
                <w:szCs w:val="21"/>
                <w:highlight w:val="none"/>
              </w:rPr>
              <w:t>电话：</w:t>
            </w:r>
          </w:p>
          <w:p>
            <w:pPr>
              <w:spacing w:line="338" w:lineRule="exact"/>
              <w:rPr>
                <w:color w:val="auto"/>
                <w:sz w:val="21"/>
                <w:szCs w:val="21"/>
                <w:highlight w:val="none"/>
              </w:rPr>
            </w:pPr>
            <w:r>
              <w:rPr>
                <w:color w:val="auto"/>
                <w:sz w:val="21"/>
                <w:szCs w:val="21"/>
                <w:highlight w:val="none"/>
              </w:rPr>
              <w:t>开户银行：</w:t>
            </w:r>
          </w:p>
          <w:p>
            <w:pPr>
              <w:spacing w:line="338" w:lineRule="exact"/>
              <w:rPr>
                <w:color w:val="auto"/>
                <w:sz w:val="21"/>
                <w:szCs w:val="21"/>
                <w:highlight w:val="none"/>
              </w:rPr>
            </w:pPr>
            <w:r>
              <w:rPr>
                <w:rFonts w:hint="eastAsia"/>
                <w:color w:val="auto"/>
                <w:sz w:val="21"/>
                <w:szCs w:val="21"/>
                <w:highlight w:val="none"/>
              </w:rPr>
              <w:t>账号</w:t>
            </w:r>
            <w:r>
              <w:rPr>
                <w:color w:val="auto"/>
                <w:sz w:val="21"/>
                <w:szCs w:val="21"/>
                <w:highlight w:val="none"/>
              </w:rPr>
              <w:t>：</w:t>
            </w:r>
          </w:p>
          <w:p>
            <w:pPr>
              <w:spacing w:line="338" w:lineRule="exact"/>
              <w:rPr>
                <w:color w:val="auto"/>
                <w:sz w:val="21"/>
                <w:szCs w:val="21"/>
                <w:highlight w:val="none"/>
              </w:rPr>
            </w:pPr>
          </w:p>
          <w:p>
            <w:pPr>
              <w:spacing w:line="338" w:lineRule="exact"/>
              <w:rPr>
                <w:color w:val="auto"/>
                <w:sz w:val="21"/>
                <w:szCs w:val="21"/>
                <w:highlight w:val="none"/>
              </w:rPr>
            </w:pPr>
            <w:r>
              <w:rPr>
                <w:color w:val="auto"/>
                <w:sz w:val="21"/>
                <w:szCs w:val="21"/>
                <w:highlight w:val="none"/>
              </w:rPr>
              <w:t>邮政编码：</w:t>
            </w:r>
          </w:p>
        </w:tc>
        <w:tc>
          <w:tcPr>
            <w:tcW w:w="4524" w:type="dxa"/>
            <w:noWrap w:val="0"/>
            <w:vAlign w:val="top"/>
          </w:tcPr>
          <w:p>
            <w:pPr>
              <w:spacing w:line="338" w:lineRule="exact"/>
              <w:jc w:val="center"/>
              <w:rPr>
                <w:color w:val="auto"/>
                <w:sz w:val="21"/>
                <w:szCs w:val="21"/>
                <w:highlight w:val="none"/>
              </w:rPr>
            </w:pPr>
            <w:r>
              <w:rPr>
                <w:color w:val="auto"/>
                <w:sz w:val="21"/>
                <w:szCs w:val="21"/>
                <w:highlight w:val="none"/>
              </w:rPr>
              <w:t>乙方</w:t>
            </w:r>
          </w:p>
          <w:p>
            <w:pPr>
              <w:spacing w:line="338" w:lineRule="exact"/>
              <w:rPr>
                <w:color w:val="auto"/>
                <w:sz w:val="21"/>
                <w:szCs w:val="21"/>
                <w:highlight w:val="none"/>
              </w:rPr>
            </w:pPr>
            <w:r>
              <w:rPr>
                <w:color w:val="auto"/>
                <w:sz w:val="21"/>
                <w:szCs w:val="21"/>
                <w:highlight w:val="none"/>
              </w:rPr>
              <w:t>单位名称（章）：</w:t>
            </w:r>
          </w:p>
          <w:p>
            <w:pPr>
              <w:spacing w:line="338" w:lineRule="exact"/>
              <w:rPr>
                <w:color w:val="auto"/>
                <w:sz w:val="21"/>
                <w:szCs w:val="21"/>
                <w:highlight w:val="none"/>
              </w:rPr>
            </w:pPr>
          </w:p>
          <w:p>
            <w:pPr>
              <w:spacing w:line="338" w:lineRule="exact"/>
              <w:rPr>
                <w:color w:val="auto"/>
                <w:sz w:val="21"/>
                <w:szCs w:val="21"/>
                <w:highlight w:val="none"/>
              </w:rPr>
            </w:pPr>
            <w:r>
              <w:rPr>
                <w:color w:val="auto"/>
                <w:sz w:val="21"/>
                <w:szCs w:val="21"/>
                <w:highlight w:val="none"/>
              </w:rPr>
              <w:t>单位地址：</w:t>
            </w:r>
          </w:p>
          <w:p>
            <w:pPr>
              <w:spacing w:line="338" w:lineRule="exact"/>
              <w:rPr>
                <w:color w:val="auto"/>
                <w:sz w:val="21"/>
                <w:szCs w:val="21"/>
                <w:highlight w:val="none"/>
              </w:rPr>
            </w:pPr>
          </w:p>
          <w:p>
            <w:pPr>
              <w:spacing w:line="338" w:lineRule="exact"/>
              <w:rPr>
                <w:color w:val="auto"/>
                <w:sz w:val="21"/>
                <w:szCs w:val="21"/>
                <w:highlight w:val="none"/>
              </w:rPr>
            </w:pPr>
            <w:r>
              <w:rPr>
                <w:color w:val="auto"/>
                <w:sz w:val="21"/>
                <w:szCs w:val="21"/>
                <w:highlight w:val="none"/>
              </w:rPr>
              <w:t>法定代表人（签字）：</w:t>
            </w:r>
          </w:p>
          <w:p>
            <w:pPr>
              <w:spacing w:line="338" w:lineRule="exact"/>
              <w:rPr>
                <w:color w:val="auto"/>
                <w:sz w:val="21"/>
                <w:szCs w:val="21"/>
                <w:highlight w:val="none"/>
              </w:rPr>
            </w:pPr>
            <w:r>
              <w:rPr>
                <w:color w:val="auto"/>
                <w:sz w:val="21"/>
                <w:szCs w:val="21"/>
                <w:highlight w:val="none"/>
              </w:rPr>
              <w:t>委托代理人（签字）：</w:t>
            </w:r>
          </w:p>
          <w:p>
            <w:pPr>
              <w:spacing w:line="338" w:lineRule="exact"/>
              <w:rPr>
                <w:color w:val="auto"/>
                <w:sz w:val="21"/>
                <w:szCs w:val="21"/>
                <w:highlight w:val="none"/>
              </w:rPr>
            </w:pPr>
            <w:r>
              <w:rPr>
                <w:color w:val="auto"/>
                <w:sz w:val="21"/>
                <w:szCs w:val="21"/>
                <w:highlight w:val="none"/>
              </w:rPr>
              <w:t>电话：</w:t>
            </w:r>
          </w:p>
          <w:p>
            <w:pPr>
              <w:spacing w:line="338" w:lineRule="exact"/>
              <w:rPr>
                <w:color w:val="auto"/>
                <w:sz w:val="21"/>
                <w:szCs w:val="21"/>
                <w:highlight w:val="none"/>
              </w:rPr>
            </w:pPr>
            <w:r>
              <w:rPr>
                <w:color w:val="auto"/>
                <w:sz w:val="21"/>
                <w:szCs w:val="21"/>
                <w:highlight w:val="none"/>
              </w:rPr>
              <w:t>开户银行：</w:t>
            </w:r>
          </w:p>
          <w:p>
            <w:pPr>
              <w:spacing w:line="338" w:lineRule="exact"/>
              <w:rPr>
                <w:color w:val="auto"/>
                <w:sz w:val="21"/>
                <w:szCs w:val="21"/>
                <w:highlight w:val="none"/>
              </w:rPr>
            </w:pPr>
            <w:r>
              <w:rPr>
                <w:rFonts w:hint="eastAsia"/>
                <w:color w:val="auto"/>
                <w:sz w:val="21"/>
                <w:szCs w:val="21"/>
                <w:highlight w:val="none"/>
              </w:rPr>
              <w:t>账号</w:t>
            </w:r>
            <w:r>
              <w:rPr>
                <w:color w:val="auto"/>
                <w:sz w:val="21"/>
                <w:szCs w:val="21"/>
                <w:highlight w:val="none"/>
              </w:rPr>
              <w:t>：</w:t>
            </w:r>
          </w:p>
          <w:p>
            <w:pPr>
              <w:spacing w:line="338" w:lineRule="exact"/>
              <w:rPr>
                <w:color w:val="auto"/>
                <w:sz w:val="21"/>
                <w:szCs w:val="21"/>
                <w:highlight w:val="none"/>
              </w:rPr>
            </w:pPr>
          </w:p>
          <w:p>
            <w:pPr>
              <w:spacing w:line="338" w:lineRule="exact"/>
              <w:rPr>
                <w:color w:val="auto"/>
                <w:sz w:val="21"/>
                <w:szCs w:val="21"/>
                <w:highlight w:val="none"/>
              </w:rPr>
            </w:pPr>
            <w:r>
              <w:rPr>
                <w:color w:val="auto"/>
                <w:sz w:val="21"/>
                <w:szCs w:val="21"/>
                <w:highlight w:val="none"/>
              </w:rPr>
              <w:t>邮政编码：</w:t>
            </w:r>
          </w:p>
          <w:p>
            <w:pPr>
              <w:spacing w:line="338" w:lineRule="exact"/>
              <w:ind w:firstLine="420" w:firstLineChars="200"/>
              <w:jc w:val="right"/>
              <w:rPr>
                <w:color w:val="auto"/>
                <w:sz w:val="21"/>
                <w:szCs w:val="21"/>
                <w:highlight w:val="none"/>
              </w:rPr>
            </w:pPr>
            <w:r>
              <w:rPr>
                <w:color w:val="auto"/>
                <w:sz w:val="21"/>
                <w:szCs w:val="21"/>
                <w:highlight w:val="none"/>
              </w:rPr>
              <w:t xml:space="preserve"> </w:t>
            </w:r>
          </w:p>
        </w:tc>
      </w:tr>
    </w:tbl>
    <w:p>
      <w:pPr>
        <w:pStyle w:val="23"/>
        <w:snapToGrid w:val="0"/>
        <w:spacing w:before="120" w:beforeLines="0" w:after="120" w:afterLines="0" w:line="240" w:lineRule="auto"/>
        <w:outlineLvl w:val="0"/>
        <w:rPr>
          <w:b/>
          <w:color w:val="auto"/>
          <w:sz w:val="21"/>
          <w:szCs w:val="21"/>
          <w:highlight w:val="none"/>
        </w:rPr>
      </w:pPr>
      <w:r>
        <w:rPr>
          <w:rFonts w:ascii="Times New Roman" w:hAnsi="Times New Roman"/>
          <w:bCs/>
          <w:color w:val="auto"/>
          <w:sz w:val="21"/>
          <w:szCs w:val="21"/>
          <w:highlight w:val="none"/>
        </w:rPr>
        <w:t>注：此合同样本仅作参考，</w:t>
      </w:r>
      <w:r>
        <w:rPr>
          <w:rFonts w:hint="eastAsia" w:ascii="Times New Roman" w:hAnsi="Times New Roman"/>
          <w:bCs/>
          <w:color w:val="auto"/>
          <w:sz w:val="21"/>
          <w:szCs w:val="21"/>
          <w:highlight w:val="none"/>
        </w:rPr>
        <w:t>甲</w:t>
      </w:r>
      <w:r>
        <w:rPr>
          <w:rFonts w:ascii="Times New Roman" w:hAnsi="Times New Roman"/>
          <w:bCs/>
          <w:color w:val="auto"/>
          <w:sz w:val="21"/>
          <w:szCs w:val="21"/>
          <w:highlight w:val="none"/>
        </w:rPr>
        <w:t>方、</w:t>
      </w:r>
      <w:r>
        <w:rPr>
          <w:rFonts w:hint="eastAsia" w:ascii="Times New Roman" w:hAnsi="Times New Roman"/>
          <w:bCs/>
          <w:color w:val="auto"/>
          <w:sz w:val="21"/>
          <w:szCs w:val="21"/>
          <w:highlight w:val="none"/>
        </w:rPr>
        <w:t>乙</w:t>
      </w:r>
      <w:r>
        <w:rPr>
          <w:rFonts w:ascii="Times New Roman" w:hAnsi="Times New Roman"/>
          <w:bCs/>
          <w:color w:val="auto"/>
          <w:sz w:val="21"/>
          <w:szCs w:val="21"/>
          <w:highlight w:val="none"/>
        </w:rPr>
        <w:t>方可根据采购项目的实际情况进行修改。</w:t>
      </w:r>
    </w:p>
    <w:p>
      <w:pPr>
        <w:spacing w:before="120" w:beforeLines="50" w:line="540" w:lineRule="exact"/>
        <w:jc w:val="center"/>
        <w:rPr>
          <w:rFonts w:hint="eastAsia" w:ascii="宋体" w:hAnsi="宋体" w:cs="宋体"/>
          <w:b/>
          <w:bCs/>
          <w:color w:val="auto"/>
          <w:sz w:val="32"/>
          <w:szCs w:val="32"/>
          <w:highlight w:val="none"/>
        </w:rPr>
      </w:pPr>
    </w:p>
    <w:p>
      <w:pPr>
        <w:adjustRightInd w:val="0"/>
        <w:snapToGrid w:val="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p>
    <w:bookmarkEnd w:id="6"/>
    <w:p>
      <w:pPr>
        <w:spacing w:before="120" w:line="540" w:lineRule="exact"/>
        <w:jc w:val="center"/>
        <w:rPr>
          <w:rFonts w:ascii="宋体" w:cs="宋体"/>
          <w:b/>
          <w:bCs/>
          <w:color w:val="auto"/>
          <w:sz w:val="32"/>
          <w:szCs w:val="32"/>
          <w:highlight w:val="none"/>
        </w:rPr>
      </w:pPr>
      <w:r>
        <w:rPr>
          <w:rFonts w:hint="eastAsia" w:ascii="宋体" w:cs="宋体"/>
          <w:b/>
          <w:bCs/>
          <w:color w:val="auto"/>
          <w:sz w:val="32"/>
          <w:szCs w:val="32"/>
          <w:highlight w:val="none"/>
        </w:rPr>
        <w:t>第八章  投标文件格式</w:t>
      </w:r>
    </w:p>
    <w:p>
      <w:pPr>
        <w:pStyle w:val="16"/>
        <w:keepNext w:val="0"/>
        <w:keepLines w:val="0"/>
        <w:pageBreakBefore w:val="0"/>
        <w:kinsoku/>
        <w:wordWrap/>
        <w:overflowPunct/>
        <w:topLinePunct w:val="0"/>
        <w:bidi w:val="0"/>
        <w:adjustRightInd/>
        <w:snapToGrid/>
        <w:spacing w:after="0" w:afterLines="0" w:line="500" w:lineRule="exact"/>
        <w:ind w:left="0" w:leftChars="0" w:right="0" w:rightChars="0" w:firstLine="422" w:firstLineChars="200"/>
        <w:textAlignment w:val="auto"/>
        <w:outlineLvl w:val="1"/>
        <w:rPr>
          <w:b/>
          <w:color w:val="auto"/>
          <w:sz w:val="21"/>
          <w:szCs w:val="21"/>
          <w:highlight w:val="none"/>
          <w:u w:val="none"/>
        </w:rPr>
      </w:pPr>
      <w:r>
        <w:rPr>
          <w:rFonts w:hint="eastAsia"/>
          <w:b/>
          <w:color w:val="auto"/>
          <w:sz w:val="21"/>
          <w:szCs w:val="21"/>
          <w:highlight w:val="none"/>
          <w:u w:val="none"/>
        </w:rPr>
        <w:t>资格证明文件</w:t>
      </w:r>
    </w:p>
    <w:p>
      <w:pPr>
        <w:keepNext w:val="0"/>
        <w:keepLines w:val="0"/>
        <w:pageBreakBefore w:val="0"/>
        <w:kinsoku/>
        <w:wordWrap/>
        <w:overflowPunct/>
        <w:topLinePunct w:val="0"/>
        <w:bidi w:val="0"/>
        <w:adjustRightInd/>
        <w:snapToGrid/>
        <w:spacing w:line="500" w:lineRule="exact"/>
        <w:ind w:right="0" w:rightChars="0" w:firstLine="420" w:firstLineChars="200"/>
        <w:textAlignment w:val="auto"/>
        <w:outlineLvl w:val="1"/>
        <w:rPr>
          <w:rFonts w:hint="eastAsia" w:ascii="宋体" w:hAnsi="宋体" w:cs="宋体"/>
          <w:color w:val="auto"/>
          <w:sz w:val="21"/>
          <w:szCs w:val="21"/>
          <w:highlight w:val="none"/>
        </w:rPr>
      </w:pPr>
      <w:r>
        <w:rPr>
          <w:rFonts w:hint="eastAsia" w:ascii="宋体" w:hAnsi="宋体" w:cs="宋体"/>
          <w:color w:val="auto"/>
          <w:sz w:val="21"/>
          <w:szCs w:val="21"/>
          <w:highlight w:val="none"/>
        </w:rPr>
        <w:t>（1）有效的《营业执照》；</w:t>
      </w:r>
    </w:p>
    <w:p>
      <w:pPr>
        <w:keepNext w:val="0"/>
        <w:keepLines w:val="0"/>
        <w:pageBreakBefore w:val="0"/>
        <w:kinsoku/>
        <w:wordWrap/>
        <w:overflowPunct/>
        <w:topLinePunct w:val="0"/>
        <w:bidi w:val="0"/>
        <w:adjustRightInd/>
        <w:snapToGrid/>
        <w:spacing w:line="500" w:lineRule="exact"/>
        <w:ind w:right="0" w:rightChars="0" w:firstLine="420" w:firstLineChars="200"/>
        <w:textAlignment w:val="auto"/>
        <w:outlineLvl w:val="1"/>
        <w:rPr>
          <w:rFonts w:hint="eastAsia" w:ascii="宋体" w:hAnsi="宋体" w:cs="宋体"/>
          <w:color w:val="auto"/>
          <w:sz w:val="21"/>
          <w:szCs w:val="21"/>
          <w:highlight w:val="none"/>
        </w:rPr>
      </w:pPr>
      <w:r>
        <w:rPr>
          <w:rFonts w:hint="eastAsia" w:ascii="宋体" w:hAnsi="宋体" w:cs="宋体"/>
          <w:color w:val="auto"/>
          <w:sz w:val="21"/>
          <w:szCs w:val="21"/>
          <w:highlight w:val="none"/>
        </w:rPr>
        <w:t>（2）法定代表人授权委托书 、法定代表人身份证复印件、受委托人身份证；</w:t>
      </w:r>
    </w:p>
    <w:p>
      <w:pPr>
        <w:keepNext w:val="0"/>
        <w:keepLines w:val="0"/>
        <w:pageBreakBefore w:val="0"/>
        <w:kinsoku/>
        <w:wordWrap/>
        <w:overflowPunct/>
        <w:topLinePunct w:val="0"/>
        <w:bidi w:val="0"/>
        <w:adjustRightInd/>
        <w:snapToGrid/>
        <w:spacing w:line="500" w:lineRule="exact"/>
        <w:ind w:right="0" w:rightChars="0" w:firstLine="420" w:firstLineChars="200"/>
        <w:textAlignment w:val="auto"/>
        <w:outlineLvl w:val="1"/>
        <w:rPr>
          <w:rFonts w:hint="eastAsia" w:ascii="宋体" w:hAnsi="宋体" w:cs="宋体"/>
          <w:color w:val="auto"/>
          <w:sz w:val="21"/>
          <w:szCs w:val="21"/>
          <w:highlight w:val="none"/>
        </w:rPr>
      </w:pPr>
      <w:r>
        <w:rPr>
          <w:rFonts w:hint="eastAsia" w:ascii="宋体" w:hAnsi="宋体" w:cs="宋体"/>
          <w:color w:val="auto"/>
          <w:sz w:val="21"/>
          <w:szCs w:val="21"/>
          <w:highlight w:val="none"/>
        </w:rPr>
        <w:t>（3）具备履行合同所必需的设备和专业技术能力的证明（资质）材料原件扫描件；</w:t>
      </w:r>
    </w:p>
    <w:p>
      <w:pPr>
        <w:keepNext w:val="0"/>
        <w:keepLines w:val="0"/>
        <w:pageBreakBefore w:val="0"/>
        <w:kinsoku/>
        <w:wordWrap/>
        <w:overflowPunct/>
        <w:topLinePunct w:val="0"/>
        <w:bidi w:val="0"/>
        <w:adjustRightInd/>
        <w:snapToGrid/>
        <w:spacing w:line="500" w:lineRule="exact"/>
        <w:ind w:right="0" w:rightChars="0" w:firstLine="420" w:firstLineChars="200"/>
        <w:textAlignment w:val="auto"/>
        <w:outlineLvl w:val="1"/>
        <w:rPr>
          <w:rFonts w:hint="eastAsia" w:ascii="宋体" w:hAnsi="宋体" w:cs="宋体"/>
          <w:color w:val="auto"/>
          <w:sz w:val="21"/>
          <w:szCs w:val="21"/>
          <w:highlight w:val="none"/>
        </w:rPr>
      </w:pPr>
      <w:r>
        <w:rPr>
          <w:rFonts w:hint="eastAsia" w:ascii="宋体" w:hAnsi="宋体" w:cs="宋体"/>
          <w:color w:val="auto"/>
          <w:sz w:val="21"/>
          <w:szCs w:val="21"/>
          <w:highlight w:val="none"/>
        </w:rPr>
        <w:t>（4）提供依法缴纳税收和社会保障资金的相关材料（新成立不足一年的公司须出具情况说明）或《承诺函》；</w:t>
      </w:r>
    </w:p>
    <w:p>
      <w:pPr>
        <w:keepNext w:val="0"/>
        <w:keepLines w:val="0"/>
        <w:pageBreakBefore w:val="0"/>
        <w:kinsoku/>
        <w:wordWrap/>
        <w:overflowPunct/>
        <w:topLinePunct w:val="0"/>
        <w:bidi w:val="0"/>
        <w:adjustRightInd/>
        <w:snapToGrid/>
        <w:spacing w:line="500" w:lineRule="exact"/>
        <w:ind w:right="0" w:rightChars="0" w:firstLine="420" w:firstLineChars="200"/>
        <w:textAlignment w:val="auto"/>
        <w:outlineLvl w:val="1"/>
        <w:rPr>
          <w:rFonts w:hint="eastAsia" w:ascii="宋体" w:hAnsi="宋体" w:cs="宋体"/>
          <w:color w:val="auto"/>
          <w:sz w:val="21"/>
          <w:szCs w:val="21"/>
          <w:highlight w:val="none"/>
        </w:rPr>
      </w:pPr>
      <w:r>
        <w:rPr>
          <w:rFonts w:hint="eastAsia" w:ascii="宋体" w:hAnsi="宋体" w:cs="宋体"/>
          <w:color w:val="auto"/>
          <w:sz w:val="21"/>
          <w:szCs w:val="21"/>
          <w:highlight w:val="none"/>
        </w:rPr>
        <w:t>（5）参加政府采购活动前3年内在经营活动中没有重大违法记录的书面声明原件扫描件；</w:t>
      </w:r>
    </w:p>
    <w:p>
      <w:pPr>
        <w:keepNext w:val="0"/>
        <w:keepLines w:val="0"/>
        <w:pageBreakBefore w:val="0"/>
        <w:kinsoku/>
        <w:wordWrap/>
        <w:overflowPunct/>
        <w:topLinePunct w:val="0"/>
        <w:bidi w:val="0"/>
        <w:adjustRightInd/>
        <w:snapToGrid/>
        <w:spacing w:line="500" w:lineRule="exact"/>
        <w:ind w:right="0" w:rightChars="0" w:firstLine="420" w:firstLineChars="200"/>
        <w:textAlignment w:val="auto"/>
        <w:outlineLvl w:val="1"/>
        <w:rPr>
          <w:rFonts w:hint="eastAsia" w:ascii="宋体" w:hAnsi="宋体" w:cs="宋体"/>
          <w:color w:val="auto"/>
          <w:sz w:val="21"/>
          <w:szCs w:val="21"/>
          <w:highlight w:val="none"/>
        </w:rPr>
      </w:pPr>
      <w:r>
        <w:rPr>
          <w:rFonts w:hint="eastAsia" w:ascii="宋体" w:hAnsi="宋体" w:cs="宋体"/>
          <w:color w:val="auto"/>
          <w:sz w:val="21"/>
          <w:szCs w:val="21"/>
          <w:highlight w:val="none"/>
        </w:rPr>
        <w:t>（6）无围标串标挂靠等负面行为承诺书、政府采购活动现场确认声明书；</w:t>
      </w:r>
    </w:p>
    <w:p>
      <w:pPr>
        <w:keepNext w:val="0"/>
        <w:keepLines w:val="0"/>
        <w:pageBreakBefore w:val="0"/>
        <w:kinsoku/>
        <w:wordWrap/>
        <w:overflowPunct/>
        <w:topLinePunct w:val="0"/>
        <w:bidi w:val="0"/>
        <w:adjustRightInd/>
        <w:snapToGrid/>
        <w:spacing w:line="500" w:lineRule="exact"/>
        <w:ind w:right="0" w:rightChars="0" w:firstLine="420" w:firstLineChars="200"/>
        <w:textAlignment w:val="auto"/>
        <w:outlineLvl w:val="1"/>
        <w:rPr>
          <w:rFonts w:hint="eastAsia"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7</w:t>
      </w:r>
      <w:r>
        <w:rPr>
          <w:rFonts w:hint="eastAsia" w:ascii="宋体" w:hAnsi="宋体" w:cs="宋体"/>
          <w:color w:val="auto"/>
          <w:sz w:val="21"/>
          <w:szCs w:val="21"/>
          <w:highlight w:val="none"/>
        </w:rPr>
        <w:t>）符合参加政府采购活动应当具备的一般条件的承诺函；</w:t>
      </w:r>
    </w:p>
    <w:p>
      <w:pPr>
        <w:spacing w:line="440" w:lineRule="exact"/>
        <w:ind w:firstLine="420" w:firstLineChars="200"/>
        <w:outlineLvl w:val="1"/>
        <w:rPr>
          <w:rFonts w:hint="default" w:ascii="宋体" w:eastAsia="宋体" w:cs="宋体"/>
          <w:color w:val="auto"/>
          <w:sz w:val="21"/>
          <w:szCs w:val="21"/>
          <w:highlight w:val="none"/>
          <w:lang w:val="en-US" w:eastAsia="zh-CN"/>
        </w:rPr>
      </w:pPr>
      <w:r>
        <w:rPr>
          <w:rFonts w:hint="eastAsia" w:ascii="宋体" w:cs="宋体"/>
          <w:color w:val="auto"/>
          <w:sz w:val="21"/>
          <w:szCs w:val="21"/>
          <w:highlight w:val="none"/>
          <w:lang w:eastAsia="zh-CN"/>
        </w:rPr>
        <w:t>（</w:t>
      </w:r>
      <w:r>
        <w:rPr>
          <w:rFonts w:hint="eastAsia" w:ascii="宋体" w:cs="宋体"/>
          <w:color w:val="auto"/>
          <w:sz w:val="21"/>
          <w:szCs w:val="21"/>
          <w:highlight w:val="none"/>
          <w:lang w:val="en-US" w:eastAsia="zh-CN"/>
        </w:rPr>
        <w:t>8</w:t>
      </w:r>
      <w:r>
        <w:rPr>
          <w:rFonts w:hint="eastAsia" w:ascii="宋体" w:cs="宋体"/>
          <w:color w:val="auto"/>
          <w:sz w:val="21"/>
          <w:szCs w:val="21"/>
          <w:highlight w:val="none"/>
          <w:lang w:eastAsia="zh-CN"/>
        </w:rPr>
        <w:t>）</w:t>
      </w:r>
      <w:r>
        <w:rPr>
          <w:rFonts w:hint="eastAsia" w:ascii="宋体" w:cs="宋体"/>
          <w:color w:val="auto"/>
          <w:sz w:val="21"/>
          <w:szCs w:val="21"/>
          <w:highlight w:val="none"/>
          <w:lang w:val="en-US" w:eastAsia="zh-CN"/>
        </w:rPr>
        <w:t>资格要求中的相关证书；</w:t>
      </w:r>
    </w:p>
    <w:p>
      <w:pPr>
        <w:keepNext w:val="0"/>
        <w:keepLines w:val="0"/>
        <w:pageBreakBefore w:val="0"/>
        <w:kinsoku/>
        <w:wordWrap/>
        <w:overflowPunct/>
        <w:topLinePunct w:val="0"/>
        <w:bidi w:val="0"/>
        <w:adjustRightInd/>
        <w:snapToGrid/>
        <w:spacing w:line="500" w:lineRule="exact"/>
        <w:ind w:right="0" w:rightChars="0" w:firstLine="420" w:firstLineChars="200"/>
        <w:textAlignment w:val="auto"/>
        <w:outlineLvl w:val="1"/>
        <w:rPr>
          <w:rFonts w:hint="eastAsia"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9</w:t>
      </w:r>
      <w:r>
        <w:rPr>
          <w:rFonts w:hint="eastAsia" w:ascii="宋体" w:hAnsi="宋体" w:cs="宋体"/>
          <w:color w:val="auto"/>
          <w:sz w:val="21"/>
          <w:szCs w:val="21"/>
          <w:highlight w:val="none"/>
        </w:rPr>
        <w:t>）信用记录网络查询页面截图（信用中国与中国政府采购网）任意一处即可。</w:t>
      </w:r>
    </w:p>
    <w:p>
      <w:pPr>
        <w:keepNext w:val="0"/>
        <w:keepLines w:val="0"/>
        <w:pageBreakBefore w:val="0"/>
        <w:kinsoku/>
        <w:wordWrap/>
        <w:overflowPunct/>
        <w:topLinePunct w:val="0"/>
        <w:bidi w:val="0"/>
        <w:adjustRightInd/>
        <w:snapToGrid/>
        <w:spacing w:line="500" w:lineRule="exact"/>
        <w:ind w:right="0" w:rightChars="0" w:firstLine="422" w:firstLineChars="200"/>
        <w:textAlignment w:val="auto"/>
        <w:outlineLvl w:val="1"/>
        <w:rPr>
          <w:rFonts w:ascii="宋体" w:hAnsi="宋体"/>
          <w:b/>
          <w:color w:val="auto"/>
          <w:sz w:val="21"/>
          <w:szCs w:val="21"/>
          <w:highlight w:val="none"/>
        </w:rPr>
      </w:pPr>
      <w:r>
        <w:rPr>
          <w:rFonts w:ascii="宋体" w:hAnsi="宋体"/>
          <w:b/>
          <w:color w:val="auto"/>
          <w:sz w:val="21"/>
          <w:szCs w:val="21"/>
          <w:highlight w:val="none"/>
        </w:rPr>
        <w:t>技术商务标</w:t>
      </w:r>
    </w:p>
    <w:p>
      <w:pPr>
        <w:pStyle w:val="16"/>
        <w:spacing w:after="0" w:line="440" w:lineRule="exact"/>
        <w:ind w:firstLine="420" w:firstLineChars="200"/>
        <w:outlineLvl w:val="1"/>
        <w:rPr>
          <w:rFonts w:hint="eastAsia"/>
          <w:color w:val="auto"/>
          <w:sz w:val="21"/>
          <w:szCs w:val="21"/>
          <w:highlight w:val="none"/>
        </w:rPr>
      </w:pPr>
      <w:r>
        <w:rPr>
          <w:rFonts w:hint="eastAsia"/>
          <w:color w:val="auto"/>
          <w:sz w:val="21"/>
          <w:szCs w:val="21"/>
          <w:highlight w:val="none"/>
        </w:rPr>
        <w:t>（1）投标声明书；</w:t>
      </w:r>
    </w:p>
    <w:p>
      <w:pPr>
        <w:pStyle w:val="16"/>
        <w:spacing w:after="0" w:line="440" w:lineRule="exact"/>
        <w:ind w:firstLine="420" w:firstLineChars="200"/>
        <w:outlineLvl w:val="1"/>
        <w:rPr>
          <w:rFonts w:hint="eastAsia"/>
          <w:color w:val="auto"/>
          <w:sz w:val="21"/>
          <w:szCs w:val="21"/>
          <w:highlight w:val="none"/>
        </w:rPr>
      </w:pPr>
      <w:r>
        <w:rPr>
          <w:rFonts w:hint="eastAsia"/>
          <w:color w:val="auto"/>
          <w:sz w:val="21"/>
          <w:szCs w:val="21"/>
          <w:highlight w:val="none"/>
        </w:rPr>
        <w:t>（2）投标人基本情况表；</w:t>
      </w:r>
    </w:p>
    <w:p>
      <w:pPr>
        <w:pStyle w:val="16"/>
        <w:spacing w:after="0" w:line="440" w:lineRule="exact"/>
        <w:ind w:firstLine="420" w:firstLineChars="200"/>
        <w:outlineLvl w:val="1"/>
        <w:rPr>
          <w:rFonts w:hint="eastAsia"/>
          <w:color w:val="auto"/>
          <w:sz w:val="21"/>
          <w:szCs w:val="21"/>
          <w:highlight w:val="none"/>
        </w:rPr>
      </w:pPr>
      <w:r>
        <w:rPr>
          <w:rFonts w:hint="eastAsia"/>
          <w:color w:val="auto"/>
          <w:sz w:val="21"/>
          <w:szCs w:val="21"/>
          <w:highlight w:val="none"/>
        </w:rPr>
        <w:t>（3）投标产品节能性、环保性评价；</w:t>
      </w:r>
    </w:p>
    <w:p>
      <w:pPr>
        <w:pStyle w:val="16"/>
        <w:spacing w:after="0" w:line="440" w:lineRule="exact"/>
        <w:ind w:firstLine="420" w:firstLineChars="200"/>
        <w:outlineLvl w:val="1"/>
        <w:rPr>
          <w:rFonts w:hint="eastAsia"/>
          <w:color w:val="auto"/>
          <w:sz w:val="21"/>
          <w:szCs w:val="21"/>
          <w:highlight w:val="none"/>
        </w:rPr>
      </w:pPr>
      <w:r>
        <w:rPr>
          <w:rFonts w:hint="eastAsia"/>
          <w:color w:val="auto"/>
          <w:sz w:val="21"/>
          <w:szCs w:val="21"/>
          <w:highlight w:val="none"/>
        </w:rPr>
        <w:t>（4）投标人综合实力；</w:t>
      </w:r>
    </w:p>
    <w:p>
      <w:pPr>
        <w:pStyle w:val="16"/>
        <w:spacing w:after="0" w:line="440" w:lineRule="exact"/>
        <w:ind w:firstLine="420" w:firstLineChars="200"/>
        <w:outlineLvl w:val="1"/>
        <w:rPr>
          <w:rFonts w:hint="eastAsia"/>
          <w:color w:val="auto"/>
          <w:sz w:val="21"/>
          <w:szCs w:val="21"/>
          <w:highlight w:val="none"/>
        </w:rPr>
      </w:pPr>
      <w:r>
        <w:rPr>
          <w:rFonts w:hint="eastAsia"/>
          <w:color w:val="auto"/>
          <w:sz w:val="21"/>
          <w:szCs w:val="21"/>
          <w:highlight w:val="none"/>
        </w:rPr>
        <w:t>（5）成功案例和业绩证明（投标人同类项目实施情况一览表、合同复印件等）；</w:t>
      </w:r>
    </w:p>
    <w:p>
      <w:pPr>
        <w:pStyle w:val="16"/>
        <w:spacing w:after="0" w:line="440" w:lineRule="exact"/>
        <w:ind w:firstLine="420" w:firstLineChars="200"/>
        <w:outlineLvl w:val="1"/>
        <w:rPr>
          <w:rFonts w:hint="eastAsia"/>
          <w:color w:val="auto"/>
          <w:sz w:val="21"/>
          <w:szCs w:val="21"/>
          <w:highlight w:val="none"/>
        </w:rPr>
      </w:pPr>
      <w:r>
        <w:rPr>
          <w:rFonts w:hint="eastAsia"/>
          <w:color w:val="auto"/>
          <w:sz w:val="21"/>
          <w:szCs w:val="21"/>
          <w:highlight w:val="none"/>
        </w:rPr>
        <w:t>（6）技术参数及配置；</w:t>
      </w:r>
    </w:p>
    <w:p>
      <w:pPr>
        <w:pStyle w:val="16"/>
        <w:spacing w:after="0" w:line="440" w:lineRule="exact"/>
        <w:ind w:firstLine="420" w:firstLineChars="200"/>
        <w:outlineLvl w:val="1"/>
        <w:rPr>
          <w:rFonts w:hint="eastAsia"/>
          <w:color w:val="auto"/>
          <w:sz w:val="21"/>
          <w:szCs w:val="21"/>
          <w:highlight w:val="none"/>
        </w:rPr>
      </w:pPr>
      <w:r>
        <w:rPr>
          <w:rFonts w:hint="eastAsia"/>
          <w:color w:val="auto"/>
          <w:sz w:val="21"/>
          <w:szCs w:val="21"/>
          <w:highlight w:val="none"/>
        </w:rPr>
        <w:t>（7）产品整体配置情况；</w:t>
      </w:r>
    </w:p>
    <w:p>
      <w:pPr>
        <w:pStyle w:val="16"/>
        <w:spacing w:after="0" w:line="440" w:lineRule="exact"/>
        <w:ind w:firstLine="420" w:firstLineChars="200"/>
        <w:outlineLvl w:val="1"/>
        <w:rPr>
          <w:rFonts w:hint="eastAsia"/>
          <w:color w:val="auto"/>
          <w:sz w:val="21"/>
          <w:szCs w:val="21"/>
          <w:highlight w:val="none"/>
        </w:rPr>
      </w:pPr>
      <w:r>
        <w:rPr>
          <w:rFonts w:hint="eastAsia"/>
          <w:color w:val="auto"/>
          <w:sz w:val="21"/>
          <w:szCs w:val="21"/>
          <w:highlight w:val="none"/>
        </w:rPr>
        <w:t>（8）安装、调试、验收方案；</w:t>
      </w:r>
    </w:p>
    <w:p>
      <w:pPr>
        <w:pStyle w:val="16"/>
        <w:spacing w:after="0" w:line="440" w:lineRule="exact"/>
        <w:ind w:firstLine="420" w:firstLineChars="200"/>
        <w:outlineLvl w:val="1"/>
        <w:rPr>
          <w:rFonts w:hint="eastAsia"/>
          <w:color w:val="auto"/>
          <w:sz w:val="21"/>
          <w:szCs w:val="21"/>
          <w:highlight w:val="none"/>
        </w:rPr>
      </w:pPr>
      <w:r>
        <w:rPr>
          <w:rFonts w:hint="eastAsia"/>
          <w:color w:val="auto"/>
          <w:sz w:val="21"/>
          <w:szCs w:val="21"/>
          <w:highlight w:val="none"/>
        </w:rPr>
        <w:t>（9）进度保证措施；</w:t>
      </w:r>
    </w:p>
    <w:p>
      <w:pPr>
        <w:pStyle w:val="16"/>
        <w:spacing w:after="0" w:line="440" w:lineRule="exact"/>
        <w:ind w:firstLine="420" w:firstLineChars="200"/>
        <w:outlineLvl w:val="1"/>
        <w:rPr>
          <w:rFonts w:hint="eastAsia"/>
          <w:color w:val="auto"/>
          <w:sz w:val="21"/>
          <w:szCs w:val="21"/>
          <w:highlight w:val="none"/>
        </w:rPr>
      </w:pPr>
      <w:r>
        <w:rPr>
          <w:rFonts w:hint="eastAsia"/>
          <w:color w:val="auto"/>
          <w:sz w:val="21"/>
          <w:szCs w:val="21"/>
          <w:highlight w:val="none"/>
        </w:rPr>
        <w:t>（10）质量保证及安全保证措施；</w:t>
      </w:r>
    </w:p>
    <w:p>
      <w:pPr>
        <w:pStyle w:val="16"/>
        <w:spacing w:after="0" w:line="440" w:lineRule="exact"/>
        <w:ind w:firstLine="420" w:firstLineChars="200"/>
        <w:outlineLvl w:val="1"/>
        <w:rPr>
          <w:rFonts w:hint="eastAsia"/>
          <w:color w:val="auto"/>
          <w:sz w:val="21"/>
          <w:szCs w:val="21"/>
          <w:highlight w:val="none"/>
        </w:rPr>
      </w:pPr>
      <w:r>
        <w:rPr>
          <w:rFonts w:hint="eastAsia"/>
          <w:color w:val="auto"/>
          <w:sz w:val="21"/>
          <w:szCs w:val="21"/>
          <w:highlight w:val="none"/>
        </w:rPr>
        <w:t>（11）售后服务及维修保养培训；</w:t>
      </w:r>
    </w:p>
    <w:p>
      <w:pPr>
        <w:pStyle w:val="16"/>
        <w:spacing w:after="0" w:line="440" w:lineRule="exact"/>
        <w:ind w:firstLine="420" w:firstLineChars="200"/>
        <w:outlineLvl w:val="1"/>
        <w:rPr>
          <w:rFonts w:hint="eastAsia"/>
          <w:color w:val="auto"/>
          <w:sz w:val="21"/>
          <w:szCs w:val="21"/>
          <w:highlight w:val="none"/>
        </w:rPr>
      </w:pPr>
      <w:r>
        <w:rPr>
          <w:rFonts w:hint="eastAsia"/>
          <w:color w:val="auto"/>
          <w:sz w:val="21"/>
          <w:szCs w:val="21"/>
          <w:highlight w:val="none"/>
        </w:rPr>
        <w:t>（12）质保期限；</w:t>
      </w:r>
    </w:p>
    <w:p>
      <w:pPr>
        <w:pStyle w:val="16"/>
        <w:spacing w:after="0" w:line="440" w:lineRule="exact"/>
        <w:ind w:firstLine="420" w:firstLineChars="200"/>
        <w:outlineLvl w:val="1"/>
        <w:rPr>
          <w:rFonts w:hint="eastAsia"/>
          <w:color w:val="auto"/>
          <w:sz w:val="21"/>
          <w:szCs w:val="21"/>
          <w:highlight w:val="none"/>
        </w:rPr>
      </w:pPr>
      <w:r>
        <w:rPr>
          <w:rFonts w:hint="eastAsia"/>
          <w:color w:val="auto"/>
          <w:sz w:val="21"/>
          <w:szCs w:val="21"/>
          <w:highlight w:val="none"/>
        </w:rPr>
        <w:t>（13）针对本项目的合理化建议或优惠措施；</w:t>
      </w:r>
    </w:p>
    <w:p>
      <w:pPr>
        <w:pStyle w:val="16"/>
        <w:spacing w:after="0" w:line="440" w:lineRule="exact"/>
        <w:ind w:firstLine="420" w:firstLineChars="200"/>
        <w:outlineLvl w:val="1"/>
        <w:rPr>
          <w:rFonts w:hint="eastAsia"/>
          <w:color w:val="auto"/>
          <w:sz w:val="21"/>
          <w:szCs w:val="21"/>
          <w:highlight w:val="none"/>
        </w:rPr>
      </w:pPr>
      <w:r>
        <w:rPr>
          <w:rFonts w:hint="eastAsia"/>
          <w:color w:val="auto"/>
          <w:sz w:val="21"/>
          <w:szCs w:val="21"/>
          <w:highlight w:val="none"/>
        </w:rPr>
        <w:t>（14）采购需求偏离表；</w:t>
      </w:r>
    </w:p>
    <w:p>
      <w:pPr>
        <w:pStyle w:val="16"/>
        <w:spacing w:after="0" w:line="440" w:lineRule="exact"/>
        <w:ind w:firstLine="420" w:firstLineChars="200"/>
        <w:outlineLvl w:val="1"/>
        <w:rPr>
          <w:rFonts w:hint="eastAsia"/>
          <w:color w:val="auto"/>
          <w:sz w:val="21"/>
          <w:szCs w:val="21"/>
          <w:highlight w:val="none"/>
        </w:rPr>
      </w:pPr>
      <w:r>
        <w:rPr>
          <w:rFonts w:hint="eastAsia"/>
          <w:color w:val="auto"/>
          <w:sz w:val="21"/>
          <w:szCs w:val="21"/>
          <w:highlight w:val="none"/>
        </w:rPr>
        <w:t>（15）所投货物详细配置清单；</w:t>
      </w:r>
    </w:p>
    <w:p>
      <w:pPr>
        <w:pStyle w:val="16"/>
        <w:spacing w:after="0" w:line="440" w:lineRule="exact"/>
        <w:ind w:firstLine="420" w:firstLineChars="200"/>
        <w:outlineLvl w:val="1"/>
        <w:rPr>
          <w:rFonts w:hint="eastAsia"/>
          <w:color w:val="auto"/>
          <w:sz w:val="21"/>
          <w:szCs w:val="21"/>
          <w:highlight w:val="none"/>
        </w:rPr>
      </w:pPr>
      <w:r>
        <w:rPr>
          <w:rFonts w:hint="eastAsia"/>
          <w:color w:val="auto"/>
          <w:sz w:val="21"/>
          <w:szCs w:val="21"/>
          <w:highlight w:val="none"/>
        </w:rPr>
        <w:t>（16）主要指标项偏离情况表（详见附表）；</w:t>
      </w:r>
    </w:p>
    <w:p>
      <w:pPr>
        <w:pStyle w:val="16"/>
        <w:spacing w:after="0" w:line="440" w:lineRule="exact"/>
        <w:ind w:firstLine="420" w:firstLineChars="200"/>
        <w:outlineLvl w:val="1"/>
        <w:rPr>
          <w:rFonts w:hint="eastAsia"/>
          <w:color w:val="auto"/>
          <w:sz w:val="21"/>
          <w:szCs w:val="21"/>
          <w:highlight w:val="none"/>
        </w:rPr>
      </w:pPr>
      <w:r>
        <w:rPr>
          <w:rFonts w:hint="eastAsia"/>
          <w:color w:val="auto"/>
          <w:sz w:val="21"/>
          <w:szCs w:val="21"/>
          <w:highlight w:val="none"/>
        </w:rPr>
        <w:t>（17）技术商务标自评分表（详见附表）；</w:t>
      </w:r>
    </w:p>
    <w:p>
      <w:pPr>
        <w:pStyle w:val="16"/>
        <w:spacing w:after="0" w:line="440" w:lineRule="exact"/>
        <w:ind w:firstLine="420" w:firstLineChars="200"/>
        <w:outlineLvl w:val="1"/>
        <w:rPr>
          <w:rFonts w:hint="eastAsia"/>
          <w:color w:val="auto"/>
          <w:sz w:val="21"/>
          <w:szCs w:val="21"/>
          <w:highlight w:val="none"/>
        </w:rPr>
      </w:pPr>
      <w:r>
        <w:rPr>
          <w:rFonts w:hint="eastAsia"/>
          <w:color w:val="auto"/>
          <w:sz w:val="21"/>
          <w:szCs w:val="21"/>
          <w:highlight w:val="none"/>
        </w:rPr>
        <w:t>（18）投标人认为有必要提供的其他资料（或评分需要的相关材料）。</w:t>
      </w:r>
    </w:p>
    <w:p>
      <w:pPr>
        <w:pStyle w:val="16"/>
        <w:spacing w:after="0" w:line="440" w:lineRule="exact"/>
        <w:ind w:firstLine="422" w:firstLineChars="200"/>
        <w:outlineLvl w:val="1"/>
        <w:rPr>
          <w:rFonts w:ascii="宋体" w:cs="宋体"/>
          <w:b/>
          <w:color w:val="auto"/>
          <w:sz w:val="21"/>
          <w:szCs w:val="21"/>
          <w:highlight w:val="none"/>
        </w:rPr>
      </w:pPr>
      <w:r>
        <w:rPr>
          <w:rFonts w:hint="eastAsia" w:ascii="宋体" w:cs="宋体"/>
          <w:b/>
          <w:color w:val="auto"/>
          <w:sz w:val="21"/>
          <w:szCs w:val="21"/>
          <w:highlight w:val="none"/>
          <w:lang w:val="en-US" w:eastAsia="zh-CN"/>
        </w:rPr>
        <w:t xml:space="preserve"> </w:t>
      </w:r>
      <w:r>
        <w:rPr>
          <w:rFonts w:hint="eastAsia" w:ascii="宋体" w:cs="宋体"/>
          <w:b/>
          <w:color w:val="auto"/>
          <w:sz w:val="21"/>
          <w:szCs w:val="21"/>
          <w:highlight w:val="none"/>
        </w:rPr>
        <w:t>价格标的组成</w:t>
      </w:r>
    </w:p>
    <w:p>
      <w:pPr>
        <w:pStyle w:val="16"/>
        <w:spacing w:after="0" w:line="440" w:lineRule="exact"/>
        <w:ind w:firstLine="420" w:firstLineChars="200"/>
        <w:outlineLvl w:val="1"/>
        <w:rPr>
          <w:rFonts w:ascii="宋体" w:cs="宋体"/>
          <w:color w:val="auto"/>
          <w:sz w:val="21"/>
          <w:szCs w:val="21"/>
          <w:highlight w:val="none"/>
        </w:rPr>
      </w:pPr>
      <w:r>
        <w:rPr>
          <w:rFonts w:hint="eastAsia" w:ascii="宋体" w:cs="宋体"/>
          <w:color w:val="auto"/>
          <w:sz w:val="21"/>
          <w:szCs w:val="21"/>
          <w:highlight w:val="none"/>
          <w:lang w:eastAsia="zh-CN"/>
        </w:rPr>
        <w:t>（</w:t>
      </w:r>
      <w:r>
        <w:rPr>
          <w:rFonts w:hint="eastAsia" w:ascii="宋体" w:cs="宋体"/>
          <w:color w:val="auto"/>
          <w:sz w:val="21"/>
          <w:szCs w:val="21"/>
          <w:highlight w:val="none"/>
          <w:lang w:val="en-US" w:eastAsia="zh-CN"/>
        </w:rPr>
        <w:t>1</w:t>
      </w:r>
      <w:r>
        <w:rPr>
          <w:rFonts w:hint="eastAsia" w:ascii="宋体" w:cs="宋体"/>
          <w:color w:val="auto"/>
          <w:sz w:val="21"/>
          <w:szCs w:val="21"/>
          <w:highlight w:val="none"/>
          <w:lang w:eastAsia="zh-CN"/>
        </w:rPr>
        <w:t>）</w:t>
      </w:r>
      <w:r>
        <w:rPr>
          <w:rFonts w:hint="eastAsia" w:ascii="宋体" w:cs="宋体"/>
          <w:color w:val="auto"/>
          <w:sz w:val="21"/>
          <w:szCs w:val="21"/>
          <w:highlight w:val="none"/>
        </w:rPr>
        <w:t>投标函；</w:t>
      </w:r>
    </w:p>
    <w:p>
      <w:pPr>
        <w:pStyle w:val="16"/>
        <w:spacing w:after="0" w:line="440" w:lineRule="exact"/>
        <w:ind w:firstLine="420" w:firstLineChars="200"/>
        <w:outlineLvl w:val="1"/>
        <w:rPr>
          <w:rFonts w:ascii="宋体" w:cs="宋体"/>
          <w:color w:val="auto"/>
          <w:sz w:val="21"/>
          <w:szCs w:val="21"/>
          <w:highlight w:val="none"/>
        </w:rPr>
      </w:pPr>
      <w:r>
        <w:rPr>
          <w:rFonts w:hint="eastAsia" w:ascii="宋体" w:cs="宋体"/>
          <w:color w:val="auto"/>
          <w:sz w:val="21"/>
          <w:szCs w:val="21"/>
          <w:highlight w:val="none"/>
          <w:lang w:eastAsia="zh-CN"/>
        </w:rPr>
        <w:t>（</w:t>
      </w:r>
      <w:r>
        <w:rPr>
          <w:rFonts w:hint="eastAsia" w:ascii="宋体" w:cs="宋体"/>
          <w:color w:val="auto"/>
          <w:sz w:val="21"/>
          <w:szCs w:val="21"/>
          <w:highlight w:val="none"/>
          <w:lang w:val="en-US" w:eastAsia="zh-CN"/>
        </w:rPr>
        <w:t>2</w:t>
      </w:r>
      <w:r>
        <w:rPr>
          <w:rFonts w:hint="eastAsia" w:ascii="宋体" w:cs="宋体"/>
          <w:color w:val="auto"/>
          <w:sz w:val="21"/>
          <w:szCs w:val="21"/>
          <w:highlight w:val="none"/>
          <w:lang w:eastAsia="zh-CN"/>
        </w:rPr>
        <w:t>）</w:t>
      </w:r>
      <w:r>
        <w:rPr>
          <w:rFonts w:hint="eastAsia" w:ascii="宋体" w:cs="宋体"/>
          <w:color w:val="auto"/>
          <w:sz w:val="21"/>
          <w:szCs w:val="21"/>
          <w:highlight w:val="none"/>
        </w:rPr>
        <w:t>开标一览表；</w:t>
      </w:r>
    </w:p>
    <w:p>
      <w:pPr>
        <w:pStyle w:val="16"/>
        <w:spacing w:after="0" w:line="440" w:lineRule="exact"/>
        <w:ind w:firstLine="420" w:firstLineChars="200"/>
        <w:outlineLvl w:val="1"/>
        <w:rPr>
          <w:rFonts w:ascii="宋体" w:cs="宋体"/>
          <w:color w:val="auto"/>
          <w:sz w:val="21"/>
          <w:szCs w:val="21"/>
          <w:highlight w:val="none"/>
        </w:rPr>
      </w:pPr>
      <w:r>
        <w:rPr>
          <w:rFonts w:hint="eastAsia" w:ascii="宋体" w:cs="宋体"/>
          <w:color w:val="auto"/>
          <w:sz w:val="21"/>
          <w:szCs w:val="21"/>
          <w:highlight w:val="none"/>
          <w:lang w:eastAsia="zh-CN"/>
        </w:rPr>
        <w:t>（</w:t>
      </w:r>
      <w:r>
        <w:rPr>
          <w:rFonts w:hint="eastAsia" w:ascii="宋体" w:cs="宋体"/>
          <w:color w:val="auto"/>
          <w:sz w:val="21"/>
          <w:szCs w:val="21"/>
          <w:highlight w:val="none"/>
          <w:lang w:val="en-US" w:eastAsia="zh-CN"/>
        </w:rPr>
        <w:t>3</w:t>
      </w:r>
      <w:r>
        <w:rPr>
          <w:rFonts w:hint="eastAsia" w:ascii="宋体" w:cs="宋体"/>
          <w:color w:val="auto"/>
          <w:sz w:val="21"/>
          <w:szCs w:val="21"/>
          <w:highlight w:val="none"/>
          <w:lang w:eastAsia="zh-CN"/>
        </w:rPr>
        <w:t>）</w:t>
      </w:r>
      <w:r>
        <w:rPr>
          <w:rFonts w:hint="eastAsia" w:ascii="宋体" w:cs="宋体"/>
          <w:color w:val="auto"/>
          <w:sz w:val="21"/>
          <w:szCs w:val="21"/>
          <w:highlight w:val="none"/>
        </w:rPr>
        <w:t>中小企业声明函（如有）；</w:t>
      </w:r>
    </w:p>
    <w:p>
      <w:pPr>
        <w:pStyle w:val="16"/>
        <w:spacing w:after="0" w:line="440" w:lineRule="exact"/>
        <w:ind w:firstLine="420" w:firstLineChars="200"/>
        <w:outlineLvl w:val="1"/>
        <w:rPr>
          <w:rFonts w:ascii="宋体" w:cs="宋体"/>
          <w:color w:val="auto"/>
          <w:sz w:val="21"/>
          <w:szCs w:val="21"/>
          <w:highlight w:val="none"/>
        </w:rPr>
      </w:pPr>
      <w:r>
        <w:rPr>
          <w:rFonts w:hint="eastAsia" w:ascii="宋体" w:cs="宋体"/>
          <w:color w:val="auto"/>
          <w:sz w:val="21"/>
          <w:szCs w:val="21"/>
          <w:highlight w:val="none"/>
          <w:lang w:eastAsia="zh-CN"/>
        </w:rPr>
        <w:t>（</w:t>
      </w:r>
      <w:r>
        <w:rPr>
          <w:rFonts w:hint="eastAsia" w:ascii="宋体" w:cs="宋体"/>
          <w:color w:val="auto"/>
          <w:sz w:val="21"/>
          <w:szCs w:val="21"/>
          <w:highlight w:val="none"/>
          <w:lang w:val="en-US" w:eastAsia="zh-CN"/>
        </w:rPr>
        <w:t>4</w:t>
      </w:r>
      <w:r>
        <w:rPr>
          <w:rFonts w:hint="eastAsia" w:ascii="宋体" w:cs="宋体"/>
          <w:color w:val="auto"/>
          <w:sz w:val="21"/>
          <w:szCs w:val="21"/>
          <w:highlight w:val="none"/>
          <w:lang w:eastAsia="zh-CN"/>
        </w:rPr>
        <w:t>）</w:t>
      </w:r>
      <w:r>
        <w:rPr>
          <w:rFonts w:hint="eastAsia" w:ascii="宋体" w:cs="宋体"/>
          <w:color w:val="auto"/>
          <w:sz w:val="21"/>
          <w:szCs w:val="21"/>
          <w:highlight w:val="none"/>
        </w:rPr>
        <w:t>残疾人福利性单位声明函（如有）；</w:t>
      </w:r>
    </w:p>
    <w:p>
      <w:pPr>
        <w:pStyle w:val="16"/>
        <w:spacing w:after="0" w:line="440" w:lineRule="exact"/>
        <w:ind w:firstLine="420" w:firstLineChars="200"/>
        <w:outlineLvl w:val="1"/>
        <w:rPr>
          <w:rFonts w:ascii="宋体" w:cs="宋体"/>
          <w:color w:val="auto"/>
          <w:sz w:val="21"/>
          <w:szCs w:val="21"/>
          <w:highlight w:val="none"/>
        </w:rPr>
      </w:pPr>
      <w:r>
        <w:rPr>
          <w:rFonts w:hint="eastAsia" w:ascii="宋体" w:cs="宋体"/>
          <w:color w:val="auto"/>
          <w:sz w:val="21"/>
          <w:szCs w:val="21"/>
          <w:highlight w:val="none"/>
          <w:lang w:eastAsia="zh-CN"/>
        </w:rPr>
        <w:t>（</w:t>
      </w:r>
      <w:r>
        <w:rPr>
          <w:rFonts w:hint="eastAsia" w:ascii="宋体" w:cs="宋体"/>
          <w:color w:val="auto"/>
          <w:sz w:val="21"/>
          <w:szCs w:val="21"/>
          <w:highlight w:val="none"/>
          <w:lang w:val="en-US" w:eastAsia="zh-CN"/>
        </w:rPr>
        <w:t>5</w:t>
      </w:r>
      <w:r>
        <w:rPr>
          <w:rFonts w:hint="eastAsia" w:ascii="宋体" w:cs="宋体"/>
          <w:color w:val="auto"/>
          <w:sz w:val="21"/>
          <w:szCs w:val="21"/>
          <w:highlight w:val="none"/>
          <w:lang w:eastAsia="zh-CN"/>
        </w:rPr>
        <w:t>）</w:t>
      </w:r>
      <w:r>
        <w:rPr>
          <w:rFonts w:hint="eastAsia" w:ascii="宋体" w:cs="宋体"/>
          <w:color w:val="auto"/>
          <w:sz w:val="21"/>
          <w:szCs w:val="21"/>
          <w:highlight w:val="none"/>
        </w:rPr>
        <w:t>投标人认为有必要提供的其他资料，如投标分项报价表等。</w:t>
      </w:r>
    </w:p>
    <w:p>
      <w:pPr>
        <w:keepNext w:val="0"/>
        <w:keepLines w:val="0"/>
        <w:pageBreakBefore w:val="0"/>
        <w:widowControl w:val="0"/>
        <w:kinsoku/>
        <w:wordWrap/>
        <w:overflowPunct/>
        <w:topLinePunct w:val="0"/>
        <w:bidi w:val="0"/>
        <w:snapToGrid/>
        <w:spacing w:line="500" w:lineRule="exact"/>
        <w:textAlignment w:val="auto"/>
        <w:rPr>
          <w:rFonts w:ascii="宋体" w:hAnsi="宋体"/>
          <w:color w:val="auto"/>
          <w:sz w:val="21"/>
          <w:szCs w:val="21"/>
          <w:highlight w:val="none"/>
        </w:rPr>
      </w:pPr>
      <w:r>
        <w:rPr>
          <w:rFonts w:ascii="宋体" w:hAnsi="宋体"/>
          <w:b/>
          <w:color w:val="auto"/>
          <w:sz w:val="21"/>
          <w:szCs w:val="21"/>
          <w:highlight w:val="none"/>
        </w:rPr>
        <w:t xml:space="preserve">    说明：具体的</w:t>
      </w:r>
      <w:r>
        <w:rPr>
          <w:rFonts w:hint="eastAsia" w:ascii="宋体" w:hAnsi="宋体"/>
          <w:b/>
          <w:color w:val="auto"/>
          <w:sz w:val="21"/>
          <w:szCs w:val="21"/>
          <w:highlight w:val="none"/>
          <w:lang w:eastAsia="zh-CN"/>
        </w:rPr>
        <w:t>投标文件</w:t>
      </w:r>
      <w:r>
        <w:rPr>
          <w:rFonts w:ascii="宋体" w:hAnsi="宋体"/>
          <w:b/>
          <w:color w:val="auto"/>
          <w:sz w:val="21"/>
          <w:szCs w:val="21"/>
          <w:highlight w:val="none"/>
        </w:rPr>
        <w:t>组成见第四章投标须知</w:t>
      </w:r>
    </w:p>
    <w:p>
      <w:pPr>
        <w:pStyle w:val="23"/>
        <w:spacing w:after="780"/>
        <w:rPr>
          <w:rFonts w:cs="宋体"/>
          <w:b/>
          <w:bCs/>
          <w:color w:val="auto"/>
          <w:sz w:val="28"/>
          <w:szCs w:val="28"/>
          <w:highlight w:val="none"/>
        </w:rPr>
      </w:pPr>
    </w:p>
    <w:p>
      <w:pPr>
        <w:rPr>
          <w:rFonts w:cs="宋体"/>
          <w:b/>
          <w:bCs/>
          <w:color w:val="auto"/>
          <w:szCs w:val="28"/>
          <w:highlight w:val="none"/>
        </w:rPr>
      </w:pPr>
    </w:p>
    <w:p>
      <w:pPr>
        <w:pStyle w:val="16"/>
        <w:rPr>
          <w:rFonts w:cs="宋体"/>
          <w:b/>
          <w:bCs/>
          <w:color w:val="auto"/>
          <w:szCs w:val="28"/>
          <w:highlight w:val="none"/>
        </w:rPr>
      </w:pPr>
    </w:p>
    <w:p>
      <w:pPr>
        <w:rPr>
          <w:rFonts w:cs="宋体"/>
          <w:b/>
          <w:bCs/>
          <w:color w:val="auto"/>
          <w:szCs w:val="28"/>
          <w:highlight w:val="none"/>
        </w:rPr>
      </w:pPr>
    </w:p>
    <w:p>
      <w:pPr>
        <w:pStyle w:val="16"/>
        <w:rPr>
          <w:rFonts w:cs="宋体"/>
          <w:b/>
          <w:bCs/>
          <w:color w:val="auto"/>
          <w:szCs w:val="28"/>
          <w:highlight w:val="none"/>
        </w:rPr>
      </w:pPr>
    </w:p>
    <w:p>
      <w:pPr>
        <w:rPr>
          <w:rFonts w:cs="宋体"/>
          <w:b/>
          <w:bCs/>
          <w:color w:val="auto"/>
          <w:szCs w:val="28"/>
          <w:highlight w:val="none"/>
        </w:rPr>
      </w:pPr>
    </w:p>
    <w:p>
      <w:pPr>
        <w:pStyle w:val="16"/>
        <w:rPr>
          <w:rFonts w:cs="宋体"/>
          <w:b/>
          <w:bCs/>
          <w:color w:val="auto"/>
          <w:szCs w:val="28"/>
          <w:highlight w:val="none"/>
        </w:rPr>
      </w:pPr>
    </w:p>
    <w:p>
      <w:pPr>
        <w:rPr>
          <w:rFonts w:cs="宋体"/>
          <w:b/>
          <w:bCs/>
          <w:color w:val="auto"/>
          <w:szCs w:val="28"/>
          <w:highlight w:val="none"/>
        </w:rPr>
      </w:pPr>
    </w:p>
    <w:p>
      <w:pPr>
        <w:rPr>
          <w:rFonts w:cs="宋体"/>
          <w:b/>
          <w:bCs/>
          <w:color w:val="auto"/>
          <w:szCs w:val="28"/>
          <w:highlight w:val="none"/>
        </w:rPr>
      </w:pPr>
    </w:p>
    <w:p>
      <w:pPr>
        <w:rPr>
          <w:rFonts w:cs="宋体"/>
          <w:b/>
          <w:bCs/>
          <w:color w:val="auto"/>
          <w:szCs w:val="28"/>
          <w:highlight w:val="none"/>
        </w:rPr>
      </w:pPr>
    </w:p>
    <w:p>
      <w:pPr>
        <w:rPr>
          <w:rFonts w:cs="宋体"/>
          <w:b/>
          <w:bCs/>
          <w:color w:val="auto"/>
          <w:szCs w:val="28"/>
          <w:highlight w:val="none"/>
        </w:rPr>
      </w:pPr>
    </w:p>
    <w:p>
      <w:pPr>
        <w:rPr>
          <w:rFonts w:cs="宋体"/>
          <w:b/>
          <w:bCs/>
          <w:color w:val="auto"/>
          <w:szCs w:val="28"/>
          <w:highlight w:val="none"/>
        </w:rPr>
      </w:pPr>
    </w:p>
    <w:p>
      <w:pPr>
        <w:rPr>
          <w:rFonts w:cs="宋体"/>
          <w:b/>
          <w:bCs/>
          <w:color w:val="auto"/>
          <w:szCs w:val="28"/>
          <w:highlight w:val="none"/>
        </w:rPr>
      </w:pPr>
    </w:p>
    <w:p>
      <w:pPr>
        <w:pStyle w:val="38"/>
        <w:rPr>
          <w:rFonts w:cs="宋体"/>
          <w:b/>
          <w:bCs/>
          <w:color w:val="auto"/>
          <w:szCs w:val="28"/>
          <w:highlight w:val="none"/>
        </w:rPr>
      </w:pPr>
    </w:p>
    <w:p>
      <w:pPr>
        <w:rPr>
          <w:rFonts w:cs="宋体"/>
          <w:b/>
          <w:bCs/>
          <w:color w:val="auto"/>
          <w:szCs w:val="28"/>
          <w:highlight w:val="none"/>
        </w:rPr>
      </w:pPr>
    </w:p>
    <w:p>
      <w:pPr>
        <w:pStyle w:val="2"/>
        <w:rPr>
          <w:rFonts w:cs="宋体"/>
          <w:b/>
          <w:bCs/>
          <w:color w:val="auto"/>
          <w:szCs w:val="28"/>
          <w:highlight w:val="none"/>
        </w:rPr>
      </w:pPr>
    </w:p>
    <w:p>
      <w:pPr>
        <w:pStyle w:val="2"/>
        <w:rPr>
          <w:rFonts w:cs="宋体"/>
          <w:b/>
          <w:bCs/>
          <w:color w:val="auto"/>
          <w:szCs w:val="28"/>
          <w:highlight w:val="none"/>
        </w:rPr>
      </w:pPr>
    </w:p>
    <w:p>
      <w:pPr>
        <w:pStyle w:val="2"/>
        <w:rPr>
          <w:rFonts w:cs="宋体"/>
          <w:b/>
          <w:bCs/>
          <w:color w:val="auto"/>
          <w:szCs w:val="28"/>
          <w:highlight w:val="none"/>
        </w:rPr>
      </w:pPr>
    </w:p>
    <w:p>
      <w:pPr>
        <w:rPr>
          <w:rFonts w:cs="宋体"/>
          <w:b/>
          <w:bCs/>
          <w:color w:val="auto"/>
          <w:szCs w:val="28"/>
          <w:highlight w:val="none"/>
        </w:rPr>
      </w:pPr>
    </w:p>
    <w:p>
      <w:pPr>
        <w:pStyle w:val="38"/>
        <w:rPr>
          <w:rFonts w:cs="宋体"/>
          <w:b/>
          <w:bCs/>
          <w:color w:val="auto"/>
          <w:szCs w:val="28"/>
          <w:highlight w:val="none"/>
        </w:rPr>
      </w:pPr>
    </w:p>
    <w:p>
      <w:pPr>
        <w:rPr>
          <w:rFonts w:cs="宋体"/>
          <w:b/>
          <w:bCs/>
          <w:color w:val="auto"/>
          <w:szCs w:val="28"/>
          <w:highlight w:val="none"/>
        </w:rPr>
      </w:pPr>
    </w:p>
    <w:p>
      <w:pPr>
        <w:pStyle w:val="38"/>
        <w:rPr>
          <w:rFonts w:cs="宋体"/>
          <w:b/>
          <w:bCs/>
          <w:color w:val="auto"/>
          <w:szCs w:val="28"/>
          <w:highlight w:val="none"/>
        </w:rPr>
      </w:pPr>
    </w:p>
    <w:p>
      <w:pPr>
        <w:rPr>
          <w:color w:val="auto"/>
          <w:highlight w:val="none"/>
        </w:rPr>
      </w:pPr>
    </w:p>
    <w:p>
      <w:pPr>
        <w:rPr>
          <w:rFonts w:cs="宋体"/>
          <w:b/>
          <w:bCs/>
          <w:color w:val="auto"/>
          <w:szCs w:val="28"/>
          <w:highlight w:val="none"/>
        </w:rPr>
      </w:pPr>
    </w:p>
    <w:p>
      <w:pPr>
        <w:rPr>
          <w:rFonts w:cs="宋体"/>
          <w:b/>
          <w:bCs/>
          <w:color w:val="auto"/>
          <w:szCs w:val="28"/>
          <w:highlight w:val="none"/>
        </w:rPr>
      </w:pPr>
    </w:p>
    <w:p>
      <w:pPr>
        <w:pStyle w:val="9"/>
        <w:rPr>
          <w:color w:val="auto"/>
          <w:highlight w:val="none"/>
        </w:rPr>
      </w:pPr>
    </w:p>
    <w:p>
      <w:pPr>
        <w:pStyle w:val="23"/>
        <w:spacing w:before="0" w:after="0" w:line="500" w:lineRule="exact"/>
        <w:jc w:val="center"/>
        <w:rPr>
          <w:rFonts w:cs="宋体"/>
          <w:b/>
          <w:bCs/>
          <w:color w:val="auto"/>
          <w:sz w:val="28"/>
          <w:szCs w:val="28"/>
          <w:highlight w:val="none"/>
        </w:rPr>
      </w:pPr>
      <w:r>
        <w:rPr>
          <w:rFonts w:hint="eastAsia" w:cs="宋体"/>
          <w:b/>
          <w:bCs/>
          <w:color w:val="auto"/>
          <w:sz w:val="28"/>
          <w:szCs w:val="28"/>
          <w:highlight w:val="none"/>
        </w:rPr>
        <w:t>投  标  函</w:t>
      </w:r>
    </w:p>
    <w:p>
      <w:pPr>
        <w:pStyle w:val="23"/>
        <w:spacing w:before="0" w:after="0" w:line="400" w:lineRule="exact"/>
        <w:rPr>
          <w:rFonts w:cs="宋体"/>
          <w:color w:val="auto"/>
          <w:sz w:val="21"/>
          <w:szCs w:val="21"/>
          <w:highlight w:val="none"/>
        </w:rPr>
      </w:pPr>
      <w:r>
        <w:rPr>
          <w:rFonts w:hint="eastAsia" w:cs="宋体"/>
          <w:color w:val="auto"/>
          <w:sz w:val="21"/>
          <w:szCs w:val="21"/>
          <w:highlight w:val="none"/>
        </w:rPr>
        <w:t>致：</w:t>
      </w:r>
    </w:p>
    <w:p>
      <w:pPr>
        <w:pStyle w:val="23"/>
        <w:keepNext w:val="0"/>
        <w:keepLines w:val="0"/>
        <w:pageBreakBefore w:val="0"/>
        <w:widowControl w:val="0"/>
        <w:kinsoku/>
        <w:wordWrap/>
        <w:overflowPunct/>
        <w:topLinePunct w:val="0"/>
        <w:autoSpaceDE/>
        <w:autoSpaceDN/>
        <w:bidi w:val="0"/>
        <w:adjustRightInd/>
        <w:snapToGrid/>
        <w:spacing w:before="0" w:after="0" w:line="400" w:lineRule="exact"/>
        <w:textAlignment w:val="auto"/>
        <w:rPr>
          <w:rFonts w:cs="宋体"/>
          <w:color w:val="auto"/>
          <w:sz w:val="21"/>
          <w:szCs w:val="21"/>
          <w:highlight w:val="none"/>
        </w:rPr>
      </w:pPr>
      <w:r>
        <w:rPr>
          <w:rFonts w:hint="eastAsia" w:cs="宋体"/>
          <w:color w:val="auto"/>
          <w:sz w:val="21"/>
          <w:szCs w:val="21"/>
          <w:highlight w:val="none"/>
        </w:rPr>
        <w:t xml:space="preserve">     _________________________（投标人全称）授权_________________（全名、职务）为全权代表参加贵方组织的_________________________（项目名称、项目编号）招标的有关活动。为此提交下述文件。</w:t>
      </w:r>
    </w:p>
    <w:p>
      <w:pPr>
        <w:spacing w:line="400" w:lineRule="exact"/>
        <w:ind w:firstLine="420" w:firstLineChars="200"/>
        <w:jc w:val="left"/>
        <w:rPr>
          <w:rFonts w:ascii="宋体" w:cs="宋体"/>
          <w:color w:val="auto"/>
          <w:sz w:val="21"/>
          <w:szCs w:val="21"/>
          <w:highlight w:val="none"/>
        </w:rPr>
      </w:pPr>
      <w:r>
        <w:rPr>
          <w:rFonts w:hint="eastAsia" w:ascii="宋体" w:cs="宋体"/>
          <w:color w:val="auto"/>
          <w:sz w:val="21"/>
          <w:szCs w:val="21"/>
          <w:highlight w:val="none"/>
        </w:rPr>
        <w:t>1、资格证明文件；</w:t>
      </w:r>
    </w:p>
    <w:p>
      <w:pPr>
        <w:spacing w:line="400" w:lineRule="exact"/>
        <w:ind w:firstLine="420" w:firstLineChars="200"/>
        <w:jc w:val="left"/>
        <w:rPr>
          <w:rFonts w:ascii="宋体" w:cs="宋体"/>
          <w:color w:val="auto"/>
          <w:sz w:val="21"/>
          <w:szCs w:val="21"/>
          <w:highlight w:val="none"/>
        </w:rPr>
      </w:pPr>
      <w:r>
        <w:rPr>
          <w:rFonts w:hint="eastAsia" w:ascii="宋体" w:cs="宋体"/>
          <w:color w:val="auto"/>
          <w:sz w:val="21"/>
          <w:szCs w:val="21"/>
          <w:highlight w:val="none"/>
        </w:rPr>
        <w:t>2、技术商务标；</w:t>
      </w:r>
    </w:p>
    <w:p>
      <w:pPr>
        <w:spacing w:line="400" w:lineRule="exact"/>
        <w:ind w:firstLine="420" w:firstLineChars="200"/>
        <w:jc w:val="left"/>
        <w:rPr>
          <w:rFonts w:ascii="宋体" w:cs="宋体"/>
          <w:color w:val="auto"/>
          <w:sz w:val="21"/>
          <w:szCs w:val="21"/>
          <w:highlight w:val="none"/>
        </w:rPr>
      </w:pPr>
      <w:r>
        <w:rPr>
          <w:rFonts w:hint="eastAsia" w:ascii="宋体" w:cs="宋体"/>
          <w:color w:val="auto"/>
          <w:sz w:val="21"/>
          <w:szCs w:val="21"/>
          <w:highlight w:val="none"/>
        </w:rPr>
        <w:t>3、价格标；</w:t>
      </w:r>
    </w:p>
    <w:p>
      <w:pPr>
        <w:spacing w:line="400" w:lineRule="exact"/>
        <w:ind w:firstLine="420" w:firstLineChars="200"/>
        <w:jc w:val="left"/>
        <w:rPr>
          <w:rFonts w:ascii="宋体" w:cs="宋体"/>
          <w:color w:val="auto"/>
          <w:sz w:val="21"/>
          <w:szCs w:val="21"/>
          <w:highlight w:val="none"/>
        </w:rPr>
      </w:pPr>
      <w:r>
        <w:rPr>
          <w:rFonts w:hint="eastAsia" w:ascii="宋体" w:cs="宋体"/>
          <w:color w:val="auto"/>
          <w:sz w:val="21"/>
          <w:szCs w:val="21"/>
          <w:highlight w:val="none"/>
        </w:rPr>
        <w:t>4、其它：</w:t>
      </w:r>
    </w:p>
    <w:p>
      <w:pPr>
        <w:spacing w:line="400" w:lineRule="exact"/>
        <w:ind w:firstLine="420" w:firstLineChars="200"/>
        <w:jc w:val="left"/>
        <w:rPr>
          <w:rFonts w:ascii="宋体" w:cs="宋体"/>
          <w:color w:val="auto"/>
          <w:sz w:val="21"/>
          <w:szCs w:val="21"/>
          <w:highlight w:val="none"/>
        </w:rPr>
      </w:pPr>
      <w:r>
        <w:rPr>
          <w:rFonts w:hint="eastAsia" w:ascii="宋体" w:cs="宋体"/>
          <w:color w:val="auto"/>
          <w:sz w:val="21"/>
          <w:szCs w:val="21"/>
          <w:highlight w:val="none"/>
        </w:rPr>
        <w:t>5、据此函，签字代表宣布同意如下：</w:t>
      </w:r>
    </w:p>
    <w:p>
      <w:pPr>
        <w:spacing w:line="460" w:lineRule="exact"/>
        <w:ind w:firstLine="420" w:firstLineChars="200"/>
        <w:jc w:val="left"/>
        <w:rPr>
          <w:rFonts w:ascii="宋体"/>
          <w:color w:val="auto"/>
          <w:sz w:val="21"/>
          <w:szCs w:val="21"/>
          <w:highlight w:val="none"/>
        </w:rPr>
      </w:pPr>
      <w:r>
        <w:rPr>
          <w:rFonts w:hint="eastAsia" w:ascii="宋体" w:cs="宋体"/>
          <w:color w:val="auto"/>
          <w:sz w:val="21"/>
          <w:szCs w:val="21"/>
          <w:highlight w:val="none"/>
        </w:rPr>
        <w:t>1</w:t>
      </w:r>
      <w:r>
        <w:rPr>
          <w:rFonts w:hint="eastAsia" w:ascii="宋体"/>
          <w:color w:val="auto"/>
          <w:sz w:val="21"/>
          <w:szCs w:val="21"/>
          <w:highlight w:val="none"/>
        </w:rPr>
        <w:t>所附开标一览表中规定的应提供和支付</w:t>
      </w:r>
      <w:r>
        <w:rPr>
          <w:rFonts w:hint="eastAsia" w:ascii="宋体"/>
          <w:color w:val="auto"/>
          <w:sz w:val="21"/>
          <w:szCs w:val="21"/>
          <w:highlight w:val="none"/>
          <w:lang w:val="en-US" w:eastAsia="zh-CN"/>
        </w:rPr>
        <w:t>货物和</w:t>
      </w:r>
      <w:r>
        <w:rPr>
          <w:rFonts w:hint="eastAsia" w:ascii="宋体"/>
          <w:color w:val="auto"/>
          <w:sz w:val="21"/>
          <w:szCs w:val="21"/>
          <w:highlight w:val="none"/>
        </w:rPr>
        <w:t>服务的投标报价为___________元</w:t>
      </w:r>
      <w:r>
        <w:rPr>
          <w:rFonts w:hint="eastAsia" w:ascii="宋体" w:hAnsi="宋体"/>
          <w:color w:val="auto"/>
          <w:sz w:val="21"/>
          <w:szCs w:val="21"/>
          <w:highlight w:val="none"/>
        </w:rPr>
        <w:t>，</w:t>
      </w:r>
      <w:r>
        <w:rPr>
          <w:rFonts w:hint="eastAsia" w:ascii="宋体"/>
          <w:color w:val="auto"/>
          <w:sz w:val="21"/>
          <w:szCs w:val="21"/>
          <w:highlight w:val="none"/>
        </w:rPr>
        <w:t>即____________（</w:t>
      </w:r>
      <w:r>
        <w:rPr>
          <w:rFonts w:hint="eastAsia" w:ascii="宋体" w:hAnsi="宋体"/>
          <w:color w:val="auto"/>
          <w:sz w:val="21"/>
          <w:szCs w:val="21"/>
          <w:highlight w:val="none"/>
        </w:rPr>
        <w:t>大</w:t>
      </w:r>
      <w:r>
        <w:rPr>
          <w:rFonts w:ascii="宋体" w:hAnsi="宋体"/>
          <w:color w:val="auto"/>
          <w:sz w:val="21"/>
          <w:szCs w:val="21"/>
          <w:highlight w:val="none"/>
        </w:rPr>
        <w:t>写</w:t>
      </w:r>
      <w:r>
        <w:rPr>
          <w:rFonts w:hint="eastAsia" w:ascii="宋体"/>
          <w:color w:val="auto"/>
          <w:sz w:val="21"/>
          <w:szCs w:val="21"/>
          <w:highlight w:val="none"/>
        </w:rPr>
        <w:t>）</w:t>
      </w:r>
      <w:r>
        <w:rPr>
          <w:rFonts w:cs="宋体"/>
          <w:color w:val="auto"/>
          <w:kern w:val="0"/>
          <w:sz w:val="22"/>
          <w:szCs w:val="22"/>
          <w:highlight w:val="none"/>
        </w:rPr>
        <w:t xml:space="preserve"> </w:t>
      </w:r>
      <w:r>
        <w:rPr>
          <w:rFonts w:hint="eastAsia" w:ascii="宋体"/>
          <w:color w:val="auto"/>
          <w:sz w:val="21"/>
          <w:szCs w:val="21"/>
          <w:highlight w:val="none"/>
        </w:rPr>
        <w:t>。</w:t>
      </w:r>
    </w:p>
    <w:p>
      <w:pPr>
        <w:spacing w:line="460" w:lineRule="exact"/>
        <w:ind w:firstLine="420" w:firstLineChars="200"/>
        <w:jc w:val="left"/>
        <w:rPr>
          <w:rFonts w:ascii="宋体" w:cs="宋体"/>
          <w:color w:val="auto"/>
          <w:sz w:val="21"/>
          <w:szCs w:val="21"/>
          <w:highlight w:val="none"/>
        </w:rPr>
      </w:pPr>
      <w:r>
        <w:rPr>
          <w:rFonts w:hint="eastAsia" w:ascii="宋体" w:cs="宋体"/>
          <w:color w:val="auto"/>
          <w:sz w:val="21"/>
          <w:szCs w:val="21"/>
          <w:highlight w:val="none"/>
        </w:rPr>
        <w:t>2投标人已详细审查全部采购文件，我们完全理解并同意放弃对这方面有不明及误解的权利。</w:t>
      </w:r>
    </w:p>
    <w:p>
      <w:pPr>
        <w:spacing w:line="460" w:lineRule="exact"/>
        <w:ind w:firstLine="420" w:firstLineChars="200"/>
        <w:jc w:val="left"/>
        <w:rPr>
          <w:rFonts w:ascii="宋体" w:cs="宋体"/>
          <w:color w:val="auto"/>
          <w:sz w:val="21"/>
          <w:szCs w:val="21"/>
          <w:highlight w:val="none"/>
        </w:rPr>
      </w:pPr>
      <w:r>
        <w:rPr>
          <w:rFonts w:hint="eastAsia" w:ascii="宋体" w:cs="宋体"/>
          <w:color w:val="auto"/>
          <w:sz w:val="21"/>
          <w:szCs w:val="21"/>
          <w:highlight w:val="none"/>
        </w:rPr>
        <w:t>3投标人将按采购文件规定履行合同责任和义务。</w:t>
      </w:r>
    </w:p>
    <w:p>
      <w:pPr>
        <w:spacing w:line="460" w:lineRule="exact"/>
        <w:ind w:firstLine="420" w:firstLineChars="200"/>
        <w:jc w:val="left"/>
        <w:rPr>
          <w:rFonts w:ascii="宋体" w:cs="宋体"/>
          <w:color w:val="auto"/>
          <w:sz w:val="21"/>
          <w:szCs w:val="21"/>
          <w:highlight w:val="none"/>
        </w:rPr>
      </w:pPr>
      <w:r>
        <w:rPr>
          <w:rFonts w:hint="eastAsia" w:ascii="宋体" w:cs="宋体"/>
          <w:color w:val="auto"/>
          <w:sz w:val="21"/>
          <w:szCs w:val="21"/>
          <w:highlight w:val="none"/>
        </w:rPr>
        <w:t>4其投标自开标之日起有效期</w:t>
      </w:r>
      <w:r>
        <w:rPr>
          <w:rFonts w:hint="eastAsia" w:ascii="宋体" w:cs="宋体"/>
          <w:color w:val="auto"/>
          <w:sz w:val="21"/>
          <w:szCs w:val="21"/>
          <w:highlight w:val="none"/>
          <w:u w:val="single"/>
        </w:rPr>
        <w:t>90</w:t>
      </w:r>
      <w:r>
        <w:rPr>
          <w:rFonts w:hint="eastAsia" w:ascii="宋体" w:cs="宋体"/>
          <w:color w:val="auto"/>
          <w:sz w:val="21"/>
          <w:szCs w:val="21"/>
          <w:highlight w:val="none"/>
        </w:rPr>
        <w:t>个工作日。</w:t>
      </w:r>
    </w:p>
    <w:p>
      <w:pPr>
        <w:spacing w:line="460" w:lineRule="exact"/>
        <w:ind w:firstLine="420" w:firstLineChars="200"/>
        <w:jc w:val="left"/>
        <w:rPr>
          <w:rFonts w:ascii="宋体" w:cs="宋体"/>
          <w:color w:val="auto"/>
          <w:sz w:val="21"/>
          <w:szCs w:val="21"/>
          <w:highlight w:val="none"/>
        </w:rPr>
      </w:pPr>
      <w:r>
        <w:rPr>
          <w:rFonts w:hint="eastAsia" w:ascii="宋体" w:cs="宋体"/>
          <w:color w:val="auto"/>
          <w:sz w:val="21"/>
          <w:szCs w:val="21"/>
          <w:highlight w:val="none"/>
        </w:rPr>
        <w:t>5如果在规定的开标时间后，投标人在投标有效期内不可撤回其投标。</w:t>
      </w:r>
    </w:p>
    <w:p>
      <w:pPr>
        <w:spacing w:line="460" w:lineRule="exact"/>
        <w:ind w:firstLine="420" w:firstLineChars="200"/>
        <w:jc w:val="left"/>
        <w:rPr>
          <w:rFonts w:ascii="宋体" w:cs="宋体"/>
          <w:color w:val="auto"/>
          <w:sz w:val="21"/>
          <w:szCs w:val="21"/>
          <w:highlight w:val="none"/>
        </w:rPr>
      </w:pPr>
      <w:r>
        <w:rPr>
          <w:rFonts w:hint="eastAsia" w:ascii="宋体" w:cs="宋体"/>
          <w:color w:val="auto"/>
          <w:sz w:val="21"/>
          <w:szCs w:val="21"/>
          <w:highlight w:val="none"/>
        </w:rPr>
        <w:t>6投标人同意提供按照贵方可能要求的与其投标有关的一切数据或数据，理解贵方不一定要接受最低价的投标或收到的任何投标。</w:t>
      </w:r>
    </w:p>
    <w:p>
      <w:pPr>
        <w:spacing w:line="460" w:lineRule="exact"/>
        <w:ind w:firstLine="420" w:firstLineChars="200"/>
        <w:jc w:val="left"/>
        <w:rPr>
          <w:rFonts w:ascii="宋体" w:cs="宋体"/>
          <w:color w:val="auto"/>
          <w:highlight w:val="none"/>
        </w:rPr>
      </w:pPr>
      <w:r>
        <w:rPr>
          <w:rFonts w:hint="eastAsia" w:ascii="宋体" w:cs="宋体"/>
          <w:color w:val="auto"/>
          <w:sz w:val="21"/>
          <w:szCs w:val="21"/>
          <w:highlight w:val="none"/>
        </w:rPr>
        <w:t>7与本投标有关的一切正式</w:t>
      </w:r>
      <w:r>
        <w:rPr>
          <w:rFonts w:hint="eastAsia" w:ascii="宋体" w:cs="宋体"/>
          <w:color w:val="auto"/>
          <w:sz w:val="21"/>
          <w:szCs w:val="21"/>
          <w:highlight w:val="none"/>
          <w:lang w:eastAsia="zh-CN"/>
        </w:rPr>
        <w:t>往来通信请寄</w:t>
      </w:r>
      <w:r>
        <w:rPr>
          <w:rFonts w:hint="eastAsia" w:ascii="宋体" w:cs="宋体"/>
          <w:color w:val="auto"/>
          <w:sz w:val="21"/>
          <w:szCs w:val="21"/>
          <w:highlight w:val="none"/>
        </w:rPr>
        <w:t>：</w:t>
      </w:r>
    </w:p>
    <w:p>
      <w:pPr>
        <w:spacing w:line="460" w:lineRule="exact"/>
        <w:ind w:firstLine="420" w:firstLineChars="200"/>
        <w:jc w:val="left"/>
        <w:rPr>
          <w:rFonts w:ascii="宋体" w:cs="宋体"/>
          <w:color w:val="auto"/>
          <w:sz w:val="21"/>
          <w:szCs w:val="21"/>
          <w:highlight w:val="none"/>
        </w:rPr>
      </w:pPr>
      <w:r>
        <w:rPr>
          <w:rFonts w:hint="eastAsia" w:ascii="宋体" w:cs="宋体"/>
          <w:color w:val="auto"/>
          <w:sz w:val="21"/>
          <w:szCs w:val="21"/>
          <w:highlight w:val="none"/>
        </w:rPr>
        <w:t xml:space="preserve">       地址：______________________邮编：______________________                </w:t>
      </w:r>
    </w:p>
    <w:p>
      <w:pPr>
        <w:spacing w:line="460" w:lineRule="exact"/>
        <w:ind w:firstLine="420" w:firstLineChars="200"/>
        <w:jc w:val="left"/>
        <w:rPr>
          <w:rFonts w:ascii="宋体" w:cs="宋体"/>
          <w:color w:val="auto"/>
          <w:sz w:val="21"/>
          <w:szCs w:val="21"/>
          <w:highlight w:val="none"/>
        </w:rPr>
      </w:pPr>
      <w:r>
        <w:rPr>
          <w:rFonts w:hint="eastAsia" w:ascii="宋体" w:cs="宋体"/>
          <w:color w:val="auto"/>
          <w:sz w:val="21"/>
          <w:szCs w:val="21"/>
          <w:highlight w:val="none"/>
        </w:rPr>
        <w:t xml:space="preserve">       电话：______________________传真：______________________                </w:t>
      </w:r>
    </w:p>
    <w:p>
      <w:pPr>
        <w:spacing w:line="460" w:lineRule="exact"/>
        <w:ind w:firstLine="420" w:firstLineChars="200"/>
        <w:jc w:val="left"/>
        <w:rPr>
          <w:rFonts w:ascii="宋体" w:cs="宋体"/>
          <w:color w:val="auto"/>
          <w:sz w:val="21"/>
          <w:szCs w:val="21"/>
          <w:highlight w:val="none"/>
        </w:rPr>
      </w:pPr>
      <w:r>
        <w:rPr>
          <w:rFonts w:hint="eastAsia" w:ascii="宋体" w:cs="宋体"/>
          <w:color w:val="auto"/>
          <w:sz w:val="21"/>
          <w:szCs w:val="21"/>
          <w:highlight w:val="none"/>
        </w:rPr>
        <w:t xml:space="preserve">       投标人名称： ___________________________ （公章）</w:t>
      </w:r>
    </w:p>
    <w:p>
      <w:pPr>
        <w:spacing w:line="460" w:lineRule="exact"/>
        <w:ind w:firstLine="420" w:firstLineChars="200"/>
        <w:jc w:val="left"/>
        <w:rPr>
          <w:rFonts w:ascii="宋体" w:cs="宋体"/>
          <w:color w:val="auto"/>
          <w:sz w:val="21"/>
          <w:szCs w:val="21"/>
          <w:highlight w:val="none"/>
        </w:rPr>
      </w:pPr>
      <w:r>
        <w:rPr>
          <w:rFonts w:hint="eastAsia" w:ascii="宋体" w:cs="宋体"/>
          <w:color w:val="auto"/>
          <w:sz w:val="21"/>
          <w:szCs w:val="21"/>
          <w:highlight w:val="none"/>
        </w:rPr>
        <w:t xml:space="preserve">       投标人法定代表人（签字或盖章）： ______________________</w:t>
      </w:r>
    </w:p>
    <w:p>
      <w:pPr>
        <w:spacing w:line="460" w:lineRule="exact"/>
        <w:ind w:left="95" w:leftChars="34" w:firstLine="1050" w:firstLineChars="500"/>
        <w:jc w:val="left"/>
        <w:rPr>
          <w:rFonts w:ascii="宋体" w:cs="宋体"/>
          <w:color w:val="auto"/>
          <w:sz w:val="21"/>
          <w:szCs w:val="21"/>
          <w:highlight w:val="none"/>
        </w:rPr>
      </w:pPr>
      <w:r>
        <w:rPr>
          <w:rFonts w:hint="eastAsia" w:ascii="宋体" w:cs="宋体"/>
          <w:color w:val="auto"/>
          <w:sz w:val="21"/>
          <w:szCs w:val="21"/>
          <w:highlight w:val="none"/>
        </w:rPr>
        <w:t>委托代理人（签字</w:t>
      </w:r>
      <w:r>
        <w:rPr>
          <w:rFonts w:hint="eastAsia" w:ascii="宋体" w:cs="宋体"/>
          <w:color w:val="auto"/>
          <w:sz w:val="21"/>
          <w:szCs w:val="21"/>
          <w:highlight w:val="none"/>
          <w:lang w:val="en-US" w:eastAsia="zh-CN"/>
        </w:rPr>
        <w:t>或盖章</w:t>
      </w:r>
      <w:r>
        <w:rPr>
          <w:rFonts w:hint="eastAsia" w:ascii="宋体" w:cs="宋体"/>
          <w:color w:val="auto"/>
          <w:sz w:val="21"/>
          <w:szCs w:val="21"/>
          <w:highlight w:val="none"/>
        </w:rPr>
        <w:t xml:space="preserve">）： ____________ </w:t>
      </w:r>
    </w:p>
    <w:p>
      <w:pPr>
        <w:spacing w:line="460" w:lineRule="exact"/>
        <w:rPr>
          <w:rFonts w:ascii="宋体" w:cs="宋体"/>
          <w:b/>
          <w:bCs/>
          <w:color w:val="auto"/>
          <w:sz w:val="21"/>
          <w:szCs w:val="21"/>
          <w:highlight w:val="none"/>
        </w:rPr>
        <w:sectPr>
          <w:footerReference r:id="rId7" w:type="first"/>
          <w:headerReference r:id="rId5" w:type="default"/>
          <w:footerReference r:id="rId6" w:type="default"/>
          <w:pgSz w:w="11906" w:h="16838"/>
          <w:pgMar w:top="1440" w:right="1080" w:bottom="1440" w:left="1080" w:header="851" w:footer="851" w:gutter="0"/>
          <w:cols w:space="720" w:num="1"/>
          <w:titlePg/>
          <w:docGrid w:linePitch="312" w:charSpace="0"/>
        </w:sectPr>
      </w:pPr>
      <w:r>
        <w:rPr>
          <w:rFonts w:hint="eastAsia" w:ascii="宋体" w:cs="宋体"/>
          <w:color w:val="auto"/>
          <w:sz w:val="21"/>
          <w:szCs w:val="21"/>
          <w:highlight w:val="none"/>
        </w:rPr>
        <w:t xml:space="preserve">           投标日期： _______年____月____日   </w:t>
      </w:r>
    </w:p>
    <w:p>
      <w:pPr>
        <w:pStyle w:val="23"/>
        <w:spacing w:before="0" w:after="0"/>
        <w:jc w:val="center"/>
        <w:rPr>
          <w:b/>
          <w:bCs/>
          <w:color w:val="auto"/>
          <w:szCs w:val="28"/>
          <w:highlight w:val="none"/>
        </w:rPr>
      </w:pPr>
      <w:r>
        <w:rPr>
          <w:rFonts w:hint="eastAsia" w:cs="宋体"/>
          <w:b/>
          <w:bCs/>
          <w:color w:val="auto"/>
          <w:sz w:val="28"/>
          <w:szCs w:val="28"/>
          <w:highlight w:val="none"/>
        </w:rPr>
        <w:t>二、</w:t>
      </w:r>
      <w:r>
        <w:rPr>
          <w:rFonts w:hint="eastAsia"/>
          <w:b/>
          <w:bCs/>
          <w:color w:val="auto"/>
          <w:sz w:val="28"/>
          <w:szCs w:val="28"/>
          <w:highlight w:val="none"/>
        </w:rPr>
        <w:t>开标一览表</w:t>
      </w:r>
      <w:r>
        <w:rPr>
          <w:rFonts w:hint="eastAsia"/>
          <w:b/>
          <w:bCs/>
          <w:color w:val="auto"/>
          <w:szCs w:val="28"/>
          <w:highlight w:val="none"/>
        </w:rPr>
        <w:t>　</w:t>
      </w:r>
    </w:p>
    <w:p>
      <w:pPr>
        <w:spacing w:line="500" w:lineRule="exact"/>
        <w:ind w:firstLine="420" w:firstLineChars="200"/>
        <w:rPr>
          <w:rFonts w:ascii="宋体"/>
          <w:color w:val="auto"/>
          <w:sz w:val="21"/>
          <w:szCs w:val="21"/>
          <w:highlight w:val="none"/>
        </w:rPr>
      </w:pPr>
      <w:r>
        <w:rPr>
          <w:rFonts w:hint="eastAsia" w:ascii="宋体"/>
          <w:color w:val="auto"/>
          <w:sz w:val="21"/>
          <w:szCs w:val="21"/>
          <w:highlight w:val="none"/>
        </w:rPr>
        <w:t>项目名称：                             项目编号：</w:t>
      </w:r>
    </w:p>
    <w:tbl>
      <w:tblPr>
        <w:tblStyle w:val="39"/>
        <w:tblW w:w="0" w:type="auto"/>
        <w:jc w:val="center"/>
        <w:tblLayout w:type="fixed"/>
        <w:tblCellMar>
          <w:top w:w="0" w:type="dxa"/>
          <w:left w:w="108" w:type="dxa"/>
          <w:bottom w:w="0" w:type="dxa"/>
          <w:right w:w="108" w:type="dxa"/>
        </w:tblCellMar>
      </w:tblPr>
      <w:tblGrid>
        <w:gridCol w:w="658"/>
        <w:gridCol w:w="1368"/>
        <w:gridCol w:w="2232"/>
        <w:gridCol w:w="1436"/>
        <w:gridCol w:w="1309"/>
        <w:gridCol w:w="2470"/>
      </w:tblGrid>
      <w:tr>
        <w:tblPrEx>
          <w:tblCellMar>
            <w:top w:w="0" w:type="dxa"/>
            <w:left w:w="108" w:type="dxa"/>
            <w:bottom w:w="0" w:type="dxa"/>
            <w:right w:w="108" w:type="dxa"/>
          </w:tblCellMar>
        </w:tblPrEx>
        <w:trPr>
          <w:trHeight w:val="624" w:hRule="exact"/>
          <w:jc w:val="center"/>
        </w:trPr>
        <w:tc>
          <w:tcPr>
            <w:tcW w:w="65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bCs/>
                <w:color w:val="auto"/>
                <w:sz w:val="21"/>
                <w:szCs w:val="21"/>
                <w:highlight w:val="none"/>
              </w:rPr>
            </w:pPr>
            <w:r>
              <w:rPr>
                <w:rFonts w:hint="eastAsia" w:ascii="宋体" w:hAnsi="宋体"/>
                <w:b/>
                <w:bCs/>
                <w:color w:val="auto"/>
                <w:sz w:val="21"/>
                <w:szCs w:val="21"/>
                <w:highlight w:val="none"/>
              </w:rPr>
              <w:t>序号</w:t>
            </w:r>
          </w:p>
        </w:tc>
        <w:tc>
          <w:tcPr>
            <w:tcW w:w="1368" w:type="dxa"/>
            <w:tcBorders>
              <w:top w:val="single" w:color="auto" w:sz="4" w:space="0"/>
              <w:left w:val="nil"/>
              <w:bottom w:val="single" w:color="auto" w:sz="4" w:space="0"/>
              <w:right w:val="single" w:color="auto" w:sz="4" w:space="0"/>
            </w:tcBorders>
            <w:noWrap w:val="0"/>
            <w:vAlign w:val="center"/>
          </w:tcPr>
          <w:p>
            <w:pPr>
              <w:jc w:val="center"/>
              <w:rPr>
                <w:rFonts w:ascii="宋体" w:hAnsi="宋体"/>
                <w:b/>
                <w:bCs/>
                <w:color w:val="auto"/>
                <w:sz w:val="21"/>
                <w:szCs w:val="21"/>
                <w:highlight w:val="none"/>
              </w:rPr>
            </w:pPr>
            <w:r>
              <w:rPr>
                <w:rFonts w:hint="eastAsia" w:ascii="宋体" w:hAnsi="宋体"/>
                <w:b/>
                <w:bCs/>
                <w:color w:val="auto"/>
                <w:sz w:val="21"/>
                <w:szCs w:val="21"/>
                <w:highlight w:val="none"/>
              </w:rPr>
              <w:t>采购内容</w:t>
            </w:r>
          </w:p>
        </w:tc>
        <w:tc>
          <w:tcPr>
            <w:tcW w:w="2232" w:type="dxa"/>
            <w:tcBorders>
              <w:top w:val="single" w:color="auto" w:sz="4" w:space="0"/>
              <w:left w:val="nil"/>
              <w:bottom w:val="single" w:color="auto" w:sz="4" w:space="0"/>
              <w:right w:val="single" w:color="auto" w:sz="4" w:space="0"/>
            </w:tcBorders>
            <w:noWrap w:val="0"/>
            <w:vAlign w:val="center"/>
          </w:tcPr>
          <w:p>
            <w:pPr>
              <w:jc w:val="center"/>
              <w:rPr>
                <w:rFonts w:ascii="宋体" w:hAnsi="宋体"/>
                <w:b/>
                <w:bCs/>
                <w:color w:val="auto"/>
                <w:sz w:val="21"/>
                <w:szCs w:val="21"/>
                <w:highlight w:val="none"/>
              </w:rPr>
            </w:pPr>
            <w:r>
              <w:rPr>
                <w:rFonts w:hint="eastAsia" w:ascii="宋体" w:hAnsi="宋体"/>
                <w:b/>
                <w:bCs/>
                <w:color w:val="auto"/>
                <w:sz w:val="21"/>
                <w:szCs w:val="21"/>
                <w:highlight w:val="none"/>
              </w:rPr>
              <w:t>品牌和规格型号</w:t>
            </w:r>
          </w:p>
        </w:tc>
        <w:tc>
          <w:tcPr>
            <w:tcW w:w="1436" w:type="dxa"/>
            <w:tcBorders>
              <w:top w:val="single" w:color="auto" w:sz="4" w:space="0"/>
              <w:left w:val="nil"/>
              <w:bottom w:val="single" w:color="auto" w:sz="4" w:space="0"/>
              <w:right w:val="single" w:color="auto" w:sz="4" w:space="0"/>
            </w:tcBorders>
            <w:noWrap w:val="0"/>
            <w:vAlign w:val="center"/>
          </w:tcPr>
          <w:p>
            <w:pPr>
              <w:jc w:val="center"/>
              <w:rPr>
                <w:rFonts w:ascii="宋体" w:hAnsi="宋体"/>
                <w:b/>
                <w:bCs/>
                <w:color w:val="auto"/>
                <w:sz w:val="21"/>
                <w:szCs w:val="21"/>
                <w:highlight w:val="none"/>
              </w:rPr>
            </w:pPr>
            <w:r>
              <w:rPr>
                <w:rFonts w:hint="eastAsia" w:ascii="宋体" w:hAnsi="宋体"/>
                <w:b/>
                <w:bCs/>
                <w:color w:val="auto"/>
                <w:sz w:val="21"/>
                <w:szCs w:val="21"/>
                <w:highlight w:val="none"/>
              </w:rPr>
              <w:t>单价（元）</w:t>
            </w:r>
          </w:p>
        </w:tc>
        <w:tc>
          <w:tcPr>
            <w:tcW w:w="1309" w:type="dxa"/>
            <w:tcBorders>
              <w:top w:val="single" w:color="auto" w:sz="4" w:space="0"/>
              <w:left w:val="nil"/>
              <w:bottom w:val="single" w:color="auto" w:sz="4" w:space="0"/>
              <w:right w:val="single" w:color="auto" w:sz="4" w:space="0"/>
            </w:tcBorders>
            <w:noWrap w:val="0"/>
            <w:vAlign w:val="center"/>
          </w:tcPr>
          <w:p>
            <w:pPr>
              <w:jc w:val="center"/>
              <w:rPr>
                <w:rFonts w:ascii="宋体" w:hAnsi="宋体"/>
                <w:b/>
                <w:bCs/>
                <w:color w:val="auto"/>
                <w:sz w:val="21"/>
                <w:szCs w:val="21"/>
                <w:highlight w:val="none"/>
              </w:rPr>
            </w:pPr>
            <w:r>
              <w:rPr>
                <w:rFonts w:hint="eastAsia" w:ascii="宋体" w:hAnsi="宋体"/>
                <w:b/>
                <w:bCs/>
                <w:color w:val="auto"/>
                <w:sz w:val="21"/>
                <w:szCs w:val="21"/>
                <w:highlight w:val="none"/>
              </w:rPr>
              <w:t>数量</w:t>
            </w:r>
          </w:p>
        </w:tc>
        <w:tc>
          <w:tcPr>
            <w:tcW w:w="2470" w:type="dxa"/>
            <w:tcBorders>
              <w:top w:val="single" w:color="auto" w:sz="4" w:space="0"/>
              <w:left w:val="nil"/>
              <w:bottom w:val="single" w:color="auto" w:sz="4" w:space="0"/>
              <w:right w:val="single" w:color="auto" w:sz="4" w:space="0"/>
            </w:tcBorders>
            <w:noWrap w:val="0"/>
            <w:vAlign w:val="center"/>
          </w:tcPr>
          <w:p>
            <w:pPr>
              <w:jc w:val="center"/>
              <w:rPr>
                <w:rFonts w:ascii="宋体" w:hAnsi="宋体"/>
                <w:b/>
                <w:bCs/>
                <w:color w:val="auto"/>
                <w:sz w:val="21"/>
                <w:szCs w:val="21"/>
                <w:highlight w:val="none"/>
              </w:rPr>
            </w:pPr>
            <w:r>
              <w:rPr>
                <w:rFonts w:hint="eastAsia" w:ascii="宋体" w:hAnsi="宋体"/>
                <w:b/>
                <w:bCs/>
                <w:color w:val="auto"/>
                <w:sz w:val="21"/>
                <w:szCs w:val="21"/>
                <w:highlight w:val="none"/>
              </w:rPr>
              <w:t>总价（元）</w:t>
            </w:r>
          </w:p>
        </w:tc>
      </w:tr>
      <w:tr>
        <w:tblPrEx>
          <w:tblCellMar>
            <w:top w:w="0" w:type="dxa"/>
            <w:left w:w="108" w:type="dxa"/>
            <w:bottom w:w="0" w:type="dxa"/>
            <w:right w:w="108" w:type="dxa"/>
          </w:tblCellMar>
        </w:tblPrEx>
        <w:trPr>
          <w:cantSplit/>
          <w:trHeight w:val="624" w:hRule="exact"/>
          <w:jc w:val="center"/>
        </w:trPr>
        <w:tc>
          <w:tcPr>
            <w:tcW w:w="65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1"/>
                <w:szCs w:val="21"/>
                <w:highlight w:val="none"/>
              </w:rPr>
            </w:pPr>
            <w:r>
              <w:rPr>
                <w:rFonts w:hint="eastAsia" w:ascii="宋体" w:hAnsi="宋体"/>
                <w:color w:val="auto"/>
                <w:sz w:val="21"/>
                <w:szCs w:val="21"/>
                <w:highlight w:val="none"/>
              </w:rPr>
              <w:t>1</w:t>
            </w:r>
          </w:p>
        </w:tc>
        <w:tc>
          <w:tcPr>
            <w:tcW w:w="1368"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auto"/>
                <w:sz w:val="21"/>
                <w:szCs w:val="21"/>
                <w:highlight w:val="none"/>
              </w:rPr>
            </w:pPr>
          </w:p>
        </w:tc>
        <w:tc>
          <w:tcPr>
            <w:tcW w:w="2232" w:type="dxa"/>
            <w:tcBorders>
              <w:top w:val="single" w:color="auto" w:sz="4" w:space="0"/>
              <w:left w:val="nil"/>
              <w:bottom w:val="single" w:color="auto" w:sz="4" w:space="0"/>
              <w:right w:val="single" w:color="auto" w:sz="4" w:space="0"/>
            </w:tcBorders>
            <w:noWrap w:val="0"/>
            <w:vAlign w:val="center"/>
          </w:tcPr>
          <w:p>
            <w:pPr>
              <w:widowControl/>
              <w:spacing w:before="100" w:beforeAutospacing="1" w:after="100" w:afterAutospacing="1"/>
              <w:jc w:val="left"/>
              <w:rPr>
                <w:color w:val="auto"/>
                <w:kern w:val="0"/>
                <w:sz w:val="21"/>
                <w:szCs w:val="21"/>
                <w:highlight w:val="none"/>
              </w:rPr>
            </w:pPr>
          </w:p>
        </w:tc>
        <w:tc>
          <w:tcPr>
            <w:tcW w:w="1436"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auto"/>
                <w:sz w:val="21"/>
                <w:szCs w:val="21"/>
                <w:highlight w:val="none"/>
              </w:rPr>
            </w:pPr>
          </w:p>
        </w:tc>
        <w:tc>
          <w:tcPr>
            <w:tcW w:w="13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auto"/>
                <w:sz w:val="21"/>
                <w:szCs w:val="21"/>
                <w:highlight w:val="none"/>
              </w:rPr>
            </w:pPr>
          </w:p>
        </w:tc>
        <w:tc>
          <w:tcPr>
            <w:tcW w:w="2470" w:type="dxa"/>
            <w:tcBorders>
              <w:top w:val="single" w:color="auto" w:sz="4" w:space="0"/>
              <w:left w:val="nil"/>
              <w:bottom w:val="single" w:color="auto" w:sz="4" w:space="0"/>
              <w:right w:val="single" w:color="auto" w:sz="4" w:space="0"/>
            </w:tcBorders>
            <w:noWrap w:val="0"/>
            <w:vAlign w:val="center"/>
          </w:tcPr>
          <w:p>
            <w:pPr>
              <w:widowControl/>
              <w:spacing w:before="100" w:beforeAutospacing="1" w:after="100" w:afterAutospacing="1"/>
              <w:jc w:val="center"/>
              <w:rPr>
                <w:color w:val="auto"/>
                <w:kern w:val="0"/>
                <w:sz w:val="21"/>
                <w:szCs w:val="21"/>
                <w:highlight w:val="none"/>
              </w:rPr>
            </w:pPr>
          </w:p>
        </w:tc>
      </w:tr>
      <w:tr>
        <w:tblPrEx>
          <w:tblCellMar>
            <w:top w:w="0" w:type="dxa"/>
            <w:left w:w="108" w:type="dxa"/>
            <w:bottom w:w="0" w:type="dxa"/>
            <w:right w:w="108" w:type="dxa"/>
          </w:tblCellMar>
        </w:tblPrEx>
        <w:trPr>
          <w:cantSplit/>
          <w:trHeight w:val="624" w:hRule="exact"/>
          <w:jc w:val="center"/>
        </w:trPr>
        <w:tc>
          <w:tcPr>
            <w:tcW w:w="65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1"/>
                <w:szCs w:val="21"/>
                <w:highlight w:val="none"/>
              </w:rPr>
            </w:pPr>
            <w:r>
              <w:rPr>
                <w:rFonts w:hint="eastAsia" w:ascii="宋体" w:hAnsi="宋体"/>
                <w:color w:val="auto"/>
                <w:sz w:val="21"/>
                <w:szCs w:val="21"/>
                <w:highlight w:val="none"/>
              </w:rPr>
              <w:t>2</w:t>
            </w:r>
          </w:p>
        </w:tc>
        <w:tc>
          <w:tcPr>
            <w:tcW w:w="1368"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auto"/>
                <w:sz w:val="21"/>
                <w:szCs w:val="21"/>
                <w:highlight w:val="none"/>
              </w:rPr>
            </w:pPr>
          </w:p>
        </w:tc>
        <w:tc>
          <w:tcPr>
            <w:tcW w:w="2232" w:type="dxa"/>
            <w:tcBorders>
              <w:top w:val="single" w:color="auto" w:sz="4" w:space="0"/>
              <w:left w:val="nil"/>
              <w:bottom w:val="single" w:color="auto" w:sz="4" w:space="0"/>
              <w:right w:val="single" w:color="auto" w:sz="4" w:space="0"/>
            </w:tcBorders>
            <w:noWrap w:val="0"/>
            <w:vAlign w:val="center"/>
          </w:tcPr>
          <w:p>
            <w:pPr>
              <w:widowControl/>
              <w:spacing w:before="100" w:beforeAutospacing="1" w:after="100" w:afterAutospacing="1"/>
              <w:jc w:val="left"/>
              <w:rPr>
                <w:color w:val="auto"/>
                <w:kern w:val="0"/>
                <w:sz w:val="21"/>
                <w:szCs w:val="21"/>
                <w:highlight w:val="none"/>
              </w:rPr>
            </w:pPr>
          </w:p>
        </w:tc>
        <w:tc>
          <w:tcPr>
            <w:tcW w:w="1436"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auto"/>
                <w:sz w:val="21"/>
                <w:szCs w:val="21"/>
                <w:highlight w:val="none"/>
              </w:rPr>
            </w:pPr>
          </w:p>
        </w:tc>
        <w:tc>
          <w:tcPr>
            <w:tcW w:w="13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auto"/>
                <w:sz w:val="21"/>
                <w:szCs w:val="21"/>
                <w:highlight w:val="none"/>
              </w:rPr>
            </w:pPr>
          </w:p>
        </w:tc>
        <w:tc>
          <w:tcPr>
            <w:tcW w:w="2470" w:type="dxa"/>
            <w:tcBorders>
              <w:top w:val="single" w:color="auto" w:sz="4" w:space="0"/>
              <w:left w:val="nil"/>
              <w:bottom w:val="single" w:color="auto" w:sz="4" w:space="0"/>
              <w:right w:val="single" w:color="auto" w:sz="4" w:space="0"/>
            </w:tcBorders>
            <w:noWrap w:val="0"/>
            <w:vAlign w:val="center"/>
          </w:tcPr>
          <w:p>
            <w:pPr>
              <w:widowControl/>
              <w:spacing w:before="100" w:beforeAutospacing="1" w:after="100" w:afterAutospacing="1"/>
              <w:jc w:val="center"/>
              <w:rPr>
                <w:color w:val="auto"/>
                <w:kern w:val="0"/>
                <w:sz w:val="21"/>
                <w:szCs w:val="21"/>
                <w:highlight w:val="none"/>
              </w:rPr>
            </w:pPr>
          </w:p>
        </w:tc>
      </w:tr>
      <w:tr>
        <w:tblPrEx>
          <w:tblCellMar>
            <w:top w:w="0" w:type="dxa"/>
            <w:left w:w="108" w:type="dxa"/>
            <w:bottom w:w="0" w:type="dxa"/>
            <w:right w:w="108" w:type="dxa"/>
          </w:tblCellMar>
        </w:tblPrEx>
        <w:trPr>
          <w:cantSplit/>
          <w:trHeight w:val="624" w:hRule="exact"/>
          <w:jc w:val="center"/>
        </w:trPr>
        <w:tc>
          <w:tcPr>
            <w:tcW w:w="65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1"/>
                <w:szCs w:val="21"/>
                <w:highlight w:val="none"/>
              </w:rPr>
            </w:pPr>
            <w:r>
              <w:rPr>
                <w:rFonts w:hint="eastAsia" w:ascii="宋体" w:hAnsi="宋体"/>
                <w:color w:val="auto"/>
                <w:sz w:val="21"/>
                <w:szCs w:val="21"/>
                <w:highlight w:val="none"/>
              </w:rPr>
              <w:t>3</w:t>
            </w:r>
          </w:p>
        </w:tc>
        <w:tc>
          <w:tcPr>
            <w:tcW w:w="1368"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auto"/>
                <w:sz w:val="21"/>
                <w:szCs w:val="21"/>
                <w:highlight w:val="none"/>
              </w:rPr>
            </w:pPr>
          </w:p>
        </w:tc>
        <w:tc>
          <w:tcPr>
            <w:tcW w:w="2232" w:type="dxa"/>
            <w:tcBorders>
              <w:top w:val="single" w:color="auto" w:sz="4" w:space="0"/>
              <w:left w:val="nil"/>
              <w:bottom w:val="single" w:color="auto" w:sz="4" w:space="0"/>
              <w:right w:val="single" w:color="auto" w:sz="4" w:space="0"/>
            </w:tcBorders>
            <w:noWrap w:val="0"/>
            <w:vAlign w:val="center"/>
          </w:tcPr>
          <w:p>
            <w:pPr>
              <w:widowControl/>
              <w:spacing w:before="100" w:beforeAutospacing="1" w:after="100" w:afterAutospacing="1"/>
              <w:jc w:val="left"/>
              <w:rPr>
                <w:color w:val="auto"/>
                <w:kern w:val="0"/>
                <w:sz w:val="21"/>
                <w:szCs w:val="21"/>
                <w:highlight w:val="none"/>
              </w:rPr>
            </w:pPr>
          </w:p>
        </w:tc>
        <w:tc>
          <w:tcPr>
            <w:tcW w:w="1436"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auto"/>
                <w:sz w:val="21"/>
                <w:szCs w:val="21"/>
                <w:highlight w:val="none"/>
              </w:rPr>
            </w:pPr>
          </w:p>
        </w:tc>
        <w:tc>
          <w:tcPr>
            <w:tcW w:w="13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auto"/>
                <w:sz w:val="21"/>
                <w:szCs w:val="21"/>
                <w:highlight w:val="none"/>
              </w:rPr>
            </w:pPr>
          </w:p>
        </w:tc>
        <w:tc>
          <w:tcPr>
            <w:tcW w:w="2470" w:type="dxa"/>
            <w:tcBorders>
              <w:top w:val="single" w:color="auto" w:sz="4" w:space="0"/>
              <w:left w:val="nil"/>
              <w:bottom w:val="single" w:color="auto" w:sz="4" w:space="0"/>
              <w:right w:val="single" w:color="auto" w:sz="4" w:space="0"/>
            </w:tcBorders>
            <w:noWrap w:val="0"/>
            <w:vAlign w:val="center"/>
          </w:tcPr>
          <w:p>
            <w:pPr>
              <w:widowControl/>
              <w:spacing w:before="100" w:beforeAutospacing="1" w:after="100" w:afterAutospacing="1"/>
              <w:jc w:val="center"/>
              <w:rPr>
                <w:color w:val="auto"/>
                <w:kern w:val="0"/>
                <w:sz w:val="21"/>
                <w:szCs w:val="21"/>
                <w:highlight w:val="none"/>
              </w:rPr>
            </w:pPr>
          </w:p>
        </w:tc>
      </w:tr>
      <w:tr>
        <w:tblPrEx>
          <w:tblCellMar>
            <w:top w:w="0" w:type="dxa"/>
            <w:left w:w="108" w:type="dxa"/>
            <w:bottom w:w="0" w:type="dxa"/>
            <w:right w:w="108" w:type="dxa"/>
          </w:tblCellMar>
        </w:tblPrEx>
        <w:trPr>
          <w:cantSplit/>
          <w:trHeight w:val="624" w:hRule="exact"/>
          <w:jc w:val="center"/>
        </w:trPr>
        <w:tc>
          <w:tcPr>
            <w:tcW w:w="65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
                <w:bCs/>
                <w:color w:val="auto"/>
                <w:sz w:val="21"/>
                <w:szCs w:val="21"/>
                <w:highlight w:val="none"/>
              </w:rPr>
            </w:pPr>
            <w:r>
              <w:rPr>
                <w:rFonts w:hint="eastAsia" w:ascii="宋体" w:hAnsi="宋体"/>
                <w:b/>
                <w:bCs/>
                <w:color w:val="auto"/>
                <w:sz w:val="21"/>
                <w:szCs w:val="21"/>
                <w:highlight w:val="none"/>
              </w:rPr>
              <w:t>…</w:t>
            </w:r>
          </w:p>
        </w:tc>
        <w:tc>
          <w:tcPr>
            <w:tcW w:w="1368"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auto"/>
                <w:sz w:val="21"/>
                <w:szCs w:val="21"/>
                <w:highlight w:val="none"/>
              </w:rPr>
            </w:pPr>
          </w:p>
        </w:tc>
        <w:tc>
          <w:tcPr>
            <w:tcW w:w="2232" w:type="dxa"/>
            <w:tcBorders>
              <w:top w:val="single" w:color="auto" w:sz="4" w:space="0"/>
              <w:left w:val="nil"/>
              <w:bottom w:val="single" w:color="auto" w:sz="4" w:space="0"/>
              <w:right w:val="single" w:color="auto" w:sz="4" w:space="0"/>
            </w:tcBorders>
            <w:noWrap w:val="0"/>
            <w:vAlign w:val="center"/>
          </w:tcPr>
          <w:p>
            <w:pPr>
              <w:widowControl/>
              <w:spacing w:before="100" w:beforeAutospacing="1" w:after="100" w:afterAutospacing="1"/>
              <w:jc w:val="left"/>
              <w:rPr>
                <w:color w:val="auto"/>
                <w:kern w:val="0"/>
                <w:sz w:val="21"/>
                <w:szCs w:val="21"/>
                <w:highlight w:val="none"/>
              </w:rPr>
            </w:pPr>
          </w:p>
        </w:tc>
        <w:tc>
          <w:tcPr>
            <w:tcW w:w="1436"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auto"/>
                <w:sz w:val="21"/>
                <w:szCs w:val="21"/>
                <w:highlight w:val="none"/>
              </w:rPr>
            </w:pPr>
          </w:p>
        </w:tc>
        <w:tc>
          <w:tcPr>
            <w:tcW w:w="13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auto"/>
                <w:sz w:val="21"/>
                <w:szCs w:val="21"/>
                <w:highlight w:val="none"/>
              </w:rPr>
            </w:pPr>
          </w:p>
        </w:tc>
        <w:tc>
          <w:tcPr>
            <w:tcW w:w="2470" w:type="dxa"/>
            <w:tcBorders>
              <w:top w:val="single" w:color="auto" w:sz="4" w:space="0"/>
              <w:left w:val="nil"/>
              <w:bottom w:val="single" w:color="auto" w:sz="4" w:space="0"/>
              <w:right w:val="single" w:color="auto" w:sz="4" w:space="0"/>
            </w:tcBorders>
            <w:noWrap w:val="0"/>
            <w:vAlign w:val="center"/>
          </w:tcPr>
          <w:p>
            <w:pPr>
              <w:widowControl/>
              <w:spacing w:before="100" w:beforeAutospacing="1" w:after="100" w:afterAutospacing="1"/>
              <w:jc w:val="center"/>
              <w:rPr>
                <w:color w:val="auto"/>
                <w:kern w:val="0"/>
                <w:sz w:val="21"/>
                <w:szCs w:val="21"/>
                <w:highlight w:val="none"/>
              </w:rPr>
            </w:pPr>
          </w:p>
        </w:tc>
      </w:tr>
      <w:tr>
        <w:tblPrEx>
          <w:tblCellMar>
            <w:top w:w="0" w:type="dxa"/>
            <w:left w:w="108" w:type="dxa"/>
            <w:bottom w:w="0" w:type="dxa"/>
            <w:right w:w="108" w:type="dxa"/>
          </w:tblCellMar>
        </w:tblPrEx>
        <w:trPr>
          <w:cantSplit/>
          <w:trHeight w:val="624" w:hRule="exact"/>
          <w:jc w:val="center"/>
        </w:trPr>
        <w:tc>
          <w:tcPr>
            <w:tcW w:w="65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1"/>
                <w:szCs w:val="21"/>
                <w:highlight w:val="none"/>
              </w:rPr>
            </w:pPr>
            <w:r>
              <w:rPr>
                <w:rFonts w:hint="eastAsia" w:ascii="宋体" w:hAnsi="宋体"/>
                <w:color w:val="auto"/>
                <w:sz w:val="21"/>
                <w:szCs w:val="21"/>
                <w:highlight w:val="none"/>
              </w:rPr>
              <w:t>…</w:t>
            </w:r>
          </w:p>
        </w:tc>
        <w:tc>
          <w:tcPr>
            <w:tcW w:w="1368"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auto"/>
                <w:sz w:val="21"/>
                <w:szCs w:val="21"/>
                <w:highlight w:val="none"/>
              </w:rPr>
            </w:pPr>
          </w:p>
        </w:tc>
        <w:tc>
          <w:tcPr>
            <w:tcW w:w="2232" w:type="dxa"/>
            <w:tcBorders>
              <w:top w:val="single" w:color="auto" w:sz="4" w:space="0"/>
              <w:left w:val="nil"/>
              <w:bottom w:val="single" w:color="auto" w:sz="4" w:space="0"/>
              <w:right w:val="single" w:color="auto" w:sz="4" w:space="0"/>
            </w:tcBorders>
            <w:noWrap w:val="0"/>
            <w:vAlign w:val="center"/>
          </w:tcPr>
          <w:p>
            <w:pPr>
              <w:widowControl/>
              <w:spacing w:before="100" w:beforeAutospacing="1" w:after="100" w:afterAutospacing="1"/>
              <w:jc w:val="left"/>
              <w:rPr>
                <w:color w:val="auto"/>
                <w:kern w:val="0"/>
                <w:sz w:val="21"/>
                <w:szCs w:val="21"/>
                <w:highlight w:val="none"/>
              </w:rPr>
            </w:pPr>
          </w:p>
        </w:tc>
        <w:tc>
          <w:tcPr>
            <w:tcW w:w="1436"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auto"/>
                <w:sz w:val="21"/>
                <w:szCs w:val="21"/>
                <w:highlight w:val="none"/>
              </w:rPr>
            </w:pPr>
          </w:p>
        </w:tc>
        <w:tc>
          <w:tcPr>
            <w:tcW w:w="13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auto"/>
                <w:sz w:val="21"/>
                <w:szCs w:val="21"/>
                <w:highlight w:val="none"/>
              </w:rPr>
            </w:pPr>
          </w:p>
        </w:tc>
        <w:tc>
          <w:tcPr>
            <w:tcW w:w="2470" w:type="dxa"/>
            <w:tcBorders>
              <w:top w:val="single" w:color="auto" w:sz="4" w:space="0"/>
              <w:left w:val="nil"/>
              <w:bottom w:val="single" w:color="auto" w:sz="4" w:space="0"/>
              <w:right w:val="single" w:color="auto" w:sz="4" w:space="0"/>
            </w:tcBorders>
            <w:noWrap w:val="0"/>
            <w:vAlign w:val="center"/>
          </w:tcPr>
          <w:p>
            <w:pPr>
              <w:widowControl/>
              <w:spacing w:before="100" w:beforeAutospacing="1" w:after="100" w:afterAutospacing="1"/>
              <w:jc w:val="center"/>
              <w:rPr>
                <w:color w:val="auto"/>
                <w:kern w:val="0"/>
                <w:sz w:val="21"/>
                <w:szCs w:val="21"/>
                <w:highlight w:val="none"/>
              </w:rPr>
            </w:pPr>
          </w:p>
        </w:tc>
      </w:tr>
      <w:tr>
        <w:tblPrEx>
          <w:tblCellMar>
            <w:top w:w="0" w:type="dxa"/>
            <w:left w:w="108" w:type="dxa"/>
            <w:bottom w:w="0" w:type="dxa"/>
            <w:right w:w="108" w:type="dxa"/>
          </w:tblCellMar>
        </w:tblPrEx>
        <w:trPr>
          <w:cantSplit/>
          <w:trHeight w:val="624" w:hRule="exact"/>
          <w:jc w:val="center"/>
        </w:trPr>
        <w:tc>
          <w:tcPr>
            <w:tcW w:w="65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1"/>
                <w:szCs w:val="21"/>
                <w:highlight w:val="none"/>
              </w:rPr>
            </w:pPr>
          </w:p>
        </w:tc>
        <w:tc>
          <w:tcPr>
            <w:tcW w:w="1368"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auto"/>
                <w:sz w:val="21"/>
                <w:szCs w:val="21"/>
                <w:highlight w:val="none"/>
              </w:rPr>
            </w:pPr>
            <w:r>
              <w:rPr>
                <w:rFonts w:hint="eastAsia" w:ascii="宋体" w:hAnsi="宋体"/>
                <w:color w:val="auto"/>
                <w:sz w:val="21"/>
                <w:szCs w:val="21"/>
                <w:highlight w:val="none"/>
                <w:lang w:eastAsia="zh-CN"/>
              </w:rPr>
              <w:t>其他费用</w:t>
            </w:r>
          </w:p>
        </w:tc>
        <w:tc>
          <w:tcPr>
            <w:tcW w:w="2232" w:type="dxa"/>
            <w:tcBorders>
              <w:top w:val="single" w:color="auto" w:sz="4" w:space="0"/>
              <w:left w:val="nil"/>
              <w:bottom w:val="single" w:color="auto" w:sz="4" w:space="0"/>
              <w:right w:val="single" w:color="auto" w:sz="4" w:space="0"/>
            </w:tcBorders>
            <w:noWrap w:val="0"/>
            <w:vAlign w:val="center"/>
          </w:tcPr>
          <w:p>
            <w:pPr>
              <w:widowControl/>
              <w:spacing w:before="100" w:beforeAutospacing="1" w:after="100" w:afterAutospacing="1"/>
              <w:jc w:val="left"/>
              <w:rPr>
                <w:color w:val="auto"/>
                <w:kern w:val="0"/>
                <w:sz w:val="21"/>
                <w:szCs w:val="21"/>
                <w:highlight w:val="none"/>
              </w:rPr>
            </w:pPr>
          </w:p>
        </w:tc>
        <w:tc>
          <w:tcPr>
            <w:tcW w:w="1436"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auto"/>
                <w:sz w:val="21"/>
                <w:szCs w:val="21"/>
                <w:highlight w:val="none"/>
              </w:rPr>
            </w:pPr>
          </w:p>
        </w:tc>
        <w:tc>
          <w:tcPr>
            <w:tcW w:w="13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auto"/>
                <w:sz w:val="21"/>
                <w:szCs w:val="21"/>
                <w:highlight w:val="none"/>
              </w:rPr>
            </w:pPr>
          </w:p>
        </w:tc>
        <w:tc>
          <w:tcPr>
            <w:tcW w:w="2470" w:type="dxa"/>
            <w:tcBorders>
              <w:top w:val="single" w:color="auto" w:sz="4" w:space="0"/>
              <w:left w:val="nil"/>
              <w:bottom w:val="single" w:color="auto" w:sz="4" w:space="0"/>
              <w:right w:val="single" w:color="auto" w:sz="4" w:space="0"/>
            </w:tcBorders>
            <w:noWrap w:val="0"/>
            <w:vAlign w:val="center"/>
          </w:tcPr>
          <w:p>
            <w:pPr>
              <w:widowControl/>
              <w:spacing w:before="100" w:beforeAutospacing="1" w:after="100" w:afterAutospacing="1"/>
              <w:jc w:val="center"/>
              <w:rPr>
                <w:color w:val="auto"/>
                <w:kern w:val="0"/>
                <w:sz w:val="21"/>
                <w:szCs w:val="21"/>
                <w:highlight w:val="none"/>
              </w:rPr>
            </w:pPr>
          </w:p>
        </w:tc>
      </w:tr>
      <w:tr>
        <w:tblPrEx>
          <w:tblCellMar>
            <w:top w:w="0" w:type="dxa"/>
            <w:left w:w="108" w:type="dxa"/>
            <w:bottom w:w="0" w:type="dxa"/>
            <w:right w:w="108" w:type="dxa"/>
          </w:tblCellMar>
        </w:tblPrEx>
        <w:trPr>
          <w:trHeight w:val="1700" w:hRule="atLeast"/>
          <w:jc w:val="center"/>
        </w:trPr>
        <w:tc>
          <w:tcPr>
            <w:tcW w:w="9473" w:type="dxa"/>
            <w:gridSpan w:val="6"/>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olor w:val="auto"/>
                <w:sz w:val="21"/>
                <w:szCs w:val="21"/>
                <w:highlight w:val="none"/>
              </w:rPr>
            </w:pPr>
            <w:r>
              <w:rPr>
                <w:rFonts w:hint="eastAsia" w:ascii="宋体" w:hAnsi="宋体"/>
                <w:color w:val="auto"/>
                <w:sz w:val="21"/>
                <w:szCs w:val="21"/>
                <w:highlight w:val="none"/>
              </w:rPr>
              <w:t>合计：___________________________</w:t>
            </w:r>
          </w:p>
          <w:p>
            <w:pPr>
              <w:spacing w:line="360" w:lineRule="auto"/>
              <w:rPr>
                <w:rFonts w:ascii="宋体" w:hAnsi="宋体"/>
                <w:color w:val="auto"/>
                <w:sz w:val="21"/>
                <w:szCs w:val="21"/>
                <w:highlight w:val="none"/>
              </w:rPr>
            </w:pPr>
            <w:r>
              <w:rPr>
                <w:rFonts w:hint="eastAsia" w:ascii="宋体" w:hAnsi="宋体"/>
                <w:color w:val="auto"/>
                <w:sz w:val="21"/>
                <w:szCs w:val="21"/>
                <w:highlight w:val="none"/>
              </w:rPr>
              <w:t>（大写）___________________________</w:t>
            </w:r>
          </w:p>
        </w:tc>
      </w:tr>
    </w:tbl>
    <w:p>
      <w:pPr>
        <w:spacing w:line="420" w:lineRule="exact"/>
        <w:rPr>
          <w:rFonts w:ascii="宋体"/>
          <w:color w:val="auto"/>
          <w:sz w:val="21"/>
          <w:szCs w:val="21"/>
          <w:highlight w:val="none"/>
        </w:rPr>
      </w:pPr>
      <w:r>
        <w:rPr>
          <w:rFonts w:hint="eastAsia" w:ascii="宋体"/>
          <w:color w:val="auto"/>
          <w:sz w:val="21"/>
          <w:szCs w:val="21"/>
          <w:highlight w:val="none"/>
        </w:rPr>
        <w:t>投标人名称（盖章）：___________________________      日  期：________________</w:t>
      </w:r>
    </w:p>
    <w:p>
      <w:pPr>
        <w:widowControl/>
        <w:spacing w:line="700" w:lineRule="exact"/>
        <w:jc w:val="left"/>
        <w:rPr>
          <w:rFonts w:ascii="宋体"/>
          <w:color w:val="auto"/>
          <w:sz w:val="21"/>
          <w:szCs w:val="21"/>
          <w:highlight w:val="none"/>
        </w:rPr>
      </w:pPr>
      <w:r>
        <w:rPr>
          <w:rFonts w:hint="eastAsia" w:ascii="宋体" w:cs="宋体"/>
          <w:color w:val="auto"/>
          <w:sz w:val="21"/>
          <w:szCs w:val="21"/>
          <w:highlight w:val="none"/>
        </w:rPr>
        <w:t>法定代表人或委托代理人（签字</w:t>
      </w:r>
      <w:r>
        <w:rPr>
          <w:rFonts w:hint="eastAsia" w:ascii="宋体" w:cs="宋体"/>
          <w:color w:val="auto"/>
          <w:sz w:val="21"/>
          <w:szCs w:val="21"/>
          <w:highlight w:val="none"/>
          <w:lang w:val="en-US" w:eastAsia="zh-CN"/>
        </w:rPr>
        <w:t>或盖章</w:t>
      </w:r>
      <w:r>
        <w:rPr>
          <w:rFonts w:hint="eastAsia" w:ascii="宋体" w:cs="宋体"/>
          <w:color w:val="auto"/>
          <w:sz w:val="21"/>
          <w:szCs w:val="21"/>
          <w:highlight w:val="none"/>
        </w:rPr>
        <w:t>）</w:t>
      </w:r>
      <w:r>
        <w:rPr>
          <w:rFonts w:hint="eastAsia" w:ascii="宋体" w:hAnsi="宋体" w:cs="宋体"/>
          <w:color w:val="auto"/>
          <w:kern w:val="0"/>
          <w:sz w:val="21"/>
          <w:szCs w:val="21"/>
          <w:highlight w:val="none"/>
        </w:rPr>
        <w:t>：</w:t>
      </w:r>
      <w:r>
        <w:rPr>
          <w:rFonts w:hint="eastAsia" w:ascii="宋体"/>
          <w:color w:val="auto"/>
          <w:sz w:val="21"/>
          <w:szCs w:val="21"/>
          <w:highlight w:val="none"/>
          <w:u w:val="single"/>
        </w:rPr>
        <w:t xml:space="preserve">               </w:t>
      </w:r>
      <w:r>
        <w:rPr>
          <w:rFonts w:hint="eastAsia" w:ascii="宋体"/>
          <w:color w:val="auto"/>
          <w:sz w:val="21"/>
          <w:szCs w:val="21"/>
          <w:highlight w:val="none"/>
        </w:rPr>
        <w:t xml:space="preserve">   职  务：____________</w:t>
      </w:r>
    </w:p>
    <w:p>
      <w:pPr>
        <w:spacing w:line="360" w:lineRule="auto"/>
        <w:rPr>
          <w:rFonts w:hint="eastAsia" w:ascii="宋体" w:hAnsi="宋体" w:eastAsia="宋体"/>
          <w:color w:val="auto"/>
          <w:sz w:val="21"/>
          <w:szCs w:val="21"/>
          <w:highlight w:val="none"/>
          <w:lang w:val="en-US" w:eastAsia="zh-CN"/>
        </w:rPr>
      </w:pPr>
      <w:r>
        <w:rPr>
          <w:rFonts w:hint="eastAsia" w:ascii="宋体" w:hAnsi="宋体"/>
          <w:color w:val="auto"/>
          <w:sz w:val="21"/>
          <w:szCs w:val="21"/>
          <w:highlight w:val="none"/>
          <w:lang w:val="en-US" w:eastAsia="zh-CN"/>
        </w:rPr>
        <w:t>注：</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Times New Roman"/>
          <w:color w:val="auto"/>
          <w:sz w:val="21"/>
          <w:szCs w:val="21"/>
          <w:highlight w:val="none"/>
        </w:rPr>
      </w:pPr>
      <w:r>
        <w:rPr>
          <w:rFonts w:hint="eastAsia" w:ascii="宋体" w:hAnsi="宋体" w:cs="宋体"/>
          <w:color w:val="auto"/>
          <w:sz w:val="21"/>
          <w:szCs w:val="21"/>
          <w:highlight w:val="none"/>
        </w:rPr>
        <w:t>1.</w:t>
      </w:r>
      <w:r>
        <w:rPr>
          <w:rFonts w:hint="eastAsia" w:ascii="宋体" w:hAnsi="宋体" w:cs="宋体"/>
          <w:color w:val="auto"/>
          <w:sz w:val="21"/>
          <w:szCs w:val="21"/>
          <w:highlight w:val="none"/>
          <w:lang w:val="en-US" w:eastAsia="zh-CN"/>
        </w:rPr>
        <w:t>投</w:t>
      </w:r>
      <w:r>
        <w:rPr>
          <w:rFonts w:hint="eastAsia" w:ascii="宋体" w:hAnsi="宋体" w:cs="宋体"/>
          <w:color w:val="auto"/>
          <w:sz w:val="21"/>
          <w:szCs w:val="21"/>
          <w:highlight w:val="none"/>
        </w:rPr>
        <w:t>标报价包括本项目所需的一切产品购置费、标准附件、备品备件、专用工具、包装、运输、装卸、保险、交货、安装调试、培训、保修、处理缺陷、现场试验、试运行、验收和质保期内售后服务伴随服务、质保期售后服务及合同实施过程中完成本项目应预见和不可预见费用、招标代理费、利润、税金等一切费用。</w:t>
      </w:r>
      <w:r>
        <w:rPr>
          <w:rFonts w:hint="eastAsia" w:ascii="宋体" w:hAnsi="宋体" w:cs="Times New Roman"/>
          <w:color w:val="auto"/>
          <w:sz w:val="21"/>
          <w:szCs w:val="21"/>
          <w:highlight w:val="none"/>
          <w:lang w:val="en-US" w:eastAsia="zh-CN"/>
        </w:rPr>
        <w:t>投标</w:t>
      </w:r>
      <w:r>
        <w:rPr>
          <w:rFonts w:hint="eastAsia" w:ascii="宋体" w:hAnsi="宋体" w:eastAsia="宋体" w:cs="Times New Roman"/>
          <w:color w:val="auto"/>
          <w:sz w:val="21"/>
          <w:szCs w:val="21"/>
          <w:highlight w:val="none"/>
        </w:rPr>
        <w:t>单价</w:t>
      </w:r>
      <w:r>
        <w:rPr>
          <w:rFonts w:hint="eastAsia" w:ascii="宋体" w:hAnsi="宋体" w:cs="Times New Roman"/>
          <w:color w:val="auto"/>
          <w:sz w:val="21"/>
          <w:szCs w:val="21"/>
          <w:highlight w:val="none"/>
          <w:lang w:val="en-US" w:eastAsia="zh-CN"/>
        </w:rPr>
        <w:t>和总价</w:t>
      </w:r>
      <w:r>
        <w:rPr>
          <w:rFonts w:hint="eastAsia" w:ascii="宋体" w:hAnsi="宋体" w:eastAsia="宋体" w:cs="Times New Roman"/>
          <w:color w:val="auto"/>
          <w:sz w:val="21"/>
          <w:szCs w:val="21"/>
          <w:highlight w:val="none"/>
        </w:rPr>
        <w:t>不作调整。</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lang w:val="en-US" w:eastAsia="zh-CN"/>
        </w:rPr>
        <w:t>2</w:t>
      </w:r>
      <w:r>
        <w:rPr>
          <w:rFonts w:hint="eastAsia" w:ascii="宋体" w:hAnsi="宋体"/>
          <w:color w:val="auto"/>
          <w:sz w:val="21"/>
          <w:szCs w:val="21"/>
          <w:highlight w:val="none"/>
        </w:rPr>
        <w:t>、此表在不改变表式的情况下，可自行制作。</w:t>
      </w:r>
    </w:p>
    <w:p>
      <w:pPr>
        <w:spacing w:before="62"/>
        <w:ind w:left="1630" w:right="2051"/>
        <w:jc w:val="center"/>
        <w:rPr>
          <w:rFonts w:hint="eastAsia"/>
          <w:b/>
          <w:color w:val="auto"/>
          <w:highlight w:val="none"/>
        </w:rPr>
      </w:pPr>
    </w:p>
    <w:p>
      <w:pPr>
        <w:spacing w:before="62"/>
        <w:ind w:left="1630" w:right="2051"/>
        <w:jc w:val="center"/>
        <w:rPr>
          <w:rFonts w:hint="eastAsia"/>
          <w:b/>
          <w:color w:val="auto"/>
          <w:highlight w:val="none"/>
        </w:rPr>
      </w:pPr>
    </w:p>
    <w:p>
      <w:pPr>
        <w:spacing w:before="62"/>
        <w:ind w:left="1630" w:right="2051"/>
        <w:jc w:val="center"/>
        <w:rPr>
          <w:rFonts w:hint="eastAsia"/>
          <w:b/>
          <w:color w:val="auto"/>
          <w:highlight w:val="none"/>
        </w:rPr>
      </w:pPr>
    </w:p>
    <w:p>
      <w:pPr>
        <w:spacing w:before="62"/>
        <w:ind w:left="1630" w:right="2051"/>
        <w:jc w:val="center"/>
        <w:rPr>
          <w:rFonts w:hint="eastAsia"/>
          <w:b/>
          <w:color w:val="auto"/>
          <w:highlight w:val="none"/>
        </w:rPr>
      </w:pPr>
    </w:p>
    <w:p>
      <w:pPr>
        <w:widowControl/>
        <w:jc w:val="center"/>
        <w:rPr>
          <w:rFonts w:hint="eastAsia" w:ascii="宋体" w:hAnsi="宋体" w:eastAsia="宋体" w:cs="宋体"/>
          <w:color w:val="auto"/>
          <w:sz w:val="28"/>
          <w:szCs w:val="28"/>
          <w:highlight w:val="none"/>
        </w:rPr>
      </w:pPr>
      <w:r>
        <w:rPr>
          <w:rFonts w:hint="eastAsia" w:ascii="宋体" w:hAnsi="宋体" w:eastAsia="宋体" w:cs="宋体"/>
          <w:b/>
          <w:color w:val="auto"/>
          <w:sz w:val="28"/>
          <w:szCs w:val="28"/>
          <w:highlight w:val="none"/>
        </w:rPr>
        <w:t xml:space="preserve"> </w:t>
      </w:r>
      <w:r>
        <w:rPr>
          <w:rFonts w:hint="eastAsia" w:ascii="宋体" w:hAnsi="宋体" w:eastAsia="宋体" w:cs="宋体"/>
          <w:b/>
          <w:color w:val="auto"/>
          <w:kern w:val="0"/>
          <w:sz w:val="28"/>
          <w:szCs w:val="28"/>
          <w:highlight w:val="none"/>
          <w:lang w:bidi="ar"/>
        </w:rPr>
        <w:t>中小企业声明函（货物）</w:t>
      </w:r>
    </w:p>
    <w:p>
      <w:pPr>
        <w:widowControl/>
        <w:spacing w:line="700" w:lineRule="exact"/>
        <w:ind w:firstLine="420" w:firstLineChars="200"/>
        <w:jc w:val="left"/>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本公司（联合体）郑重声明，根据《政府采购促进中小 企业发展管理办法》（财库﹝2020﹞46 号）的规定，本公司（联合体）参加</w:t>
      </w:r>
      <w:r>
        <w:rPr>
          <w:rFonts w:hint="eastAsia" w:ascii="宋体" w:hAnsi="宋体" w:cs="宋体"/>
          <w:i/>
          <w:color w:val="auto"/>
          <w:kern w:val="0"/>
          <w:sz w:val="21"/>
          <w:szCs w:val="21"/>
          <w:highlight w:val="none"/>
          <w:u w:val="single"/>
          <w:lang w:bidi="ar"/>
        </w:rPr>
        <w:t>（单位名称）</w:t>
      </w:r>
      <w:r>
        <w:rPr>
          <w:rFonts w:hint="eastAsia" w:ascii="宋体" w:hAnsi="宋体" w:cs="宋体"/>
          <w:color w:val="auto"/>
          <w:kern w:val="0"/>
          <w:sz w:val="21"/>
          <w:szCs w:val="21"/>
          <w:highlight w:val="none"/>
          <w:lang w:bidi="ar"/>
        </w:rPr>
        <w:t>的</w:t>
      </w:r>
      <w:r>
        <w:rPr>
          <w:rFonts w:hint="eastAsia" w:ascii="宋体" w:hAnsi="宋体" w:cs="宋体"/>
          <w:i/>
          <w:color w:val="auto"/>
          <w:kern w:val="0"/>
          <w:sz w:val="21"/>
          <w:szCs w:val="21"/>
          <w:highlight w:val="none"/>
          <w:u w:val="single"/>
          <w:lang w:bidi="ar"/>
        </w:rPr>
        <w:t>（项目名称）</w:t>
      </w:r>
      <w:r>
        <w:rPr>
          <w:rFonts w:hint="eastAsia" w:ascii="宋体" w:hAnsi="宋体" w:cs="宋体"/>
          <w:color w:val="auto"/>
          <w:kern w:val="0"/>
          <w:sz w:val="21"/>
          <w:szCs w:val="21"/>
          <w:highlight w:val="none"/>
          <w:lang w:bidi="ar"/>
        </w:rPr>
        <w:t xml:space="preserve">采购活动，提供的货物全部由符合政策要求的中小企业制造。相关企业（含联合体中的中小企业、签订分包意向协议的中小企业） 的具体情况如下： </w:t>
      </w:r>
    </w:p>
    <w:p>
      <w:pPr>
        <w:widowControl/>
        <w:numPr>
          <w:ilvl w:val="0"/>
          <w:numId w:val="10"/>
        </w:numPr>
        <w:spacing w:line="700" w:lineRule="exact"/>
        <w:ind w:firstLine="420" w:firstLineChars="200"/>
        <w:jc w:val="left"/>
        <w:rPr>
          <w:rFonts w:hint="eastAsia" w:ascii="宋体" w:hAnsi="宋体" w:cs="宋体"/>
          <w:color w:val="auto"/>
          <w:sz w:val="21"/>
          <w:szCs w:val="21"/>
          <w:highlight w:val="none"/>
        </w:rPr>
      </w:pPr>
      <w:r>
        <w:rPr>
          <w:rFonts w:hint="eastAsia" w:ascii="宋体" w:hAnsi="宋体" w:cs="宋体"/>
          <w:i/>
          <w:color w:val="auto"/>
          <w:kern w:val="0"/>
          <w:sz w:val="21"/>
          <w:szCs w:val="21"/>
          <w:highlight w:val="none"/>
          <w:u w:val="single"/>
          <w:lang w:bidi="ar"/>
        </w:rPr>
        <w:t xml:space="preserve">（标的名称） </w:t>
      </w:r>
      <w:r>
        <w:rPr>
          <w:rFonts w:hint="eastAsia" w:ascii="宋体" w:hAnsi="宋体" w:cs="宋体"/>
          <w:color w:val="auto"/>
          <w:kern w:val="0"/>
          <w:sz w:val="21"/>
          <w:szCs w:val="21"/>
          <w:highlight w:val="none"/>
          <w:lang w:bidi="ar"/>
        </w:rPr>
        <w:t>，属于</w:t>
      </w:r>
      <w:r>
        <w:rPr>
          <w:rFonts w:hint="eastAsia" w:ascii="宋体" w:hAnsi="宋体" w:cs="宋体"/>
          <w:color w:val="auto"/>
          <w:kern w:val="0"/>
          <w:sz w:val="21"/>
          <w:szCs w:val="21"/>
          <w:highlight w:val="none"/>
          <w:u w:val="single"/>
          <w:lang w:bidi="ar"/>
        </w:rPr>
        <w:t xml:space="preserve">       </w:t>
      </w:r>
      <w:r>
        <w:rPr>
          <w:rFonts w:hint="eastAsia" w:ascii="宋体" w:hAnsi="宋体" w:cs="宋体"/>
          <w:i/>
          <w:color w:val="auto"/>
          <w:kern w:val="0"/>
          <w:sz w:val="21"/>
          <w:szCs w:val="21"/>
          <w:highlight w:val="none"/>
          <w:lang w:bidi="ar"/>
        </w:rPr>
        <w:t>（</w:t>
      </w:r>
      <w:r>
        <w:rPr>
          <w:rFonts w:hint="eastAsia" w:ascii="宋体" w:hAnsi="宋体" w:cs="宋体"/>
          <w:i/>
          <w:color w:val="auto"/>
          <w:kern w:val="0"/>
          <w:sz w:val="21"/>
          <w:szCs w:val="21"/>
          <w:highlight w:val="none"/>
          <w:lang w:eastAsia="zh-CN" w:bidi="ar"/>
        </w:rPr>
        <w:t>询价文件</w:t>
      </w:r>
      <w:r>
        <w:rPr>
          <w:rFonts w:hint="eastAsia" w:ascii="宋体" w:hAnsi="宋体" w:cs="宋体"/>
          <w:i/>
          <w:color w:val="auto"/>
          <w:kern w:val="0"/>
          <w:sz w:val="21"/>
          <w:szCs w:val="21"/>
          <w:highlight w:val="none"/>
          <w:lang w:bidi="ar"/>
        </w:rPr>
        <w:t>中明确的所属行业）行业</w:t>
      </w:r>
      <w:r>
        <w:rPr>
          <w:rFonts w:hint="eastAsia" w:ascii="宋体" w:hAnsi="宋体" w:cs="宋体"/>
          <w:color w:val="auto"/>
          <w:kern w:val="0"/>
          <w:sz w:val="21"/>
          <w:szCs w:val="21"/>
          <w:highlight w:val="none"/>
          <w:lang w:bidi="ar"/>
        </w:rPr>
        <w:t>；制造商为</w:t>
      </w:r>
      <w:r>
        <w:rPr>
          <w:rFonts w:hint="eastAsia" w:ascii="宋体" w:hAnsi="宋体" w:cs="宋体"/>
          <w:i/>
          <w:color w:val="auto"/>
          <w:kern w:val="0"/>
          <w:sz w:val="21"/>
          <w:szCs w:val="21"/>
          <w:highlight w:val="none"/>
          <w:u w:val="single"/>
          <w:lang w:bidi="ar"/>
        </w:rPr>
        <w:t>（企业名称）</w:t>
      </w:r>
      <w:r>
        <w:rPr>
          <w:rFonts w:hint="eastAsia" w:ascii="宋体" w:hAnsi="宋体" w:cs="宋体"/>
          <w:color w:val="auto"/>
          <w:kern w:val="0"/>
          <w:sz w:val="21"/>
          <w:szCs w:val="21"/>
          <w:highlight w:val="none"/>
          <w:lang w:bidi="ar"/>
        </w:rPr>
        <w:t>，从业人员</w:t>
      </w:r>
      <w:r>
        <w:rPr>
          <w:rFonts w:hint="eastAsia" w:ascii="宋体" w:hAnsi="宋体" w:cs="宋体"/>
          <w:color w:val="auto"/>
          <w:kern w:val="0"/>
          <w:sz w:val="21"/>
          <w:szCs w:val="21"/>
          <w:highlight w:val="none"/>
          <w:u w:val="single"/>
          <w:lang w:bidi="ar"/>
        </w:rPr>
        <w:t xml:space="preserve">   </w:t>
      </w:r>
      <w:r>
        <w:rPr>
          <w:rFonts w:hint="eastAsia" w:ascii="宋体" w:hAnsi="宋体" w:cs="宋体"/>
          <w:color w:val="auto"/>
          <w:kern w:val="0"/>
          <w:sz w:val="21"/>
          <w:szCs w:val="21"/>
          <w:highlight w:val="none"/>
          <w:lang w:bidi="ar"/>
        </w:rPr>
        <w:t>人，营业收入为</w:t>
      </w:r>
      <w:r>
        <w:rPr>
          <w:rFonts w:hint="eastAsia" w:ascii="宋体" w:hAnsi="宋体" w:cs="宋体"/>
          <w:color w:val="auto"/>
          <w:kern w:val="0"/>
          <w:sz w:val="21"/>
          <w:szCs w:val="21"/>
          <w:highlight w:val="none"/>
          <w:u w:val="single"/>
          <w:lang w:bidi="ar"/>
        </w:rPr>
        <w:t xml:space="preserve">   </w:t>
      </w:r>
      <w:r>
        <w:rPr>
          <w:rFonts w:hint="eastAsia" w:ascii="宋体" w:hAnsi="宋体" w:cs="宋体"/>
          <w:color w:val="auto"/>
          <w:kern w:val="0"/>
          <w:sz w:val="21"/>
          <w:szCs w:val="21"/>
          <w:highlight w:val="none"/>
          <w:lang w:bidi="ar"/>
        </w:rPr>
        <w:t>万元，资产总额为</w:t>
      </w:r>
      <w:r>
        <w:rPr>
          <w:rFonts w:hint="eastAsia" w:ascii="宋体" w:hAnsi="宋体" w:cs="宋体"/>
          <w:color w:val="auto"/>
          <w:kern w:val="0"/>
          <w:sz w:val="21"/>
          <w:szCs w:val="21"/>
          <w:highlight w:val="none"/>
          <w:u w:val="single"/>
          <w:lang w:bidi="ar"/>
        </w:rPr>
        <w:t xml:space="preserve">    </w:t>
      </w:r>
      <w:r>
        <w:rPr>
          <w:rFonts w:hint="eastAsia" w:ascii="宋体" w:hAnsi="宋体" w:cs="宋体"/>
          <w:color w:val="auto"/>
          <w:kern w:val="0"/>
          <w:sz w:val="21"/>
          <w:szCs w:val="21"/>
          <w:highlight w:val="none"/>
          <w:lang w:bidi="ar"/>
        </w:rPr>
        <w:t>万元，属于</w:t>
      </w:r>
      <w:r>
        <w:rPr>
          <w:rFonts w:hint="eastAsia" w:ascii="宋体" w:hAnsi="宋体" w:cs="宋体"/>
          <w:i/>
          <w:color w:val="auto"/>
          <w:kern w:val="0"/>
          <w:sz w:val="21"/>
          <w:szCs w:val="21"/>
          <w:highlight w:val="none"/>
          <w:u w:val="single"/>
          <w:lang w:bidi="ar"/>
        </w:rPr>
        <w:t>（中型企业、小 型企业、微型企业）</w:t>
      </w:r>
      <w:r>
        <w:rPr>
          <w:rFonts w:hint="eastAsia" w:ascii="宋体" w:hAnsi="宋体" w:cs="宋体"/>
          <w:color w:val="auto"/>
          <w:kern w:val="0"/>
          <w:sz w:val="21"/>
          <w:szCs w:val="21"/>
          <w:highlight w:val="none"/>
          <w:lang w:bidi="ar"/>
        </w:rPr>
        <w:t xml:space="preserve">； </w:t>
      </w:r>
    </w:p>
    <w:p>
      <w:pPr>
        <w:widowControl/>
        <w:numPr>
          <w:ilvl w:val="0"/>
          <w:numId w:val="10"/>
        </w:numPr>
        <w:spacing w:line="700" w:lineRule="exact"/>
        <w:ind w:firstLine="420" w:firstLineChars="200"/>
        <w:jc w:val="left"/>
        <w:rPr>
          <w:rFonts w:hint="eastAsia" w:ascii="宋体" w:hAnsi="宋体" w:cs="宋体"/>
          <w:color w:val="auto"/>
          <w:sz w:val="21"/>
          <w:szCs w:val="21"/>
          <w:highlight w:val="none"/>
        </w:rPr>
      </w:pPr>
      <w:r>
        <w:rPr>
          <w:rFonts w:hint="eastAsia" w:ascii="宋体" w:hAnsi="宋体" w:cs="宋体"/>
          <w:i/>
          <w:color w:val="auto"/>
          <w:kern w:val="0"/>
          <w:sz w:val="21"/>
          <w:szCs w:val="21"/>
          <w:highlight w:val="none"/>
          <w:u w:val="single"/>
          <w:lang w:bidi="ar"/>
        </w:rPr>
        <w:t xml:space="preserve">（标的名称） </w:t>
      </w:r>
      <w:r>
        <w:rPr>
          <w:rFonts w:hint="eastAsia" w:ascii="宋体" w:hAnsi="宋体" w:cs="宋体"/>
          <w:color w:val="auto"/>
          <w:kern w:val="0"/>
          <w:sz w:val="21"/>
          <w:szCs w:val="21"/>
          <w:highlight w:val="none"/>
          <w:lang w:bidi="ar"/>
        </w:rPr>
        <w:t>，属于</w:t>
      </w:r>
      <w:r>
        <w:rPr>
          <w:rFonts w:hint="eastAsia" w:ascii="宋体" w:hAnsi="宋体" w:cs="宋体"/>
          <w:color w:val="auto"/>
          <w:kern w:val="0"/>
          <w:sz w:val="21"/>
          <w:szCs w:val="21"/>
          <w:highlight w:val="none"/>
          <w:u w:val="single"/>
          <w:lang w:bidi="ar"/>
        </w:rPr>
        <w:t xml:space="preserve">        </w:t>
      </w:r>
      <w:r>
        <w:rPr>
          <w:rFonts w:hint="eastAsia" w:ascii="宋体" w:hAnsi="宋体" w:cs="宋体"/>
          <w:i/>
          <w:color w:val="auto"/>
          <w:kern w:val="0"/>
          <w:sz w:val="21"/>
          <w:szCs w:val="21"/>
          <w:highlight w:val="none"/>
          <w:lang w:bidi="ar"/>
        </w:rPr>
        <w:t>（</w:t>
      </w:r>
      <w:r>
        <w:rPr>
          <w:rFonts w:hint="eastAsia" w:ascii="宋体" w:hAnsi="宋体" w:cs="宋体"/>
          <w:i/>
          <w:color w:val="auto"/>
          <w:kern w:val="0"/>
          <w:sz w:val="21"/>
          <w:szCs w:val="21"/>
          <w:highlight w:val="none"/>
          <w:lang w:eastAsia="zh-CN" w:bidi="ar"/>
        </w:rPr>
        <w:t>询价文件</w:t>
      </w:r>
      <w:r>
        <w:rPr>
          <w:rFonts w:hint="eastAsia" w:ascii="宋体" w:hAnsi="宋体" w:cs="宋体"/>
          <w:i/>
          <w:color w:val="auto"/>
          <w:kern w:val="0"/>
          <w:sz w:val="21"/>
          <w:szCs w:val="21"/>
          <w:highlight w:val="none"/>
          <w:lang w:bidi="ar"/>
        </w:rPr>
        <w:t>中明确的所属行业）行业</w:t>
      </w:r>
      <w:r>
        <w:rPr>
          <w:rFonts w:hint="eastAsia" w:ascii="宋体" w:hAnsi="宋体" w:cs="宋体"/>
          <w:color w:val="auto"/>
          <w:kern w:val="0"/>
          <w:sz w:val="21"/>
          <w:szCs w:val="21"/>
          <w:highlight w:val="none"/>
          <w:lang w:bidi="ar"/>
        </w:rPr>
        <w:t>；制造商为</w:t>
      </w:r>
      <w:r>
        <w:rPr>
          <w:rFonts w:hint="eastAsia" w:ascii="宋体" w:hAnsi="宋体" w:cs="宋体"/>
          <w:i/>
          <w:color w:val="auto"/>
          <w:kern w:val="0"/>
          <w:sz w:val="21"/>
          <w:szCs w:val="21"/>
          <w:highlight w:val="none"/>
          <w:u w:val="single"/>
          <w:lang w:bidi="ar"/>
        </w:rPr>
        <w:t>（企业名称）</w:t>
      </w:r>
      <w:r>
        <w:rPr>
          <w:rFonts w:hint="eastAsia" w:ascii="宋体" w:hAnsi="宋体" w:cs="宋体"/>
          <w:color w:val="auto"/>
          <w:kern w:val="0"/>
          <w:sz w:val="21"/>
          <w:szCs w:val="21"/>
          <w:highlight w:val="none"/>
          <w:lang w:bidi="ar"/>
        </w:rPr>
        <w:t>，从业人员</w:t>
      </w:r>
      <w:r>
        <w:rPr>
          <w:rFonts w:hint="eastAsia" w:ascii="宋体" w:hAnsi="宋体" w:cs="宋体"/>
          <w:color w:val="auto"/>
          <w:kern w:val="0"/>
          <w:sz w:val="21"/>
          <w:szCs w:val="21"/>
          <w:highlight w:val="none"/>
          <w:u w:val="single"/>
          <w:lang w:bidi="ar"/>
        </w:rPr>
        <w:t xml:space="preserve">    </w:t>
      </w:r>
      <w:r>
        <w:rPr>
          <w:rFonts w:hint="eastAsia" w:ascii="宋体" w:hAnsi="宋体" w:cs="宋体"/>
          <w:color w:val="auto"/>
          <w:kern w:val="0"/>
          <w:sz w:val="21"/>
          <w:szCs w:val="21"/>
          <w:highlight w:val="none"/>
          <w:lang w:bidi="ar"/>
        </w:rPr>
        <w:t>人，营业收入为</w:t>
      </w:r>
      <w:r>
        <w:rPr>
          <w:rFonts w:hint="eastAsia" w:ascii="宋体" w:hAnsi="宋体" w:cs="宋体"/>
          <w:color w:val="auto"/>
          <w:kern w:val="0"/>
          <w:sz w:val="21"/>
          <w:szCs w:val="21"/>
          <w:highlight w:val="none"/>
          <w:u w:val="single"/>
          <w:lang w:bidi="ar"/>
        </w:rPr>
        <w:t xml:space="preserve">    </w:t>
      </w:r>
      <w:r>
        <w:rPr>
          <w:rFonts w:hint="eastAsia" w:ascii="宋体" w:hAnsi="宋体" w:cs="宋体"/>
          <w:color w:val="auto"/>
          <w:kern w:val="0"/>
          <w:sz w:val="21"/>
          <w:szCs w:val="21"/>
          <w:highlight w:val="none"/>
          <w:lang w:bidi="ar"/>
        </w:rPr>
        <w:t>万元，资产总额为</w:t>
      </w:r>
      <w:r>
        <w:rPr>
          <w:rFonts w:hint="eastAsia" w:ascii="宋体" w:hAnsi="宋体" w:cs="宋体"/>
          <w:color w:val="auto"/>
          <w:kern w:val="0"/>
          <w:sz w:val="21"/>
          <w:szCs w:val="21"/>
          <w:highlight w:val="none"/>
          <w:u w:val="single"/>
          <w:lang w:bidi="ar"/>
        </w:rPr>
        <w:t xml:space="preserve">    </w:t>
      </w:r>
      <w:r>
        <w:rPr>
          <w:rFonts w:hint="eastAsia" w:ascii="宋体" w:hAnsi="宋体" w:cs="宋体"/>
          <w:color w:val="auto"/>
          <w:kern w:val="0"/>
          <w:sz w:val="21"/>
          <w:szCs w:val="21"/>
          <w:highlight w:val="none"/>
          <w:lang w:bidi="ar"/>
        </w:rPr>
        <w:t>万元，属于</w:t>
      </w:r>
      <w:r>
        <w:rPr>
          <w:rFonts w:hint="eastAsia" w:ascii="宋体" w:hAnsi="宋体" w:cs="宋体"/>
          <w:i/>
          <w:color w:val="auto"/>
          <w:kern w:val="0"/>
          <w:sz w:val="21"/>
          <w:szCs w:val="21"/>
          <w:highlight w:val="none"/>
          <w:lang w:bidi="ar"/>
        </w:rPr>
        <w:t>（中型企业、小型企业、微型企业）</w:t>
      </w:r>
      <w:r>
        <w:rPr>
          <w:rFonts w:hint="eastAsia" w:ascii="宋体" w:hAnsi="宋体" w:cs="宋体"/>
          <w:color w:val="auto"/>
          <w:kern w:val="0"/>
          <w:sz w:val="21"/>
          <w:szCs w:val="21"/>
          <w:highlight w:val="none"/>
          <w:lang w:bidi="ar"/>
        </w:rPr>
        <w:t xml:space="preserve">； </w:t>
      </w:r>
    </w:p>
    <w:p>
      <w:pPr>
        <w:widowControl/>
        <w:spacing w:line="700" w:lineRule="exact"/>
        <w:jc w:val="left"/>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w:t>
      </w:r>
    </w:p>
    <w:p>
      <w:pPr>
        <w:widowControl/>
        <w:spacing w:line="700" w:lineRule="exact"/>
        <w:ind w:firstLine="420" w:firstLineChars="200"/>
        <w:jc w:val="left"/>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以上企业，不属于大企业的分支机构，不存在控股股东为大企业的情形，也不存在与大企业的负责人为同一人的情形。</w:t>
      </w:r>
    </w:p>
    <w:p>
      <w:pPr>
        <w:widowControl/>
        <w:spacing w:line="700" w:lineRule="exact"/>
        <w:ind w:firstLine="420" w:firstLineChars="200"/>
        <w:jc w:val="left"/>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 xml:space="preserve">本企业对上述声明内容的真实性负责。如有虚假，将依法承担相应责任。 </w:t>
      </w:r>
    </w:p>
    <w:p>
      <w:pPr>
        <w:widowControl/>
        <w:spacing w:line="700" w:lineRule="exact"/>
        <w:ind w:firstLine="3150" w:firstLineChars="1500"/>
        <w:jc w:val="left"/>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 xml:space="preserve">企业名称（盖章）： </w:t>
      </w:r>
    </w:p>
    <w:p>
      <w:pPr>
        <w:widowControl/>
        <w:spacing w:line="700" w:lineRule="exact"/>
        <w:ind w:firstLine="4410" w:firstLineChars="2100"/>
        <w:jc w:val="left"/>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 xml:space="preserve">日 期： </w:t>
      </w:r>
    </w:p>
    <w:p>
      <w:pPr>
        <w:widowControl/>
        <w:spacing w:line="500" w:lineRule="exact"/>
        <w:jc w:val="left"/>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从业人员、营业收入、资产总额填报上一年度数据，无上一年度数据的新成立企业可不填报。</w:t>
      </w:r>
    </w:p>
    <w:p>
      <w:pPr>
        <w:pStyle w:val="89"/>
        <w:spacing w:line="540" w:lineRule="exact"/>
        <w:ind w:firstLine="0" w:firstLineChars="0"/>
        <w:jc w:val="center"/>
        <w:outlineLvl w:val="1"/>
        <w:rPr>
          <w:rFonts w:ascii="Times New Roman" w:hAnsi="Times New Roman" w:eastAsia="宋体"/>
          <w:b/>
          <w:color w:val="auto"/>
          <w:sz w:val="30"/>
          <w:szCs w:val="30"/>
          <w:highlight w:val="none"/>
        </w:rPr>
      </w:pPr>
    </w:p>
    <w:p>
      <w:pPr>
        <w:pStyle w:val="51"/>
        <w:rPr>
          <w:rFonts w:ascii="宋体" w:cs="宋体"/>
          <w:b w:val="0"/>
          <w:color w:val="auto"/>
          <w:kern w:val="0"/>
          <w:sz w:val="30"/>
          <w:szCs w:val="30"/>
          <w:highlight w:val="none"/>
        </w:rPr>
      </w:pPr>
    </w:p>
    <w:p>
      <w:pPr>
        <w:rPr>
          <w:rFonts w:ascii="宋体" w:cs="宋体"/>
          <w:b w:val="0"/>
          <w:color w:val="auto"/>
          <w:kern w:val="0"/>
          <w:sz w:val="30"/>
          <w:szCs w:val="30"/>
          <w:highlight w:val="none"/>
        </w:rPr>
      </w:pPr>
    </w:p>
    <w:p>
      <w:pPr>
        <w:rPr>
          <w:rFonts w:ascii="宋体" w:cs="宋体"/>
          <w:b w:val="0"/>
          <w:color w:val="auto"/>
          <w:kern w:val="0"/>
          <w:sz w:val="30"/>
          <w:szCs w:val="30"/>
          <w:highlight w:val="none"/>
        </w:rPr>
      </w:pPr>
    </w:p>
    <w:p>
      <w:pPr>
        <w:rPr>
          <w:rFonts w:ascii="宋体" w:cs="宋体"/>
          <w:b w:val="0"/>
          <w:color w:val="auto"/>
          <w:kern w:val="0"/>
          <w:sz w:val="30"/>
          <w:szCs w:val="30"/>
          <w:highlight w:val="none"/>
        </w:rPr>
      </w:pPr>
    </w:p>
    <w:p>
      <w:pPr>
        <w:widowControl/>
        <w:jc w:val="center"/>
        <w:rPr>
          <w:rFonts w:ascii="宋体" w:cs="宋体"/>
          <w:color w:val="auto"/>
          <w:szCs w:val="28"/>
          <w:highlight w:val="none"/>
        </w:rPr>
      </w:pPr>
      <w:r>
        <w:rPr>
          <w:rFonts w:hint="eastAsia" w:ascii="宋体" w:cs="宋体"/>
          <w:b/>
          <w:color w:val="auto"/>
          <w:kern w:val="0"/>
          <w:szCs w:val="28"/>
          <w:highlight w:val="none"/>
        </w:rPr>
        <w:t>残疾人福利性单位声明函</w:t>
      </w:r>
    </w:p>
    <w:p>
      <w:pPr>
        <w:widowControl/>
        <w:spacing w:line="700" w:lineRule="exact"/>
        <w:ind w:firstLine="420" w:firstLineChars="200"/>
        <w:jc w:val="left"/>
        <w:rPr>
          <w:rFonts w:ascii="宋体" w:cs="宋体"/>
          <w:color w:val="auto"/>
          <w:sz w:val="21"/>
          <w:szCs w:val="21"/>
          <w:highlight w:val="none"/>
          <w:lang w:val="en-GB"/>
        </w:rPr>
      </w:pPr>
      <w:r>
        <w:rPr>
          <w:rFonts w:hint="eastAsia" w:ascii="宋体" w:cs="宋体"/>
          <w:color w:val="auto"/>
          <w:sz w:val="21"/>
          <w:szCs w:val="21"/>
          <w:highlight w:val="none"/>
        </w:rPr>
        <w:t xml:space="preserve">本单位郑重声明，根据《财政部 民政部 中国残疾人联合会关于促进残疾人就业政府采购政策的通知》（财库〔2017〕 141 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 </w:t>
      </w:r>
    </w:p>
    <w:p>
      <w:pPr>
        <w:widowControl/>
        <w:spacing w:line="700" w:lineRule="exact"/>
        <w:ind w:firstLine="420" w:firstLineChars="200"/>
        <w:jc w:val="left"/>
        <w:rPr>
          <w:rFonts w:ascii="宋体" w:cs="宋体"/>
          <w:color w:val="auto"/>
          <w:sz w:val="21"/>
          <w:szCs w:val="21"/>
          <w:highlight w:val="none"/>
          <w:lang w:val="en-GB"/>
        </w:rPr>
      </w:pPr>
      <w:r>
        <w:rPr>
          <w:rFonts w:hint="eastAsia" w:ascii="宋体" w:cs="宋体"/>
          <w:color w:val="auto"/>
          <w:sz w:val="21"/>
          <w:szCs w:val="21"/>
          <w:highlight w:val="none"/>
        </w:rPr>
        <w:t xml:space="preserve">本单位对上述声明的真实性负责。如有虚假，将依法承担相应责任。 </w:t>
      </w:r>
    </w:p>
    <w:p>
      <w:pPr>
        <w:widowControl/>
        <w:spacing w:line="400" w:lineRule="exact"/>
        <w:jc w:val="left"/>
        <w:rPr>
          <w:rFonts w:ascii="宋体" w:cs="宋体"/>
          <w:color w:val="auto"/>
          <w:sz w:val="21"/>
          <w:szCs w:val="21"/>
          <w:highlight w:val="none"/>
        </w:rPr>
      </w:pPr>
    </w:p>
    <w:p>
      <w:pPr>
        <w:widowControl/>
        <w:spacing w:line="400" w:lineRule="exact"/>
        <w:jc w:val="left"/>
        <w:rPr>
          <w:rFonts w:ascii="宋体" w:cs="宋体"/>
          <w:color w:val="auto"/>
          <w:sz w:val="21"/>
          <w:szCs w:val="21"/>
          <w:highlight w:val="none"/>
        </w:rPr>
      </w:pPr>
    </w:p>
    <w:p>
      <w:pPr>
        <w:widowControl/>
        <w:spacing w:line="400" w:lineRule="exact"/>
        <w:jc w:val="left"/>
        <w:rPr>
          <w:rFonts w:ascii="宋体" w:cs="宋体"/>
          <w:color w:val="auto"/>
          <w:sz w:val="21"/>
          <w:szCs w:val="21"/>
          <w:highlight w:val="none"/>
        </w:rPr>
      </w:pPr>
    </w:p>
    <w:p>
      <w:pPr>
        <w:widowControl/>
        <w:spacing w:line="400" w:lineRule="exact"/>
        <w:ind w:firstLine="5460" w:firstLineChars="2600"/>
        <w:jc w:val="left"/>
        <w:rPr>
          <w:rFonts w:ascii="宋体" w:cs="宋体"/>
          <w:color w:val="auto"/>
          <w:sz w:val="21"/>
          <w:szCs w:val="21"/>
          <w:highlight w:val="none"/>
          <w:lang w:val="en-GB"/>
        </w:rPr>
      </w:pPr>
      <w:r>
        <w:rPr>
          <w:rFonts w:hint="eastAsia" w:ascii="宋体"/>
          <w:color w:val="auto"/>
          <w:sz w:val="21"/>
          <w:szCs w:val="21"/>
          <w:highlight w:val="none"/>
        </w:rPr>
        <w:t>投标人名称</w:t>
      </w:r>
      <w:r>
        <w:rPr>
          <w:rFonts w:hint="eastAsia" w:ascii="宋体" w:cs="宋体"/>
          <w:color w:val="auto"/>
          <w:sz w:val="21"/>
          <w:szCs w:val="21"/>
          <w:highlight w:val="none"/>
        </w:rPr>
        <w:t xml:space="preserve">（盖章）： </w:t>
      </w:r>
    </w:p>
    <w:p>
      <w:pPr>
        <w:widowControl/>
        <w:spacing w:line="400" w:lineRule="exact"/>
        <w:ind w:firstLine="5460" w:firstLineChars="2600"/>
        <w:jc w:val="left"/>
        <w:rPr>
          <w:rFonts w:ascii="宋体" w:cs="宋体"/>
          <w:color w:val="auto"/>
          <w:sz w:val="21"/>
          <w:szCs w:val="21"/>
          <w:highlight w:val="none"/>
          <w:lang w:val="en-GB"/>
        </w:rPr>
      </w:pPr>
      <w:r>
        <w:rPr>
          <w:rFonts w:hint="eastAsia" w:ascii="宋体" w:cs="宋体"/>
          <w:color w:val="auto"/>
          <w:sz w:val="21"/>
          <w:szCs w:val="21"/>
          <w:highlight w:val="none"/>
        </w:rPr>
        <w:t xml:space="preserve">日 期： </w:t>
      </w:r>
    </w:p>
    <w:p>
      <w:pPr>
        <w:widowControl/>
        <w:jc w:val="left"/>
        <w:rPr>
          <w:rFonts w:ascii="宋体" w:cs="宋体"/>
          <w:b/>
          <w:color w:val="auto"/>
          <w:kern w:val="0"/>
          <w:sz w:val="21"/>
          <w:szCs w:val="21"/>
          <w:highlight w:val="none"/>
        </w:rPr>
      </w:pPr>
    </w:p>
    <w:p>
      <w:pPr>
        <w:widowControl/>
        <w:jc w:val="left"/>
        <w:rPr>
          <w:rFonts w:ascii="宋体" w:cs="宋体"/>
          <w:b/>
          <w:color w:val="auto"/>
          <w:kern w:val="0"/>
          <w:sz w:val="21"/>
          <w:szCs w:val="21"/>
          <w:highlight w:val="none"/>
        </w:rPr>
      </w:pPr>
    </w:p>
    <w:p>
      <w:pPr>
        <w:widowControl/>
        <w:jc w:val="left"/>
        <w:rPr>
          <w:rFonts w:ascii="宋体" w:cs="宋体"/>
          <w:b/>
          <w:color w:val="auto"/>
          <w:kern w:val="0"/>
          <w:sz w:val="21"/>
          <w:szCs w:val="21"/>
          <w:highlight w:val="none"/>
        </w:rPr>
      </w:pPr>
    </w:p>
    <w:p>
      <w:pPr>
        <w:widowControl/>
        <w:jc w:val="left"/>
        <w:rPr>
          <w:rFonts w:ascii="宋体" w:cs="宋体"/>
          <w:color w:val="auto"/>
          <w:sz w:val="21"/>
          <w:szCs w:val="21"/>
          <w:highlight w:val="none"/>
        </w:rPr>
      </w:pPr>
      <w:r>
        <w:rPr>
          <w:rFonts w:hint="eastAsia" w:ascii="宋体" w:cs="宋体"/>
          <w:b/>
          <w:color w:val="auto"/>
          <w:kern w:val="0"/>
          <w:sz w:val="21"/>
          <w:szCs w:val="21"/>
          <w:highlight w:val="none"/>
        </w:rPr>
        <w:t>注：本函为残疾人福利性单位提供。</w:t>
      </w:r>
    </w:p>
    <w:p>
      <w:pPr>
        <w:pStyle w:val="36"/>
        <w:widowControl w:val="0"/>
        <w:spacing w:before="156" w:beforeAutospacing="0" w:after="156" w:afterAutospacing="0" w:line="400" w:lineRule="atLeast"/>
        <w:jc w:val="both"/>
        <w:rPr>
          <w:rFonts w:cs="宋体"/>
          <w:b/>
          <w:color w:val="auto"/>
          <w:kern w:val="2"/>
          <w:sz w:val="21"/>
          <w:szCs w:val="21"/>
          <w:highlight w:val="none"/>
        </w:rPr>
      </w:pPr>
    </w:p>
    <w:p>
      <w:pPr>
        <w:pStyle w:val="36"/>
        <w:widowControl w:val="0"/>
        <w:spacing w:before="156" w:beforeAutospacing="0" w:after="156" w:afterAutospacing="0" w:line="400" w:lineRule="atLeast"/>
        <w:jc w:val="both"/>
        <w:rPr>
          <w:rFonts w:cs="宋体"/>
          <w:b/>
          <w:color w:val="auto"/>
          <w:kern w:val="2"/>
          <w:sz w:val="21"/>
          <w:szCs w:val="21"/>
          <w:highlight w:val="none"/>
        </w:rPr>
      </w:pPr>
    </w:p>
    <w:p>
      <w:pPr>
        <w:pStyle w:val="36"/>
        <w:widowControl w:val="0"/>
        <w:spacing w:before="156" w:beforeAutospacing="0" w:after="156" w:afterAutospacing="0" w:line="400" w:lineRule="atLeast"/>
        <w:jc w:val="both"/>
        <w:rPr>
          <w:rFonts w:cs="宋体"/>
          <w:b/>
          <w:color w:val="auto"/>
          <w:kern w:val="2"/>
          <w:sz w:val="21"/>
          <w:szCs w:val="21"/>
          <w:highlight w:val="none"/>
        </w:rPr>
      </w:pPr>
    </w:p>
    <w:p>
      <w:pPr>
        <w:pStyle w:val="36"/>
        <w:widowControl w:val="0"/>
        <w:spacing w:before="156" w:beforeAutospacing="0" w:after="156" w:afterAutospacing="0" w:line="400" w:lineRule="atLeast"/>
        <w:jc w:val="both"/>
        <w:rPr>
          <w:rFonts w:cs="宋体"/>
          <w:b/>
          <w:color w:val="auto"/>
          <w:kern w:val="2"/>
          <w:sz w:val="21"/>
          <w:szCs w:val="21"/>
          <w:highlight w:val="none"/>
        </w:rPr>
      </w:pPr>
    </w:p>
    <w:p>
      <w:pPr>
        <w:pStyle w:val="36"/>
        <w:widowControl w:val="0"/>
        <w:spacing w:before="156" w:beforeAutospacing="0" w:after="156" w:afterAutospacing="0" w:line="400" w:lineRule="atLeast"/>
        <w:jc w:val="both"/>
        <w:rPr>
          <w:rFonts w:cs="宋体"/>
          <w:b/>
          <w:color w:val="auto"/>
          <w:kern w:val="2"/>
          <w:sz w:val="21"/>
          <w:szCs w:val="21"/>
          <w:highlight w:val="none"/>
        </w:rPr>
      </w:pPr>
    </w:p>
    <w:p>
      <w:pPr>
        <w:pStyle w:val="36"/>
        <w:widowControl w:val="0"/>
        <w:spacing w:before="156" w:beforeAutospacing="0" w:after="156" w:afterAutospacing="0" w:line="400" w:lineRule="atLeast"/>
        <w:jc w:val="both"/>
        <w:rPr>
          <w:rFonts w:cs="宋体"/>
          <w:b/>
          <w:color w:val="auto"/>
          <w:kern w:val="2"/>
          <w:sz w:val="21"/>
          <w:szCs w:val="21"/>
          <w:highlight w:val="none"/>
        </w:rPr>
      </w:pPr>
    </w:p>
    <w:p>
      <w:pPr>
        <w:pStyle w:val="36"/>
        <w:widowControl w:val="0"/>
        <w:spacing w:before="156" w:beforeAutospacing="0" w:after="156" w:afterAutospacing="0" w:line="400" w:lineRule="atLeast"/>
        <w:jc w:val="both"/>
        <w:rPr>
          <w:rFonts w:cs="宋体"/>
          <w:b/>
          <w:color w:val="auto"/>
          <w:kern w:val="2"/>
          <w:sz w:val="21"/>
          <w:szCs w:val="21"/>
          <w:highlight w:val="none"/>
        </w:rPr>
      </w:pPr>
    </w:p>
    <w:p>
      <w:pPr>
        <w:pStyle w:val="36"/>
        <w:widowControl w:val="0"/>
        <w:spacing w:before="156" w:beforeAutospacing="0" w:after="156" w:afterAutospacing="0" w:line="400" w:lineRule="atLeast"/>
        <w:jc w:val="both"/>
        <w:rPr>
          <w:rFonts w:cs="宋体"/>
          <w:b/>
          <w:color w:val="auto"/>
          <w:kern w:val="2"/>
          <w:sz w:val="21"/>
          <w:szCs w:val="21"/>
          <w:highlight w:val="none"/>
        </w:rPr>
      </w:pPr>
    </w:p>
    <w:p>
      <w:pPr>
        <w:pStyle w:val="36"/>
        <w:widowControl w:val="0"/>
        <w:spacing w:before="156" w:beforeAutospacing="0" w:after="156" w:afterAutospacing="0" w:line="400" w:lineRule="atLeast"/>
        <w:jc w:val="both"/>
        <w:rPr>
          <w:rFonts w:cs="宋体"/>
          <w:b/>
          <w:color w:val="auto"/>
          <w:kern w:val="2"/>
          <w:sz w:val="21"/>
          <w:szCs w:val="21"/>
          <w:highlight w:val="none"/>
        </w:rPr>
      </w:pPr>
    </w:p>
    <w:p>
      <w:pPr>
        <w:pStyle w:val="36"/>
        <w:widowControl w:val="0"/>
        <w:spacing w:before="156" w:beforeAutospacing="0" w:after="156" w:afterAutospacing="0" w:line="400" w:lineRule="atLeast"/>
        <w:jc w:val="both"/>
        <w:rPr>
          <w:rFonts w:cs="宋体"/>
          <w:b/>
          <w:color w:val="auto"/>
          <w:kern w:val="2"/>
          <w:sz w:val="21"/>
          <w:szCs w:val="21"/>
          <w:highlight w:val="none"/>
        </w:rPr>
      </w:pPr>
    </w:p>
    <w:p>
      <w:pPr>
        <w:pStyle w:val="36"/>
        <w:widowControl w:val="0"/>
        <w:spacing w:before="156" w:beforeAutospacing="0" w:after="156" w:afterAutospacing="0" w:line="400" w:lineRule="atLeast"/>
        <w:jc w:val="both"/>
        <w:rPr>
          <w:rFonts w:cs="宋体"/>
          <w:b/>
          <w:color w:val="auto"/>
          <w:kern w:val="2"/>
          <w:sz w:val="21"/>
          <w:szCs w:val="21"/>
          <w:highlight w:val="none"/>
        </w:rPr>
      </w:pPr>
    </w:p>
    <w:p>
      <w:pPr>
        <w:pStyle w:val="36"/>
        <w:widowControl w:val="0"/>
        <w:spacing w:before="156" w:beforeAutospacing="0" w:after="156" w:afterAutospacing="0" w:line="400" w:lineRule="atLeast"/>
        <w:jc w:val="both"/>
        <w:rPr>
          <w:rFonts w:cs="宋体"/>
          <w:b/>
          <w:color w:val="auto"/>
          <w:kern w:val="2"/>
          <w:sz w:val="21"/>
          <w:szCs w:val="21"/>
          <w:highlight w:val="none"/>
        </w:rPr>
      </w:pPr>
    </w:p>
    <w:p>
      <w:pPr>
        <w:widowControl/>
        <w:jc w:val="center"/>
        <w:rPr>
          <w:rFonts w:ascii="宋体" w:hAnsi="宋体" w:cs="宋体"/>
          <w:b/>
          <w:bCs/>
          <w:color w:val="auto"/>
          <w:kern w:val="0"/>
          <w:szCs w:val="28"/>
          <w:highlight w:val="none"/>
        </w:rPr>
      </w:pPr>
      <w:r>
        <w:rPr>
          <w:rFonts w:hint="eastAsia" w:ascii="宋体" w:hAnsi="宋体" w:cs="宋体"/>
          <w:b/>
          <w:bCs/>
          <w:color w:val="auto"/>
          <w:kern w:val="0"/>
          <w:szCs w:val="28"/>
          <w:highlight w:val="none"/>
        </w:rPr>
        <w:t>监狱企业声明函</w:t>
      </w:r>
    </w:p>
    <w:p>
      <w:pPr>
        <w:widowControl/>
        <w:spacing w:line="700" w:lineRule="exact"/>
        <w:jc w:val="center"/>
        <w:rPr>
          <w:rFonts w:ascii="宋体" w:hAnsi="宋体" w:cs="宋体"/>
          <w:color w:val="auto"/>
          <w:sz w:val="21"/>
          <w:szCs w:val="21"/>
          <w:highlight w:val="none"/>
        </w:rPr>
      </w:pPr>
      <w:r>
        <w:rPr>
          <w:rFonts w:hint="eastAsia" w:ascii="宋体" w:hAnsi="宋体" w:cs="宋体"/>
          <w:color w:val="auto"/>
          <w:kern w:val="0"/>
          <w:sz w:val="21"/>
          <w:szCs w:val="21"/>
          <w:highlight w:val="none"/>
        </w:rPr>
        <w:t>【不属于监狱企业的无需填写、递交】</w:t>
      </w:r>
    </w:p>
    <w:p>
      <w:pPr>
        <w:widowControl/>
        <w:spacing w:line="700" w:lineRule="exact"/>
        <w:ind w:firstLine="420" w:firstLineChars="200"/>
        <w:jc w:val="left"/>
        <w:rPr>
          <w:rFonts w:ascii="宋体" w:hAnsi="宋体" w:cs="宋体"/>
          <w:color w:val="auto"/>
          <w:sz w:val="21"/>
          <w:szCs w:val="21"/>
          <w:highlight w:val="none"/>
        </w:rPr>
      </w:pPr>
      <w:r>
        <w:rPr>
          <w:rFonts w:hint="eastAsia" w:ascii="宋体" w:hAnsi="宋体" w:cs="宋体"/>
          <w:color w:val="auto"/>
          <w:kern w:val="0"/>
          <w:sz w:val="21"/>
          <w:szCs w:val="21"/>
          <w:highlight w:val="none"/>
        </w:rPr>
        <w:t>本公司郑重声明，根据《关于政府采购支持监狱企业发展有关问题的通知》 （财库</w:t>
      </w:r>
      <w:r>
        <w:rPr>
          <w:rFonts w:hint="eastAsia" w:ascii="宋体" w:hAnsi="宋体" w:cs="宋体"/>
          <w:color w:val="auto"/>
          <w:kern w:val="0"/>
          <w:sz w:val="21"/>
          <w:szCs w:val="21"/>
          <w:highlight w:val="none"/>
          <w:lang w:eastAsia="zh-CN"/>
        </w:rPr>
        <w:t>〔2014〕68号</w:t>
      </w:r>
      <w:r>
        <w:rPr>
          <w:rFonts w:hint="eastAsia" w:ascii="宋体" w:hAnsi="宋体" w:cs="宋体"/>
          <w:color w:val="auto"/>
          <w:kern w:val="0"/>
          <w:sz w:val="21"/>
          <w:szCs w:val="21"/>
          <w:highlight w:val="none"/>
        </w:rPr>
        <w:t>）的规定，本公司为</w:t>
      </w:r>
      <w:r>
        <w:rPr>
          <w:rFonts w:hint="eastAsia" w:ascii="宋体" w:hAnsi="宋体" w:cs="宋体"/>
          <w:color w:val="auto"/>
          <w:kern w:val="0"/>
          <w:sz w:val="21"/>
          <w:szCs w:val="21"/>
          <w:highlight w:val="none"/>
          <w:u w:val="single"/>
        </w:rPr>
        <w:t>监狱</w:t>
      </w:r>
      <w:r>
        <w:rPr>
          <w:rFonts w:hint="eastAsia" w:ascii="宋体" w:hAnsi="宋体" w:cs="宋体"/>
          <w:color w:val="auto"/>
          <w:kern w:val="0"/>
          <w:sz w:val="21"/>
          <w:szCs w:val="21"/>
          <w:highlight w:val="none"/>
        </w:rPr>
        <w:t xml:space="preserve">企业。 </w:t>
      </w:r>
    </w:p>
    <w:p>
      <w:pPr>
        <w:widowControl/>
        <w:spacing w:line="700" w:lineRule="exact"/>
        <w:ind w:firstLine="420" w:firstLineChars="200"/>
        <w:jc w:val="left"/>
        <w:rPr>
          <w:rFonts w:ascii="宋体" w:hAnsi="宋体" w:cs="宋体"/>
          <w:color w:val="auto"/>
          <w:sz w:val="21"/>
          <w:szCs w:val="21"/>
          <w:highlight w:val="none"/>
        </w:rPr>
      </w:pPr>
      <w:r>
        <w:rPr>
          <w:rFonts w:hint="eastAsia" w:ascii="宋体" w:hAnsi="宋体" w:cs="宋体"/>
          <w:color w:val="auto"/>
          <w:kern w:val="0"/>
          <w:sz w:val="21"/>
          <w:szCs w:val="21"/>
          <w:highlight w:val="none"/>
        </w:rPr>
        <w:t xml:space="preserve">根据上述标准，我公司属于监狱企业的理由为： </w:t>
      </w:r>
      <w:r>
        <w:rPr>
          <w:rFonts w:hint="eastAsia" w:ascii="宋体" w:hAnsi="宋体" w:cs="宋体"/>
          <w:color w:val="auto"/>
          <w:kern w:val="0"/>
          <w:sz w:val="21"/>
          <w:szCs w:val="21"/>
          <w:highlight w:val="none"/>
          <w:u w:val="single"/>
        </w:rPr>
        <w:t xml:space="preserve">                        </w:t>
      </w:r>
      <w:r>
        <w:rPr>
          <w:rFonts w:hint="eastAsia" w:ascii="宋体" w:hAnsi="宋体" w:cs="宋体"/>
          <w:color w:val="auto"/>
          <w:kern w:val="0"/>
          <w:sz w:val="21"/>
          <w:szCs w:val="21"/>
          <w:highlight w:val="none"/>
        </w:rPr>
        <w:t xml:space="preserve">。 </w:t>
      </w:r>
    </w:p>
    <w:p>
      <w:pPr>
        <w:widowControl/>
        <w:spacing w:line="700" w:lineRule="exact"/>
        <w:ind w:firstLine="420" w:firstLineChars="200"/>
        <w:jc w:val="left"/>
        <w:rPr>
          <w:rFonts w:ascii="宋体" w:hAnsi="宋体" w:cs="宋体"/>
          <w:color w:val="auto"/>
          <w:sz w:val="21"/>
          <w:szCs w:val="21"/>
          <w:highlight w:val="none"/>
        </w:rPr>
      </w:pPr>
      <w:r>
        <w:rPr>
          <w:rFonts w:hint="eastAsia" w:ascii="宋体" w:hAnsi="宋体" w:cs="宋体"/>
          <w:color w:val="auto"/>
          <w:kern w:val="0"/>
          <w:sz w:val="21"/>
          <w:szCs w:val="21"/>
          <w:highlight w:val="none"/>
        </w:rPr>
        <w:t>本公司为参加（项目名称：</w:t>
      </w:r>
      <w:r>
        <w:rPr>
          <w:rFonts w:hint="eastAsia" w:ascii="宋体" w:hAnsi="宋体" w:cs="宋体"/>
          <w:color w:val="auto"/>
          <w:kern w:val="0"/>
          <w:sz w:val="21"/>
          <w:szCs w:val="21"/>
          <w:highlight w:val="none"/>
          <w:u w:val="single"/>
        </w:rPr>
        <w:t xml:space="preserve">                        </w:t>
      </w:r>
      <w:r>
        <w:rPr>
          <w:rFonts w:hint="eastAsia" w:ascii="宋体" w:hAnsi="宋体" w:cs="宋体"/>
          <w:color w:val="auto"/>
          <w:kern w:val="0"/>
          <w:sz w:val="21"/>
          <w:szCs w:val="21"/>
          <w:highlight w:val="none"/>
        </w:rPr>
        <w:t xml:space="preserve"> ）（项目编号：</w:t>
      </w:r>
      <w:r>
        <w:rPr>
          <w:rFonts w:hint="eastAsia" w:ascii="宋体" w:hAnsi="宋体" w:cs="宋体"/>
          <w:color w:val="auto"/>
          <w:kern w:val="0"/>
          <w:sz w:val="21"/>
          <w:szCs w:val="21"/>
          <w:highlight w:val="none"/>
          <w:u w:val="single"/>
        </w:rPr>
        <w:t xml:space="preserve">                        </w:t>
      </w:r>
      <w:r>
        <w:rPr>
          <w:rFonts w:hint="eastAsia" w:ascii="宋体" w:hAnsi="宋体" w:cs="宋体"/>
          <w:color w:val="auto"/>
          <w:kern w:val="0"/>
          <w:sz w:val="21"/>
          <w:szCs w:val="21"/>
          <w:highlight w:val="none"/>
        </w:rPr>
        <w:t xml:space="preserve"> ）采购活动提供本企业制造的货物。 </w:t>
      </w:r>
    </w:p>
    <w:p>
      <w:pPr>
        <w:widowControl/>
        <w:spacing w:line="700" w:lineRule="exact"/>
        <w:ind w:firstLine="420" w:firstLineChars="200"/>
        <w:jc w:val="left"/>
        <w:rPr>
          <w:rFonts w:ascii="宋体" w:hAnsi="宋体" w:cs="宋体"/>
          <w:color w:val="auto"/>
          <w:sz w:val="21"/>
          <w:szCs w:val="21"/>
          <w:highlight w:val="none"/>
        </w:rPr>
      </w:pPr>
      <w:r>
        <w:rPr>
          <w:rFonts w:hint="eastAsia" w:ascii="宋体" w:hAnsi="宋体" w:cs="宋体"/>
          <w:color w:val="auto"/>
          <w:kern w:val="0"/>
          <w:sz w:val="21"/>
          <w:szCs w:val="21"/>
          <w:highlight w:val="none"/>
        </w:rPr>
        <w:t xml:space="preserve">本公司对上述声明的真实性负责。如有虚假，将依法承担相应责任。 </w:t>
      </w:r>
    </w:p>
    <w:p>
      <w:pPr>
        <w:widowControl/>
        <w:spacing w:line="700" w:lineRule="exact"/>
        <w:ind w:firstLine="6090" w:firstLineChars="2900"/>
        <w:jc w:val="left"/>
        <w:rPr>
          <w:rFonts w:ascii="宋体" w:hAnsi="宋体" w:cs="宋体"/>
          <w:color w:val="auto"/>
          <w:sz w:val="21"/>
          <w:szCs w:val="21"/>
          <w:highlight w:val="none"/>
        </w:rPr>
      </w:pPr>
      <w:r>
        <w:rPr>
          <w:rFonts w:hint="eastAsia" w:ascii="宋体" w:hAnsi="宋体" w:cs="宋体"/>
          <w:color w:val="auto"/>
          <w:kern w:val="0"/>
          <w:sz w:val="21"/>
          <w:szCs w:val="21"/>
          <w:highlight w:val="none"/>
          <w:lang w:val="en-US" w:eastAsia="zh-CN"/>
        </w:rPr>
        <w:t>投标人</w:t>
      </w:r>
      <w:r>
        <w:rPr>
          <w:rFonts w:hint="eastAsia" w:ascii="宋体" w:hAnsi="宋体" w:cs="宋体"/>
          <w:color w:val="auto"/>
          <w:kern w:val="0"/>
          <w:sz w:val="21"/>
          <w:szCs w:val="21"/>
          <w:highlight w:val="none"/>
        </w:rPr>
        <w:t xml:space="preserve">名称（公章）： </w:t>
      </w:r>
    </w:p>
    <w:p>
      <w:pPr>
        <w:widowControl/>
        <w:spacing w:line="700" w:lineRule="exact"/>
        <w:ind w:firstLine="5670" w:firstLineChars="2700"/>
        <w:jc w:val="left"/>
        <w:rPr>
          <w:rFonts w:ascii="宋体" w:hAnsi="宋体" w:cs="宋体"/>
          <w:color w:val="auto"/>
          <w:sz w:val="21"/>
          <w:szCs w:val="21"/>
          <w:highlight w:val="none"/>
        </w:rPr>
      </w:pPr>
      <w:r>
        <w:rPr>
          <w:rFonts w:hint="eastAsia" w:ascii="宋体" w:cs="宋体"/>
          <w:color w:val="auto"/>
          <w:sz w:val="21"/>
          <w:szCs w:val="21"/>
          <w:highlight w:val="none"/>
        </w:rPr>
        <w:t>法定代表人或委托代理人（签字</w:t>
      </w:r>
      <w:r>
        <w:rPr>
          <w:rFonts w:hint="eastAsia" w:ascii="宋体" w:cs="宋体"/>
          <w:color w:val="auto"/>
          <w:sz w:val="21"/>
          <w:szCs w:val="21"/>
          <w:highlight w:val="none"/>
          <w:lang w:val="en-US" w:eastAsia="zh-CN"/>
        </w:rPr>
        <w:t>或盖章</w:t>
      </w:r>
      <w:r>
        <w:rPr>
          <w:rFonts w:hint="eastAsia" w:ascii="宋体" w:cs="宋体"/>
          <w:color w:val="auto"/>
          <w:sz w:val="21"/>
          <w:szCs w:val="21"/>
          <w:highlight w:val="none"/>
        </w:rPr>
        <w:t>）</w:t>
      </w:r>
      <w:r>
        <w:rPr>
          <w:rFonts w:hint="eastAsia" w:ascii="宋体" w:hAnsi="宋体" w:cs="宋体"/>
          <w:color w:val="auto"/>
          <w:kern w:val="0"/>
          <w:sz w:val="21"/>
          <w:szCs w:val="21"/>
          <w:highlight w:val="none"/>
        </w:rPr>
        <w:t xml:space="preserve">： </w:t>
      </w:r>
    </w:p>
    <w:p>
      <w:pPr>
        <w:widowControl/>
        <w:spacing w:line="700" w:lineRule="exact"/>
        <w:ind w:firstLine="7350" w:firstLineChars="3500"/>
        <w:jc w:val="left"/>
        <w:rPr>
          <w:rFonts w:ascii="宋体" w:hAnsi="宋体" w:cs="宋体"/>
          <w:color w:val="auto"/>
          <w:sz w:val="21"/>
          <w:szCs w:val="21"/>
          <w:highlight w:val="none"/>
        </w:rPr>
      </w:pPr>
      <w:r>
        <w:rPr>
          <w:rFonts w:hint="eastAsia" w:ascii="宋体" w:hAnsi="宋体" w:cs="宋体"/>
          <w:color w:val="auto"/>
          <w:kern w:val="0"/>
          <w:sz w:val="21"/>
          <w:szCs w:val="21"/>
          <w:highlight w:val="none"/>
        </w:rPr>
        <w:t>日期： 年 月 日</w:t>
      </w:r>
    </w:p>
    <w:p>
      <w:pPr>
        <w:pStyle w:val="36"/>
        <w:widowControl w:val="0"/>
        <w:spacing w:beforeLines="50" w:beforeAutospacing="0" w:afterLines="50" w:afterAutospacing="0" w:line="400" w:lineRule="atLeast"/>
        <w:jc w:val="both"/>
        <w:rPr>
          <w:rFonts w:cs="宋体"/>
          <w:b/>
          <w:color w:val="auto"/>
          <w:kern w:val="2"/>
          <w:sz w:val="21"/>
          <w:szCs w:val="21"/>
          <w:highlight w:val="none"/>
        </w:rPr>
      </w:pPr>
    </w:p>
    <w:p>
      <w:pPr>
        <w:pStyle w:val="36"/>
        <w:widowControl w:val="0"/>
        <w:spacing w:beforeLines="50" w:beforeAutospacing="0" w:afterLines="50" w:afterAutospacing="0" w:line="400" w:lineRule="atLeast"/>
        <w:jc w:val="both"/>
        <w:rPr>
          <w:rFonts w:cs="宋体"/>
          <w:b/>
          <w:color w:val="auto"/>
          <w:kern w:val="2"/>
          <w:sz w:val="21"/>
          <w:szCs w:val="21"/>
          <w:highlight w:val="none"/>
        </w:rPr>
      </w:pPr>
    </w:p>
    <w:p>
      <w:pPr>
        <w:widowControl/>
        <w:jc w:val="left"/>
        <w:rPr>
          <w:rFonts w:ascii="宋体" w:hAnsi="宋体" w:cs="宋体"/>
          <w:color w:val="auto"/>
          <w:sz w:val="21"/>
          <w:szCs w:val="21"/>
          <w:highlight w:val="none"/>
        </w:rPr>
      </w:pPr>
      <w:r>
        <w:rPr>
          <w:rFonts w:hint="eastAsia" w:ascii="宋体" w:hAnsi="宋体" w:cs="宋体"/>
          <w:b/>
          <w:color w:val="auto"/>
          <w:kern w:val="0"/>
          <w:sz w:val="21"/>
          <w:szCs w:val="21"/>
          <w:highlight w:val="none"/>
        </w:rPr>
        <w:t>注：本函为监狱企业单位提供。</w:t>
      </w:r>
    </w:p>
    <w:p>
      <w:pPr>
        <w:pStyle w:val="36"/>
        <w:widowControl w:val="0"/>
        <w:spacing w:beforeLines="50" w:beforeAutospacing="0" w:afterLines="50" w:afterAutospacing="0" w:line="400" w:lineRule="atLeast"/>
        <w:jc w:val="both"/>
        <w:rPr>
          <w:rFonts w:cs="宋体"/>
          <w:b/>
          <w:color w:val="auto"/>
          <w:kern w:val="2"/>
          <w:sz w:val="21"/>
          <w:szCs w:val="21"/>
          <w:highlight w:val="none"/>
        </w:rPr>
      </w:pPr>
    </w:p>
    <w:p>
      <w:pPr>
        <w:pStyle w:val="36"/>
        <w:widowControl w:val="0"/>
        <w:spacing w:beforeLines="50" w:beforeAutospacing="0" w:afterLines="50" w:afterAutospacing="0" w:line="400" w:lineRule="atLeast"/>
        <w:jc w:val="center"/>
        <w:rPr>
          <w:rFonts w:cs="宋体"/>
          <w:b/>
          <w:color w:val="auto"/>
          <w:kern w:val="2"/>
          <w:sz w:val="32"/>
          <w:szCs w:val="32"/>
          <w:highlight w:val="none"/>
        </w:rPr>
      </w:pPr>
    </w:p>
    <w:p>
      <w:pPr>
        <w:pStyle w:val="36"/>
        <w:widowControl w:val="0"/>
        <w:spacing w:beforeLines="50" w:beforeAutospacing="0" w:afterLines="50" w:afterAutospacing="0" w:line="400" w:lineRule="atLeast"/>
        <w:jc w:val="center"/>
        <w:rPr>
          <w:rFonts w:cs="宋体"/>
          <w:b/>
          <w:color w:val="auto"/>
          <w:kern w:val="2"/>
          <w:sz w:val="32"/>
          <w:szCs w:val="32"/>
          <w:highlight w:val="none"/>
        </w:rPr>
      </w:pPr>
    </w:p>
    <w:p>
      <w:pPr>
        <w:pStyle w:val="36"/>
        <w:widowControl w:val="0"/>
        <w:spacing w:beforeLines="50" w:beforeAutospacing="0" w:afterLines="50" w:afterAutospacing="0" w:line="400" w:lineRule="atLeast"/>
        <w:jc w:val="center"/>
        <w:rPr>
          <w:rFonts w:cs="宋体"/>
          <w:b/>
          <w:color w:val="auto"/>
          <w:kern w:val="2"/>
          <w:sz w:val="32"/>
          <w:szCs w:val="32"/>
          <w:highlight w:val="none"/>
        </w:rPr>
      </w:pPr>
    </w:p>
    <w:p>
      <w:pPr>
        <w:pStyle w:val="36"/>
        <w:widowControl w:val="0"/>
        <w:spacing w:before="156" w:beforeAutospacing="0" w:after="156" w:afterAutospacing="0" w:line="400" w:lineRule="atLeast"/>
        <w:jc w:val="center"/>
        <w:rPr>
          <w:rFonts w:cs="宋体"/>
          <w:b/>
          <w:color w:val="auto"/>
          <w:kern w:val="2"/>
          <w:sz w:val="32"/>
          <w:szCs w:val="32"/>
          <w:highlight w:val="none"/>
        </w:rPr>
      </w:pPr>
    </w:p>
    <w:p>
      <w:pPr>
        <w:pStyle w:val="36"/>
        <w:widowControl w:val="0"/>
        <w:spacing w:before="156" w:beforeAutospacing="0" w:after="156" w:afterAutospacing="0" w:line="400" w:lineRule="atLeast"/>
        <w:jc w:val="center"/>
        <w:rPr>
          <w:rFonts w:cs="宋体"/>
          <w:b/>
          <w:color w:val="auto"/>
          <w:kern w:val="2"/>
          <w:sz w:val="32"/>
          <w:szCs w:val="32"/>
          <w:highlight w:val="none"/>
        </w:rPr>
      </w:pPr>
    </w:p>
    <w:p>
      <w:pPr>
        <w:pStyle w:val="36"/>
        <w:widowControl w:val="0"/>
        <w:spacing w:before="156" w:beforeAutospacing="0" w:after="156" w:afterAutospacing="0" w:line="400" w:lineRule="atLeast"/>
        <w:jc w:val="center"/>
        <w:rPr>
          <w:rFonts w:cs="宋体"/>
          <w:b/>
          <w:color w:val="auto"/>
          <w:sz w:val="32"/>
          <w:szCs w:val="32"/>
          <w:highlight w:val="none"/>
        </w:rPr>
      </w:pPr>
      <w:r>
        <w:rPr>
          <w:rFonts w:hint="eastAsia" w:cs="宋体"/>
          <w:b/>
          <w:color w:val="auto"/>
          <w:kern w:val="2"/>
          <w:sz w:val="32"/>
          <w:szCs w:val="32"/>
          <w:highlight w:val="none"/>
        </w:rPr>
        <w:t>投标声明书</w:t>
      </w:r>
    </w:p>
    <w:p>
      <w:pPr>
        <w:pStyle w:val="36"/>
        <w:widowControl w:val="0"/>
        <w:spacing w:before="156" w:beforeAutospacing="0" w:after="156" w:afterAutospacing="0" w:line="400" w:lineRule="exact"/>
        <w:jc w:val="both"/>
        <w:rPr>
          <w:rFonts w:hint="eastAsia" w:eastAsia="宋体" w:cs="宋体"/>
          <w:color w:val="auto"/>
          <w:sz w:val="21"/>
          <w:szCs w:val="21"/>
          <w:highlight w:val="none"/>
          <w:lang w:eastAsia="zh-CN"/>
        </w:rPr>
      </w:pPr>
      <w:r>
        <w:rPr>
          <w:rFonts w:hint="eastAsia" w:cs="宋体"/>
          <w:color w:val="auto"/>
          <w:kern w:val="2"/>
          <w:sz w:val="21"/>
          <w:szCs w:val="21"/>
          <w:highlight w:val="none"/>
        </w:rPr>
        <w:t>致：</w:t>
      </w:r>
      <w:r>
        <w:rPr>
          <w:rFonts w:hint="eastAsia" w:cs="宋体"/>
          <w:color w:val="auto"/>
          <w:kern w:val="2"/>
          <w:sz w:val="21"/>
          <w:szCs w:val="21"/>
          <w:highlight w:val="none"/>
          <w:lang w:eastAsia="zh-CN"/>
        </w:rPr>
        <w:t>兰溪市人民医院</w:t>
      </w:r>
    </w:p>
    <w:p>
      <w:pPr>
        <w:snapToGrid w:val="0"/>
        <w:spacing w:line="336" w:lineRule="auto"/>
        <w:ind w:firstLine="420" w:firstLineChars="200"/>
        <w:rPr>
          <w:rFonts w:ascii="宋体" w:cs="宋体"/>
          <w:color w:val="auto"/>
          <w:sz w:val="21"/>
          <w:szCs w:val="21"/>
          <w:highlight w:val="none"/>
        </w:rPr>
      </w:pPr>
      <w:r>
        <w:rPr>
          <w:rFonts w:hint="eastAsia" w:ascii="宋体" w:cs="宋体"/>
          <w:color w:val="auto"/>
          <w:sz w:val="21"/>
          <w:szCs w:val="21"/>
          <w:highlight w:val="none"/>
          <w:u w:val="single"/>
        </w:rPr>
        <w:t xml:space="preserve">                           </w:t>
      </w:r>
      <w:r>
        <w:rPr>
          <w:rFonts w:hint="eastAsia" w:ascii="宋体" w:cs="宋体"/>
          <w:color w:val="auto"/>
          <w:sz w:val="21"/>
          <w:szCs w:val="21"/>
          <w:highlight w:val="none"/>
        </w:rPr>
        <w:t>（投标人名称）系</w:t>
      </w:r>
      <w:r>
        <w:rPr>
          <w:rFonts w:hint="eastAsia" w:ascii="宋体" w:cs="宋体"/>
          <w:color w:val="auto"/>
          <w:sz w:val="21"/>
          <w:szCs w:val="21"/>
          <w:highlight w:val="none"/>
          <w:lang w:eastAsia="zh-CN"/>
        </w:rPr>
        <w:t>中华人民共和国宪法</w:t>
      </w:r>
      <w:r>
        <w:rPr>
          <w:rFonts w:hint="eastAsia" w:ascii="宋体" w:cs="宋体"/>
          <w:color w:val="auto"/>
          <w:sz w:val="21"/>
          <w:szCs w:val="21"/>
          <w:highlight w:val="none"/>
        </w:rPr>
        <w:t>企业，经营地址</w:t>
      </w:r>
      <w:r>
        <w:rPr>
          <w:rFonts w:hint="eastAsia" w:ascii="宋体" w:cs="宋体"/>
          <w:color w:val="auto"/>
          <w:sz w:val="21"/>
          <w:szCs w:val="21"/>
          <w:highlight w:val="none"/>
          <w:u w:val="single"/>
        </w:rPr>
        <w:t xml:space="preserve">                               </w:t>
      </w:r>
      <w:r>
        <w:rPr>
          <w:rFonts w:hint="eastAsia" w:ascii="宋体" w:cs="宋体"/>
          <w:color w:val="auto"/>
          <w:sz w:val="21"/>
          <w:szCs w:val="21"/>
          <w:highlight w:val="none"/>
        </w:rPr>
        <w:t>。</w:t>
      </w:r>
    </w:p>
    <w:p>
      <w:pPr>
        <w:snapToGrid w:val="0"/>
        <w:spacing w:line="336" w:lineRule="auto"/>
        <w:ind w:firstLine="420" w:firstLineChars="200"/>
        <w:rPr>
          <w:rFonts w:ascii="宋体" w:cs="宋体"/>
          <w:color w:val="auto"/>
          <w:sz w:val="21"/>
          <w:szCs w:val="21"/>
          <w:highlight w:val="none"/>
        </w:rPr>
      </w:pPr>
      <w:r>
        <w:rPr>
          <w:rFonts w:hint="eastAsia" w:ascii="宋体" w:cs="宋体"/>
          <w:color w:val="auto"/>
          <w:sz w:val="21"/>
          <w:szCs w:val="21"/>
          <w:highlight w:val="none"/>
        </w:rPr>
        <w:t>我</w:t>
      </w:r>
      <w:r>
        <w:rPr>
          <w:rFonts w:hint="eastAsia" w:ascii="宋体" w:cs="宋体"/>
          <w:color w:val="auto"/>
          <w:sz w:val="21"/>
          <w:szCs w:val="21"/>
          <w:highlight w:val="none"/>
          <w:u w:val="single"/>
        </w:rPr>
        <w:t xml:space="preserve">        </w:t>
      </w:r>
      <w:r>
        <w:rPr>
          <w:rFonts w:hint="eastAsia" w:ascii="宋体" w:cs="宋体"/>
          <w:color w:val="auto"/>
          <w:sz w:val="21"/>
          <w:szCs w:val="21"/>
          <w:highlight w:val="none"/>
        </w:rPr>
        <w:t>（姓名）系</w:t>
      </w:r>
      <w:r>
        <w:rPr>
          <w:rFonts w:hint="eastAsia" w:ascii="宋体" w:cs="宋体"/>
          <w:color w:val="auto"/>
          <w:sz w:val="21"/>
          <w:szCs w:val="21"/>
          <w:highlight w:val="none"/>
          <w:u w:val="single"/>
        </w:rPr>
        <w:t xml:space="preserve">                           </w:t>
      </w:r>
      <w:r>
        <w:rPr>
          <w:rFonts w:hint="eastAsia" w:ascii="宋体" w:cs="宋体"/>
          <w:color w:val="auto"/>
          <w:sz w:val="21"/>
          <w:szCs w:val="21"/>
          <w:highlight w:val="none"/>
        </w:rPr>
        <w:t xml:space="preserve">（投标人名称）的法定代表人，我方愿意参加贵方组织的 </w:t>
      </w:r>
      <w:r>
        <w:rPr>
          <w:rFonts w:hint="eastAsia" w:ascii="宋体" w:cs="宋体"/>
          <w:color w:val="auto"/>
          <w:sz w:val="21"/>
          <w:szCs w:val="21"/>
          <w:highlight w:val="none"/>
          <w:u w:val="single"/>
        </w:rPr>
        <w:t xml:space="preserve">                  </w:t>
      </w:r>
      <w:r>
        <w:rPr>
          <w:rFonts w:hint="eastAsia" w:ascii="宋体" w:cs="宋体"/>
          <w:color w:val="auto"/>
          <w:sz w:val="21"/>
          <w:szCs w:val="21"/>
          <w:highlight w:val="none"/>
        </w:rPr>
        <w:t>项目的投标，为便于贵方公正、择优地确定中标人及其投标产品和货物、服务，我方就本次投标有关事项郑重声明如下：</w:t>
      </w:r>
    </w:p>
    <w:p>
      <w:pPr>
        <w:snapToGrid w:val="0"/>
        <w:spacing w:line="336" w:lineRule="auto"/>
        <w:ind w:firstLine="420" w:firstLineChars="200"/>
        <w:rPr>
          <w:rFonts w:ascii="宋体" w:cs="宋体"/>
          <w:color w:val="auto"/>
          <w:sz w:val="21"/>
          <w:szCs w:val="21"/>
          <w:highlight w:val="none"/>
        </w:rPr>
      </w:pPr>
      <w:r>
        <w:rPr>
          <w:rFonts w:hint="eastAsia" w:ascii="宋体" w:cs="宋体"/>
          <w:color w:val="auto"/>
          <w:sz w:val="21"/>
          <w:szCs w:val="21"/>
          <w:highlight w:val="none"/>
        </w:rPr>
        <w:t>1、我方向贵方提交的所有投标文件、资料都是准确的和真实的；</w:t>
      </w:r>
    </w:p>
    <w:p>
      <w:pPr>
        <w:snapToGrid w:val="0"/>
        <w:spacing w:before="156" w:line="336" w:lineRule="auto"/>
        <w:ind w:firstLine="420" w:firstLineChars="200"/>
        <w:rPr>
          <w:rFonts w:ascii="宋体" w:cs="宋体"/>
          <w:color w:val="auto"/>
          <w:sz w:val="21"/>
          <w:szCs w:val="21"/>
          <w:highlight w:val="none"/>
        </w:rPr>
      </w:pPr>
      <w:r>
        <w:rPr>
          <w:rFonts w:hint="eastAsia" w:ascii="宋体" w:cs="宋体"/>
          <w:color w:val="auto"/>
          <w:sz w:val="21"/>
          <w:szCs w:val="21"/>
          <w:highlight w:val="none"/>
        </w:rPr>
        <w:t>2、我方不是采购人的附属机构；在获知本项目采购信息后，与采购人聘请的为此项目提供咨询服务的公司及其附属机构没有任何联系；</w:t>
      </w:r>
    </w:p>
    <w:p>
      <w:pPr>
        <w:snapToGrid w:val="0"/>
        <w:spacing w:before="156" w:line="336" w:lineRule="auto"/>
        <w:ind w:firstLine="420" w:firstLineChars="200"/>
        <w:rPr>
          <w:rFonts w:ascii="宋体" w:cs="宋体"/>
          <w:color w:val="auto"/>
          <w:sz w:val="21"/>
          <w:szCs w:val="21"/>
          <w:highlight w:val="none"/>
        </w:rPr>
      </w:pPr>
      <w:r>
        <w:rPr>
          <w:rFonts w:hint="eastAsia" w:ascii="宋体" w:cs="宋体"/>
          <w:color w:val="auto"/>
          <w:sz w:val="21"/>
          <w:szCs w:val="21"/>
          <w:highlight w:val="none"/>
        </w:rPr>
        <w:t>3、我方诚意提请贵方关注：有关该产品的生产、供货、售后服务以及性能等方面的重大决策和事项有：</w:t>
      </w:r>
    </w:p>
    <w:p>
      <w:pPr>
        <w:pStyle w:val="18"/>
        <w:widowControl/>
        <w:snapToGrid w:val="0"/>
        <w:spacing w:line="336" w:lineRule="auto"/>
        <w:ind w:left="490" w:leftChars="175"/>
        <w:rPr>
          <w:rFonts w:cs="宋体"/>
          <w:color w:val="auto"/>
          <w:sz w:val="21"/>
          <w:szCs w:val="21"/>
          <w:highlight w:val="none"/>
        </w:rPr>
      </w:pPr>
    </w:p>
    <w:p>
      <w:pPr>
        <w:pStyle w:val="18"/>
        <w:widowControl/>
        <w:snapToGrid w:val="0"/>
        <w:spacing w:line="336" w:lineRule="auto"/>
        <w:ind w:left="490" w:leftChars="175"/>
        <w:rPr>
          <w:rFonts w:cs="宋体"/>
          <w:color w:val="auto"/>
          <w:sz w:val="21"/>
          <w:szCs w:val="21"/>
          <w:highlight w:val="none"/>
        </w:rPr>
      </w:pPr>
    </w:p>
    <w:p>
      <w:pPr>
        <w:pStyle w:val="18"/>
        <w:widowControl/>
        <w:snapToGrid w:val="0"/>
        <w:spacing w:line="336" w:lineRule="auto"/>
        <w:ind w:left="490" w:leftChars="175"/>
        <w:rPr>
          <w:rFonts w:cs="宋体"/>
          <w:color w:val="auto"/>
          <w:sz w:val="21"/>
          <w:szCs w:val="21"/>
          <w:highlight w:val="none"/>
        </w:rPr>
      </w:pPr>
    </w:p>
    <w:p>
      <w:pPr>
        <w:pStyle w:val="18"/>
        <w:widowControl/>
        <w:snapToGrid w:val="0"/>
        <w:spacing w:line="336" w:lineRule="auto"/>
        <w:ind w:left="490" w:leftChars="175"/>
        <w:rPr>
          <w:rFonts w:cs="宋体"/>
          <w:color w:val="auto"/>
          <w:sz w:val="21"/>
          <w:szCs w:val="21"/>
          <w:highlight w:val="none"/>
        </w:rPr>
      </w:pPr>
    </w:p>
    <w:p>
      <w:pPr>
        <w:pStyle w:val="18"/>
        <w:widowControl/>
        <w:snapToGrid w:val="0"/>
        <w:spacing w:line="336" w:lineRule="auto"/>
        <w:ind w:firstLine="404" w:firstLineChars="200"/>
        <w:rPr>
          <w:rFonts w:cs="宋体"/>
          <w:color w:val="auto"/>
          <w:sz w:val="21"/>
          <w:szCs w:val="21"/>
          <w:highlight w:val="none"/>
        </w:rPr>
      </w:pPr>
      <w:r>
        <w:rPr>
          <w:rFonts w:cs="宋体"/>
          <w:color w:val="auto"/>
          <w:sz w:val="21"/>
          <w:szCs w:val="21"/>
          <w:highlight w:val="none"/>
        </w:rPr>
        <w:t>4、我方最近三年内的被公开披露或查处的违法违规行为有：</w:t>
      </w:r>
    </w:p>
    <w:p>
      <w:pPr>
        <w:pStyle w:val="18"/>
        <w:widowControl/>
        <w:snapToGrid w:val="0"/>
        <w:spacing w:line="336" w:lineRule="auto"/>
        <w:ind w:left="490" w:leftChars="175"/>
        <w:rPr>
          <w:rFonts w:cs="宋体"/>
          <w:color w:val="auto"/>
          <w:sz w:val="21"/>
          <w:szCs w:val="21"/>
          <w:highlight w:val="none"/>
        </w:rPr>
      </w:pPr>
    </w:p>
    <w:p>
      <w:pPr>
        <w:pStyle w:val="18"/>
        <w:widowControl/>
        <w:snapToGrid w:val="0"/>
        <w:spacing w:line="336" w:lineRule="auto"/>
        <w:ind w:left="490" w:leftChars="175"/>
        <w:rPr>
          <w:rFonts w:cs="宋体"/>
          <w:color w:val="auto"/>
          <w:sz w:val="21"/>
          <w:szCs w:val="21"/>
          <w:highlight w:val="none"/>
        </w:rPr>
      </w:pPr>
    </w:p>
    <w:p>
      <w:pPr>
        <w:pStyle w:val="18"/>
        <w:widowControl/>
        <w:snapToGrid w:val="0"/>
        <w:spacing w:line="336" w:lineRule="auto"/>
        <w:ind w:left="490" w:leftChars="175"/>
        <w:rPr>
          <w:rFonts w:cs="宋体"/>
          <w:color w:val="auto"/>
          <w:sz w:val="21"/>
          <w:szCs w:val="21"/>
          <w:highlight w:val="none"/>
        </w:rPr>
      </w:pPr>
    </w:p>
    <w:p>
      <w:pPr>
        <w:pStyle w:val="18"/>
        <w:widowControl/>
        <w:snapToGrid w:val="0"/>
        <w:spacing w:line="336" w:lineRule="auto"/>
        <w:ind w:left="490" w:leftChars="175"/>
        <w:rPr>
          <w:rFonts w:cs="宋体"/>
          <w:color w:val="auto"/>
          <w:sz w:val="21"/>
          <w:szCs w:val="21"/>
          <w:highlight w:val="none"/>
        </w:rPr>
      </w:pPr>
    </w:p>
    <w:p>
      <w:pPr>
        <w:pStyle w:val="18"/>
        <w:widowControl/>
        <w:snapToGrid w:val="0"/>
        <w:spacing w:line="336" w:lineRule="auto"/>
        <w:ind w:firstLine="404" w:firstLineChars="200"/>
        <w:rPr>
          <w:rFonts w:cs="宋体"/>
          <w:color w:val="auto"/>
          <w:sz w:val="21"/>
          <w:szCs w:val="21"/>
          <w:highlight w:val="none"/>
        </w:rPr>
      </w:pPr>
      <w:r>
        <w:rPr>
          <w:rFonts w:cs="宋体"/>
          <w:color w:val="auto"/>
          <w:sz w:val="21"/>
          <w:szCs w:val="21"/>
          <w:highlight w:val="none"/>
        </w:rPr>
        <w:t>5、以上事项如有虚假或隐瞒，我方愿意承担一切后果和责任。</w:t>
      </w:r>
    </w:p>
    <w:p>
      <w:pPr>
        <w:pStyle w:val="100"/>
        <w:widowControl/>
        <w:snapToGrid w:val="0"/>
        <w:spacing w:before="156" w:line="336" w:lineRule="auto"/>
        <w:ind w:firstLine="200"/>
        <w:rPr>
          <w:rFonts w:ascii="宋体" w:cs="宋体"/>
          <w:color w:val="auto"/>
          <w:sz w:val="21"/>
          <w:szCs w:val="21"/>
          <w:highlight w:val="none"/>
        </w:rPr>
      </w:pPr>
    </w:p>
    <w:p>
      <w:pPr>
        <w:pStyle w:val="100"/>
        <w:widowControl/>
        <w:snapToGrid w:val="0"/>
        <w:spacing w:before="156" w:line="336" w:lineRule="auto"/>
        <w:ind w:firstLine="200"/>
        <w:rPr>
          <w:rFonts w:ascii="宋体" w:cs="宋体"/>
          <w:color w:val="auto"/>
          <w:sz w:val="21"/>
          <w:szCs w:val="21"/>
          <w:highlight w:val="none"/>
        </w:rPr>
      </w:pPr>
    </w:p>
    <w:p>
      <w:pPr>
        <w:pStyle w:val="100"/>
        <w:widowControl/>
        <w:snapToGrid w:val="0"/>
        <w:spacing w:before="156" w:line="336" w:lineRule="auto"/>
        <w:ind w:firstLine="4200" w:firstLineChars="2000"/>
        <w:rPr>
          <w:rFonts w:ascii="宋体" w:cs="宋体"/>
          <w:color w:val="auto"/>
          <w:sz w:val="21"/>
          <w:szCs w:val="21"/>
          <w:highlight w:val="none"/>
        </w:rPr>
      </w:pPr>
      <w:r>
        <w:rPr>
          <w:rFonts w:hint="eastAsia" w:ascii="宋体"/>
          <w:color w:val="auto"/>
          <w:sz w:val="21"/>
          <w:szCs w:val="21"/>
          <w:highlight w:val="none"/>
        </w:rPr>
        <w:t>投标人名称</w:t>
      </w:r>
      <w:r>
        <w:rPr>
          <w:rFonts w:hint="eastAsia" w:ascii="宋体" w:cs="宋体"/>
          <w:color w:val="auto"/>
          <w:sz w:val="21"/>
          <w:szCs w:val="21"/>
          <w:highlight w:val="none"/>
        </w:rPr>
        <w:t>（盖章）：</w:t>
      </w:r>
      <w:r>
        <w:rPr>
          <w:rFonts w:hint="eastAsia" w:ascii="宋体" w:cs="宋体"/>
          <w:color w:val="auto"/>
          <w:sz w:val="21"/>
          <w:szCs w:val="21"/>
          <w:highlight w:val="none"/>
          <w:u w:val="single"/>
        </w:rPr>
        <w:t xml:space="preserve">                     </w:t>
      </w:r>
    </w:p>
    <w:p>
      <w:pPr>
        <w:pStyle w:val="100"/>
        <w:widowControl/>
        <w:snapToGrid w:val="0"/>
        <w:spacing w:before="156" w:line="336" w:lineRule="auto"/>
        <w:ind w:firstLine="4200" w:firstLineChars="2000"/>
        <w:rPr>
          <w:rFonts w:ascii="宋体" w:cs="宋体"/>
          <w:color w:val="auto"/>
          <w:sz w:val="21"/>
          <w:szCs w:val="21"/>
          <w:highlight w:val="none"/>
        </w:rPr>
      </w:pPr>
      <w:r>
        <w:rPr>
          <w:rFonts w:hint="eastAsia" w:ascii="宋体" w:cs="宋体"/>
          <w:color w:val="auto"/>
          <w:sz w:val="21"/>
          <w:szCs w:val="21"/>
          <w:highlight w:val="none"/>
        </w:rPr>
        <w:t>法定代表人或委托代理人</w:t>
      </w:r>
      <w:r>
        <w:rPr>
          <w:rFonts w:hint="eastAsia" w:ascii="宋体" w:hAnsi="宋体" w:cs="宋体"/>
          <w:color w:val="auto"/>
          <w:sz w:val="21"/>
          <w:szCs w:val="21"/>
          <w:highlight w:val="none"/>
        </w:rPr>
        <w:t>（签字</w:t>
      </w:r>
      <w:r>
        <w:rPr>
          <w:rFonts w:hint="eastAsia" w:ascii="宋体" w:hAnsi="宋体" w:cs="宋体"/>
          <w:color w:val="auto"/>
          <w:sz w:val="21"/>
          <w:szCs w:val="21"/>
          <w:highlight w:val="none"/>
          <w:lang w:val="en-US" w:eastAsia="zh-CN"/>
        </w:rPr>
        <w:t>或盖章</w:t>
      </w:r>
      <w:r>
        <w:rPr>
          <w:rFonts w:hint="eastAsia" w:ascii="宋体" w:hAnsi="宋体" w:cs="宋体"/>
          <w:color w:val="auto"/>
          <w:sz w:val="21"/>
          <w:szCs w:val="21"/>
          <w:highlight w:val="none"/>
        </w:rPr>
        <w:t>）</w:t>
      </w:r>
      <w:r>
        <w:rPr>
          <w:rFonts w:hint="eastAsia" w:ascii="宋体" w:cs="宋体"/>
          <w:color w:val="auto"/>
          <w:sz w:val="21"/>
          <w:szCs w:val="21"/>
          <w:highlight w:val="none"/>
        </w:rPr>
        <w:t>：</w:t>
      </w:r>
      <w:r>
        <w:rPr>
          <w:rFonts w:hint="eastAsia" w:ascii="宋体" w:cs="宋体"/>
          <w:color w:val="auto"/>
          <w:sz w:val="21"/>
          <w:szCs w:val="21"/>
          <w:highlight w:val="none"/>
          <w:u w:val="single"/>
        </w:rPr>
        <w:t xml:space="preserve">                   </w:t>
      </w:r>
    </w:p>
    <w:p>
      <w:pPr>
        <w:snapToGrid w:val="0"/>
        <w:spacing w:before="156" w:after="50" w:line="336" w:lineRule="auto"/>
        <w:ind w:firstLine="210" w:firstLineChars="100"/>
        <w:rPr>
          <w:rFonts w:ascii="宋体" w:cs="宋体"/>
          <w:color w:val="auto"/>
          <w:sz w:val="21"/>
          <w:szCs w:val="21"/>
          <w:highlight w:val="none"/>
        </w:rPr>
      </w:pPr>
      <w:r>
        <w:rPr>
          <w:rFonts w:hint="eastAsia" w:ascii="宋体" w:cs="宋体"/>
          <w:color w:val="auto"/>
          <w:sz w:val="21"/>
          <w:szCs w:val="21"/>
          <w:highlight w:val="none"/>
        </w:rPr>
        <w:t xml:space="preserve">                                                   年    月    日</w:t>
      </w:r>
    </w:p>
    <w:p>
      <w:pPr>
        <w:snapToGrid w:val="0"/>
        <w:jc w:val="center"/>
        <w:outlineLvl w:val="2"/>
        <w:rPr>
          <w:rFonts w:ascii="宋体" w:cs="宋体"/>
          <w:color w:val="auto"/>
          <w:sz w:val="21"/>
          <w:szCs w:val="21"/>
          <w:highlight w:val="none"/>
        </w:rPr>
      </w:pPr>
    </w:p>
    <w:p>
      <w:pPr>
        <w:pStyle w:val="36"/>
        <w:widowControl w:val="0"/>
        <w:spacing w:before="156" w:beforeAutospacing="0" w:after="156" w:afterAutospacing="0" w:line="400" w:lineRule="atLeast"/>
        <w:jc w:val="center"/>
        <w:rPr>
          <w:rFonts w:hint="eastAsia" w:cs="宋体"/>
          <w:b/>
          <w:color w:val="auto"/>
          <w:kern w:val="2"/>
          <w:sz w:val="32"/>
          <w:szCs w:val="32"/>
          <w:highlight w:val="none"/>
        </w:rPr>
      </w:pPr>
    </w:p>
    <w:p>
      <w:pPr>
        <w:pStyle w:val="36"/>
        <w:widowControl w:val="0"/>
        <w:spacing w:before="156" w:beforeAutospacing="0" w:after="156" w:afterAutospacing="0" w:line="400" w:lineRule="atLeast"/>
        <w:jc w:val="center"/>
        <w:rPr>
          <w:rFonts w:hint="eastAsia" w:cs="宋体"/>
          <w:b/>
          <w:color w:val="auto"/>
          <w:kern w:val="2"/>
          <w:sz w:val="32"/>
          <w:szCs w:val="32"/>
          <w:highlight w:val="none"/>
        </w:rPr>
      </w:pPr>
    </w:p>
    <w:p>
      <w:pPr>
        <w:pStyle w:val="36"/>
        <w:widowControl w:val="0"/>
        <w:spacing w:before="156" w:beforeAutospacing="0" w:after="156" w:afterAutospacing="0" w:line="400" w:lineRule="atLeast"/>
        <w:jc w:val="center"/>
        <w:rPr>
          <w:rFonts w:cs="宋体"/>
          <w:b/>
          <w:color w:val="auto"/>
          <w:sz w:val="32"/>
          <w:szCs w:val="32"/>
          <w:highlight w:val="none"/>
        </w:rPr>
      </w:pPr>
      <w:r>
        <w:rPr>
          <w:rFonts w:hint="eastAsia" w:cs="宋体"/>
          <w:b/>
          <w:color w:val="auto"/>
          <w:kern w:val="2"/>
          <w:sz w:val="32"/>
          <w:szCs w:val="32"/>
          <w:highlight w:val="none"/>
        </w:rPr>
        <w:t>采购需求偏离表</w:t>
      </w:r>
    </w:p>
    <w:p>
      <w:pPr>
        <w:jc w:val="center"/>
        <w:rPr>
          <w:rFonts w:ascii="宋体" w:cs="宋体"/>
          <w:b/>
          <w:color w:val="auto"/>
          <w:sz w:val="21"/>
          <w:szCs w:val="21"/>
          <w:highlight w:val="none"/>
          <w:u w:val="single"/>
        </w:rPr>
      </w:pPr>
    </w:p>
    <w:p>
      <w:pPr>
        <w:ind w:firstLine="420" w:firstLineChars="200"/>
        <w:rPr>
          <w:rFonts w:ascii="宋体" w:cs="宋体"/>
          <w:color w:val="auto"/>
          <w:sz w:val="21"/>
          <w:szCs w:val="21"/>
          <w:highlight w:val="none"/>
        </w:rPr>
      </w:pPr>
      <w:r>
        <w:rPr>
          <w:rFonts w:hint="eastAsia" w:ascii="宋体" w:cs="宋体"/>
          <w:color w:val="auto"/>
          <w:sz w:val="21"/>
          <w:szCs w:val="21"/>
          <w:highlight w:val="none"/>
        </w:rPr>
        <w:t>投标人名称（盖章）：                                        采购编号：</w:t>
      </w:r>
    </w:p>
    <w:tbl>
      <w:tblPr>
        <w:tblStyle w:val="39"/>
        <w:tblpPr w:leftFromText="180" w:rightFromText="180" w:vertAnchor="text" w:horzAnchor="page" w:tblpX="1651" w:tblpY="38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6"/>
        <w:gridCol w:w="1223"/>
        <w:gridCol w:w="2250"/>
        <w:gridCol w:w="2181"/>
        <w:gridCol w:w="1031"/>
        <w:gridCol w:w="778"/>
        <w:gridCol w:w="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62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cs="宋体"/>
                <w:b/>
                <w:color w:val="auto"/>
                <w:sz w:val="21"/>
                <w:szCs w:val="21"/>
                <w:highlight w:val="none"/>
              </w:rPr>
            </w:pPr>
            <w:r>
              <w:rPr>
                <w:rFonts w:hint="eastAsia" w:ascii="宋体" w:cs="宋体"/>
                <w:b/>
                <w:color w:val="auto"/>
                <w:sz w:val="21"/>
                <w:szCs w:val="21"/>
                <w:highlight w:val="none"/>
              </w:rPr>
              <w:t>序号</w:t>
            </w:r>
          </w:p>
        </w:tc>
        <w:tc>
          <w:tcPr>
            <w:tcW w:w="122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cs="宋体"/>
                <w:b/>
                <w:color w:val="auto"/>
                <w:sz w:val="21"/>
                <w:szCs w:val="21"/>
                <w:highlight w:val="none"/>
              </w:rPr>
            </w:pPr>
            <w:r>
              <w:rPr>
                <w:rFonts w:hint="eastAsia" w:ascii="宋体" w:cs="宋体"/>
                <w:b/>
                <w:color w:val="auto"/>
                <w:sz w:val="21"/>
                <w:szCs w:val="21"/>
                <w:highlight w:val="none"/>
              </w:rPr>
              <w:t>内容</w:t>
            </w:r>
          </w:p>
        </w:tc>
        <w:tc>
          <w:tcPr>
            <w:tcW w:w="225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cs="宋体"/>
                <w:b/>
                <w:color w:val="auto"/>
                <w:sz w:val="21"/>
                <w:szCs w:val="21"/>
                <w:highlight w:val="none"/>
              </w:rPr>
            </w:pPr>
            <w:r>
              <w:rPr>
                <w:rFonts w:hint="eastAsia" w:ascii="宋体" w:cs="宋体"/>
                <w:b/>
                <w:color w:val="auto"/>
                <w:sz w:val="21"/>
                <w:szCs w:val="21"/>
                <w:highlight w:val="none"/>
              </w:rPr>
              <w:t>采购文件规范要求</w:t>
            </w:r>
          </w:p>
        </w:tc>
        <w:tc>
          <w:tcPr>
            <w:tcW w:w="218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cs="宋体"/>
                <w:b/>
                <w:color w:val="auto"/>
                <w:sz w:val="21"/>
                <w:szCs w:val="21"/>
                <w:highlight w:val="none"/>
              </w:rPr>
            </w:pPr>
            <w:r>
              <w:rPr>
                <w:rFonts w:hint="eastAsia" w:ascii="宋体" w:cs="宋体"/>
                <w:b/>
                <w:color w:val="auto"/>
                <w:sz w:val="21"/>
                <w:szCs w:val="21"/>
                <w:highlight w:val="none"/>
              </w:rPr>
              <w:t>投标文件对应规范</w:t>
            </w:r>
          </w:p>
        </w:tc>
        <w:tc>
          <w:tcPr>
            <w:tcW w:w="103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cs="宋体"/>
                <w:b/>
                <w:color w:val="auto"/>
                <w:sz w:val="21"/>
                <w:szCs w:val="21"/>
                <w:highlight w:val="none"/>
              </w:rPr>
            </w:pPr>
            <w:r>
              <w:rPr>
                <w:rFonts w:hint="eastAsia" w:ascii="宋体" w:cs="宋体"/>
                <w:b/>
                <w:color w:val="auto"/>
                <w:sz w:val="21"/>
                <w:szCs w:val="21"/>
                <w:highlight w:val="none"/>
              </w:rPr>
              <w:t>是否</w:t>
            </w:r>
          </w:p>
          <w:p>
            <w:pPr>
              <w:jc w:val="center"/>
              <w:rPr>
                <w:rFonts w:ascii="宋体" w:cs="宋体"/>
                <w:b/>
                <w:color w:val="auto"/>
                <w:sz w:val="21"/>
                <w:szCs w:val="21"/>
                <w:highlight w:val="none"/>
              </w:rPr>
            </w:pPr>
            <w:r>
              <w:rPr>
                <w:rFonts w:hint="eastAsia" w:ascii="宋体" w:cs="宋体"/>
                <w:b/>
                <w:color w:val="auto"/>
                <w:sz w:val="21"/>
                <w:szCs w:val="21"/>
                <w:highlight w:val="none"/>
              </w:rPr>
              <w:t>响应</w:t>
            </w:r>
          </w:p>
        </w:tc>
        <w:tc>
          <w:tcPr>
            <w:tcW w:w="77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cs="宋体"/>
                <w:b/>
                <w:color w:val="auto"/>
                <w:sz w:val="21"/>
                <w:szCs w:val="21"/>
                <w:highlight w:val="none"/>
              </w:rPr>
            </w:pPr>
            <w:r>
              <w:rPr>
                <w:rFonts w:hint="eastAsia" w:ascii="宋体" w:cs="宋体"/>
                <w:b/>
                <w:color w:val="auto"/>
                <w:sz w:val="21"/>
                <w:szCs w:val="21"/>
                <w:highlight w:val="none"/>
              </w:rPr>
              <w:t>偏离</w:t>
            </w:r>
          </w:p>
        </w:tc>
        <w:tc>
          <w:tcPr>
            <w:tcW w:w="91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cs="宋体"/>
                <w:b/>
                <w:color w:val="auto"/>
                <w:sz w:val="21"/>
                <w:szCs w:val="21"/>
                <w:highlight w:val="none"/>
              </w:rPr>
            </w:pPr>
            <w:r>
              <w:rPr>
                <w:rFonts w:hint="eastAsia" w:ascii="宋体" w:cs="宋体"/>
                <w:b/>
                <w:color w:val="auto"/>
                <w:sz w:val="21"/>
                <w:szCs w:val="21"/>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626" w:type="dxa"/>
            <w:tcBorders>
              <w:top w:val="single" w:color="auto" w:sz="4" w:space="0"/>
              <w:left w:val="single" w:color="auto" w:sz="4" w:space="0"/>
              <w:bottom w:val="single" w:color="auto" w:sz="4" w:space="0"/>
              <w:right w:val="single" w:color="auto" w:sz="4" w:space="0"/>
            </w:tcBorders>
            <w:noWrap/>
            <w:vAlign w:val="top"/>
          </w:tcPr>
          <w:p>
            <w:pPr>
              <w:ind w:firstLine="420" w:firstLineChars="200"/>
              <w:rPr>
                <w:rFonts w:ascii="宋体" w:cs="宋体"/>
                <w:color w:val="auto"/>
                <w:sz w:val="21"/>
                <w:szCs w:val="21"/>
                <w:highlight w:val="none"/>
              </w:rPr>
            </w:pPr>
          </w:p>
        </w:tc>
        <w:tc>
          <w:tcPr>
            <w:tcW w:w="1223" w:type="dxa"/>
            <w:tcBorders>
              <w:top w:val="single" w:color="auto" w:sz="4" w:space="0"/>
              <w:left w:val="single" w:color="auto" w:sz="4" w:space="0"/>
              <w:bottom w:val="single" w:color="auto" w:sz="4" w:space="0"/>
              <w:right w:val="single" w:color="auto" w:sz="4" w:space="0"/>
            </w:tcBorders>
            <w:noWrap/>
            <w:vAlign w:val="top"/>
          </w:tcPr>
          <w:p>
            <w:pPr>
              <w:ind w:firstLine="420" w:firstLineChars="200"/>
              <w:rPr>
                <w:rFonts w:ascii="宋体" w:cs="宋体"/>
                <w:color w:val="auto"/>
                <w:sz w:val="21"/>
                <w:szCs w:val="21"/>
                <w:highlight w:val="none"/>
              </w:rPr>
            </w:pPr>
          </w:p>
        </w:tc>
        <w:tc>
          <w:tcPr>
            <w:tcW w:w="2250" w:type="dxa"/>
            <w:tcBorders>
              <w:top w:val="single" w:color="auto" w:sz="4" w:space="0"/>
              <w:left w:val="single" w:color="auto" w:sz="4" w:space="0"/>
              <w:bottom w:val="single" w:color="auto" w:sz="4" w:space="0"/>
              <w:right w:val="single" w:color="auto" w:sz="4" w:space="0"/>
            </w:tcBorders>
            <w:noWrap/>
            <w:vAlign w:val="top"/>
          </w:tcPr>
          <w:p>
            <w:pPr>
              <w:ind w:firstLine="420" w:firstLineChars="200"/>
              <w:rPr>
                <w:rFonts w:ascii="宋体" w:cs="宋体"/>
                <w:color w:val="auto"/>
                <w:sz w:val="21"/>
                <w:szCs w:val="21"/>
                <w:highlight w:val="none"/>
              </w:rPr>
            </w:pPr>
          </w:p>
        </w:tc>
        <w:tc>
          <w:tcPr>
            <w:tcW w:w="2181" w:type="dxa"/>
            <w:tcBorders>
              <w:top w:val="single" w:color="auto" w:sz="4" w:space="0"/>
              <w:left w:val="single" w:color="auto" w:sz="4" w:space="0"/>
              <w:bottom w:val="single" w:color="auto" w:sz="4" w:space="0"/>
              <w:right w:val="single" w:color="auto" w:sz="4" w:space="0"/>
            </w:tcBorders>
            <w:noWrap/>
            <w:vAlign w:val="top"/>
          </w:tcPr>
          <w:p>
            <w:pPr>
              <w:ind w:firstLine="420" w:firstLineChars="200"/>
              <w:rPr>
                <w:rFonts w:ascii="宋体" w:cs="宋体"/>
                <w:color w:val="auto"/>
                <w:sz w:val="21"/>
                <w:szCs w:val="21"/>
                <w:highlight w:val="none"/>
              </w:rPr>
            </w:pPr>
          </w:p>
        </w:tc>
        <w:tc>
          <w:tcPr>
            <w:tcW w:w="1031" w:type="dxa"/>
            <w:tcBorders>
              <w:top w:val="single" w:color="auto" w:sz="4" w:space="0"/>
              <w:left w:val="single" w:color="auto" w:sz="4" w:space="0"/>
              <w:bottom w:val="single" w:color="auto" w:sz="4" w:space="0"/>
              <w:right w:val="single" w:color="auto" w:sz="4" w:space="0"/>
            </w:tcBorders>
            <w:noWrap/>
            <w:vAlign w:val="top"/>
          </w:tcPr>
          <w:p>
            <w:pPr>
              <w:ind w:firstLine="420" w:firstLineChars="200"/>
              <w:rPr>
                <w:rFonts w:ascii="宋体" w:cs="宋体"/>
                <w:color w:val="auto"/>
                <w:sz w:val="21"/>
                <w:szCs w:val="21"/>
                <w:highlight w:val="none"/>
              </w:rPr>
            </w:pPr>
          </w:p>
        </w:tc>
        <w:tc>
          <w:tcPr>
            <w:tcW w:w="778" w:type="dxa"/>
            <w:tcBorders>
              <w:top w:val="single" w:color="auto" w:sz="4" w:space="0"/>
              <w:left w:val="single" w:color="auto" w:sz="4" w:space="0"/>
              <w:bottom w:val="single" w:color="auto" w:sz="4" w:space="0"/>
              <w:right w:val="single" w:color="auto" w:sz="4" w:space="0"/>
            </w:tcBorders>
            <w:noWrap/>
            <w:vAlign w:val="top"/>
          </w:tcPr>
          <w:p>
            <w:pPr>
              <w:ind w:firstLine="420" w:firstLineChars="200"/>
              <w:rPr>
                <w:rFonts w:ascii="宋体" w:cs="宋体"/>
                <w:color w:val="auto"/>
                <w:sz w:val="21"/>
                <w:szCs w:val="21"/>
                <w:highlight w:val="none"/>
              </w:rPr>
            </w:pPr>
          </w:p>
        </w:tc>
        <w:tc>
          <w:tcPr>
            <w:tcW w:w="914" w:type="dxa"/>
            <w:tcBorders>
              <w:top w:val="single" w:color="auto" w:sz="4" w:space="0"/>
              <w:left w:val="single" w:color="auto" w:sz="4" w:space="0"/>
              <w:bottom w:val="single" w:color="auto" w:sz="4" w:space="0"/>
              <w:right w:val="single" w:color="auto" w:sz="4" w:space="0"/>
            </w:tcBorders>
            <w:noWrap/>
            <w:vAlign w:val="top"/>
          </w:tcPr>
          <w:p>
            <w:pPr>
              <w:ind w:firstLine="420" w:firstLineChars="200"/>
              <w:rPr>
                <w:rFonts w:asci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626" w:type="dxa"/>
            <w:tcBorders>
              <w:top w:val="single" w:color="auto" w:sz="4" w:space="0"/>
              <w:left w:val="single" w:color="auto" w:sz="4" w:space="0"/>
              <w:bottom w:val="single" w:color="auto" w:sz="4" w:space="0"/>
              <w:right w:val="single" w:color="auto" w:sz="4" w:space="0"/>
            </w:tcBorders>
            <w:noWrap/>
            <w:vAlign w:val="top"/>
          </w:tcPr>
          <w:p>
            <w:pPr>
              <w:ind w:firstLine="420" w:firstLineChars="200"/>
              <w:rPr>
                <w:rFonts w:ascii="宋体" w:cs="宋体"/>
                <w:color w:val="auto"/>
                <w:sz w:val="21"/>
                <w:szCs w:val="21"/>
                <w:highlight w:val="none"/>
              </w:rPr>
            </w:pPr>
          </w:p>
        </w:tc>
        <w:tc>
          <w:tcPr>
            <w:tcW w:w="1223" w:type="dxa"/>
            <w:tcBorders>
              <w:top w:val="single" w:color="auto" w:sz="4" w:space="0"/>
              <w:left w:val="single" w:color="auto" w:sz="4" w:space="0"/>
              <w:bottom w:val="single" w:color="auto" w:sz="4" w:space="0"/>
              <w:right w:val="single" w:color="auto" w:sz="4" w:space="0"/>
            </w:tcBorders>
            <w:noWrap/>
            <w:vAlign w:val="top"/>
          </w:tcPr>
          <w:p>
            <w:pPr>
              <w:ind w:firstLine="420" w:firstLineChars="200"/>
              <w:rPr>
                <w:rFonts w:ascii="宋体" w:cs="宋体"/>
                <w:color w:val="auto"/>
                <w:sz w:val="21"/>
                <w:szCs w:val="21"/>
                <w:highlight w:val="none"/>
              </w:rPr>
            </w:pPr>
          </w:p>
        </w:tc>
        <w:tc>
          <w:tcPr>
            <w:tcW w:w="2250" w:type="dxa"/>
            <w:tcBorders>
              <w:top w:val="single" w:color="auto" w:sz="4" w:space="0"/>
              <w:left w:val="single" w:color="auto" w:sz="4" w:space="0"/>
              <w:bottom w:val="single" w:color="auto" w:sz="4" w:space="0"/>
              <w:right w:val="single" w:color="auto" w:sz="4" w:space="0"/>
            </w:tcBorders>
            <w:noWrap/>
            <w:vAlign w:val="top"/>
          </w:tcPr>
          <w:p>
            <w:pPr>
              <w:ind w:firstLine="420" w:firstLineChars="200"/>
              <w:rPr>
                <w:rFonts w:ascii="宋体" w:cs="宋体"/>
                <w:color w:val="auto"/>
                <w:sz w:val="21"/>
                <w:szCs w:val="21"/>
                <w:highlight w:val="none"/>
              </w:rPr>
            </w:pPr>
          </w:p>
        </w:tc>
        <w:tc>
          <w:tcPr>
            <w:tcW w:w="2181" w:type="dxa"/>
            <w:tcBorders>
              <w:top w:val="single" w:color="auto" w:sz="4" w:space="0"/>
              <w:left w:val="single" w:color="auto" w:sz="4" w:space="0"/>
              <w:bottom w:val="single" w:color="auto" w:sz="4" w:space="0"/>
              <w:right w:val="single" w:color="auto" w:sz="4" w:space="0"/>
            </w:tcBorders>
            <w:noWrap/>
            <w:vAlign w:val="top"/>
          </w:tcPr>
          <w:p>
            <w:pPr>
              <w:ind w:firstLine="420" w:firstLineChars="200"/>
              <w:rPr>
                <w:rFonts w:ascii="宋体" w:cs="宋体"/>
                <w:color w:val="auto"/>
                <w:sz w:val="21"/>
                <w:szCs w:val="21"/>
                <w:highlight w:val="none"/>
              </w:rPr>
            </w:pPr>
          </w:p>
        </w:tc>
        <w:tc>
          <w:tcPr>
            <w:tcW w:w="1031" w:type="dxa"/>
            <w:tcBorders>
              <w:top w:val="single" w:color="auto" w:sz="4" w:space="0"/>
              <w:left w:val="single" w:color="auto" w:sz="4" w:space="0"/>
              <w:bottom w:val="single" w:color="auto" w:sz="4" w:space="0"/>
              <w:right w:val="single" w:color="auto" w:sz="4" w:space="0"/>
            </w:tcBorders>
            <w:noWrap/>
            <w:vAlign w:val="top"/>
          </w:tcPr>
          <w:p>
            <w:pPr>
              <w:ind w:firstLine="420" w:firstLineChars="200"/>
              <w:rPr>
                <w:rFonts w:ascii="宋体" w:cs="宋体"/>
                <w:color w:val="auto"/>
                <w:sz w:val="21"/>
                <w:szCs w:val="21"/>
                <w:highlight w:val="none"/>
              </w:rPr>
            </w:pPr>
          </w:p>
        </w:tc>
        <w:tc>
          <w:tcPr>
            <w:tcW w:w="778" w:type="dxa"/>
            <w:tcBorders>
              <w:top w:val="single" w:color="auto" w:sz="4" w:space="0"/>
              <w:left w:val="single" w:color="auto" w:sz="4" w:space="0"/>
              <w:bottom w:val="single" w:color="auto" w:sz="4" w:space="0"/>
              <w:right w:val="single" w:color="auto" w:sz="4" w:space="0"/>
            </w:tcBorders>
            <w:noWrap/>
            <w:vAlign w:val="top"/>
          </w:tcPr>
          <w:p>
            <w:pPr>
              <w:ind w:firstLine="420" w:firstLineChars="200"/>
              <w:rPr>
                <w:rFonts w:ascii="宋体" w:cs="宋体"/>
                <w:color w:val="auto"/>
                <w:sz w:val="21"/>
                <w:szCs w:val="21"/>
                <w:highlight w:val="none"/>
              </w:rPr>
            </w:pPr>
          </w:p>
        </w:tc>
        <w:tc>
          <w:tcPr>
            <w:tcW w:w="914" w:type="dxa"/>
            <w:tcBorders>
              <w:top w:val="single" w:color="auto" w:sz="4" w:space="0"/>
              <w:left w:val="single" w:color="auto" w:sz="4" w:space="0"/>
              <w:bottom w:val="single" w:color="auto" w:sz="4" w:space="0"/>
              <w:right w:val="single" w:color="auto" w:sz="4" w:space="0"/>
            </w:tcBorders>
            <w:noWrap/>
            <w:vAlign w:val="top"/>
          </w:tcPr>
          <w:p>
            <w:pPr>
              <w:ind w:firstLine="420" w:firstLineChars="200"/>
              <w:rPr>
                <w:rFonts w:asci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626" w:type="dxa"/>
            <w:tcBorders>
              <w:top w:val="single" w:color="auto" w:sz="4" w:space="0"/>
              <w:left w:val="single" w:color="auto" w:sz="4" w:space="0"/>
              <w:bottom w:val="single" w:color="auto" w:sz="4" w:space="0"/>
              <w:right w:val="single" w:color="auto" w:sz="4" w:space="0"/>
            </w:tcBorders>
            <w:noWrap/>
            <w:vAlign w:val="top"/>
          </w:tcPr>
          <w:p>
            <w:pPr>
              <w:ind w:firstLine="420" w:firstLineChars="200"/>
              <w:rPr>
                <w:rFonts w:ascii="宋体" w:cs="宋体"/>
                <w:color w:val="auto"/>
                <w:sz w:val="21"/>
                <w:szCs w:val="21"/>
                <w:highlight w:val="none"/>
              </w:rPr>
            </w:pPr>
          </w:p>
        </w:tc>
        <w:tc>
          <w:tcPr>
            <w:tcW w:w="1223" w:type="dxa"/>
            <w:tcBorders>
              <w:top w:val="single" w:color="auto" w:sz="4" w:space="0"/>
              <w:left w:val="single" w:color="auto" w:sz="4" w:space="0"/>
              <w:bottom w:val="single" w:color="auto" w:sz="4" w:space="0"/>
              <w:right w:val="single" w:color="auto" w:sz="4" w:space="0"/>
            </w:tcBorders>
            <w:noWrap/>
            <w:vAlign w:val="top"/>
          </w:tcPr>
          <w:p>
            <w:pPr>
              <w:ind w:firstLine="420" w:firstLineChars="200"/>
              <w:rPr>
                <w:rFonts w:ascii="宋体" w:cs="宋体"/>
                <w:color w:val="auto"/>
                <w:sz w:val="21"/>
                <w:szCs w:val="21"/>
                <w:highlight w:val="none"/>
              </w:rPr>
            </w:pPr>
          </w:p>
        </w:tc>
        <w:tc>
          <w:tcPr>
            <w:tcW w:w="2250" w:type="dxa"/>
            <w:tcBorders>
              <w:top w:val="single" w:color="auto" w:sz="4" w:space="0"/>
              <w:left w:val="single" w:color="auto" w:sz="4" w:space="0"/>
              <w:bottom w:val="single" w:color="auto" w:sz="4" w:space="0"/>
              <w:right w:val="single" w:color="auto" w:sz="4" w:space="0"/>
            </w:tcBorders>
            <w:noWrap/>
            <w:vAlign w:val="top"/>
          </w:tcPr>
          <w:p>
            <w:pPr>
              <w:ind w:firstLine="420" w:firstLineChars="200"/>
              <w:rPr>
                <w:rFonts w:ascii="宋体" w:cs="宋体"/>
                <w:color w:val="auto"/>
                <w:sz w:val="21"/>
                <w:szCs w:val="21"/>
                <w:highlight w:val="none"/>
              </w:rPr>
            </w:pPr>
          </w:p>
        </w:tc>
        <w:tc>
          <w:tcPr>
            <w:tcW w:w="2181" w:type="dxa"/>
            <w:tcBorders>
              <w:top w:val="single" w:color="auto" w:sz="4" w:space="0"/>
              <w:left w:val="single" w:color="auto" w:sz="4" w:space="0"/>
              <w:bottom w:val="single" w:color="auto" w:sz="4" w:space="0"/>
              <w:right w:val="single" w:color="auto" w:sz="4" w:space="0"/>
            </w:tcBorders>
            <w:noWrap/>
            <w:vAlign w:val="top"/>
          </w:tcPr>
          <w:p>
            <w:pPr>
              <w:ind w:firstLine="420" w:firstLineChars="200"/>
              <w:rPr>
                <w:rFonts w:ascii="宋体" w:cs="宋体"/>
                <w:color w:val="auto"/>
                <w:sz w:val="21"/>
                <w:szCs w:val="21"/>
                <w:highlight w:val="none"/>
              </w:rPr>
            </w:pPr>
          </w:p>
        </w:tc>
        <w:tc>
          <w:tcPr>
            <w:tcW w:w="1031" w:type="dxa"/>
            <w:tcBorders>
              <w:top w:val="single" w:color="auto" w:sz="4" w:space="0"/>
              <w:left w:val="single" w:color="auto" w:sz="4" w:space="0"/>
              <w:bottom w:val="single" w:color="auto" w:sz="4" w:space="0"/>
              <w:right w:val="single" w:color="auto" w:sz="4" w:space="0"/>
            </w:tcBorders>
            <w:noWrap/>
            <w:vAlign w:val="top"/>
          </w:tcPr>
          <w:p>
            <w:pPr>
              <w:ind w:firstLine="420" w:firstLineChars="200"/>
              <w:rPr>
                <w:rFonts w:ascii="宋体" w:cs="宋体"/>
                <w:color w:val="auto"/>
                <w:sz w:val="21"/>
                <w:szCs w:val="21"/>
                <w:highlight w:val="none"/>
              </w:rPr>
            </w:pPr>
          </w:p>
        </w:tc>
        <w:tc>
          <w:tcPr>
            <w:tcW w:w="778" w:type="dxa"/>
            <w:tcBorders>
              <w:top w:val="single" w:color="auto" w:sz="4" w:space="0"/>
              <w:left w:val="single" w:color="auto" w:sz="4" w:space="0"/>
              <w:bottom w:val="single" w:color="auto" w:sz="4" w:space="0"/>
              <w:right w:val="single" w:color="auto" w:sz="4" w:space="0"/>
            </w:tcBorders>
            <w:noWrap/>
            <w:vAlign w:val="top"/>
          </w:tcPr>
          <w:p>
            <w:pPr>
              <w:ind w:firstLine="420" w:firstLineChars="200"/>
              <w:rPr>
                <w:rFonts w:ascii="宋体" w:cs="宋体"/>
                <w:color w:val="auto"/>
                <w:sz w:val="21"/>
                <w:szCs w:val="21"/>
                <w:highlight w:val="none"/>
              </w:rPr>
            </w:pPr>
          </w:p>
        </w:tc>
        <w:tc>
          <w:tcPr>
            <w:tcW w:w="914" w:type="dxa"/>
            <w:tcBorders>
              <w:top w:val="single" w:color="auto" w:sz="4" w:space="0"/>
              <w:left w:val="single" w:color="auto" w:sz="4" w:space="0"/>
              <w:bottom w:val="single" w:color="auto" w:sz="4" w:space="0"/>
              <w:right w:val="single" w:color="auto" w:sz="4" w:space="0"/>
            </w:tcBorders>
            <w:noWrap/>
            <w:vAlign w:val="top"/>
          </w:tcPr>
          <w:p>
            <w:pPr>
              <w:ind w:firstLine="420" w:firstLineChars="200"/>
              <w:rPr>
                <w:rFonts w:asci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626" w:type="dxa"/>
            <w:tcBorders>
              <w:top w:val="single" w:color="auto" w:sz="4" w:space="0"/>
              <w:left w:val="single" w:color="auto" w:sz="4" w:space="0"/>
              <w:bottom w:val="single" w:color="auto" w:sz="4" w:space="0"/>
              <w:right w:val="single" w:color="auto" w:sz="4" w:space="0"/>
            </w:tcBorders>
            <w:noWrap/>
            <w:vAlign w:val="top"/>
          </w:tcPr>
          <w:p>
            <w:pPr>
              <w:ind w:firstLine="420" w:firstLineChars="200"/>
              <w:rPr>
                <w:rFonts w:ascii="宋体" w:cs="宋体"/>
                <w:color w:val="auto"/>
                <w:sz w:val="21"/>
                <w:szCs w:val="21"/>
                <w:highlight w:val="none"/>
              </w:rPr>
            </w:pPr>
          </w:p>
        </w:tc>
        <w:tc>
          <w:tcPr>
            <w:tcW w:w="1223" w:type="dxa"/>
            <w:tcBorders>
              <w:top w:val="single" w:color="auto" w:sz="4" w:space="0"/>
              <w:left w:val="single" w:color="auto" w:sz="4" w:space="0"/>
              <w:bottom w:val="single" w:color="auto" w:sz="4" w:space="0"/>
              <w:right w:val="single" w:color="auto" w:sz="4" w:space="0"/>
            </w:tcBorders>
            <w:noWrap/>
            <w:vAlign w:val="top"/>
          </w:tcPr>
          <w:p>
            <w:pPr>
              <w:ind w:firstLine="420" w:firstLineChars="200"/>
              <w:rPr>
                <w:rFonts w:ascii="宋体" w:cs="宋体"/>
                <w:color w:val="auto"/>
                <w:sz w:val="21"/>
                <w:szCs w:val="21"/>
                <w:highlight w:val="none"/>
              </w:rPr>
            </w:pPr>
          </w:p>
        </w:tc>
        <w:tc>
          <w:tcPr>
            <w:tcW w:w="2250" w:type="dxa"/>
            <w:tcBorders>
              <w:top w:val="single" w:color="auto" w:sz="4" w:space="0"/>
              <w:left w:val="single" w:color="auto" w:sz="4" w:space="0"/>
              <w:bottom w:val="single" w:color="auto" w:sz="4" w:space="0"/>
              <w:right w:val="single" w:color="auto" w:sz="4" w:space="0"/>
            </w:tcBorders>
            <w:noWrap/>
            <w:vAlign w:val="top"/>
          </w:tcPr>
          <w:p>
            <w:pPr>
              <w:ind w:firstLine="420" w:firstLineChars="200"/>
              <w:rPr>
                <w:rFonts w:ascii="宋体" w:cs="宋体"/>
                <w:color w:val="auto"/>
                <w:sz w:val="21"/>
                <w:szCs w:val="21"/>
                <w:highlight w:val="none"/>
              </w:rPr>
            </w:pPr>
          </w:p>
        </w:tc>
        <w:tc>
          <w:tcPr>
            <w:tcW w:w="2181" w:type="dxa"/>
            <w:tcBorders>
              <w:top w:val="single" w:color="auto" w:sz="4" w:space="0"/>
              <w:left w:val="single" w:color="auto" w:sz="4" w:space="0"/>
              <w:bottom w:val="single" w:color="auto" w:sz="4" w:space="0"/>
              <w:right w:val="single" w:color="auto" w:sz="4" w:space="0"/>
            </w:tcBorders>
            <w:noWrap/>
            <w:vAlign w:val="top"/>
          </w:tcPr>
          <w:p>
            <w:pPr>
              <w:ind w:firstLine="420" w:firstLineChars="200"/>
              <w:rPr>
                <w:rFonts w:ascii="宋体" w:cs="宋体"/>
                <w:color w:val="auto"/>
                <w:sz w:val="21"/>
                <w:szCs w:val="21"/>
                <w:highlight w:val="none"/>
              </w:rPr>
            </w:pPr>
          </w:p>
        </w:tc>
        <w:tc>
          <w:tcPr>
            <w:tcW w:w="1031" w:type="dxa"/>
            <w:tcBorders>
              <w:top w:val="single" w:color="auto" w:sz="4" w:space="0"/>
              <w:left w:val="single" w:color="auto" w:sz="4" w:space="0"/>
              <w:bottom w:val="single" w:color="auto" w:sz="4" w:space="0"/>
              <w:right w:val="single" w:color="auto" w:sz="4" w:space="0"/>
            </w:tcBorders>
            <w:noWrap/>
            <w:vAlign w:val="top"/>
          </w:tcPr>
          <w:p>
            <w:pPr>
              <w:ind w:firstLine="420" w:firstLineChars="200"/>
              <w:rPr>
                <w:rFonts w:ascii="宋体" w:cs="宋体"/>
                <w:color w:val="auto"/>
                <w:sz w:val="21"/>
                <w:szCs w:val="21"/>
                <w:highlight w:val="none"/>
              </w:rPr>
            </w:pPr>
          </w:p>
        </w:tc>
        <w:tc>
          <w:tcPr>
            <w:tcW w:w="778" w:type="dxa"/>
            <w:tcBorders>
              <w:top w:val="single" w:color="auto" w:sz="4" w:space="0"/>
              <w:left w:val="single" w:color="auto" w:sz="4" w:space="0"/>
              <w:bottom w:val="single" w:color="auto" w:sz="4" w:space="0"/>
              <w:right w:val="single" w:color="auto" w:sz="4" w:space="0"/>
            </w:tcBorders>
            <w:noWrap/>
            <w:vAlign w:val="top"/>
          </w:tcPr>
          <w:p>
            <w:pPr>
              <w:ind w:firstLine="420" w:firstLineChars="200"/>
              <w:rPr>
                <w:rFonts w:ascii="宋体" w:cs="宋体"/>
                <w:color w:val="auto"/>
                <w:sz w:val="21"/>
                <w:szCs w:val="21"/>
                <w:highlight w:val="none"/>
              </w:rPr>
            </w:pPr>
          </w:p>
        </w:tc>
        <w:tc>
          <w:tcPr>
            <w:tcW w:w="914" w:type="dxa"/>
            <w:tcBorders>
              <w:top w:val="single" w:color="auto" w:sz="4" w:space="0"/>
              <w:left w:val="single" w:color="auto" w:sz="4" w:space="0"/>
              <w:bottom w:val="single" w:color="auto" w:sz="4" w:space="0"/>
              <w:right w:val="single" w:color="auto" w:sz="4" w:space="0"/>
            </w:tcBorders>
            <w:noWrap/>
            <w:vAlign w:val="top"/>
          </w:tcPr>
          <w:p>
            <w:pPr>
              <w:ind w:firstLine="420" w:firstLineChars="200"/>
              <w:rPr>
                <w:rFonts w:asci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626" w:type="dxa"/>
            <w:tcBorders>
              <w:top w:val="single" w:color="auto" w:sz="4" w:space="0"/>
              <w:left w:val="single" w:color="auto" w:sz="4" w:space="0"/>
              <w:bottom w:val="single" w:color="auto" w:sz="4" w:space="0"/>
              <w:right w:val="single" w:color="auto" w:sz="4" w:space="0"/>
            </w:tcBorders>
            <w:noWrap/>
            <w:vAlign w:val="top"/>
          </w:tcPr>
          <w:p>
            <w:pPr>
              <w:ind w:firstLine="420" w:firstLineChars="200"/>
              <w:rPr>
                <w:rFonts w:ascii="宋体" w:cs="宋体"/>
                <w:color w:val="auto"/>
                <w:sz w:val="21"/>
                <w:szCs w:val="21"/>
                <w:highlight w:val="none"/>
              </w:rPr>
            </w:pPr>
          </w:p>
        </w:tc>
        <w:tc>
          <w:tcPr>
            <w:tcW w:w="1223" w:type="dxa"/>
            <w:tcBorders>
              <w:top w:val="single" w:color="auto" w:sz="4" w:space="0"/>
              <w:left w:val="single" w:color="auto" w:sz="4" w:space="0"/>
              <w:bottom w:val="single" w:color="auto" w:sz="4" w:space="0"/>
              <w:right w:val="single" w:color="auto" w:sz="4" w:space="0"/>
            </w:tcBorders>
            <w:noWrap/>
            <w:vAlign w:val="top"/>
          </w:tcPr>
          <w:p>
            <w:pPr>
              <w:ind w:firstLine="420" w:firstLineChars="200"/>
              <w:rPr>
                <w:rFonts w:ascii="宋体" w:cs="宋体"/>
                <w:color w:val="auto"/>
                <w:sz w:val="21"/>
                <w:szCs w:val="21"/>
                <w:highlight w:val="none"/>
              </w:rPr>
            </w:pPr>
          </w:p>
        </w:tc>
        <w:tc>
          <w:tcPr>
            <w:tcW w:w="2250" w:type="dxa"/>
            <w:tcBorders>
              <w:top w:val="single" w:color="auto" w:sz="4" w:space="0"/>
              <w:left w:val="single" w:color="auto" w:sz="4" w:space="0"/>
              <w:bottom w:val="single" w:color="auto" w:sz="4" w:space="0"/>
              <w:right w:val="single" w:color="auto" w:sz="4" w:space="0"/>
            </w:tcBorders>
            <w:noWrap/>
            <w:vAlign w:val="top"/>
          </w:tcPr>
          <w:p>
            <w:pPr>
              <w:ind w:firstLine="420" w:firstLineChars="200"/>
              <w:rPr>
                <w:rFonts w:ascii="宋体" w:cs="宋体"/>
                <w:color w:val="auto"/>
                <w:sz w:val="21"/>
                <w:szCs w:val="21"/>
                <w:highlight w:val="none"/>
              </w:rPr>
            </w:pPr>
          </w:p>
        </w:tc>
        <w:tc>
          <w:tcPr>
            <w:tcW w:w="2181" w:type="dxa"/>
            <w:tcBorders>
              <w:top w:val="single" w:color="auto" w:sz="4" w:space="0"/>
              <w:left w:val="single" w:color="auto" w:sz="4" w:space="0"/>
              <w:bottom w:val="single" w:color="auto" w:sz="4" w:space="0"/>
              <w:right w:val="single" w:color="auto" w:sz="4" w:space="0"/>
            </w:tcBorders>
            <w:noWrap/>
            <w:vAlign w:val="top"/>
          </w:tcPr>
          <w:p>
            <w:pPr>
              <w:ind w:firstLine="420" w:firstLineChars="200"/>
              <w:rPr>
                <w:rFonts w:ascii="宋体" w:cs="宋体"/>
                <w:color w:val="auto"/>
                <w:sz w:val="21"/>
                <w:szCs w:val="21"/>
                <w:highlight w:val="none"/>
              </w:rPr>
            </w:pPr>
          </w:p>
        </w:tc>
        <w:tc>
          <w:tcPr>
            <w:tcW w:w="1031" w:type="dxa"/>
            <w:tcBorders>
              <w:top w:val="single" w:color="auto" w:sz="4" w:space="0"/>
              <w:left w:val="single" w:color="auto" w:sz="4" w:space="0"/>
              <w:bottom w:val="single" w:color="auto" w:sz="4" w:space="0"/>
              <w:right w:val="single" w:color="auto" w:sz="4" w:space="0"/>
            </w:tcBorders>
            <w:noWrap/>
            <w:vAlign w:val="top"/>
          </w:tcPr>
          <w:p>
            <w:pPr>
              <w:ind w:firstLine="420" w:firstLineChars="200"/>
              <w:rPr>
                <w:rFonts w:ascii="宋体" w:cs="宋体"/>
                <w:color w:val="auto"/>
                <w:sz w:val="21"/>
                <w:szCs w:val="21"/>
                <w:highlight w:val="none"/>
              </w:rPr>
            </w:pPr>
          </w:p>
        </w:tc>
        <w:tc>
          <w:tcPr>
            <w:tcW w:w="778" w:type="dxa"/>
            <w:tcBorders>
              <w:top w:val="single" w:color="auto" w:sz="4" w:space="0"/>
              <w:left w:val="single" w:color="auto" w:sz="4" w:space="0"/>
              <w:bottom w:val="single" w:color="auto" w:sz="4" w:space="0"/>
              <w:right w:val="single" w:color="auto" w:sz="4" w:space="0"/>
            </w:tcBorders>
            <w:noWrap/>
            <w:vAlign w:val="top"/>
          </w:tcPr>
          <w:p>
            <w:pPr>
              <w:ind w:firstLine="420" w:firstLineChars="200"/>
              <w:rPr>
                <w:rFonts w:ascii="宋体" w:cs="宋体"/>
                <w:color w:val="auto"/>
                <w:sz w:val="21"/>
                <w:szCs w:val="21"/>
                <w:highlight w:val="none"/>
              </w:rPr>
            </w:pPr>
          </w:p>
        </w:tc>
        <w:tc>
          <w:tcPr>
            <w:tcW w:w="914" w:type="dxa"/>
            <w:tcBorders>
              <w:top w:val="single" w:color="auto" w:sz="4" w:space="0"/>
              <w:left w:val="single" w:color="auto" w:sz="4" w:space="0"/>
              <w:bottom w:val="single" w:color="auto" w:sz="4" w:space="0"/>
              <w:right w:val="single" w:color="auto" w:sz="4" w:space="0"/>
            </w:tcBorders>
            <w:noWrap/>
            <w:vAlign w:val="top"/>
          </w:tcPr>
          <w:p>
            <w:pPr>
              <w:ind w:firstLine="420" w:firstLineChars="200"/>
              <w:rPr>
                <w:rFonts w:asci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626" w:type="dxa"/>
            <w:tcBorders>
              <w:top w:val="single" w:color="auto" w:sz="4" w:space="0"/>
              <w:left w:val="single" w:color="auto" w:sz="4" w:space="0"/>
              <w:bottom w:val="single" w:color="auto" w:sz="4" w:space="0"/>
              <w:right w:val="single" w:color="auto" w:sz="4" w:space="0"/>
            </w:tcBorders>
            <w:noWrap/>
            <w:vAlign w:val="top"/>
          </w:tcPr>
          <w:p>
            <w:pPr>
              <w:ind w:firstLine="420" w:firstLineChars="200"/>
              <w:rPr>
                <w:rFonts w:ascii="宋体" w:cs="宋体"/>
                <w:color w:val="auto"/>
                <w:sz w:val="21"/>
                <w:szCs w:val="21"/>
                <w:highlight w:val="none"/>
              </w:rPr>
            </w:pPr>
          </w:p>
        </w:tc>
        <w:tc>
          <w:tcPr>
            <w:tcW w:w="1223" w:type="dxa"/>
            <w:tcBorders>
              <w:top w:val="single" w:color="auto" w:sz="4" w:space="0"/>
              <w:left w:val="single" w:color="auto" w:sz="4" w:space="0"/>
              <w:bottom w:val="single" w:color="auto" w:sz="4" w:space="0"/>
              <w:right w:val="single" w:color="auto" w:sz="4" w:space="0"/>
            </w:tcBorders>
            <w:noWrap/>
            <w:vAlign w:val="top"/>
          </w:tcPr>
          <w:p>
            <w:pPr>
              <w:ind w:firstLine="420" w:firstLineChars="200"/>
              <w:rPr>
                <w:rFonts w:ascii="宋体" w:cs="宋体"/>
                <w:color w:val="auto"/>
                <w:sz w:val="21"/>
                <w:szCs w:val="21"/>
                <w:highlight w:val="none"/>
              </w:rPr>
            </w:pPr>
          </w:p>
        </w:tc>
        <w:tc>
          <w:tcPr>
            <w:tcW w:w="2250" w:type="dxa"/>
            <w:tcBorders>
              <w:top w:val="single" w:color="auto" w:sz="4" w:space="0"/>
              <w:left w:val="single" w:color="auto" w:sz="4" w:space="0"/>
              <w:bottom w:val="single" w:color="auto" w:sz="4" w:space="0"/>
              <w:right w:val="single" w:color="auto" w:sz="4" w:space="0"/>
            </w:tcBorders>
            <w:noWrap/>
            <w:vAlign w:val="top"/>
          </w:tcPr>
          <w:p>
            <w:pPr>
              <w:ind w:firstLine="420" w:firstLineChars="200"/>
              <w:rPr>
                <w:rFonts w:ascii="宋体" w:cs="宋体"/>
                <w:color w:val="auto"/>
                <w:sz w:val="21"/>
                <w:szCs w:val="21"/>
                <w:highlight w:val="none"/>
              </w:rPr>
            </w:pPr>
          </w:p>
        </w:tc>
        <w:tc>
          <w:tcPr>
            <w:tcW w:w="2181" w:type="dxa"/>
            <w:tcBorders>
              <w:top w:val="single" w:color="auto" w:sz="4" w:space="0"/>
              <w:left w:val="single" w:color="auto" w:sz="4" w:space="0"/>
              <w:bottom w:val="single" w:color="auto" w:sz="4" w:space="0"/>
              <w:right w:val="single" w:color="auto" w:sz="4" w:space="0"/>
            </w:tcBorders>
            <w:noWrap/>
            <w:vAlign w:val="top"/>
          </w:tcPr>
          <w:p>
            <w:pPr>
              <w:ind w:firstLine="420" w:firstLineChars="200"/>
              <w:rPr>
                <w:rFonts w:ascii="宋体" w:cs="宋体"/>
                <w:color w:val="auto"/>
                <w:sz w:val="21"/>
                <w:szCs w:val="21"/>
                <w:highlight w:val="none"/>
              </w:rPr>
            </w:pPr>
          </w:p>
        </w:tc>
        <w:tc>
          <w:tcPr>
            <w:tcW w:w="1031" w:type="dxa"/>
            <w:tcBorders>
              <w:top w:val="single" w:color="auto" w:sz="4" w:space="0"/>
              <w:left w:val="single" w:color="auto" w:sz="4" w:space="0"/>
              <w:bottom w:val="single" w:color="auto" w:sz="4" w:space="0"/>
              <w:right w:val="single" w:color="auto" w:sz="4" w:space="0"/>
            </w:tcBorders>
            <w:noWrap/>
            <w:vAlign w:val="top"/>
          </w:tcPr>
          <w:p>
            <w:pPr>
              <w:ind w:firstLine="420" w:firstLineChars="200"/>
              <w:rPr>
                <w:rFonts w:ascii="宋体" w:cs="宋体"/>
                <w:color w:val="auto"/>
                <w:sz w:val="21"/>
                <w:szCs w:val="21"/>
                <w:highlight w:val="none"/>
              </w:rPr>
            </w:pPr>
          </w:p>
        </w:tc>
        <w:tc>
          <w:tcPr>
            <w:tcW w:w="778" w:type="dxa"/>
            <w:tcBorders>
              <w:top w:val="single" w:color="auto" w:sz="4" w:space="0"/>
              <w:left w:val="single" w:color="auto" w:sz="4" w:space="0"/>
              <w:bottom w:val="single" w:color="auto" w:sz="4" w:space="0"/>
              <w:right w:val="single" w:color="auto" w:sz="4" w:space="0"/>
            </w:tcBorders>
            <w:noWrap/>
            <w:vAlign w:val="top"/>
          </w:tcPr>
          <w:p>
            <w:pPr>
              <w:ind w:firstLine="420" w:firstLineChars="200"/>
              <w:rPr>
                <w:rFonts w:ascii="宋体" w:cs="宋体"/>
                <w:color w:val="auto"/>
                <w:sz w:val="21"/>
                <w:szCs w:val="21"/>
                <w:highlight w:val="none"/>
              </w:rPr>
            </w:pPr>
          </w:p>
        </w:tc>
        <w:tc>
          <w:tcPr>
            <w:tcW w:w="914" w:type="dxa"/>
            <w:tcBorders>
              <w:top w:val="single" w:color="auto" w:sz="4" w:space="0"/>
              <w:left w:val="single" w:color="auto" w:sz="4" w:space="0"/>
              <w:bottom w:val="single" w:color="auto" w:sz="4" w:space="0"/>
              <w:right w:val="single" w:color="auto" w:sz="4" w:space="0"/>
            </w:tcBorders>
            <w:noWrap/>
            <w:vAlign w:val="top"/>
          </w:tcPr>
          <w:p>
            <w:pPr>
              <w:ind w:firstLine="420" w:firstLineChars="200"/>
              <w:rPr>
                <w:rFonts w:asci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626" w:type="dxa"/>
            <w:tcBorders>
              <w:top w:val="single" w:color="auto" w:sz="4" w:space="0"/>
              <w:left w:val="single" w:color="auto" w:sz="4" w:space="0"/>
              <w:bottom w:val="single" w:color="auto" w:sz="4" w:space="0"/>
              <w:right w:val="single" w:color="auto" w:sz="4" w:space="0"/>
            </w:tcBorders>
            <w:noWrap/>
            <w:vAlign w:val="top"/>
          </w:tcPr>
          <w:p>
            <w:pPr>
              <w:ind w:firstLine="420" w:firstLineChars="200"/>
              <w:rPr>
                <w:rFonts w:ascii="宋体" w:cs="宋体"/>
                <w:color w:val="auto"/>
                <w:sz w:val="21"/>
                <w:szCs w:val="21"/>
                <w:highlight w:val="none"/>
              </w:rPr>
            </w:pPr>
          </w:p>
        </w:tc>
        <w:tc>
          <w:tcPr>
            <w:tcW w:w="1223" w:type="dxa"/>
            <w:tcBorders>
              <w:top w:val="single" w:color="auto" w:sz="4" w:space="0"/>
              <w:left w:val="single" w:color="auto" w:sz="4" w:space="0"/>
              <w:bottom w:val="single" w:color="auto" w:sz="4" w:space="0"/>
              <w:right w:val="single" w:color="auto" w:sz="4" w:space="0"/>
            </w:tcBorders>
            <w:noWrap/>
            <w:vAlign w:val="top"/>
          </w:tcPr>
          <w:p>
            <w:pPr>
              <w:ind w:firstLine="420" w:firstLineChars="200"/>
              <w:rPr>
                <w:rFonts w:ascii="宋体" w:cs="宋体"/>
                <w:color w:val="auto"/>
                <w:sz w:val="21"/>
                <w:szCs w:val="21"/>
                <w:highlight w:val="none"/>
              </w:rPr>
            </w:pPr>
          </w:p>
        </w:tc>
        <w:tc>
          <w:tcPr>
            <w:tcW w:w="2250" w:type="dxa"/>
            <w:tcBorders>
              <w:top w:val="single" w:color="auto" w:sz="4" w:space="0"/>
              <w:left w:val="single" w:color="auto" w:sz="4" w:space="0"/>
              <w:bottom w:val="single" w:color="auto" w:sz="4" w:space="0"/>
              <w:right w:val="single" w:color="auto" w:sz="4" w:space="0"/>
            </w:tcBorders>
            <w:noWrap/>
            <w:vAlign w:val="top"/>
          </w:tcPr>
          <w:p>
            <w:pPr>
              <w:ind w:firstLine="420" w:firstLineChars="200"/>
              <w:rPr>
                <w:rFonts w:ascii="宋体" w:cs="宋体"/>
                <w:color w:val="auto"/>
                <w:sz w:val="21"/>
                <w:szCs w:val="21"/>
                <w:highlight w:val="none"/>
              </w:rPr>
            </w:pPr>
          </w:p>
        </w:tc>
        <w:tc>
          <w:tcPr>
            <w:tcW w:w="2181" w:type="dxa"/>
            <w:tcBorders>
              <w:top w:val="single" w:color="auto" w:sz="4" w:space="0"/>
              <w:left w:val="single" w:color="auto" w:sz="4" w:space="0"/>
              <w:bottom w:val="single" w:color="auto" w:sz="4" w:space="0"/>
              <w:right w:val="single" w:color="auto" w:sz="4" w:space="0"/>
            </w:tcBorders>
            <w:noWrap/>
            <w:vAlign w:val="top"/>
          </w:tcPr>
          <w:p>
            <w:pPr>
              <w:ind w:firstLine="420" w:firstLineChars="200"/>
              <w:rPr>
                <w:rFonts w:ascii="宋体" w:cs="宋体"/>
                <w:color w:val="auto"/>
                <w:sz w:val="21"/>
                <w:szCs w:val="21"/>
                <w:highlight w:val="none"/>
              </w:rPr>
            </w:pPr>
          </w:p>
        </w:tc>
        <w:tc>
          <w:tcPr>
            <w:tcW w:w="1031" w:type="dxa"/>
            <w:tcBorders>
              <w:top w:val="single" w:color="auto" w:sz="4" w:space="0"/>
              <w:left w:val="single" w:color="auto" w:sz="4" w:space="0"/>
              <w:bottom w:val="single" w:color="auto" w:sz="4" w:space="0"/>
              <w:right w:val="single" w:color="auto" w:sz="4" w:space="0"/>
            </w:tcBorders>
            <w:noWrap/>
            <w:vAlign w:val="top"/>
          </w:tcPr>
          <w:p>
            <w:pPr>
              <w:ind w:firstLine="420" w:firstLineChars="200"/>
              <w:rPr>
                <w:rFonts w:ascii="宋体" w:cs="宋体"/>
                <w:color w:val="auto"/>
                <w:sz w:val="21"/>
                <w:szCs w:val="21"/>
                <w:highlight w:val="none"/>
              </w:rPr>
            </w:pPr>
          </w:p>
        </w:tc>
        <w:tc>
          <w:tcPr>
            <w:tcW w:w="778" w:type="dxa"/>
            <w:tcBorders>
              <w:top w:val="single" w:color="auto" w:sz="4" w:space="0"/>
              <w:left w:val="single" w:color="auto" w:sz="4" w:space="0"/>
              <w:bottom w:val="single" w:color="auto" w:sz="4" w:space="0"/>
              <w:right w:val="single" w:color="auto" w:sz="4" w:space="0"/>
            </w:tcBorders>
            <w:noWrap/>
            <w:vAlign w:val="top"/>
          </w:tcPr>
          <w:p>
            <w:pPr>
              <w:ind w:firstLine="420" w:firstLineChars="200"/>
              <w:rPr>
                <w:rFonts w:ascii="宋体" w:cs="宋体"/>
                <w:color w:val="auto"/>
                <w:sz w:val="21"/>
                <w:szCs w:val="21"/>
                <w:highlight w:val="none"/>
              </w:rPr>
            </w:pPr>
          </w:p>
        </w:tc>
        <w:tc>
          <w:tcPr>
            <w:tcW w:w="914" w:type="dxa"/>
            <w:tcBorders>
              <w:top w:val="single" w:color="auto" w:sz="4" w:space="0"/>
              <w:left w:val="single" w:color="auto" w:sz="4" w:space="0"/>
              <w:bottom w:val="single" w:color="auto" w:sz="4" w:space="0"/>
              <w:right w:val="single" w:color="auto" w:sz="4" w:space="0"/>
            </w:tcBorders>
            <w:noWrap/>
            <w:vAlign w:val="top"/>
          </w:tcPr>
          <w:p>
            <w:pPr>
              <w:ind w:firstLine="420" w:firstLineChars="200"/>
              <w:rPr>
                <w:rFonts w:asci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626" w:type="dxa"/>
            <w:tcBorders>
              <w:top w:val="single" w:color="auto" w:sz="4" w:space="0"/>
              <w:left w:val="single" w:color="auto" w:sz="4" w:space="0"/>
              <w:bottom w:val="single" w:color="auto" w:sz="4" w:space="0"/>
              <w:right w:val="single" w:color="auto" w:sz="4" w:space="0"/>
            </w:tcBorders>
            <w:noWrap/>
            <w:vAlign w:val="top"/>
          </w:tcPr>
          <w:p>
            <w:pPr>
              <w:ind w:firstLine="420" w:firstLineChars="200"/>
              <w:rPr>
                <w:rFonts w:ascii="宋体" w:cs="宋体"/>
                <w:color w:val="auto"/>
                <w:sz w:val="21"/>
                <w:szCs w:val="21"/>
                <w:highlight w:val="none"/>
              </w:rPr>
            </w:pPr>
          </w:p>
        </w:tc>
        <w:tc>
          <w:tcPr>
            <w:tcW w:w="1223" w:type="dxa"/>
            <w:tcBorders>
              <w:top w:val="single" w:color="auto" w:sz="4" w:space="0"/>
              <w:left w:val="single" w:color="auto" w:sz="4" w:space="0"/>
              <w:bottom w:val="single" w:color="auto" w:sz="4" w:space="0"/>
              <w:right w:val="single" w:color="auto" w:sz="4" w:space="0"/>
            </w:tcBorders>
            <w:noWrap/>
            <w:vAlign w:val="top"/>
          </w:tcPr>
          <w:p>
            <w:pPr>
              <w:ind w:firstLine="420" w:firstLineChars="200"/>
              <w:rPr>
                <w:rFonts w:ascii="宋体" w:cs="宋体"/>
                <w:color w:val="auto"/>
                <w:sz w:val="21"/>
                <w:szCs w:val="21"/>
                <w:highlight w:val="none"/>
              </w:rPr>
            </w:pPr>
          </w:p>
        </w:tc>
        <w:tc>
          <w:tcPr>
            <w:tcW w:w="2250" w:type="dxa"/>
            <w:tcBorders>
              <w:top w:val="single" w:color="auto" w:sz="4" w:space="0"/>
              <w:left w:val="single" w:color="auto" w:sz="4" w:space="0"/>
              <w:bottom w:val="single" w:color="auto" w:sz="4" w:space="0"/>
              <w:right w:val="single" w:color="auto" w:sz="4" w:space="0"/>
            </w:tcBorders>
            <w:noWrap/>
            <w:vAlign w:val="top"/>
          </w:tcPr>
          <w:p>
            <w:pPr>
              <w:ind w:firstLine="420" w:firstLineChars="200"/>
              <w:rPr>
                <w:rFonts w:ascii="宋体" w:cs="宋体"/>
                <w:color w:val="auto"/>
                <w:sz w:val="21"/>
                <w:szCs w:val="21"/>
                <w:highlight w:val="none"/>
              </w:rPr>
            </w:pPr>
          </w:p>
        </w:tc>
        <w:tc>
          <w:tcPr>
            <w:tcW w:w="2181" w:type="dxa"/>
            <w:tcBorders>
              <w:top w:val="single" w:color="auto" w:sz="4" w:space="0"/>
              <w:left w:val="single" w:color="auto" w:sz="4" w:space="0"/>
              <w:bottom w:val="single" w:color="auto" w:sz="4" w:space="0"/>
              <w:right w:val="single" w:color="auto" w:sz="4" w:space="0"/>
            </w:tcBorders>
            <w:noWrap/>
            <w:vAlign w:val="top"/>
          </w:tcPr>
          <w:p>
            <w:pPr>
              <w:ind w:firstLine="420" w:firstLineChars="200"/>
              <w:rPr>
                <w:rFonts w:ascii="宋体" w:cs="宋体"/>
                <w:color w:val="auto"/>
                <w:sz w:val="21"/>
                <w:szCs w:val="21"/>
                <w:highlight w:val="none"/>
              </w:rPr>
            </w:pPr>
          </w:p>
        </w:tc>
        <w:tc>
          <w:tcPr>
            <w:tcW w:w="1031" w:type="dxa"/>
            <w:tcBorders>
              <w:top w:val="single" w:color="auto" w:sz="4" w:space="0"/>
              <w:left w:val="single" w:color="auto" w:sz="4" w:space="0"/>
              <w:bottom w:val="single" w:color="auto" w:sz="4" w:space="0"/>
              <w:right w:val="single" w:color="auto" w:sz="4" w:space="0"/>
            </w:tcBorders>
            <w:noWrap/>
            <w:vAlign w:val="top"/>
          </w:tcPr>
          <w:p>
            <w:pPr>
              <w:ind w:firstLine="420" w:firstLineChars="200"/>
              <w:rPr>
                <w:rFonts w:ascii="宋体" w:cs="宋体"/>
                <w:color w:val="auto"/>
                <w:sz w:val="21"/>
                <w:szCs w:val="21"/>
                <w:highlight w:val="none"/>
              </w:rPr>
            </w:pPr>
          </w:p>
        </w:tc>
        <w:tc>
          <w:tcPr>
            <w:tcW w:w="778" w:type="dxa"/>
            <w:tcBorders>
              <w:top w:val="single" w:color="auto" w:sz="4" w:space="0"/>
              <w:left w:val="single" w:color="auto" w:sz="4" w:space="0"/>
              <w:bottom w:val="single" w:color="auto" w:sz="4" w:space="0"/>
              <w:right w:val="single" w:color="auto" w:sz="4" w:space="0"/>
            </w:tcBorders>
            <w:noWrap/>
            <w:vAlign w:val="top"/>
          </w:tcPr>
          <w:p>
            <w:pPr>
              <w:ind w:firstLine="420" w:firstLineChars="200"/>
              <w:rPr>
                <w:rFonts w:ascii="宋体" w:cs="宋体"/>
                <w:color w:val="auto"/>
                <w:sz w:val="21"/>
                <w:szCs w:val="21"/>
                <w:highlight w:val="none"/>
              </w:rPr>
            </w:pPr>
          </w:p>
        </w:tc>
        <w:tc>
          <w:tcPr>
            <w:tcW w:w="914" w:type="dxa"/>
            <w:tcBorders>
              <w:top w:val="single" w:color="auto" w:sz="4" w:space="0"/>
              <w:left w:val="single" w:color="auto" w:sz="4" w:space="0"/>
              <w:bottom w:val="single" w:color="auto" w:sz="4" w:space="0"/>
              <w:right w:val="single" w:color="auto" w:sz="4" w:space="0"/>
            </w:tcBorders>
            <w:noWrap/>
            <w:vAlign w:val="top"/>
          </w:tcPr>
          <w:p>
            <w:pPr>
              <w:ind w:firstLine="420" w:firstLineChars="200"/>
              <w:rPr>
                <w:rFonts w:asci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626" w:type="dxa"/>
            <w:tcBorders>
              <w:top w:val="single" w:color="auto" w:sz="4" w:space="0"/>
              <w:left w:val="single" w:color="auto" w:sz="4" w:space="0"/>
              <w:bottom w:val="single" w:color="auto" w:sz="4" w:space="0"/>
              <w:right w:val="single" w:color="auto" w:sz="4" w:space="0"/>
            </w:tcBorders>
            <w:noWrap/>
            <w:vAlign w:val="top"/>
          </w:tcPr>
          <w:p>
            <w:pPr>
              <w:ind w:firstLine="420" w:firstLineChars="200"/>
              <w:rPr>
                <w:rFonts w:ascii="宋体" w:cs="宋体"/>
                <w:color w:val="auto"/>
                <w:sz w:val="21"/>
                <w:szCs w:val="21"/>
                <w:highlight w:val="none"/>
              </w:rPr>
            </w:pPr>
          </w:p>
        </w:tc>
        <w:tc>
          <w:tcPr>
            <w:tcW w:w="1223" w:type="dxa"/>
            <w:tcBorders>
              <w:top w:val="single" w:color="auto" w:sz="4" w:space="0"/>
              <w:left w:val="single" w:color="auto" w:sz="4" w:space="0"/>
              <w:bottom w:val="single" w:color="auto" w:sz="4" w:space="0"/>
              <w:right w:val="single" w:color="auto" w:sz="4" w:space="0"/>
            </w:tcBorders>
            <w:noWrap/>
            <w:vAlign w:val="top"/>
          </w:tcPr>
          <w:p>
            <w:pPr>
              <w:ind w:firstLine="420" w:firstLineChars="200"/>
              <w:rPr>
                <w:rFonts w:ascii="宋体" w:cs="宋体"/>
                <w:color w:val="auto"/>
                <w:sz w:val="21"/>
                <w:szCs w:val="21"/>
                <w:highlight w:val="none"/>
              </w:rPr>
            </w:pPr>
          </w:p>
        </w:tc>
        <w:tc>
          <w:tcPr>
            <w:tcW w:w="2250" w:type="dxa"/>
            <w:tcBorders>
              <w:top w:val="single" w:color="auto" w:sz="4" w:space="0"/>
              <w:left w:val="single" w:color="auto" w:sz="4" w:space="0"/>
              <w:bottom w:val="single" w:color="auto" w:sz="4" w:space="0"/>
              <w:right w:val="single" w:color="auto" w:sz="4" w:space="0"/>
            </w:tcBorders>
            <w:noWrap/>
            <w:vAlign w:val="top"/>
          </w:tcPr>
          <w:p>
            <w:pPr>
              <w:ind w:firstLine="420" w:firstLineChars="200"/>
              <w:rPr>
                <w:rFonts w:ascii="宋体" w:cs="宋体"/>
                <w:color w:val="auto"/>
                <w:sz w:val="21"/>
                <w:szCs w:val="21"/>
                <w:highlight w:val="none"/>
              </w:rPr>
            </w:pPr>
          </w:p>
        </w:tc>
        <w:tc>
          <w:tcPr>
            <w:tcW w:w="2181" w:type="dxa"/>
            <w:tcBorders>
              <w:top w:val="single" w:color="auto" w:sz="4" w:space="0"/>
              <w:left w:val="single" w:color="auto" w:sz="4" w:space="0"/>
              <w:bottom w:val="single" w:color="auto" w:sz="4" w:space="0"/>
              <w:right w:val="single" w:color="auto" w:sz="4" w:space="0"/>
            </w:tcBorders>
            <w:noWrap/>
            <w:vAlign w:val="top"/>
          </w:tcPr>
          <w:p>
            <w:pPr>
              <w:ind w:firstLine="420" w:firstLineChars="200"/>
              <w:rPr>
                <w:rFonts w:ascii="宋体" w:cs="宋体"/>
                <w:color w:val="auto"/>
                <w:sz w:val="21"/>
                <w:szCs w:val="21"/>
                <w:highlight w:val="none"/>
              </w:rPr>
            </w:pPr>
          </w:p>
        </w:tc>
        <w:tc>
          <w:tcPr>
            <w:tcW w:w="1031" w:type="dxa"/>
            <w:tcBorders>
              <w:top w:val="single" w:color="auto" w:sz="4" w:space="0"/>
              <w:left w:val="single" w:color="auto" w:sz="4" w:space="0"/>
              <w:bottom w:val="single" w:color="auto" w:sz="4" w:space="0"/>
              <w:right w:val="single" w:color="auto" w:sz="4" w:space="0"/>
            </w:tcBorders>
            <w:noWrap/>
            <w:vAlign w:val="top"/>
          </w:tcPr>
          <w:p>
            <w:pPr>
              <w:ind w:firstLine="420" w:firstLineChars="200"/>
              <w:rPr>
                <w:rFonts w:ascii="宋体" w:cs="宋体"/>
                <w:color w:val="auto"/>
                <w:sz w:val="21"/>
                <w:szCs w:val="21"/>
                <w:highlight w:val="none"/>
              </w:rPr>
            </w:pPr>
          </w:p>
        </w:tc>
        <w:tc>
          <w:tcPr>
            <w:tcW w:w="778" w:type="dxa"/>
            <w:tcBorders>
              <w:top w:val="single" w:color="auto" w:sz="4" w:space="0"/>
              <w:left w:val="single" w:color="auto" w:sz="4" w:space="0"/>
              <w:bottom w:val="single" w:color="auto" w:sz="4" w:space="0"/>
              <w:right w:val="single" w:color="auto" w:sz="4" w:space="0"/>
            </w:tcBorders>
            <w:noWrap/>
            <w:vAlign w:val="top"/>
          </w:tcPr>
          <w:p>
            <w:pPr>
              <w:ind w:firstLine="420" w:firstLineChars="200"/>
              <w:rPr>
                <w:rFonts w:ascii="宋体" w:cs="宋体"/>
                <w:color w:val="auto"/>
                <w:sz w:val="21"/>
                <w:szCs w:val="21"/>
                <w:highlight w:val="none"/>
              </w:rPr>
            </w:pPr>
          </w:p>
        </w:tc>
        <w:tc>
          <w:tcPr>
            <w:tcW w:w="914" w:type="dxa"/>
            <w:tcBorders>
              <w:top w:val="single" w:color="auto" w:sz="4" w:space="0"/>
              <w:left w:val="single" w:color="auto" w:sz="4" w:space="0"/>
              <w:bottom w:val="single" w:color="auto" w:sz="4" w:space="0"/>
              <w:right w:val="single" w:color="auto" w:sz="4" w:space="0"/>
            </w:tcBorders>
            <w:noWrap/>
            <w:vAlign w:val="top"/>
          </w:tcPr>
          <w:p>
            <w:pPr>
              <w:ind w:firstLine="420" w:firstLineChars="200"/>
              <w:rPr>
                <w:rFonts w:asci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626" w:type="dxa"/>
            <w:tcBorders>
              <w:top w:val="single" w:color="auto" w:sz="4" w:space="0"/>
              <w:left w:val="single" w:color="auto" w:sz="4" w:space="0"/>
              <w:bottom w:val="single" w:color="auto" w:sz="4" w:space="0"/>
              <w:right w:val="single" w:color="auto" w:sz="4" w:space="0"/>
            </w:tcBorders>
            <w:noWrap/>
            <w:vAlign w:val="top"/>
          </w:tcPr>
          <w:p>
            <w:pPr>
              <w:ind w:firstLine="420" w:firstLineChars="200"/>
              <w:rPr>
                <w:rFonts w:ascii="宋体" w:cs="宋体"/>
                <w:color w:val="auto"/>
                <w:sz w:val="21"/>
                <w:szCs w:val="21"/>
                <w:highlight w:val="none"/>
              </w:rPr>
            </w:pPr>
          </w:p>
        </w:tc>
        <w:tc>
          <w:tcPr>
            <w:tcW w:w="1223" w:type="dxa"/>
            <w:tcBorders>
              <w:top w:val="single" w:color="auto" w:sz="4" w:space="0"/>
              <w:left w:val="single" w:color="auto" w:sz="4" w:space="0"/>
              <w:bottom w:val="single" w:color="auto" w:sz="4" w:space="0"/>
              <w:right w:val="single" w:color="auto" w:sz="4" w:space="0"/>
            </w:tcBorders>
            <w:noWrap/>
            <w:vAlign w:val="top"/>
          </w:tcPr>
          <w:p>
            <w:pPr>
              <w:ind w:firstLine="420" w:firstLineChars="200"/>
              <w:rPr>
                <w:rFonts w:ascii="宋体" w:cs="宋体"/>
                <w:color w:val="auto"/>
                <w:sz w:val="21"/>
                <w:szCs w:val="21"/>
                <w:highlight w:val="none"/>
              </w:rPr>
            </w:pPr>
          </w:p>
        </w:tc>
        <w:tc>
          <w:tcPr>
            <w:tcW w:w="2250" w:type="dxa"/>
            <w:tcBorders>
              <w:top w:val="single" w:color="auto" w:sz="4" w:space="0"/>
              <w:left w:val="single" w:color="auto" w:sz="4" w:space="0"/>
              <w:bottom w:val="single" w:color="auto" w:sz="4" w:space="0"/>
              <w:right w:val="single" w:color="auto" w:sz="4" w:space="0"/>
            </w:tcBorders>
            <w:noWrap/>
            <w:vAlign w:val="top"/>
          </w:tcPr>
          <w:p>
            <w:pPr>
              <w:ind w:firstLine="420" w:firstLineChars="200"/>
              <w:rPr>
                <w:rFonts w:ascii="宋体" w:cs="宋体"/>
                <w:color w:val="auto"/>
                <w:sz w:val="21"/>
                <w:szCs w:val="21"/>
                <w:highlight w:val="none"/>
              </w:rPr>
            </w:pPr>
          </w:p>
        </w:tc>
        <w:tc>
          <w:tcPr>
            <w:tcW w:w="2181" w:type="dxa"/>
            <w:tcBorders>
              <w:top w:val="single" w:color="auto" w:sz="4" w:space="0"/>
              <w:left w:val="single" w:color="auto" w:sz="4" w:space="0"/>
              <w:bottom w:val="single" w:color="auto" w:sz="4" w:space="0"/>
              <w:right w:val="single" w:color="auto" w:sz="4" w:space="0"/>
            </w:tcBorders>
            <w:noWrap/>
            <w:vAlign w:val="top"/>
          </w:tcPr>
          <w:p>
            <w:pPr>
              <w:ind w:firstLine="420" w:firstLineChars="200"/>
              <w:rPr>
                <w:rFonts w:ascii="宋体" w:cs="宋体"/>
                <w:color w:val="auto"/>
                <w:sz w:val="21"/>
                <w:szCs w:val="21"/>
                <w:highlight w:val="none"/>
              </w:rPr>
            </w:pPr>
          </w:p>
        </w:tc>
        <w:tc>
          <w:tcPr>
            <w:tcW w:w="1031" w:type="dxa"/>
            <w:tcBorders>
              <w:top w:val="single" w:color="auto" w:sz="4" w:space="0"/>
              <w:left w:val="single" w:color="auto" w:sz="4" w:space="0"/>
              <w:bottom w:val="single" w:color="auto" w:sz="4" w:space="0"/>
              <w:right w:val="single" w:color="auto" w:sz="4" w:space="0"/>
            </w:tcBorders>
            <w:noWrap/>
            <w:vAlign w:val="top"/>
          </w:tcPr>
          <w:p>
            <w:pPr>
              <w:ind w:firstLine="420" w:firstLineChars="200"/>
              <w:rPr>
                <w:rFonts w:ascii="宋体" w:cs="宋体"/>
                <w:color w:val="auto"/>
                <w:sz w:val="21"/>
                <w:szCs w:val="21"/>
                <w:highlight w:val="none"/>
              </w:rPr>
            </w:pPr>
          </w:p>
        </w:tc>
        <w:tc>
          <w:tcPr>
            <w:tcW w:w="778" w:type="dxa"/>
            <w:tcBorders>
              <w:top w:val="single" w:color="auto" w:sz="4" w:space="0"/>
              <w:left w:val="single" w:color="auto" w:sz="4" w:space="0"/>
              <w:bottom w:val="single" w:color="auto" w:sz="4" w:space="0"/>
              <w:right w:val="single" w:color="auto" w:sz="4" w:space="0"/>
            </w:tcBorders>
            <w:noWrap/>
            <w:vAlign w:val="top"/>
          </w:tcPr>
          <w:p>
            <w:pPr>
              <w:ind w:firstLine="420" w:firstLineChars="200"/>
              <w:rPr>
                <w:rFonts w:ascii="宋体" w:cs="宋体"/>
                <w:color w:val="auto"/>
                <w:sz w:val="21"/>
                <w:szCs w:val="21"/>
                <w:highlight w:val="none"/>
              </w:rPr>
            </w:pPr>
          </w:p>
        </w:tc>
        <w:tc>
          <w:tcPr>
            <w:tcW w:w="914" w:type="dxa"/>
            <w:tcBorders>
              <w:top w:val="single" w:color="auto" w:sz="4" w:space="0"/>
              <w:left w:val="single" w:color="auto" w:sz="4" w:space="0"/>
              <w:bottom w:val="single" w:color="auto" w:sz="4" w:space="0"/>
              <w:right w:val="single" w:color="auto" w:sz="4" w:space="0"/>
            </w:tcBorders>
            <w:noWrap/>
            <w:vAlign w:val="top"/>
          </w:tcPr>
          <w:p>
            <w:pPr>
              <w:ind w:firstLine="420" w:firstLineChars="200"/>
              <w:rPr>
                <w:rFonts w:asci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626" w:type="dxa"/>
            <w:tcBorders>
              <w:top w:val="single" w:color="auto" w:sz="4" w:space="0"/>
              <w:left w:val="single" w:color="auto" w:sz="4" w:space="0"/>
              <w:bottom w:val="single" w:color="auto" w:sz="4" w:space="0"/>
              <w:right w:val="single" w:color="auto" w:sz="4" w:space="0"/>
            </w:tcBorders>
            <w:noWrap/>
            <w:vAlign w:val="top"/>
          </w:tcPr>
          <w:p>
            <w:pPr>
              <w:ind w:firstLine="420" w:firstLineChars="200"/>
              <w:rPr>
                <w:rFonts w:ascii="宋体" w:cs="宋体"/>
                <w:color w:val="auto"/>
                <w:sz w:val="21"/>
                <w:szCs w:val="21"/>
                <w:highlight w:val="none"/>
              </w:rPr>
            </w:pPr>
          </w:p>
        </w:tc>
        <w:tc>
          <w:tcPr>
            <w:tcW w:w="1223" w:type="dxa"/>
            <w:tcBorders>
              <w:top w:val="single" w:color="auto" w:sz="4" w:space="0"/>
              <w:left w:val="single" w:color="auto" w:sz="4" w:space="0"/>
              <w:bottom w:val="single" w:color="auto" w:sz="4" w:space="0"/>
              <w:right w:val="single" w:color="auto" w:sz="4" w:space="0"/>
            </w:tcBorders>
            <w:noWrap/>
            <w:vAlign w:val="top"/>
          </w:tcPr>
          <w:p>
            <w:pPr>
              <w:ind w:firstLine="420" w:firstLineChars="200"/>
              <w:rPr>
                <w:rFonts w:ascii="宋体" w:cs="宋体"/>
                <w:color w:val="auto"/>
                <w:sz w:val="21"/>
                <w:szCs w:val="21"/>
                <w:highlight w:val="none"/>
              </w:rPr>
            </w:pPr>
          </w:p>
        </w:tc>
        <w:tc>
          <w:tcPr>
            <w:tcW w:w="2250" w:type="dxa"/>
            <w:tcBorders>
              <w:top w:val="single" w:color="auto" w:sz="4" w:space="0"/>
              <w:left w:val="single" w:color="auto" w:sz="4" w:space="0"/>
              <w:bottom w:val="single" w:color="auto" w:sz="4" w:space="0"/>
              <w:right w:val="single" w:color="auto" w:sz="4" w:space="0"/>
            </w:tcBorders>
            <w:noWrap/>
            <w:vAlign w:val="top"/>
          </w:tcPr>
          <w:p>
            <w:pPr>
              <w:ind w:firstLine="420" w:firstLineChars="200"/>
              <w:rPr>
                <w:rFonts w:ascii="宋体" w:cs="宋体"/>
                <w:color w:val="auto"/>
                <w:sz w:val="21"/>
                <w:szCs w:val="21"/>
                <w:highlight w:val="none"/>
              </w:rPr>
            </w:pPr>
          </w:p>
        </w:tc>
        <w:tc>
          <w:tcPr>
            <w:tcW w:w="2181" w:type="dxa"/>
            <w:tcBorders>
              <w:top w:val="single" w:color="auto" w:sz="4" w:space="0"/>
              <w:left w:val="single" w:color="auto" w:sz="4" w:space="0"/>
              <w:bottom w:val="single" w:color="auto" w:sz="4" w:space="0"/>
              <w:right w:val="single" w:color="auto" w:sz="4" w:space="0"/>
            </w:tcBorders>
            <w:noWrap/>
            <w:vAlign w:val="top"/>
          </w:tcPr>
          <w:p>
            <w:pPr>
              <w:ind w:firstLine="420" w:firstLineChars="200"/>
              <w:rPr>
                <w:rFonts w:ascii="宋体" w:cs="宋体"/>
                <w:color w:val="auto"/>
                <w:sz w:val="21"/>
                <w:szCs w:val="21"/>
                <w:highlight w:val="none"/>
              </w:rPr>
            </w:pPr>
          </w:p>
        </w:tc>
        <w:tc>
          <w:tcPr>
            <w:tcW w:w="1031" w:type="dxa"/>
            <w:tcBorders>
              <w:top w:val="single" w:color="auto" w:sz="4" w:space="0"/>
              <w:left w:val="single" w:color="auto" w:sz="4" w:space="0"/>
              <w:bottom w:val="single" w:color="auto" w:sz="4" w:space="0"/>
              <w:right w:val="single" w:color="auto" w:sz="4" w:space="0"/>
            </w:tcBorders>
            <w:noWrap/>
            <w:vAlign w:val="top"/>
          </w:tcPr>
          <w:p>
            <w:pPr>
              <w:ind w:firstLine="420" w:firstLineChars="200"/>
              <w:rPr>
                <w:rFonts w:ascii="宋体" w:cs="宋体"/>
                <w:color w:val="auto"/>
                <w:sz w:val="21"/>
                <w:szCs w:val="21"/>
                <w:highlight w:val="none"/>
              </w:rPr>
            </w:pPr>
          </w:p>
        </w:tc>
        <w:tc>
          <w:tcPr>
            <w:tcW w:w="778" w:type="dxa"/>
            <w:tcBorders>
              <w:top w:val="single" w:color="auto" w:sz="4" w:space="0"/>
              <w:left w:val="single" w:color="auto" w:sz="4" w:space="0"/>
              <w:bottom w:val="single" w:color="auto" w:sz="4" w:space="0"/>
              <w:right w:val="single" w:color="auto" w:sz="4" w:space="0"/>
            </w:tcBorders>
            <w:noWrap/>
            <w:vAlign w:val="top"/>
          </w:tcPr>
          <w:p>
            <w:pPr>
              <w:ind w:firstLine="420" w:firstLineChars="200"/>
              <w:rPr>
                <w:rFonts w:ascii="宋体" w:cs="宋体"/>
                <w:color w:val="auto"/>
                <w:sz w:val="21"/>
                <w:szCs w:val="21"/>
                <w:highlight w:val="none"/>
              </w:rPr>
            </w:pPr>
          </w:p>
        </w:tc>
        <w:tc>
          <w:tcPr>
            <w:tcW w:w="914" w:type="dxa"/>
            <w:tcBorders>
              <w:top w:val="single" w:color="auto" w:sz="4" w:space="0"/>
              <w:left w:val="single" w:color="auto" w:sz="4" w:space="0"/>
              <w:bottom w:val="single" w:color="auto" w:sz="4" w:space="0"/>
              <w:right w:val="single" w:color="auto" w:sz="4" w:space="0"/>
            </w:tcBorders>
            <w:noWrap/>
            <w:vAlign w:val="top"/>
          </w:tcPr>
          <w:p>
            <w:pPr>
              <w:ind w:firstLine="420" w:firstLineChars="200"/>
              <w:rPr>
                <w:rFonts w:asci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626" w:type="dxa"/>
            <w:tcBorders>
              <w:top w:val="single" w:color="auto" w:sz="4" w:space="0"/>
              <w:left w:val="single" w:color="auto" w:sz="4" w:space="0"/>
              <w:bottom w:val="single" w:color="auto" w:sz="4" w:space="0"/>
              <w:right w:val="single" w:color="auto" w:sz="4" w:space="0"/>
            </w:tcBorders>
            <w:noWrap/>
            <w:vAlign w:val="top"/>
          </w:tcPr>
          <w:p>
            <w:pPr>
              <w:ind w:firstLine="420" w:firstLineChars="200"/>
              <w:rPr>
                <w:rFonts w:ascii="宋体" w:cs="宋体"/>
                <w:color w:val="auto"/>
                <w:sz w:val="21"/>
                <w:szCs w:val="21"/>
                <w:highlight w:val="none"/>
              </w:rPr>
            </w:pPr>
          </w:p>
        </w:tc>
        <w:tc>
          <w:tcPr>
            <w:tcW w:w="1223" w:type="dxa"/>
            <w:tcBorders>
              <w:top w:val="single" w:color="auto" w:sz="4" w:space="0"/>
              <w:left w:val="single" w:color="auto" w:sz="4" w:space="0"/>
              <w:bottom w:val="single" w:color="auto" w:sz="4" w:space="0"/>
              <w:right w:val="single" w:color="auto" w:sz="4" w:space="0"/>
            </w:tcBorders>
            <w:noWrap/>
            <w:vAlign w:val="top"/>
          </w:tcPr>
          <w:p>
            <w:pPr>
              <w:ind w:firstLine="420" w:firstLineChars="200"/>
              <w:rPr>
                <w:rFonts w:ascii="宋体" w:cs="宋体"/>
                <w:color w:val="auto"/>
                <w:sz w:val="21"/>
                <w:szCs w:val="21"/>
                <w:highlight w:val="none"/>
              </w:rPr>
            </w:pPr>
          </w:p>
        </w:tc>
        <w:tc>
          <w:tcPr>
            <w:tcW w:w="2250" w:type="dxa"/>
            <w:tcBorders>
              <w:top w:val="single" w:color="auto" w:sz="4" w:space="0"/>
              <w:left w:val="single" w:color="auto" w:sz="4" w:space="0"/>
              <w:bottom w:val="single" w:color="auto" w:sz="4" w:space="0"/>
              <w:right w:val="single" w:color="auto" w:sz="4" w:space="0"/>
            </w:tcBorders>
            <w:noWrap/>
            <w:vAlign w:val="top"/>
          </w:tcPr>
          <w:p>
            <w:pPr>
              <w:ind w:firstLine="420" w:firstLineChars="200"/>
              <w:rPr>
                <w:rFonts w:ascii="宋体" w:cs="宋体"/>
                <w:color w:val="auto"/>
                <w:sz w:val="21"/>
                <w:szCs w:val="21"/>
                <w:highlight w:val="none"/>
              </w:rPr>
            </w:pPr>
          </w:p>
        </w:tc>
        <w:tc>
          <w:tcPr>
            <w:tcW w:w="2181" w:type="dxa"/>
            <w:tcBorders>
              <w:top w:val="single" w:color="auto" w:sz="4" w:space="0"/>
              <w:left w:val="single" w:color="auto" w:sz="4" w:space="0"/>
              <w:bottom w:val="single" w:color="auto" w:sz="4" w:space="0"/>
              <w:right w:val="single" w:color="auto" w:sz="4" w:space="0"/>
            </w:tcBorders>
            <w:noWrap/>
            <w:vAlign w:val="top"/>
          </w:tcPr>
          <w:p>
            <w:pPr>
              <w:ind w:firstLine="420" w:firstLineChars="200"/>
              <w:rPr>
                <w:rFonts w:ascii="宋体" w:cs="宋体"/>
                <w:color w:val="auto"/>
                <w:sz w:val="21"/>
                <w:szCs w:val="21"/>
                <w:highlight w:val="none"/>
              </w:rPr>
            </w:pPr>
          </w:p>
        </w:tc>
        <w:tc>
          <w:tcPr>
            <w:tcW w:w="1031" w:type="dxa"/>
            <w:tcBorders>
              <w:top w:val="single" w:color="auto" w:sz="4" w:space="0"/>
              <w:left w:val="single" w:color="auto" w:sz="4" w:space="0"/>
              <w:bottom w:val="single" w:color="auto" w:sz="4" w:space="0"/>
              <w:right w:val="single" w:color="auto" w:sz="4" w:space="0"/>
            </w:tcBorders>
            <w:noWrap/>
            <w:vAlign w:val="top"/>
          </w:tcPr>
          <w:p>
            <w:pPr>
              <w:ind w:firstLine="420" w:firstLineChars="200"/>
              <w:rPr>
                <w:rFonts w:ascii="宋体" w:cs="宋体"/>
                <w:color w:val="auto"/>
                <w:sz w:val="21"/>
                <w:szCs w:val="21"/>
                <w:highlight w:val="none"/>
              </w:rPr>
            </w:pPr>
          </w:p>
        </w:tc>
        <w:tc>
          <w:tcPr>
            <w:tcW w:w="778" w:type="dxa"/>
            <w:tcBorders>
              <w:top w:val="single" w:color="auto" w:sz="4" w:space="0"/>
              <w:left w:val="single" w:color="auto" w:sz="4" w:space="0"/>
              <w:bottom w:val="single" w:color="auto" w:sz="4" w:space="0"/>
              <w:right w:val="single" w:color="auto" w:sz="4" w:space="0"/>
            </w:tcBorders>
            <w:noWrap/>
            <w:vAlign w:val="top"/>
          </w:tcPr>
          <w:p>
            <w:pPr>
              <w:ind w:firstLine="420" w:firstLineChars="200"/>
              <w:rPr>
                <w:rFonts w:ascii="宋体" w:cs="宋体"/>
                <w:color w:val="auto"/>
                <w:sz w:val="21"/>
                <w:szCs w:val="21"/>
                <w:highlight w:val="none"/>
              </w:rPr>
            </w:pPr>
          </w:p>
        </w:tc>
        <w:tc>
          <w:tcPr>
            <w:tcW w:w="914" w:type="dxa"/>
            <w:tcBorders>
              <w:top w:val="single" w:color="auto" w:sz="4" w:space="0"/>
              <w:left w:val="single" w:color="auto" w:sz="4" w:space="0"/>
              <w:bottom w:val="single" w:color="auto" w:sz="4" w:space="0"/>
              <w:right w:val="single" w:color="auto" w:sz="4" w:space="0"/>
            </w:tcBorders>
            <w:noWrap/>
            <w:vAlign w:val="top"/>
          </w:tcPr>
          <w:p>
            <w:pPr>
              <w:ind w:firstLine="420" w:firstLineChars="200"/>
              <w:rPr>
                <w:rFonts w:ascii="宋体" w:cs="宋体"/>
                <w:color w:val="auto"/>
                <w:sz w:val="21"/>
                <w:szCs w:val="21"/>
                <w:highlight w:val="none"/>
              </w:rPr>
            </w:pPr>
          </w:p>
        </w:tc>
      </w:tr>
    </w:tbl>
    <w:p>
      <w:pPr>
        <w:ind w:firstLine="420" w:firstLineChars="200"/>
        <w:rPr>
          <w:rFonts w:ascii="宋体" w:cs="宋体"/>
          <w:color w:val="auto"/>
          <w:sz w:val="21"/>
          <w:szCs w:val="21"/>
          <w:highlight w:val="none"/>
        </w:rPr>
      </w:pPr>
    </w:p>
    <w:p>
      <w:pPr>
        <w:spacing w:line="400" w:lineRule="exact"/>
        <w:ind w:firstLine="420" w:firstLineChars="200"/>
        <w:rPr>
          <w:rFonts w:ascii="宋体" w:cs="宋体"/>
          <w:color w:val="auto"/>
          <w:sz w:val="21"/>
          <w:szCs w:val="21"/>
          <w:highlight w:val="none"/>
        </w:rPr>
      </w:pPr>
      <w:r>
        <w:rPr>
          <w:rFonts w:hint="eastAsia" w:ascii="宋体" w:cs="宋体"/>
          <w:color w:val="auto"/>
          <w:sz w:val="21"/>
          <w:szCs w:val="21"/>
          <w:highlight w:val="none"/>
        </w:rPr>
        <w:t>注：对每个需求的响应必须遵循如下规则：</w:t>
      </w:r>
    </w:p>
    <w:p>
      <w:pPr>
        <w:spacing w:line="400" w:lineRule="exact"/>
        <w:ind w:firstLine="420" w:firstLineChars="200"/>
        <w:rPr>
          <w:rFonts w:ascii="宋体" w:cs="宋体"/>
          <w:color w:val="auto"/>
          <w:sz w:val="21"/>
          <w:szCs w:val="21"/>
          <w:highlight w:val="none"/>
        </w:rPr>
      </w:pPr>
      <w:r>
        <w:rPr>
          <w:rFonts w:hint="eastAsia" w:ascii="宋体" w:cs="宋体"/>
          <w:color w:val="auto"/>
          <w:sz w:val="21"/>
          <w:szCs w:val="21"/>
          <w:highlight w:val="none"/>
        </w:rPr>
        <w:t xml:space="preserve">    1、重复该需求；</w:t>
      </w:r>
    </w:p>
    <w:p>
      <w:pPr>
        <w:spacing w:line="400" w:lineRule="exact"/>
        <w:ind w:firstLine="420" w:firstLineChars="200"/>
        <w:rPr>
          <w:rFonts w:ascii="宋体" w:cs="宋体"/>
          <w:color w:val="auto"/>
          <w:sz w:val="21"/>
          <w:szCs w:val="21"/>
          <w:highlight w:val="none"/>
        </w:rPr>
      </w:pPr>
      <w:r>
        <w:rPr>
          <w:rFonts w:hint="eastAsia" w:ascii="宋体" w:cs="宋体"/>
          <w:color w:val="auto"/>
          <w:sz w:val="21"/>
          <w:szCs w:val="21"/>
          <w:highlight w:val="none"/>
        </w:rPr>
        <w:t xml:space="preserve">    2、用“是/否”响应来表明该需求是否被满足（描述性需求）；</w:t>
      </w:r>
    </w:p>
    <w:p>
      <w:pPr>
        <w:spacing w:line="400" w:lineRule="exact"/>
        <w:ind w:firstLine="420" w:firstLineChars="200"/>
        <w:rPr>
          <w:rFonts w:ascii="宋体" w:cs="宋体"/>
          <w:color w:val="auto"/>
          <w:sz w:val="21"/>
          <w:szCs w:val="21"/>
          <w:highlight w:val="none"/>
        </w:rPr>
      </w:pPr>
      <w:r>
        <w:rPr>
          <w:rFonts w:hint="eastAsia" w:ascii="宋体" w:cs="宋体"/>
          <w:color w:val="auto"/>
          <w:sz w:val="21"/>
          <w:szCs w:val="21"/>
          <w:highlight w:val="none"/>
        </w:rPr>
        <w:t xml:space="preserve">    3、描述投标方案如何满足该需求；</w:t>
      </w:r>
    </w:p>
    <w:p>
      <w:pPr>
        <w:spacing w:line="400" w:lineRule="exact"/>
        <w:ind w:firstLine="420" w:firstLineChars="200"/>
        <w:rPr>
          <w:rFonts w:ascii="宋体" w:cs="宋体"/>
          <w:color w:val="auto"/>
          <w:sz w:val="21"/>
          <w:szCs w:val="21"/>
          <w:highlight w:val="none"/>
        </w:rPr>
      </w:pPr>
      <w:r>
        <w:rPr>
          <w:rFonts w:hint="eastAsia" w:ascii="宋体" w:cs="宋体"/>
          <w:color w:val="auto"/>
          <w:sz w:val="21"/>
          <w:szCs w:val="21"/>
          <w:highlight w:val="none"/>
        </w:rPr>
        <w:t xml:space="preserve">    4、解释投标方案与采购人需求之间的偏差；</w:t>
      </w:r>
    </w:p>
    <w:p>
      <w:pPr>
        <w:spacing w:line="400" w:lineRule="exact"/>
        <w:ind w:firstLine="420" w:firstLineChars="200"/>
        <w:rPr>
          <w:rFonts w:ascii="宋体" w:cs="宋体"/>
          <w:color w:val="auto"/>
          <w:sz w:val="21"/>
          <w:szCs w:val="21"/>
          <w:highlight w:val="none"/>
        </w:rPr>
      </w:pPr>
      <w:r>
        <w:rPr>
          <w:rFonts w:hint="eastAsia" w:ascii="宋体" w:cs="宋体"/>
          <w:color w:val="auto"/>
          <w:sz w:val="21"/>
          <w:szCs w:val="21"/>
          <w:highlight w:val="none"/>
        </w:rPr>
        <w:t xml:space="preserve">    5、用数量来表示的需求，必须用确切的数字、单位来响应。</w:t>
      </w:r>
    </w:p>
    <w:p>
      <w:pPr>
        <w:spacing w:line="400" w:lineRule="exact"/>
        <w:ind w:firstLine="420" w:firstLineChars="200"/>
        <w:rPr>
          <w:rFonts w:ascii="宋体" w:cs="宋体"/>
          <w:color w:val="auto"/>
          <w:sz w:val="21"/>
          <w:szCs w:val="21"/>
          <w:highlight w:val="none"/>
        </w:rPr>
      </w:pPr>
    </w:p>
    <w:p>
      <w:pPr>
        <w:spacing w:line="400" w:lineRule="exact"/>
        <w:ind w:firstLine="420" w:firstLineChars="200"/>
        <w:rPr>
          <w:rFonts w:ascii="宋体" w:cs="宋体"/>
          <w:color w:val="auto"/>
          <w:sz w:val="21"/>
          <w:szCs w:val="21"/>
          <w:highlight w:val="none"/>
        </w:rPr>
      </w:pPr>
    </w:p>
    <w:p>
      <w:pPr>
        <w:ind w:firstLine="420" w:firstLineChars="200"/>
        <w:rPr>
          <w:rFonts w:ascii="宋体" w:cs="宋体"/>
          <w:color w:val="auto"/>
          <w:sz w:val="21"/>
          <w:szCs w:val="21"/>
          <w:highlight w:val="none"/>
        </w:rPr>
      </w:pPr>
      <w:r>
        <w:rPr>
          <w:rFonts w:hint="eastAsia" w:ascii="宋体" w:cs="宋体"/>
          <w:color w:val="auto"/>
          <w:sz w:val="21"/>
          <w:szCs w:val="21"/>
          <w:highlight w:val="none"/>
        </w:rPr>
        <w:t xml:space="preserve">  </w:t>
      </w:r>
    </w:p>
    <w:p>
      <w:pPr>
        <w:ind w:firstLine="5040" w:firstLineChars="2400"/>
        <w:rPr>
          <w:rFonts w:ascii="宋体" w:cs="宋体"/>
          <w:color w:val="auto"/>
          <w:sz w:val="21"/>
          <w:szCs w:val="21"/>
          <w:highlight w:val="none"/>
        </w:rPr>
      </w:pPr>
      <w:r>
        <w:rPr>
          <w:rFonts w:hint="eastAsia" w:ascii="宋体"/>
          <w:color w:val="auto"/>
          <w:sz w:val="21"/>
          <w:szCs w:val="21"/>
          <w:highlight w:val="none"/>
        </w:rPr>
        <w:t>投标人名称</w:t>
      </w:r>
      <w:r>
        <w:rPr>
          <w:rFonts w:hint="eastAsia" w:ascii="宋体" w:cs="宋体"/>
          <w:color w:val="auto"/>
          <w:sz w:val="21"/>
          <w:szCs w:val="21"/>
          <w:highlight w:val="none"/>
        </w:rPr>
        <w:t>（盖章）：</w:t>
      </w:r>
    </w:p>
    <w:p>
      <w:pPr>
        <w:ind w:firstLine="4935" w:firstLineChars="2350"/>
        <w:rPr>
          <w:rFonts w:ascii="宋体" w:cs="宋体"/>
          <w:color w:val="auto"/>
          <w:sz w:val="21"/>
          <w:szCs w:val="21"/>
          <w:highlight w:val="none"/>
        </w:rPr>
      </w:pPr>
      <w:r>
        <w:rPr>
          <w:rFonts w:hint="eastAsia" w:ascii="宋体" w:cs="宋体"/>
          <w:color w:val="auto"/>
          <w:sz w:val="21"/>
          <w:szCs w:val="21"/>
          <w:highlight w:val="none"/>
        </w:rPr>
        <w:t>法定代表人或委托代理人</w:t>
      </w:r>
      <w:r>
        <w:rPr>
          <w:rFonts w:hint="eastAsia" w:ascii="宋体" w:hAnsi="宋体" w:cs="宋体"/>
          <w:color w:val="auto"/>
          <w:sz w:val="21"/>
          <w:szCs w:val="21"/>
          <w:highlight w:val="none"/>
        </w:rPr>
        <w:t>（签字</w:t>
      </w:r>
      <w:r>
        <w:rPr>
          <w:rFonts w:hint="eastAsia" w:ascii="宋体" w:hAnsi="宋体" w:cs="宋体"/>
          <w:color w:val="auto"/>
          <w:sz w:val="21"/>
          <w:szCs w:val="21"/>
          <w:highlight w:val="none"/>
          <w:lang w:val="en-US" w:eastAsia="zh-CN"/>
        </w:rPr>
        <w:t>或盖章</w:t>
      </w:r>
      <w:r>
        <w:rPr>
          <w:rFonts w:hint="eastAsia" w:ascii="宋体" w:hAnsi="宋体" w:cs="宋体"/>
          <w:color w:val="auto"/>
          <w:sz w:val="21"/>
          <w:szCs w:val="21"/>
          <w:highlight w:val="none"/>
        </w:rPr>
        <w:t>）</w:t>
      </w:r>
      <w:r>
        <w:rPr>
          <w:rFonts w:hint="eastAsia" w:ascii="宋体" w:cs="宋体"/>
          <w:color w:val="auto"/>
          <w:sz w:val="21"/>
          <w:szCs w:val="21"/>
          <w:highlight w:val="none"/>
        </w:rPr>
        <w:t>：</w:t>
      </w:r>
    </w:p>
    <w:p>
      <w:pPr>
        <w:spacing w:line="360" w:lineRule="auto"/>
        <w:rPr>
          <w:rFonts w:ascii="宋体" w:cs="宋体"/>
          <w:color w:val="auto"/>
          <w:sz w:val="21"/>
          <w:szCs w:val="21"/>
          <w:highlight w:val="none"/>
        </w:rPr>
      </w:pPr>
      <w:r>
        <w:rPr>
          <w:rFonts w:hint="eastAsia" w:ascii="宋体" w:cs="宋体"/>
          <w:color w:val="auto"/>
          <w:sz w:val="21"/>
          <w:szCs w:val="21"/>
          <w:highlight w:val="none"/>
        </w:rPr>
        <w:t xml:space="preserve">                                                日      期：</w:t>
      </w:r>
    </w:p>
    <w:p>
      <w:pPr>
        <w:pStyle w:val="23"/>
        <w:jc w:val="center"/>
        <w:rPr>
          <w:rFonts w:hAnsi="宋体" w:cs="宋体"/>
          <w:b/>
          <w:bCs/>
          <w:color w:val="auto"/>
          <w:sz w:val="28"/>
          <w:szCs w:val="28"/>
          <w:highlight w:val="none"/>
        </w:rPr>
      </w:pPr>
      <w:r>
        <w:rPr>
          <w:rFonts w:eastAsia="楷体_GB2312"/>
          <w:b/>
          <w:bCs/>
          <w:color w:val="auto"/>
          <w:sz w:val="21"/>
          <w:szCs w:val="21"/>
          <w:highlight w:val="none"/>
        </w:rPr>
        <w:br w:type="page"/>
      </w:r>
      <w:r>
        <w:rPr>
          <w:rFonts w:hint="eastAsia" w:hAnsi="宋体" w:cs="宋体"/>
          <w:b/>
          <w:bCs/>
          <w:color w:val="auto"/>
          <w:sz w:val="28"/>
          <w:szCs w:val="28"/>
          <w:highlight w:val="none"/>
        </w:rPr>
        <w:t>所投货物详细配置清单</w:t>
      </w:r>
    </w:p>
    <w:tbl>
      <w:tblPr>
        <w:tblStyle w:val="39"/>
        <w:tblpPr w:leftFromText="180" w:rightFromText="180" w:vertAnchor="page" w:horzAnchor="page" w:tblpX="1425" w:tblpY="28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1988"/>
        <w:gridCol w:w="1864"/>
        <w:gridCol w:w="1007"/>
        <w:gridCol w:w="234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829" w:type="dxa"/>
            <w:noWrap/>
            <w:vAlign w:val="center"/>
          </w:tcPr>
          <w:p>
            <w:pPr>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序号</w:t>
            </w:r>
          </w:p>
        </w:tc>
        <w:tc>
          <w:tcPr>
            <w:tcW w:w="1988" w:type="dxa"/>
            <w:noWrap/>
            <w:vAlign w:val="center"/>
          </w:tcPr>
          <w:p>
            <w:pPr>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货物名称</w:t>
            </w:r>
          </w:p>
        </w:tc>
        <w:tc>
          <w:tcPr>
            <w:tcW w:w="1864" w:type="dxa"/>
            <w:noWrap/>
            <w:vAlign w:val="center"/>
          </w:tcPr>
          <w:p>
            <w:pPr>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品牌型号</w:t>
            </w:r>
          </w:p>
        </w:tc>
        <w:tc>
          <w:tcPr>
            <w:tcW w:w="1007" w:type="dxa"/>
            <w:noWrap/>
            <w:vAlign w:val="center"/>
          </w:tcPr>
          <w:p>
            <w:pPr>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数量</w:t>
            </w:r>
          </w:p>
        </w:tc>
        <w:tc>
          <w:tcPr>
            <w:tcW w:w="2340" w:type="dxa"/>
            <w:noWrap/>
            <w:vAlign w:val="center"/>
          </w:tcPr>
          <w:p>
            <w:pPr>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具体技术参数说明</w:t>
            </w:r>
          </w:p>
        </w:tc>
        <w:tc>
          <w:tcPr>
            <w:tcW w:w="1080" w:type="dxa"/>
            <w:noWrap/>
            <w:vAlign w:val="center"/>
          </w:tcPr>
          <w:p>
            <w:pPr>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trPr>
        <w:tc>
          <w:tcPr>
            <w:tcW w:w="829" w:type="dxa"/>
            <w:noWrap/>
            <w:vAlign w:val="center"/>
          </w:tcPr>
          <w:p>
            <w:pPr>
              <w:jc w:val="center"/>
              <w:rPr>
                <w:rFonts w:ascii="宋体" w:hAnsi="宋体" w:cs="宋体"/>
                <w:b/>
                <w:bCs/>
                <w:color w:val="auto"/>
                <w:szCs w:val="21"/>
                <w:highlight w:val="none"/>
              </w:rPr>
            </w:pPr>
          </w:p>
        </w:tc>
        <w:tc>
          <w:tcPr>
            <w:tcW w:w="1988" w:type="dxa"/>
            <w:noWrap/>
            <w:vAlign w:val="center"/>
          </w:tcPr>
          <w:p>
            <w:pPr>
              <w:jc w:val="center"/>
              <w:rPr>
                <w:rFonts w:ascii="宋体" w:hAnsi="宋体" w:cs="宋体"/>
                <w:b/>
                <w:bCs/>
                <w:color w:val="auto"/>
                <w:szCs w:val="21"/>
                <w:highlight w:val="none"/>
              </w:rPr>
            </w:pPr>
          </w:p>
        </w:tc>
        <w:tc>
          <w:tcPr>
            <w:tcW w:w="1864" w:type="dxa"/>
            <w:noWrap/>
            <w:vAlign w:val="center"/>
          </w:tcPr>
          <w:p>
            <w:pPr>
              <w:jc w:val="center"/>
              <w:rPr>
                <w:rFonts w:ascii="宋体" w:hAnsi="宋体" w:cs="宋体"/>
                <w:color w:val="auto"/>
                <w:szCs w:val="21"/>
                <w:highlight w:val="none"/>
              </w:rPr>
            </w:pPr>
          </w:p>
        </w:tc>
        <w:tc>
          <w:tcPr>
            <w:tcW w:w="1007" w:type="dxa"/>
            <w:noWrap/>
            <w:vAlign w:val="center"/>
          </w:tcPr>
          <w:p>
            <w:pPr>
              <w:jc w:val="center"/>
              <w:rPr>
                <w:rFonts w:ascii="宋体" w:hAnsi="宋体" w:cs="宋体"/>
                <w:color w:val="auto"/>
                <w:szCs w:val="21"/>
                <w:highlight w:val="none"/>
              </w:rPr>
            </w:pPr>
          </w:p>
        </w:tc>
        <w:tc>
          <w:tcPr>
            <w:tcW w:w="2340" w:type="dxa"/>
            <w:noWrap/>
            <w:vAlign w:val="center"/>
          </w:tcPr>
          <w:p>
            <w:pPr>
              <w:jc w:val="center"/>
              <w:rPr>
                <w:rFonts w:ascii="宋体" w:hAnsi="宋体" w:cs="宋体"/>
                <w:color w:val="auto"/>
                <w:szCs w:val="21"/>
                <w:highlight w:val="none"/>
              </w:rPr>
            </w:pPr>
          </w:p>
        </w:tc>
        <w:tc>
          <w:tcPr>
            <w:tcW w:w="1080" w:type="dxa"/>
            <w:noWrap/>
            <w:vAlign w:val="center"/>
          </w:tcPr>
          <w:p>
            <w:pPr>
              <w:jc w:val="center"/>
              <w:rPr>
                <w:rFonts w:ascii="宋体" w:hAnsi="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trPr>
        <w:tc>
          <w:tcPr>
            <w:tcW w:w="829" w:type="dxa"/>
            <w:noWrap/>
            <w:vAlign w:val="center"/>
          </w:tcPr>
          <w:p>
            <w:pPr>
              <w:jc w:val="center"/>
              <w:rPr>
                <w:rFonts w:ascii="宋体" w:hAnsi="宋体" w:cs="宋体"/>
                <w:b/>
                <w:bCs/>
                <w:color w:val="auto"/>
                <w:szCs w:val="21"/>
                <w:highlight w:val="none"/>
              </w:rPr>
            </w:pPr>
          </w:p>
        </w:tc>
        <w:tc>
          <w:tcPr>
            <w:tcW w:w="1988" w:type="dxa"/>
            <w:noWrap/>
            <w:vAlign w:val="center"/>
          </w:tcPr>
          <w:p>
            <w:pPr>
              <w:jc w:val="center"/>
              <w:rPr>
                <w:rFonts w:ascii="宋体" w:hAnsi="宋体" w:cs="宋体"/>
                <w:b/>
                <w:bCs/>
                <w:color w:val="auto"/>
                <w:szCs w:val="21"/>
                <w:highlight w:val="none"/>
              </w:rPr>
            </w:pPr>
          </w:p>
        </w:tc>
        <w:tc>
          <w:tcPr>
            <w:tcW w:w="1864" w:type="dxa"/>
            <w:noWrap/>
            <w:vAlign w:val="center"/>
          </w:tcPr>
          <w:p>
            <w:pPr>
              <w:jc w:val="center"/>
              <w:rPr>
                <w:rFonts w:ascii="宋体" w:hAnsi="宋体" w:cs="宋体"/>
                <w:color w:val="auto"/>
                <w:szCs w:val="21"/>
                <w:highlight w:val="none"/>
              </w:rPr>
            </w:pPr>
          </w:p>
        </w:tc>
        <w:tc>
          <w:tcPr>
            <w:tcW w:w="1007" w:type="dxa"/>
            <w:noWrap/>
            <w:vAlign w:val="center"/>
          </w:tcPr>
          <w:p>
            <w:pPr>
              <w:jc w:val="center"/>
              <w:rPr>
                <w:rFonts w:ascii="宋体" w:hAnsi="宋体" w:cs="宋体"/>
                <w:color w:val="auto"/>
                <w:szCs w:val="21"/>
                <w:highlight w:val="none"/>
              </w:rPr>
            </w:pPr>
          </w:p>
        </w:tc>
        <w:tc>
          <w:tcPr>
            <w:tcW w:w="2340" w:type="dxa"/>
            <w:noWrap/>
            <w:vAlign w:val="center"/>
          </w:tcPr>
          <w:p>
            <w:pPr>
              <w:jc w:val="center"/>
              <w:rPr>
                <w:rFonts w:ascii="宋体" w:hAnsi="宋体" w:cs="宋体"/>
                <w:color w:val="auto"/>
                <w:szCs w:val="21"/>
                <w:highlight w:val="none"/>
              </w:rPr>
            </w:pPr>
          </w:p>
        </w:tc>
        <w:tc>
          <w:tcPr>
            <w:tcW w:w="1080" w:type="dxa"/>
            <w:noWrap/>
            <w:vAlign w:val="center"/>
          </w:tcPr>
          <w:p>
            <w:pPr>
              <w:jc w:val="center"/>
              <w:rPr>
                <w:rFonts w:ascii="宋体" w:hAnsi="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trPr>
        <w:tc>
          <w:tcPr>
            <w:tcW w:w="829" w:type="dxa"/>
            <w:noWrap/>
            <w:vAlign w:val="center"/>
          </w:tcPr>
          <w:p>
            <w:pPr>
              <w:jc w:val="center"/>
              <w:rPr>
                <w:rFonts w:ascii="宋体" w:hAnsi="宋体" w:cs="宋体"/>
                <w:b/>
                <w:bCs/>
                <w:color w:val="auto"/>
                <w:szCs w:val="21"/>
                <w:highlight w:val="none"/>
              </w:rPr>
            </w:pPr>
          </w:p>
        </w:tc>
        <w:tc>
          <w:tcPr>
            <w:tcW w:w="1988" w:type="dxa"/>
            <w:noWrap/>
            <w:vAlign w:val="center"/>
          </w:tcPr>
          <w:p>
            <w:pPr>
              <w:jc w:val="center"/>
              <w:rPr>
                <w:rFonts w:ascii="宋体" w:hAnsi="宋体" w:cs="宋体"/>
                <w:b/>
                <w:bCs/>
                <w:color w:val="auto"/>
                <w:szCs w:val="21"/>
                <w:highlight w:val="none"/>
              </w:rPr>
            </w:pPr>
          </w:p>
        </w:tc>
        <w:tc>
          <w:tcPr>
            <w:tcW w:w="1864" w:type="dxa"/>
            <w:noWrap/>
            <w:vAlign w:val="center"/>
          </w:tcPr>
          <w:p>
            <w:pPr>
              <w:jc w:val="center"/>
              <w:rPr>
                <w:rFonts w:ascii="宋体" w:hAnsi="宋体" w:cs="宋体"/>
                <w:color w:val="auto"/>
                <w:szCs w:val="21"/>
                <w:highlight w:val="none"/>
              </w:rPr>
            </w:pPr>
          </w:p>
        </w:tc>
        <w:tc>
          <w:tcPr>
            <w:tcW w:w="1007" w:type="dxa"/>
            <w:noWrap/>
            <w:vAlign w:val="center"/>
          </w:tcPr>
          <w:p>
            <w:pPr>
              <w:jc w:val="center"/>
              <w:rPr>
                <w:rFonts w:ascii="宋体" w:hAnsi="宋体" w:cs="宋体"/>
                <w:color w:val="auto"/>
                <w:szCs w:val="21"/>
                <w:highlight w:val="none"/>
              </w:rPr>
            </w:pPr>
          </w:p>
        </w:tc>
        <w:tc>
          <w:tcPr>
            <w:tcW w:w="2340" w:type="dxa"/>
            <w:noWrap/>
            <w:vAlign w:val="center"/>
          </w:tcPr>
          <w:p>
            <w:pPr>
              <w:jc w:val="center"/>
              <w:rPr>
                <w:rFonts w:ascii="宋体" w:hAnsi="宋体" w:cs="宋体"/>
                <w:color w:val="auto"/>
                <w:szCs w:val="21"/>
                <w:highlight w:val="none"/>
              </w:rPr>
            </w:pPr>
          </w:p>
        </w:tc>
        <w:tc>
          <w:tcPr>
            <w:tcW w:w="1080" w:type="dxa"/>
            <w:noWrap/>
            <w:vAlign w:val="center"/>
          </w:tcPr>
          <w:p>
            <w:pPr>
              <w:jc w:val="center"/>
              <w:rPr>
                <w:rFonts w:ascii="宋体" w:hAnsi="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trPr>
        <w:tc>
          <w:tcPr>
            <w:tcW w:w="829" w:type="dxa"/>
            <w:noWrap/>
            <w:vAlign w:val="center"/>
          </w:tcPr>
          <w:p>
            <w:pPr>
              <w:jc w:val="center"/>
              <w:rPr>
                <w:rFonts w:ascii="宋体" w:hAnsi="宋体" w:cs="宋体"/>
                <w:b/>
                <w:bCs/>
                <w:color w:val="auto"/>
                <w:szCs w:val="21"/>
                <w:highlight w:val="none"/>
              </w:rPr>
            </w:pPr>
          </w:p>
        </w:tc>
        <w:tc>
          <w:tcPr>
            <w:tcW w:w="1988" w:type="dxa"/>
            <w:noWrap/>
            <w:vAlign w:val="center"/>
          </w:tcPr>
          <w:p>
            <w:pPr>
              <w:jc w:val="center"/>
              <w:rPr>
                <w:rFonts w:ascii="宋体" w:hAnsi="宋体" w:cs="宋体"/>
                <w:b/>
                <w:bCs/>
                <w:color w:val="auto"/>
                <w:szCs w:val="21"/>
                <w:highlight w:val="none"/>
              </w:rPr>
            </w:pPr>
          </w:p>
        </w:tc>
        <w:tc>
          <w:tcPr>
            <w:tcW w:w="1864" w:type="dxa"/>
            <w:noWrap/>
            <w:vAlign w:val="center"/>
          </w:tcPr>
          <w:p>
            <w:pPr>
              <w:jc w:val="center"/>
              <w:rPr>
                <w:rFonts w:ascii="宋体" w:hAnsi="宋体" w:cs="宋体"/>
                <w:color w:val="auto"/>
                <w:szCs w:val="21"/>
                <w:highlight w:val="none"/>
              </w:rPr>
            </w:pPr>
          </w:p>
        </w:tc>
        <w:tc>
          <w:tcPr>
            <w:tcW w:w="1007" w:type="dxa"/>
            <w:noWrap/>
            <w:vAlign w:val="center"/>
          </w:tcPr>
          <w:p>
            <w:pPr>
              <w:jc w:val="center"/>
              <w:rPr>
                <w:rFonts w:ascii="宋体" w:hAnsi="宋体" w:cs="宋体"/>
                <w:color w:val="auto"/>
                <w:szCs w:val="21"/>
                <w:highlight w:val="none"/>
              </w:rPr>
            </w:pPr>
          </w:p>
        </w:tc>
        <w:tc>
          <w:tcPr>
            <w:tcW w:w="2340" w:type="dxa"/>
            <w:noWrap/>
            <w:vAlign w:val="center"/>
          </w:tcPr>
          <w:p>
            <w:pPr>
              <w:jc w:val="center"/>
              <w:rPr>
                <w:rFonts w:ascii="宋体" w:hAnsi="宋体" w:cs="宋体"/>
                <w:color w:val="auto"/>
                <w:szCs w:val="21"/>
                <w:highlight w:val="none"/>
              </w:rPr>
            </w:pPr>
          </w:p>
        </w:tc>
        <w:tc>
          <w:tcPr>
            <w:tcW w:w="1080" w:type="dxa"/>
            <w:noWrap/>
            <w:vAlign w:val="center"/>
          </w:tcPr>
          <w:p>
            <w:pPr>
              <w:jc w:val="center"/>
              <w:rPr>
                <w:rFonts w:ascii="宋体" w:hAnsi="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trPr>
        <w:tc>
          <w:tcPr>
            <w:tcW w:w="829" w:type="dxa"/>
            <w:noWrap/>
            <w:vAlign w:val="center"/>
          </w:tcPr>
          <w:p>
            <w:pPr>
              <w:jc w:val="center"/>
              <w:rPr>
                <w:rFonts w:ascii="宋体" w:hAnsi="宋体" w:cs="宋体"/>
                <w:b/>
                <w:bCs/>
                <w:color w:val="auto"/>
                <w:szCs w:val="21"/>
                <w:highlight w:val="none"/>
              </w:rPr>
            </w:pPr>
          </w:p>
        </w:tc>
        <w:tc>
          <w:tcPr>
            <w:tcW w:w="1988" w:type="dxa"/>
            <w:noWrap/>
            <w:vAlign w:val="center"/>
          </w:tcPr>
          <w:p>
            <w:pPr>
              <w:jc w:val="center"/>
              <w:rPr>
                <w:rFonts w:ascii="宋体" w:hAnsi="宋体" w:cs="宋体"/>
                <w:b/>
                <w:bCs/>
                <w:color w:val="auto"/>
                <w:szCs w:val="21"/>
                <w:highlight w:val="none"/>
              </w:rPr>
            </w:pPr>
          </w:p>
        </w:tc>
        <w:tc>
          <w:tcPr>
            <w:tcW w:w="1864" w:type="dxa"/>
            <w:noWrap/>
            <w:vAlign w:val="center"/>
          </w:tcPr>
          <w:p>
            <w:pPr>
              <w:jc w:val="center"/>
              <w:rPr>
                <w:rFonts w:ascii="宋体" w:hAnsi="宋体" w:cs="宋体"/>
                <w:color w:val="auto"/>
                <w:szCs w:val="21"/>
                <w:highlight w:val="none"/>
              </w:rPr>
            </w:pPr>
          </w:p>
        </w:tc>
        <w:tc>
          <w:tcPr>
            <w:tcW w:w="1007" w:type="dxa"/>
            <w:noWrap/>
            <w:vAlign w:val="center"/>
          </w:tcPr>
          <w:p>
            <w:pPr>
              <w:jc w:val="center"/>
              <w:rPr>
                <w:rFonts w:ascii="宋体" w:hAnsi="宋体" w:cs="宋体"/>
                <w:color w:val="auto"/>
                <w:szCs w:val="21"/>
                <w:highlight w:val="none"/>
              </w:rPr>
            </w:pPr>
          </w:p>
        </w:tc>
        <w:tc>
          <w:tcPr>
            <w:tcW w:w="2340" w:type="dxa"/>
            <w:noWrap/>
            <w:vAlign w:val="center"/>
          </w:tcPr>
          <w:p>
            <w:pPr>
              <w:jc w:val="center"/>
              <w:rPr>
                <w:rFonts w:ascii="宋体" w:hAnsi="宋体" w:cs="宋体"/>
                <w:color w:val="auto"/>
                <w:szCs w:val="21"/>
                <w:highlight w:val="none"/>
              </w:rPr>
            </w:pPr>
          </w:p>
        </w:tc>
        <w:tc>
          <w:tcPr>
            <w:tcW w:w="1080" w:type="dxa"/>
            <w:noWrap/>
            <w:vAlign w:val="center"/>
          </w:tcPr>
          <w:p>
            <w:pPr>
              <w:jc w:val="center"/>
              <w:rPr>
                <w:rFonts w:ascii="宋体" w:hAnsi="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trPr>
        <w:tc>
          <w:tcPr>
            <w:tcW w:w="829" w:type="dxa"/>
            <w:noWrap/>
            <w:vAlign w:val="center"/>
          </w:tcPr>
          <w:p>
            <w:pPr>
              <w:jc w:val="center"/>
              <w:rPr>
                <w:rFonts w:ascii="宋体" w:hAnsi="宋体" w:cs="宋体"/>
                <w:b/>
                <w:bCs/>
                <w:color w:val="auto"/>
                <w:szCs w:val="21"/>
                <w:highlight w:val="none"/>
              </w:rPr>
            </w:pPr>
          </w:p>
        </w:tc>
        <w:tc>
          <w:tcPr>
            <w:tcW w:w="1988" w:type="dxa"/>
            <w:noWrap/>
            <w:vAlign w:val="center"/>
          </w:tcPr>
          <w:p>
            <w:pPr>
              <w:jc w:val="center"/>
              <w:rPr>
                <w:rFonts w:ascii="宋体" w:hAnsi="宋体" w:cs="宋体"/>
                <w:b/>
                <w:bCs/>
                <w:color w:val="auto"/>
                <w:szCs w:val="21"/>
                <w:highlight w:val="none"/>
              </w:rPr>
            </w:pPr>
          </w:p>
        </w:tc>
        <w:tc>
          <w:tcPr>
            <w:tcW w:w="1864" w:type="dxa"/>
            <w:noWrap/>
            <w:vAlign w:val="center"/>
          </w:tcPr>
          <w:p>
            <w:pPr>
              <w:jc w:val="center"/>
              <w:rPr>
                <w:rFonts w:ascii="宋体" w:hAnsi="宋体" w:cs="宋体"/>
                <w:color w:val="auto"/>
                <w:szCs w:val="21"/>
                <w:highlight w:val="none"/>
              </w:rPr>
            </w:pPr>
          </w:p>
        </w:tc>
        <w:tc>
          <w:tcPr>
            <w:tcW w:w="1007" w:type="dxa"/>
            <w:noWrap/>
            <w:vAlign w:val="center"/>
          </w:tcPr>
          <w:p>
            <w:pPr>
              <w:jc w:val="center"/>
              <w:rPr>
                <w:rFonts w:ascii="宋体" w:hAnsi="宋体" w:cs="宋体"/>
                <w:color w:val="auto"/>
                <w:szCs w:val="21"/>
                <w:highlight w:val="none"/>
              </w:rPr>
            </w:pPr>
          </w:p>
        </w:tc>
        <w:tc>
          <w:tcPr>
            <w:tcW w:w="2340" w:type="dxa"/>
            <w:noWrap/>
            <w:vAlign w:val="center"/>
          </w:tcPr>
          <w:p>
            <w:pPr>
              <w:jc w:val="center"/>
              <w:rPr>
                <w:rFonts w:ascii="宋体" w:hAnsi="宋体" w:cs="宋体"/>
                <w:color w:val="auto"/>
                <w:szCs w:val="21"/>
                <w:highlight w:val="none"/>
              </w:rPr>
            </w:pPr>
          </w:p>
        </w:tc>
        <w:tc>
          <w:tcPr>
            <w:tcW w:w="1080" w:type="dxa"/>
            <w:noWrap/>
            <w:vAlign w:val="center"/>
          </w:tcPr>
          <w:p>
            <w:pPr>
              <w:jc w:val="center"/>
              <w:rPr>
                <w:rFonts w:ascii="宋体" w:hAnsi="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trPr>
        <w:tc>
          <w:tcPr>
            <w:tcW w:w="829" w:type="dxa"/>
            <w:noWrap/>
            <w:vAlign w:val="center"/>
          </w:tcPr>
          <w:p>
            <w:pPr>
              <w:jc w:val="center"/>
              <w:rPr>
                <w:rFonts w:ascii="宋体" w:hAnsi="宋体" w:cs="宋体"/>
                <w:b/>
                <w:bCs/>
                <w:color w:val="auto"/>
                <w:szCs w:val="21"/>
                <w:highlight w:val="none"/>
              </w:rPr>
            </w:pPr>
          </w:p>
        </w:tc>
        <w:tc>
          <w:tcPr>
            <w:tcW w:w="1988" w:type="dxa"/>
            <w:noWrap/>
            <w:vAlign w:val="center"/>
          </w:tcPr>
          <w:p>
            <w:pPr>
              <w:jc w:val="center"/>
              <w:rPr>
                <w:rFonts w:ascii="宋体" w:hAnsi="宋体" w:cs="宋体"/>
                <w:b/>
                <w:bCs/>
                <w:color w:val="auto"/>
                <w:szCs w:val="21"/>
                <w:highlight w:val="none"/>
              </w:rPr>
            </w:pPr>
          </w:p>
        </w:tc>
        <w:tc>
          <w:tcPr>
            <w:tcW w:w="1864" w:type="dxa"/>
            <w:noWrap/>
            <w:vAlign w:val="center"/>
          </w:tcPr>
          <w:p>
            <w:pPr>
              <w:jc w:val="center"/>
              <w:rPr>
                <w:rFonts w:ascii="宋体" w:hAnsi="宋体" w:cs="宋体"/>
                <w:color w:val="auto"/>
                <w:szCs w:val="21"/>
                <w:highlight w:val="none"/>
              </w:rPr>
            </w:pPr>
          </w:p>
        </w:tc>
        <w:tc>
          <w:tcPr>
            <w:tcW w:w="1007" w:type="dxa"/>
            <w:noWrap/>
            <w:vAlign w:val="center"/>
          </w:tcPr>
          <w:p>
            <w:pPr>
              <w:jc w:val="center"/>
              <w:rPr>
                <w:rFonts w:ascii="宋体" w:hAnsi="宋体" w:cs="宋体"/>
                <w:color w:val="auto"/>
                <w:szCs w:val="21"/>
                <w:highlight w:val="none"/>
              </w:rPr>
            </w:pPr>
          </w:p>
        </w:tc>
        <w:tc>
          <w:tcPr>
            <w:tcW w:w="2340" w:type="dxa"/>
            <w:noWrap/>
            <w:vAlign w:val="center"/>
          </w:tcPr>
          <w:p>
            <w:pPr>
              <w:jc w:val="center"/>
              <w:rPr>
                <w:rFonts w:ascii="宋体" w:hAnsi="宋体" w:cs="宋体"/>
                <w:color w:val="auto"/>
                <w:szCs w:val="21"/>
                <w:highlight w:val="none"/>
              </w:rPr>
            </w:pPr>
          </w:p>
        </w:tc>
        <w:tc>
          <w:tcPr>
            <w:tcW w:w="1080" w:type="dxa"/>
            <w:noWrap/>
            <w:vAlign w:val="center"/>
          </w:tcPr>
          <w:p>
            <w:pPr>
              <w:jc w:val="center"/>
              <w:rPr>
                <w:rFonts w:ascii="宋体" w:hAnsi="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trPr>
        <w:tc>
          <w:tcPr>
            <w:tcW w:w="829" w:type="dxa"/>
            <w:noWrap/>
            <w:vAlign w:val="center"/>
          </w:tcPr>
          <w:p>
            <w:pPr>
              <w:jc w:val="center"/>
              <w:rPr>
                <w:rFonts w:ascii="宋体" w:hAnsi="宋体" w:cs="宋体"/>
                <w:b/>
                <w:bCs/>
                <w:color w:val="auto"/>
                <w:szCs w:val="21"/>
                <w:highlight w:val="none"/>
              </w:rPr>
            </w:pPr>
          </w:p>
        </w:tc>
        <w:tc>
          <w:tcPr>
            <w:tcW w:w="1988" w:type="dxa"/>
            <w:noWrap/>
            <w:vAlign w:val="center"/>
          </w:tcPr>
          <w:p>
            <w:pPr>
              <w:jc w:val="center"/>
              <w:rPr>
                <w:rFonts w:ascii="宋体" w:hAnsi="宋体" w:cs="宋体"/>
                <w:b/>
                <w:bCs/>
                <w:color w:val="auto"/>
                <w:szCs w:val="21"/>
                <w:highlight w:val="none"/>
              </w:rPr>
            </w:pPr>
          </w:p>
        </w:tc>
        <w:tc>
          <w:tcPr>
            <w:tcW w:w="1864" w:type="dxa"/>
            <w:noWrap/>
            <w:vAlign w:val="center"/>
          </w:tcPr>
          <w:p>
            <w:pPr>
              <w:jc w:val="center"/>
              <w:rPr>
                <w:rFonts w:ascii="宋体" w:hAnsi="宋体" w:cs="宋体"/>
                <w:color w:val="auto"/>
                <w:szCs w:val="21"/>
                <w:highlight w:val="none"/>
              </w:rPr>
            </w:pPr>
          </w:p>
        </w:tc>
        <w:tc>
          <w:tcPr>
            <w:tcW w:w="1007" w:type="dxa"/>
            <w:noWrap/>
            <w:vAlign w:val="center"/>
          </w:tcPr>
          <w:p>
            <w:pPr>
              <w:jc w:val="center"/>
              <w:rPr>
                <w:rFonts w:ascii="宋体" w:hAnsi="宋体" w:cs="宋体"/>
                <w:color w:val="auto"/>
                <w:szCs w:val="21"/>
                <w:highlight w:val="none"/>
              </w:rPr>
            </w:pPr>
          </w:p>
        </w:tc>
        <w:tc>
          <w:tcPr>
            <w:tcW w:w="2340" w:type="dxa"/>
            <w:noWrap/>
            <w:vAlign w:val="center"/>
          </w:tcPr>
          <w:p>
            <w:pPr>
              <w:jc w:val="center"/>
              <w:rPr>
                <w:rFonts w:ascii="宋体" w:hAnsi="宋体" w:cs="宋体"/>
                <w:color w:val="auto"/>
                <w:szCs w:val="21"/>
                <w:highlight w:val="none"/>
              </w:rPr>
            </w:pPr>
          </w:p>
        </w:tc>
        <w:tc>
          <w:tcPr>
            <w:tcW w:w="1080" w:type="dxa"/>
            <w:noWrap/>
            <w:vAlign w:val="center"/>
          </w:tcPr>
          <w:p>
            <w:pPr>
              <w:jc w:val="center"/>
              <w:rPr>
                <w:rFonts w:ascii="宋体" w:hAnsi="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trPr>
        <w:tc>
          <w:tcPr>
            <w:tcW w:w="829" w:type="dxa"/>
            <w:noWrap/>
            <w:vAlign w:val="center"/>
          </w:tcPr>
          <w:p>
            <w:pPr>
              <w:jc w:val="center"/>
              <w:rPr>
                <w:rFonts w:ascii="宋体" w:hAnsi="宋体" w:cs="宋体"/>
                <w:b/>
                <w:bCs/>
                <w:color w:val="auto"/>
                <w:szCs w:val="21"/>
                <w:highlight w:val="none"/>
              </w:rPr>
            </w:pPr>
          </w:p>
        </w:tc>
        <w:tc>
          <w:tcPr>
            <w:tcW w:w="1988" w:type="dxa"/>
            <w:noWrap/>
            <w:vAlign w:val="center"/>
          </w:tcPr>
          <w:p>
            <w:pPr>
              <w:jc w:val="center"/>
              <w:rPr>
                <w:rFonts w:ascii="宋体" w:hAnsi="宋体" w:cs="宋体"/>
                <w:b/>
                <w:bCs/>
                <w:color w:val="auto"/>
                <w:szCs w:val="21"/>
                <w:highlight w:val="none"/>
              </w:rPr>
            </w:pPr>
          </w:p>
        </w:tc>
        <w:tc>
          <w:tcPr>
            <w:tcW w:w="1864" w:type="dxa"/>
            <w:noWrap/>
            <w:vAlign w:val="center"/>
          </w:tcPr>
          <w:p>
            <w:pPr>
              <w:jc w:val="center"/>
              <w:rPr>
                <w:rFonts w:ascii="宋体" w:hAnsi="宋体" w:cs="宋体"/>
                <w:color w:val="auto"/>
                <w:szCs w:val="21"/>
                <w:highlight w:val="none"/>
              </w:rPr>
            </w:pPr>
          </w:p>
        </w:tc>
        <w:tc>
          <w:tcPr>
            <w:tcW w:w="1007" w:type="dxa"/>
            <w:noWrap/>
            <w:vAlign w:val="center"/>
          </w:tcPr>
          <w:p>
            <w:pPr>
              <w:jc w:val="center"/>
              <w:rPr>
                <w:rFonts w:ascii="宋体" w:hAnsi="宋体" w:cs="宋体"/>
                <w:color w:val="auto"/>
                <w:szCs w:val="21"/>
                <w:highlight w:val="none"/>
              </w:rPr>
            </w:pPr>
          </w:p>
        </w:tc>
        <w:tc>
          <w:tcPr>
            <w:tcW w:w="2340" w:type="dxa"/>
            <w:noWrap/>
            <w:vAlign w:val="center"/>
          </w:tcPr>
          <w:p>
            <w:pPr>
              <w:jc w:val="center"/>
              <w:rPr>
                <w:rFonts w:ascii="宋体" w:hAnsi="宋体" w:cs="宋体"/>
                <w:color w:val="auto"/>
                <w:szCs w:val="21"/>
                <w:highlight w:val="none"/>
              </w:rPr>
            </w:pPr>
          </w:p>
        </w:tc>
        <w:tc>
          <w:tcPr>
            <w:tcW w:w="1080" w:type="dxa"/>
            <w:noWrap/>
            <w:vAlign w:val="center"/>
          </w:tcPr>
          <w:p>
            <w:pPr>
              <w:jc w:val="center"/>
              <w:rPr>
                <w:rFonts w:ascii="宋体" w:hAnsi="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trPr>
        <w:tc>
          <w:tcPr>
            <w:tcW w:w="829" w:type="dxa"/>
            <w:noWrap/>
            <w:vAlign w:val="center"/>
          </w:tcPr>
          <w:p>
            <w:pPr>
              <w:jc w:val="center"/>
              <w:rPr>
                <w:rFonts w:ascii="宋体" w:hAnsi="宋体" w:cs="宋体"/>
                <w:b/>
                <w:bCs/>
                <w:color w:val="auto"/>
                <w:szCs w:val="21"/>
                <w:highlight w:val="none"/>
              </w:rPr>
            </w:pPr>
          </w:p>
        </w:tc>
        <w:tc>
          <w:tcPr>
            <w:tcW w:w="1988" w:type="dxa"/>
            <w:noWrap/>
            <w:vAlign w:val="center"/>
          </w:tcPr>
          <w:p>
            <w:pPr>
              <w:jc w:val="center"/>
              <w:rPr>
                <w:rFonts w:ascii="宋体" w:hAnsi="宋体" w:cs="宋体"/>
                <w:b/>
                <w:bCs/>
                <w:color w:val="auto"/>
                <w:szCs w:val="21"/>
                <w:highlight w:val="none"/>
              </w:rPr>
            </w:pPr>
          </w:p>
        </w:tc>
        <w:tc>
          <w:tcPr>
            <w:tcW w:w="1864" w:type="dxa"/>
            <w:noWrap/>
            <w:vAlign w:val="center"/>
          </w:tcPr>
          <w:p>
            <w:pPr>
              <w:jc w:val="center"/>
              <w:rPr>
                <w:rFonts w:ascii="宋体" w:hAnsi="宋体" w:cs="宋体"/>
                <w:color w:val="auto"/>
                <w:szCs w:val="21"/>
                <w:highlight w:val="none"/>
              </w:rPr>
            </w:pPr>
          </w:p>
        </w:tc>
        <w:tc>
          <w:tcPr>
            <w:tcW w:w="1007" w:type="dxa"/>
            <w:noWrap/>
            <w:vAlign w:val="center"/>
          </w:tcPr>
          <w:p>
            <w:pPr>
              <w:jc w:val="center"/>
              <w:rPr>
                <w:rFonts w:ascii="宋体" w:hAnsi="宋体" w:cs="宋体"/>
                <w:color w:val="auto"/>
                <w:szCs w:val="21"/>
                <w:highlight w:val="none"/>
              </w:rPr>
            </w:pPr>
          </w:p>
        </w:tc>
        <w:tc>
          <w:tcPr>
            <w:tcW w:w="2340" w:type="dxa"/>
            <w:noWrap/>
            <w:vAlign w:val="center"/>
          </w:tcPr>
          <w:p>
            <w:pPr>
              <w:jc w:val="center"/>
              <w:rPr>
                <w:rFonts w:ascii="宋体" w:hAnsi="宋体" w:cs="宋体"/>
                <w:color w:val="auto"/>
                <w:szCs w:val="21"/>
                <w:highlight w:val="none"/>
              </w:rPr>
            </w:pPr>
          </w:p>
        </w:tc>
        <w:tc>
          <w:tcPr>
            <w:tcW w:w="1080" w:type="dxa"/>
            <w:noWrap/>
            <w:vAlign w:val="center"/>
          </w:tcPr>
          <w:p>
            <w:pPr>
              <w:jc w:val="center"/>
              <w:rPr>
                <w:rFonts w:ascii="宋体" w:hAnsi="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trPr>
        <w:tc>
          <w:tcPr>
            <w:tcW w:w="829" w:type="dxa"/>
            <w:noWrap/>
            <w:vAlign w:val="center"/>
          </w:tcPr>
          <w:p>
            <w:pPr>
              <w:jc w:val="center"/>
              <w:rPr>
                <w:rFonts w:ascii="宋体" w:hAnsi="宋体" w:cs="宋体"/>
                <w:b/>
                <w:bCs/>
                <w:color w:val="auto"/>
                <w:szCs w:val="21"/>
                <w:highlight w:val="none"/>
              </w:rPr>
            </w:pPr>
          </w:p>
        </w:tc>
        <w:tc>
          <w:tcPr>
            <w:tcW w:w="1988" w:type="dxa"/>
            <w:noWrap/>
            <w:vAlign w:val="center"/>
          </w:tcPr>
          <w:p>
            <w:pPr>
              <w:jc w:val="center"/>
              <w:rPr>
                <w:rFonts w:ascii="宋体" w:hAnsi="宋体" w:cs="宋体"/>
                <w:b/>
                <w:bCs/>
                <w:color w:val="auto"/>
                <w:szCs w:val="21"/>
                <w:highlight w:val="none"/>
              </w:rPr>
            </w:pPr>
          </w:p>
        </w:tc>
        <w:tc>
          <w:tcPr>
            <w:tcW w:w="1864" w:type="dxa"/>
            <w:noWrap/>
            <w:vAlign w:val="center"/>
          </w:tcPr>
          <w:p>
            <w:pPr>
              <w:jc w:val="center"/>
              <w:rPr>
                <w:rFonts w:ascii="宋体" w:hAnsi="宋体" w:cs="宋体"/>
                <w:color w:val="auto"/>
                <w:szCs w:val="21"/>
                <w:highlight w:val="none"/>
              </w:rPr>
            </w:pPr>
          </w:p>
        </w:tc>
        <w:tc>
          <w:tcPr>
            <w:tcW w:w="1007" w:type="dxa"/>
            <w:noWrap/>
            <w:vAlign w:val="center"/>
          </w:tcPr>
          <w:p>
            <w:pPr>
              <w:jc w:val="center"/>
              <w:rPr>
                <w:rFonts w:ascii="宋体" w:hAnsi="宋体" w:cs="宋体"/>
                <w:color w:val="auto"/>
                <w:szCs w:val="21"/>
                <w:highlight w:val="none"/>
              </w:rPr>
            </w:pPr>
          </w:p>
        </w:tc>
        <w:tc>
          <w:tcPr>
            <w:tcW w:w="2340" w:type="dxa"/>
            <w:noWrap/>
            <w:vAlign w:val="center"/>
          </w:tcPr>
          <w:p>
            <w:pPr>
              <w:jc w:val="center"/>
              <w:rPr>
                <w:rFonts w:ascii="宋体" w:hAnsi="宋体" w:cs="宋体"/>
                <w:color w:val="auto"/>
                <w:szCs w:val="21"/>
                <w:highlight w:val="none"/>
              </w:rPr>
            </w:pPr>
          </w:p>
        </w:tc>
        <w:tc>
          <w:tcPr>
            <w:tcW w:w="1080" w:type="dxa"/>
            <w:noWrap/>
            <w:vAlign w:val="center"/>
          </w:tcPr>
          <w:p>
            <w:pPr>
              <w:jc w:val="center"/>
              <w:rPr>
                <w:rFonts w:ascii="宋体" w:hAnsi="宋体" w:cs="宋体"/>
                <w:b/>
                <w:bCs/>
                <w:color w:val="auto"/>
                <w:szCs w:val="21"/>
                <w:highlight w:val="none"/>
              </w:rPr>
            </w:pPr>
          </w:p>
        </w:tc>
      </w:tr>
    </w:tbl>
    <w:p>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此表可在不改变格式的情况下自行制作</w:t>
      </w:r>
    </w:p>
    <w:p>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备注：该表需详细填写，置于技术商务标中，用于技术评审。</w:t>
      </w:r>
    </w:p>
    <w:p>
      <w:pPr>
        <w:rPr>
          <w:rFonts w:ascii="宋体" w:hAnsi="宋体" w:cs="宋体"/>
          <w:b/>
          <w:bCs/>
          <w:color w:val="auto"/>
          <w:szCs w:val="21"/>
          <w:highlight w:val="none"/>
          <w:u w:val="single"/>
        </w:rPr>
      </w:pPr>
    </w:p>
    <w:p>
      <w:pPr>
        <w:pStyle w:val="81"/>
        <w:rPr>
          <w:color w:val="auto"/>
          <w:sz w:val="21"/>
          <w:highlight w:val="none"/>
        </w:rPr>
      </w:pPr>
    </w:p>
    <w:p>
      <w:pPr>
        <w:spacing w:line="360" w:lineRule="auto"/>
        <w:ind w:firstLine="420" w:firstLineChars="200"/>
        <w:jc w:val="right"/>
        <w:rPr>
          <w:rFonts w:ascii="宋体" w:hAnsi="宋体" w:cs="宋体"/>
          <w:color w:val="auto"/>
          <w:sz w:val="21"/>
          <w:szCs w:val="21"/>
          <w:highlight w:val="none"/>
        </w:rPr>
      </w:pPr>
      <w:r>
        <w:rPr>
          <w:rFonts w:hint="eastAsia" w:ascii="宋体"/>
          <w:color w:val="auto"/>
          <w:sz w:val="21"/>
          <w:szCs w:val="21"/>
          <w:highlight w:val="none"/>
        </w:rPr>
        <w:t>投标人名称</w:t>
      </w:r>
      <w:r>
        <w:rPr>
          <w:rFonts w:hint="eastAsia" w:ascii="宋体" w:hAnsi="宋体" w:cs="宋体"/>
          <w:color w:val="auto"/>
          <w:sz w:val="21"/>
          <w:szCs w:val="21"/>
          <w:highlight w:val="none"/>
        </w:rPr>
        <w:t xml:space="preserve">（盖章）：____________________________     </w:t>
      </w:r>
    </w:p>
    <w:p>
      <w:pPr>
        <w:spacing w:line="360" w:lineRule="auto"/>
        <w:ind w:firstLine="420" w:firstLineChars="200"/>
        <w:jc w:val="right"/>
        <w:rPr>
          <w:rFonts w:ascii="宋体" w:hAnsi="宋体" w:cs="宋体"/>
          <w:color w:val="auto"/>
          <w:sz w:val="21"/>
          <w:szCs w:val="21"/>
          <w:highlight w:val="none"/>
        </w:rPr>
      </w:pPr>
      <w:r>
        <w:rPr>
          <w:rFonts w:hint="eastAsia" w:ascii="宋体" w:hAnsi="宋体" w:cs="宋体"/>
          <w:color w:val="auto"/>
          <w:sz w:val="21"/>
          <w:szCs w:val="21"/>
          <w:highlight w:val="none"/>
        </w:rPr>
        <w:t>法定代表人或委托代理人（签字</w:t>
      </w:r>
      <w:r>
        <w:rPr>
          <w:rFonts w:hint="eastAsia" w:ascii="宋体" w:hAnsi="宋体" w:cs="宋体"/>
          <w:color w:val="auto"/>
          <w:sz w:val="21"/>
          <w:szCs w:val="21"/>
          <w:highlight w:val="none"/>
          <w:lang w:val="en-US" w:eastAsia="zh-CN"/>
        </w:rPr>
        <w:t>或盖章</w:t>
      </w:r>
      <w:r>
        <w:rPr>
          <w:rFonts w:hint="eastAsia" w:ascii="宋体" w:hAnsi="宋体" w:cs="宋体"/>
          <w:color w:val="auto"/>
          <w:sz w:val="21"/>
          <w:szCs w:val="21"/>
          <w:highlight w:val="none"/>
        </w:rPr>
        <w:t>）：________________________</w:t>
      </w:r>
    </w:p>
    <w:p>
      <w:pPr>
        <w:pStyle w:val="36"/>
        <w:widowControl w:val="0"/>
        <w:spacing w:beforeLines="50" w:beforeAutospacing="0" w:afterLines="50" w:afterAutospacing="0" w:line="400" w:lineRule="atLeast"/>
        <w:jc w:val="center"/>
        <w:rPr>
          <w:rFonts w:cs="宋体"/>
          <w:b/>
          <w:color w:val="auto"/>
          <w:kern w:val="2"/>
          <w:sz w:val="32"/>
          <w:szCs w:val="32"/>
          <w:highlight w:val="none"/>
        </w:rPr>
      </w:pPr>
    </w:p>
    <w:p>
      <w:pPr>
        <w:jc w:val="center"/>
        <w:rPr>
          <w:rFonts w:ascii="宋体" w:cs="宋体"/>
          <w:b/>
          <w:bCs/>
          <w:color w:val="auto"/>
          <w:sz w:val="32"/>
          <w:szCs w:val="32"/>
          <w:highlight w:val="none"/>
        </w:rPr>
      </w:pPr>
    </w:p>
    <w:p>
      <w:pPr>
        <w:jc w:val="center"/>
        <w:rPr>
          <w:rFonts w:ascii="宋体" w:cs="宋体"/>
          <w:b/>
          <w:bCs/>
          <w:color w:val="auto"/>
          <w:sz w:val="32"/>
          <w:szCs w:val="32"/>
          <w:highlight w:val="none"/>
        </w:rPr>
      </w:pPr>
    </w:p>
    <w:p>
      <w:pPr>
        <w:jc w:val="center"/>
        <w:rPr>
          <w:rFonts w:ascii="宋体" w:cs="宋体"/>
          <w:b/>
          <w:bCs/>
          <w:color w:val="auto"/>
          <w:sz w:val="32"/>
          <w:szCs w:val="32"/>
          <w:highlight w:val="none"/>
        </w:rPr>
      </w:pPr>
    </w:p>
    <w:p>
      <w:pPr>
        <w:jc w:val="center"/>
        <w:rPr>
          <w:rFonts w:hint="eastAsia" w:ascii="宋体" w:hAnsi="宋体" w:cs="宋体"/>
          <w:b/>
          <w:bCs/>
          <w:color w:val="auto"/>
          <w:sz w:val="30"/>
          <w:szCs w:val="30"/>
          <w:highlight w:val="none"/>
        </w:rPr>
      </w:pPr>
      <w:r>
        <w:rPr>
          <w:rFonts w:hint="eastAsia" w:ascii="宋体" w:hAnsi="宋体" w:cs="宋体"/>
          <w:b/>
          <w:bCs/>
          <w:color w:val="auto"/>
          <w:sz w:val="30"/>
          <w:szCs w:val="30"/>
          <w:highlight w:val="none"/>
        </w:rPr>
        <w:t>主要指标项偏离情况表</w:t>
      </w:r>
    </w:p>
    <w:p>
      <w:pPr>
        <w:rPr>
          <w:color w:val="auto"/>
          <w:sz w:val="24"/>
          <w:szCs w:val="24"/>
          <w:highlight w:val="none"/>
        </w:rPr>
      </w:pPr>
      <w:r>
        <w:rPr>
          <w:color w:val="auto"/>
          <w:sz w:val="24"/>
          <w:szCs w:val="24"/>
          <w:highlight w:val="none"/>
        </w:rPr>
        <w:t>项目名称：</w:t>
      </w:r>
      <w:r>
        <w:rPr>
          <w:rFonts w:hint="eastAsia"/>
          <w:color w:val="auto"/>
          <w:sz w:val="24"/>
          <w:szCs w:val="24"/>
          <w:highlight w:val="none"/>
        </w:rPr>
        <w:t xml:space="preserve">                                          项目编号：</w:t>
      </w:r>
    </w:p>
    <w:tbl>
      <w:tblPr>
        <w:tblStyle w:val="39"/>
        <w:tblW w:w="10185" w:type="dxa"/>
        <w:tblInd w:w="-25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90"/>
        <w:gridCol w:w="801"/>
        <w:gridCol w:w="3985"/>
        <w:gridCol w:w="858"/>
        <w:gridCol w:w="1635"/>
        <w:gridCol w:w="1472"/>
        <w:gridCol w:w="5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890" w:type="dxa"/>
            <w:noWrap w:val="0"/>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序号</w:t>
            </w:r>
          </w:p>
        </w:tc>
        <w:tc>
          <w:tcPr>
            <w:tcW w:w="801" w:type="dxa"/>
            <w:noWrap w:val="0"/>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内容</w:t>
            </w:r>
          </w:p>
        </w:tc>
        <w:tc>
          <w:tcPr>
            <w:tcW w:w="3985" w:type="dxa"/>
            <w:noWrap w:val="0"/>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采购文件规范要求</w:t>
            </w:r>
          </w:p>
        </w:tc>
        <w:tc>
          <w:tcPr>
            <w:tcW w:w="858" w:type="dxa"/>
            <w:noWrap w:val="0"/>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投标文件对应规范</w:t>
            </w:r>
          </w:p>
        </w:tc>
        <w:tc>
          <w:tcPr>
            <w:tcW w:w="1635" w:type="dxa"/>
            <w:noWrap w:val="0"/>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离（无偏离正偏离/负偏离）</w:t>
            </w:r>
          </w:p>
        </w:tc>
        <w:tc>
          <w:tcPr>
            <w:tcW w:w="1472" w:type="dxa"/>
            <w:noWrap w:val="0"/>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佐证材料页码</w:t>
            </w:r>
          </w:p>
        </w:tc>
        <w:tc>
          <w:tcPr>
            <w:tcW w:w="544" w:type="dxa"/>
            <w:noWrap w:val="0"/>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8" w:hRule="atLeast"/>
        </w:trPr>
        <w:tc>
          <w:tcPr>
            <w:tcW w:w="890" w:type="dxa"/>
            <w:noWrap w:val="0"/>
            <w:vAlign w:val="center"/>
          </w:tcPr>
          <w:p>
            <w:pPr>
              <w:spacing w:line="36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▲2.1</w:t>
            </w:r>
          </w:p>
        </w:tc>
        <w:tc>
          <w:tcPr>
            <w:tcW w:w="80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血透机单泵</w:t>
            </w:r>
          </w:p>
        </w:tc>
        <w:tc>
          <w:tcPr>
            <w:tcW w:w="39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auto"/>
              <w:rPr>
                <w:rFonts w:ascii="宋体" w:hAnsi="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≥15英寸彩色液晶触摸显示屏，一键式引导界面，操作简单，遵循临床操作规范。</w:t>
            </w:r>
          </w:p>
        </w:tc>
        <w:tc>
          <w:tcPr>
            <w:tcW w:w="858" w:type="dxa"/>
            <w:noWrap w:val="0"/>
            <w:vAlign w:val="center"/>
          </w:tcPr>
          <w:p>
            <w:pPr>
              <w:keepNext w:val="0"/>
              <w:keepLines w:val="0"/>
              <w:widowControl/>
              <w:suppressLineNumbers w:val="0"/>
              <w:jc w:val="center"/>
              <w:textAlignment w:val="center"/>
              <w:rPr>
                <w:rFonts w:ascii="宋体" w:hAnsi="宋体" w:cs="宋体"/>
                <w:color w:val="auto"/>
                <w:sz w:val="21"/>
                <w:szCs w:val="21"/>
                <w:highlight w:val="none"/>
              </w:rPr>
            </w:pPr>
          </w:p>
        </w:tc>
        <w:tc>
          <w:tcPr>
            <w:tcW w:w="1635" w:type="dxa"/>
            <w:noWrap w:val="0"/>
            <w:vAlign w:val="center"/>
          </w:tcPr>
          <w:p>
            <w:pPr>
              <w:keepNext w:val="0"/>
              <w:keepLines w:val="0"/>
              <w:widowControl/>
              <w:suppressLineNumbers w:val="0"/>
              <w:jc w:val="right"/>
              <w:textAlignment w:val="center"/>
              <w:rPr>
                <w:rFonts w:ascii="宋体" w:hAnsi="宋体" w:cs="宋体"/>
                <w:color w:val="auto"/>
                <w:sz w:val="21"/>
                <w:szCs w:val="21"/>
                <w:highlight w:val="none"/>
              </w:rPr>
            </w:pPr>
          </w:p>
        </w:tc>
        <w:tc>
          <w:tcPr>
            <w:tcW w:w="1472" w:type="dxa"/>
            <w:noWrap w:val="0"/>
            <w:vAlign w:val="center"/>
          </w:tcPr>
          <w:p>
            <w:pPr>
              <w:keepNext w:val="0"/>
              <w:keepLines w:val="0"/>
              <w:widowControl/>
              <w:suppressLineNumbers w:val="0"/>
              <w:jc w:val="center"/>
              <w:textAlignment w:val="center"/>
              <w:rPr>
                <w:color w:val="auto"/>
                <w:highlight w:val="none"/>
              </w:rPr>
            </w:pPr>
          </w:p>
        </w:tc>
        <w:tc>
          <w:tcPr>
            <w:tcW w:w="544" w:type="dxa"/>
            <w:noWrap w:val="0"/>
            <w:vAlign w:val="center"/>
          </w:tcPr>
          <w:p>
            <w:pPr>
              <w:keepNext w:val="0"/>
              <w:keepLines w:val="0"/>
              <w:widowControl/>
              <w:suppressLineNumbers w:val="0"/>
              <w:jc w:val="left"/>
              <w:textAlignment w:val="center"/>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890" w:type="dxa"/>
            <w:noWrap w:val="0"/>
            <w:vAlign w:val="center"/>
          </w:tcPr>
          <w:p>
            <w:pPr>
              <w:spacing w:line="36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▲2.17</w:t>
            </w:r>
          </w:p>
        </w:tc>
        <w:tc>
          <w:tcPr>
            <w:tcW w:w="80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血透机单泵</w:t>
            </w:r>
          </w:p>
        </w:tc>
        <w:tc>
          <w:tcPr>
            <w:tcW w:w="39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auto"/>
              <w:rPr>
                <w:rFonts w:hint="eastAsia" w:ascii="宋体" w:hAnsi="宋体" w:cs="宋体"/>
                <w:color w:val="auto"/>
                <w:kern w:val="0"/>
                <w:sz w:val="18"/>
                <w:szCs w:val="18"/>
                <w:highlight w:val="none"/>
              </w:rPr>
            </w:pPr>
            <w:r>
              <w:rPr>
                <w:rFonts w:hint="eastAsia" w:ascii="宋体" w:hAnsi="宋体" w:eastAsia="宋体" w:cs="宋体"/>
                <w:color w:val="auto"/>
                <w:kern w:val="2"/>
                <w:sz w:val="21"/>
                <w:szCs w:val="21"/>
                <w:highlight w:val="none"/>
                <w:lang w:val="en-US" w:eastAsia="zh-CN" w:bidi="ar-SA"/>
              </w:rPr>
              <w:t>超滤曲线：</w:t>
            </w:r>
            <w:r>
              <w:rPr>
                <w:rFonts w:hint="eastAsia" w:ascii="宋体" w:hAnsi="宋体" w:eastAsia="宋体" w:cs="宋体"/>
                <w:color w:val="auto"/>
                <w:kern w:val="2"/>
                <w:sz w:val="21"/>
                <w:szCs w:val="21"/>
                <w:highlight w:val="none"/>
                <w:lang w:val="en-US" w:eastAsia="zh-CN" w:bidi="ar-SA"/>
              </w:rPr>
              <w:t>超滤曲线：可存储设定曲线，</w:t>
            </w:r>
            <w:r>
              <w:rPr>
                <w:rFonts w:hint="eastAsia" w:ascii="宋体" w:hAnsi="宋体" w:cs="宋体"/>
                <w:color w:val="auto"/>
                <w:kern w:val="2"/>
                <w:sz w:val="21"/>
                <w:szCs w:val="21"/>
                <w:highlight w:val="none"/>
                <w:lang w:val="en-US" w:eastAsia="zh-CN" w:bidi="ar-SA"/>
              </w:rPr>
              <w:t>≥</w:t>
            </w:r>
            <w:r>
              <w:rPr>
                <w:rFonts w:hint="eastAsia" w:ascii="宋体" w:hAnsi="宋体" w:eastAsia="宋体" w:cs="宋体"/>
                <w:color w:val="auto"/>
                <w:kern w:val="2"/>
                <w:sz w:val="21"/>
                <w:szCs w:val="21"/>
                <w:highlight w:val="none"/>
                <w:lang w:val="en-US" w:eastAsia="zh-CN" w:bidi="ar-SA"/>
              </w:rPr>
              <w:t>10种固定曲线，</w:t>
            </w:r>
            <w:r>
              <w:rPr>
                <w:rFonts w:hint="eastAsia" w:ascii="宋体" w:hAnsi="宋体" w:cs="宋体"/>
                <w:color w:val="auto"/>
                <w:kern w:val="2"/>
                <w:sz w:val="21"/>
                <w:szCs w:val="21"/>
                <w:highlight w:val="none"/>
                <w:lang w:val="en-US" w:eastAsia="zh-CN" w:bidi="ar-SA"/>
              </w:rPr>
              <w:t>≥</w:t>
            </w:r>
            <w:r>
              <w:rPr>
                <w:rFonts w:hint="eastAsia" w:ascii="宋体" w:hAnsi="宋体" w:eastAsia="宋体" w:cs="宋体"/>
                <w:color w:val="auto"/>
                <w:kern w:val="2"/>
                <w:sz w:val="21"/>
                <w:szCs w:val="21"/>
                <w:highlight w:val="none"/>
                <w:lang w:val="en-US" w:eastAsia="zh-CN" w:bidi="ar-SA"/>
              </w:rPr>
              <w:t>20种自定义曲线，满足个性化透析</w:t>
            </w:r>
            <w:r>
              <w:rPr>
                <w:rFonts w:hint="eastAsia" w:ascii="宋体" w:hAnsi="宋体" w:eastAsia="宋体" w:cs="宋体"/>
                <w:color w:val="auto"/>
                <w:kern w:val="2"/>
                <w:sz w:val="21"/>
                <w:szCs w:val="21"/>
                <w:highlight w:val="none"/>
                <w:lang w:val="en-US" w:eastAsia="zh-CN" w:bidi="ar-SA"/>
              </w:rPr>
              <w:t>。</w:t>
            </w:r>
          </w:p>
        </w:tc>
        <w:tc>
          <w:tcPr>
            <w:tcW w:w="858" w:type="dxa"/>
            <w:noWrap w:val="0"/>
            <w:vAlign w:val="center"/>
          </w:tcPr>
          <w:p>
            <w:pPr>
              <w:keepNext w:val="0"/>
              <w:keepLines w:val="0"/>
              <w:widowControl/>
              <w:suppressLineNumbers w:val="0"/>
              <w:jc w:val="center"/>
              <w:textAlignment w:val="center"/>
              <w:rPr>
                <w:rFonts w:ascii="宋体" w:hAnsi="宋体" w:cs="宋体"/>
                <w:color w:val="auto"/>
                <w:sz w:val="21"/>
                <w:szCs w:val="21"/>
                <w:highlight w:val="none"/>
              </w:rPr>
            </w:pPr>
          </w:p>
        </w:tc>
        <w:tc>
          <w:tcPr>
            <w:tcW w:w="1635" w:type="dxa"/>
            <w:noWrap w:val="0"/>
            <w:vAlign w:val="center"/>
          </w:tcPr>
          <w:p>
            <w:pPr>
              <w:keepNext w:val="0"/>
              <w:keepLines w:val="0"/>
              <w:widowControl/>
              <w:suppressLineNumbers w:val="0"/>
              <w:jc w:val="right"/>
              <w:textAlignment w:val="center"/>
              <w:rPr>
                <w:rFonts w:ascii="宋体" w:hAnsi="宋体" w:cs="宋体"/>
                <w:color w:val="auto"/>
                <w:sz w:val="21"/>
                <w:szCs w:val="21"/>
                <w:highlight w:val="none"/>
              </w:rPr>
            </w:pPr>
          </w:p>
        </w:tc>
        <w:tc>
          <w:tcPr>
            <w:tcW w:w="1472" w:type="dxa"/>
            <w:noWrap w:val="0"/>
            <w:vAlign w:val="center"/>
          </w:tcPr>
          <w:p>
            <w:pPr>
              <w:keepNext w:val="0"/>
              <w:keepLines w:val="0"/>
              <w:widowControl/>
              <w:suppressLineNumbers w:val="0"/>
              <w:jc w:val="center"/>
              <w:textAlignment w:val="center"/>
              <w:rPr>
                <w:color w:val="auto"/>
                <w:highlight w:val="none"/>
              </w:rPr>
            </w:pPr>
          </w:p>
        </w:tc>
        <w:tc>
          <w:tcPr>
            <w:tcW w:w="544" w:type="dxa"/>
            <w:noWrap w:val="0"/>
            <w:vAlign w:val="center"/>
          </w:tcPr>
          <w:p>
            <w:pPr>
              <w:keepNext w:val="0"/>
              <w:keepLines w:val="0"/>
              <w:widowControl/>
              <w:suppressLineNumbers w:val="0"/>
              <w:jc w:val="left"/>
              <w:textAlignment w:val="center"/>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890" w:type="dxa"/>
            <w:noWrap w:val="0"/>
            <w:vAlign w:val="center"/>
          </w:tcPr>
          <w:p>
            <w:pPr>
              <w:spacing w:line="36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▲2.22</w:t>
            </w:r>
          </w:p>
        </w:tc>
        <w:tc>
          <w:tcPr>
            <w:tcW w:w="80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血透机单泵</w:t>
            </w:r>
          </w:p>
        </w:tc>
        <w:tc>
          <w:tcPr>
            <w:tcW w:w="3985" w:type="dxa"/>
            <w:noWrap w:val="0"/>
            <w:vAlign w:val="center"/>
          </w:tcPr>
          <w:p>
            <w:pPr>
              <w:keepNext w:val="0"/>
              <w:keepLines w:val="0"/>
              <w:pageBreakBefore w:val="0"/>
              <w:kinsoku/>
              <w:wordWrap/>
              <w:overflowPunct/>
              <w:topLinePunct w:val="0"/>
              <w:autoSpaceDE/>
              <w:autoSpaceDN/>
              <w:bidi w:val="0"/>
              <w:adjustRightInd/>
              <w:snapToGrid/>
              <w:spacing w:after="120" w:line="320" w:lineRule="exact"/>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具有图标释义功能，点击帮助键后再点击图标，可显示该图标的功能释义.</w:t>
            </w:r>
          </w:p>
        </w:tc>
        <w:tc>
          <w:tcPr>
            <w:tcW w:w="858" w:type="dxa"/>
            <w:noWrap w:val="0"/>
            <w:vAlign w:val="center"/>
          </w:tcPr>
          <w:p>
            <w:pPr>
              <w:keepNext w:val="0"/>
              <w:keepLines w:val="0"/>
              <w:widowControl/>
              <w:suppressLineNumbers w:val="0"/>
              <w:jc w:val="center"/>
              <w:textAlignment w:val="center"/>
              <w:rPr>
                <w:rFonts w:ascii="宋体" w:hAnsi="宋体" w:cs="宋体"/>
                <w:color w:val="auto"/>
                <w:sz w:val="21"/>
                <w:szCs w:val="21"/>
                <w:highlight w:val="none"/>
              </w:rPr>
            </w:pPr>
          </w:p>
        </w:tc>
        <w:tc>
          <w:tcPr>
            <w:tcW w:w="1635" w:type="dxa"/>
            <w:noWrap w:val="0"/>
            <w:vAlign w:val="center"/>
          </w:tcPr>
          <w:p>
            <w:pPr>
              <w:keepNext w:val="0"/>
              <w:keepLines w:val="0"/>
              <w:widowControl/>
              <w:suppressLineNumbers w:val="0"/>
              <w:jc w:val="right"/>
              <w:textAlignment w:val="center"/>
              <w:rPr>
                <w:rFonts w:ascii="宋体" w:hAnsi="宋体" w:cs="宋体"/>
                <w:color w:val="auto"/>
                <w:sz w:val="21"/>
                <w:szCs w:val="21"/>
                <w:highlight w:val="none"/>
              </w:rPr>
            </w:pPr>
          </w:p>
        </w:tc>
        <w:tc>
          <w:tcPr>
            <w:tcW w:w="1472" w:type="dxa"/>
            <w:noWrap w:val="0"/>
            <w:vAlign w:val="center"/>
          </w:tcPr>
          <w:p>
            <w:pPr>
              <w:keepNext w:val="0"/>
              <w:keepLines w:val="0"/>
              <w:widowControl/>
              <w:suppressLineNumbers w:val="0"/>
              <w:jc w:val="center"/>
              <w:textAlignment w:val="center"/>
              <w:rPr>
                <w:color w:val="auto"/>
                <w:highlight w:val="none"/>
              </w:rPr>
            </w:pPr>
          </w:p>
        </w:tc>
        <w:tc>
          <w:tcPr>
            <w:tcW w:w="544" w:type="dxa"/>
            <w:noWrap w:val="0"/>
            <w:vAlign w:val="center"/>
          </w:tcPr>
          <w:p>
            <w:pPr>
              <w:keepNext w:val="0"/>
              <w:keepLines w:val="0"/>
              <w:widowControl/>
              <w:suppressLineNumbers w:val="0"/>
              <w:jc w:val="left"/>
              <w:textAlignment w:val="center"/>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890" w:type="dxa"/>
            <w:noWrap w:val="0"/>
            <w:vAlign w:val="center"/>
          </w:tcPr>
          <w:p>
            <w:pPr>
              <w:spacing w:line="36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▲2.23</w:t>
            </w:r>
          </w:p>
        </w:tc>
        <w:tc>
          <w:tcPr>
            <w:tcW w:w="80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血透机单泵</w:t>
            </w:r>
          </w:p>
        </w:tc>
        <w:tc>
          <w:tcPr>
            <w:tcW w:w="3985" w:type="dxa"/>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可进行血路管通透性和密闭性自检，以保证患者透析安全。</w:t>
            </w:r>
          </w:p>
        </w:tc>
        <w:tc>
          <w:tcPr>
            <w:tcW w:w="858" w:type="dxa"/>
            <w:noWrap w:val="0"/>
            <w:vAlign w:val="center"/>
          </w:tcPr>
          <w:p>
            <w:pPr>
              <w:keepNext w:val="0"/>
              <w:keepLines w:val="0"/>
              <w:widowControl/>
              <w:suppressLineNumbers w:val="0"/>
              <w:jc w:val="center"/>
              <w:textAlignment w:val="center"/>
              <w:rPr>
                <w:rFonts w:ascii="宋体" w:hAnsi="宋体" w:cs="宋体"/>
                <w:color w:val="auto"/>
                <w:sz w:val="21"/>
                <w:szCs w:val="21"/>
                <w:highlight w:val="none"/>
              </w:rPr>
            </w:pPr>
          </w:p>
        </w:tc>
        <w:tc>
          <w:tcPr>
            <w:tcW w:w="1635" w:type="dxa"/>
            <w:noWrap w:val="0"/>
            <w:vAlign w:val="center"/>
          </w:tcPr>
          <w:p>
            <w:pPr>
              <w:keepNext w:val="0"/>
              <w:keepLines w:val="0"/>
              <w:widowControl/>
              <w:suppressLineNumbers w:val="0"/>
              <w:jc w:val="right"/>
              <w:textAlignment w:val="center"/>
              <w:rPr>
                <w:rFonts w:ascii="宋体" w:hAnsi="宋体" w:cs="宋体"/>
                <w:color w:val="auto"/>
                <w:sz w:val="21"/>
                <w:szCs w:val="21"/>
                <w:highlight w:val="none"/>
              </w:rPr>
            </w:pPr>
          </w:p>
        </w:tc>
        <w:tc>
          <w:tcPr>
            <w:tcW w:w="1472" w:type="dxa"/>
            <w:noWrap w:val="0"/>
            <w:vAlign w:val="center"/>
          </w:tcPr>
          <w:p>
            <w:pPr>
              <w:keepNext w:val="0"/>
              <w:keepLines w:val="0"/>
              <w:widowControl/>
              <w:suppressLineNumbers w:val="0"/>
              <w:jc w:val="center"/>
              <w:textAlignment w:val="center"/>
              <w:rPr>
                <w:color w:val="auto"/>
                <w:highlight w:val="none"/>
              </w:rPr>
            </w:pPr>
          </w:p>
        </w:tc>
        <w:tc>
          <w:tcPr>
            <w:tcW w:w="544" w:type="dxa"/>
            <w:noWrap w:val="0"/>
            <w:vAlign w:val="center"/>
          </w:tcPr>
          <w:p>
            <w:pPr>
              <w:keepNext w:val="0"/>
              <w:keepLines w:val="0"/>
              <w:widowControl/>
              <w:suppressLineNumbers w:val="0"/>
              <w:jc w:val="left"/>
              <w:textAlignment w:val="center"/>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890" w:type="dxa"/>
            <w:noWrap w:val="0"/>
            <w:vAlign w:val="center"/>
          </w:tcPr>
          <w:p>
            <w:pPr>
              <w:spacing w:line="36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▲2.24</w:t>
            </w:r>
          </w:p>
        </w:tc>
        <w:tc>
          <w:tcPr>
            <w:tcW w:w="80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血透机单泵</w:t>
            </w:r>
          </w:p>
        </w:tc>
        <w:tc>
          <w:tcPr>
            <w:tcW w:w="3985" w:type="dxa"/>
            <w:noWrap w:val="0"/>
            <w:vAlign w:val="center"/>
          </w:tcPr>
          <w:p>
            <w:pPr>
              <w:keepNext w:val="0"/>
              <w:keepLines w:val="0"/>
              <w:pageBreakBefore w:val="0"/>
              <w:kinsoku/>
              <w:wordWrap/>
              <w:overflowPunct/>
              <w:topLinePunct w:val="0"/>
              <w:autoSpaceDE/>
              <w:autoSpaceDN/>
              <w:bidi w:val="0"/>
              <w:adjustRightInd/>
              <w:snapToGrid/>
              <w:spacing w:after="120" w:line="320" w:lineRule="exact"/>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机器使用期限≥10年或者≥30000小时（提供设备铭牌或其他证明）。</w:t>
            </w:r>
          </w:p>
        </w:tc>
        <w:tc>
          <w:tcPr>
            <w:tcW w:w="858" w:type="dxa"/>
            <w:noWrap w:val="0"/>
            <w:vAlign w:val="center"/>
          </w:tcPr>
          <w:p>
            <w:pPr>
              <w:keepNext w:val="0"/>
              <w:keepLines w:val="0"/>
              <w:widowControl/>
              <w:suppressLineNumbers w:val="0"/>
              <w:jc w:val="center"/>
              <w:textAlignment w:val="center"/>
              <w:rPr>
                <w:rFonts w:ascii="宋体" w:hAnsi="宋体" w:cs="宋体"/>
                <w:color w:val="auto"/>
                <w:sz w:val="21"/>
                <w:szCs w:val="21"/>
                <w:highlight w:val="none"/>
              </w:rPr>
            </w:pPr>
          </w:p>
        </w:tc>
        <w:tc>
          <w:tcPr>
            <w:tcW w:w="1635" w:type="dxa"/>
            <w:noWrap w:val="0"/>
            <w:vAlign w:val="center"/>
          </w:tcPr>
          <w:p>
            <w:pPr>
              <w:keepNext w:val="0"/>
              <w:keepLines w:val="0"/>
              <w:widowControl/>
              <w:suppressLineNumbers w:val="0"/>
              <w:jc w:val="right"/>
              <w:textAlignment w:val="center"/>
              <w:rPr>
                <w:rFonts w:ascii="宋体" w:hAnsi="宋体" w:cs="宋体"/>
                <w:color w:val="auto"/>
                <w:sz w:val="21"/>
                <w:szCs w:val="21"/>
                <w:highlight w:val="none"/>
              </w:rPr>
            </w:pPr>
          </w:p>
        </w:tc>
        <w:tc>
          <w:tcPr>
            <w:tcW w:w="1472" w:type="dxa"/>
            <w:noWrap w:val="0"/>
            <w:vAlign w:val="center"/>
          </w:tcPr>
          <w:p>
            <w:pPr>
              <w:keepNext w:val="0"/>
              <w:keepLines w:val="0"/>
              <w:widowControl/>
              <w:suppressLineNumbers w:val="0"/>
              <w:jc w:val="center"/>
              <w:textAlignment w:val="center"/>
              <w:rPr>
                <w:color w:val="auto"/>
                <w:highlight w:val="none"/>
              </w:rPr>
            </w:pPr>
          </w:p>
        </w:tc>
        <w:tc>
          <w:tcPr>
            <w:tcW w:w="544" w:type="dxa"/>
            <w:noWrap w:val="0"/>
            <w:vAlign w:val="center"/>
          </w:tcPr>
          <w:p>
            <w:pPr>
              <w:keepNext w:val="0"/>
              <w:keepLines w:val="0"/>
              <w:widowControl/>
              <w:suppressLineNumbers w:val="0"/>
              <w:jc w:val="left"/>
              <w:textAlignment w:val="center"/>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1" w:hRule="atLeast"/>
        </w:trPr>
        <w:tc>
          <w:tcPr>
            <w:tcW w:w="890" w:type="dxa"/>
            <w:noWrap w:val="0"/>
            <w:vAlign w:val="center"/>
          </w:tcPr>
          <w:p>
            <w:pPr>
              <w:spacing w:line="36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▲2.1</w:t>
            </w:r>
          </w:p>
        </w:tc>
        <w:tc>
          <w:tcPr>
            <w:tcW w:w="80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血透机双泵</w:t>
            </w:r>
          </w:p>
        </w:tc>
        <w:tc>
          <w:tcPr>
            <w:tcW w:w="3985" w:type="dxa"/>
            <w:noWrap w:val="0"/>
            <w:vAlign w:val="center"/>
          </w:tcPr>
          <w:p>
            <w:pPr>
              <w:keepNext w:val="0"/>
              <w:keepLines w:val="0"/>
              <w:pageBreakBefore w:val="0"/>
              <w:kinsoku/>
              <w:wordWrap/>
              <w:overflowPunct/>
              <w:topLinePunct w:val="0"/>
              <w:autoSpaceDE/>
              <w:autoSpaceDN/>
              <w:bidi w:val="0"/>
              <w:adjustRightInd/>
              <w:snapToGrid/>
              <w:spacing w:after="120" w:line="320" w:lineRule="exact"/>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血路管、补液管、原液配方全开放。</w:t>
            </w:r>
          </w:p>
        </w:tc>
        <w:tc>
          <w:tcPr>
            <w:tcW w:w="858" w:type="dxa"/>
            <w:noWrap w:val="0"/>
            <w:vAlign w:val="center"/>
          </w:tcPr>
          <w:p>
            <w:pPr>
              <w:keepNext w:val="0"/>
              <w:keepLines w:val="0"/>
              <w:widowControl/>
              <w:suppressLineNumbers w:val="0"/>
              <w:jc w:val="center"/>
              <w:textAlignment w:val="center"/>
              <w:rPr>
                <w:rFonts w:ascii="宋体" w:hAnsi="宋体" w:cs="宋体"/>
                <w:color w:val="auto"/>
                <w:sz w:val="21"/>
                <w:szCs w:val="21"/>
                <w:highlight w:val="none"/>
              </w:rPr>
            </w:pPr>
          </w:p>
        </w:tc>
        <w:tc>
          <w:tcPr>
            <w:tcW w:w="1635" w:type="dxa"/>
            <w:noWrap w:val="0"/>
            <w:vAlign w:val="center"/>
          </w:tcPr>
          <w:p>
            <w:pPr>
              <w:keepNext w:val="0"/>
              <w:keepLines w:val="0"/>
              <w:widowControl/>
              <w:suppressLineNumbers w:val="0"/>
              <w:jc w:val="right"/>
              <w:textAlignment w:val="center"/>
              <w:rPr>
                <w:rFonts w:ascii="宋体" w:hAnsi="宋体" w:cs="宋体"/>
                <w:color w:val="auto"/>
                <w:sz w:val="21"/>
                <w:szCs w:val="21"/>
                <w:highlight w:val="none"/>
              </w:rPr>
            </w:pPr>
          </w:p>
        </w:tc>
        <w:tc>
          <w:tcPr>
            <w:tcW w:w="1472" w:type="dxa"/>
            <w:noWrap w:val="0"/>
            <w:vAlign w:val="center"/>
          </w:tcPr>
          <w:p>
            <w:pPr>
              <w:keepNext w:val="0"/>
              <w:keepLines w:val="0"/>
              <w:widowControl/>
              <w:suppressLineNumbers w:val="0"/>
              <w:jc w:val="center"/>
              <w:textAlignment w:val="center"/>
              <w:rPr>
                <w:color w:val="auto"/>
                <w:highlight w:val="none"/>
              </w:rPr>
            </w:pPr>
          </w:p>
        </w:tc>
        <w:tc>
          <w:tcPr>
            <w:tcW w:w="544" w:type="dxa"/>
            <w:noWrap w:val="0"/>
            <w:vAlign w:val="center"/>
          </w:tcPr>
          <w:p>
            <w:pPr>
              <w:keepNext w:val="0"/>
              <w:keepLines w:val="0"/>
              <w:widowControl/>
              <w:suppressLineNumbers w:val="0"/>
              <w:jc w:val="left"/>
              <w:textAlignment w:val="center"/>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3" w:hRule="atLeast"/>
        </w:trPr>
        <w:tc>
          <w:tcPr>
            <w:tcW w:w="890" w:type="dxa"/>
            <w:noWrap w:val="0"/>
            <w:vAlign w:val="center"/>
          </w:tcPr>
          <w:p>
            <w:pPr>
              <w:spacing w:line="36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▲2.18</w:t>
            </w:r>
          </w:p>
        </w:tc>
        <w:tc>
          <w:tcPr>
            <w:tcW w:w="80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血透机双泵</w:t>
            </w:r>
          </w:p>
        </w:tc>
        <w:tc>
          <w:tcPr>
            <w:tcW w:w="3985" w:type="dxa"/>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具有图标释义功能，点击“帮助”键后再点击图标，可显示该图标的功能释义.</w:t>
            </w:r>
          </w:p>
        </w:tc>
        <w:tc>
          <w:tcPr>
            <w:tcW w:w="858" w:type="dxa"/>
            <w:noWrap w:val="0"/>
            <w:vAlign w:val="center"/>
          </w:tcPr>
          <w:p>
            <w:pPr>
              <w:keepNext w:val="0"/>
              <w:keepLines w:val="0"/>
              <w:widowControl/>
              <w:suppressLineNumbers w:val="0"/>
              <w:jc w:val="center"/>
              <w:textAlignment w:val="center"/>
              <w:rPr>
                <w:rFonts w:ascii="宋体" w:hAnsi="宋体" w:cs="宋体"/>
                <w:color w:val="auto"/>
                <w:sz w:val="21"/>
                <w:szCs w:val="21"/>
                <w:highlight w:val="none"/>
              </w:rPr>
            </w:pPr>
          </w:p>
        </w:tc>
        <w:tc>
          <w:tcPr>
            <w:tcW w:w="1635" w:type="dxa"/>
            <w:noWrap w:val="0"/>
            <w:vAlign w:val="center"/>
          </w:tcPr>
          <w:p>
            <w:pPr>
              <w:keepNext w:val="0"/>
              <w:keepLines w:val="0"/>
              <w:widowControl/>
              <w:suppressLineNumbers w:val="0"/>
              <w:jc w:val="right"/>
              <w:textAlignment w:val="center"/>
              <w:rPr>
                <w:rFonts w:ascii="宋体" w:hAnsi="宋体" w:cs="宋体"/>
                <w:color w:val="auto"/>
                <w:sz w:val="21"/>
                <w:szCs w:val="21"/>
                <w:highlight w:val="none"/>
              </w:rPr>
            </w:pPr>
          </w:p>
        </w:tc>
        <w:tc>
          <w:tcPr>
            <w:tcW w:w="1472" w:type="dxa"/>
            <w:noWrap w:val="0"/>
            <w:vAlign w:val="center"/>
          </w:tcPr>
          <w:p>
            <w:pPr>
              <w:keepNext w:val="0"/>
              <w:keepLines w:val="0"/>
              <w:widowControl/>
              <w:suppressLineNumbers w:val="0"/>
              <w:jc w:val="center"/>
              <w:textAlignment w:val="center"/>
              <w:rPr>
                <w:color w:val="auto"/>
                <w:highlight w:val="none"/>
              </w:rPr>
            </w:pPr>
          </w:p>
        </w:tc>
        <w:tc>
          <w:tcPr>
            <w:tcW w:w="544" w:type="dxa"/>
            <w:noWrap w:val="0"/>
            <w:vAlign w:val="center"/>
          </w:tcPr>
          <w:p>
            <w:pPr>
              <w:keepNext w:val="0"/>
              <w:keepLines w:val="0"/>
              <w:widowControl/>
              <w:suppressLineNumbers w:val="0"/>
              <w:jc w:val="left"/>
              <w:textAlignment w:val="center"/>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890" w:type="dxa"/>
            <w:noWrap w:val="0"/>
            <w:vAlign w:val="center"/>
          </w:tcPr>
          <w:p>
            <w:pPr>
              <w:spacing w:line="36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▲2.19</w:t>
            </w:r>
          </w:p>
        </w:tc>
        <w:tc>
          <w:tcPr>
            <w:tcW w:w="80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血透机双泵</w:t>
            </w:r>
          </w:p>
        </w:tc>
        <w:tc>
          <w:tcPr>
            <w:tcW w:w="3985" w:type="dxa"/>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超滤曲线：可存储设定曲线，≥10种固定曲线，≥20种自定义曲线，满足个性化透析。</w:t>
            </w:r>
          </w:p>
        </w:tc>
        <w:tc>
          <w:tcPr>
            <w:tcW w:w="858" w:type="dxa"/>
            <w:noWrap w:val="0"/>
            <w:vAlign w:val="center"/>
          </w:tcPr>
          <w:p>
            <w:pPr>
              <w:keepNext w:val="0"/>
              <w:keepLines w:val="0"/>
              <w:widowControl/>
              <w:suppressLineNumbers w:val="0"/>
              <w:jc w:val="center"/>
              <w:textAlignment w:val="center"/>
              <w:rPr>
                <w:rFonts w:ascii="宋体" w:hAnsi="宋体" w:cs="宋体"/>
                <w:color w:val="auto"/>
                <w:sz w:val="21"/>
                <w:szCs w:val="21"/>
                <w:highlight w:val="none"/>
              </w:rPr>
            </w:pPr>
          </w:p>
        </w:tc>
        <w:tc>
          <w:tcPr>
            <w:tcW w:w="1635" w:type="dxa"/>
            <w:noWrap w:val="0"/>
            <w:vAlign w:val="center"/>
          </w:tcPr>
          <w:p>
            <w:pPr>
              <w:keepNext w:val="0"/>
              <w:keepLines w:val="0"/>
              <w:widowControl/>
              <w:suppressLineNumbers w:val="0"/>
              <w:jc w:val="right"/>
              <w:textAlignment w:val="center"/>
              <w:rPr>
                <w:rFonts w:ascii="宋体" w:hAnsi="宋体" w:cs="宋体"/>
                <w:color w:val="auto"/>
                <w:sz w:val="21"/>
                <w:szCs w:val="21"/>
                <w:highlight w:val="none"/>
              </w:rPr>
            </w:pPr>
          </w:p>
        </w:tc>
        <w:tc>
          <w:tcPr>
            <w:tcW w:w="1472" w:type="dxa"/>
            <w:noWrap w:val="0"/>
            <w:vAlign w:val="center"/>
          </w:tcPr>
          <w:p>
            <w:pPr>
              <w:keepNext w:val="0"/>
              <w:keepLines w:val="0"/>
              <w:widowControl/>
              <w:suppressLineNumbers w:val="0"/>
              <w:jc w:val="center"/>
              <w:textAlignment w:val="center"/>
              <w:rPr>
                <w:color w:val="auto"/>
                <w:highlight w:val="none"/>
              </w:rPr>
            </w:pPr>
          </w:p>
        </w:tc>
        <w:tc>
          <w:tcPr>
            <w:tcW w:w="544" w:type="dxa"/>
            <w:noWrap w:val="0"/>
            <w:vAlign w:val="center"/>
          </w:tcPr>
          <w:p>
            <w:pPr>
              <w:keepNext w:val="0"/>
              <w:keepLines w:val="0"/>
              <w:widowControl/>
              <w:suppressLineNumbers w:val="0"/>
              <w:jc w:val="left"/>
              <w:textAlignment w:val="center"/>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 w:hRule="atLeast"/>
        </w:trPr>
        <w:tc>
          <w:tcPr>
            <w:tcW w:w="890" w:type="dxa"/>
            <w:noWrap w:val="0"/>
            <w:vAlign w:val="center"/>
          </w:tcPr>
          <w:p>
            <w:pPr>
              <w:widowControl/>
              <w:spacing w:line="36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▲2.26</w:t>
            </w:r>
          </w:p>
        </w:tc>
        <w:tc>
          <w:tcPr>
            <w:tcW w:w="80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血透机双泵</w:t>
            </w:r>
          </w:p>
        </w:tc>
        <w:tc>
          <w:tcPr>
            <w:tcW w:w="3985" w:type="dxa"/>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后备电池： 标配内置电池， 保证机器停电后最少使用≥20分钟，并且不丢失数据；同时压力监测，漏血和气泡检测正常工作。</w:t>
            </w:r>
          </w:p>
        </w:tc>
        <w:tc>
          <w:tcPr>
            <w:tcW w:w="858" w:type="dxa"/>
            <w:noWrap w:val="0"/>
            <w:vAlign w:val="center"/>
          </w:tcPr>
          <w:p>
            <w:pPr>
              <w:keepNext w:val="0"/>
              <w:keepLines w:val="0"/>
              <w:widowControl/>
              <w:suppressLineNumbers w:val="0"/>
              <w:jc w:val="center"/>
              <w:textAlignment w:val="center"/>
              <w:rPr>
                <w:rFonts w:ascii="宋体" w:hAnsi="宋体" w:cs="宋体"/>
                <w:color w:val="auto"/>
                <w:sz w:val="21"/>
                <w:szCs w:val="21"/>
                <w:highlight w:val="none"/>
              </w:rPr>
            </w:pPr>
          </w:p>
        </w:tc>
        <w:tc>
          <w:tcPr>
            <w:tcW w:w="1635" w:type="dxa"/>
            <w:noWrap w:val="0"/>
            <w:vAlign w:val="center"/>
          </w:tcPr>
          <w:p>
            <w:pPr>
              <w:keepNext w:val="0"/>
              <w:keepLines w:val="0"/>
              <w:widowControl/>
              <w:suppressLineNumbers w:val="0"/>
              <w:jc w:val="right"/>
              <w:textAlignment w:val="center"/>
              <w:rPr>
                <w:rFonts w:ascii="宋体" w:hAnsi="宋体" w:cs="宋体"/>
                <w:color w:val="auto"/>
                <w:sz w:val="21"/>
                <w:szCs w:val="21"/>
                <w:highlight w:val="none"/>
              </w:rPr>
            </w:pPr>
          </w:p>
        </w:tc>
        <w:tc>
          <w:tcPr>
            <w:tcW w:w="1472" w:type="dxa"/>
            <w:noWrap w:val="0"/>
            <w:vAlign w:val="center"/>
          </w:tcPr>
          <w:p>
            <w:pPr>
              <w:keepNext w:val="0"/>
              <w:keepLines w:val="0"/>
              <w:widowControl/>
              <w:suppressLineNumbers w:val="0"/>
              <w:jc w:val="center"/>
              <w:textAlignment w:val="center"/>
              <w:rPr>
                <w:color w:val="auto"/>
                <w:highlight w:val="none"/>
              </w:rPr>
            </w:pPr>
          </w:p>
        </w:tc>
        <w:tc>
          <w:tcPr>
            <w:tcW w:w="544" w:type="dxa"/>
            <w:noWrap w:val="0"/>
            <w:vAlign w:val="center"/>
          </w:tcPr>
          <w:p>
            <w:pPr>
              <w:keepNext w:val="0"/>
              <w:keepLines w:val="0"/>
              <w:widowControl/>
              <w:suppressLineNumbers w:val="0"/>
              <w:jc w:val="left"/>
              <w:textAlignment w:val="center"/>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890" w:type="dxa"/>
            <w:noWrap w:val="0"/>
            <w:vAlign w:val="center"/>
          </w:tcPr>
          <w:p>
            <w:pPr>
              <w:widowControl/>
              <w:spacing w:line="36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▲2.27</w:t>
            </w:r>
          </w:p>
        </w:tc>
        <w:tc>
          <w:tcPr>
            <w:tcW w:w="80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血透机双泵</w:t>
            </w:r>
          </w:p>
        </w:tc>
        <w:tc>
          <w:tcPr>
            <w:tcW w:w="3985" w:type="dxa"/>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可进行血路管通透性和密闭性自检，以保证患者透析安全。</w:t>
            </w:r>
          </w:p>
        </w:tc>
        <w:tc>
          <w:tcPr>
            <w:tcW w:w="858" w:type="dxa"/>
            <w:noWrap w:val="0"/>
            <w:vAlign w:val="center"/>
          </w:tcPr>
          <w:p>
            <w:pPr>
              <w:keepNext w:val="0"/>
              <w:keepLines w:val="0"/>
              <w:widowControl/>
              <w:suppressLineNumbers w:val="0"/>
              <w:jc w:val="center"/>
              <w:textAlignment w:val="center"/>
              <w:rPr>
                <w:rFonts w:ascii="宋体" w:hAnsi="宋体" w:cs="宋体"/>
                <w:color w:val="auto"/>
                <w:sz w:val="21"/>
                <w:szCs w:val="21"/>
                <w:highlight w:val="none"/>
              </w:rPr>
            </w:pPr>
          </w:p>
        </w:tc>
        <w:tc>
          <w:tcPr>
            <w:tcW w:w="1635" w:type="dxa"/>
            <w:noWrap w:val="0"/>
            <w:vAlign w:val="center"/>
          </w:tcPr>
          <w:p>
            <w:pPr>
              <w:keepNext w:val="0"/>
              <w:keepLines w:val="0"/>
              <w:widowControl/>
              <w:suppressLineNumbers w:val="0"/>
              <w:jc w:val="right"/>
              <w:textAlignment w:val="center"/>
              <w:rPr>
                <w:rFonts w:ascii="宋体" w:hAnsi="宋体" w:cs="宋体"/>
                <w:color w:val="auto"/>
                <w:sz w:val="21"/>
                <w:szCs w:val="21"/>
                <w:highlight w:val="none"/>
              </w:rPr>
            </w:pPr>
          </w:p>
        </w:tc>
        <w:tc>
          <w:tcPr>
            <w:tcW w:w="1472" w:type="dxa"/>
            <w:noWrap w:val="0"/>
            <w:vAlign w:val="center"/>
          </w:tcPr>
          <w:p>
            <w:pPr>
              <w:keepNext w:val="0"/>
              <w:keepLines w:val="0"/>
              <w:widowControl/>
              <w:suppressLineNumbers w:val="0"/>
              <w:jc w:val="center"/>
              <w:textAlignment w:val="center"/>
              <w:rPr>
                <w:color w:val="auto"/>
                <w:highlight w:val="none"/>
              </w:rPr>
            </w:pPr>
          </w:p>
        </w:tc>
        <w:tc>
          <w:tcPr>
            <w:tcW w:w="544" w:type="dxa"/>
            <w:noWrap w:val="0"/>
            <w:vAlign w:val="center"/>
          </w:tcPr>
          <w:p>
            <w:pPr>
              <w:keepNext w:val="0"/>
              <w:keepLines w:val="0"/>
              <w:widowControl/>
              <w:suppressLineNumbers w:val="0"/>
              <w:jc w:val="left"/>
              <w:textAlignment w:val="center"/>
              <w:rPr>
                <w:color w:val="auto"/>
                <w:highlight w:val="none"/>
              </w:rPr>
            </w:pPr>
          </w:p>
        </w:tc>
      </w:tr>
    </w:tbl>
    <w:p>
      <w:pPr>
        <w:pStyle w:val="23"/>
        <w:spacing w:before="120" w:beforeLines="0" w:after="120" w:afterLines="0"/>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 xml:space="preserve">            </w:t>
      </w:r>
      <w:r>
        <w:rPr>
          <w:rFonts w:hint="eastAsia" w:ascii="宋体" w:hAnsi="宋体" w:cs="宋体"/>
          <w:color w:val="auto"/>
          <w:sz w:val="21"/>
          <w:szCs w:val="21"/>
          <w:highlight w:val="none"/>
        </w:rPr>
        <w:t>投标人名称</w:t>
      </w:r>
      <w:r>
        <w:rPr>
          <w:rFonts w:hint="eastAsia" w:ascii="Times New Roman" w:hAnsi="Times New Roman" w:eastAsia="宋体" w:cs="Times New Roman"/>
          <w:color w:val="auto"/>
          <w:kern w:val="2"/>
          <w:sz w:val="21"/>
          <w:szCs w:val="21"/>
          <w:highlight w:val="none"/>
          <w:lang w:val="en-US" w:eastAsia="zh-CN" w:bidi="ar-SA"/>
        </w:rPr>
        <w:t>（盖章）：</w:t>
      </w:r>
    </w:p>
    <w:p>
      <w:pPr>
        <w:pStyle w:val="9"/>
        <w:ind w:firstLine="2415" w:firstLineChars="1150"/>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法定代表人或授权代表人（签字或盖章）：</w:t>
      </w:r>
    </w:p>
    <w:p>
      <w:pPr>
        <w:pStyle w:val="9"/>
        <w:ind w:firstLine="5775" w:firstLineChars="2750"/>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日期：   年   月   日</w:t>
      </w:r>
    </w:p>
    <w:p>
      <w:pPr>
        <w:jc w:val="center"/>
        <w:rPr>
          <w:rFonts w:hint="eastAsia" w:ascii="宋体" w:hAnsi="宋体" w:cs="宋体"/>
          <w:b/>
          <w:bCs/>
          <w:color w:val="auto"/>
          <w:szCs w:val="28"/>
          <w:highlight w:val="none"/>
        </w:rPr>
      </w:pPr>
    </w:p>
    <w:p>
      <w:pPr>
        <w:jc w:val="center"/>
        <w:rPr>
          <w:rFonts w:hint="eastAsia" w:ascii="宋体" w:cs="宋体"/>
          <w:b/>
          <w:bCs/>
          <w:color w:val="auto"/>
          <w:sz w:val="32"/>
          <w:szCs w:val="32"/>
          <w:highlight w:val="none"/>
        </w:rPr>
      </w:pPr>
    </w:p>
    <w:p>
      <w:pPr>
        <w:pStyle w:val="2"/>
        <w:rPr>
          <w:rFonts w:hint="eastAsia" w:ascii="宋体" w:cs="宋体"/>
          <w:b/>
          <w:bCs/>
          <w:color w:val="auto"/>
          <w:sz w:val="32"/>
          <w:szCs w:val="32"/>
          <w:highlight w:val="none"/>
        </w:rPr>
      </w:pPr>
    </w:p>
    <w:p>
      <w:pPr>
        <w:pStyle w:val="2"/>
        <w:rPr>
          <w:rFonts w:hint="eastAsia" w:ascii="宋体" w:cs="宋体"/>
          <w:b/>
          <w:bCs/>
          <w:color w:val="auto"/>
          <w:sz w:val="32"/>
          <w:szCs w:val="32"/>
          <w:highlight w:val="none"/>
        </w:rPr>
      </w:pPr>
    </w:p>
    <w:p>
      <w:pPr>
        <w:pStyle w:val="2"/>
        <w:rPr>
          <w:rFonts w:hint="eastAsia" w:ascii="宋体" w:cs="宋体"/>
          <w:b/>
          <w:bCs/>
          <w:color w:val="auto"/>
          <w:sz w:val="32"/>
          <w:szCs w:val="32"/>
          <w:highlight w:val="none"/>
        </w:rPr>
      </w:pPr>
    </w:p>
    <w:p>
      <w:pPr>
        <w:pStyle w:val="2"/>
        <w:rPr>
          <w:rFonts w:hint="eastAsia" w:ascii="宋体" w:cs="宋体"/>
          <w:b/>
          <w:bCs/>
          <w:color w:val="auto"/>
          <w:sz w:val="32"/>
          <w:szCs w:val="32"/>
          <w:highlight w:val="none"/>
        </w:rPr>
      </w:pPr>
    </w:p>
    <w:p>
      <w:pPr>
        <w:pStyle w:val="2"/>
        <w:rPr>
          <w:rFonts w:hint="eastAsia" w:ascii="宋体" w:cs="宋体"/>
          <w:b/>
          <w:bCs/>
          <w:color w:val="auto"/>
          <w:sz w:val="32"/>
          <w:szCs w:val="32"/>
          <w:highlight w:val="none"/>
        </w:rPr>
      </w:pPr>
    </w:p>
    <w:p>
      <w:pPr>
        <w:jc w:val="center"/>
        <w:rPr>
          <w:rFonts w:ascii="宋体" w:cs="宋体"/>
          <w:b/>
          <w:bCs/>
          <w:color w:val="auto"/>
          <w:sz w:val="32"/>
          <w:szCs w:val="32"/>
          <w:highlight w:val="none"/>
        </w:rPr>
      </w:pPr>
      <w:r>
        <w:rPr>
          <w:rFonts w:hint="eastAsia" w:ascii="宋体" w:cs="宋体"/>
          <w:b/>
          <w:bCs/>
          <w:color w:val="auto"/>
          <w:sz w:val="32"/>
          <w:szCs w:val="32"/>
          <w:highlight w:val="none"/>
        </w:rPr>
        <w:t>类似项目业绩汇总表</w:t>
      </w:r>
    </w:p>
    <w:p>
      <w:pPr>
        <w:jc w:val="center"/>
        <w:rPr>
          <w:rFonts w:ascii="宋体" w:cs="宋体"/>
          <w:b/>
          <w:bCs/>
          <w:color w:val="auto"/>
          <w:sz w:val="21"/>
          <w:szCs w:val="21"/>
          <w:highlight w:val="none"/>
        </w:rPr>
      </w:pPr>
    </w:p>
    <w:tbl>
      <w:tblPr>
        <w:tblStyle w:val="39"/>
        <w:tblW w:w="0" w:type="auto"/>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4140"/>
        <w:gridCol w:w="1440"/>
        <w:gridCol w:w="144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836" w:type="dxa"/>
            <w:noWrap/>
            <w:vAlign w:val="center"/>
          </w:tcPr>
          <w:p>
            <w:pPr>
              <w:jc w:val="center"/>
              <w:rPr>
                <w:rFonts w:ascii="宋体" w:cs="宋体"/>
                <w:color w:val="auto"/>
                <w:sz w:val="21"/>
                <w:szCs w:val="21"/>
                <w:highlight w:val="none"/>
              </w:rPr>
            </w:pPr>
            <w:r>
              <w:rPr>
                <w:rFonts w:hint="eastAsia" w:ascii="宋体" w:cs="宋体"/>
                <w:color w:val="auto"/>
                <w:sz w:val="21"/>
                <w:szCs w:val="21"/>
                <w:highlight w:val="none"/>
              </w:rPr>
              <w:t>序号</w:t>
            </w:r>
          </w:p>
        </w:tc>
        <w:tc>
          <w:tcPr>
            <w:tcW w:w="4140" w:type="dxa"/>
            <w:noWrap/>
            <w:vAlign w:val="center"/>
          </w:tcPr>
          <w:p>
            <w:pPr>
              <w:jc w:val="center"/>
              <w:rPr>
                <w:rFonts w:ascii="宋体" w:cs="宋体"/>
                <w:color w:val="auto"/>
                <w:sz w:val="21"/>
                <w:szCs w:val="21"/>
                <w:highlight w:val="none"/>
              </w:rPr>
            </w:pPr>
            <w:r>
              <w:rPr>
                <w:rFonts w:hint="eastAsia" w:ascii="宋体" w:cs="宋体"/>
                <w:color w:val="auto"/>
                <w:sz w:val="21"/>
                <w:szCs w:val="21"/>
                <w:highlight w:val="none"/>
              </w:rPr>
              <w:t>项目名称</w:t>
            </w:r>
          </w:p>
        </w:tc>
        <w:tc>
          <w:tcPr>
            <w:tcW w:w="1440" w:type="dxa"/>
            <w:noWrap/>
            <w:vAlign w:val="center"/>
          </w:tcPr>
          <w:p>
            <w:pPr>
              <w:jc w:val="center"/>
              <w:rPr>
                <w:rFonts w:ascii="宋体" w:cs="宋体"/>
                <w:color w:val="auto"/>
                <w:sz w:val="21"/>
                <w:szCs w:val="21"/>
                <w:highlight w:val="none"/>
              </w:rPr>
            </w:pPr>
            <w:r>
              <w:rPr>
                <w:rFonts w:hint="eastAsia" w:ascii="宋体" w:cs="宋体"/>
                <w:color w:val="auto"/>
                <w:sz w:val="21"/>
                <w:szCs w:val="21"/>
                <w:highlight w:val="none"/>
              </w:rPr>
              <w:t>工程规模</w:t>
            </w:r>
          </w:p>
        </w:tc>
        <w:tc>
          <w:tcPr>
            <w:tcW w:w="1440" w:type="dxa"/>
            <w:noWrap/>
            <w:vAlign w:val="center"/>
          </w:tcPr>
          <w:p>
            <w:pPr>
              <w:jc w:val="center"/>
              <w:rPr>
                <w:rFonts w:ascii="宋体" w:cs="宋体"/>
                <w:color w:val="auto"/>
                <w:sz w:val="21"/>
                <w:szCs w:val="21"/>
                <w:highlight w:val="none"/>
              </w:rPr>
            </w:pPr>
            <w:r>
              <w:rPr>
                <w:rFonts w:hint="eastAsia" w:ascii="宋体" w:cs="宋体"/>
                <w:color w:val="auto"/>
                <w:sz w:val="21"/>
                <w:szCs w:val="21"/>
                <w:highlight w:val="none"/>
              </w:rPr>
              <w:t>完工时间</w:t>
            </w:r>
          </w:p>
        </w:tc>
        <w:tc>
          <w:tcPr>
            <w:tcW w:w="1440" w:type="dxa"/>
            <w:noWrap/>
            <w:vAlign w:val="center"/>
          </w:tcPr>
          <w:p>
            <w:pPr>
              <w:jc w:val="center"/>
              <w:rPr>
                <w:rFonts w:ascii="宋体" w:cs="宋体"/>
                <w:color w:val="auto"/>
                <w:sz w:val="21"/>
                <w:szCs w:val="21"/>
                <w:highlight w:val="none"/>
              </w:rPr>
            </w:pPr>
            <w:r>
              <w:rPr>
                <w:rFonts w:hint="eastAsia" w:ascii="宋体" w:cs="宋体"/>
                <w:color w:val="auto"/>
                <w:sz w:val="21"/>
                <w:szCs w:val="21"/>
                <w:highlight w:val="none"/>
              </w:rPr>
              <w:t>建设方联系电话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836" w:type="dxa"/>
            <w:noWrap/>
            <w:vAlign w:val="top"/>
          </w:tcPr>
          <w:p>
            <w:pPr>
              <w:jc w:val="center"/>
              <w:rPr>
                <w:rFonts w:ascii="宋体" w:cs="宋体"/>
                <w:color w:val="auto"/>
                <w:sz w:val="21"/>
                <w:szCs w:val="21"/>
                <w:highlight w:val="none"/>
              </w:rPr>
            </w:pPr>
          </w:p>
        </w:tc>
        <w:tc>
          <w:tcPr>
            <w:tcW w:w="4140" w:type="dxa"/>
            <w:noWrap/>
            <w:vAlign w:val="top"/>
          </w:tcPr>
          <w:p>
            <w:pPr>
              <w:jc w:val="center"/>
              <w:rPr>
                <w:rFonts w:ascii="宋体" w:cs="宋体"/>
                <w:color w:val="auto"/>
                <w:sz w:val="21"/>
                <w:szCs w:val="21"/>
                <w:highlight w:val="none"/>
              </w:rPr>
            </w:pPr>
          </w:p>
        </w:tc>
        <w:tc>
          <w:tcPr>
            <w:tcW w:w="1440" w:type="dxa"/>
            <w:noWrap/>
            <w:vAlign w:val="top"/>
          </w:tcPr>
          <w:p>
            <w:pPr>
              <w:jc w:val="center"/>
              <w:rPr>
                <w:rFonts w:ascii="宋体" w:cs="宋体"/>
                <w:color w:val="auto"/>
                <w:sz w:val="21"/>
                <w:szCs w:val="21"/>
                <w:highlight w:val="none"/>
              </w:rPr>
            </w:pPr>
          </w:p>
        </w:tc>
        <w:tc>
          <w:tcPr>
            <w:tcW w:w="1440" w:type="dxa"/>
            <w:noWrap/>
            <w:vAlign w:val="top"/>
          </w:tcPr>
          <w:p>
            <w:pPr>
              <w:jc w:val="center"/>
              <w:rPr>
                <w:rFonts w:ascii="宋体" w:cs="宋体"/>
                <w:color w:val="auto"/>
                <w:sz w:val="21"/>
                <w:szCs w:val="21"/>
                <w:highlight w:val="none"/>
              </w:rPr>
            </w:pPr>
          </w:p>
        </w:tc>
        <w:tc>
          <w:tcPr>
            <w:tcW w:w="1440" w:type="dxa"/>
            <w:noWrap/>
            <w:vAlign w:val="top"/>
          </w:tcPr>
          <w:p>
            <w:pPr>
              <w:jc w:val="center"/>
              <w:rPr>
                <w:rFonts w:asci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836" w:type="dxa"/>
            <w:noWrap/>
            <w:vAlign w:val="top"/>
          </w:tcPr>
          <w:p>
            <w:pPr>
              <w:jc w:val="center"/>
              <w:rPr>
                <w:rFonts w:ascii="宋体" w:cs="宋体"/>
                <w:color w:val="auto"/>
                <w:sz w:val="21"/>
                <w:szCs w:val="21"/>
                <w:highlight w:val="none"/>
              </w:rPr>
            </w:pPr>
          </w:p>
        </w:tc>
        <w:tc>
          <w:tcPr>
            <w:tcW w:w="4140" w:type="dxa"/>
            <w:noWrap/>
            <w:vAlign w:val="top"/>
          </w:tcPr>
          <w:p>
            <w:pPr>
              <w:jc w:val="center"/>
              <w:rPr>
                <w:rFonts w:ascii="宋体" w:cs="宋体"/>
                <w:color w:val="auto"/>
                <w:sz w:val="21"/>
                <w:szCs w:val="21"/>
                <w:highlight w:val="none"/>
              </w:rPr>
            </w:pPr>
          </w:p>
        </w:tc>
        <w:tc>
          <w:tcPr>
            <w:tcW w:w="1440" w:type="dxa"/>
            <w:noWrap/>
            <w:vAlign w:val="top"/>
          </w:tcPr>
          <w:p>
            <w:pPr>
              <w:jc w:val="center"/>
              <w:rPr>
                <w:rFonts w:ascii="宋体" w:cs="宋体"/>
                <w:color w:val="auto"/>
                <w:sz w:val="21"/>
                <w:szCs w:val="21"/>
                <w:highlight w:val="none"/>
              </w:rPr>
            </w:pPr>
          </w:p>
        </w:tc>
        <w:tc>
          <w:tcPr>
            <w:tcW w:w="1440" w:type="dxa"/>
            <w:noWrap/>
            <w:vAlign w:val="top"/>
          </w:tcPr>
          <w:p>
            <w:pPr>
              <w:jc w:val="center"/>
              <w:rPr>
                <w:rFonts w:ascii="宋体" w:cs="宋体"/>
                <w:color w:val="auto"/>
                <w:sz w:val="21"/>
                <w:szCs w:val="21"/>
                <w:highlight w:val="none"/>
              </w:rPr>
            </w:pPr>
          </w:p>
        </w:tc>
        <w:tc>
          <w:tcPr>
            <w:tcW w:w="1440" w:type="dxa"/>
            <w:noWrap/>
            <w:vAlign w:val="top"/>
          </w:tcPr>
          <w:p>
            <w:pPr>
              <w:jc w:val="center"/>
              <w:rPr>
                <w:rFonts w:asci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836" w:type="dxa"/>
            <w:noWrap/>
            <w:vAlign w:val="top"/>
          </w:tcPr>
          <w:p>
            <w:pPr>
              <w:jc w:val="center"/>
              <w:rPr>
                <w:rFonts w:ascii="宋体" w:cs="宋体"/>
                <w:color w:val="auto"/>
                <w:sz w:val="21"/>
                <w:szCs w:val="21"/>
                <w:highlight w:val="none"/>
              </w:rPr>
            </w:pPr>
          </w:p>
        </w:tc>
        <w:tc>
          <w:tcPr>
            <w:tcW w:w="4140" w:type="dxa"/>
            <w:noWrap/>
            <w:vAlign w:val="top"/>
          </w:tcPr>
          <w:p>
            <w:pPr>
              <w:jc w:val="center"/>
              <w:rPr>
                <w:rFonts w:ascii="宋体" w:cs="宋体"/>
                <w:color w:val="auto"/>
                <w:sz w:val="21"/>
                <w:szCs w:val="21"/>
                <w:highlight w:val="none"/>
              </w:rPr>
            </w:pPr>
          </w:p>
        </w:tc>
        <w:tc>
          <w:tcPr>
            <w:tcW w:w="1440" w:type="dxa"/>
            <w:noWrap/>
            <w:vAlign w:val="top"/>
          </w:tcPr>
          <w:p>
            <w:pPr>
              <w:jc w:val="center"/>
              <w:rPr>
                <w:rFonts w:ascii="宋体" w:cs="宋体"/>
                <w:color w:val="auto"/>
                <w:sz w:val="21"/>
                <w:szCs w:val="21"/>
                <w:highlight w:val="none"/>
              </w:rPr>
            </w:pPr>
          </w:p>
        </w:tc>
        <w:tc>
          <w:tcPr>
            <w:tcW w:w="1440" w:type="dxa"/>
            <w:noWrap/>
            <w:vAlign w:val="top"/>
          </w:tcPr>
          <w:p>
            <w:pPr>
              <w:jc w:val="center"/>
              <w:rPr>
                <w:rFonts w:ascii="宋体" w:cs="宋体"/>
                <w:color w:val="auto"/>
                <w:sz w:val="21"/>
                <w:szCs w:val="21"/>
                <w:highlight w:val="none"/>
              </w:rPr>
            </w:pPr>
          </w:p>
        </w:tc>
        <w:tc>
          <w:tcPr>
            <w:tcW w:w="1440" w:type="dxa"/>
            <w:noWrap/>
            <w:vAlign w:val="top"/>
          </w:tcPr>
          <w:p>
            <w:pPr>
              <w:jc w:val="center"/>
              <w:rPr>
                <w:rFonts w:asci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836" w:type="dxa"/>
            <w:noWrap/>
            <w:vAlign w:val="top"/>
          </w:tcPr>
          <w:p>
            <w:pPr>
              <w:jc w:val="center"/>
              <w:rPr>
                <w:rFonts w:ascii="宋体" w:cs="宋体"/>
                <w:color w:val="auto"/>
                <w:sz w:val="21"/>
                <w:szCs w:val="21"/>
                <w:highlight w:val="none"/>
              </w:rPr>
            </w:pPr>
          </w:p>
        </w:tc>
        <w:tc>
          <w:tcPr>
            <w:tcW w:w="4140" w:type="dxa"/>
            <w:noWrap/>
            <w:vAlign w:val="top"/>
          </w:tcPr>
          <w:p>
            <w:pPr>
              <w:jc w:val="center"/>
              <w:rPr>
                <w:rFonts w:ascii="宋体" w:cs="宋体"/>
                <w:color w:val="auto"/>
                <w:sz w:val="21"/>
                <w:szCs w:val="21"/>
                <w:highlight w:val="none"/>
              </w:rPr>
            </w:pPr>
          </w:p>
        </w:tc>
        <w:tc>
          <w:tcPr>
            <w:tcW w:w="1440" w:type="dxa"/>
            <w:noWrap/>
            <w:vAlign w:val="top"/>
          </w:tcPr>
          <w:p>
            <w:pPr>
              <w:jc w:val="center"/>
              <w:rPr>
                <w:rFonts w:ascii="宋体" w:cs="宋体"/>
                <w:color w:val="auto"/>
                <w:sz w:val="21"/>
                <w:szCs w:val="21"/>
                <w:highlight w:val="none"/>
              </w:rPr>
            </w:pPr>
          </w:p>
        </w:tc>
        <w:tc>
          <w:tcPr>
            <w:tcW w:w="1440" w:type="dxa"/>
            <w:noWrap/>
            <w:vAlign w:val="top"/>
          </w:tcPr>
          <w:p>
            <w:pPr>
              <w:jc w:val="center"/>
              <w:rPr>
                <w:rFonts w:ascii="宋体" w:cs="宋体"/>
                <w:color w:val="auto"/>
                <w:sz w:val="21"/>
                <w:szCs w:val="21"/>
                <w:highlight w:val="none"/>
              </w:rPr>
            </w:pPr>
          </w:p>
        </w:tc>
        <w:tc>
          <w:tcPr>
            <w:tcW w:w="1440" w:type="dxa"/>
            <w:noWrap/>
            <w:vAlign w:val="top"/>
          </w:tcPr>
          <w:p>
            <w:pPr>
              <w:jc w:val="center"/>
              <w:rPr>
                <w:rFonts w:asci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836" w:type="dxa"/>
            <w:noWrap/>
            <w:vAlign w:val="top"/>
          </w:tcPr>
          <w:p>
            <w:pPr>
              <w:jc w:val="center"/>
              <w:rPr>
                <w:rFonts w:ascii="宋体" w:cs="宋体"/>
                <w:color w:val="auto"/>
                <w:sz w:val="21"/>
                <w:szCs w:val="21"/>
                <w:highlight w:val="none"/>
              </w:rPr>
            </w:pPr>
          </w:p>
        </w:tc>
        <w:tc>
          <w:tcPr>
            <w:tcW w:w="4140" w:type="dxa"/>
            <w:noWrap/>
            <w:vAlign w:val="top"/>
          </w:tcPr>
          <w:p>
            <w:pPr>
              <w:jc w:val="center"/>
              <w:rPr>
                <w:rFonts w:ascii="宋体" w:cs="宋体"/>
                <w:color w:val="auto"/>
                <w:sz w:val="21"/>
                <w:szCs w:val="21"/>
                <w:highlight w:val="none"/>
              </w:rPr>
            </w:pPr>
          </w:p>
        </w:tc>
        <w:tc>
          <w:tcPr>
            <w:tcW w:w="1440" w:type="dxa"/>
            <w:noWrap/>
            <w:vAlign w:val="top"/>
          </w:tcPr>
          <w:p>
            <w:pPr>
              <w:jc w:val="center"/>
              <w:rPr>
                <w:rFonts w:ascii="宋体" w:cs="宋体"/>
                <w:color w:val="auto"/>
                <w:sz w:val="21"/>
                <w:szCs w:val="21"/>
                <w:highlight w:val="none"/>
              </w:rPr>
            </w:pPr>
          </w:p>
        </w:tc>
        <w:tc>
          <w:tcPr>
            <w:tcW w:w="1440" w:type="dxa"/>
            <w:noWrap/>
            <w:vAlign w:val="top"/>
          </w:tcPr>
          <w:p>
            <w:pPr>
              <w:jc w:val="center"/>
              <w:rPr>
                <w:rFonts w:ascii="宋体" w:cs="宋体"/>
                <w:color w:val="auto"/>
                <w:sz w:val="21"/>
                <w:szCs w:val="21"/>
                <w:highlight w:val="none"/>
              </w:rPr>
            </w:pPr>
          </w:p>
        </w:tc>
        <w:tc>
          <w:tcPr>
            <w:tcW w:w="1440" w:type="dxa"/>
            <w:noWrap/>
            <w:vAlign w:val="top"/>
          </w:tcPr>
          <w:p>
            <w:pPr>
              <w:jc w:val="center"/>
              <w:rPr>
                <w:rFonts w:asci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836" w:type="dxa"/>
            <w:noWrap/>
            <w:vAlign w:val="top"/>
          </w:tcPr>
          <w:p>
            <w:pPr>
              <w:jc w:val="center"/>
              <w:rPr>
                <w:rFonts w:ascii="宋体" w:cs="宋体"/>
                <w:color w:val="auto"/>
                <w:sz w:val="21"/>
                <w:szCs w:val="21"/>
                <w:highlight w:val="none"/>
              </w:rPr>
            </w:pPr>
          </w:p>
        </w:tc>
        <w:tc>
          <w:tcPr>
            <w:tcW w:w="4140" w:type="dxa"/>
            <w:noWrap/>
            <w:vAlign w:val="top"/>
          </w:tcPr>
          <w:p>
            <w:pPr>
              <w:jc w:val="center"/>
              <w:rPr>
                <w:rFonts w:ascii="宋体" w:cs="宋体"/>
                <w:color w:val="auto"/>
                <w:sz w:val="21"/>
                <w:szCs w:val="21"/>
                <w:highlight w:val="none"/>
              </w:rPr>
            </w:pPr>
          </w:p>
        </w:tc>
        <w:tc>
          <w:tcPr>
            <w:tcW w:w="1440" w:type="dxa"/>
            <w:noWrap/>
            <w:vAlign w:val="top"/>
          </w:tcPr>
          <w:p>
            <w:pPr>
              <w:jc w:val="center"/>
              <w:rPr>
                <w:rFonts w:ascii="宋体" w:cs="宋体"/>
                <w:color w:val="auto"/>
                <w:sz w:val="21"/>
                <w:szCs w:val="21"/>
                <w:highlight w:val="none"/>
              </w:rPr>
            </w:pPr>
          </w:p>
        </w:tc>
        <w:tc>
          <w:tcPr>
            <w:tcW w:w="1440" w:type="dxa"/>
            <w:noWrap/>
            <w:vAlign w:val="top"/>
          </w:tcPr>
          <w:p>
            <w:pPr>
              <w:jc w:val="center"/>
              <w:rPr>
                <w:rFonts w:ascii="宋体" w:cs="宋体"/>
                <w:color w:val="auto"/>
                <w:sz w:val="21"/>
                <w:szCs w:val="21"/>
                <w:highlight w:val="none"/>
              </w:rPr>
            </w:pPr>
          </w:p>
        </w:tc>
        <w:tc>
          <w:tcPr>
            <w:tcW w:w="1440" w:type="dxa"/>
            <w:noWrap/>
            <w:vAlign w:val="top"/>
          </w:tcPr>
          <w:p>
            <w:pPr>
              <w:jc w:val="center"/>
              <w:rPr>
                <w:rFonts w:asci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836" w:type="dxa"/>
            <w:noWrap/>
            <w:vAlign w:val="top"/>
          </w:tcPr>
          <w:p>
            <w:pPr>
              <w:jc w:val="center"/>
              <w:rPr>
                <w:rFonts w:ascii="宋体" w:cs="宋体"/>
                <w:color w:val="auto"/>
                <w:sz w:val="21"/>
                <w:szCs w:val="21"/>
                <w:highlight w:val="none"/>
              </w:rPr>
            </w:pPr>
          </w:p>
        </w:tc>
        <w:tc>
          <w:tcPr>
            <w:tcW w:w="4140" w:type="dxa"/>
            <w:noWrap/>
            <w:vAlign w:val="top"/>
          </w:tcPr>
          <w:p>
            <w:pPr>
              <w:jc w:val="center"/>
              <w:rPr>
                <w:rFonts w:ascii="宋体" w:cs="宋体"/>
                <w:color w:val="auto"/>
                <w:sz w:val="21"/>
                <w:szCs w:val="21"/>
                <w:highlight w:val="none"/>
              </w:rPr>
            </w:pPr>
          </w:p>
        </w:tc>
        <w:tc>
          <w:tcPr>
            <w:tcW w:w="1440" w:type="dxa"/>
            <w:noWrap/>
            <w:vAlign w:val="top"/>
          </w:tcPr>
          <w:p>
            <w:pPr>
              <w:jc w:val="center"/>
              <w:rPr>
                <w:rFonts w:ascii="宋体" w:cs="宋体"/>
                <w:color w:val="auto"/>
                <w:sz w:val="21"/>
                <w:szCs w:val="21"/>
                <w:highlight w:val="none"/>
              </w:rPr>
            </w:pPr>
          </w:p>
        </w:tc>
        <w:tc>
          <w:tcPr>
            <w:tcW w:w="1440" w:type="dxa"/>
            <w:noWrap/>
            <w:vAlign w:val="top"/>
          </w:tcPr>
          <w:p>
            <w:pPr>
              <w:jc w:val="center"/>
              <w:rPr>
                <w:rFonts w:ascii="宋体" w:cs="宋体"/>
                <w:color w:val="auto"/>
                <w:sz w:val="21"/>
                <w:szCs w:val="21"/>
                <w:highlight w:val="none"/>
              </w:rPr>
            </w:pPr>
          </w:p>
        </w:tc>
        <w:tc>
          <w:tcPr>
            <w:tcW w:w="1440" w:type="dxa"/>
            <w:noWrap/>
            <w:vAlign w:val="top"/>
          </w:tcPr>
          <w:p>
            <w:pPr>
              <w:jc w:val="center"/>
              <w:rPr>
                <w:rFonts w:asci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836" w:type="dxa"/>
            <w:noWrap/>
            <w:vAlign w:val="top"/>
          </w:tcPr>
          <w:p>
            <w:pPr>
              <w:jc w:val="center"/>
              <w:rPr>
                <w:rFonts w:ascii="宋体" w:cs="宋体"/>
                <w:color w:val="auto"/>
                <w:sz w:val="21"/>
                <w:szCs w:val="21"/>
                <w:highlight w:val="none"/>
              </w:rPr>
            </w:pPr>
          </w:p>
        </w:tc>
        <w:tc>
          <w:tcPr>
            <w:tcW w:w="4140" w:type="dxa"/>
            <w:noWrap/>
            <w:vAlign w:val="top"/>
          </w:tcPr>
          <w:p>
            <w:pPr>
              <w:jc w:val="center"/>
              <w:rPr>
                <w:rFonts w:ascii="宋体" w:cs="宋体"/>
                <w:color w:val="auto"/>
                <w:sz w:val="21"/>
                <w:szCs w:val="21"/>
                <w:highlight w:val="none"/>
              </w:rPr>
            </w:pPr>
          </w:p>
        </w:tc>
        <w:tc>
          <w:tcPr>
            <w:tcW w:w="1440" w:type="dxa"/>
            <w:noWrap/>
            <w:vAlign w:val="top"/>
          </w:tcPr>
          <w:p>
            <w:pPr>
              <w:jc w:val="center"/>
              <w:rPr>
                <w:rFonts w:ascii="宋体" w:cs="宋体"/>
                <w:color w:val="auto"/>
                <w:sz w:val="21"/>
                <w:szCs w:val="21"/>
                <w:highlight w:val="none"/>
              </w:rPr>
            </w:pPr>
          </w:p>
        </w:tc>
        <w:tc>
          <w:tcPr>
            <w:tcW w:w="1440" w:type="dxa"/>
            <w:noWrap/>
            <w:vAlign w:val="top"/>
          </w:tcPr>
          <w:p>
            <w:pPr>
              <w:jc w:val="center"/>
              <w:rPr>
                <w:rFonts w:ascii="宋体" w:cs="宋体"/>
                <w:color w:val="auto"/>
                <w:sz w:val="21"/>
                <w:szCs w:val="21"/>
                <w:highlight w:val="none"/>
              </w:rPr>
            </w:pPr>
          </w:p>
        </w:tc>
        <w:tc>
          <w:tcPr>
            <w:tcW w:w="1440" w:type="dxa"/>
            <w:noWrap/>
            <w:vAlign w:val="top"/>
          </w:tcPr>
          <w:p>
            <w:pPr>
              <w:jc w:val="center"/>
              <w:rPr>
                <w:rFonts w:asci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836" w:type="dxa"/>
            <w:noWrap/>
            <w:vAlign w:val="top"/>
          </w:tcPr>
          <w:p>
            <w:pPr>
              <w:jc w:val="center"/>
              <w:rPr>
                <w:rFonts w:ascii="宋体" w:cs="宋体"/>
                <w:color w:val="auto"/>
                <w:sz w:val="21"/>
                <w:szCs w:val="21"/>
                <w:highlight w:val="none"/>
              </w:rPr>
            </w:pPr>
          </w:p>
        </w:tc>
        <w:tc>
          <w:tcPr>
            <w:tcW w:w="4140" w:type="dxa"/>
            <w:noWrap/>
            <w:vAlign w:val="top"/>
          </w:tcPr>
          <w:p>
            <w:pPr>
              <w:jc w:val="center"/>
              <w:rPr>
                <w:rFonts w:ascii="宋体" w:cs="宋体"/>
                <w:color w:val="auto"/>
                <w:sz w:val="21"/>
                <w:szCs w:val="21"/>
                <w:highlight w:val="none"/>
              </w:rPr>
            </w:pPr>
          </w:p>
        </w:tc>
        <w:tc>
          <w:tcPr>
            <w:tcW w:w="1440" w:type="dxa"/>
            <w:noWrap/>
            <w:vAlign w:val="top"/>
          </w:tcPr>
          <w:p>
            <w:pPr>
              <w:jc w:val="center"/>
              <w:rPr>
                <w:rFonts w:ascii="宋体" w:cs="宋体"/>
                <w:color w:val="auto"/>
                <w:sz w:val="21"/>
                <w:szCs w:val="21"/>
                <w:highlight w:val="none"/>
              </w:rPr>
            </w:pPr>
          </w:p>
        </w:tc>
        <w:tc>
          <w:tcPr>
            <w:tcW w:w="1440" w:type="dxa"/>
            <w:noWrap/>
            <w:vAlign w:val="top"/>
          </w:tcPr>
          <w:p>
            <w:pPr>
              <w:jc w:val="center"/>
              <w:rPr>
                <w:rFonts w:ascii="宋体" w:cs="宋体"/>
                <w:color w:val="auto"/>
                <w:sz w:val="21"/>
                <w:szCs w:val="21"/>
                <w:highlight w:val="none"/>
              </w:rPr>
            </w:pPr>
          </w:p>
        </w:tc>
        <w:tc>
          <w:tcPr>
            <w:tcW w:w="1440" w:type="dxa"/>
            <w:noWrap/>
            <w:vAlign w:val="top"/>
          </w:tcPr>
          <w:p>
            <w:pPr>
              <w:jc w:val="center"/>
              <w:rPr>
                <w:rFonts w:ascii="宋体" w:cs="宋体"/>
                <w:color w:val="auto"/>
                <w:sz w:val="21"/>
                <w:szCs w:val="21"/>
                <w:highlight w:val="none"/>
              </w:rPr>
            </w:pPr>
          </w:p>
        </w:tc>
      </w:tr>
    </w:tbl>
    <w:p>
      <w:pPr>
        <w:pStyle w:val="18"/>
        <w:ind w:firstLine="101" w:firstLineChars="50"/>
        <w:rPr>
          <w:rFonts w:cs="宋体"/>
          <w:color w:val="auto"/>
          <w:sz w:val="21"/>
          <w:szCs w:val="21"/>
          <w:highlight w:val="none"/>
        </w:rPr>
      </w:pPr>
      <w:r>
        <w:rPr>
          <w:rFonts w:cs="宋体"/>
          <w:color w:val="auto"/>
          <w:sz w:val="21"/>
          <w:szCs w:val="21"/>
          <w:highlight w:val="none"/>
        </w:rPr>
        <w:t xml:space="preserve"> </w:t>
      </w:r>
    </w:p>
    <w:p>
      <w:pPr>
        <w:pStyle w:val="18"/>
        <w:ind w:firstLine="101" w:firstLineChars="50"/>
        <w:rPr>
          <w:rFonts w:cs="宋体"/>
          <w:color w:val="auto"/>
          <w:sz w:val="21"/>
          <w:szCs w:val="21"/>
          <w:highlight w:val="none"/>
        </w:rPr>
      </w:pPr>
      <w:r>
        <w:rPr>
          <w:rFonts w:cs="宋体"/>
          <w:color w:val="auto"/>
          <w:sz w:val="21"/>
          <w:szCs w:val="21"/>
          <w:highlight w:val="none"/>
        </w:rPr>
        <w:t>附：相关证明材料</w:t>
      </w:r>
    </w:p>
    <w:p>
      <w:pPr>
        <w:pStyle w:val="18"/>
        <w:ind w:firstLine="0"/>
        <w:rPr>
          <w:rFonts w:cs="宋体"/>
          <w:b/>
          <w:bCs/>
          <w:color w:val="auto"/>
          <w:sz w:val="21"/>
          <w:szCs w:val="21"/>
          <w:highlight w:val="none"/>
        </w:rPr>
      </w:pPr>
      <w:r>
        <w:rPr>
          <w:rFonts w:cs="宋体"/>
          <w:color w:val="auto"/>
          <w:sz w:val="21"/>
          <w:szCs w:val="21"/>
          <w:highlight w:val="none"/>
        </w:rPr>
        <w:t xml:space="preserve"> </w:t>
      </w:r>
    </w:p>
    <w:p>
      <w:pPr>
        <w:spacing w:line="440" w:lineRule="exact"/>
        <w:rPr>
          <w:rFonts w:ascii="宋体" w:cs="宋体"/>
          <w:color w:val="auto"/>
          <w:sz w:val="21"/>
          <w:szCs w:val="21"/>
          <w:highlight w:val="none"/>
          <w:u w:val="single"/>
        </w:rPr>
      </w:pPr>
      <w:r>
        <w:rPr>
          <w:rFonts w:hint="eastAsia" w:ascii="宋体" w:cs="宋体"/>
          <w:b/>
          <w:bCs/>
          <w:color w:val="auto"/>
          <w:sz w:val="21"/>
          <w:szCs w:val="21"/>
          <w:highlight w:val="none"/>
        </w:rPr>
        <w:t xml:space="preserve">                                                         </w:t>
      </w:r>
      <w:r>
        <w:rPr>
          <w:rFonts w:hint="eastAsia" w:ascii="宋体"/>
          <w:color w:val="auto"/>
          <w:sz w:val="21"/>
          <w:szCs w:val="21"/>
          <w:highlight w:val="none"/>
        </w:rPr>
        <w:t>投标人名称</w:t>
      </w:r>
      <w:r>
        <w:rPr>
          <w:rFonts w:hint="eastAsia" w:ascii="宋体" w:cs="宋体"/>
          <w:color w:val="auto"/>
          <w:sz w:val="21"/>
          <w:szCs w:val="21"/>
          <w:highlight w:val="none"/>
        </w:rPr>
        <w:t>：</w:t>
      </w:r>
      <w:r>
        <w:rPr>
          <w:rFonts w:hint="eastAsia" w:ascii="宋体" w:cs="宋体"/>
          <w:color w:val="auto"/>
          <w:sz w:val="21"/>
          <w:szCs w:val="21"/>
          <w:highlight w:val="none"/>
          <w:u w:val="single"/>
        </w:rPr>
        <w:t xml:space="preserve">             （盖章）</w:t>
      </w:r>
    </w:p>
    <w:p>
      <w:pPr>
        <w:spacing w:line="440" w:lineRule="exact"/>
        <w:rPr>
          <w:rFonts w:ascii="宋体" w:cs="宋体"/>
          <w:color w:val="auto"/>
          <w:sz w:val="21"/>
          <w:szCs w:val="21"/>
          <w:highlight w:val="none"/>
        </w:rPr>
      </w:pPr>
      <w:r>
        <w:rPr>
          <w:rFonts w:hint="eastAsia" w:ascii="宋体" w:cs="宋体"/>
          <w:color w:val="auto"/>
          <w:sz w:val="21"/>
          <w:szCs w:val="21"/>
          <w:highlight w:val="none"/>
        </w:rPr>
        <w:t xml:space="preserve">                                     </w:t>
      </w:r>
    </w:p>
    <w:p>
      <w:pPr>
        <w:spacing w:line="440" w:lineRule="exact"/>
        <w:rPr>
          <w:rFonts w:ascii="宋体" w:cs="宋体"/>
          <w:color w:val="auto"/>
          <w:sz w:val="21"/>
          <w:szCs w:val="21"/>
          <w:highlight w:val="none"/>
        </w:rPr>
      </w:pPr>
      <w:r>
        <w:rPr>
          <w:rFonts w:hint="eastAsia" w:ascii="宋体" w:cs="宋体"/>
          <w:color w:val="auto"/>
          <w:sz w:val="21"/>
          <w:szCs w:val="21"/>
          <w:highlight w:val="none"/>
        </w:rPr>
        <w:t xml:space="preserve">                                            法定代表人或委托代理人：</w:t>
      </w:r>
      <w:r>
        <w:rPr>
          <w:rFonts w:hint="eastAsia" w:ascii="宋体" w:cs="宋体"/>
          <w:color w:val="auto"/>
          <w:sz w:val="21"/>
          <w:szCs w:val="21"/>
          <w:highlight w:val="none"/>
          <w:u w:val="single"/>
        </w:rPr>
        <w:t xml:space="preserve">          （签字</w:t>
      </w:r>
      <w:r>
        <w:rPr>
          <w:rFonts w:hint="eastAsia" w:ascii="宋体" w:cs="宋体"/>
          <w:color w:val="auto"/>
          <w:sz w:val="21"/>
          <w:szCs w:val="21"/>
          <w:highlight w:val="none"/>
          <w:u w:val="single"/>
          <w:lang w:val="en-US" w:eastAsia="zh-CN"/>
        </w:rPr>
        <w:t>或盖章</w:t>
      </w:r>
      <w:r>
        <w:rPr>
          <w:rFonts w:hint="eastAsia" w:ascii="宋体" w:cs="宋体"/>
          <w:color w:val="auto"/>
          <w:sz w:val="21"/>
          <w:szCs w:val="21"/>
          <w:highlight w:val="none"/>
          <w:u w:val="single"/>
        </w:rPr>
        <w:t>）</w:t>
      </w:r>
    </w:p>
    <w:p>
      <w:pPr>
        <w:spacing w:line="440" w:lineRule="exact"/>
        <w:rPr>
          <w:rFonts w:ascii="宋体" w:cs="宋体"/>
          <w:color w:val="auto"/>
          <w:sz w:val="21"/>
          <w:szCs w:val="21"/>
          <w:highlight w:val="none"/>
        </w:rPr>
      </w:pPr>
      <w:r>
        <w:rPr>
          <w:rFonts w:hint="eastAsia" w:ascii="宋体" w:cs="宋体"/>
          <w:color w:val="auto"/>
          <w:sz w:val="21"/>
          <w:szCs w:val="21"/>
          <w:highlight w:val="none"/>
        </w:rPr>
        <w:t xml:space="preserve">                                                    </w:t>
      </w:r>
    </w:p>
    <w:p>
      <w:pPr>
        <w:spacing w:line="360" w:lineRule="auto"/>
        <w:rPr>
          <w:rFonts w:ascii="宋体" w:cs="宋体"/>
          <w:color w:val="auto"/>
          <w:spacing w:val="-4"/>
          <w:kern w:val="0"/>
          <w:sz w:val="21"/>
          <w:szCs w:val="21"/>
          <w:highlight w:val="none"/>
        </w:rPr>
      </w:pPr>
      <w:r>
        <w:rPr>
          <w:rFonts w:hint="eastAsia" w:ascii="宋体" w:cs="宋体"/>
          <w:color w:val="auto"/>
          <w:sz w:val="21"/>
          <w:szCs w:val="21"/>
          <w:highlight w:val="none"/>
        </w:rPr>
        <w:t xml:space="preserve">                                                  年   月    日</w:t>
      </w:r>
    </w:p>
    <w:p>
      <w:pPr>
        <w:snapToGrid w:val="0"/>
        <w:outlineLvl w:val="2"/>
        <w:rPr>
          <w:rFonts w:ascii="宋体" w:cs="宋体"/>
          <w:color w:val="auto"/>
          <w:sz w:val="21"/>
          <w:szCs w:val="21"/>
          <w:highlight w:val="none"/>
        </w:rPr>
      </w:pPr>
    </w:p>
    <w:p>
      <w:pPr>
        <w:spacing w:line="460" w:lineRule="exact"/>
        <w:ind w:firstLine="432"/>
        <w:jc w:val="center"/>
        <w:rPr>
          <w:rFonts w:ascii="宋体" w:cs="宋体"/>
          <w:b/>
          <w:bCs/>
          <w:color w:val="auto"/>
          <w:sz w:val="21"/>
          <w:szCs w:val="21"/>
          <w:highlight w:val="none"/>
        </w:rPr>
      </w:pPr>
    </w:p>
    <w:p>
      <w:pPr>
        <w:spacing w:line="460" w:lineRule="exact"/>
        <w:ind w:firstLine="432"/>
        <w:jc w:val="center"/>
        <w:rPr>
          <w:rFonts w:ascii="宋体" w:cs="宋体"/>
          <w:b/>
          <w:bCs/>
          <w:color w:val="auto"/>
          <w:sz w:val="32"/>
          <w:szCs w:val="32"/>
          <w:highlight w:val="none"/>
        </w:rPr>
      </w:pPr>
      <w:r>
        <w:rPr>
          <w:rFonts w:hint="eastAsia" w:ascii="宋体" w:cs="宋体"/>
          <w:b/>
          <w:bCs/>
          <w:color w:val="auto"/>
          <w:sz w:val="32"/>
          <w:szCs w:val="32"/>
          <w:highlight w:val="none"/>
        </w:rPr>
        <w:t>法定代表人身份证明书</w:t>
      </w:r>
    </w:p>
    <w:p>
      <w:pPr>
        <w:spacing w:line="460" w:lineRule="exact"/>
        <w:ind w:firstLine="432"/>
        <w:jc w:val="center"/>
        <w:rPr>
          <w:rFonts w:ascii="宋体" w:cs="宋体"/>
          <w:b/>
          <w:bCs/>
          <w:color w:val="auto"/>
          <w:sz w:val="21"/>
          <w:szCs w:val="21"/>
          <w:highlight w:val="none"/>
        </w:rPr>
      </w:pPr>
    </w:p>
    <w:p>
      <w:pPr>
        <w:spacing w:line="460" w:lineRule="exact"/>
        <w:ind w:firstLine="432"/>
        <w:jc w:val="center"/>
        <w:rPr>
          <w:rFonts w:ascii="宋体" w:cs="宋体"/>
          <w:b/>
          <w:bCs/>
          <w:color w:val="auto"/>
          <w:sz w:val="21"/>
          <w:szCs w:val="21"/>
          <w:highlight w:val="none"/>
        </w:rPr>
      </w:pPr>
    </w:p>
    <w:p>
      <w:pPr>
        <w:spacing w:line="600" w:lineRule="exact"/>
        <w:ind w:firstLine="431"/>
        <w:rPr>
          <w:rFonts w:ascii="宋体" w:cs="宋体"/>
          <w:color w:val="auto"/>
          <w:sz w:val="21"/>
          <w:szCs w:val="21"/>
          <w:highlight w:val="none"/>
          <w:u w:val="single"/>
        </w:rPr>
      </w:pPr>
      <w:r>
        <w:rPr>
          <w:rFonts w:hint="eastAsia" w:ascii="宋体" w:cs="宋体"/>
          <w:color w:val="auto"/>
          <w:sz w:val="21"/>
          <w:szCs w:val="21"/>
          <w:highlight w:val="none"/>
        </w:rPr>
        <w:t>投标人名称：</w:t>
      </w:r>
      <w:r>
        <w:rPr>
          <w:rFonts w:hint="eastAsia" w:ascii="宋体" w:cs="宋体"/>
          <w:color w:val="auto"/>
          <w:sz w:val="21"/>
          <w:szCs w:val="21"/>
          <w:highlight w:val="none"/>
          <w:u w:val="single"/>
        </w:rPr>
        <w:t xml:space="preserve">                              </w:t>
      </w:r>
    </w:p>
    <w:p>
      <w:pPr>
        <w:spacing w:line="600" w:lineRule="exact"/>
        <w:ind w:firstLine="431"/>
        <w:rPr>
          <w:rFonts w:ascii="宋体" w:cs="宋体"/>
          <w:color w:val="auto"/>
          <w:sz w:val="21"/>
          <w:szCs w:val="21"/>
          <w:highlight w:val="none"/>
          <w:u w:val="single"/>
        </w:rPr>
      </w:pPr>
      <w:r>
        <w:rPr>
          <w:rFonts w:hint="eastAsia" w:ascii="宋体" w:cs="宋体"/>
          <w:color w:val="auto"/>
          <w:spacing w:val="26"/>
          <w:sz w:val="21"/>
          <w:szCs w:val="21"/>
          <w:highlight w:val="none"/>
        </w:rPr>
        <w:t>单位性质</w:t>
      </w:r>
      <w:r>
        <w:rPr>
          <w:rFonts w:hint="eastAsia" w:ascii="宋体" w:cs="宋体"/>
          <w:color w:val="auto"/>
          <w:sz w:val="21"/>
          <w:szCs w:val="21"/>
          <w:highlight w:val="none"/>
        </w:rPr>
        <w:t>：</w:t>
      </w:r>
      <w:r>
        <w:rPr>
          <w:rFonts w:hint="eastAsia" w:ascii="宋体" w:cs="宋体"/>
          <w:color w:val="auto"/>
          <w:sz w:val="21"/>
          <w:szCs w:val="21"/>
          <w:highlight w:val="none"/>
          <w:u w:val="single"/>
        </w:rPr>
        <w:t xml:space="preserve">                              </w:t>
      </w:r>
    </w:p>
    <w:p>
      <w:pPr>
        <w:spacing w:line="600" w:lineRule="exact"/>
        <w:ind w:firstLine="431"/>
        <w:rPr>
          <w:rFonts w:ascii="宋体" w:cs="宋体"/>
          <w:color w:val="auto"/>
          <w:sz w:val="21"/>
          <w:szCs w:val="21"/>
          <w:highlight w:val="none"/>
          <w:u w:val="single"/>
        </w:rPr>
      </w:pPr>
      <w:r>
        <w:rPr>
          <w:rFonts w:hint="eastAsia" w:ascii="宋体" w:cs="宋体"/>
          <w:color w:val="auto"/>
          <w:sz w:val="21"/>
          <w:szCs w:val="21"/>
          <w:highlight w:val="none"/>
        </w:rPr>
        <w:t>地      址：</w:t>
      </w:r>
      <w:r>
        <w:rPr>
          <w:rFonts w:hint="eastAsia" w:ascii="宋体" w:cs="宋体"/>
          <w:color w:val="auto"/>
          <w:sz w:val="21"/>
          <w:szCs w:val="21"/>
          <w:highlight w:val="none"/>
          <w:u w:val="single"/>
        </w:rPr>
        <w:t xml:space="preserve">                              </w:t>
      </w:r>
    </w:p>
    <w:p>
      <w:pPr>
        <w:spacing w:line="600" w:lineRule="exact"/>
        <w:ind w:firstLine="431"/>
        <w:rPr>
          <w:rFonts w:ascii="宋体" w:cs="宋体"/>
          <w:color w:val="auto"/>
          <w:sz w:val="21"/>
          <w:szCs w:val="21"/>
          <w:highlight w:val="none"/>
          <w:u w:val="single"/>
        </w:rPr>
      </w:pPr>
      <w:r>
        <w:rPr>
          <w:rFonts w:hint="eastAsia" w:ascii="宋体" w:cs="宋体"/>
          <w:color w:val="auto"/>
          <w:spacing w:val="26"/>
          <w:sz w:val="21"/>
          <w:szCs w:val="21"/>
          <w:highlight w:val="none"/>
        </w:rPr>
        <w:t>成立时间</w:t>
      </w:r>
      <w:r>
        <w:rPr>
          <w:rFonts w:hint="eastAsia" w:ascii="宋体" w:cs="宋体"/>
          <w:color w:val="auto"/>
          <w:sz w:val="21"/>
          <w:szCs w:val="21"/>
          <w:highlight w:val="none"/>
        </w:rPr>
        <w:t>：</w:t>
      </w:r>
      <w:r>
        <w:rPr>
          <w:rFonts w:hint="eastAsia" w:ascii="宋体" w:cs="宋体"/>
          <w:color w:val="auto"/>
          <w:sz w:val="21"/>
          <w:szCs w:val="21"/>
          <w:highlight w:val="none"/>
          <w:u w:val="single"/>
        </w:rPr>
        <w:t xml:space="preserve">     </w:t>
      </w:r>
      <w:r>
        <w:rPr>
          <w:rFonts w:hint="eastAsia" w:ascii="宋体" w:cs="宋体"/>
          <w:color w:val="auto"/>
          <w:sz w:val="21"/>
          <w:szCs w:val="21"/>
          <w:highlight w:val="none"/>
        </w:rPr>
        <w:t>年</w:t>
      </w:r>
      <w:r>
        <w:rPr>
          <w:rFonts w:hint="eastAsia" w:ascii="宋体" w:cs="宋体"/>
          <w:color w:val="auto"/>
          <w:sz w:val="21"/>
          <w:szCs w:val="21"/>
          <w:highlight w:val="none"/>
          <w:u w:val="single"/>
        </w:rPr>
        <w:t xml:space="preserve">    </w:t>
      </w:r>
      <w:r>
        <w:rPr>
          <w:rFonts w:hint="eastAsia" w:ascii="宋体" w:cs="宋体"/>
          <w:color w:val="auto"/>
          <w:sz w:val="21"/>
          <w:szCs w:val="21"/>
          <w:highlight w:val="none"/>
        </w:rPr>
        <w:t>月</w:t>
      </w:r>
      <w:r>
        <w:rPr>
          <w:rFonts w:hint="eastAsia" w:ascii="宋体" w:cs="宋体"/>
          <w:color w:val="auto"/>
          <w:sz w:val="21"/>
          <w:szCs w:val="21"/>
          <w:highlight w:val="none"/>
          <w:u w:val="single"/>
        </w:rPr>
        <w:t xml:space="preserve">    </w:t>
      </w:r>
      <w:r>
        <w:rPr>
          <w:rFonts w:hint="eastAsia" w:ascii="宋体" w:cs="宋体"/>
          <w:color w:val="auto"/>
          <w:sz w:val="21"/>
          <w:szCs w:val="21"/>
          <w:highlight w:val="none"/>
        </w:rPr>
        <w:t>日</w:t>
      </w:r>
    </w:p>
    <w:p>
      <w:pPr>
        <w:spacing w:line="600" w:lineRule="exact"/>
        <w:ind w:firstLine="431"/>
        <w:rPr>
          <w:rFonts w:ascii="宋体" w:cs="宋体"/>
          <w:color w:val="auto"/>
          <w:sz w:val="21"/>
          <w:szCs w:val="21"/>
          <w:highlight w:val="none"/>
          <w:u w:val="single"/>
        </w:rPr>
      </w:pPr>
      <w:r>
        <w:rPr>
          <w:rFonts w:hint="eastAsia" w:ascii="宋体" w:cs="宋体"/>
          <w:color w:val="auto"/>
          <w:spacing w:val="26"/>
          <w:sz w:val="21"/>
          <w:szCs w:val="21"/>
          <w:highlight w:val="none"/>
        </w:rPr>
        <w:t>经营期限</w:t>
      </w:r>
      <w:r>
        <w:rPr>
          <w:rFonts w:hint="eastAsia" w:ascii="宋体" w:cs="宋体"/>
          <w:color w:val="auto"/>
          <w:sz w:val="21"/>
          <w:szCs w:val="21"/>
          <w:highlight w:val="none"/>
        </w:rPr>
        <w:t>：</w:t>
      </w:r>
      <w:r>
        <w:rPr>
          <w:rFonts w:hint="eastAsia" w:ascii="宋体" w:cs="宋体"/>
          <w:color w:val="auto"/>
          <w:sz w:val="21"/>
          <w:szCs w:val="21"/>
          <w:highlight w:val="none"/>
          <w:u w:val="single"/>
        </w:rPr>
        <w:t xml:space="preserve">                   </w:t>
      </w:r>
    </w:p>
    <w:p>
      <w:pPr>
        <w:spacing w:line="600" w:lineRule="exact"/>
        <w:ind w:firstLine="431"/>
        <w:rPr>
          <w:rFonts w:ascii="宋体" w:cs="宋体"/>
          <w:color w:val="auto"/>
          <w:sz w:val="21"/>
          <w:szCs w:val="21"/>
          <w:highlight w:val="none"/>
          <w:u w:val="single"/>
        </w:rPr>
      </w:pPr>
      <w:r>
        <w:rPr>
          <w:rFonts w:hint="eastAsia" w:ascii="宋体" w:cs="宋体"/>
          <w:color w:val="auto"/>
          <w:sz w:val="21"/>
          <w:szCs w:val="21"/>
          <w:highlight w:val="none"/>
        </w:rPr>
        <w:t>姓      名：</w:t>
      </w:r>
      <w:r>
        <w:rPr>
          <w:rFonts w:hint="eastAsia" w:ascii="宋体" w:cs="宋体"/>
          <w:color w:val="auto"/>
          <w:sz w:val="21"/>
          <w:szCs w:val="21"/>
          <w:highlight w:val="none"/>
          <w:u w:val="single"/>
        </w:rPr>
        <w:t xml:space="preserve">           </w:t>
      </w:r>
      <w:r>
        <w:rPr>
          <w:rFonts w:hint="eastAsia" w:ascii="宋体" w:cs="宋体"/>
          <w:color w:val="auto"/>
          <w:sz w:val="21"/>
          <w:szCs w:val="21"/>
          <w:highlight w:val="none"/>
        </w:rPr>
        <w:t>性别：</w:t>
      </w:r>
      <w:r>
        <w:rPr>
          <w:rFonts w:hint="eastAsia" w:ascii="宋体" w:cs="宋体"/>
          <w:color w:val="auto"/>
          <w:sz w:val="21"/>
          <w:szCs w:val="21"/>
          <w:highlight w:val="none"/>
          <w:u w:val="single"/>
        </w:rPr>
        <w:t xml:space="preserve">     </w:t>
      </w:r>
      <w:r>
        <w:rPr>
          <w:rFonts w:hint="eastAsia" w:ascii="宋体" w:cs="宋体"/>
          <w:color w:val="auto"/>
          <w:sz w:val="21"/>
          <w:szCs w:val="21"/>
          <w:highlight w:val="none"/>
        </w:rPr>
        <w:t>年龄：</w:t>
      </w:r>
      <w:r>
        <w:rPr>
          <w:rFonts w:hint="eastAsia" w:ascii="宋体" w:cs="宋体"/>
          <w:color w:val="auto"/>
          <w:sz w:val="21"/>
          <w:szCs w:val="21"/>
          <w:highlight w:val="none"/>
          <w:u w:val="single"/>
        </w:rPr>
        <w:t xml:space="preserve">      </w:t>
      </w:r>
      <w:r>
        <w:rPr>
          <w:rFonts w:hint="eastAsia" w:ascii="宋体" w:cs="宋体"/>
          <w:color w:val="auto"/>
          <w:sz w:val="21"/>
          <w:szCs w:val="21"/>
          <w:highlight w:val="none"/>
        </w:rPr>
        <w:t>职务：</w:t>
      </w:r>
      <w:r>
        <w:rPr>
          <w:rFonts w:hint="eastAsia" w:ascii="宋体" w:cs="宋体"/>
          <w:color w:val="auto"/>
          <w:sz w:val="21"/>
          <w:szCs w:val="21"/>
          <w:highlight w:val="none"/>
          <w:u w:val="single"/>
        </w:rPr>
        <w:t xml:space="preserve">           </w:t>
      </w:r>
    </w:p>
    <w:p>
      <w:pPr>
        <w:spacing w:line="600" w:lineRule="exact"/>
        <w:ind w:firstLine="431"/>
        <w:rPr>
          <w:rFonts w:ascii="宋体" w:cs="宋体"/>
          <w:color w:val="auto"/>
          <w:sz w:val="21"/>
          <w:szCs w:val="21"/>
          <w:highlight w:val="none"/>
        </w:rPr>
      </w:pPr>
      <w:r>
        <w:rPr>
          <w:rFonts w:hint="eastAsia" w:ascii="宋体" w:cs="宋体"/>
          <w:color w:val="auto"/>
          <w:sz w:val="21"/>
          <w:szCs w:val="21"/>
          <w:highlight w:val="none"/>
        </w:rPr>
        <w:t>系</w:t>
      </w:r>
      <w:r>
        <w:rPr>
          <w:rFonts w:hint="eastAsia" w:ascii="宋体" w:cs="宋体"/>
          <w:color w:val="auto"/>
          <w:sz w:val="21"/>
          <w:szCs w:val="21"/>
          <w:highlight w:val="none"/>
          <w:u w:val="single"/>
        </w:rPr>
        <w:t xml:space="preserve">                            </w:t>
      </w:r>
      <w:r>
        <w:rPr>
          <w:rFonts w:hint="eastAsia" w:ascii="宋体" w:cs="宋体"/>
          <w:color w:val="auto"/>
          <w:sz w:val="21"/>
          <w:szCs w:val="21"/>
          <w:highlight w:val="none"/>
        </w:rPr>
        <w:t>（投标人名称）的法定代表人</w:t>
      </w:r>
    </w:p>
    <w:p>
      <w:pPr>
        <w:spacing w:line="600" w:lineRule="exact"/>
        <w:ind w:firstLine="741" w:firstLineChars="353"/>
        <w:rPr>
          <w:rFonts w:ascii="宋体" w:cs="宋体"/>
          <w:color w:val="auto"/>
          <w:sz w:val="21"/>
          <w:szCs w:val="21"/>
          <w:highlight w:val="none"/>
        </w:rPr>
      </w:pPr>
      <w:r>
        <w:rPr>
          <w:rFonts w:hint="eastAsia" w:ascii="宋体" w:cs="宋体"/>
          <w:color w:val="auto"/>
          <w:sz w:val="21"/>
          <w:szCs w:val="21"/>
          <w:highlight w:val="none"/>
        </w:rPr>
        <w:t>特此证明。</w:t>
      </w:r>
    </w:p>
    <w:p>
      <w:pPr>
        <w:spacing w:line="460" w:lineRule="exact"/>
        <w:ind w:firstLine="744" w:firstLineChars="353"/>
        <w:rPr>
          <w:rFonts w:ascii="宋体" w:cs="宋体"/>
          <w:color w:val="auto"/>
          <w:sz w:val="21"/>
          <w:szCs w:val="21"/>
          <w:highlight w:val="none"/>
        </w:rPr>
      </w:pPr>
      <w:r>
        <w:rPr>
          <w:rFonts w:hint="eastAsia" w:ascii="宋体" w:cs="宋体"/>
          <w:b/>
          <w:color w:val="auto"/>
          <w:sz w:val="21"/>
          <w:szCs w:val="21"/>
          <w:highlight w:val="none"/>
        </w:rPr>
        <w:t>法定代表人身份证正反面复印件：</w:t>
      </w:r>
    </w:p>
    <w:p>
      <w:pPr>
        <w:spacing w:line="460" w:lineRule="exact"/>
        <w:ind w:firstLine="432"/>
        <w:jc w:val="center"/>
        <w:rPr>
          <w:rFonts w:ascii="宋体" w:cs="宋体"/>
          <w:color w:val="auto"/>
          <w:sz w:val="21"/>
          <w:szCs w:val="21"/>
          <w:highlight w:val="none"/>
        </w:rPr>
      </w:pPr>
    </w:p>
    <w:p>
      <w:pPr>
        <w:spacing w:line="460" w:lineRule="exact"/>
        <w:ind w:firstLine="432"/>
        <w:jc w:val="center"/>
        <w:rPr>
          <w:rFonts w:ascii="宋体" w:cs="宋体"/>
          <w:color w:val="auto"/>
          <w:sz w:val="21"/>
          <w:szCs w:val="21"/>
          <w:highlight w:val="none"/>
        </w:rPr>
      </w:pPr>
    </w:p>
    <w:p>
      <w:pPr>
        <w:spacing w:line="460" w:lineRule="exact"/>
        <w:ind w:firstLine="432"/>
        <w:jc w:val="center"/>
        <w:rPr>
          <w:rFonts w:ascii="宋体" w:cs="宋体"/>
          <w:color w:val="auto"/>
          <w:sz w:val="21"/>
          <w:szCs w:val="21"/>
          <w:highlight w:val="none"/>
        </w:rPr>
      </w:pPr>
    </w:p>
    <w:p>
      <w:pPr>
        <w:spacing w:line="460" w:lineRule="exact"/>
        <w:ind w:firstLine="432"/>
        <w:jc w:val="center"/>
        <w:rPr>
          <w:rFonts w:ascii="宋体" w:cs="宋体"/>
          <w:color w:val="auto"/>
          <w:sz w:val="21"/>
          <w:szCs w:val="21"/>
          <w:highlight w:val="none"/>
        </w:rPr>
      </w:pPr>
    </w:p>
    <w:p>
      <w:pPr>
        <w:spacing w:line="520" w:lineRule="exact"/>
        <w:ind w:firstLine="431"/>
        <w:jc w:val="center"/>
        <w:rPr>
          <w:rFonts w:ascii="宋体" w:cs="宋体"/>
          <w:color w:val="auto"/>
          <w:sz w:val="21"/>
          <w:szCs w:val="21"/>
          <w:highlight w:val="none"/>
        </w:rPr>
      </w:pPr>
    </w:p>
    <w:p>
      <w:pPr>
        <w:spacing w:line="520" w:lineRule="exact"/>
        <w:ind w:firstLine="431"/>
        <w:jc w:val="center"/>
        <w:rPr>
          <w:rFonts w:ascii="宋体" w:cs="宋体"/>
          <w:color w:val="auto"/>
          <w:sz w:val="21"/>
          <w:szCs w:val="21"/>
          <w:highlight w:val="none"/>
        </w:rPr>
      </w:pPr>
    </w:p>
    <w:p>
      <w:pPr>
        <w:spacing w:line="520" w:lineRule="exact"/>
        <w:ind w:firstLine="431"/>
        <w:jc w:val="center"/>
        <w:rPr>
          <w:rFonts w:ascii="宋体" w:cs="宋体"/>
          <w:color w:val="auto"/>
          <w:sz w:val="21"/>
          <w:szCs w:val="21"/>
          <w:highlight w:val="none"/>
        </w:rPr>
      </w:pPr>
    </w:p>
    <w:p>
      <w:pPr>
        <w:spacing w:line="520" w:lineRule="exact"/>
        <w:ind w:firstLine="431"/>
        <w:jc w:val="center"/>
        <w:rPr>
          <w:rFonts w:ascii="宋体" w:cs="宋体"/>
          <w:color w:val="auto"/>
          <w:sz w:val="21"/>
          <w:szCs w:val="21"/>
          <w:highlight w:val="none"/>
          <w:u w:val="single"/>
        </w:rPr>
      </w:pPr>
      <w:r>
        <w:rPr>
          <w:rFonts w:hint="eastAsia" w:ascii="宋体" w:cs="宋体"/>
          <w:color w:val="auto"/>
          <w:sz w:val="21"/>
          <w:szCs w:val="21"/>
          <w:highlight w:val="none"/>
        </w:rPr>
        <w:t xml:space="preserve">                            </w:t>
      </w:r>
      <w:r>
        <w:rPr>
          <w:rFonts w:hint="eastAsia" w:ascii="宋体"/>
          <w:color w:val="auto"/>
          <w:sz w:val="21"/>
          <w:szCs w:val="21"/>
          <w:highlight w:val="none"/>
        </w:rPr>
        <w:t>投标人名称</w:t>
      </w:r>
      <w:r>
        <w:rPr>
          <w:rFonts w:hint="eastAsia" w:ascii="宋体" w:cs="宋体"/>
          <w:color w:val="auto"/>
          <w:sz w:val="21"/>
          <w:szCs w:val="21"/>
          <w:highlight w:val="none"/>
        </w:rPr>
        <w:t>：</w:t>
      </w:r>
      <w:r>
        <w:rPr>
          <w:rFonts w:hint="eastAsia" w:ascii="宋体" w:cs="宋体"/>
          <w:color w:val="auto"/>
          <w:sz w:val="21"/>
          <w:szCs w:val="21"/>
          <w:highlight w:val="none"/>
          <w:u w:val="single"/>
        </w:rPr>
        <w:t xml:space="preserve">                 </w:t>
      </w:r>
      <w:r>
        <w:rPr>
          <w:rFonts w:hint="eastAsia" w:ascii="宋体" w:cs="宋体"/>
          <w:color w:val="auto"/>
          <w:sz w:val="21"/>
          <w:szCs w:val="21"/>
          <w:highlight w:val="none"/>
        </w:rPr>
        <w:t>（盖单位章）</w:t>
      </w:r>
    </w:p>
    <w:p>
      <w:pPr>
        <w:pStyle w:val="36"/>
        <w:widowControl w:val="0"/>
        <w:spacing w:before="156" w:beforeAutospacing="0" w:after="156" w:afterAutospacing="0" w:line="400" w:lineRule="atLeast"/>
        <w:jc w:val="center"/>
        <w:rPr>
          <w:rFonts w:cs="宋体"/>
          <w:color w:val="auto"/>
          <w:sz w:val="21"/>
          <w:szCs w:val="21"/>
          <w:highlight w:val="none"/>
        </w:rPr>
      </w:pPr>
      <w:r>
        <w:rPr>
          <w:rFonts w:hint="eastAsia" w:cs="宋体"/>
          <w:color w:val="auto"/>
          <w:sz w:val="21"/>
          <w:szCs w:val="21"/>
          <w:highlight w:val="none"/>
        </w:rPr>
        <w:t xml:space="preserve">                      </w:t>
      </w:r>
      <w:r>
        <w:rPr>
          <w:rFonts w:hint="eastAsia" w:cs="宋体"/>
          <w:color w:val="auto"/>
          <w:sz w:val="21"/>
          <w:szCs w:val="21"/>
          <w:highlight w:val="none"/>
          <w:u w:val="single"/>
        </w:rPr>
        <w:t xml:space="preserve">     </w:t>
      </w:r>
      <w:r>
        <w:rPr>
          <w:rFonts w:hint="eastAsia" w:cs="宋体"/>
          <w:color w:val="auto"/>
          <w:sz w:val="21"/>
          <w:szCs w:val="21"/>
          <w:highlight w:val="none"/>
        </w:rPr>
        <w:t>年</w:t>
      </w:r>
      <w:r>
        <w:rPr>
          <w:rFonts w:hint="eastAsia" w:cs="宋体"/>
          <w:color w:val="auto"/>
          <w:sz w:val="21"/>
          <w:szCs w:val="21"/>
          <w:highlight w:val="none"/>
          <w:u w:val="single"/>
        </w:rPr>
        <w:t xml:space="preserve">     </w:t>
      </w:r>
      <w:r>
        <w:rPr>
          <w:rFonts w:hint="eastAsia" w:cs="宋体"/>
          <w:color w:val="auto"/>
          <w:sz w:val="21"/>
          <w:szCs w:val="21"/>
          <w:highlight w:val="none"/>
        </w:rPr>
        <w:t>月</w:t>
      </w:r>
      <w:r>
        <w:rPr>
          <w:rFonts w:hint="eastAsia" w:cs="宋体"/>
          <w:color w:val="auto"/>
          <w:sz w:val="21"/>
          <w:szCs w:val="21"/>
          <w:highlight w:val="none"/>
          <w:u w:val="single"/>
        </w:rPr>
        <w:t xml:space="preserve">     </w:t>
      </w:r>
      <w:r>
        <w:rPr>
          <w:rFonts w:hint="eastAsia" w:cs="宋体"/>
          <w:color w:val="auto"/>
          <w:sz w:val="21"/>
          <w:szCs w:val="21"/>
          <w:highlight w:val="none"/>
        </w:rPr>
        <w:t>日</w:t>
      </w:r>
    </w:p>
    <w:p>
      <w:pPr>
        <w:pStyle w:val="36"/>
        <w:widowControl w:val="0"/>
        <w:spacing w:before="156" w:beforeAutospacing="0" w:after="156" w:afterAutospacing="0" w:line="400" w:lineRule="atLeast"/>
        <w:jc w:val="center"/>
        <w:rPr>
          <w:rFonts w:cs="宋体"/>
          <w:color w:val="auto"/>
          <w:sz w:val="21"/>
          <w:szCs w:val="21"/>
          <w:highlight w:val="none"/>
        </w:rPr>
      </w:pPr>
    </w:p>
    <w:p>
      <w:pPr>
        <w:pStyle w:val="36"/>
        <w:widowControl w:val="0"/>
        <w:spacing w:before="156" w:beforeAutospacing="0" w:after="156" w:afterAutospacing="0" w:line="400" w:lineRule="atLeast"/>
        <w:jc w:val="center"/>
        <w:rPr>
          <w:rFonts w:cs="宋体"/>
          <w:color w:val="auto"/>
          <w:sz w:val="21"/>
          <w:szCs w:val="21"/>
          <w:highlight w:val="none"/>
        </w:rPr>
      </w:pPr>
    </w:p>
    <w:p>
      <w:pPr>
        <w:pStyle w:val="36"/>
        <w:widowControl w:val="0"/>
        <w:spacing w:before="156" w:beforeAutospacing="0" w:after="156" w:afterAutospacing="0" w:line="400" w:lineRule="atLeast"/>
        <w:jc w:val="center"/>
        <w:rPr>
          <w:rFonts w:cs="宋体"/>
          <w:color w:val="auto"/>
          <w:sz w:val="21"/>
          <w:szCs w:val="21"/>
          <w:highlight w:val="none"/>
        </w:rPr>
      </w:pPr>
    </w:p>
    <w:p>
      <w:pPr>
        <w:pStyle w:val="36"/>
        <w:widowControl w:val="0"/>
        <w:spacing w:before="156" w:beforeAutospacing="0" w:after="156" w:afterAutospacing="0" w:line="400" w:lineRule="atLeast"/>
        <w:jc w:val="center"/>
        <w:rPr>
          <w:rFonts w:cs="宋体"/>
          <w:color w:val="auto"/>
          <w:sz w:val="21"/>
          <w:szCs w:val="21"/>
          <w:highlight w:val="none"/>
        </w:rPr>
      </w:pPr>
    </w:p>
    <w:p>
      <w:pPr>
        <w:pStyle w:val="36"/>
        <w:widowControl w:val="0"/>
        <w:spacing w:before="156" w:beforeAutospacing="0" w:after="156" w:afterAutospacing="0" w:line="400" w:lineRule="atLeast"/>
        <w:jc w:val="center"/>
        <w:rPr>
          <w:rFonts w:cs="宋体"/>
          <w:color w:val="auto"/>
          <w:sz w:val="21"/>
          <w:szCs w:val="21"/>
          <w:highlight w:val="none"/>
        </w:rPr>
      </w:pPr>
    </w:p>
    <w:p>
      <w:pPr>
        <w:pStyle w:val="36"/>
        <w:widowControl w:val="0"/>
        <w:spacing w:before="156" w:beforeAutospacing="0" w:after="156" w:afterAutospacing="0" w:line="400" w:lineRule="atLeast"/>
        <w:jc w:val="center"/>
        <w:rPr>
          <w:rFonts w:cs="宋体"/>
          <w:bCs/>
          <w:color w:val="auto"/>
          <w:sz w:val="32"/>
          <w:szCs w:val="32"/>
          <w:highlight w:val="none"/>
        </w:rPr>
      </w:pPr>
      <w:r>
        <w:rPr>
          <w:rFonts w:hint="eastAsia" w:cs="宋体"/>
          <w:b/>
          <w:color w:val="auto"/>
          <w:kern w:val="2"/>
          <w:sz w:val="32"/>
          <w:szCs w:val="32"/>
          <w:highlight w:val="none"/>
        </w:rPr>
        <w:t>法定代表人授权委托书</w:t>
      </w:r>
    </w:p>
    <w:p>
      <w:pPr>
        <w:rPr>
          <w:rFonts w:ascii="宋体" w:cs="宋体"/>
          <w:color w:val="auto"/>
          <w:sz w:val="21"/>
          <w:szCs w:val="21"/>
          <w:highlight w:val="none"/>
        </w:rPr>
      </w:pPr>
    </w:p>
    <w:p>
      <w:pPr>
        <w:spacing w:line="600" w:lineRule="exact"/>
        <w:rPr>
          <w:rFonts w:ascii="宋体" w:cs="宋体"/>
          <w:color w:val="auto"/>
          <w:sz w:val="21"/>
          <w:szCs w:val="21"/>
          <w:highlight w:val="none"/>
        </w:rPr>
      </w:pPr>
      <w:r>
        <w:rPr>
          <w:rFonts w:hint="eastAsia" w:ascii="宋体" w:cs="宋体"/>
          <w:color w:val="auto"/>
          <w:sz w:val="21"/>
          <w:szCs w:val="21"/>
          <w:highlight w:val="none"/>
        </w:rPr>
        <w:t xml:space="preserve">   本授权书声明：注册于</w:t>
      </w:r>
      <w:r>
        <w:rPr>
          <w:rFonts w:hint="eastAsia" w:ascii="宋体" w:cs="宋体"/>
          <w:color w:val="auto"/>
          <w:sz w:val="21"/>
          <w:szCs w:val="21"/>
          <w:highlight w:val="none"/>
          <w:u w:val="single"/>
        </w:rPr>
        <w:t xml:space="preserve">              </w:t>
      </w:r>
      <w:r>
        <w:rPr>
          <w:rFonts w:hint="eastAsia" w:ascii="宋体" w:cs="宋体"/>
          <w:color w:val="auto"/>
          <w:sz w:val="21"/>
          <w:szCs w:val="21"/>
          <w:highlight w:val="none"/>
        </w:rPr>
        <w:t>（注册地）的</w:t>
      </w:r>
      <w:r>
        <w:rPr>
          <w:rFonts w:hint="eastAsia" w:ascii="宋体" w:cs="宋体"/>
          <w:color w:val="auto"/>
          <w:sz w:val="21"/>
          <w:szCs w:val="21"/>
          <w:highlight w:val="none"/>
          <w:u w:val="single"/>
        </w:rPr>
        <w:t xml:space="preserve">                     </w:t>
      </w:r>
      <w:r>
        <w:rPr>
          <w:rFonts w:hint="eastAsia" w:ascii="宋体" w:cs="宋体"/>
          <w:color w:val="auto"/>
          <w:sz w:val="21"/>
          <w:szCs w:val="21"/>
          <w:highlight w:val="none"/>
        </w:rPr>
        <w:t>公司的在下面签字的</w:t>
      </w:r>
      <w:r>
        <w:rPr>
          <w:rFonts w:hint="eastAsia" w:ascii="宋体" w:cs="宋体"/>
          <w:color w:val="auto"/>
          <w:sz w:val="21"/>
          <w:szCs w:val="21"/>
          <w:highlight w:val="none"/>
          <w:u w:val="single"/>
        </w:rPr>
        <w:t xml:space="preserve">              （</w:t>
      </w:r>
      <w:r>
        <w:rPr>
          <w:rFonts w:hint="eastAsia" w:ascii="宋体" w:cs="宋体"/>
          <w:color w:val="auto"/>
          <w:sz w:val="21"/>
          <w:szCs w:val="21"/>
          <w:highlight w:val="none"/>
        </w:rPr>
        <w:t>法定代表人姓名、职务）代表本公司授权的在下面签字的</w:t>
      </w:r>
      <w:r>
        <w:rPr>
          <w:rFonts w:hint="eastAsia" w:ascii="宋体" w:cs="宋体"/>
          <w:color w:val="auto"/>
          <w:sz w:val="21"/>
          <w:szCs w:val="21"/>
          <w:highlight w:val="none"/>
          <w:u w:val="single"/>
        </w:rPr>
        <w:t xml:space="preserve">              </w:t>
      </w:r>
      <w:r>
        <w:rPr>
          <w:rFonts w:hint="eastAsia" w:ascii="宋体" w:cs="宋体"/>
          <w:color w:val="auto"/>
          <w:sz w:val="21"/>
          <w:szCs w:val="21"/>
          <w:highlight w:val="none"/>
        </w:rPr>
        <w:t>（被授权人的姓名、职务）为本公司的唯一合法代理人，就</w:t>
      </w:r>
      <w:r>
        <w:rPr>
          <w:rFonts w:hint="eastAsia" w:ascii="宋体" w:cs="宋体"/>
          <w:color w:val="auto"/>
          <w:sz w:val="21"/>
          <w:szCs w:val="21"/>
          <w:highlight w:val="none"/>
          <w:u w:val="single"/>
        </w:rPr>
        <w:t xml:space="preserve">                        </w:t>
      </w:r>
      <w:r>
        <w:rPr>
          <w:rFonts w:hint="eastAsia" w:ascii="宋体" w:cs="宋体"/>
          <w:color w:val="auto"/>
          <w:sz w:val="21"/>
          <w:szCs w:val="21"/>
          <w:highlight w:val="none"/>
        </w:rPr>
        <w:t>项目的投标及合同的执行完成和保修，以本公司名义处理一切与之有关的事务。</w:t>
      </w:r>
    </w:p>
    <w:p>
      <w:pPr>
        <w:spacing w:line="600" w:lineRule="exact"/>
        <w:rPr>
          <w:rFonts w:ascii="宋体" w:cs="宋体"/>
          <w:b/>
          <w:color w:val="auto"/>
          <w:sz w:val="21"/>
          <w:szCs w:val="21"/>
          <w:highlight w:val="none"/>
        </w:rPr>
      </w:pPr>
      <w:r>
        <w:rPr>
          <w:rFonts w:hint="eastAsia" w:ascii="宋体" w:cs="宋体"/>
          <w:b/>
          <w:color w:val="auto"/>
          <w:sz w:val="21"/>
          <w:szCs w:val="21"/>
          <w:highlight w:val="none"/>
        </w:rPr>
        <w:t>被授权人身份证正反面复印件：</w:t>
      </w:r>
    </w:p>
    <w:p>
      <w:pPr>
        <w:rPr>
          <w:rFonts w:ascii="宋体" w:cs="宋体"/>
          <w:color w:val="auto"/>
          <w:sz w:val="21"/>
          <w:szCs w:val="21"/>
          <w:highlight w:val="none"/>
        </w:rPr>
      </w:pPr>
    </w:p>
    <w:p>
      <w:pPr>
        <w:rPr>
          <w:rFonts w:ascii="宋体" w:cs="宋体"/>
          <w:color w:val="auto"/>
          <w:sz w:val="21"/>
          <w:szCs w:val="21"/>
          <w:highlight w:val="none"/>
        </w:rPr>
      </w:pPr>
    </w:p>
    <w:p>
      <w:pPr>
        <w:rPr>
          <w:rFonts w:ascii="宋体" w:cs="宋体"/>
          <w:color w:val="auto"/>
          <w:sz w:val="21"/>
          <w:szCs w:val="21"/>
          <w:highlight w:val="none"/>
        </w:rPr>
      </w:pPr>
    </w:p>
    <w:p>
      <w:pPr>
        <w:rPr>
          <w:rFonts w:ascii="宋体" w:cs="宋体"/>
          <w:color w:val="auto"/>
          <w:sz w:val="21"/>
          <w:szCs w:val="21"/>
          <w:highlight w:val="none"/>
        </w:rPr>
      </w:pPr>
    </w:p>
    <w:p>
      <w:pPr>
        <w:rPr>
          <w:rFonts w:ascii="宋体" w:cs="宋体"/>
          <w:color w:val="auto"/>
          <w:sz w:val="21"/>
          <w:szCs w:val="21"/>
          <w:highlight w:val="none"/>
        </w:rPr>
      </w:pPr>
    </w:p>
    <w:p>
      <w:pPr>
        <w:rPr>
          <w:rFonts w:ascii="宋体" w:cs="宋体"/>
          <w:color w:val="auto"/>
          <w:sz w:val="21"/>
          <w:szCs w:val="21"/>
          <w:highlight w:val="none"/>
        </w:rPr>
      </w:pPr>
    </w:p>
    <w:p>
      <w:pPr>
        <w:rPr>
          <w:rFonts w:ascii="宋体" w:cs="宋体"/>
          <w:color w:val="auto"/>
          <w:sz w:val="21"/>
          <w:szCs w:val="21"/>
          <w:highlight w:val="none"/>
        </w:rPr>
      </w:pPr>
    </w:p>
    <w:p>
      <w:pPr>
        <w:spacing w:line="600" w:lineRule="exact"/>
        <w:ind w:firstLine="2625" w:firstLineChars="1250"/>
        <w:rPr>
          <w:rFonts w:ascii="宋体" w:cs="宋体"/>
          <w:color w:val="auto"/>
          <w:sz w:val="21"/>
          <w:szCs w:val="21"/>
          <w:highlight w:val="none"/>
          <w:u w:val="single"/>
        </w:rPr>
      </w:pPr>
      <w:r>
        <w:rPr>
          <w:rFonts w:hint="eastAsia" w:ascii="宋体" w:cs="宋体"/>
          <w:color w:val="auto"/>
          <w:sz w:val="21"/>
          <w:szCs w:val="21"/>
          <w:highlight w:val="none"/>
        </w:rPr>
        <w:t>法定代表人（签字</w:t>
      </w:r>
      <w:r>
        <w:rPr>
          <w:rFonts w:hint="eastAsia" w:ascii="宋体" w:cs="宋体"/>
          <w:color w:val="auto"/>
          <w:sz w:val="21"/>
          <w:szCs w:val="21"/>
          <w:highlight w:val="none"/>
          <w:lang w:val="en-US" w:eastAsia="zh-CN"/>
        </w:rPr>
        <w:t>或盖章</w:t>
      </w:r>
      <w:r>
        <w:rPr>
          <w:rFonts w:hint="eastAsia" w:ascii="宋体" w:cs="宋体"/>
          <w:color w:val="auto"/>
          <w:sz w:val="21"/>
          <w:szCs w:val="21"/>
          <w:highlight w:val="none"/>
        </w:rPr>
        <w:t>）：</w:t>
      </w:r>
      <w:r>
        <w:rPr>
          <w:rFonts w:hint="eastAsia" w:ascii="宋体" w:cs="宋体"/>
          <w:color w:val="auto"/>
          <w:sz w:val="21"/>
          <w:szCs w:val="21"/>
          <w:highlight w:val="none"/>
          <w:u w:val="single"/>
        </w:rPr>
        <w:t xml:space="preserve">                             </w:t>
      </w:r>
    </w:p>
    <w:p>
      <w:pPr>
        <w:spacing w:line="600" w:lineRule="exact"/>
        <w:ind w:firstLine="2310" w:firstLineChars="1100"/>
        <w:rPr>
          <w:rFonts w:ascii="宋体" w:cs="宋体"/>
          <w:color w:val="auto"/>
          <w:sz w:val="21"/>
          <w:szCs w:val="21"/>
          <w:highlight w:val="none"/>
        </w:rPr>
      </w:pPr>
      <w:r>
        <w:rPr>
          <w:rFonts w:hint="eastAsia" w:ascii="宋体" w:cs="宋体"/>
          <w:color w:val="auto"/>
          <w:sz w:val="21"/>
          <w:szCs w:val="21"/>
          <w:highlight w:val="none"/>
        </w:rPr>
        <w:t xml:space="preserve">   授权代表（被授权人）签字：</w:t>
      </w:r>
      <w:r>
        <w:rPr>
          <w:rFonts w:hint="eastAsia" w:ascii="宋体" w:cs="宋体"/>
          <w:color w:val="auto"/>
          <w:sz w:val="21"/>
          <w:szCs w:val="21"/>
          <w:highlight w:val="none"/>
          <w:u w:val="single"/>
        </w:rPr>
        <w:t xml:space="preserve">                       </w:t>
      </w:r>
    </w:p>
    <w:p>
      <w:pPr>
        <w:spacing w:line="600" w:lineRule="exact"/>
        <w:ind w:firstLine="2730" w:firstLineChars="1300"/>
        <w:rPr>
          <w:rFonts w:ascii="宋体" w:cs="宋体"/>
          <w:color w:val="auto"/>
          <w:sz w:val="21"/>
          <w:szCs w:val="21"/>
          <w:highlight w:val="none"/>
          <w:u w:val="single"/>
        </w:rPr>
      </w:pPr>
      <w:r>
        <w:rPr>
          <w:rFonts w:hint="eastAsia" w:ascii="宋体" w:cs="宋体"/>
          <w:color w:val="auto"/>
          <w:sz w:val="21"/>
          <w:szCs w:val="21"/>
          <w:highlight w:val="none"/>
        </w:rPr>
        <w:t>单位名称：</w:t>
      </w:r>
      <w:r>
        <w:rPr>
          <w:rFonts w:hint="eastAsia" w:ascii="宋体" w:cs="宋体"/>
          <w:color w:val="auto"/>
          <w:sz w:val="21"/>
          <w:szCs w:val="21"/>
          <w:highlight w:val="none"/>
          <w:u w:val="single"/>
        </w:rPr>
        <w:t xml:space="preserve">                                       </w:t>
      </w:r>
    </w:p>
    <w:p>
      <w:pPr>
        <w:spacing w:line="600" w:lineRule="exact"/>
        <w:ind w:firstLine="2730" w:firstLineChars="1300"/>
        <w:rPr>
          <w:rFonts w:ascii="宋体" w:cs="宋体"/>
          <w:color w:val="auto"/>
          <w:sz w:val="21"/>
          <w:szCs w:val="21"/>
          <w:highlight w:val="none"/>
        </w:rPr>
      </w:pPr>
      <w:r>
        <w:rPr>
          <w:rFonts w:hint="eastAsia" w:ascii="宋体" w:cs="宋体"/>
          <w:color w:val="auto"/>
          <w:sz w:val="21"/>
          <w:szCs w:val="21"/>
          <w:highlight w:val="none"/>
        </w:rPr>
        <w:t>地址：</w:t>
      </w:r>
      <w:r>
        <w:rPr>
          <w:rFonts w:hint="eastAsia" w:ascii="宋体" w:cs="宋体"/>
          <w:color w:val="auto"/>
          <w:sz w:val="21"/>
          <w:szCs w:val="21"/>
          <w:highlight w:val="none"/>
          <w:u w:val="single"/>
        </w:rPr>
        <w:t xml:space="preserve">                                           </w:t>
      </w:r>
    </w:p>
    <w:p>
      <w:pPr>
        <w:rPr>
          <w:rFonts w:ascii="宋体" w:cs="宋体"/>
          <w:color w:val="auto"/>
          <w:sz w:val="21"/>
          <w:szCs w:val="21"/>
          <w:highlight w:val="none"/>
        </w:rPr>
      </w:pPr>
    </w:p>
    <w:p>
      <w:pPr>
        <w:rPr>
          <w:rFonts w:ascii="宋体" w:cs="宋体"/>
          <w:color w:val="auto"/>
          <w:sz w:val="21"/>
          <w:szCs w:val="21"/>
          <w:highlight w:val="none"/>
        </w:rPr>
      </w:pPr>
    </w:p>
    <w:p>
      <w:pPr>
        <w:rPr>
          <w:rFonts w:ascii="宋体" w:cs="宋体"/>
          <w:color w:val="auto"/>
          <w:sz w:val="21"/>
          <w:szCs w:val="21"/>
          <w:highlight w:val="none"/>
        </w:rPr>
      </w:pPr>
    </w:p>
    <w:p>
      <w:pPr>
        <w:rPr>
          <w:rFonts w:ascii="宋体" w:cs="宋体"/>
          <w:color w:val="auto"/>
          <w:sz w:val="21"/>
          <w:szCs w:val="21"/>
          <w:highlight w:val="none"/>
        </w:rPr>
      </w:pPr>
    </w:p>
    <w:p>
      <w:pPr>
        <w:rPr>
          <w:rFonts w:ascii="宋体" w:cs="宋体"/>
          <w:color w:val="auto"/>
          <w:sz w:val="21"/>
          <w:szCs w:val="21"/>
          <w:highlight w:val="none"/>
        </w:rPr>
      </w:pPr>
      <w:r>
        <w:rPr>
          <w:rFonts w:hint="eastAsia" w:ascii="宋体" w:cs="宋体"/>
          <w:color w:val="auto"/>
          <w:sz w:val="21"/>
          <w:szCs w:val="21"/>
          <w:highlight w:val="none"/>
        </w:rPr>
        <w:t xml:space="preserve">                                                 日期：     年    月     日</w:t>
      </w:r>
    </w:p>
    <w:p>
      <w:pPr>
        <w:rPr>
          <w:rFonts w:ascii="宋体" w:cs="宋体"/>
          <w:color w:val="auto"/>
          <w:sz w:val="21"/>
          <w:szCs w:val="21"/>
          <w:highlight w:val="none"/>
        </w:rPr>
      </w:pPr>
    </w:p>
    <w:p>
      <w:pPr>
        <w:rPr>
          <w:rFonts w:ascii="宋体" w:cs="宋体"/>
          <w:color w:val="auto"/>
          <w:sz w:val="21"/>
          <w:szCs w:val="21"/>
          <w:highlight w:val="none"/>
        </w:rPr>
      </w:pPr>
    </w:p>
    <w:p>
      <w:pPr>
        <w:rPr>
          <w:rFonts w:ascii="宋体" w:cs="宋体"/>
          <w:bCs/>
          <w:color w:val="auto"/>
          <w:kern w:val="0"/>
          <w:sz w:val="21"/>
          <w:szCs w:val="21"/>
          <w:highlight w:val="none"/>
        </w:rPr>
      </w:pPr>
    </w:p>
    <w:p>
      <w:pPr>
        <w:rPr>
          <w:rFonts w:ascii="宋体" w:cs="宋体"/>
          <w:bCs/>
          <w:color w:val="auto"/>
          <w:kern w:val="0"/>
          <w:sz w:val="21"/>
          <w:szCs w:val="21"/>
          <w:highlight w:val="none"/>
        </w:rPr>
      </w:pPr>
    </w:p>
    <w:p>
      <w:pPr>
        <w:pStyle w:val="36"/>
        <w:jc w:val="center"/>
        <w:rPr>
          <w:rFonts w:cs="宋体"/>
          <w:b/>
          <w:color w:val="auto"/>
          <w:sz w:val="21"/>
          <w:szCs w:val="21"/>
          <w:highlight w:val="none"/>
        </w:rPr>
      </w:pPr>
    </w:p>
    <w:p>
      <w:pPr>
        <w:pStyle w:val="36"/>
        <w:jc w:val="center"/>
        <w:rPr>
          <w:rFonts w:cs="宋体"/>
          <w:b/>
          <w:color w:val="auto"/>
          <w:sz w:val="21"/>
          <w:szCs w:val="21"/>
          <w:highlight w:val="none"/>
        </w:rPr>
      </w:pPr>
    </w:p>
    <w:p>
      <w:pPr>
        <w:pStyle w:val="36"/>
        <w:jc w:val="center"/>
        <w:rPr>
          <w:rFonts w:cs="宋体"/>
          <w:b/>
          <w:color w:val="auto"/>
          <w:sz w:val="21"/>
          <w:szCs w:val="21"/>
          <w:highlight w:val="none"/>
        </w:rPr>
      </w:pPr>
    </w:p>
    <w:p>
      <w:pPr>
        <w:pStyle w:val="36"/>
        <w:jc w:val="center"/>
        <w:rPr>
          <w:rFonts w:cs="宋体"/>
          <w:b/>
          <w:color w:val="auto"/>
          <w:sz w:val="21"/>
          <w:szCs w:val="21"/>
          <w:highlight w:val="none"/>
        </w:rPr>
      </w:pPr>
    </w:p>
    <w:p>
      <w:pPr>
        <w:pStyle w:val="36"/>
        <w:jc w:val="center"/>
        <w:rPr>
          <w:b/>
          <w:color w:val="auto"/>
          <w:sz w:val="28"/>
          <w:szCs w:val="28"/>
          <w:highlight w:val="none"/>
        </w:rPr>
      </w:pPr>
      <w:r>
        <w:rPr>
          <w:rFonts w:hint="eastAsia"/>
          <w:b/>
          <w:color w:val="auto"/>
          <w:sz w:val="28"/>
          <w:szCs w:val="28"/>
          <w:highlight w:val="none"/>
        </w:rPr>
        <w:t>售后服务承诺书</w:t>
      </w:r>
    </w:p>
    <w:p>
      <w:pPr>
        <w:spacing w:line="360" w:lineRule="auto"/>
        <w:ind w:firstLine="480"/>
        <w:rPr>
          <w:rFonts w:ascii="宋体" w:cs="宋体"/>
          <w:color w:val="auto"/>
          <w:sz w:val="21"/>
          <w:szCs w:val="21"/>
          <w:highlight w:val="none"/>
        </w:rPr>
      </w:pPr>
      <w:r>
        <w:rPr>
          <w:rFonts w:hint="eastAsia" w:ascii="宋体" w:cs="宋体"/>
          <w:color w:val="auto"/>
          <w:sz w:val="21"/>
          <w:szCs w:val="21"/>
          <w:highlight w:val="none"/>
        </w:rPr>
        <w:t>内容要求：</w:t>
      </w:r>
    </w:p>
    <w:p>
      <w:pPr>
        <w:spacing w:line="360" w:lineRule="auto"/>
        <w:ind w:firstLine="480"/>
        <w:rPr>
          <w:rFonts w:ascii="宋体" w:cs="宋体"/>
          <w:color w:val="auto"/>
          <w:sz w:val="21"/>
          <w:szCs w:val="21"/>
          <w:highlight w:val="none"/>
        </w:rPr>
      </w:pPr>
      <w:r>
        <w:rPr>
          <w:rFonts w:hint="eastAsia" w:ascii="宋体" w:cs="宋体"/>
          <w:color w:val="auto"/>
          <w:sz w:val="21"/>
          <w:szCs w:val="21"/>
          <w:highlight w:val="none"/>
        </w:rPr>
        <w:t>投标人根据本项目的工作内容、服务要求、特点等，合理、科学、慎重对以下内容作出承诺：</w:t>
      </w:r>
    </w:p>
    <w:p>
      <w:pPr>
        <w:spacing w:line="360" w:lineRule="auto"/>
        <w:ind w:firstLine="480"/>
        <w:rPr>
          <w:rFonts w:ascii="宋体" w:cs="宋体"/>
          <w:color w:val="auto"/>
          <w:sz w:val="21"/>
          <w:szCs w:val="21"/>
          <w:highlight w:val="none"/>
        </w:rPr>
      </w:pPr>
    </w:p>
    <w:p>
      <w:pPr>
        <w:widowControl/>
        <w:spacing w:line="360" w:lineRule="auto"/>
        <w:ind w:firstLine="480"/>
        <w:rPr>
          <w:rFonts w:ascii="宋体" w:cs="宋体"/>
          <w:color w:val="auto"/>
          <w:kern w:val="0"/>
          <w:sz w:val="21"/>
          <w:szCs w:val="21"/>
          <w:highlight w:val="none"/>
        </w:rPr>
      </w:pPr>
      <w:r>
        <w:rPr>
          <w:rFonts w:hint="eastAsia" w:ascii="宋体" w:cs="宋体"/>
          <w:color w:val="auto"/>
          <w:kern w:val="0"/>
          <w:sz w:val="21"/>
          <w:szCs w:val="21"/>
          <w:highlight w:val="none"/>
        </w:rPr>
        <w:t xml:space="preserve">1、服务承诺： </w:t>
      </w:r>
    </w:p>
    <w:p>
      <w:pPr>
        <w:widowControl/>
        <w:spacing w:line="360" w:lineRule="auto"/>
        <w:ind w:firstLine="480"/>
        <w:rPr>
          <w:rFonts w:ascii="宋体" w:cs="宋体"/>
          <w:color w:val="auto"/>
          <w:kern w:val="0"/>
          <w:sz w:val="21"/>
          <w:szCs w:val="21"/>
          <w:highlight w:val="none"/>
        </w:rPr>
      </w:pPr>
    </w:p>
    <w:p>
      <w:pPr>
        <w:widowControl/>
        <w:spacing w:line="360" w:lineRule="auto"/>
        <w:ind w:firstLine="480"/>
        <w:rPr>
          <w:rFonts w:ascii="宋体" w:cs="宋体"/>
          <w:color w:val="auto"/>
          <w:kern w:val="0"/>
          <w:sz w:val="21"/>
          <w:szCs w:val="21"/>
          <w:highlight w:val="none"/>
        </w:rPr>
      </w:pPr>
    </w:p>
    <w:p>
      <w:pPr>
        <w:widowControl/>
        <w:spacing w:line="360" w:lineRule="auto"/>
        <w:ind w:firstLine="480"/>
        <w:rPr>
          <w:rFonts w:ascii="宋体" w:cs="宋体"/>
          <w:color w:val="auto"/>
          <w:kern w:val="0"/>
          <w:sz w:val="21"/>
          <w:szCs w:val="21"/>
          <w:highlight w:val="none"/>
        </w:rPr>
      </w:pPr>
    </w:p>
    <w:p>
      <w:pPr>
        <w:widowControl/>
        <w:spacing w:line="360" w:lineRule="auto"/>
        <w:ind w:firstLine="480"/>
        <w:rPr>
          <w:rFonts w:ascii="宋体" w:cs="宋体"/>
          <w:color w:val="auto"/>
          <w:kern w:val="0"/>
          <w:sz w:val="21"/>
          <w:szCs w:val="21"/>
          <w:highlight w:val="none"/>
        </w:rPr>
      </w:pPr>
      <w:r>
        <w:rPr>
          <w:rFonts w:hint="eastAsia" w:ascii="宋体" w:cs="宋体"/>
          <w:color w:val="auto"/>
          <w:kern w:val="0"/>
          <w:sz w:val="21"/>
          <w:szCs w:val="21"/>
          <w:highlight w:val="none"/>
        </w:rPr>
        <w:t>2、服务标准：</w:t>
      </w:r>
    </w:p>
    <w:p>
      <w:pPr>
        <w:widowControl/>
        <w:spacing w:line="360" w:lineRule="auto"/>
        <w:rPr>
          <w:rFonts w:ascii="宋体" w:cs="宋体"/>
          <w:color w:val="auto"/>
          <w:kern w:val="0"/>
          <w:sz w:val="21"/>
          <w:szCs w:val="21"/>
          <w:highlight w:val="none"/>
        </w:rPr>
      </w:pPr>
    </w:p>
    <w:p>
      <w:pPr>
        <w:widowControl/>
        <w:spacing w:line="360" w:lineRule="auto"/>
        <w:ind w:firstLine="480"/>
        <w:rPr>
          <w:rFonts w:ascii="宋体" w:cs="宋体"/>
          <w:color w:val="auto"/>
          <w:kern w:val="0"/>
          <w:sz w:val="21"/>
          <w:szCs w:val="21"/>
          <w:highlight w:val="none"/>
        </w:rPr>
      </w:pPr>
    </w:p>
    <w:p>
      <w:pPr>
        <w:widowControl/>
        <w:spacing w:line="360" w:lineRule="auto"/>
        <w:ind w:firstLine="480"/>
        <w:rPr>
          <w:rFonts w:ascii="宋体" w:cs="宋体"/>
          <w:color w:val="auto"/>
          <w:kern w:val="0"/>
          <w:sz w:val="21"/>
          <w:szCs w:val="21"/>
          <w:highlight w:val="none"/>
        </w:rPr>
      </w:pPr>
      <w:r>
        <w:rPr>
          <w:rFonts w:hint="eastAsia" w:ascii="宋体" w:cs="宋体"/>
          <w:color w:val="auto"/>
          <w:kern w:val="0"/>
          <w:sz w:val="21"/>
          <w:szCs w:val="21"/>
          <w:highlight w:val="none"/>
        </w:rPr>
        <w:t>3、本项目应达到的效果和指标：</w:t>
      </w:r>
    </w:p>
    <w:p>
      <w:pPr>
        <w:widowControl/>
        <w:spacing w:line="360" w:lineRule="auto"/>
        <w:ind w:firstLine="480"/>
        <w:rPr>
          <w:rFonts w:ascii="宋体" w:cs="宋体"/>
          <w:color w:val="auto"/>
          <w:kern w:val="0"/>
          <w:sz w:val="21"/>
          <w:szCs w:val="21"/>
          <w:highlight w:val="none"/>
        </w:rPr>
      </w:pPr>
    </w:p>
    <w:p>
      <w:pPr>
        <w:widowControl/>
        <w:spacing w:line="360" w:lineRule="auto"/>
        <w:ind w:firstLine="480"/>
        <w:rPr>
          <w:rFonts w:ascii="宋体" w:cs="宋体"/>
          <w:color w:val="auto"/>
          <w:kern w:val="0"/>
          <w:sz w:val="21"/>
          <w:szCs w:val="21"/>
          <w:highlight w:val="none"/>
        </w:rPr>
      </w:pPr>
    </w:p>
    <w:p>
      <w:pPr>
        <w:widowControl/>
        <w:spacing w:line="360" w:lineRule="auto"/>
        <w:ind w:firstLine="480"/>
        <w:rPr>
          <w:rFonts w:ascii="宋体" w:cs="宋体"/>
          <w:color w:val="auto"/>
          <w:kern w:val="0"/>
          <w:sz w:val="21"/>
          <w:szCs w:val="21"/>
          <w:highlight w:val="none"/>
        </w:rPr>
      </w:pPr>
    </w:p>
    <w:p>
      <w:pPr>
        <w:widowControl/>
        <w:spacing w:line="360" w:lineRule="auto"/>
        <w:ind w:firstLine="480"/>
        <w:rPr>
          <w:rFonts w:ascii="宋体" w:cs="宋体"/>
          <w:color w:val="auto"/>
          <w:kern w:val="0"/>
          <w:sz w:val="21"/>
          <w:szCs w:val="21"/>
          <w:highlight w:val="none"/>
        </w:rPr>
      </w:pPr>
      <w:r>
        <w:rPr>
          <w:rFonts w:hint="eastAsia" w:ascii="宋体" w:cs="宋体"/>
          <w:color w:val="auto"/>
          <w:kern w:val="0"/>
          <w:sz w:val="21"/>
          <w:szCs w:val="21"/>
          <w:highlight w:val="none"/>
        </w:rPr>
        <w:t>4、其他有关优惠承诺：</w:t>
      </w:r>
    </w:p>
    <w:p>
      <w:pPr>
        <w:widowControl/>
        <w:spacing w:line="360" w:lineRule="auto"/>
        <w:ind w:firstLine="480"/>
        <w:rPr>
          <w:rFonts w:ascii="宋体" w:cs="宋体"/>
          <w:color w:val="auto"/>
          <w:kern w:val="0"/>
          <w:sz w:val="21"/>
          <w:szCs w:val="21"/>
          <w:highlight w:val="none"/>
        </w:rPr>
      </w:pPr>
    </w:p>
    <w:p>
      <w:pPr>
        <w:widowControl/>
        <w:spacing w:line="360" w:lineRule="auto"/>
        <w:ind w:firstLine="480"/>
        <w:rPr>
          <w:rFonts w:ascii="宋体" w:cs="宋体"/>
          <w:color w:val="auto"/>
          <w:kern w:val="0"/>
          <w:sz w:val="21"/>
          <w:szCs w:val="21"/>
          <w:highlight w:val="none"/>
        </w:rPr>
      </w:pPr>
    </w:p>
    <w:p>
      <w:pPr>
        <w:spacing w:line="360" w:lineRule="auto"/>
        <w:ind w:firstLine="480"/>
        <w:rPr>
          <w:rFonts w:ascii="宋体" w:cs="宋体"/>
          <w:color w:val="auto"/>
          <w:sz w:val="21"/>
          <w:szCs w:val="21"/>
          <w:highlight w:val="none"/>
        </w:rPr>
      </w:pPr>
      <w:r>
        <w:rPr>
          <w:rFonts w:hint="eastAsia" w:ascii="宋体" w:cs="宋体"/>
          <w:color w:val="auto"/>
          <w:kern w:val="0"/>
          <w:sz w:val="21"/>
          <w:szCs w:val="21"/>
          <w:highlight w:val="none"/>
        </w:rPr>
        <w:t xml:space="preserve">                                        </w:t>
      </w:r>
    </w:p>
    <w:p>
      <w:pPr>
        <w:spacing w:line="360" w:lineRule="auto"/>
        <w:rPr>
          <w:rFonts w:ascii="宋体" w:cs="宋体"/>
          <w:color w:val="auto"/>
          <w:sz w:val="21"/>
          <w:szCs w:val="21"/>
          <w:highlight w:val="none"/>
        </w:rPr>
      </w:pPr>
    </w:p>
    <w:p>
      <w:pPr>
        <w:spacing w:line="360" w:lineRule="auto"/>
        <w:ind w:firstLine="420" w:firstLineChars="200"/>
        <w:rPr>
          <w:rFonts w:ascii="宋体" w:cs="宋体"/>
          <w:color w:val="auto"/>
          <w:sz w:val="21"/>
          <w:szCs w:val="21"/>
          <w:highlight w:val="none"/>
        </w:rPr>
      </w:pPr>
      <w:r>
        <w:rPr>
          <w:rFonts w:hint="eastAsia" w:ascii="宋体" w:cs="宋体"/>
          <w:color w:val="auto"/>
          <w:sz w:val="21"/>
          <w:szCs w:val="21"/>
          <w:highlight w:val="none"/>
        </w:rPr>
        <w:t xml:space="preserve">                                   </w:t>
      </w:r>
      <w:r>
        <w:rPr>
          <w:rFonts w:hint="eastAsia" w:ascii="宋体"/>
          <w:color w:val="auto"/>
          <w:sz w:val="21"/>
          <w:szCs w:val="21"/>
          <w:highlight w:val="none"/>
        </w:rPr>
        <w:t>投标人名称</w:t>
      </w:r>
      <w:r>
        <w:rPr>
          <w:rFonts w:hint="eastAsia" w:ascii="宋体" w:cs="宋体"/>
          <w:color w:val="auto"/>
          <w:sz w:val="21"/>
          <w:szCs w:val="21"/>
          <w:highlight w:val="none"/>
        </w:rPr>
        <w:t>（盖章）：</w:t>
      </w:r>
    </w:p>
    <w:p>
      <w:pPr>
        <w:spacing w:line="360" w:lineRule="auto"/>
        <w:ind w:firstLine="420" w:firstLineChars="200"/>
        <w:rPr>
          <w:rFonts w:ascii="宋体" w:cs="宋体"/>
          <w:color w:val="auto"/>
          <w:sz w:val="21"/>
          <w:szCs w:val="21"/>
          <w:highlight w:val="none"/>
        </w:rPr>
      </w:pPr>
      <w:r>
        <w:rPr>
          <w:rFonts w:hint="eastAsia" w:ascii="宋体" w:cs="宋体"/>
          <w:color w:val="auto"/>
          <w:sz w:val="21"/>
          <w:szCs w:val="21"/>
          <w:highlight w:val="none"/>
        </w:rPr>
        <w:t xml:space="preserve">                                   法定代表人或委托代理人（签字</w:t>
      </w:r>
      <w:r>
        <w:rPr>
          <w:rFonts w:hint="eastAsia" w:ascii="宋体" w:cs="宋体"/>
          <w:color w:val="auto"/>
          <w:sz w:val="21"/>
          <w:szCs w:val="21"/>
          <w:highlight w:val="none"/>
          <w:lang w:val="en-US" w:eastAsia="zh-CN"/>
        </w:rPr>
        <w:t>或盖章</w:t>
      </w:r>
      <w:r>
        <w:rPr>
          <w:rFonts w:hint="eastAsia" w:ascii="宋体" w:cs="宋体"/>
          <w:color w:val="auto"/>
          <w:sz w:val="21"/>
          <w:szCs w:val="21"/>
          <w:highlight w:val="none"/>
        </w:rPr>
        <w:t>）：</w:t>
      </w:r>
    </w:p>
    <w:p>
      <w:pPr>
        <w:spacing w:line="360" w:lineRule="auto"/>
        <w:ind w:firstLine="420" w:firstLineChars="200"/>
        <w:rPr>
          <w:rFonts w:ascii="宋体" w:cs="宋体"/>
          <w:color w:val="auto"/>
          <w:sz w:val="21"/>
          <w:szCs w:val="21"/>
          <w:highlight w:val="none"/>
        </w:rPr>
      </w:pPr>
      <w:r>
        <w:rPr>
          <w:rFonts w:hint="eastAsia" w:ascii="宋体" w:cs="宋体"/>
          <w:color w:val="auto"/>
          <w:sz w:val="21"/>
          <w:szCs w:val="21"/>
          <w:highlight w:val="none"/>
        </w:rPr>
        <w:t xml:space="preserve">                                                  年   月    日  </w:t>
      </w:r>
    </w:p>
    <w:p>
      <w:pPr>
        <w:snapToGrid w:val="0"/>
        <w:spacing w:before="50" w:after="50"/>
        <w:jc w:val="center"/>
        <w:rPr>
          <w:rFonts w:ascii="宋体" w:cs="宋体"/>
          <w:b/>
          <w:color w:val="auto"/>
          <w:sz w:val="32"/>
          <w:szCs w:val="32"/>
          <w:highlight w:val="none"/>
        </w:rPr>
      </w:pPr>
    </w:p>
    <w:p>
      <w:pPr>
        <w:snapToGrid w:val="0"/>
        <w:spacing w:before="50" w:after="50"/>
        <w:jc w:val="center"/>
        <w:rPr>
          <w:rFonts w:ascii="宋体" w:cs="宋体"/>
          <w:b/>
          <w:color w:val="auto"/>
          <w:sz w:val="32"/>
          <w:szCs w:val="32"/>
          <w:highlight w:val="none"/>
        </w:rPr>
      </w:pPr>
    </w:p>
    <w:p>
      <w:pPr>
        <w:snapToGrid w:val="0"/>
        <w:spacing w:before="50" w:after="50"/>
        <w:jc w:val="center"/>
        <w:rPr>
          <w:rFonts w:ascii="宋体" w:cs="宋体"/>
          <w:b/>
          <w:color w:val="auto"/>
          <w:sz w:val="32"/>
          <w:szCs w:val="32"/>
          <w:highlight w:val="none"/>
        </w:rPr>
      </w:pPr>
    </w:p>
    <w:p>
      <w:pPr>
        <w:snapToGrid w:val="0"/>
        <w:spacing w:before="50" w:after="50"/>
        <w:jc w:val="center"/>
        <w:rPr>
          <w:rFonts w:ascii="宋体" w:cs="宋体"/>
          <w:b/>
          <w:color w:val="auto"/>
          <w:sz w:val="32"/>
          <w:szCs w:val="32"/>
          <w:highlight w:val="none"/>
        </w:rPr>
      </w:pPr>
    </w:p>
    <w:p>
      <w:pPr>
        <w:snapToGrid w:val="0"/>
        <w:spacing w:before="50" w:after="50"/>
        <w:jc w:val="center"/>
        <w:rPr>
          <w:rFonts w:ascii="宋体" w:cs="宋体"/>
          <w:b/>
          <w:color w:val="auto"/>
          <w:sz w:val="32"/>
          <w:szCs w:val="32"/>
          <w:highlight w:val="none"/>
        </w:rPr>
      </w:pPr>
    </w:p>
    <w:p>
      <w:pPr>
        <w:snapToGrid w:val="0"/>
        <w:spacing w:before="50" w:after="50"/>
        <w:jc w:val="center"/>
        <w:rPr>
          <w:rFonts w:ascii="宋体" w:cs="宋体"/>
          <w:b/>
          <w:color w:val="auto"/>
          <w:sz w:val="32"/>
          <w:szCs w:val="32"/>
          <w:highlight w:val="none"/>
        </w:rPr>
      </w:pPr>
    </w:p>
    <w:p>
      <w:pPr>
        <w:snapToGrid w:val="0"/>
        <w:spacing w:before="50" w:after="50"/>
        <w:jc w:val="center"/>
        <w:rPr>
          <w:rFonts w:ascii="宋体" w:cs="宋体"/>
          <w:b/>
          <w:color w:val="auto"/>
          <w:sz w:val="32"/>
          <w:szCs w:val="32"/>
          <w:highlight w:val="none"/>
        </w:rPr>
      </w:pPr>
      <w:r>
        <w:rPr>
          <w:rFonts w:hint="eastAsia" w:ascii="宋体" w:cs="宋体"/>
          <w:b/>
          <w:color w:val="auto"/>
          <w:sz w:val="32"/>
          <w:szCs w:val="32"/>
          <w:highlight w:val="none"/>
        </w:rPr>
        <w:t>投标人基本情况表</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1276"/>
        <w:gridCol w:w="567"/>
        <w:gridCol w:w="1276"/>
        <w:gridCol w:w="567"/>
        <w:gridCol w:w="1417"/>
        <w:gridCol w:w="142"/>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0" w:type="dxa"/>
            <w:noWrap/>
            <w:vAlign w:val="center"/>
          </w:tcPr>
          <w:p>
            <w:pPr>
              <w:jc w:val="center"/>
              <w:rPr>
                <w:rFonts w:ascii="宋体" w:cs="宋体"/>
                <w:color w:val="auto"/>
                <w:sz w:val="21"/>
                <w:szCs w:val="21"/>
                <w:highlight w:val="none"/>
              </w:rPr>
            </w:pPr>
            <w:r>
              <w:rPr>
                <w:rFonts w:hint="eastAsia" w:ascii="宋体" w:cs="宋体"/>
                <w:color w:val="auto"/>
                <w:sz w:val="21"/>
                <w:szCs w:val="21"/>
                <w:highlight w:val="none"/>
              </w:rPr>
              <w:t>单位名称</w:t>
            </w:r>
          </w:p>
        </w:tc>
        <w:tc>
          <w:tcPr>
            <w:tcW w:w="3119" w:type="dxa"/>
            <w:gridSpan w:val="3"/>
            <w:noWrap/>
            <w:vAlign w:val="center"/>
          </w:tcPr>
          <w:p>
            <w:pPr>
              <w:jc w:val="center"/>
              <w:rPr>
                <w:rFonts w:ascii="宋体" w:cs="宋体"/>
                <w:color w:val="auto"/>
                <w:sz w:val="21"/>
                <w:szCs w:val="21"/>
                <w:highlight w:val="none"/>
              </w:rPr>
            </w:pPr>
          </w:p>
        </w:tc>
        <w:tc>
          <w:tcPr>
            <w:tcW w:w="1984" w:type="dxa"/>
            <w:gridSpan w:val="2"/>
            <w:noWrap/>
            <w:vAlign w:val="center"/>
          </w:tcPr>
          <w:p>
            <w:pPr>
              <w:jc w:val="center"/>
              <w:rPr>
                <w:rFonts w:ascii="宋体" w:cs="宋体"/>
                <w:color w:val="auto"/>
                <w:sz w:val="21"/>
                <w:szCs w:val="21"/>
                <w:highlight w:val="none"/>
              </w:rPr>
            </w:pPr>
            <w:r>
              <w:rPr>
                <w:rFonts w:hint="eastAsia" w:ascii="宋体" w:cs="宋体"/>
                <w:color w:val="auto"/>
                <w:sz w:val="21"/>
                <w:szCs w:val="21"/>
                <w:highlight w:val="none"/>
              </w:rPr>
              <w:t>法定代表人</w:t>
            </w:r>
          </w:p>
        </w:tc>
        <w:tc>
          <w:tcPr>
            <w:tcW w:w="2268" w:type="dxa"/>
            <w:gridSpan w:val="2"/>
            <w:noWrap/>
            <w:vAlign w:val="center"/>
          </w:tcPr>
          <w:p>
            <w:pPr>
              <w:jc w:val="center"/>
              <w:rPr>
                <w:rFonts w:asci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0" w:type="dxa"/>
            <w:noWrap/>
            <w:vAlign w:val="center"/>
          </w:tcPr>
          <w:p>
            <w:pPr>
              <w:jc w:val="center"/>
              <w:rPr>
                <w:rFonts w:ascii="宋体" w:cs="宋体"/>
                <w:color w:val="auto"/>
                <w:sz w:val="21"/>
                <w:szCs w:val="21"/>
                <w:highlight w:val="none"/>
              </w:rPr>
            </w:pPr>
            <w:r>
              <w:rPr>
                <w:rFonts w:hint="eastAsia" w:ascii="宋体" w:cs="宋体"/>
                <w:color w:val="auto"/>
                <w:sz w:val="21"/>
                <w:szCs w:val="21"/>
                <w:highlight w:val="none"/>
              </w:rPr>
              <w:t>注册地址</w:t>
            </w:r>
          </w:p>
        </w:tc>
        <w:tc>
          <w:tcPr>
            <w:tcW w:w="3119" w:type="dxa"/>
            <w:gridSpan w:val="3"/>
            <w:noWrap/>
            <w:vAlign w:val="center"/>
          </w:tcPr>
          <w:p>
            <w:pPr>
              <w:jc w:val="center"/>
              <w:rPr>
                <w:rFonts w:ascii="宋体" w:cs="宋体"/>
                <w:color w:val="auto"/>
                <w:sz w:val="21"/>
                <w:szCs w:val="21"/>
                <w:highlight w:val="none"/>
              </w:rPr>
            </w:pPr>
          </w:p>
        </w:tc>
        <w:tc>
          <w:tcPr>
            <w:tcW w:w="1984" w:type="dxa"/>
            <w:gridSpan w:val="2"/>
            <w:noWrap/>
            <w:vAlign w:val="center"/>
          </w:tcPr>
          <w:p>
            <w:pPr>
              <w:jc w:val="center"/>
              <w:rPr>
                <w:rFonts w:ascii="宋体" w:cs="宋体"/>
                <w:color w:val="auto"/>
                <w:sz w:val="21"/>
                <w:szCs w:val="21"/>
                <w:highlight w:val="none"/>
              </w:rPr>
            </w:pPr>
            <w:r>
              <w:rPr>
                <w:rFonts w:hint="eastAsia" w:ascii="宋体" w:cs="宋体"/>
                <w:color w:val="auto"/>
                <w:sz w:val="21"/>
                <w:szCs w:val="21"/>
                <w:highlight w:val="none"/>
              </w:rPr>
              <w:t>股东人数</w:t>
            </w:r>
          </w:p>
        </w:tc>
        <w:tc>
          <w:tcPr>
            <w:tcW w:w="2268" w:type="dxa"/>
            <w:gridSpan w:val="2"/>
            <w:noWrap/>
            <w:vAlign w:val="center"/>
          </w:tcPr>
          <w:p>
            <w:pPr>
              <w:jc w:val="center"/>
              <w:rPr>
                <w:rFonts w:asci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0" w:type="dxa"/>
            <w:noWrap/>
            <w:vAlign w:val="center"/>
          </w:tcPr>
          <w:p>
            <w:pPr>
              <w:jc w:val="center"/>
              <w:rPr>
                <w:rFonts w:ascii="宋体" w:cs="宋体"/>
                <w:color w:val="auto"/>
                <w:sz w:val="21"/>
                <w:szCs w:val="21"/>
                <w:highlight w:val="none"/>
              </w:rPr>
            </w:pPr>
            <w:r>
              <w:rPr>
                <w:rFonts w:hint="eastAsia" w:ascii="宋体" w:cs="宋体"/>
                <w:color w:val="auto"/>
                <w:sz w:val="21"/>
                <w:szCs w:val="21"/>
                <w:highlight w:val="none"/>
              </w:rPr>
              <w:t>注册时间</w:t>
            </w:r>
          </w:p>
        </w:tc>
        <w:tc>
          <w:tcPr>
            <w:tcW w:w="3119" w:type="dxa"/>
            <w:gridSpan w:val="3"/>
            <w:noWrap/>
            <w:vAlign w:val="center"/>
          </w:tcPr>
          <w:p>
            <w:pPr>
              <w:jc w:val="center"/>
              <w:rPr>
                <w:rFonts w:ascii="宋体" w:cs="宋体"/>
                <w:color w:val="auto"/>
                <w:sz w:val="21"/>
                <w:szCs w:val="21"/>
                <w:highlight w:val="none"/>
              </w:rPr>
            </w:pPr>
          </w:p>
        </w:tc>
        <w:tc>
          <w:tcPr>
            <w:tcW w:w="1984" w:type="dxa"/>
            <w:gridSpan w:val="2"/>
            <w:noWrap/>
            <w:vAlign w:val="center"/>
          </w:tcPr>
          <w:p>
            <w:pPr>
              <w:jc w:val="center"/>
              <w:rPr>
                <w:rFonts w:ascii="宋体" w:cs="宋体"/>
                <w:color w:val="auto"/>
                <w:sz w:val="21"/>
                <w:szCs w:val="21"/>
                <w:highlight w:val="none"/>
              </w:rPr>
            </w:pPr>
            <w:r>
              <w:rPr>
                <w:rFonts w:hint="eastAsia" w:ascii="宋体" w:cs="宋体"/>
                <w:color w:val="auto"/>
                <w:sz w:val="21"/>
                <w:szCs w:val="21"/>
                <w:highlight w:val="none"/>
              </w:rPr>
              <w:t>办公地址</w:t>
            </w:r>
          </w:p>
        </w:tc>
        <w:tc>
          <w:tcPr>
            <w:tcW w:w="2268" w:type="dxa"/>
            <w:gridSpan w:val="2"/>
            <w:noWrap/>
            <w:vAlign w:val="center"/>
          </w:tcPr>
          <w:p>
            <w:pPr>
              <w:jc w:val="center"/>
              <w:rPr>
                <w:rFonts w:asci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0" w:type="dxa"/>
            <w:noWrap/>
            <w:vAlign w:val="center"/>
          </w:tcPr>
          <w:p>
            <w:pPr>
              <w:jc w:val="center"/>
              <w:rPr>
                <w:rFonts w:ascii="宋体" w:cs="宋体"/>
                <w:color w:val="auto"/>
                <w:sz w:val="21"/>
                <w:szCs w:val="21"/>
                <w:highlight w:val="none"/>
              </w:rPr>
            </w:pPr>
            <w:r>
              <w:rPr>
                <w:rFonts w:hint="eastAsia" w:ascii="宋体" w:cs="宋体"/>
                <w:color w:val="auto"/>
                <w:sz w:val="21"/>
                <w:szCs w:val="21"/>
                <w:highlight w:val="none"/>
              </w:rPr>
              <w:t>联系电话</w:t>
            </w:r>
          </w:p>
        </w:tc>
        <w:tc>
          <w:tcPr>
            <w:tcW w:w="3119" w:type="dxa"/>
            <w:gridSpan w:val="3"/>
            <w:noWrap/>
            <w:vAlign w:val="center"/>
          </w:tcPr>
          <w:p>
            <w:pPr>
              <w:jc w:val="center"/>
              <w:rPr>
                <w:rFonts w:ascii="宋体" w:cs="宋体"/>
                <w:color w:val="auto"/>
                <w:sz w:val="21"/>
                <w:szCs w:val="21"/>
                <w:highlight w:val="none"/>
              </w:rPr>
            </w:pPr>
          </w:p>
        </w:tc>
        <w:tc>
          <w:tcPr>
            <w:tcW w:w="1984" w:type="dxa"/>
            <w:gridSpan w:val="2"/>
            <w:noWrap/>
            <w:vAlign w:val="center"/>
          </w:tcPr>
          <w:p>
            <w:pPr>
              <w:jc w:val="center"/>
              <w:rPr>
                <w:rFonts w:ascii="宋体" w:cs="宋体"/>
                <w:color w:val="auto"/>
                <w:sz w:val="21"/>
                <w:szCs w:val="21"/>
                <w:highlight w:val="none"/>
              </w:rPr>
            </w:pPr>
            <w:r>
              <w:rPr>
                <w:rFonts w:hint="eastAsia" w:ascii="宋体" w:cs="宋体"/>
                <w:color w:val="auto"/>
                <w:sz w:val="21"/>
                <w:szCs w:val="21"/>
                <w:highlight w:val="none"/>
              </w:rPr>
              <w:t>传真</w:t>
            </w:r>
          </w:p>
        </w:tc>
        <w:tc>
          <w:tcPr>
            <w:tcW w:w="2268" w:type="dxa"/>
            <w:gridSpan w:val="2"/>
            <w:noWrap/>
            <w:vAlign w:val="center"/>
          </w:tcPr>
          <w:p>
            <w:pPr>
              <w:jc w:val="center"/>
              <w:rPr>
                <w:rFonts w:asci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0" w:type="dxa"/>
            <w:noWrap/>
            <w:vAlign w:val="center"/>
          </w:tcPr>
          <w:p>
            <w:pPr>
              <w:jc w:val="center"/>
              <w:rPr>
                <w:rFonts w:ascii="宋体" w:cs="宋体"/>
                <w:color w:val="auto"/>
                <w:sz w:val="21"/>
                <w:szCs w:val="21"/>
                <w:highlight w:val="none"/>
              </w:rPr>
            </w:pPr>
            <w:r>
              <w:rPr>
                <w:rFonts w:hint="eastAsia" w:ascii="宋体" w:cs="宋体"/>
                <w:color w:val="auto"/>
                <w:sz w:val="21"/>
                <w:szCs w:val="21"/>
                <w:highlight w:val="none"/>
              </w:rPr>
              <w:t>开户银行名称</w:t>
            </w:r>
          </w:p>
        </w:tc>
        <w:tc>
          <w:tcPr>
            <w:tcW w:w="3119" w:type="dxa"/>
            <w:gridSpan w:val="3"/>
            <w:noWrap/>
            <w:vAlign w:val="center"/>
          </w:tcPr>
          <w:p>
            <w:pPr>
              <w:jc w:val="center"/>
              <w:rPr>
                <w:rFonts w:ascii="宋体" w:cs="宋体"/>
                <w:color w:val="auto"/>
                <w:sz w:val="21"/>
                <w:szCs w:val="21"/>
                <w:highlight w:val="none"/>
              </w:rPr>
            </w:pPr>
          </w:p>
        </w:tc>
        <w:tc>
          <w:tcPr>
            <w:tcW w:w="1984" w:type="dxa"/>
            <w:gridSpan w:val="2"/>
            <w:noWrap/>
            <w:vAlign w:val="center"/>
          </w:tcPr>
          <w:p>
            <w:pPr>
              <w:jc w:val="center"/>
              <w:rPr>
                <w:rFonts w:ascii="宋体" w:cs="宋体"/>
                <w:color w:val="auto"/>
                <w:sz w:val="21"/>
                <w:szCs w:val="21"/>
                <w:highlight w:val="none"/>
              </w:rPr>
            </w:pPr>
            <w:r>
              <w:rPr>
                <w:rFonts w:hint="eastAsia" w:ascii="宋体" w:cs="宋体"/>
                <w:color w:val="auto"/>
                <w:sz w:val="21"/>
                <w:szCs w:val="21"/>
                <w:highlight w:val="none"/>
              </w:rPr>
              <w:t>开户银行账号</w:t>
            </w:r>
          </w:p>
        </w:tc>
        <w:tc>
          <w:tcPr>
            <w:tcW w:w="2268" w:type="dxa"/>
            <w:gridSpan w:val="2"/>
            <w:noWrap/>
            <w:vAlign w:val="center"/>
          </w:tcPr>
          <w:p>
            <w:pPr>
              <w:jc w:val="center"/>
              <w:rPr>
                <w:rFonts w:asci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0" w:type="dxa"/>
            <w:vMerge w:val="restart"/>
            <w:noWrap/>
            <w:vAlign w:val="center"/>
          </w:tcPr>
          <w:p>
            <w:pPr>
              <w:jc w:val="center"/>
              <w:rPr>
                <w:rFonts w:ascii="宋体" w:cs="宋体"/>
                <w:color w:val="auto"/>
                <w:sz w:val="21"/>
                <w:szCs w:val="21"/>
                <w:highlight w:val="none"/>
              </w:rPr>
            </w:pPr>
            <w:r>
              <w:rPr>
                <w:rFonts w:hint="eastAsia" w:ascii="宋体" w:cs="宋体"/>
                <w:color w:val="auto"/>
                <w:sz w:val="21"/>
                <w:szCs w:val="21"/>
                <w:highlight w:val="none"/>
              </w:rPr>
              <w:t>职工人数</w:t>
            </w:r>
          </w:p>
        </w:tc>
        <w:tc>
          <w:tcPr>
            <w:tcW w:w="1843" w:type="dxa"/>
            <w:gridSpan w:val="2"/>
            <w:vMerge w:val="restart"/>
            <w:tcBorders>
              <w:right w:val="single" w:color="auto" w:sz="4" w:space="0"/>
            </w:tcBorders>
            <w:noWrap/>
            <w:vAlign w:val="center"/>
          </w:tcPr>
          <w:p>
            <w:pPr>
              <w:jc w:val="center"/>
              <w:rPr>
                <w:rFonts w:ascii="宋体" w:cs="宋体"/>
                <w:color w:val="auto"/>
                <w:sz w:val="21"/>
                <w:szCs w:val="21"/>
                <w:highlight w:val="none"/>
              </w:rPr>
            </w:pPr>
            <w:r>
              <w:rPr>
                <w:rFonts w:hint="eastAsia" w:ascii="宋体" w:cs="宋体"/>
                <w:color w:val="auto"/>
                <w:sz w:val="21"/>
                <w:szCs w:val="21"/>
                <w:highlight w:val="none"/>
              </w:rPr>
              <w:t>总人数</w:t>
            </w:r>
          </w:p>
        </w:tc>
        <w:tc>
          <w:tcPr>
            <w:tcW w:w="1276" w:type="dxa"/>
            <w:vMerge w:val="restart"/>
            <w:tcBorders>
              <w:left w:val="single" w:color="auto" w:sz="4" w:space="0"/>
            </w:tcBorders>
            <w:noWrap/>
            <w:vAlign w:val="center"/>
          </w:tcPr>
          <w:p>
            <w:pPr>
              <w:jc w:val="right"/>
              <w:rPr>
                <w:rFonts w:ascii="宋体" w:cs="宋体"/>
                <w:color w:val="auto"/>
                <w:sz w:val="21"/>
                <w:szCs w:val="21"/>
                <w:highlight w:val="none"/>
              </w:rPr>
            </w:pPr>
            <w:r>
              <w:rPr>
                <w:rFonts w:hint="eastAsia" w:ascii="宋体" w:cs="宋体"/>
                <w:color w:val="auto"/>
                <w:sz w:val="21"/>
                <w:szCs w:val="21"/>
                <w:highlight w:val="none"/>
              </w:rPr>
              <w:t>人</w:t>
            </w:r>
          </w:p>
        </w:tc>
        <w:tc>
          <w:tcPr>
            <w:tcW w:w="1984" w:type="dxa"/>
            <w:gridSpan w:val="2"/>
            <w:noWrap/>
            <w:vAlign w:val="center"/>
          </w:tcPr>
          <w:p>
            <w:pPr>
              <w:jc w:val="center"/>
              <w:rPr>
                <w:rFonts w:ascii="宋体" w:cs="宋体"/>
                <w:color w:val="auto"/>
                <w:sz w:val="21"/>
                <w:szCs w:val="21"/>
                <w:highlight w:val="none"/>
              </w:rPr>
            </w:pPr>
            <w:r>
              <w:rPr>
                <w:rFonts w:hint="eastAsia" w:ascii="宋体" w:cs="宋体"/>
                <w:color w:val="auto"/>
                <w:sz w:val="21"/>
                <w:szCs w:val="21"/>
                <w:highlight w:val="none"/>
              </w:rPr>
              <w:t>管理人员数量</w:t>
            </w:r>
          </w:p>
        </w:tc>
        <w:tc>
          <w:tcPr>
            <w:tcW w:w="2268" w:type="dxa"/>
            <w:gridSpan w:val="2"/>
            <w:noWrap/>
            <w:vAlign w:val="center"/>
          </w:tcPr>
          <w:p>
            <w:pPr>
              <w:jc w:val="right"/>
              <w:rPr>
                <w:rFonts w:ascii="宋体" w:cs="宋体"/>
                <w:color w:val="auto"/>
                <w:sz w:val="21"/>
                <w:szCs w:val="21"/>
                <w:highlight w:val="none"/>
              </w:rPr>
            </w:pPr>
            <w:r>
              <w:rPr>
                <w:rFonts w:hint="eastAsia" w:ascii="宋体" w:cs="宋体"/>
                <w:color w:val="auto"/>
                <w:sz w:val="21"/>
                <w:szCs w:val="21"/>
                <w:highlight w:val="none"/>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0" w:type="dxa"/>
            <w:vMerge w:val="continue"/>
            <w:noWrap/>
            <w:vAlign w:val="center"/>
          </w:tcPr>
          <w:p>
            <w:pPr>
              <w:rPr>
                <w:color w:val="auto"/>
                <w:highlight w:val="none"/>
              </w:rPr>
            </w:pPr>
          </w:p>
        </w:tc>
        <w:tc>
          <w:tcPr>
            <w:tcW w:w="1843" w:type="dxa"/>
            <w:gridSpan w:val="2"/>
            <w:vMerge w:val="continue"/>
            <w:tcBorders>
              <w:right w:val="single" w:color="auto" w:sz="4" w:space="0"/>
            </w:tcBorders>
            <w:noWrap/>
            <w:vAlign w:val="center"/>
          </w:tcPr>
          <w:p>
            <w:pPr>
              <w:rPr>
                <w:color w:val="auto"/>
                <w:highlight w:val="none"/>
              </w:rPr>
            </w:pPr>
          </w:p>
        </w:tc>
        <w:tc>
          <w:tcPr>
            <w:tcW w:w="1276" w:type="dxa"/>
            <w:vMerge w:val="continue"/>
            <w:tcBorders>
              <w:left w:val="single" w:color="auto" w:sz="4" w:space="0"/>
            </w:tcBorders>
            <w:noWrap/>
            <w:vAlign w:val="center"/>
          </w:tcPr>
          <w:p>
            <w:pPr>
              <w:rPr>
                <w:color w:val="auto"/>
                <w:highlight w:val="none"/>
              </w:rPr>
            </w:pPr>
          </w:p>
        </w:tc>
        <w:tc>
          <w:tcPr>
            <w:tcW w:w="1984" w:type="dxa"/>
            <w:gridSpan w:val="2"/>
            <w:noWrap/>
            <w:vAlign w:val="center"/>
          </w:tcPr>
          <w:p>
            <w:pPr>
              <w:jc w:val="center"/>
              <w:rPr>
                <w:rFonts w:ascii="宋体" w:cs="宋体"/>
                <w:color w:val="auto"/>
                <w:sz w:val="21"/>
                <w:szCs w:val="21"/>
                <w:highlight w:val="none"/>
              </w:rPr>
            </w:pPr>
            <w:r>
              <w:rPr>
                <w:rFonts w:hint="eastAsia" w:ascii="宋体" w:cs="宋体"/>
                <w:color w:val="auto"/>
                <w:sz w:val="21"/>
                <w:szCs w:val="21"/>
                <w:highlight w:val="none"/>
              </w:rPr>
              <w:t>其他专业人员数量</w:t>
            </w:r>
          </w:p>
        </w:tc>
        <w:tc>
          <w:tcPr>
            <w:tcW w:w="2268" w:type="dxa"/>
            <w:gridSpan w:val="2"/>
            <w:noWrap/>
            <w:vAlign w:val="center"/>
          </w:tcPr>
          <w:p>
            <w:pPr>
              <w:jc w:val="right"/>
              <w:rPr>
                <w:rFonts w:ascii="宋体" w:cs="宋体"/>
                <w:color w:val="auto"/>
                <w:sz w:val="21"/>
                <w:szCs w:val="21"/>
                <w:highlight w:val="none"/>
              </w:rPr>
            </w:pPr>
            <w:r>
              <w:rPr>
                <w:rFonts w:hint="eastAsia" w:ascii="宋体" w:cs="宋体"/>
                <w:color w:val="auto"/>
                <w:sz w:val="21"/>
                <w:szCs w:val="21"/>
                <w:highlight w:val="none"/>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560" w:type="dxa"/>
            <w:noWrap/>
            <w:vAlign w:val="center"/>
          </w:tcPr>
          <w:p>
            <w:pPr>
              <w:jc w:val="center"/>
              <w:rPr>
                <w:rFonts w:ascii="宋体" w:cs="宋体"/>
                <w:color w:val="auto"/>
                <w:sz w:val="21"/>
                <w:szCs w:val="21"/>
                <w:highlight w:val="none"/>
              </w:rPr>
            </w:pPr>
            <w:r>
              <w:rPr>
                <w:rFonts w:hint="eastAsia" w:ascii="宋体" w:cs="宋体"/>
                <w:color w:val="auto"/>
                <w:sz w:val="21"/>
                <w:szCs w:val="21"/>
                <w:highlight w:val="none"/>
              </w:rPr>
              <w:t>业务范围</w:t>
            </w:r>
          </w:p>
        </w:tc>
        <w:tc>
          <w:tcPr>
            <w:tcW w:w="7371" w:type="dxa"/>
            <w:gridSpan w:val="7"/>
            <w:noWrap/>
            <w:vAlign w:val="top"/>
          </w:tcPr>
          <w:p>
            <w:pPr>
              <w:rPr>
                <w:rFonts w:asci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560" w:type="dxa"/>
            <w:noWrap/>
            <w:vAlign w:val="center"/>
          </w:tcPr>
          <w:p>
            <w:pPr>
              <w:jc w:val="center"/>
              <w:rPr>
                <w:rFonts w:ascii="宋体" w:cs="宋体"/>
                <w:color w:val="auto"/>
                <w:sz w:val="21"/>
                <w:szCs w:val="21"/>
                <w:highlight w:val="none"/>
              </w:rPr>
            </w:pPr>
            <w:r>
              <w:rPr>
                <w:rFonts w:hint="eastAsia" w:ascii="宋体" w:cs="宋体"/>
                <w:color w:val="auto"/>
                <w:sz w:val="21"/>
                <w:szCs w:val="21"/>
                <w:highlight w:val="none"/>
              </w:rPr>
              <w:t>组织机构情况</w:t>
            </w:r>
          </w:p>
        </w:tc>
        <w:tc>
          <w:tcPr>
            <w:tcW w:w="7371" w:type="dxa"/>
            <w:gridSpan w:val="7"/>
            <w:noWrap/>
            <w:vAlign w:val="top"/>
          </w:tcPr>
          <w:p>
            <w:pPr>
              <w:rPr>
                <w:rFonts w:ascii="宋体" w:cs="宋体"/>
                <w:color w:val="auto"/>
                <w:sz w:val="21"/>
                <w:szCs w:val="21"/>
                <w:highlight w:val="none"/>
              </w:rPr>
            </w:pPr>
            <w:r>
              <w:rPr>
                <w:rFonts w:hint="eastAsia" w:ascii="宋体" w:cs="宋体"/>
                <w:color w:val="auto"/>
                <w:sz w:val="21"/>
                <w:szCs w:val="21"/>
                <w:highlight w:val="none"/>
              </w:rPr>
              <w:t>（包括内部机构设置情况、分支机构情况、人员结构、内部管理制度情况、年度业绩统计数据等）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0" w:type="dxa"/>
            <w:vMerge w:val="restart"/>
            <w:noWrap/>
            <w:vAlign w:val="center"/>
          </w:tcPr>
          <w:p>
            <w:pPr>
              <w:jc w:val="center"/>
              <w:rPr>
                <w:rFonts w:ascii="宋体" w:cs="宋体"/>
                <w:color w:val="auto"/>
                <w:sz w:val="21"/>
                <w:szCs w:val="21"/>
                <w:highlight w:val="none"/>
              </w:rPr>
            </w:pPr>
            <w:r>
              <w:rPr>
                <w:rFonts w:hint="eastAsia" w:ascii="宋体" w:cs="宋体"/>
                <w:color w:val="auto"/>
                <w:sz w:val="21"/>
                <w:szCs w:val="21"/>
                <w:highlight w:val="none"/>
              </w:rPr>
              <w:t>营业额</w:t>
            </w:r>
          </w:p>
          <w:p>
            <w:pPr>
              <w:jc w:val="center"/>
              <w:rPr>
                <w:rFonts w:ascii="宋体" w:cs="宋体"/>
                <w:color w:val="auto"/>
                <w:sz w:val="21"/>
                <w:szCs w:val="21"/>
                <w:highlight w:val="none"/>
              </w:rPr>
            </w:pPr>
            <w:r>
              <w:rPr>
                <w:rFonts w:hint="eastAsia" w:ascii="宋体" w:cs="宋体"/>
                <w:color w:val="auto"/>
                <w:sz w:val="21"/>
                <w:szCs w:val="21"/>
                <w:highlight w:val="none"/>
              </w:rPr>
              <w:t>及年度盈亏情况</w:t>
            </w:r>
          </w:p>
        </w:tc>
        <w:tc>
          <w:tcPr>
            <w:tcW w:w="1276" w:type="dxa"/>
            <w:noWrap/>
            <w:vAlign w:val="center"/>
          </w:tcPr>
          <w:p>
            <w:pPr>
              <w:snapToGrid w:val="0"/>
              <w:jc w:val="center"/>
              <w:rPr>
                <w:rFonts w:ascii="宋体" w:cs="宋体"/>
                <w:color w:val="auto"/>
                <w:sz w:val="21"/>
                <w:szCs w:val="21"/>
                <w:highlight w:val="none"/>
              </w:rPr>
            </w:pPr>
            <w:r>
              <w:rPr>
                <w:rFonts w:hint="eastAsia" w:ascii="宋体" w:cs="宋体"/>
                <w:color w:val="auto"/>
                <w:sz w:val="21"/>
                <w:szCs w:val="21"/>
                <w:highlight w:val="none"/>
                <w:u w:val="single"/>
              </w:rPr>
              <w:t xml:space="preserve">     </w:t>
            </w:r>
            <w:r>
              <w:rPr>
                <w:rFonts w:hint="eastAsia" w:ascii="宋体" w:cs="宋体"/>
                <w:color w:val="auto"/>
                <w:sz w:val="21"/>
                <w:szCs w:val="21"/>
                <w:highlight w:val="none"/>
              </w:rPr>
              <w:t>年度</w:t>
            </w:r>
          </w:p>
        </w:tc>
        <w:tc>
          <w:tcPr>
            <w:tcW w:w="2410" w:type="dxa"/>
            <w:gridSpan w:val="3"/>
            <w:noWrap/>
            <w:vAlign w:val="center"/>
          </w:tcPr>
          <w:p>
            <w:pPr>
              <w:jc w:val="right"/>
              <w:rPr>
                <w:rFonts w:ascii="宋体" w:cs="宋体"/>
                <w:color w:val="auto"/>
                <w:sz w:val="21"/>
                <w:szCs w:val="21"/>
                <w:highlight w:val="none"/>
              </w:rPr>
            </w:pPr>
            <w:r>
              <w:rPr>
                <w:rFonts w:hint="eastAsia" w:ascii="宋体" w:cs="宋体"/>
                <w:color w:val="auto"/>
                <w:sz w:val="21"/>
                <w:szCs w:val="21"/>
                <w:highlight w:val="none"/>
              </w:rPr>
              <w:t>万元</w:t>
            </w:r>
          </w:p>
        </w:tc>
        <w:tc>
          <w:tcPr>
            <w:tcW w:w="3685" w:type="dxa"/>
            <w:gridSpan w:val="3"/>
            <w:noWrap/>
            <w:vAlign w:val="center"/>
          </w:tcPr>
          <w:p>
            <w:pPr>
              <w:jc w:val="center"/>
              <w:rPr>
                <w:rFonts w:ascii="宋体" w:cs="宋体"/>
                <w:color w:val="auto"/>
                <w:sz w:val="21"/>
                <w:szCs w:val="21"/>
                <w:highlight w:val="none"/>
              </w:rPr>
            </w:pPr>
            <w:r>
              <w:rPr>
                <w:rFonts w:hint="eastAsia" w:ascii="宋体" w:cs="宋体"/>
                <w:color w:val="auto"/>
                <w:sz w:val="21"/>
                <w:szCs w:val="21"/>
                <w:highlight w:val="none"/>
              </w:rPr>
              <w:t>□盈利    □亏损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0" w:type="dxa"/>
            <w:vMerge w:val="continue"/>
            <w:noWrap/>
            <w:vAlign w:val="center"/>
          </w:tcPr>
          <w:p>
            <w:pPr>
              <w:rPr>
                <w:color w:val="auto"/>
                <w:highlight w:val="none"/>
              </w:rPr>
            </w:pPr>
          </w:p>
        </w:tc>
        <w:tc>
          <w:tcPr>
            <w:tcW w:w="1276" w:type="dxa"/>
            <w:noWrap/>
            <w:vAlign w:val="center"/>
          </w:tcPr>
          <w:p>
            <w:pPr>
              <w:snapToGrid w:val="0"/>
              <w:jc w:val="center"/>
              <w:rPr>
                <w:rFonts w:ascii="宋体" w:cs="宋体"/>
                <w:color w:val="auto"/>
                <w:sz w:val="21"/>
                <w:szCs w:val="21"/>
                <w:highlight w:val="none"/>
              </w:rPr>
            </w:pPr>
            <w:r>
              <w:rPr>
                <w:rFonts w:hint="eastAsia" w:ascii="宋体" w:cs="宋体"/>
                <w:color w:val="auto"/>
                <w:sz w:val="21"/>
                <w:szCs w:val="21"/>
                <w:highlight w:val="none"/>
                <w:u w:val="single"/>
              </w:rPr>
              <w:t xml:space="preserve">     </w:t>
            </w:r>
            <w:r>
              <w:rPr>
                <w:rFonts w:hint="eastAsia" w:ascii="宋体" w:cs="宋体"/>
                <w:color w:val="auto"/>
                <w:sz w:val="21"/>
                <w:szCs w:val="21"/>
                <w:highlight w:val="none"/>
              </w:rPr>
              <w:t>年度</w:t>
            </w:r>
          </w:p>
        </w:tc>
        <w:tc>
          <w:tcPr>
            <w:tcW w:w="2410" w:type="dxa"/>
            <w:gridSpan w:val="3"/>
            <w:noWrap/>
            <w:vAlign w:val="center"/>
          </w:tcPr>
          <w:p>
            <w:pPr>
              <w:jc w:val="right"/>
              <w:rPr>
                <w:rFonts w:ascii="宋体" w:cs="宋体"/>
                <w:color w:val="auto"/>
                <w:sz w:val="21"/>
                <w:szCs w:val="21"/>
                <w:highlight w:val="none"/>
              </w:rPr>
            </w:pPr>
            <w:r>
              <w:rPr>
                <w:rFonts w:hint="eastAsia" w:ascii="宋体" w:cs="宋体"/>
                <w:color w:val="auto"/>
                <w:sz w:val="21"/>
                <w:szCs w:val="21"/>
                <w:highlight w:val="none"/>
              </w:rPr>
              <w:t>万元</w:t>
            </w:r>
          </w:p>
        </w:tc>
        <w:tc>
          <w:tcPr>
            <w:tcW w:w="3685" w:type="dxa"/>
            <w:gridSpan w:val="3"/>
            <w:noWrap/>
            <w:vAlign w:val="center"/>
          </w:tcPr>
          <w:p>
            <w:pPr>
              <w:jc w:val="center"/>
              <w:rPr>
                <w:rFonts w:ascii="宋体" w:cs="宋体"/>
                <w:color w:val="auto"/>
                <w:sz w:val="21"/>
                <w:szCs w:val="21"/>
                <w:highlight w:val="none"/>
              </w:rPr>
            </w:pPr>
            <w:r>
              <w:rPr>
                <w:rFonts w:hint="eastAsia" w:ascii="宋体" w:cs="宋体"/>
                <w:color w:val="auto"/>
                <w:sz w:val="21"/>
                <w:szCs w:val="21"/>
                <w:highlight w:val="none"/>
              </w:rPr>
              <w:t>□盈利    □亏损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0" w:type="dxa"/>
            <w:vMerge w:val="continue"/>
            <w:noWrap/>
            <w:vAlign w:val="center"/>
          </w:tcPr>
          <w:p>
            <w:pPr>
              <w:rPr>
                <w:color w:val="auto"/>
                <w:highlight w:val="none"/>
              </w:rPr>
            </w:pPr>
          </w:p>
        </w:tc>
        <w:tc>
          <w:tcPr>
            <w:tcW w:w="1276" w:type="dxa"/>
            <w:noWrap/>
            <w:vAlign w:val="center"/>
          </w:tcPr>
          <w:p>
            <w:pPr>
              <w:snapToGrid w:val="0"/>
              <w:jc w:val="center"/>
              <w:rPr>
                <w:rFonts w:ascii="宋体" w:cs="宋体"/>
                <w:color w:val="auto"/>
                <w:sz w:val="21"/>
                <w:szCs w:val="21"/>
                <w:highlight w:val="none"/>
              </w:rPr>
            </w:pPr>
            <w:r>
              <w:rPr>
                <w:rFonts w:hint="eastAsia" w:ascii="宋体" w:cs="宋体"/>
                <w:color w:val="auto"/>
                <w:sz w:val="21"/>
                <w:szCs w:val="21"/>
                <w:highlight w:val="none"/>
                <w:u w:val="single"/>
              </w:rPr>
              <w:t xml:space="preserve">     </w:t>
            </w:r>
            <w:r>
              <w:rPr>
                <w:rFonts w:hint="eastAsia" w:ascii="宋体" w:cs="宋体"/>
                <w:color w:val="auto"/>
                <w:sz w:val="21"/>
                <w:szCs w:val="21"/>
                <w:highlight w:val="none"/>
              </w:rPr>
              <w:t>年度</w:t>
            </w:r>
          </w:p>
        </w:tc>
        <w:tc>
          <w:tcPr>
            <w:tcW w:w="2410" w:type="dxa"/>
            <w:gridSpan w:val="3"/>
            <w:noWrap/>
            <w:vAlign w:val="center"/>
          </w:tcPr>
          <w:p>
            <w:pPr>
              <w:jc w:val="right"/>
              <w:rPr>
                <w:rFonts w:ascii="宋体" w:cs="宋体"/>
                <w:color w:val="auto"/>
                <w:sz w:val="21"/>
                <w:szCs w:val="21"/>
                <w:highlight w:val="none"/>
              </w:rPr>
            </w:pPr>
            <w:r>
              <w:rPr>
                <w:rFonts w:hint="eastAsia" w:ascii="宋体" w:cs="宋体"/>
                <w:color w:val="auto"/>
                <w:sz w:val="21"/>
                <w:szCs w:val="21"/>
                <w:highlight w:val="none"/>
              </w:rPr>
              <w:t>万元</w:t>
            </w:r>
          </w:p>
        </w:tc>
        <w:tc>
          <w:tcPr>
            <w:tcW w:w="3685" w:type="dxa"/>
            <w:gridSpan w:val="3"/>
            <w:noWrap/>
            <w:vAlign w:val="center"/>
          </w:tcPr>
          <w:p>
            <w:pPr>
              <w:jc w:val="center"/>
              <w:rPr>
                <w:rFonts w:ascii="宋体" w:cs="宋体"/>
                <w:color w:val="auto"/>
                <w:sz w:val="21"/>
                <w:szCs w:val="21"/>
                <w:highlight w:val="none"/>
              </w:rPr>
            </w:pPr>
            <w:r>
              <w:rPr>
                <w:rFonts w:hint="eastAsia" w:ascii="宋体" w:cs="宋体"/>
                <w:color w:val="auto"/>
                <w:sz w:val="21"/>
                <w:szCs w:val="21"/>
                <w:highlight w:val="none"/>
              </w:rPr>
              <w:t>□盈利    □亏损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31" w:type="dxa"/>
            <w:gridSpan w:val="8"/>
            <w:noWrap/>
            <w:vAlign w:val="center"/>
          </w:tcPr>
          <w:p>
            <w:pPr>
              <w:jc w:val="center"/>
              <w:rPr>
                <w:rFonts w:ascii="宋体" w:cs="宋体"/>
                <w:b/>
                <w:color w:val="auto"/>
                <w:sz w:val="21"/>
                <w:szCs w:val="21"/>
                <w:highlight w:val="none"/>
              </w:rPr>
            </w:pPr>
            <w:r>
              <w:rPr>
                <w:rFonts w:hint="eastAsia" w:ascii="宋体" w:cs="宋体"/>
                <w:b/>
                <w:color w:val="auto"/>
                <w:sz w:val="21"/>
                <w:szCs w:val="21"/>
                <w:highlight w:val="none"/>
              </w:rPr>
              <w:t>拟用于本项目的主要人员情况</w:t>
            </w:r>
            <w:r>
              <w:rPr>
                <w:rFonts w:hint="eastAsia" w:ascii="宋体" w:cs="宋体"/>
                <w:color w:val="auto"/>
                <w:sz w:val="21"/>
                <w:szCs w:val="21"/>
                <w:highlight w:val="none"/>
              </w:rPr>
              <w:t>（需学历证书、执业资格证书、职称证书复印件）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0" w:type="dxa"/>
            <w:tcBorders>
              <w:right w:val="single" w:color="auto" w:sz="4" w:space="0"/>
            </w:tcBorders>
            <w:noWrap/>
            <w:vAlign w:val="center"/>
          </w:tcPr>
          <w:p>
            <w:pPr>
              <w:jc w:val="center"/>
              <w:rPr>
                <w:rFonts w:ascii="宋体" w:cs="宋体"/>
                <w:color w:val="auto"/>
                <w:sz w:val="21"/>
                <w:szCs w:val="21"/>
                <w:highlight w:val="none"/>
              </w:rPr>
            </w:pPr>
            <w:r>
              <w:rPr>
                <w:rFonts w:hint="eastAsia" w:ascii="宋体" w:cs="宋体"/>
                <w:color w:val="auto"/>
                <w:sz w:val="21"/>
                <w:szCs w:val="21"/>
                <w:highlight w:val="none"/>
              </w:rPr>
              <w:t>姓名</w:t>
            </w:r>
          </w:p>
        </w:tc>
        <w:tc>
          <w:tcPr>
            <w:tcW w:w="1276" w:type="dxa"/>
            <w:tcBorders>
              <w:left w:val="single" w:color="auto" w:sz="4" w:space="0"/>
            </w:tcBorders>
            <w:noWrap/>
            <w:vAlign w:val="center"/>
          </w:tcPr>
          <w:p>
            <w:pPr>
              <w:jc w:val="center"/>
              <w:rPr>
                <w:rFonts w:ascii="宋体" w:cs="宋体"/>
                <w:color w:val="auto"/>
                <w:sz w:val="21"/>
                <w:szCs w:val="21"/>
                <w:highlight w:val="none"/>
              </w:rPr>
            </w:pPr>
            <w:r>
              <w:rPr>
                <w:rFonts w:hint="eastAsia" w:ascii="宋体" w:cs="宋体"/>
                <w:color w:val="auto"/>
                <w:sz w:val="21"/>
                <w:szCs w:val="21"/>
                <w:highlight w:val="none"/>
              </w:rPr>
              <w:t>年龄</w:t>
            </w:r>
          </w:p>
        </w:tc>
        <w:tc>
          <w:tcPr>
            <w:tcW w:w="2410" w:type="dxa"/>
            <w:gridSpan w:val="3"/>
            <w:tcBorders>
              <w:right w:val="single" w:color="auto" w:sz="4" w:space="0"/>
            </w:tcBorders>
            <w:noWrap/>
            <w:vAlign w:val="center"/>
          </w:tcPr>
          <w:p>
            <w:pPr>
              <w:jc w:val="center"/>
              <w:rPr>
                <w:rFonts w:ascii="宋体" w:cs="宋体"/>
                <w:color w:val="auto"/>
                <w:sz w:val="21"/>
                <w:szCs w:val="21"/>
                <w:highlight w:val="none"/>
              </w:rPr>
            </w:pPr>
            <w:r>
              <w:rPr>
                <w:rFonts w:hint="eastAsia" w:ascii="宋体" w:cs="宋体"/>
                <w:color w:val="auto"/>
                <w:sz w:val="21"/>
                <w:szCs w:val="21"/>
                <w:highlight w:val="none"/>
              </w:rPr>
              <w:t>职务/职称/资格</w:t>
            </w:r>
          </w:p>
        </w:tc>
        <w:tc>
          <w:tcPr>
            <w:tcW w:w="1559" w:type="dxa"/>
            <w:gridSpan w:val="2"/>
            <w:tcBorders>
              <w:left w:val="single" w:color="auto" w:sz="4" w:space="0"/>
            </w:tcBorders>
            <w:noWrap/>
            <w:vAlign w:val="center"/>
          </w:tcPr>
          <w:p>
            <w:pPr>
              <w:jc w:val="center"/>
              <w:rPr>
                <w:rFonts w:ascii="宋体" w:cs="宋体"/>
                <w:color w:val="auto"/>
                <w:sz w:val="21"/>
                <w:szCs w:val="21"/>
                <w:highlight w:val="none"/>
              </w:rPr>
            </w:pPr>
            <w:r>
              <w:rPr>
                <w:rFonts w:hint="eastAsia" w:ascii="宋体" w:cs="宋体"/>
                <w:color w:val="auto"/>
                <w:sz w:val="21"/>
                <w:szCs w:val="21"/>
                <w:highlight w:val="none"/>
              </w:rPr>
              <w:t>现从事的专业</w:t>
            </w:r>
          </w:p>
        </w:tc>
        <w:tc>
          <w:tcPr>
            <w:tcW w:w="2126" w:type="dxa"/>
            <w:noWrap/>
            <w:vAlign w:val="center"/>
          </w:tcPr>
          <w:p>
            <w:pPr>
              <w:jc w:val="center"/>
              <w:rPr>
                <w:rFonts w:ascii="宋体" w:cs="宋体"/>
                <w:color w:val="auto"/>
                <w:sz w:val="21"/>
                <w:szCs w:val="21"/>
                <w:highlight w:val="none"/>
              </w:rPr>
            </w:pPr>
            <w:r>
              <w:rPr>
                <w:rFonts w:hint="eastAsia" w:ascii="宋体" w:cs="宋体"/>
                <w:color w:val="auto"/>
                <w:sz w:val="21"/>
                <w:szCs w:val="21"/>
                <w:highlight w:val="none"/>
              </w:rPr>
              <w:t>从事本专业工作年限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0" w:type="dxa"/>
            <w:tcBorders>
              <w:right w:val="single" w:color="auto" w:sz="4" w:space="0"/>
            </w:tcBorders>
            <w:noWrap/>
            <w:vAlign w:val="center"/>
          </w:tcPr>
          <w:p>
            <w:pPr>
              <w:jc w:val="center"/>
              <w:rPr>
                <w:rFonts w:ascii="宋体" w:cs="宋体"/>
                <w:color w:val="auto"/>
                <w:sz w:val="21"/>
                <w:szCs w:val="21"/>
                <w:highlight w:val="none"/>
              </w:rPr>
            </w:pPr>
          </w:p>
        </w:tc>
        <w:tc>
          <w:tcPr>
            <w:tcW w:w="1276" w:type="dxa"/>
            <w:tcBorders>
              <w:left w:val="single" w:color="auto" w:sz="4" w:space="0"/>
            </w:tcBorders>
            <w:noWrap/>
            <w:vAlign w:val="center"/>
          </w:tcPr>
          <w:p>
            <w:pPr>
              <w:jc w:val="center"/>
              <w:rPr>
                <w:rFonts w:ascii="宋体" w:cs="宋体"/>
                <w:color w:val="auto"/>
                <w:sz w:val="21"/>
                <w:szCs w:val="21"/>
                <w:highlight w:val="none"/>
              </w:rPr>
            </w:pPr>
          </w:p>
        </w:tc>
        <w:tc>
          <w:tcPr>
            <w:tcW w:w="2410" w:type="dxa"/>
            <w:gridSpan w:val="3"/>
            <w:tcBorders>
              <w:right w:val="single" w:color="auto" w:sz="4" w:space="0"/>
            </w:tcBorders>
            <w:noWrap/>
            <w:vAlign w:val="center"/>
          </w:tcPr>
          <w:p>
            <w:pPr>
              <w:jc w:val="center"/>
              <w:rPr>
                <w:rFonts w:ascii="宋体" w:cs="宋体"/>
                <w:color w:val="auto"/>
                <w:sz w:val="21"/>
                <w:szCs w:val="21"/>
                <w:highlight w:val="none"/>
              </w:rPr>
            </w:pPr>
          </w:p>
        </w:tc>
        <w:tc>
          <w:tcPr>
            <w:tcW w:w="1559" w:type="dxa"/>
            <w:gridSpan w:val="2"/>
            <w:tcBorders>
              <w:left w:val="single" w:color="auto" w:sz="4" w:space="0"/>
            </w:tcBorders>
            <w:noWrap/>
            <w:vAlign w:val="center"/>
          </w:tcPr>
          <w:p>
            <w:pPr>
              <w:jc w:val="center"/>
              <w:rPr>
                <w:rFonts w:ascii="宋体" w:cs="宋体"/>
                <w:color w:val="auto"/>
                <w:sz w:val="21"/>
                <w:szCs w:val="21"/>
                <w:highlight w:val="none"/>
              </w:rPr>
            </w:pPr>
          </w:p>
        </w:tc>
        <w:tc>
          <w:tcPr>
            <w:tcW w:w="2126" w:type="dxa"/>
            <w:noWrap/>
            <w:vAlign w:val="center"/>
          </w:tcPr>
          <w:p>
            <w:pPr>
              <w:jc w:val="center"/>
              <w:rPr>
                <w:rFonts w:asci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0" w:type="dxa"/>
            <w:tcBorders>
              <w:right w:val="single" w:color="auto" w:sz="4" w:space="0"/>
            </w:tcBorders>
            <w:noWrap/>
            <w:vAlign w:val="center"/>
          </w:tcPr>
          <w:p>
            <w:pPr>
              <w:jc w:val="center"/>
              <w:rPr>
                <w:rFonts w:ascii="宋体" w:cs="宋体"/>
                <w:color w:val="auto"/>
                <w:sz w:val="21"/>
                <w:szCs w:val="21"/>
                <w:highlight w:val="none"/>
              </w:rPr>
            </w:pPr>
          </w:p>
        </w:tc>
        <w:tc>
          <w:tcPr>
            <w:tcW w:w="1276" w:type="dxa"/>
            <w:tcBorders>
              <w:left w:val="single" w:color="auto" w:sz="4" w:space="0"/>
            </w:tcBorders>
            <w:noWrap/>
            <w:vAlign w:val="center"/>
          </w:tcPr>
          <w:p>
            <w:pPr>
              <w:jc w:val="center"/>
              <w:rPr>
                <w:rFonts w:ascii="宋体" w:cs="宋体"/>
                <w:color w:val="auto"/>
                <w:sz w:val="21"/>
                <w:szCs w:val="21"/>
                <w:highlight w:val="none"/>
              </w:rPr>
            </w:pPr>
          </w:p>
        </w:tc>
        <w:tc>
          <w:tcPr>
            <w:tcW w:w="2410" w:type="dxa"/>
            <w:gridSpan w:val="3"/>
            <w:tcBorders>
              <w:right w:val="single" w:color="auto" w:sz="4" w:space="0"/>
            </w:tcBorders>
            <w:noWrap/>
            <w:vAlign w:val="center"/>
          </w:tcPr>
          <w:p>
            <w:pPr>
              <w:jc w:val="center"/>
              <w:rPr>
                <w:rFonts w:ascii="宋体" w:cs="宋体"/>
                <w:color w:val="auto"/>
                <w:sz w:val="21"/>
                <w:szCs w:val="21"/>
                <w:highlight w:val="none"/>
              </w:rPr>
            </w:pPr>
          </w:p>
        </w:tc>
        <w:tc>
          <w:tcPr>
            <w:tcW w:w="1559" w:type="dxa"/>
            <w:gridSpan w:val="2"/>
            <w:tcBorders>
              <w:left w:val="single" w:color="auto" w:sz="4" w:space="0"/>
            </w:tcBorders>
            <w:noWrap/>
            <w:vAlign w:val="center"/>
          </w:tcPr>
          <w:p>
            <w:pPr>
              <w:jc w:val="center"/>
              <w:rPr>
                <w:rFonts w:ascii="宋体" w:cs="宋体"/>
                <w:color w:val="auto"/>
                <w:sz w:val="21"/>
                <w:szCs w:val="21"/>
                <w:highlight w:val="none"/>
              </w:rPr>
            </w:pPr>
          </w:p>
        </w:tc>
        <w:tc>
          <w:tcPr>
            <w:tcW w:w="2126" w:type="dxa"/>
            <w:noWrap/>
            <w:vAlign w:val="center"/>
          </w:tcPr>
          <w:p>
            <w:pPr>
              <w:jc w:val="center"/>
              <w:rPr>
                <w:rFonts w:asci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0" w:type="dxa"/>
            <w:tcBorders>
              <w:right w:val="single" w:color="auto" w:sz="4" w:space="0"/>
            </w:tcBorders>
            <w:noWrap/>
            <w:vAlign w:val="center"/>
          </w:tcPr>
          <w:p>
            <w:pPr>
              <w:jc w:val="center"/>
              <w:rPr>
                <w:rFonts w:ascii="宋体" w:cs="宋体"/>
                <w:color w:val="auto"/>
                <w:sz w:val="21"/>
                <w:szCs w:val="21"/>
                <w:highlight w:val="none"/>
              </w:rPr>
            </w:pPr>
          </w:p>
        </w:tc>
        <w:tc>
          <w:tcPr>
            <w:tcW w:w="1276" w:type="dxa"/>
            <w:tcBorders>
              <w:left w:val="single" w:color="auto" w:sz="4" w:space="0"/>
            </w:tcBorders>
            <w:noWrap/>
            <w:vAlign w:val="center"/>
          </w:tcPr>
          <w:p>
            <w:pPr>
              <w:jc w:val="center"/>
              <w:rPr>
                <w:rFonts w:ascii="宋体" w:cs="宋体"/>
                <w:color w:val="auto"/>
                <w:sz w:val="21"/>
                <w:szCs w:val="21"/>
                <w:highlight w:val="none"/>
              </w:rPr>
            </w:pPr>
          </w:p>
        </w:tc>
        <w:tc>
          <w:tcPr>
            <w:tcW w:w="2410" w:type="dxa"/>
            <w:gridSpan w:val="3"/>
            <w:tcBorders>
              <w:right w:val="single" w:color="auto" w:sz="4" w:space="0"/>
            </w:tcBorders>
            <w:noWrap/>
            <w:vAlign w:val="center"/>
          </w:tcPr>
          <w:p>
            <w:pPr>
              <w:jc w:val="center"/>
              <w:rPr>
                <w:rFonts w:ascii="宋体" w:cs="宋体"/>
                <w:color w:val="auto"/>
                <w:sz w:val="21"/>
                <w:szCs w:val="21"/>
                <w:highlight w:val="none"/>
              </w:rPr>
            </w:pPr>
          </w:p>
        </w:tc>
        <w:tc>
          <w:tcPr>
            <w:tcW w:w="1559" w:type="dxa"/>
            <w:gridSpan w:val="2"/>
            <w:tcBorders>
              <w:left w:val="single" w:color="auto" w:sz="4" w:space="0"/>
            </w:tcBorders>
            <w:noWrap/>
            <w:vAlign w:val="center"/>
          </w:tcPr>
          <w:p>
            <w:pPr>
              <w:jc w:val="center"/>
              <w:rPr>
                <w:rFonts w:ascii="宋体" w:cs="宋体"/>
                <w:color w:val="auto"/>
                <w:sz w:val="21"/>
                <w:szCs w:val="21"/>
                <w:highlight w:val="none"/>
              </w:rPr>
            </w:pPr>
          </w:p>
        </w:tc>
        <w:tc>
          <w:tcPr>
            <w:tcW w:w="2126" w:type="dxa"/>
            <w:noWrap/>
            <w:vAlign w:val="center"/>
          </w:tcPr>
          <w:p>
            <w:pPr>
              <w:jc w:val="center"/>
              <w:rPr>
                <w:rFonts w:ascii="宋体" w:cs="宋体"/>
                <w:color w:val="auto"/>
                <w:sz w:val="21"/>
                <w:szCs w:val="21"/>
                <w:highlight w:val="none"/>
              </w:rPr>
            </w:pPr>
          </w:p>
        </w:tc>
      </w:tr>
    </w:tbl>
    <w:p>
      <w:pPr>
        <w:widowControl/>
        <w:snapToGrid w:val="0"/>
        <w:rPr>
          <w:rFonts w:ascii="宋体" w:cs="宋体"/>
          <w:color w:val="auto"/>
          <w:sz w:val="21"/>
          <w:szCs w:val="21"/>
          <w:highlight w:val="none"/>
        </w:rPr>
      </w:pPr>
    </w:p>
    <w:p>
      <w:pPr>
        <w:ind w:firstLine="420" w:firstLineChars="200"/>
        <w:rPr>
          <w:rFonts w:ascii="宋体" w:cs="宋体"/>
          <w:color w:val="auto"/>
          <w:sz w:val="21"/>
          <w:szCs w:val="21"/>
          <w:highlight w:val="none"/>
        </w:rPr>
      </w:pPr>
      <w:r>
        <w:rPr>
          <w:rFonts w:hint="eastAsia" w:ascii="宋体" w:cs="宋体"/>
          <w:color w:val="auto"/>
          <w:sz w:val="21"/>
          <w:szCs w:val="21"/>
          <w:highlight w:val="none"/>
        </w:rPr>
        <w:t>上述声明是真实、正确的，并提供了全部能提供的资料和数据，我们同意遵照贵方要求出示有关文件。</w:t>
      </w:r>
    </w:p>
    <w:p>
      <w:pPr>
        <w:widowControl/>
        <w:snapToGrid w:val="0"/>
        <w:rPr>
          <w:rFonts w:ascii="宋体" w:cs="宋体"/>
          <w:color w:val="auto"/>
          <w:sz w:val="21"/>
          <w:szCs w:val="21"/>
          <w:highlight w:val="none"/>
        </w:rPr>
      </w:pPr>
    </w:p>
    <w:p>
      <w:pPr>
        <w:widowControl/>
        <w:snapToGrid w:val="0"/>
        <w:ind w:firstLine="5880" w:firstLineChars="2800"/>
        <w:rPr>
          <w:rFonts w:ascii="宋体" w:cs="宋体"/>
          <w:color w:val="auto"/>
          <w:sz w:val="21"/>
          <w:szCs w:val="21"/>
          <w:highlight w:val="none"/>
        </w:rPr>
      </w:pPr>
    </w:p>
    <w:p>
      <w:pPr>
        <w:widowControl/>
        <w:snapToGrid w:val="0"/>
        <w:ind w:firstLine="5880" w:firstLineChars="2800"/>
        <w:rPr>
          <w:rFonts w:ascii="宋体" w:cs="宋体"/>
          <w:color w:val="auto"/>
          <w:sz w:val="21"/>
          <w:szCs w:val="21"/>
          <w:highlight w:val="none"/>
        </w:rPr>
      </w:pPr>
    </w:p>
    <w:p>
      <w:pPr>
        <w:widowControl/>
        <w:snapToGrid w:val="0"/>
        <w:ind w:firstLine="5880" w:firstLineChars="2800"/>
        <w:rPr>
          <w:rFonts w:ascii="宋体" w:cs="宋体"/>
          <w:color w:val="auto"/>
          <w:sz w:val="21"/>
          <w:szCs w:val="21"/>
          <w:highlight w:val="none"/>
        </w:rPr>
      </w:pPr>
      <w:r>
        <w:rPr>
          <w:rFonts w:hint="eastAsia" w:ascii="宋体"/>
          <w:color w:val="auto"/>
          <w:sz w:val="21"/>
          <w:szCs w:val="21"/>
          <w:highlight w:val="none"/>
        </w:rPr>
        <w:t>投标人名称</w:t>
      </w:r>
      <w:r>
        <w:rPr>
          <w:rFonts w:hint="eastAsia" w:ascii="宋体" w:cs="宋体"/>
          <w:color w:val="auto"/>
          <w:sz w:val="21"/>
          <w:szCs w:val="21"/>
          <w:highlight w:val="none"/>
        </w:rPr>
        <w:t>（公章）：</w:t>
      </w:r>
    </w:p>
    <w:p>
      <w:pPr>
        <w:spacing w:line="380" w:lineRule="exact"/>
        <w:ind w:firstLine="4200" w:firstLineChars="2000"/>
        <w:rPr>
          <w:rFonts w:ascii="宋体" w:cs="宋体"/>
          <w:b/>
          <w:color w:val="auto"/>
          <w:sz w:val="21"/>
          <w:szCs w:val="21"/>
          <w:highlight w:val="none"/>
        </w:rPr>
      </w:pPr>
      <w:r>
        <w:rPr>
          <w:rFonts w:hint="eastAsia" w:ascii="宋体" w:cs="宋体"/>
          <w:color w:val="auto"/>
          <w:sz w:val="21"/>
          <w:szCs w:val="21"/>
          <w:highlight w:val="none"/>
        </w:rPr>
        <w:t xml:space="preserve">    法定代表人或委托代理人（签字</w:t>
      </w:r>
      <w:r>
        <w:rPr>
          <w:rFonts w:hint="eastAsia" w:ascii="宋体" w:cs="宋体"/>
          <w:color w:val="auto"/>
          <w:sz w:val="21"/>
          <w:szCs w:val="21"/>
          <w:highlight w:val="none"/>
          <w:lang w:val="en-US" w:eastAsia="zh-CN"/>
        </w:rPr>
        <w:t>或盖章</w:t>
      </w:r>
      <w:r>
        <w:rPr>
          <w:rFonts w:hint="eastAsia" w:ascii="宋体" w:cs="宋体"/>
          <w:color w:val="auto"/>
          <w:sz w:val="21"/>
          <w:szCs w:val="21"/>
          <w:highlight w:val="none"/>
        </w:rPr>
        <w:t xml:space="preserve">）：  </w:t>
      </w:r>
      <w:r>
        <w:rPr>
          <w:rFonts w:hint="eastAsia" w:ascii="宋体" w:cs="宋体"/>
          <w:b/>
          <w:color w:val="auto"/>
          <w:sz w:val="21"/>
          <w:szCs w:val="21"/>
          <w:highlight w:val="none"/>
        </w:rPr>
        <w:t xml:space="preserve">        </w:t>
      </w:r>
    </w:p>
    <w:p>
      <w:pPr>
        <w:snapToGrid w:val="0"/>
        <w:spacing w:before="50" w:after="50"/>
        <w:ind w:firstLine="5775" w:firstLineChars="2750"/>
        <w:rPr>
          <w:rFonts w:ascii="宋体" w:cs="宋体"/>
          <w:color w:val="auto"/>
          <w:sz w:val="21"/>
          <w:szCs w:val="21"/>
          <w:highlight w:val="none"/>
        </w:rPr>
      </w:pPr>
      <w:r>
        <w:rPr>
          <w:rFonts w:hint="eastAsia" w:ascii="宋体" w:cs="宋体"/>
          <w:color w:val="auto"/>
          <w:sz w:val="21"/>
          <w:szCs w:val="21"/>
          <w:highlight w:val="none"/>
        </w:rPr>
        <w:t xml:space="preserve">    年  月   日</w:t>
      </w:r>
    </w:p>
    <w:p>
      <w:pPr>
        <w:snapToGrid w:val="0"/>
        <w:spacing w:line="600" w:lineRule="exact"/>
        <w:ind w:firstLine="420"/>
        <w:jc w:val="center"/>
        <w:rPr>
          <w:rFonts w:ascii="宋体" w:cs="宋体"/>
          <w:b/>
          <w:color w:val="auto"/>
          <w:sz w:val="21"/>
          <w:szCs w:val="21"/>
          <w:highlight w:val="none"/>
        </w:rPr>
      </w:pPr>
    </w:p>
    <w:p>
      <w:pPr>
        <w:pStyle w:val="17"/>
        <w:ind w:firstLine="211"/>
        <w:rPr>
          <w:rFonts w:ascii="宋体" w:cs="宋体"/>
          <w:b/>
          <w:color w:val="auto"/>
          <w:sz w:val="21"/>
          <w:szCs w:val="21"/>
          <w:highlight w:val="none"/>
        </w:rPr>
      </w:pPr>
    </w:p>
    <w:p>
      <w:pPr>
        <w:pStyle w:val="32"/>
        <w:rPr>
          <w:rFonts w:ascii="宋体" w:cs="宋体"/>
          <w:b/>
          <w:color w:val="auto"/>
          <w:sz w:val="21"/>
          <w:szCs w:val="21"/>
          <w:highlight w:val="none"/>
        </w:rPr>
      </w:pPr>
    </w:p>
    <w:p>
      <w:pPr>
        <w:rPr>
          <w:rFonts w:ascii="宋体" w:cs="宋体"/>
          <w:b/>
          <w:color w:val="auto"/>
          <w:sz w:val="21"/>
          <w:szCs w:val="21"/>
          <w:highlight w:val="none"/>
        </w:rPr>
      </w:pPr>
    </w:p>
    <w:p>
      <w:pPr>
        <w:pStyle w:val="17"/>
        <w:ind w:firstLine="211"/>
        <w:rPr>
          <w:rFonts w:ascii="宋体" w:cs="宋体"/>
          <w:b/>
          <w:color w:val="auto"/>
          <w:sz w:val="21"/>
          <w:szCs w:val="21"/>
          <w:highlight w:val="none"/>
        </w:rPr>
      </w:pPr>
    </w:p>
    <w:p>
      <w:pPr>
        <w:pStyle w:val="32"/>
        <w:rPr>
          <w:rFonts w:ascii="宋体" w:cs="宋体"/>
          <w:b/>
          <w:color w:val="auto"/>
          <w:sz w:val="21"/>
          <w:szCs w:val="21"/>
          <w:highlight w:val="none"/>
        </w:rPr>
      </w:pPr>
    </w:p>
    <w:p>
      <w:pPr>
        <w:spacing w:line="400" w:lineRule="exact"/>
        <w:ind w:firstLine="602" w:firstLineChars="200"/>
        <w:jc w:val="center"/>
        <w:rPr>
          <w:rFonts w:ascii="宋体" w:cs="宋体"/>
          <w:b/>
          <w:color w:val="auto"/>
          <w:sz w:val="30"/>
          <w:szCs w:val="30"/>
          <w:highlight w:val="none"/>
        </w:rPr>
      </w:pPr>
    </w:p>
    <w:p>
      <w:pPr>
        <w:spacing w:line="400" w:lineRule="exact"/>
        <w:ind w:firstLine="602" w:firstLineChars="200"/>
        <w:jc w:val="center"/>
        <w:rPr>
          <w:rFonts w:ascii="宋体" w:cs="宋体"/>
          <w:b/>
          <w:color w:val="auto"/>
          <w:sz w:val="30"/>
          <w:szCs w:val="30"/>
          <w:highlight w:val="none"/>
        </w:rPr>
      </w:pPr>
      <w:r>
        <w:rPr>
          <w:rFonts w:hint="eastAsia" w:ascii="宋体" w:cs="宋体"/>
          <w:b/>
          <w:color w:val="auto"/>
          <w:sz w:val="30"/>
          <w:szCs w:val="30"/>
          <w:highlight w:val="none"/>
        </w:rPr>
        <w:t>拟派项目负责人基本情况表</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6"/>
        <w:gridCol w:w="329"/>
        <w:gridCol w:w="1065"/>
        <w:gridCol w:w="615"/>
        <w:gridCol w:w="330"/>
        <w:gridCol w:w="945"/>
        <w:gridCol w:w="945"/>
        <w:gridCol w:w="90"/>
        <w:gridCol w:w="2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8" w:hRule="atLeast"/>
          <w:jc w:val="center"/>
        </w:trPr>
        <w:tc>
          <w:tcPr>
            <w:tcW w:w="1666" w:type="dxa"/>
            <w:noWrap/>
            <w:vAlign w:val="center"/>
          </w:tcPr>
          <w:p>
            <w:pPr>
              <w:jc w:val="center"/>
              <w:rPr>
                <w:rFonts w:ascii="宋体" w:cs="宋体"/>
                <w:color w:val="auto"/>
                <w:sz w:val="21"/>
                <w:szCs w:val="21"/>
                <w:highlight w:val="none"/>
              </w:rPr>
            </w:pPr>
            <w:r>
              <w:rPr>
                <w:rFonts w:hint="eastAsia" w:ascii="宋体" w:cs="宋体"/>
                <w:color w:val="auto"/>
                <w:sz w:val="21"/>
                <w:szCs w:val="21"/>
                <w:highlight w:val="none"/>
              </w:rPr>
              <w:t>姓  名</w:t>
            </w:r>
          </w:p>
        </w:tc>
        <w:tc>
          <w:tcPr>
            <w:tcW w:w="1394" w:type="dxa"/>
            <w:gridSpan w:val="2"/>
            <w:noWrap/>
            <w:vAlign w:val="center"/>
          </w:tcPr>
          <w:p>
            <w:pPr>
              <w:jc w:val="center"/>
              <w:rPr>
                <w:rFonts w:ascii="宋体" w:cs="宋体"/>
                <w:color w:val="auto"/>
                <w:sz w:val="21"/>
                <w:szCs w:val="21"/>
                <w:highlight w:val="none"/>
              </w:rPr>
            </w:pPr>
          </w:p>
        </w:tc>
        <w:tc>
          <w:tcPr>
            <w:tcW w:w="945" w:type="dxa"/>
            <w:gridSpan w:val="2"/>
            <w:noWrap/>
            <w:vAlign w:val="center"/>
          </w:tcPr>
          <w:p>
            <w:pPr>
              <w:rPr>
                <w:rFonts w:ascii="宋体" w:cs="宋体"/>
                <w:color w:val="auto"/>
                <w:sz w:val="21"/>
                <w:szCs w:val="21"/>
                <w:highlight w:val="none"/>
              </w:rPr>
            </w:pPr>
            <w:r>
              <w:rPr>
                <w:rFonts w:hint="eastAsia" w:ascii="宋体" w:cs="宋体"/>
                <w:color w:val="auto"/>
                <w:sz w:val="21"/>
                <w:szCs w:val="21"/>
                <w:highlight w:val="none"/>
              </w:rPr>
              <w:t>性 别</w:t>
            </w:r>
          </w:p>
        </w:tc>
        <w:tc>
          <w:tcPr>
            <w:tcW w:w="945" w:type="dxa"/>
            <w:noWrap/>
            <w:vAlign w:val="center"/>
          </w:tcPr>
          <w:p>
            <w:pPr>
              <w:rPr>
                <w:rFonts w:ascii="宋体" w:cs="宋体"/>
                <w:color w:val="auto"/>
                <w:sz w:val="21"/>
                <w:szCs w:val="21"/>
                <w:highlight w:val="none"/>
              </w:rPr>
            </w:pPr>
          </w:p>
        </w:tc>
        <w:tc>
          <w:tcPr>
            <w:tcW w:w="945" w:type="dxa"/>
            <w:noWrap/>
            <w:vAlign w:val="center"/>
          </w:tcPr>
          <w:p>
            <w:pPr>
              <w:jc w:val="center"/>
              <w:rPr>
                <w:rFonts w:ascii="宋体" w:cs="宋体"/>
                <w:color w:val="auto"/>
                <w:sz w:val="21"/>
                <w:szCs w:val="21"/>
                <w:highlight w:val="none"/>
              </w:rPr>
            </w:pPr>
            <w:r>
              <w:rPr>
                <w:rFonts w:hint="eastAsia" w:ascii="宋体" w:cs="宋体"/>
                <w:color w:val="auto"/>
                <w:sz w:val="21"/>
                <w:szCs w:val="21"/>
                <w:highlight w:val="none"/>
              </w:rPr>
              <w:t>出生</w:t>
            </w:r>
          </w:p>
          <w:p>
            <w:pPr>
              <w:jc w:val="center"/>
              <w:rPr>
                <w:rFonts w:ascii="宋体" w:cs="宋体"/>
                <w:color w:val="auto"/>
                <w:sz w:val="21"/>
                <w:szCs w:val="21"/>
                <w:highlight w:val="none"/>
              </w:rPr>
            </w:pPr>
            <w:r>
              <w:rPr>
                <w:rFonts w:hint="eastAsia" w:ascii="宋体" w:cs="宋体"/>
                <w:color w:val="auto"/>
                <w:sz w:val="21"/>
                <w:szCs w:val="21"/>
                <w:highlight w:val="none"/>
              </w:rPr>
              <w:t>日期</w:t>
            </w:r>
          </w:p>
        </w:tc>
        <w:tc>
          <w:tcPr>
            <w:tcW w:w="2610" w:type="dxa"/>
            <w:gridSpan w:val="2"/>
            <w:noWrap/>
            <w:vAlign w:val="center"/>
          </w:tcPr>
          <w:p>
            <w:pPr>
              <w:rPr>
                <w:rFonts w:ascii="宋体" w:cs="宋体"/>
                <w:color w:val="auto"/>
                <w:sz w:val="21"/>
                <w:szCs w:val="21"/>
                <w:highlight w:val="none"/>
              </w:rPr>
            </w:pPr>
            <w:r>
              <w:rPr>
                <w:rFonts w:hint="eastAsia" w:ascii="宋体" w:cs="宋体"/>
                <w:color w:val="auto"/>
                <w:sz w:val="21"/>
                <w:szCs w:val="21"/>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1666" w:type="dxa"/>
            <w:noWrap/>
            <w:vAlign w:val="center"/>
          </w:tcPr>
          <w:p>
            <w:pPr>
              <w:rPr>
                <w:rFonts w:ascii="宋体" w:cs="宋体"/>
                <w:color w:val="auto"/>
                <w:sz w:val="21"/>
                <w:szCs w:val="21"/>
                <w:highlight w:val="none"/>
              </w:rPr>
            </w:pPr>
            <w:r>
              <w:rPr>
                <w:rFonts w:hint="eastAsia" w:ascii="宋体" w:cs="宋体"/>
                <w:color w:val="auto"/>
                <w:sz w:val="21"/>
                <w:szCs w:val="21"/>
                <w:highlight w:val="none"/>
              </w:rPr>
              <w:t>毕业院校及专业</w:t>
            </w:r>
          </w:p>
        </w:tc>
        <w:tc>
          <w:tcPr>
            <w:tcW w:w="3284" w:type="dxa"/>
            <w:gridSpan w:val="5"/>
            <w:noWrap/>
            <w:vAlign w:val="center"/>
          </w:tcPr>
          <w:p>
            <w:pPr>
              <w:rPr>
                <w:rFonts w:ascii="宋体" w:cs="宋体"/>
                <w:color w:val="auto"/>
                <w:sz w:val="21"/>
                <w:szCs w:val="21"/>
                <w:highlight w:val="none"/>
              </w:rPr>
            </w:pPr>
          </w:p>
        </w:tc>
        <w:tc>
          <w:tcPr>
            <w:tcW w:w="945" w:type="dxa"/>
            <w:noWrap/>
            <w:vAlign w:val="center"/>
          </w:tcPr>
          <w:p>
            <w:pPr>
              <w:ind w:left="-18"/>
              <w:jc w:val="center"/>
              <w:rPr>
                <w:rFonts w:ascii="宋体" w:cs="宋体"/>
                <w:color w:val="auto"/>
                <w:sz w:val="21"/>
                <w:szCs w:val="21"/>
                <w:highlight w:val="none"/>
              </w:rPr>
            </w:pPr>
            <w:r>
              <w:rPr>
                <w:rFonts w:hint="eastAsia" w:ascii="宋体" w:cs="宋体"/>
                <w:color w:val="auto"/>
                <w:sz w:val="21"/>
                <w:szCs w:val="21"/>
                <w:highlight w:val="none"/>
              </w:rPr>
              <w:t>毕业</w:t>
            </w:r>
          </w:p>
          <w:p>
            <w:pPr>
              <w:ind w:left="-18"/>
              <w:jc w:val="center"/>
              <w:rPr>
                <w:rFonts w:ascii="宋体" w:cs="宋体"/>
                <w:color w:val="auto"/>
                <w:sz w:val="21"/>
                <w:szCs w:val="21"/>
                <w:highlight w:val="none"/>
              </w:rPr>
            </w:pPr>
            <w:r>
              <w:rPr>
                <w:rFonts w:hint="eastAsia" w:ascii="宋体" w:cs="宋体"/>
                <w:color w:val="auto"/>
                <w:sz w:val="21"/>
                <w:szCs w:val="21"/>
                <w:highlight w:val="none"/>
              </w:rPr>
              <w:t>时间</w:t>
            </w:r>
          </w:p>
        </w:tc>
        <w:tc>
          <w:tcPr>
            <w:tcW w:w="2610" w:type="dxa"/>
            <w:gridSpan w:val="2"/>
            <w:noWrap/>
            <w:vAlign w:val="center"/>
          </w:tcPr>
          <w:p>
            <w:pPr>
              <w:ind w:left="45"/>
              <w:rPr>
                <w:rFonts w:ascii="宋体" w:cs="宋体"/>
                <w:color w:val="auto"/>
                <w:sz w:val="21"/>
                <w:szCs w:val="21"/>
                <w:highlight w:val="none"/>
              </w:rPr>
            </w:pPr>
            <w:r>
              <w:rPr>
                <w:rFonts w:hint="eastAsia" w:ascii="宋体" w:cs="宋体"/>
                <w:color w:val="auto"/>
                <w:sz w:val="21"/>
                <w:szCs w:val="21"/>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666" w:type="dxa"/>
            <w:noWrap/>
            <w:vAlign w:val="center"/>
          </w:tcPr>
          <w:p>
            <w:pPr>
              <w:jc w:val="center"/>
              <w:rPr>
                <w:rFonts w:ascii="宋体" w:cs="宋体"/>
                <w:color w:val="auto"/>
                <w:sz w:val="21"/>
                <w:szCs w:val="21"/>
                <w:highlight w:val="none"/>
              </w:rPr>
            </w:pPr>
            <w:r>
              <w:rPr>
                <w:rFonts w:hint="eastAsia" w:ascii="宋体" w:cs="宋体"/>
                <w:color w:val="auto"/>
                <w:sz w:val="21"/>
                <w:szCs w:val="21"/>
                <w:highlight w:val="none"/>
              </w:rPr>
              <w:t>从事本专业时间</w:t>
            </w:r>
          </w:p>
        </w:tc>
        <w:tc>
          <w:tcPr>
            <w:tcW w:w="2009" w:type="dxa"/>
            <w:gridSpan w:val="3"/>
            <w:noWrap/>
            <w:vAlign w:val="center"/>
          </w:tcPr>
          <w:p>
            <w:pPr>
              <w:rPr>
                <w:rFonts w:ascii="宋体" w:cs="宋体"/>
                <w:color w:val="auto"/>
                <w:sz w:val="21"/>
                <w:szCs w:val="21"/>
                <w:highlight w:val="none"/>
              </w:rPr>
            </w:pPr>
          </w:p>
        </w:tc>
        <w:tc>
          <w:tcPr>
            <w:tcW w:w="2220" w:type="dxa"/>
            <w:gridSpan w:val="3"/>
            <w:noWrap/>
            <w:vAlign w:val="center"/>
          </w:tcPr>
          <w:p>
            <w:pPr>
              <w:jc w:val="center"/>
              <w:rPr>
                <w:rFonts w:ascii="宋体" w:cs="宋体"/>
                <w:color w:val="auto"/>
                <w:sz w:val="21"/>
                <w:szCs w:val="21"/>
                <w:highlight w:val="none"/>
              </w:rPr>
            </w:pPr>
            <w:r>
              <w:rPr>
                <w:rFonts w:hint="eastAsia" w:ascii="宋体" w:cs="宋体"/>
                <w:color w:val="auto"/>
                <w:sz w:val="21"/>
                <w:szCs w:val="21"/>
                <w:highlight w:val="none"/>
              </w:rPr>
              <w:t>为投标人服务时间</w:t>
            </w:r>
          </w:p>
        </w:tc>
        <w:tc>
          <w:tcPr>
            <w:tcW w:w="2610" w:type="dxa"/>
            <w:gridSpan w:val="2"/>
            <w:noWrap/>
            <w:vAlign w:val="center"/>
          </w:tcPr>
          <w:p>
            <w:pPr>
              <w:rPr>
                <w:rFonts w:asci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666" w:type="dxa"/>
            <w:noWrap/>
            <w:vAlign w:val="center"/>
          </w:tcPr>
          <w:p>
            <w:pPr>
              <w:jc w:val="center"/>
              <w:rPr>
                <w:rFonts w:ascii="宋体" w:cs="宋体"/>
                <w:color w:val="auto"/>
                <w:sz w:val="21"/>
                <w:szCs w:val="21"/>
                <w:highlight w:val="none"/>
              </w:rPr>
            </w:pPr>
            <w:r>
              <w:rPr>
                <w:rFonts w:hint="eastAsia" w:ascii="宋体" w:cs="宋体"/>
                <w:color w:val="auto"/>
                <w:sz w:val="21"/>
                <w:szCs w:val="21"/>
                <w:highlight w:val="none"/>
              </w:rPr>
              <w:t>职务/职称</w:t>
            </w:r>
          </w:p>
        </w:tc>
        <w:tc>
          <w:tcPr>
            <w:tcW w:w="2009" w:type="dxa"/>
            <w:gridSpan w:val="3"/>
            <w:noWrap/>
            <w:vAlign w:val="center"/>
          </w:tcPr>
          <w:p>
            <w:pPr>
              <w:rPr>
                <w:rFonts w:ascii="宋体" w:cs="宋体"/>
                <w:color w:val="auto"/>
                <w:sz w:val="21"/>
                <w:szCs w:val="21"/>
                <w:highlight w:val="none"/>
              </w:rPr>
            </w:pPr>
          </w:p>
        </w:tc>
        <w:tc>
          <w:tcPr>
            <w:tcW w:w="2220" w:type="dxa"/>
            <w:gridSpan w:val="3"/>
            <w:noWrap/>
            <w:vAlign w:val="center"/>
          </w:tcPr>
          <w:p>
            <w:pPr>
              <w:jc w:val="center"/>
              <w:rPr>
                <w:rFonts w:ascii="宋体" w:cs="宋体"/>
                <w:color w:val="auto"/>
                <w:sz w:val="21"/>
                <w:szCs w:val="21"/>
                <w:highlight w:val="none"/>
              </w:rPr>
            </w:pPr>
            <w:r>
              <w:rPr>
                <w:rFonts w:hint="eastAsia" w:ascii="宋体" w:cs="宋体"/>
                <w:color w:val="auto"/>
                <w:sz w:val="21"/>
                <w:szCs w:val="21"/>
                <w:highlight w:val="none"/>
              </w:rPr>
              <w:t>联 系 方 式</w:t>
            </w:r>
          </w:p>
        </w:tc>
        <w:tc>
          <w:tcPr>
            <w:tcW w:w="2610" w:type="dxa"/>
            <w:gridSpan w:val="2"/>
            <w:noWrap/>
            <w:vAlign w:val="center"/>
          </w:tcPr>
          <w:p>
            <w:pPr>
              <w:rPr>
                <w:rFonts w:asci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8505" w:type="dxa"/>
            <w:gridSpan w:val="9"/>
            <w:noWrap/>
            <w:vAlign w:val="center"/>
          </w:tcPr>
          <w:p>
            <w:pPr>
              <w:jc w:val="center"/>
              <w:rPr>
                <w:rFonts w:ascii="宋体" w:cs="宋体"/>
                <w:color w:val="auto"/>
                <w:sz w:val="21"/>
                <w:szCs w:val="21"/>
                <w:highlight w:val="none"/>
              </w:rPr>
            </w:pPr>
            <w:r>
              <w:rPr>
                <w:rFonts w:hint="eastAsia" w:ascii="宋体" w:cs="宋体"/>
                <w:color w:val="auto"/>
                <w:sz w:val="21"/>
                <w:szCs w:val="21"/>
                <w:highlight w:val="none"/>
              </w:rPr>
              <w:t>主  要  业  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995" w:type="dxa"/>
            <w:gridSpan w:val="2"/>
            <w:noWrap/>
            <w:vAlign w:val="center"/>
          </w:tcPr>
          <w:p>
            <w:pPr>
              <w:jc w:val="center"/>
              <w:rPr>
                <w:rFonts w:ascii="宋体" w:cs="宋体"/>
                <w:color w:val="auto"/>
                <w:sz w:val="21"/>
                <w:szCs w:val="21"/>
                <w:highlight w:val="none"/>
              </w:rPr>
            </w:pPr>
            <w:r>
              <w:rPr>
                <w:rFonts w:hint="eastAsia" w:ascii="宋体" w:cs="宋体"/>
                <w:color w:val="auto"/>
                <w:sz w:val="21"/>
                <w:szCs w:val="21"/>
                <w:highlight w:val="none"/>
              </w:rPr>
              <w:t>时   间</w:t>
            </w:r>
          </w:p>
        </w:tc>
        <w:tc>
          <w:tcPr>
            <w:tcW w:w="3990" w:type="dxa"/>
            <w:gridSpan w:val="6"/>
            <w:noWrap/>
            <w:vAlign w:val="center"/>
          </w:tcPr>
          <w:p>
            <w:pPr>
              <w:jc w:val="center"/>
              <w:rPr>
                <w:rFonts w:ascii="宋体" w:cs="宋体"/>
                <w:color w:val="auto"/>
                <w:sz w:val="21"/>
                <w:szCs w:val="21"/>
                <w:highlight w:val="none"/>
              </w:rPr>
            </w:pPr>
            <w:r>
              <w:rPr>
                <w:rFonts w:hint="eastAsia" w:ascii="宋体" w:cs="宋体"/>
                <w:color w:val="auto"/>
                <w:sz w:val="21"/>
                <w:szCs w:val="21"/>
                <w:highlight w:val="none"/>
              </w:rPr>
              <w:t>参加过同类项目业绩</w:t>
            </w:r>
          </w:p>
        </w:tc>
        <w:tc>
          <w:tcPr>
            <w:tcW w:w="2520" w:type="dxa"/>
            <w:noWrap/>
            <w:vAlign w:val="center"/>
          </w:tcPr>
          <w:p>
            <w:pPr>
              <w:jc w:val="center"/>
              <w:rPr>
                <w:rFonts w:ascii="宋体" w:cs="宋体"/>
                <w:color w:val="auto"/>
                <w:sz w:val="21"/>
                <w:szCs w:val="21"/>
                <w:highlight w:val="none"/>
              </w:rPr>
            </w:pPr>
            <w:r>
              <w:rPr>
                <w:rFonts w:hint="eastAsia" w:ascii="宋体" w:cs="宋体"/>
                <w:color w:val="auto"/>
                <w:sz w:val="21"/>
                <w:szCs w:val="21"/>
                <w:highlight w:val="none"/>
              </w:rPr>
              <w:t>该项目中任职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995" w:type="dxa"/>
            <w:gridSpan w:val="2"/>
            <w:noWrap/>
            <w:vAlign w:val="center"/>
          </w:tcPr>
          <w:p>
            <w:pPr>
              <w:rPr>
                <w:rFonts w:ascii="宋体" w:cs="宋体"/>
                <w:color w:val="auto"/>
                <w:sz w:val="21"/>
                <w:szCs w:val="21"/>
                <w:highlight w:val="none"/>
              </w:rPr>
            </w:pPr>
          </w:p>
        </w:tc>
        <w:tc>
          <w:tcPr>
            <w:tcW w:w="3990" w:type="dxa"/>
            <w:gridSpan w:val="6"/>
            <w:noWrap/>
            <w:vAlign w:val="center"/>
          </w:tcPr>
          <w:p>
            <w:pPr>
              <w:keepNext/>
              <w:keepLines/>
              <w:autoSpaceDE w:val="0"/>
              <w:autoSpaceDN w:val="0"/>
              <w:adjustRightInd w:val="0"/>
              <w:spacing w:before="240" w:after="120" w:line="300" w:lineRule="auto"/>
              <w:jc w:val="center"/>
              <w:rPr>
                <w:rFonts w:ascii="宋体" w:cs="宋体"/>
                <w:color w:val="auto"/>
                <w:sz w:val="21"/>
                <w:szCs w:val="21"/>
                <w:highlight w:val="none"/>
              </w:rPr>
            </w:pPr>
          </w:p>
        </w:tc>
        <w:tc>
          <w:tcPr>
            <w:tcW w:w="2520" w:type="dxa"/>
            <w:noWrap/>
            <w:vAlign w:val="center"/>
          </w:tcPr>
          <w:p>
            <w:pPr>
              <w:keepNext/>
              <w:keepLines/>
              <w:autoSpaceDE w:val="0"/>
              <w:autoSpaceDN w:val="0"/>
              <w:adjustRightInd w:val="0"/>
              <w:spacing w:before="240" w:after="120" w:line="300" w:lineRule="auto"/>
              <w:jc w:val="center"/>
              <w:rPr>
                <w:rFonts w:asci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995" w:type="dxa"/>
            <w:gridSpan w:val="2"/>
            <w:noWrap/>
            <w:vAlign w:val="center"/>
          </w:tcPr>
          <w:p>
            <w:pPr>
              <w:rPr>
                <w:rFonts w:ascii="宋体" w:cs="宋体"/>
                <w:color w:val="auto"/>
                <w:sz w:val="21"/>
                <w:szCs w:val="21"/>
                <w:highlight w:val="none"/>
              </w:rPr>
            </w:pPr>
          </w:p>
        </w:tc>
        <w:tc>
          <w:tcPr>
            <w:tcW w:w="3990" w:type="dxa"/>
            <w:gridSpan w:val="6"/>
            <w:noWrap/>
            <w:vAlign w:val="center"/>
          </w:tcPr>
          <w:p>
            <w:pPr>
              <w:rPr>
                <w:rFonts w:ascii="宋体" w:cs="宋体"/>
                <w:color w:val="auto"/>
                <w:sz w:val="21"/>
                <w:szCs w:val="21"/>
                <w:highlight w:val="none"/>
              </w:rPr>
            </w:pPr>
          </w:p>
        </w:tc>
        <w:tc>
          <w:tcPr>
            <w:tcW w:w="2520" w:type="dxa"/>
            <w:noWrap/>
            <w:vAlign w:val="center"/>
          </w:tcPr>
          <w:p>
            <w:pPr>
              <w:rPr>
                <w:rFonts w:asci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995" w:type="dxa"/>
            <w:gridSpan w:val="2"/>
            <w:noWrap/>
            <w:vAlign w:val="center"/>
          </w:tcPr>
          <w:p>
            <w:pPr>
              <w:rPr>
                <w:rFonts w:ascii="宋体" w:cs="宋体"/>
                <w:color w:val="auto"/>
                <w:sz w:val="21"/>
                <w:szCs w:val="21"/>
                <w:highlight w:val="none"/>
              </w:rPr>
            </w:pPr>
          </w:p>
        </w:tc>
        <w:tc>
          <w:tcPr>
            <w:tcW w:w="3990" w:type="dxa"/>
            <w:gridSpan w:val="6"/>
            <w:noWrap/>
            <w:vAlign w:val="center"/>
          </w:tcPr>
          <w:p>
            <w:pPr>
              <w:rPr>
                <w:rFonts w:ascii="宋体" w:cs="宋体"/>
                <w:color w:val="auto"/>
                <w:sz w:val="21"/>
                <w:szCs w:val="21"/>
                <w:highlight w:val="none"/>
              </w:rPr>
            </w:pPr>
          </w:p>
        </w:tc>
        <w:tc>
          <w:tcPr>
            <w:tcW w:w="2520" w:type="dxa"/>
            <w:noWrap/>
            <w:vAlign w:val="center"/>
          </w:tcPr>
          <w:p>
            <w:pPr>
              <w:rPr>
                <w:rFonts w:asci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995" w:type="dxa"/>
            <w:gridSpan w:val="2"/>
            <w:noWrap/>
            <w:vAlign w:val="center"/>
          </w:tcPr>
          <w:p>
            <w:pPr>
              <w:rPr>
                <w:rFonts w:ascii="宋体" w:cs="宋体"/>
                <w:color w:val="auto"/>
                <w:sz w:val="21"/>
                <w:szCs w:val="21"/>
                <w:highlight w:val="none"/>
              </w:rPr>
            </w:pPr>
          </w:p>
        </w:tc>
        <w:tc>
          <w:tcPr>
            <w:tcW w:w="3990" w:type="dxa"/>
            <w:gridSpan w:val="6"/>
            <w:noWrap/>
            <w:vAlign w:val="center"/>
          </w:tcPr>
          <w:p>
            <w:pPr>
              <w:rPr>
                <w:rFonts w:ascii="宋体" w:cs="宋体"/>
                <w:color w:val="auto"/>
                <w:sz w:val="21"/>
                <w:szCs w:val="21"/>
                <w:highlight w:val="none"/>
              </w:rPr>
            </w:pPr>
          </w:p>
        </w:tc>
        <w:tc>
          <w:tcPr>
            <w:tcW w:w="2520" w:type="dxa"/>
            <w:noWrap/>
            <w:vAlign w:val="center"/>
          </w:tcPr>
          <w:p>
            <w:pPr>
              <w:rPr>
                <w:rFonts w:asci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995" w:type="dxa"/>
            <w:gridSpan w:val="2"/>
            <w:noWrap/>
            <w:vAlign w:val="center"/>
          </w:tcPr>
          <w:p>
            <w:pPr>
              <w:rPr>
                <w:rFonts w:ascii="宋体" w:cs="宋体"/>
                <w:color w:val="auto"/>
                <w:sz w:val="21"/>
                <w:szCs w:val="21"/>
                <w:highlight w:val="none"/>
              </w:rPr>
            </w:pPr>
          </w:p>
        </w:tc>
        <w:tc>
          <w:tcPr>
            <w:tcW w:w="3990" w:type="dxa"/>
            <w:gridSpan w:val="6"/>
            <w:noWrap/>
            <w:vAlign w:val="center"/>
          </w:tcPr>
          <w:p>
            <w:pPr>
              <w:rPr>
                <w:rFonts w:ascii="宋体" w:cs="宋体"/>
                <w:color w:val="auto"/>
                <w:sz w:val="21"/>
                <w:szCs w:val="21"/>
                <w:highlight w:val="none"/>
              </w:rPr>
            </w:pPr>
          </w:p>
        </w:tc>
        <w:tc>
          <w:tcPr>
            <w:tcW w:w="2520" w:type="dxa"/>
            <w:noWrap/>
            <w:vAlign w:val="center"/>
          </w:tcPr>
          <w:p>
            <w:pPr>
              <w:rPr>
                <w:rFonts w:asci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995" w:type="dxa"/>
            <w:gridSpan w:val="2"/>
            <w:noWrap/>
            <w:vAlign w:val="center"/>
          </w:tcPr>
          <w:p>
            <w:pPr>
              <w:rPr>
                <w:rFonts w:ascii="宋体" w:cs="宋体"/>
                <w:color w:val="auto"/>
                <w:sz w:val="21"/>
                <w:szCs w:val="21"/>
                <w:highlight w:val="none"/>
              </w:rPr>
            </w:pPr>
          </w:p>
        </w:tc>
        <w:tc>
          <w:tcPr>
            <w:tcW w:w="3990" w:type="dxa"/>
            <w:gridSpan w:val="6"/>
            <w:noWrap/>
            <w:vAlign w:val="center"/>
          </w:tcPr>
          <w:p>
            <w:pPr>
              <w:rPr>
                <w:rFonts w:ascii="宋体" w:cs="宋体"/>
                <w:color w:val="auto"/>
                <w:sz w:val="21"/>
                <w:szCs w:val="21"/>
                <w:highlight w:val="none"/>
              </w:rPr>
            </w:pPr>
          </w:p>
        </w:tc>
        <w:tc>
          <w:tcPr>
            <w:tcW w:w="2520" w:type="dxa"/>
            <w:noWrap/>
            <w:vAlign w:val="center"/>
          </w:tcPr>
          <w:p>
            <w:pPr>
              <w:rPr>
                <w:rFonts w:ascii="宋体" w:cs="宋体"/>
                <w:color w:val="auto"/>
                <w:sz w:val="21"/>
                <w:szCs w:val="21"/>
                <w:highlight w:val="none"/>
              </w:rPr>
            </w:pPr>
          </w:p>
        </w:tc>
      </w:tr>
    </w:tbl>
    <w:p>
      <w:pPr>
        <w:widowControl/>
        <w:ind w:firstLine="480" w:firstLineChars="200"/>
        <w:jc w:val="left"/>
        <w:rPr>
          <w:rFonts w:ascii="仿宋_GB2312" w:eastAsia="仿宋_GB2312"/>
          <w:color w:val="auto"/>
          <w:sz w:val="24"/>
          <w:highlight w:val="none"/>
        </w:rPr>
      </w:pPr>
    </w:p>
    <w:p>
      <w:pPr>
        <w:widowControl/>
        <w:ind w:firstLine="420" w:firstLineChars="200"/>
        <w:jc w:val="left"/>
        <w:rPr>
          <w:rFonts w:ascii="宋体" w:cs="宋体"/>
          <w:color w:val="auto"/>
          <w:sz w:val="21"/>
          <w:szCs w:val="21"/>
          <w:highlight w:val="none"/>
        </w:rPr>
      </w:pPr>
      <w:r>
        <w:rPr>
          <w:rFonts w:hint="eastAsia" w:ascii="宋体" w:cs="宋体"/>
          <w:color w:val="auto"/>
          <w:sz w:val="21"/>
          <w:szCs w:val="21"/>
          <w:highlight w:val="none"/>
        </w:rPr>
        <w:t>注：</w:t>
      </w:r>
    </w:p>
    <w:p>
      <w:pPr>
        <w:widowControl/>
        <w:ind w:firstLine="420" w:firstLineChars="200"/>
        <w:jc w:val="left"/>
        <w:rPr>
          <w:rFonts w:ascii="宋体" w:cs="宋体"/>
          <w:color w:val="auto"/>
          <w:sz w:val="21"/>
          <w:szCs w:val="21"/>
          <w:highlight w:val="none"/>
        </w:rPr>
      </w:pPr>
      <w:r>
        <w:rPr>
          <w:rFonts w:hint="eastAsia" w:ascii="宋体" w:cs="宋体"/>
          <w:color w:val="auto"/>
          <w:sz w:val="21"/>
          <w:szCs w:val="21"/>
          <w:highlight w:val="none"/>
        </w:rPr>
        <w:t>1.项目执行过程中，未经委托方允许，不得更换项目负责人。</w:t>
      </w:r>
    </w:p>
    <w:p>
      <w:pPr>
        <w:widowControl/>
        <w:ind w:firstLine="420" w:firstLineChars="200"/>
        <w:jc w:val="left"/>
        <w:rPr>
          <w:rFonts w:ascii="宋体" w:cs="宋体"/>
          <w:color w:val="auto"/>
          <w:sz w:val="21"/>
          <w:szCs w:val="21"/>
          <w:highlight w:val="none"/>
        </w:rPr>
      </w:pPr>
      <w:r>
        <w:rPr>
          <w:rFonts w:hint="eastAsia" w:ascii="宋体" w:cs="宋体"/>
          <w:color w:val="auto"/>
          <w:sz w:val="21"/>
          <w:szCs w:val="21"/>
          <w:highlight w:val="none"/>
        </w:rPr>
        <w:t>2.本表后应附学历证书、相关证书复印件。</w:t>
      </w:r>
    </w:p>
    <w:p>
      <w:pPr>
        <w:widowControl/>
        <w:ind w:firstLine="420" w:firstLineChars="200"/>
        <w:jc w:val="left"/>
        <w:rPr>
          <w:rFonts w:ascii="宋体" w:cs="宋体"/>
          <w:color w:val="auto"/>
          <w:sz w:val="21"/>
          <w:szCs w:val="21"/>
          <w:highlight w:val="none"/>
        </w:rPr>
      </w:pPr>
    </w:p>
    <w:p>
      <w:pPr>
        <w:rPr>
          <w:rFonts w:ascii="宋体" w:cs="宋体"/>
          <w:color w:val="auto"/>
          <w:kern w:val="0"/>
          <w:sz w:val="21"/>
          <w:szCs w:val="21"/>
          <w:highlight w:val="none"/>
        </w:rPr>
      </w:pPr>
    </w:p>
    <w:p>
      <w:pPr>
        <w:ind w:firstLine="5880" w:firstLineChars="2800"/>
        <w:rPr>
          <w:rFonts w:ascii="宋体" w:cs="宋体"/>
          <w:color w:val="auto"/>
          <w:sz w:val="21"/>
          <w:szCs w:val="21"/>
          <w:highlight w:val="none"/>
        </w:rPr>
      </w:pPr>
      <w:r>
        <w:rPr>
          <w:rFonts w:hint="eastAsia" w:ascii="宋体"/>
          <w:color w:val="auto"/>
          <w:sz w:val="21"/>
          <w:szCs w:val="21"/>
          <w:highlight w:val="none"/>
        </w:rPr>
        <w:t>投标人名称</w:t>
      </w:r>
      <w:r>
        <w:rPr>
          <w:rFonts w:hint="eastAsia" w:ascii="宋体" w:cs="宋体"/>
          <w:color w:val="auto"/>
          <w:kern w:val="0"/>
          <w:sz w:val="21"/>
          <w:szCs w:val="21"/>
          <w:highlight w:val="none"/>
        </w:rPr>
        <w:t>（盖章） ：</w:t>
      </w:r>
    </w:p>
    <w:p>
      <w:pPr>
        <w:rPr>
          <w:rFonts w:ascii="宋体" w:cs="宋体"/>
          <w:color w:val="auto"/>
          <w:sz w:val="21"/>
          <w:szCs w:val="21"/>
          <w:highlight w:val="none"/>
        </w:rPr>
      </w:pPr>
    </w:p>
    <w:p>
      <w:pPr>
        <w:ind w:firstLine="4200" w:firstLineChars="2000"/>
        <w:rPr>
          <w:rFonts w:ascii="宋体" w:cs="宋体"/>
          <w:color w:val="auto"/>
          <w:sz w:val="21"/>
          <w:szCs w:val="21"/>
          <w:highlight w:val="none"/>
        </w:rPr>
      </w:pPr>
      <w:r>
        <w:rPr>
          <w:rFonts w:hint="eastAsia" w:ascii="宋体" w:cs="宋体"/>
          <w:color w:val="auto"/>
          <w:sz w:val="21"/>
          <w:szCs w:val="21"/>
          <w:highlight w:val="none"/>
        </w:rPr>
        <w:t>法定代表人或委托代理人（签字</w:t>
      </w:r>
      <w:r>
        <w:rPr>
          <w:rFonts w:hint="eastAsia" w:ascii="宋体" w:cs="宋体"/>
          <w:color w:val="auto"/>
          <w:sz w:val="21"/>
          <w:szCs w:val="21"/>
          <w:highlight w:val="none"/>
          <w:lang w:val="en-US" w:eastAsia="zh-CN"/>
        </w:rPr>
        <w:t>或盖章</w:t>
      </w:r>
      <w:r>
        <w:rPr>
          <w:rFonts w:hint="eastAsia" w:ascii="宋体" w:cs="宋体"/>
          <w:color w:val="auto"/>
          <w:sz w:val="21"/>
          <w:szCs w:val="21"/>
          <w:highlight w:val="none"/>
        </w:rPr>
        <w:t>）：</w:t>
      </w:r>
    </w:p>
    <w:p>
      <w:pPr>
        <w:rPr>
          <w:rFonts w:ascii="宋体" w:cs="宋体"/>
          <w:color w:val="auto"/>
          <w:kern w:val="0"/>
          <w:sz w:val="21"/>
          <w:szCs w:val="21"/>
          <w:highlight w:val="none"/>
        </w:rPr>
      </w:pPr>
    </w:p>
    <w:p>
      <w:pPr>
        <w:spacing w:line="360" w:lineRule="auto"/>
        <w:ind w:firstLine="6930" w:firstLineChars="3300"/>
        <w:rPr>
          <w:rFonts w:ascii="宋体" w:cs="宋体"/>
          <w:b/>
          <w:bCs/>
          <w:color w:val="auto"/>
          <w:kern w:val="0"/>
          <w:sz w:val="21"/>
          <w:szCs w:val="21"/>
          <w:highlight w:val="none"/>
        </w:rPr>
      </w:pPr>
      <w:r>
        <w:rPr>
          <w:rFonts w:hint="eastAsia" w:ascii="宋体" w:cs="宋体"/>
          <w:color w:val="auto"/>
          <w:sz w:val="21"/>
          <w:szCs w:val="21"/>
          <w:highlight w:val="none"/>
        </w:rPr>
        <w:t>日期：    年  月   日</w:t>
      </w:r>
    </w:p>
    <w:p>
      <w:pPr>
        <w:pStyle w:val="36"/>
        <w:widowControl w:val="0"/>
        <w:spacing w:before="156" w:beforeAutospacing="0" w:after="156" w:afterAutospacing="0" w:line="400" w:lineRule="atLeast"/>
        <w:ind w:firstLine="3373" w:firstLineChars="1200"/>
        <w:jc w:val="both"/>
        <w:rPr>
          <w:rFonts w:cs="宋体"/>
          <w:b/>
          <w:color w:val="auto"/>
          <w:kern w:val="2"/>
          <w:sz w:val="28"/>
          <w:szCs w:val="28"/>
          <w:highlight w:val="none"/>
        </w:rPr>
      </w:pPr>
    </w:p>
    <w:p>
      <w:pPr>
        <w:pStyle w:val="36"/>
        <w:widowControl w:val="0"/>
        <w:spacing w:before="156" w:beforeAutospacing="0" w:after="156" w:afterAutospacing="0" w:line="400" w:lineRule="atLeast"/>
        <w:ind w:firstLine="3373" w:firstLineChars="1200"/>
        <w:jc w:val="both"/>
        <w:rPr>
          <w:rFonts w:cs="宋体"/>
          <w:b/>
          <w:color w:val="auto"/>
          <w:kern w:val="2"/>
          <w:sz w:val="28"/>
          <w:szCs w:val="28"/>
          <w:highlight w:val="none"/>
        </w:rPr>
      </w:pPr>
    </w:p>
    <w:p>
      <w:pPr>
        <w:pStyle w:val="36"/>
        <w:widowControl w:val="0"/>
        <w:spacing w:before="156" w:beforeAutospacing="0" w:after="156" w:afterAutospacing="0" w:line="400" w:lineRule="atLeast"/>
        <w:ind w:firstLine="3373" w:firstLineChars="1200"/>
        <w:jc w:val="both"/>
        <w:rPr>
          <w:rFonts w:cs="宋体"/>
          <w:b/>
          <w:color w:val="auto"/>
          <w:kern w:val="2"/>
          <w:sz w:val="28"/>
          <w:szCs w:val="28"/>
          <w:highlight w:val="none"/>
        </w:rPr>
      </w:pPr>
    </w:p>
    <w:p>
      <w:pPr>
        <w:pStyle w:val="36"/>
        <w:widowControl w:val="0"/>
        <w:spacing w:before="156" w:beforeAutospacing="0" w:after="156" w:afterAutospacing="0" w:line="400" w:lineRule="atLeast"/>
        <w:ind w:firstLine="3373" w:firstLineChars="1200"/>
        <w:jc w:val="both"/>
        <w:rPr>
          <w:rFonts w:cs="宋体"/>
          <w:b/>
          <w:color w:val="auto"/>
          <w:kern w:val="2"/>
          <w:sz w:val="28"/>
          <w:szCs w:val="28"/>
          <w:highlight w:val="none"/>
        </w:rPr>
      </w:pPr>
      <w:r>
        <w:rPr>
          <w:rFonts w:hint="eastAsia" w:cs="宋体"/>
          <w:b/>
          <w:color w:val="auto"/>
          <w:kern w:val="2"/>
          <w:sz w:val="28"/>
          <w:szCs w:val="28"/>
          <w:highlight w:val="none"/>
        </w:rPr>
        <w:t>商务技术标自评分表</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3"/>
        <w:gridCol w:w="894"/>
        <w:gridCol w:w="599"/>
        <w:gridCol w:w="6985"/>
        <w:gridCol w:w="585"/>
        <w:gridCol w:w="1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423" w:type="dxa"/>
            <w:noWrap/>
            <w:vAlign w:val="center"/>
          </w:tcPr>
          <w:p>
            <w:pPr>
              <w:snapToGrid w:val="0"/>
              <w:spacing w:line="400" w:lineRule="exact"/>
              <w:jc w:val="center"/>
              <w:rPr>
                <w:rFonts w:ascii="宋体" w:cs="宋体"/>
                <w:color w:val="auto"/>
                <w:sz w:val="21"/>
                <w:szCs w:val="21"/>
                <w:highlight w:val="none"/>
              </w:rPr>
            </w:pPr>
            <w:r>
              <w:rPr>
                <w:rFonts w:hint="eastAsia" w:ascii="宋体" w:cs="宋体"/>
                <w:color w:val="auto"/>
                <w:sz w:val="21"/>
                <w:szCs w:val="21"/>
                <w:highlight w:val="none"/>
              </w:rPr>
              <w:t>序号</w:t>
            </w:r>
          </w:p>
        </w:tc>
        <w:tc>
          <w:tcPr>
            <w:tcW w:w="894" w:type="dxa"/>
            <w:noWrap/>
            <w:vAlign w:val="center"/>
          </w:tcPr>
          <w:p>
            <w:pPr>
              <w:snapToGrid w:val="0"/>
              <w:spacing w:line="400" w:lineRule="exact"/>
              <w:jc w:val="center"/>
              <w:rPr>
                <w:rFonts w:ascii="宋体" w:cs="宋体"/>
                <w:color w:val="auto"/>
                <w:sz w:val="21"/>
                <w:szCs w:val="21"/>
                <w:highlight w:val="none"/>
              </w:rPr>
            </w:pPr>
            <w:r>
              <w:rPr>
                <w:rFonts w:hint="eastAsia" w:ascii="宋体" w:cs="宋体"/>
                <w:color w:val="auto"/>
                <w:sz w:val="21"/>
                <w:szCs w:val="21"/>
                <w:highlight w:val="none"/>
              </w:rPr>
              <w:t>评分项目</w:t>
            </w:r>
          </w:p>
        </w:tc>
        <w:tc>
          <w:tcPr>
            <w:tcW w:w="599" w:type="dxa"/>
            <w:noWrap/>
            <w:vAlign w:val="center"/>
          </w:tcPr>
          <w:p>
            <w:pPr>
              <w:snapToGrid w:val="0"/>
              <w:spacing w:line="400" w:lineRule="exact"/>
              <w:jc w:val="center"/>
              <w:rPr>
                <w:rFonts w:ascii="宋体" w:cs="宋体"/>
                <w:color w:val="auto"/>
                <w:sz w:val="21"/>
                <w:szCs w:val="21"/>
                <w:highlight w:val="none"/>
              </w:rPr>
            </w:pPr>
            <w:r>
              <w:rPr>
                <w:rFonts w:hint="eastAsia" w:ascii="宋体" w:cs="宋体"/>
                <w:color w:val="auto"/>
                <w:sz w:val="21"/>
                <w:szCs w:val="21"/>
                <w:highlight w:val="none"/>
              </w:rPr>
              <w:t>分值</w:t>
            </w:r>
          </w:p>
        </w:tc>
        <w:tc>
          <w:tcPr>
            <w:tcW w:w="6985" w:type="dxa"/>
            <w:noWrap/>
            <w:vAlign w:val="center"/>
          </w:tcPr>
          <w:p>
            <w:pPr>
              <w:snapToGrid w:val="0"/>
              <w:spacing w:line="400" w:lineRule="exact"/>
              <w:jc w:val="center"/>
              <w:rPr>
                <w:rFonts w:ascii="宋体" w:cs="宋体"/>
                <w:color w:val="auto"/>
                <w:sz w:val="21"/>
                <w:szCs w:val="21"/>
                <w:highlight w:val="none"/>
              </w:rPr>
            </w:pPr>
            <w:r>
              <w:rPr>
                <w:rFonts w:hint="eastAsia" w:ascii="宋体" w:cs="宋体"/>
                <w:color w:val="auto"/>
                <w:sz w:val="21"/>
                <w:szCs w:val="21"/>
                <w:highlight w:val="none"/>
              </w:rPr>
              <w:t>评审细则</w:t>
            </w:r>
          </w:p>
        </w:tc>
        <w:tc>
          <w:tcPr>
            <w:tcW w:w="585" w:type="dxa"/>
            <w:noWrap/>
            <w:vAlign w:val="center"/>
          </w:tcPr>
          <w:p>
            <w:pPr>
              <w:snapToGrid w:val="0"/>
              <w:spacing w:line="400" w:lineRule="exact"/>
              <w:jc w:val="center"/>
              <w:rPr>
                <w:rFonts w:ascii="宋体" w:cs="宋体"/>
                <w:color w:val="auto"/>
                <w:sz w:val="21"/>
                <w:szCs w:val="21"/>
                <w:highlight w:val="none"/>
              </w:rPr>
            </w:pPr>
            <w:r>
              <w:rPr>
                <w:rFonts w:hint="eastAsia" w:ascii="宋体" w:cs="宋体"/>
                <w:color w:val="auto"/>
                <w:sz w:val="21"/>
                <w:szCs w:val="21"/>
                <w:highlight w:val="none"/>
              </w:rPr>
              <w:t>自评分</w:t>
            </w:r>
          </w:p>
        </w:tc>
        <w:tc>
          <w:tcPr>
            <w:tcW w:w="1168" w:type="dxa"/>
            <w:noWrap/>
            <w:vAlign w:val="center"/>
          </w:tcPr>
          <w:p>
            <w:pPr>
              <w:snapToGrid w:val="0"/>
              <w:spacing w:line="400" w:lineRule="exact"/>
              <w:jc w:val="center"/>
              <w:rPr>
                <w:rFonts w:ascii="宋体" w:cs="宋体"/>
                <w:color w:val="auto"/>
                <w:sz w:val="21"/>
                <w:szCs w:val="21"/>
                <w:highlight w:val="none"/>
              </w:rPr>
            </w:pPr>
            <w:r>
              <w:rPr>
                <w:rFonts w:hint="eastAsia" w:ascii="宋体" w:cs="宋体"/>
                <w:color w:val="auto"/>
                <w:sz w:val="21"/>
                <w:szCs w:val="21"/>
                <w:highlight w:val="none"/>
              </w:rPr>
              <w:t>在投标文件中所在位置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423" w:type="dxa"/>
            <w:noWrap/>
            <w:vAlign w:val="center"/>
          </w:tcPr>
          <w:p>
            <w:pPr>
              <w:snapToGrid w:val="0"/>
              <w:spacing w:line="400" w:lineRule="exact"/>
              <w:jc w:val="center"/>
              <w:rPr>
                <w:rFonts w:ascii="宋体" w:cs="宋体"/>
                <w:color w:val="auto"/>
                <w:sz w:val="21"/>
                <w:szCs w:val="21"/>
                <w:highlight w:val="none"/>
              </w:rPr>
            </w:pPr>
          </w:p>
        </w:tc>
        <w:tc>
          <w:tcPr>
            <w:tcW w:w="894" w:type="dxa"/>
            <w:noWrap/>
            <w:vAlign w:val="center"/>
          </w:tcPr>
          <w:p>
            <w:pPr>
              <w:snapToGrid w:val="0"/>
              <w:spacing w:line="400" w:lineRule="exact"/>
              <w:jc w:val="center"/>
              <w:rPr>
                <w:rFonts w:ascii="宋体" w:cs="宋体"/>
                <w:color w:val="auto"/>
                <w:sz w:val="21"/>
                <w:szCs w:val="21"/>
                <w:highlight w:val="none"/>
              </w:rPr>
            </w:pPr>
          </w:p>
        </w:tc>
        <w:tc>
          <w:tcPr>
            <w:tcW w:w="599" w:type="dxa"/>
            <w:noWrap/>
            <w:vAlign w:val="center"/>
          </w:tcPr>
          <w:p>
            <w:pPr>
              <w:snapToGrid w:val="0"/>
              <w:spacing w:line="400" w:lineRule="exact"/>
              <w:jc w:val="center"/>
              <w:rPr>
                <w:rFonts w:ascii="宋体" w:cs="宋体"/>
                <w:color w:val="auto"/>
                <w:sz w:val="21"/>
                <w:szCs w:val="21"/>
                <w:highlight w:val="none"/>
              </w:rPr>
            </w:pPr>
          </w:p>
        </w:tc>
        <w:tc>
          <w:tcPr>
            <w:tcW w:w="6985" w:type="dxa"/>
            <w:noWrap/>
            <w:vAlign w:val="center"/>
          </w:tcPr>
          <w:p>
            <w:pPr>
              <w:snapToGrid w:val="0"/>
              <w:spacing w:line="400" w:lineRule="exact"/>
              <w:jc w:val="center"/>
              <w:rPr>
                <w:rFonts w:ascii="宋体" w:cs="宋体"/>
                <w:color w:val="auto"/>
                <w:sz w:val="21"/>
                <w:szCs w:val="21"/>
                <w:highlight w:val="none"/>
              </w:rPr>
            </w:pPr>
          </w:p>
        </w:tc>
        <w:tc>
          <w:tcPr>
            <w:tcW w:w="585" w:type="dxa"/>
            <w:noWrap/>
            <w:vAlign w:val="center"/>
          </w:tcPr>
          <w:p>
            <w:pPr>
              <w:snapToGrid w:val="0"/>
              <w:spacing w:line="400" w:lineRule="exact"/>
              <w:jc w:val="center"/>
              <w:rPr>
                <w:rFonts w:ascii="宋体" w:cs="宋体"/>
                <w:color w:val="auto"/>
                <w:sz w:val="21"/>
                <w:szCs w:val="21"/>
                <w:highlight w:val="none"/>
              </w:rPr>
            </w:pPr>
          </w:p>
        </w:tc>
        <w:tc>
          <w:tcPr>
            <w:tcW w:w="1168" w:type="dxa"/>
            <w:noWrap/>
            <w:vAlign w:val="center"/>
          </w:tcPr>
          <w:p>
            <w:pPr>
              <w:snapToGrid w:val="0"/>
              <w:spacing w:line="400" w:lineRule="exact"/>
              <w:jc w:val="center"/>
              <w:rPr>
                <w:rFonts w:asci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423" w:type="dxa"/>
            <w:noWrap/>
            <w:vAlign w:val="center"/>
          </w:tcPr>
          <w:p>
            <w:pPr>
              <w:snapToGrid w:val="0"/>
              <w:spacing w:line="400" w:lineRule="exact"/>
              <w:jc w:val="center"/>
              <w:rPr>
                <w:rFonts w:ascii="宋体" w:cs="宋体"/>
                <w:color w:val="auto"/>
                <w:sz w:val="21"/>
                <w:szCs w:val="21"/>
                <w:highlight w:val="none"/>
              </w:rPr>
            </w:pPr>
          </w:p>
        </w:tc>
        <w:tc>
          <w:tcPr>
            <w:tcW w:w="894" w:type="dxa"/>
            <w:noWrap/>
            <w:vAlign w:val="center"/>
          </w:tcPr>
          <w:p>
            <w:pPr>
              <w:snapToGrid w:val="0"/>
              <w:spacing w:line="400" w:lineRule="exact"/>
              <w:jc w:val="center"/>
              <w:rPr>
                <w:rFonts w:ascii="宋体" w:cs="宋体"/>
                <w:color w:val="auto"/>
                <w:sz w:val="21"/>
                <w:szCs w:val="21"/>
                <w:highlight w:val="none"/>
              </w:rPr>
            </w:pPr>
          </w:p>
        </w:tc>
        <w:tc>
          <w:tcPr>
            <w:tcW w:w="599" w:type="dxa"/>
            <w:noWrap/>
            <w:vAlign w:val="center"/>
          </w:tcPr>
          <w:p>
            <w:pPr>
              <w:snapToGrid w:val="0"/>
              <w:spacing w:line="400" w:lineRule="exact"/>
              <w:jc w:val="center"/>
              <w:rPr>
                <w:rFonts w:ascii="宋体" w:cs="宋体"/>
                <w:color w:val="auto"/>
                <w:sz w:val="21"/>
                <w:szCs w:val="21"/>
                <w:highlight w:val="none"/>
              </w:rPr>
            </w:pPr>
          </w:p>
        </w:tc>
        <w:tc>
          <w:tcPr>
            <w:tcW w:w="6985" w:type="dxa"/>
            <w:noWrap/>
            <w:vAlign w:val="center"/>
          </w:tcPr>
          <w:p>
            <w:pPr>
              <w:snapToGrid w:val="0"/>
              <w:spacing w:line="400" w:lineRule="exact"/>
              <w:jc w:val="center"/>
              <w:rPr>
                <w:rFonts w:ascii="宋体" w:cs="宋体"/>
                <w:color w:val="auto"/>
                <w:sz w:val="21"/>
                <w:szCs w:val="21"/>
                <w:highlight w:val="none"/>
              </w:rPr>
            </w:pPr>
          </w:p>
        </w:tc>
        <w:tc>
          <w:tcPr>
            <w:tcW w:w="585" w:type="dxa"/>
            <w:noWrap/>
            <w:vAlign w:val="center"/>
          </w:tcPr>
          <w:p>
            <w:pPr>
              <w:snapToGrid w:val="0"/>
              <w:spacing w:line="400" w:lineRule="exact"/>
              <w:jc w:val="center"/>
              <w:rPr>
                <w:rFonts w:ascii="宋体" w:cs="宋体"/>
                <w:color w:val="auto"/>
                <w:sz w:val="21"/>
                <w:szCs w:val="21"/>
                <w:highlight w:val="none"/>
              </w:rPr>
            </w:pPr>
          </w:p>
        </w:tc>
        <w:tc>
          <w:tcPr>
            <w:tcW w:w="1168" w:type="dxa"/>
            <w:noWrap/>
            <w:vAlign w:val="center"/>
          </w:tcPr>
          <w:p>
            <w:pPr>
              <w:snapToGrid w:val="0"/>
              <w:spacing w:line="400" w:lineRule="exact"/>
              <w:jc w:val="center"/>
              <w:rPr>
                <w:rFonts w:asci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423" w:type="dxa"/>
            <w:noWrap/>
            <w:vAlign w:val="center"/>
          </w:tcPr>
          <w:p>
            <w:pPr>
              <w:snapToGrid w:val="0"/>
              <w:spacing w:line="400" w:lineRule="exact"/>
              <w:jc w:val="center"/>
              <w:rPr>
                <w:rFonts w:ascii="宋体" w:cs="宋体"/>
                <w:color w:val="auto"/>
                <w:sz w:val="21"/>
                <w:szCs w:val="21"/>
                <w:highlight w:val="none"/>
              </w:rPr>
            </w:pPr>
          </w:p>
        </w:tc>
        <w:tc>
          <w:tcPr>
            <w:tcW w:w="894" w:type="dxa"/>
            <w:noWrap/>
            <w:vAlign w:val="center"/>
          </w:tcPr>
          <w:p>
            <w:pPr>
              <w:snapToGrid w:val="0"/>
              <w:spacing w:line="400" w:lineRule="exact"/>
              <w:jc w:val="center"/>
              <w:rPr>
                <w:rFonts w:ascii="宋体" w:cs="宋体"/>
                <w:color w:val="auto"/>
                <w:sz w:val="21"/>
                <w:szCs w:val="21"/>
                <w:highlight w:val="none"/>
              </w:rPr>
            </w:pPr>
          </w:p>
        </w:tc>
        <w:tc>
          <w:tcPr>
            <w:tcW w:w="599" w:type="dxa"/>
            <w:noWrap/>
            <w:vAlign w:val="center"/>
          </w:tcPr>
          <w:p>
            <w:pPr>
              <w:snapToGrid w:val="0"/>
              <w:spacing w:line="400" w:lineRule="exact"/>
              <w:jc w:val="center"/>
              <w:rPr>
                <w:rFonts w:ascii="宋体" w:cs="宋体"/>
                <w:color w:val="auto"/>
                <w:sz w:val="21"/>
                <w:szCs w:val="21"/>
                <w:highlight w:val="none"/>
              </w:rPr>
            </w:pPr>
          </w:p>
        </w:tc>
        <w:tc>
          <w:tcPr>
            <w:tcW w:w="6985" w:type="dxa"/>
            <w:noWrap/>
            <w:vAlign w:val="center"/>
          </w:tcPr>
          <w:p>
            <w:pPr>
              <w:snapToGrid w:val="0"/>
              <w:spacing w:line="400" w:lineRule="exact"/>
              <w:jc w:val="center"/>
              <w:rPr>
                <w:rFonts w:ascii="宋体" w:cs="宋体"/>
                <w:color w:val="auto"/>
                <w:sz w:val="21"/>
                <w:szCs w:val="21"/>
                <w:highlight w:val="none"/>
              </w:rPr>
            </w:pPr>
          </w:p>
        </w:tc>
        <w:tc>
          <w:tcPr>
            <w:tcW w:w="585" w:type="dxa"/>
            <w:noWrap/>
            <w:vAlign w:val="center"/>
          </w:tcPr>
          <w:p>
            <w:pPr>
              <w:snapToGrid w:val="0"/>
              <w:spacing w:line="400" w:lineRule="exact"/>
              <w:jc w:val="center"/>
              <w:rPr>
                <w:rFonts w:ascii="宋体" w:cs="宋体"/>
                <w:color w:val="auto"/>
                <w:sz w:val="21"/>
                <w:szCs w:val="21"/>
                <w:highlight w:val="none"/>
              </w:rPr>
            </w:pPr>
          </w:p>
        </w:tc>
        <w:tc>
          <w:tcPr>
            <w:tcW w:w="1168" w:type="dxa"/>
            <w:noWrap/>
            <w:vAlign w:val="center"/>
          </w:tcPr>
          <w:p>
            <w:pPr>
              <w:snapToGrid w:val="0"/>
              <w:spacing w:line="400" w:lineRule="exact"/>
              <w:jc w:val="center"/>
              <w:rPr>
                <w:rFonts w:asci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423" w:type="dxa"/>
            <w:noWrap/>
            <w:vAlign w:val="center"/>
          </w:tcPr>
          <w:p>
            <w:pPr>
              <w:snapToGrid w:val="0"/>
              <w:spacing w:line="400" w:lineRule="exact"/>
              <w:jc w:val="center"/>
              <w:rPr>
                <w:rFonts w:ascii="宋体" w:cs="宋体"/>
                <w:color w:val="auto"/>
                <w:sz w:val="21"/>
                <w:szCs w:val="21"/>
                <w:highlight w:val="none"/>
              </w:rPr>
            </w:pPr>
          </w:p>
        </w:tc>
        <w:tc>
          <w:tcPr>
            <w:tcW w:w="894" w:type="dxa"/>
            <w:noWrap/>
            <w:vAlign w:val="center"/>
          </w:tcPr>
          <w:p>
            <w:pPr>
              <w:snapToGrid w:val="0"/>
              <w:spacing w:line="400" w:lineRule="exact"/>
              <w:jc w:val="center"/>
              <w:rPr>
                <w:rFonts w:ascii="宋体" w:cs="宋体"/>
                <w:color w:val="auto"/>
                <w:sz w:val="21"/>
                <w:szCs w:val="21"/>
                <w:highlight w:val="none"/>
              </w:rPr>
            </w:pPr>
          </w:p>
        </w:tc>
        <w:tc>
          <w:tcPr>
            <w:tcW w:w="599" w:type="dxa"/>
            <w:noWrap/>
            <w:vAlign w:val="center"/>
          </w:tcPr>
          <w:p>
            <w:pPr>
              <w:snapToGrid w:val="0"/>
              <w:spacing w:line="400" w:lineRule="exact"/>
              <w:jc w:val="center"/>
              <w:rPr>
                <w:rFonts w:ascii="宋体" w:cs="宋体"/>
                <w:color w:val="auto"/>
                <w:sz w:val="21"/>
                <w:szCs w:val="21"/>
                <w:highlight w:val="none"/>
              </w:rPr>
            </w:pPr>
          </w:p>
        </w:tc>
        <w:tc>
          <w:tcPr>
            <w:tcW w:w="6985" w:type="dxa"/>
            <w:noWrap/>
            <w:vAlign w:val="center"/>
          </w:tcPr>
          <w:p>
            <w:pPr>
              <w:snapToGrid w:val="0"/>
              <w:spacing w:line="400" w:lineRule="exact"/>
              <w:jc w:val="center"/>
              <w:rPr>
                <w:rFonts w:ascii="宋体" w:cs="宋体"/>
                <w:color w:val="auto"/>
                <w:sz w:val="21"/>
                <w:szCs w:val="21"/>
                <w:highlight w:val="none"/>
              </w:rPr>
            </w:pPr>
          </w:p>
        </w:tc>
        <w:tc>
          <w:tcPr>
            <w:tcW w:w="585" w:type="dxa"/>
            <w:noWrap/>
            <w:vAlign w:val="center"/>
          </w:tcPr>
          <w:p>
            <w:pPr>
              <w:snapToGrid w:val="0"/>
              <w:spacing w:line="400" w:lineRule="exact"/>
              <w:jc w:val="center"/>
              <w:rPr>
                <w:rFonts w:ascii="宋体" w:cs="宋体"/>
                <w:color w:val="auto"/>
                <w:sz w:val="21"/>
                <w:szCs w:val="21"/>
                <w:highlight w:val="none"/>
              </w:rPr>
            </w:pPr>
          </w:p>
        </w:tc>
        <w:tc>
          <w:tcPr>
            <w:tcW w:w="1168" w:type="dxa"/>
            <w:noWrap/>
            <w:vAlign w:val="center"/>
          </w:tcPr>
          <w:p>
            <w:pPr>
              <w:snapToGrid w:val="0"/>
              <w:spacing w:line="400" w:lineRule="exact"/>
              <w:jc w:val="center"/>
              <w:rPr>
                <w:rFonts w:asci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423" w:type="dxa"/>
            <w:noWrap/>
            <w:vAlign w:val="center"/>
          </w:tcPr>
          <w:p>
            <w:pPr>
              <w:snapToGrid w:val="0"/>
              <w:spacing w:line="400" w:lineRule="exact"/>
              <w:jc w:val="center"/>
              <w:rPr>
                <w:rFonts w:ascii="宋体" w:cs="宋体"/>
                <w:color w:val="auto"/>
                <w:sz w:val="21"/>
                <w:szCs w:val="21"/>
                <w:highlight w:val="none"/>
              </w:rPr>
            </w:pPr>
          </w:p>
        </w:tc>
        <w:tc>
          <w:tcPr>
            <w:tcW w:w="894" w:type="dxa"/>
            <w:noWrap/>
            <w:vAlign w:val="center"/>
          </w:tcPr>
          <w:p>
            <w:pPr>
              <w:snapToGrid w:val="0"/>
              <w:spacing w:line="400" w:lineRule="exact"/>
              <w:jc w:val="center"/>
              <w:rPr>
                <w:rFonts w:ascii="宋体" w:cs="宋体"/>
                <w:color w:val="auto"/>
                <w:sz w:val="21"/>
                <w:szCs w:val="21"/>
                <w:highlight w:val="none"/>
              </w:rPr>
            </w:pPr>
          </w:p>
        </w:tc>
        <w:tc>
          <w:tcPr>
            <w:tcW w:w="599" w:type="dxa"/>
            <w:noWrap/>
            <w:vAlign w:val="center"/>
          </w:tcPr>
          <w:p>
            <w:pPr>
              <w:snapToGrid w:val="0"/>
              <w:spacing w:line="400" w:lineRule="exact"/>
              <w:jc w:val="center"/>
              <w:rPr>
                <w:rFonts w:ascii="宋体" w:cs="宋体"/>
                <w:color w:val="auto"/>
                <w:sz w:val="21"/>
                <w:szCs w:val="21"/>
                <w:highlight w:val="none"/>
              </w:rPr>
            </w:pPr>
          </w:p>
        </w:tc>
        <w:tc>
          <w:tcPr>
            <w:tcW w:w="6985" w:type="dxa"/>
            <w:noWrap/>
            <w:vAlign w:val="center"/>
          </w:tcPr>
          <w:p>
            <w:pPr>
              <w:snapToGrid w:val="0"/>
              <w:spacing w:line="400" w:lineRule="exact"/>
              <w:jc w:val="center"/>
              <w:rPr>
                <w:rFonts w:ascii="宋体" w:cs="宋体"/>
                <w:color w:val="auto"/>
                <w:sz w:val="21"/>
                <w:szCs w:val="21"/>
                <w:highlight w:val="none"/>
              </w:rPr>
            </w:pPr>
          </w:p>
        </w:tc>
        <w:tc>
          <w:tcPr>
            <w:tcW w:w="585" w:type="dxa"/>
            <w:noWrap/>
            <w:vAlign w:val="center"/>
          </w:tcPr>
          <w:p>
            <w:pPr>
              <w:snapToGrid w:val="0"/>
              <w:spacing w:line="400" w:lineRule="exact"/>
              <w:jc w:val="center"/>
              <w:rPr>
                <w:rFonts w:ascii="宋体" w:cs="宋体"/>
                <w:color w:val="auto"/>
                <w:sz w:val="21"/>
                <w:szCs w:val="21"/>
                <w:highlight w:val="none"/>
              </w:rPr>
            </w:pPr>
          </w:p>
        </w:tc>
        <w:tc>
          <w:tcPr>
            <w:tcW w:w="1168" w:type="dxa"/>
            <w:noWrap/>
            <w:vAlign w:val="center"/>
          </w:tcPr>
          <w:p>
            <w:pPr>
              <w:snapToGrid w:val="0"/>
              <w:spacing w:line="400" w:lineRule="exact"/>
              <w:jc w:val="center"/>
              <w:rPr>
                <w:rFonts w:asci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423" w:type="dxa"/>
            <w:noWrap/>
            <w:vAlign w:val="center"/>
          </w:tcPr>
          <w:p>
            <w:pPr>
              <w:snapToGrid w:val="0"/>
              <w:spacing w:line="400" w:lineRule="exact"/>
              <w:jc w:val="center"/>
              <w:rPr>
                <w:rFonts w:ascii="宋体" w:cs="宋体"/>
                <w:color w:val="auto"/>
                <w:sz w:val="21"/>
                <w:szCs w:val="21"/>
                <w:highlight w:val="none"/>
              </w:rPr>
            </w:pPr>
          </w:p>
        </w:tc>
        <w:tc>
          <w:tcPr>
            <w:tcW w:w="894" w:type="dxa"/>
            <w:noWrap/>
            <w:vAlign w:val="center"/>
          </w:tcPr>
          <w:p>
            <w:pPr>
              <w:snapToGrid w:val="0"/>
              <w:spacing w:line="400" w:lineRule="exact"/>
              <w:jc w:val="center"/>
              <w:rPr>
                <w:rFonts w:ascii="宋体" w:cs="宋体"/>
                <w:color w:val="auto"/>
                <w:sz w:val="21"/>
                <w:szCs w:val="21"/>
                <w:highlight w:val="none"/>
              </w:rPr>
            </w:pPr>
          </w:p>
        </w:tc>
        <w:tc>
          <w:tcPr>
            <w:tcW w:w="599" w:type="dxa"/>
            <w:noWrap/>
            <w:vAlign w:val="center"/>
          </w:tcPr>
          <w:p>
            <w:pPr>
              <w:snapToGrid w:val="0"/>
              <w:spacing w:line="400" w:lineRule="exact"/>
              <w:jc w:val="center"/>
              <w:rPr>
                <w:rFonts w:ascii="宋体" w:cs="宋体"/>
                <w:color w:val="auto"/>
                <w:sz w:val="21"/>
                <w:szCs w:val="21"/>
                <w:highlight w:val="none"/>
              </w:rPr>
            </w:pPr>
          </w:p>
        </w:tc>
        <w:tc>
          <w:tcPr>
            <w:tcW w:w="6985" w:type="dxa"/>
            <w:noWrap/>
            <w:vAlign w:val="center"/>
          </w:tcPr>
          <w:p>
            <w:pPr>
              <w:snapToGrid w:val="0"/>
              <w:spacing w:line="400" w:lineRule="exact"/>
              <w:jc w:val="center"/>
              <w:rPr>
                <w:rFonts w:ascii="宋体" w:cs="宋体"/>
                <w:color w:val="auto"/>
                <w:sz w:val="21"/>
                <w:szCs w:val="21"/>
                <w:highlight w:val="none"/>
              </w:rPr>
            </w:pPr>
          </w:p>
        </w:tc>
        <w:tc>
          <w:tcPr>
            <w:tcW w:w="585" w:type="dxa"/>
            <w:noWrap/>
            <w:vAlign w:val="center"/>
          </w:tcPr>
          <w:p>
            <w:pPr>
              <w:snapToGrid w:val="0"/>
              <w:spacing w:line="400" w:lineRule="exact"/>
              <w:jc w:val="center"/>
              <w:rPr>
                <w:rFonts w:ascii="宋体" w:cs="宋体"/>
                <w:color w:val="auto"/>
                <w:sz w:val="21"/>
                <w:szCs w:val="21"/>
                <w:highlight w:val="none"/>
              </w:rPr>
            </w:pPr>
          </w:p>
        </w:tc>
        <w:tc>
          <w:tcPr>
            <w:tcW w:w="1168" w:type="dxa"/>
            <w:noWrap/>
            <w:vAlign w:val="center"/>
          </w:tcPr>
          <w:p>
            <w:pPr>
              <w:snapToGrid w:val="0"/>
              <w:spacing w:line="400" w:lineRule="exact"/>
              <w:jc w:val="center"/>
              <w:rPr>
                <w:rFonts w:asci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423" w:type="dxa"/>
            <w:noWrap/>
            <w:vAlign w:val="center"/>
          </w:tcPr>
          <w:p>
            <w:pPr>
              <w:snapToGrid w:val="0"/>
              <w:spacing w:line="400" w:lineRule="exact"/>
              <w:jc w:val="center"/>
              <w:rPr>
                <w:rFonts w:ascii="宋体" w:cs="宋体"/>
                <w:color w:val="auto"/>
                <w:sz w:val="21"/>
                <w:szCs w:val="21"/>
                <w:highlight w:val="none"/>
              </w:rPr>
            </w:pPr>
          </w:p>
        </w:tc>
        <w:tc>
          <w:tcPr>
            <w:tcW w:w="894" w:type="dxa"/>
            <w:noWrap/>
            <w:vAlign w:val="center"/>
          </w:tcPr>
          <w:p>
            <w:pPr>
              <w:snapToGrid w:val="0"/>
              <w:spacing w:line="400" w:lineRule="exact"/>
              <w:jc w:val="center"/>
              <w:rPr>
                <w:rFonts w:ascii="宋体" w:cs="宋体"/>
                <w:color w:val="auto"/>
                <w:sz w:val="21"/>
                <w:szCs w:val="21"/>
                <w:highlight w:val="none"/>
              </w:rPr>
            </w:pPr>
          </w:p>
        </w:tc>
        <w:tc>
          <w:tcPr>
            <w:tcW w:w="599" w:type="dxa"/>
            <w:noWrap/>
            <w:vAlign w:val="center"/>
          </w:tcPr>
          <w:p>
            <w:pPr>
              <w:snapToGrid w:val="0"/>
              <w:spacing w:line="400" w:lineRule="exact"/>
              <w:jc w:val="center"/>
              <w:rPr>
                <w:rFonts w:ascii="宋体" w:cs="宋体"/>
                <w:color w:val="auto"/>
                <w:sz w:val="21"/>
                <w:szCs w:val="21"/>
                <w:highlight w:val="none"/>
              </w:rPr>
            </w:pPr>
          </w:p>
        </w:tc>
        <w:tc>
          <w:tcPr>
            <w:tcW w:w="6985" w:type="dxa"/>
            <w:noWrap/>
            <w:vAlign w:val="center"/>
          </w:tcPr>
          <w:p>
            <w:pPr>
              <w:snapToGrid w:val="0"/>
              <w:spacing w:line="400" w:lineRule="exact"/>
              <w:jc w:val="center"/>
              <w:rPr>
                <w:rFonts w:ascii="宋体" w:cs="宋体"/>
                <w:color w:val="auto"/>
                <w:sz w:val="21"/>
                <w:szCs w:val="21"/>
                <w:highlight w:val="none"/>
              </w:rPr>
            </w:pPr>
          </w:p>
        </w:tc>
        <w:tc>
          <w:tcPr>
            <w:tcW w:w="585" w:type="dxa"/>
            <w:noWrap/>
            <w:vAlign w:val="center"/>
          </w:tcPr>
          <w:p>
            <w:pPr>
              <w:snapToGrid w:val="0"/>
              <w:spacing w:line="400" w:lineRule="exact"/>
              <w:jc w:val="center"/>
              <w:rPr>
                <w:rFonts w:ascii="宋体" w:cs="宋体"/>
                <w:color w:val="auto"/>
                <w:sz w:val="21"/>
                <w:szCs w:val="21"/>
                <w:highlight w:val="none"/>
              </w:rPr>
            </w:pPr>
          </w:p>
        </w:tc>
        <w:tc>
          <w:tcPr>
            <w:tcW w:w="1168" w:type="dxa"/>
            <w:noWrap/>
            <w:vAlign w:val="center"/>
          </w:tcPr>
          <w:p>
            <w:pPr>
              <w:snapToGrid w:val="0"/>
              <w:spacing w:line="400" w:lineRule="exact"/>
              <w:jc w:val="center"/>
              <w:rPr>
                <w:rFonts w:asci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423" w:type="dxa"/>
            <w:noWrap/>
            <w:vAlign w:val="center"/>
          </w:tcPr>
          <w:p>
            <w:pPr>
              <w:snapToGrid w:val="0"/>
              <w:spacing w:line="400" w:lineRule="exact"/>
              <w:jc w:val="center"/>
              <w:rPr>
                <w:rFonts w:ascii="宋体" w:cs="宋体"/>
                <w:color w:val="auto"/>
                <w:sz w:val="21"/>
                <w:szCs w:val="21"/>
                <w:highlight w:val="none"/>
              </w:rPr>
            </w:pPr>
          </w:p>
        </w:tc>
        <w:tc>
          <w:tcPr>
            <w:tcW w:w="894" w:type="dxa"/>
            <w:noWrap/>
            <w:vAlign w:val="center"/>
          </w:tcPr>
          <w:p>
            <w:pPr>
              <w:snapToGrid w:val="0"/>
              <w:spacing w:line="400" w:lineRule="exact"/>
              <w:jc w:val="center"/>
              <w:rPr>
                <w:rFonts w:ascii="宋体" w:cs="宋体"/>
                <w:color w:val="auto"/>
                <w:sz w:val="21"/>
                <w:szCs w:val="21"/>
                <w:highlight w:val="none"/>
              </w:rPr>
            </w:pPr>
          </w:p>
        </w:tc>
        <w:tc>
          <w:tcPr>
            <w:tcW w:w="599" w:type="dxa"/>
            <w:noWrap/>
            <w:vAlign w:val="center"/>
          </w:tcPr>
          <w:p>
            <w:pPr>
              <w:snapToGrid w:val="0"/>
              <w:spacing w:line="400" w:lineRule="exact"/>
              <w:jc w:val="center"/>
              <w:rPr>
                <w:rFonts w:ascii="宋体" w:cs="宋体"/>
                <w:color w:val="auto"/>
                <w:sz w:val="21"/>
                <w:szCs w:val="21"/>
                <w:highlight w:val="none"/>
              </w:rPr>
            </w:pPr>
          </w:p>
        </w:tc>
        <w:tc>
          <w:tcPr>
            <w:tcW w:w="6985" w:type="dxa"/>
            <w:noWrap/>
            <w:vAlign w:val="center"/>
          </w:tcPr>
          <w:p>
            <w:pPr>
              <w:snapToGrid w:val="0"/>
              <w:spacing w:line="400" w:lineRule="exact"/>
              <w:jc w:val="center"/>
              <w:rPr>
                <w:rFonts w:ascii="宋体" w:cs="宋体"/>
                <w:color w:val="auto"/>
                <w:sz w:val="21"/>
                <w:szCs w:val="21"/>
                <w:highlight w:val="none"/>
              </w:rPr>
            </w:pPr>
          </w:p>
        </w:tc>
        <w:tc>
          <w:tcPr>
            <w:tcW w:w="585" w:type="dxa"/>
            <w:noWrap/>
            <w:vAlign w:val="center"/>
          </w:tcPr>
          <w:p>
            <w:pPr>
              <w:snapToGrid w:val="0"/>
              <w:spacing w:line="400" w:lineRule="exact"/>
              <w:jc w:val="center"/>
              <w:rPr>
                <w:rFonts w:ascii="宋体" w:cs="宋体"/>
                <w:color w:val="auto"/>
                <w:sz w:val="21"/>
                <w:szCs w:val="21"/>
                <w:highlight w:val="none"/>
              </w:rPr>
            </w:pPr>
          </w:p>
        </w:tc>
        <w:tc>
          <w:tcPr>
            <w:tcW w:w="1168" w:type="dxa"/>
            <w:noWrap/>
            <w:vAlign w:val="center"/>
          </w:tcPr>
          <w:p>
            <w:pPr>
              <w:snapToGrid w:val="0"/>
              <w:spacing w:line="400" w:lineRule="exact"/>
              <w:jc w:val="center"/>
              <w:rPr>
                <w:rFonts w:asci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423" w:type="dxa"/>
            <w:noWrap/>
            <w:vAlign w:val="center"/>
          </w:tcPr>
          <w:p>
            <w:pPr>
              <w:snapToGrid w:val="0"/>
              <w:spacing w:line="400" w:lineRule="exact"/>
              <w:jc w:val="center"/>
              <w:rPr>
                <w:rFonts w:ascii="宋体" w:cs="宋体"/>
                <w:color w:val="auto"/>
                <w:sz w:val="21"/>
                <w:szCs w:val="21"/>
                <w:highlight w:val="none"/>
              </w:rPr>
            </w:pPr>
          </w:p>
        </w:tc>
        <w:tc>
          <w:tcPr>
            <w:tcW w:w="894" w:type="dxa"/>
            <w:noWrap/>
            <w:vAlign w:val="center"/>
          </w:tcPr>
          <w:p>
            <w:pPr>
              <w:snapToGrid w:val="0"/>
              <w:spacing w:line="400" w:lineRule="exact"/>
              <w:jc w:val="center"/>
              <w:rPr>
                <w:rFonts w:ascii="宋体" w:cs="宋体"/>
                <w:color w:val="auto"/>
                <w:sz w:val="21"/>
                <w:szCs w:val="21"/>
                <w:highlight w:val="none"/>
              </w:rPr>
            </w:pPr>
          </w:p>
        </w:tc>
        <w:tc>
          <w:tcPr>
            <w:tcW w:w="599" w:type="dxa"/>
            <w:noWrap/>
            <w:vAlign w:val="center"/>
          </w:tcPr>
          <w:p>
            <w:pPr>
              <w:snapToGrid w:val="0"/>
              <w:spacing w:line="400" w:lineRule="exact"/>
              <w:jc w:val="center"/>
              <w:rPr>
                <w:rFonts w:ascii="宋体" w:cs="宋体"/>
                <w:color w:val="auto"/>
                <w:sz w:val="21"/>
                <w:szCs w:val="21"/>
                <w:highlight w:val="none"/>
              </w:rPr>
            </w:pPr>
          </w:p>
        </w:tc>
        <w:tc>
          <w:tcPr>
            <w:tcW w:w="6985" w:type="dxa"/>
            <w:noWrap/>
            <w:vAlign w:val="center"/>
          </w:tcPr>
          <w:p>
            <w:pPr>
              <w:snapToGrid w:val="0"/>
              <w:spacing w:line="400" w:lineRule="exact"/>
              <w:jc w:val="center"/>
              <w:rPr>
                <w:rFonts w:ascii="宋体" w:cs="宋体"/>
                <w:color w:val="auto"/>
                <w:sz w:val="21"/>
                <w:szCs w:val="21"/>
                <w:highlight w:val="none"/>
              </w:rPr>
            </w:pPr>
          </w:p>
        </w:tc>
        <w:tc>
          <w:tcPr>
            <w:tcW w:w="585" w:type="dxa"/>
            <w:noWrap/>
            <w:vAlign w:val="center"/>
          </w:tcPr>
          <w:p>
            <w:pPr>
              <w:snapToGrid w:val="0"/>
              <w:spacing w:line="400" w:lineRule="exact"/>
              <w:jc w:val="center"/>
              <w:rPr>
                <w:rFonts w:ascii="宋体" w:cs="宋体"/>
                <w:color w:val="auto"/>
                <w:sz w:val="21"/>
                <w:szCs w:val="21"/>
                <w:highlight w:val="none"/>
              </w:rPr>
            </w:pPr>
          </w:p>
        </w:tc>
        <w:tc>
          <w:tcPr>
            <w:tcW w:w="1168" w:type="dxa"/>
            <w:noWrap/>
            <w:vAlign w:val="center"/>
          </w:tcPr>
          <w:p>
            <w:pPr>
              <w:snapToGrid w:val="0"/>
              <w:spacing w:line="400" w:lineRule="exact"/>
              <w:jc w:val="center"/>
              <w:rPr>
                <w:rFonts w:asci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423" w:type="dxa"/>
            <w:noWrap/>
            <w:vAlign w:val="center"/>
          </w:tcPr>
          <w:p>
            <w:pPr>
              <w:snapToGrid w:val="0"/>
              <w:spacing w:line="400" w:lineRule="exact"/>
              <w:jc w:val="center"/>
              <w:rPr>
                <w:rFonts w:ascii="宋体" w:cs="宋体"/>
                <w:color w:val="auto"/>
                <w:sz w:val="21"/>
                <w:szCs w:val="21"/>
                <w:highlight w:val="none"/>
              </w:rPr>
            </w:pPr>
          </w:p>
        </w:tc>
        <w:tc>
          <w:tcPr>
            <w:tcW w:w="894" w:type="dxa"/>
            <w:noWrap/>
            <w:vAlign w:val="center"/>
          </w:tcPr>
          <w:p>
            <w:pPr>
              <w:snapToGrid w:val="0"/>
              <w:spacing w:line="400" w:lineRule="exact"/>
              <w:jc w:val="center"/>
              <w:rPr>
                <w:rFonts w:ascii="宋体" w:cs="宋体"/>
                <w:color w:val="auto"/>
                <w:sz w:val="21"/>
                <w:szCs w:val="21"/>
                <w:highlight w:val="none"/>
              </w:rPr>
            </w:pPr>
          </w:p>
        </w:tc>
        <w:tc>
          <w:tcPr>
            <w:tcW w:w="599" w:type="dxa"/>
            <w:noWrap/>
            <w:vAlign w:val="center"/>
          </w:tcPr>
          <w:p>
            <w:pPr>
              <w:snapToGrid w:val="0"/>
              <w:spacing w:line="400" w:lineRule="exact"/>
              <w:jc w:val="center"/>
              <w:rPr>
                <w:rFonts w:ascii="宋体" w:cs="宋体"/>
                <w:color w:val="auto"/>
                <w:sz w:val="21"/>
                <w:szCs w:val="21"/>
                <w:highlight w:val="none"/>
              </w:rPr>
            </w:pPr>
          </w:p>
        </w:tc>
        <w:tc>
          <w:tcPr>
            <w:tcW w:w="6985" w:type="dxa"/>
            <w:noWrap/>
            <w:vAlign w:val="center"/>
          </w:tcPr>
          <w:p>
            <w:pPr>
              <w:snapToGrid w:val="0"/>
              <w:spacing w:line="400" w:lineRule="exact"/>
              <w:jc w:val="center"/>
              <w:rPr>
                <w:rFonts w:ascii="宋体" w:cs="宋体"/>
                <w:color w:val="auto"/>
                <w:sz w:val="21"/>
                <w:szCs w:val="21"/>
                <w:highlight w:val="none"/>
              </w:rPr>
            </w:pPr>
          </w:p>
        </w:tc>
        <w:tc>
          <w:tcPr>
            <w:tcW w:w="585" w:type="dxa"/>
            <w:noWrap/>
            <w:vAlign w:val="center"/>
          </w:tcPr>
          <w:p>
            <w:pPr>
              <w:snapToGrid w:val="0"/>
              <w:spacing w:line="400" w:lineRule="exact"/>
              <w:jc w:val="center"/>
              <w:rPr>
                <w:rFonts w:ascii="宋体" w:cs="宋体"/>
                <w:color w:val="auto"/>
                <w:sz w:val="21"/>
                <w:szCs w:val="21"/>
                <w:highlight w:val="none"/>
              </w:rPr>
            </w:pPr>
          </w:p>
        </w:tc>
        <w:tc>
          <w:tcPr>
            <w:tcW w:w="1168" w:type="dxa"/>
            <w:noWrap/>
            <w:vAlign w:val="center"/>
          </w:tcPr>
          <w:p>
            <w:pPr>
              <w:snapToGrid w:val="0"/>
              <w:spacing w:line="400" w:lineRule="exact"/>
              <w:jc w:val="center"/>
              <w:rPr>
                <w:rFonts w:asci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423" w:type="dxa"/>
            <w:noWrap/>
            <w:vAlign w:val="center"/>
          </w:tcPr>
          <w:p>
            <w:pPr>
              <w:snapToGrid w:val="0"/>
              <w:spacing w:line="400" w:lineRule="exact"/>
              <w:jc w:val="center"/>
              <w:rPr>
                <w:rFonts w:ascii="宋体" w:cs="宋体"/>
                <w:color w:val="auto"/>
                <w:sz w:val="21"/>
                <w:szCs w:val="21"/>
                <w:highlight w:val="none"/>
              </w:rPr>
            </w:pPr>
          </w:p>
        </w:tc>
        <w:tc>
          <w:tcPr>
            <w:tcW w:w="894" w:type="dxa"/>
            <w:noWrap/>
            <w:vAlign w:val="center"/>
          </w:tcPr>
          <w:p>
            <w:pPr>
              <w:snapToGrid w:val="0"/>
              <w:spacing w:line="400" w:lineRule="exact"/>
              <w:jc w:val="center"/>
              <w:rPr>
                <w:rFonts w:ascii="宋体" w:cs="宋体"/>
                <w:color w:val="auto"/>
                <w:sz w:val="21"/>
                <w:szCs w:val="21"/>
                <w:highlight w:val="none"/>
              </w:rPr>
            </w:pPr>
          </w:p>
        </w:tc>
        <w:tc>
          <w:tcPr>
            <w:tcW w:w="599" w:type="dxa"/>
            <w:noWrap/>
            <w:vAlign w:val="center"/>
          </w:tcPr>
          <w:p>
            <w:pPr>
              <w:snapToGrid w:val="0"/>
              <w:spacing w:line="400" w:lineRule="exact"/>
              <w:jc w:val="center"/>
              <w:rPr>
                <w:rFonts w:ascii="宋体" w:cs="宋体"/>
                <w:color w:val="auto"/>
                <w:sz w:val="21"/>
                <w:szCs w:val="21"/>
                <w:highlight w:val="none"/>
              </w:rPr>
            </w:pPr>
          </w:p>
        </w:tc>
        <w:tc>
          <w:tcPr>
            <w:tcW w:w="6985" w:type="dxa"/>
            <w:noWrap/>
            <w:vAlign w:val="center"/>
          </w:tcPr>
          <w:p>
            <w:pPr>
              <w:snapToGrid w:val="0"/>
              <w:spacing w:line="400" w:lineRule="exact"/>
              <w:jc w:val="center"/>
              <w:rPr>
                <w:rFonts w:ascii="宋体" w:cs="宋体"/>
                <w:color w:val="auto"/>
                <w:sz w:val="21"/>
                <w:szCs w:val="21"/>
                <w:highlight w:val="none"/>
              </w:rPr>
            </w:pPr>
          </w:p>
        </w:tc>
        <w:tc>
          <w:tcPr>
            <w:tcW w:w="585" w:type="dxa"/>
            <w:noWrap/>
            <w:vAlign w:val="center"/>
          </w:tcPr>
          <w:p>
            <w:pPr>
              <w:snapToGrid w:val="0"/>
              <w:spacing w:line="400" w:lineRule="exact"/>
              <w:jc w:val="center"/>
              <w:rPr>
                <w:rFonts w:ascii="宋体" w:cs="宋体"/>
                <w:color w:val="auto"/>
                <w:sz w:val="21"/>
                <w:szCs w:val="21"/>
                <w:highlight w:val="none"/>
              </w:rPr>
            </w:pPr>
          </w:p>
        </w:tc>
        <w:tc>
          <w:tcPr>
            <w:tcW w:w="1168" w:type="dxa"/>
            <w:noWrap/>
            <w:vAlign w:val="center"/>
          </w:tcPr>
          <w:p>
            <w:pPr>
              <w:snapToGrid w:val="0"/>
              <w:spacing w:line="400" w:lineRule="exact"/>
              <w:jc w:val="center"/>
              <w:rPr>
                <w:rFonts w:asci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423" w:type="dxa"/>
            <w:noWrap/>
            <w:vAlign w:val="center"/>
          </w:tcPr>
          <w:p>
            <w:pPr>
              <w:snapToGrid w:val="0"/>
              <w:spacing w:line="400" w:lineRule="exact"/>
              <w:jc w:val="center"/>
              <w:rPr>
                <w:rFonts w:ascii="宋体" w:cs="宋体"/>
                <w:color w:val="auto"/>
                <w:sz w:val="21"/>
                <w:szCs w:val="21"/>
                <w:highlight w:val="none"/>
              </w:rPr>
            </w:pPr>
          </w:p>
        </w:tc>
        <w:tc>
          <w:tcPr>
            <w:tcW w:w="894" w:type="dxa"/>
            <w:noWrap/>
            <w:vAlign w:val="center"/>
          </w:tcPr>
          <w:p>
            <w:pPr>
              <w:snapToGrid w:val="0"/>
              <w:spacing w:line="400" w:lineRule="exact"/>
              <w:jc w:val="center"/>
              <w:rPr>
                <w:rFonts w:ascii="宋体" w:cs="宋体"/>
                <w:color w:val="auto"/>
                <w:sz w:val="21"/>
                <w:szCs w:val="21"/>
                <w:highlight w:val="none"/>
              </w:rPr>
            </w:pPr>
          </w:p>
        </w:tc>
        <w:tc>
          <w:tcPr>
            <w:tcW w:w="599" w:type="dxa"/>
            <w:noWrap/>
            <w:vAlign w:val="center"/>
          </w:tcPr>
          <w:p>
            <w:pPr>
              <w:snapToGrid w:val="0"/>
              <w:spacing w:line="400" w:lineRule="exact"/>
              <w:jc w:val="center"/>
              <w:rPr>
                <w:rFonts w:ascii="宋体" w:cs="宋体"/>
                <w:color w:val="auto"/>
                <w:sz w:val="21"/>
                <w:szCs w:val="21"/>
                <w:highlight w:val="none"/>
              </w:rPr>
            </w:pPr>
          </w:p>
        </w:tc>
        <w:tc>
          <w:tcPr>
            <w:tcW w:w="6985" w:type="dxa"/>
            <w:noWrap/>
            <w:vAlign w:val="center"/>
          </w:tcPr>
          <w:p>
            <w:pPr>
              <w:snapToGrid w:val="0"/>
              <w:spacing w:line="400" w:lineRule="exact"/>
              <w:jc w:val="center"/>
              <w:rPr>
                <w:rFonts w:ascii="宋体" w:cs="宋体"/>
                <w:color w:val="auto"/>
                <w:sz w:val="21"/>
                <w:szCs w:val="21"/>
                <w:highlight w:val="none"/>
              </w:rPr>
            </w:pPr>
          </w:p>
        </w:tc>
        <w:tc>
          <w:tcPr>
            <w:tcW w:w="585" w:type="dxa"/>
            <w:noWrap/>
            <w:vAlign w:val="center"/>
          </w:tcPr>
          <w:p>
            <w:pPr>
              <w:snapToGrid w:val="0"/>
              <w:spacing w:line="400" w:lineRule="exact"/>
              <w:jc w:val="center"/>
              <w:rPr>
                <w:rFonts w:ascii="宋体" w:cs="宋体"/>
                <w:color w:val="auto"/>
                <w:sz w:val="21"/>
                <w:szCs w:val="21"/>
                <w:highlight w:val="none"/>
              </w:rPr>
            </w:pPr>
          </w:p>
        </w:tc>
        <w:tc>
          <w:tcPr>
            <w:tcW w:w="1168" w:type="dxa"/>
            <w:noWrap/>
            <w:vAlign w:val="center"/>
          </w:tcPr>
          <w:p>
            <w:pPr>
              <w:snapToGrid w:val="0"/>
              <w:spacing w:line="400" w:lineRule="exact"/>
              <w:jc w:val="center"/>
              <w:rPr>
                <w:rFonts w:asci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423" w:type="dxa"/>
            <w:noWrap/>
            <w:vAlign w:val="center"/>
          </w:tcPr>
          <w:p>
            <w:pPr>
              <w:snapToGrid w:val="0"/>
              <w:spacing w:line="400" w:lineRule="exact"/>
              <w:jc w:val="center"/>
              <w:rPr>
                <w:rFonts w:ascii="宋体" w:cs="宋体"/>
                <w:color w:val="auto"/>
                <w:sz w:val="21"/>
                <w:szCs w:val="21"/>
                <w:highlight w:val="none"/>
              </w:rPr>
            </w:pPr>
          </w:p>
        </w:tc>
        <w:tc>
          <w:tcPr>
            <w:tcW w:w="894" w:type="dxa"/>
            <w:noWrap/>
            <w:vAlign w:val="center"/>
          </w:tcPr>
          <w:p>
            <w:pPr>
              <w:snapToGrid w:val="0"/>
              <w:spacing w:line="400" w:lineRule="exact"/>
              <w:jc w:val="center"/>
              <w:rPr>
                <w:rFonts w:ascii="宋体" w:cs="宋体"/>
                <w:color w:val="auto"/>
                <w:sz w:val="21"/>
                <w:szCs w:val="21"/>
                <w:highlight w:val="none"/>
              </w:rPr>
            </w:pPr>
          </w:p>
        </w:tc>
        <w:tc>
          <w:tcPr>
            <w:tcW w:w="599" w:type="dxa"/>
            <w:noWrap/>
            <w:vAlign w:val="center"/>
          </w:tcPr>
          <w:p>
            <w:pPr>
              <w:snapToGrid w:val="0"/>
              <w:spacing w:line="400" w:lineRule="exact"/>
              <w:jc w:val="center"/>
              <w:rPr>
                <w:rFonts w:ascii="宋体" w:cs="宋体"/>
                <w:color w:val="auto"/>
                <w:sz w:val="21"/>
                <w:szCs w:val="21"/>
                <w:highlight w:val="none"/>
              </w:rPr>
            </w:pPr>
          </w:p>
        </w:tc>
        <w:tc>
          <w:tcPr>
            <w:tcW w:w="6985" w:type="dxa"/>
            <w:noWrap/>
            <w:vAlign w:val="center"/>
          </w:tcPr>
          <w:p>
            <w:pPr>
              <w:snapToGrid w:val="0"/>
              <w:spacing w:line="400" w:lineRule="exact"/>
              <w:jc w:val="center"/>
              <w:rPr>
                <w:rFonts w:ascii="宋体" w:cs="宋体"/>
                <w:color w:val="auto"/>
                <w:sz w:val="21"/>
                <w:szCs w:val="21"/>
                <w:highlight w:val="none"/>
              </w:rPr>
            </w:pPr>
          </w:p>
        </w:tc>
        <w:tc>
          <w:tcPr>
            <w:tcW w:w="585" w:type="dxa"/>
            <w:noWrap/>
            <w:vAlign w:val="center"/>
          </w:tcPr>
          <w:p>
            <w:pPr>
              <w:snapToGrid w:val="0"/>
              <w:spacing w:line="400" w:lineRule="exact"/>
              <w:jc w:val="center"/>
              <w:rPr>
                <w:rFonts w:ascii="宋体" w:cs="宋体"/>
                <w:color w:val="auto"/>
                <w:sz w:val="21"/>
                <w:szCs w:val="21"/>
                <w:highlight w:val="none"/>
              </w:rPr>
            </w:pPr>
          </w:p>
        </w:tc>
        <w:tc>
          <w:tcPr>
            <w:tcW w:w="1168" w:type="dxa"/>
            <w:noWrap/>
            <w:vAlign w:val="center"/>
          </w:tcPr>
          <w:p>
            <w:pPr>
              <w:snapToGrid w:val="0"/>
              <w:spacing w:line="400" w:lineRule="exact"/>
              <w:jc w:val="center"/>
              <w:rPr>
                <w:rFonts w:asci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423" w:type="dxa"/>
            <w:noWrap/>
            <w:vAlign w:val="center"/>
          </w:tcPr>
          <w:p>
            <w:pPr>
              <w:snapToGrid w:val="0"/>
              <w:spacing w:line="400" w:lineRule="exact"/>
              <w:jc w:val="center"/>
              <w:rPr>
                <w:rFonts w:ascii="宋体" w:cs="宋体"/>
                <w:color w:val="auto"/>
                <w:sz w:val="21"/>
                <w:szCs w:val="21"/>
                <w:highlight w:val="none"/>
              </w:rPr>
            </w:pPr>
          </w:p>
        </w:tc>
        <w:tc>
          <w:tcPr>
            <w:tcW w:w="894" w:type="dxa"/>
            <w:noWrap/>
            <w:vAlign w:val="center"/>
          </w:tcPr>
          <w:p>
            <w:pPr>
              <w:snapToGrid w:val="0"/>
              <w:spacing w:line="400" w:lineRule="exact"/>
              <w:jc w:val="center"/>
              <w:rPr>
                <w:rFonts w:ascii="宋体" w:cs="宋体"/>
                <w:color w:val="auto"/>
                <w:sz w:val="21"/>
                <w:szCs w:val="21"/>
                <w:highlight w:val="none"/>
              </w:rPr>
            </w:pPr>
          </w:p>
        </w:tc>
        <w:tc>
          <w:tcPr>
            <w:tcW w:w="599" w:type="dxa"/>
            <w:noWrap/>
            <w:vAlign w:val="center"/>
          </w:tcPr>
          <w:p>
            <w:pPr>
              <w:snapToGrid w:val="0"/>
              <w:spacing w:line="400" w:lineRule="exact"/>
              <w:jc w:val="center"/>
              <w:rPr>
                <w:rFonts w:ascii="宋体" w:cs="宋体"/>
                <w:color w:val="auto"/>
                <w:sz w:val="21"/>
                <w:szCs w:val="21"/>
                <w:highlight w:val="none"/>
              </w:rPr>
            </w:pPr>
          </w:p>
        </w:tc>
        <w:tc>
          <w:tcPr>
            <w:tcW w:w="6985" w:type="dxa"/>
            <w:noWrap/>
            <w:vAlign w:val="center"/>
          </w:tcPr>
          <w:p>
            <w:pPr>
              <w:snapToGrid w:val="0"/>
              <w:spacing w:line="400" w:lineRule="exact"/>
              <w:jc w:val="center"/>
              <w:rPr>
                <w:rFonts w:ascii="宋体" w:cs="宋体"/>
                <w:color w:val="auto"/>
                <w:sz w:val="21"/>
                <w:szCs w:val="21"/>
                <w:highlight w:val="none"/>
              </w:rPr>
            </w:pPr>
          </w:p>
        </w:tc>
        <w:tc>
          <w:tcPr>
            <w:tcW w:w="585" w:type="dxa"/>
            <w:noWrap/>
            <w:vAlign w:val="center"/>
          </w:tcPr>
          <w:p>
            <w:pPr>
              <w:snapToGrid w:val="0"/>
              <w:spacing w:line="400" w:lineRule="exact"/>
              <w:jc w:val="center"/>
              <w:rPr>
                <w:rFonts w:ascii="宋体" w:cs="宋体"/>
                <w:color w:val="auto"/>
                <w:sz w:val="21"/>
                <w:szCs w:val="21"/>
                <w:highlight w:val="none"/>
              </w:rPr>
            </w:pPr>
          </w:p>
        </w:tc>
        <w:tc>
          <w:tcPr>
            <w:tcW w:w="1168" w:type="dxa"/>
            <w:noWrap/>
            <w:vAlign w:val="center"/>
          </w:tcPr>
          <w:p>
            <w:pPr>
              <w:snapToGrid w:val="0"/>
              <w:spacing w:line="400" w:lineRule="exact"/>
              <w:jc w:val="center"/>
              <w:rPr>
                <w:rFonts w:asci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423" w:type="dxa"/>
            <w:noWrap/>
            <w:vAlign w:val="center"/>
          </w:tcPr>
          <w:p>
            <w:pPr>
              <w:snapToGrid w:val="0"/>
              <w:spacing w:line="400" w:lineRule="exact"/>
              <w:jc w:val="center"/>
              <w:rPr>
                <w:rFonts w:ascii="宋体" w:cs="宋体"/>
                <w:color w:val="auto"/>
                <w:sz w:val="21"/>
                <w:szCs w:val="21"/>
                <w:highlight w:val="none"/>
              </w:rPr>
            </w:pPr>
          </w:p>
        </w:tc>
        <w:tc>
          <w:tcPr>
            <w:tcW w:w="894" w:type="dxa"/>
            <w:noWrap/>
            <w:vAlign w:val="center"/>
          </w:tcPr>
          <w:p>
            <w:pPr>
              <w:snapToGrid w:val="0"/>
              <w:spacing w:line="400" w:lineRule="exact"/>
              <w:jc w:val="center"/>
              <w:rPr>
                <w:rFonts w:ascii="宋体" w:cs="宋体"/>
                <w:color w:val="auto"/>
                <w:sz w:val="21"/>
                <w:szCs w:val="21"/>
                <w:highlight w:val="none"/>
              </w:rPr>
            </w:pPr>
          </w:p>
        </w:tc>
        <w:tc>
          <w:tcPr>
            <w:tcW w:w="599" w:type="dxa"/>
            <w:noWrap/>
            <w:vAlign w:val="center"/>
          </w:tcPr>
          <w:p>
            <w:pPr>
              <w:snapToGrid w:val="0"/>
              <w:spacing w:line="400" w:lineRule="exact"/>
              <w:jc w:val="center"/>
              <w:rPr>
                <w:rFonts w:ascii="宋体" w:cs="宋体"/>
                <w:color w:val="auto"/>
                <w:sz w:val="21"/>
                <w:szCs w:val="21"/>
                <w:highlight w:val="none"/>
              </w:rPr>
            </w:pPr>
          </w:p>
        </w:tc>
        <w:tc>
          <w:tcPr>
            <w:tcW w:w="6985" w:type="dxa"/>
            <w:noWrap/>
            <w:vAlign w:val="center"/>
          </w:tcPr>
          <w:p>
            <w:pPr>
              <w:snapToGrid w:val="0"/>
              <w:spacing w:line="400" w:lineRule="exact"/>
              <w:jc w:val="center"/>
              <w:rPr>
                <w:rFonts w:ascii="宋体" w:cs="宋体"/>
                <w:color w:val="auto"/>
                <w:sz w:val="21"/>
                <w:szCs w:val="21"/>
                <w:highlight w:val="none"/>
              </w:rPr>
            </w:pPr>
          </w:p>
        </w:tc>
        <w:tc>
          <w:tcPr>
            <w:tcW w:w="585" w:type="dxa"/>
            <w:noWrap/>
            <w:vAlign w:val="center"/>
          </w:tcPr>
          <w:p>
            <w:pPr>
              <w:snapToGrid w:val="0"/>
              <w:spacing w:line="400" w:lineRule="exact"/>
              <w:jc w:val="center"/>
              <w:rPr>
                <w:rFonts w:ascii="宋体" w:cs="宋体"/>
                <w:color w:val="auto"/>
                <w:sz w:val="21"/>
                <w:szCs w:val="21"/>
                <w:highlight w:val="none"/>
              </w:rPr>
            </w:pPr>
          </w:p>
        </w:tc>
        <w:tc>
          <w:tcPr>
            <w:tcW w:w="1168" w:type="dxa"/>
            <w:noWrap/>
            <w:vAlign w:val="center"/>
          </w:tcPr>
          <w:p>
            <w:pPr>
              <w:snapToGrid w:val="0"/>
              <w:spacing w:line="400" w:lineRule="exact"/>
              <w:jc w:val="center"/>
              <w:rPr>
                <w:rFonts w:asci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423" w:type="dxa"/>
            <w:noWrap/>
            <w:vAlign w:val="center"/>
          </w:tcPr>
          <w:p>
            <w:pPr>
              <w:snapToGrid w:val="0"/>
              <w:spacing w:line="400" w:lineRule="exact"/>
              <w:jc w:val="center"/>
              <w:rPr>
                <w:rFonts w:ascii="宋体" w:cs="宋体"/>
                <w:color w:val="auto"/>
                <w:sz w:val="21"/>
                <w:szCs w:val="21"/>
                <w:highlight w:val="none"/>
              </w:rPr>
            </w:pPr>
          </w:p>
        </w:tc>
        <w:tc>
          <w:tcPr>
            <w:tcW w:w="894" w:type="dxa"/>
            <w:noWrap/>
            <w:vAlign w:val="center"/>
          </w:tcPr>
          <w:p>
            <w:pPr>
              <w:snapToGrid w:val="0"/>
              <w:spacing w:line="400" w:lineRule="exact"/>
              <w:jc w:val="center"/>
              <w:rPr>
                <w:rFonts w:ascii="宋体" w:cs="宋体"/>
                <w:color w:val="auto"/>
                <w:sz w:val="21"/>
                <w:szCs w:val="21"/>
                <w:highlight w:val="none"/>
              </w:rPr>
            </w:pPr>
          </w:p>
        </w:tc>
        <w:tc>
          <w:tcPr>
            <w:tcW w:w="599" w:type="dxa"/>
            <w:noWrap/>
            <w:vAlign w:val="center"/>
          </w:tcPr>
          <w:p>
            <w:pPr>
              <w:snapToGrid w:val="0"/>
              <w:spacing w:line="400" w:lineRule="exact"/>
              <w:jc w:val="center"/>
              <w:rPr>
                <w:rFonts w:ascii="宋体" w:cs="宋体"/>
                <w:color w:val="auto"/>
                <w:sz w:val="21"/>
                <w:szCs w:val="21"/>
                <w:highlight w:val="none"/>
              </w:rPr>
            </w:pPr>
          </w:p>
        </w:tc>
        <w:tc>
          <w:tcPr>
            <w:tcW w:w="6985" w:type="dxa"/>
            <w:noWrap/>
            <w:vAlign w:val="center"/>
          </w:tcPr>
          <w:p>
            <w:pPr>
              <w:snapToGrid w:val="0"/>
              <w:spacing w:line="400" w:lineRule="exact"/>
              <w:jc w:val="center"/>
              <w:rPr>
                <w:rFonts w:ascii="宋体" w:cs="宋体"/>
                <w:color w:val="auto"/>
                <w:sz w:val="21"/>
                <w:szCs w:val="21"/>
                <w:highlight w:val="none"/>
              </w:rPr>
            </w:pPr>
          </w:p>
        </w:tc>
        <w:tc>
          <w:tcPr>
            <w:tcW w:w="585" w:type="dxa"/>
            <w:noWrap/>
            <w:vAlign w:val="center"/>
          </w:tcPr>
          <w:p>
            <w:pPr>
              <w:snapToGrid w:val="0"/>
              <w:spacing w:line="400" w:lineRule="exact"/>
              <w:jc w:val="center"/>
              <w:rPr>
                <w:rFonts w:ascii="宋体" w:cs="宋体"/>
                <w:color w:val="auto"/>
                <w:sz w:val="21"/>
                <w:szCs w:val="21"/>
                <w:highlight w:val="none"/>
              </w:rPr>
            </w:pPr>
          </w:p>
        </w:tc>
        <w:tc>
          <w:tcPr>
            <w:tcW w:w="1168" w:type="dxa"/>
            <w:noWrap/>
            <w:vAlign w:val="center"/>
          </w:tcPr>
          <w:p>
            <w:pPr>
              <w:snapToGrid w:val="0"/>
              <w:spacing w:line="400" w:lineRule="exact"/>
              <w:jc w:val="center"/>
              <w:rPr>
                <w:rFonts w:asci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423" w:type="dxa"/>
            <w:noWrap/>
            <w:vAlign w:val="center"/>
          </w:tcPr>
          <w:p>
            <w:pPr>
              <w:snapToGrid w:val="0"/>
              <w:spacing w:line="400" w:lineRule="exact"/>
              <w:jc w:val="center"/>
              <w:rPr>
                <w:rFonts w:ascii="宋体" w:cs="宋体"/>
                <w:color w:val="auto"/>
                <w:sz w:val="21"/>
                <w:szCs w:val="21"/>
                <w:highlight w:val="none"/>
              </w:rPr>
            </w:pPr>
          </w:p>
        </w:tc>
        <w:tc>
          <w:tcPr>
            <w:tcW w:w="894" w:type="dxa"/>
            <w:noWrap/>
            <w:vAlign w:val="center"/>
          </w:tcPr>
          <w:p>
            <w:pPr>
              <w:snapToGrid w:val="0"/>
              <w:spacing w:line="400" w:lineRule="exact"/>
              <w:jc w:val="center"/>
              <w:rPr>
                <w:rFonts w:ascii="宋体" w:cs="宋体"/>
                <w:color w:val="auto"/>
                <w:sz w:val="21"/>
                <w:szCs w:val="21"/>
                <w:highlight w:val="none"/>
              </w:rPr>
            </w:pPr>
          </w:p>
        </w:tc>
        <w:tc>
          <w:tcPr>
            <w:tcW w:w="599" w:type="dxa"/>
            <w:noWrap/>
            <w:vAlign w:val="center"/>
          </w:tcPr>
          <w:p>
            <w:pPr>
              <w:snapToGrid w:val="0"/>
              <w:spacing w:line="400" w:lineRule="exact"/>
              <w:jc w:val="center"/>
              <w:rPr>
                <w:rFonts w:ascii="宋体" w:cs="宋体"/>
                <w:color w:val="auto"/>
                <w:sz w:val="21"/>
                <w:szCs w:val="21"/>
                <w:highlight w:val="none"/>
              </w:rPr>
            </w:pPr>
          </w:p>
        </w:tc>
        <w:tc>
          <w:tcPr>
            <w:tcW w:w="6985" w:type="dxa"/>
            <w:noWrap/>
            <w:vAlign w:val="center"/>
          </w:tcPr>
          <w:p>
            <w:pPr>
              <w:snapToGrid w:val="0"/>
              <w:spacing w:line="400" w:lineRule="exact"/>
              <w:jc w:val="center"/>
              <w:rPr>
                <w:rFonts w:ascii="宋体" w:cs="宋体"/>
                <w:color w:val="auto"/>
                <w:sz w:val="21"/>
                <w:szCs w:val="21"/>
                <w:highlight w:val="none"/>
              </w:rPr>
            </w:pPr>
          </w:p>
        </w:tc>
        <w:tc>
          <w:tcPr>
            <w:tcW w:w="585" w:type="dxa"/>
            <w:noWrap/>
            <w:vAlign w:val="center"/>
          </w:tcPr>
          <w:p>
            <w:pPr>
              <w:snapToGrid w:val="0"/>
              <w:spacing w:line="400" w:lineRule="exact"/>
              <w:jc w:val="center"/>
              <w:rPr>
                <w:rFonts w:ascii="宋体" w:cs="宋体"/>
                <w:color w:val="auto"/>
                <w:sz w:val="21"/>
                <w:szCs w:val="21"/>
                <w:highlight w:val="none"/>
              </w:rPr>
            </w:pPr>
          </w:p>
        </w:tc>
        <w:tc>
          <w:tcPr>
            <w:tcW w:w="1168" w:type="dxa"/>
            <w:noWrap/>
            <w:vAlign w:val="center"/>
          </w:tcPr>
          <w:p>
            <w:pPr>
              <w:snapToGrid w:val="0"/>
              <w:spacing w:line="400" w:lineRule="exact"/>
              <w:jc w:val="center"/>
              <w:rPr>
                <w:rFonts w:asci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423" w:type="dxa"/>
            <w:noWrap/>
            <w:vAlign w:val="center"/>
          </w:tcPr>
          <w:p>
            <w:pPr>
              <w:snapToGrid w:val="0"/>
              <w:spacing w:line="400" w:lineRule="exact"/>
              <w:jc w:val="center"/>
              <w:rPr>
                <w:rFonts w:ascii="宋体" w:cs="宋体"/>
                <w:color w:val="auto"/>
                <w:sz w:val="21"/>
                <w:szCs w:val="21"/>
                <w:highlight w:val="none"/>
              </w:rPr>
            </w:pPr>
          </w:p>
        </w:tc>
        <w:tc>
          <w:tcPr>
            <w:tcW w:w="894" w:type="dxa"/>
            <w:noWrap/>
            <w:vAlign w:val="center"/>
          </w:tcPr>
          <w:p>
            <w:pPr>
              <w:snapToGrid w:val="0"/>
              <w:spacing w:line="400" w:lineRule="exact"/>
              <w:jc w:val="center"/>
              <w:rPr>
                <w:rFonts w:ascii="宋体" w:cs="宋体"/>
                <w:color w:val="auto"/>
                <w:sz w:val="21"/>
                <w:szCs w:val="21"/>
                <w:highlight w:val="none"/>
              </w:rPr>
            </w:pPr>
          </w:p>
        </w:tc>
        <w:tc>
          <w:tcPr>
            <w:tcW w:w="599" w:type="dxa"/>
            <w:noWrap/>
            <w:vAlign w:val="center"/>
          </w:tcPr>
          <w:p>
            <w:pPr>
              <w:snapToGrid w:val="0"/>
              <w:spacing w:line="400" w:lineRule="exact"/>
              <w:jc w:val="center"/>
              <w:rPr>
                <w:rFonts w:ascii="宋体" w:cs="宋体"/>
                <w:color w:val="auto"/>
                <w:sz w:val="21"/>
                <w:szCs w:val="21"/>
                <w:highlight w:val="none"/>
              </w:rPr>
            </w:pPr>
          </w:p>
        </w:tc>
        <w:tc>
          <w:tcPr>
            <w:tcW w:w="6985" w:type="dxa"/>
            <w:noWrap/>
            <w:vAlign w:val="center"/>
          </w:tcPr>
          <w:p>
            <w:pPr>
              <w:snapToGrid w:val="0"/>
              <w:spacing w:line="400" w:lineRule="exact"/>
              <w:jc w:val="center"/>
              <w:rPr>
                <w:rFonts w:ascii="宋体" w:cs="宋体"/>
                <w:color w:val="auto"/>
                <w:sz w:val="21"/>
                <w:szCs w:val="21"/>
                <w:highlight w:val="none"/>
              </w:rPr>
            </w:pPr>
          </w:p>
        </w:tc>
        <w:tc>
          <w:tcPr>
            <w:tcW w:w="585" w:type="dxa"/>
            <w:noWrap/>
            <w:vAlign w:val="center"/>
          </w:tcPr>
          <w:p>
            <w:pPr>
              <w:snapToGrid w:val="0"/>
              <w:spacing w:line="400" w:lineRule="exact"/>
              <w:jc w:val="center"/>
              <w:rPr>
                <w:rFonts w:ascii="宋体" w:cs="宋体"/>
                <w:color w:val="auto"/>
                <w:sz w:val="21"/>
                <w:szCs w:val="21"/>
                <w:highlight w:val="none"/>
              </w:rPr>
            </w:pPr>
          </w:p>
        </w:tc>
        <w:tc>
          <w:tcPr>
            <w:tcW w:w="1168" w:type="dxa"/>
            <w:noWrap/>
            <w:vAlign w:val="center"/>
          </w:tcPr>
          <w:p>
            <w:pPr>
              <w:snapToGrid w:val="0"/>
              <w:spacing w:line="400" w:lineRule="exact"/>
              <w:jc w:val="center"/>
              <w:rPr>
                <w:rFonts w:asci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423" w:type="dxa"/>
            <w:noWrap/>
            <w:vAlign w:val="center"/>
          </w:tcPr>
          <w:p>
            <w:pPr>
              <w:snapToGrid w:val="0"/>
              <w:spacing w:line="400" w:lineRule="exact"/>
              <w:jc w:val="center"/>
              <w:rPr>
                <w:rFonts w:ascii="宋体" w:cs="宋体"/>
                <w:color w:val="auto"/>
                <w:sz w:val="21"/>
                <w:szCs w:val="21"/>
                <w:highlight w:val="none"/>
              </w:rPr>
            </w:pPr>
          </w:p>
        </w:tc>
        <w:tc>
          <w:tcPr>
            <w:tcW w:w="894" w:type="dxa"/>
            <w:noWrap/>
            <w:vAlign w:val="center"/>
          </w:tcPr>
          <w:p>
            <w:pPr>
              <w:snapToGrid w:val="0"/>
              <w:spacing w:line="400" w:lineRule="exact"/>
              <w:jc w:val="center"/>
              <w:rPr>
                <w:rFonts w:ascii="宋体" w:cs="宋体"/>
                <w:color w:val="auto"/>
                <w:sz w:val="21"/>
                <w:szCs w:val="21"/>
                <w:highlight w:val="none"/>
              </w:rPr>
            </w:pPr>
          </w:p>
        </w:tc>
        <w:tc>
          <w:tcPr>
            <w:tcW w:w="599" w:type="dxa"/>
            <w:noWrap/>
            <w:vAlign w:val="center"/>
          </w:tcPr>
          <w:p>
            <w:pPr>
              <w:snapToGrid w:val="0"/>
              <w:spacing w:line="400" w:lineRule="exact"/>
              <w:jc w:val="center"/>
              <w:rPr>
                <w:rFonts w:ascii="宋体" w:cs="宋体"/>
                <w:color w:val="auto"/>
                <w:sz w:val="21"/>
                <w:szCs w:val="21"/>
                <w:highlight w:val="none"/>
              </w:rPr>
            </w:pPr>
          </w:p>
        </w:tc>
        <w:tc>
          <w:tcPr>
            <w:tcW w:w="6985" w:type="dxa"/>
            <w:noWrap/>
            <w:vAlign w:val="center"/>
          </w:tcPr>
          <w:p>
            <w:pPr>
              <w:snapToGrid w:val="0"/>
              <w:spacing w:line="400" w:lineRule="exact"/>
              <w:jc w:val="center"/>
              <w:rPr>
                <w:rFonts w:ascii="宋体" w:cs="宋体"/>
                <w:color w:val="auto"/>
                <w:sz w:val="21"/>
                <w:szCs w:val="21"/>
                <w:highlight w:val="none"/>
              </w:rPr>
            </w:pPr>
          </w:p>
        </w:tc>
        <w:tc>
          <w:tcPr>
            <w:tcW w:w="585" w:type="dxa"/>
            <w:noWrap/>
            <w:vAlign w:val="center"/>
          </w:tcPr>
          <w:p>
            <w:pPr>
              <w:snapToGrid w:val="0"/>
              <w:spacing w:line="400" w:lineRule="exact"/>
              <w:jc w:val="center"/>
              <w:rPr>
                <w:rFonts w:ascii="宋体" w:cs="宋体"/>
                <w:color w:val="auto"/>
                <w:sz w:val="21"/>
                <w:szCs w:val="21"/>
                <w:highlight w:val="none"/>
              </w:rPr>
            </w:pPr>
          </w:p>
        </w:tc>
        <w:tc>
          <w:tcPr>
            <w:tcW w:w="1168" w:type="dxa"/>
            <w:noWrap/>
            <w:vAlign w:val="center"/>
          </w:tcPr>
          <w:p>
            <w:pPr>
              <w:snapToGrid w:val="0"/>
              <w:spacing w:line="400" w:lineRule="exact"/>
              <w:jc w:val="center"/>
              <w:rPr>
                <w:rFonts w:asci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423" w:type="dxa"/>
            <w:noWrap/>
            <w:vAlign w:val="center"/>
          </w:tcPr>
          <w:p>
            <w:pPr>
              <w:snapToGrid w:val="0"/>
              <w:spacing w:line="400" w:lineRule="exact"/>
              <w:jc w:val="center"/>
              <w:rPr>
                <w:rFonts w:ascii="宋体" w:cs="宋体"/>
                <w:color w:val="auto"/>
                <w:sz w:val="21"/>
                <w:szCs w:val="21"/>
                <w:highlight w:val="none"/>
              </w:rPr>
            </w:pPr>
          </w:p>
        </w:tc>
        <w:tc>
          <w:tcPr>
            <w:tcW w:w="894" w:type="dxa"/>
            <w:noWrap/>
            <w:vAlign w:val="center"/>
          </w:tcPr>
          <w:p>
            <w:pPr>
              <w:snapToGrid w:val="0"/>
              <w:spacing w:line="400" w:lineRule="exact"/>
              <w:jc w:val="center"/>
              <w:rPr>
                <w:rFonts w:ascii="宋体" w:cs="宋体"/>
                <w:color w:val="auto"/>
                <w:sz w:val="21"/>
                <w:szCs w:val="21"/>
                <w:highlight w:val="none"/>
              </w:rPr>
            </w:pPr>
          </w:p>
        </w:tc>
        <w:tc>
          <w:tcPr>
            <w:tcW w:w="599" w:type="dxa"/>
            <w:noWrap/>
            <w:vAlign w:val="center"/>
          </w:tcPr>
          <w:p>
            <w:pPr>
              <w:snapToGrid w:val="0"/>
              <w:spacing w:line="400" w:lineRule="exact"/>
              <w:jc w:val="center"/>
              <w:rPr>
                <w:rFonts w:ascii="宋体" w:cs="宋体"/>
                <w:color w:val="auto"/>
                <w:sz w:val="21"/>
                <w:szCs w:val="21"/>
                <w:highlight w:val="none"/>
              </w:rPr>
            </w:pPr>
          </w:p>
        </w:tc>
        <w:tc>
          <w:tcPr>
            <w:tcW w:w="6985" w:type="dxa"/>
            <w:noWrap/>
            <w:vAlign w:val="center"/>
          </w:tcPr>
          <w:p>
            <w:pPr>
              <w:snapToGrid w:val="0"/>
              <w:spacing w:line="400" w:lineRule="exact"/>
              <w:jc w:val="center"/>
              <w:rPr>
                <w:rFonts w:ascii="宋体" w:cs="宋体"/>
                <w:color w:val="auto"/>
                <w:sz w:val="21"/>
                <w:szCs w:val="21"/>
                <w:highlight w:val="none"/>
              </w:rPr>
            </w:pPr>
          </w:p>
        </w:tc>
        <w:tc>
          <w:tcPr>
            <w:tcW w:w="585" w:type="dxa"/>
            <w:noWrap/>
            <w:vAlign w:val="center"/>
          </w:tcPr>
          <w:p>
            <w:pPr>
              <w:snapToGrid w:val="0"/>
              <w:spacing w:line="400" w:lineRule="exact"/>
              <w:jc w:val="center"/>
              <w:rPr>
                <w:rFonts w:ascii="宋体" w:cs="宋体"/>
                <w:color w:val="auto"/>
                <w:sz w:val="21"/>
                <w:szCs w:val="21"/>
                <w:highlight w:val="none"/>
              </w:rPr>
            </w:pPr>
          </w:p>
        </w:tc>
        <w:tc>
          <w:tcPr>
            <w:tcW w:w="1168" w:type="dxa"/>
            <w:noWrap/>
            <w:vAlign w:val="center"/>
          </w:tcPr>
          <w:p>
            <w:pPr>
              <w:snapToGrid w:val="0"/>
              <w:spacing w:line="400" w:lineRule="exact"/>
              <w:jc w:val="center"/>
              <w:rPr>
                <w:rFonts w:ascii="宋体" w:cs="宋体"/>
                <w:color w:val="auto"/>
                <w:sz w:val="21"/>
                <w:szCs w:val="21"/>
                <w:highlight w:val="none"/>
              </w:rPr>
            </w:pPr>
          </w:p>
        </w:tc>
      </w:tr>
    </w:tbl>
    <w:p>
      <w:pPr>
        <w:snapToGrid w:val="0"/>
        <w:spacing w:line="402" w:lineRule="atLeast"/>
        <w:rPr>
          <w:rFonts w:ascii="宋体" w:cs="宋体"/>
          <w:color w:val="auto"/>
          <w:sz w:val="21"/>
          <w:szCs w:val="21"/>
          <w:highlight w:val="none"/>
        </w:rPr>
      </w:pPr>
      <w:r>
        <w:rPr>
          <w:rFonts w:hint="eastAsia" w:ascii="宋体" w:cs="宋体"/>
          <w:color w:val="auto"/>
          <w:sz w:val="21"/>
          <w:szCs w:val="21"/>
          <w:highlight w:val="none"/>
        </w:rPr>
        <w:t>自评分表得分仅作为评标的参考，不作为投标人的最终得分。</w:t>
      </w:r>
    </w:p>
    <w:p>
      <w:pPr>
        <w:rPr>
          <w:rFonts w:ascii="宋体" w:cs="宋体"/>
          <w:color w:val="auto"/>
          <w:sz w:val="21"/>
          <w:szCs w:val="21"/>
          <w:highlight w:val="none"/>
        </w:rPr>
      </w:pPr>
    </w:p>
    <w:p>
      <w:pPr>
        <w:pStyle w:val="17"/>
        <w:ind w:firstLine="210"/>
        <w:rPr>
          <w:rFonts w:ascii="宋体" w:cs="宋体"/>
          <w:color w:val="auto"/>
          <w:sz w:val="21"/>
          <w:szCs w:val="21"/>
          <w:highlight w:val="none"/>
        </w:rPr>
      </w:pPr>
    </w:p>
    <w:p>
      <w:pPr>
        <w:pStyle w:val="4"/>
        <w:spacing w:before="0" w:after="0" w:line="360" w:lineRule="auto"/>
        <w:jc w:val="center"/>
        <w:rPr>
          <w:rFonts w:ascii="宋体" w:eastAsia="宋体" w:cs="宋体"/>
          <w:color w:val="auto"/>
          <w:kern w:val="0"/>
          <w:sz w:val="28"/>
          <w:szCs w:val="28"/>
          <w:highlight w:val="none"/>
        </w:rPr>
      </w:pPr>
      <w:r>
        <w:rPr>
          <w:rFonts w:hint="eastAsia" w:ascii="宋体" w:eastAsia="宋体" w:cs="宋体"/>
          <w:color w:val="auto"/>
          <w:sz w:val="28"/>
          <w:szCs w:val="28"/>
          <w:highlight w:val="none"/>
        </w:rPr>
        <w:t>政府采购活动现场确认声明书</w:t>
      </w:r>
    </w:p>
    <w:p>
      <w:pPr>
        <w:pStyle w:val="87"/>
        <w:widowControl w:val="0"/>
        <w:snapToGrid w:val="0"/>
        <w:spacing w:line="440" w:lineRule="exact"/>
        <w:ind w:firstLine="0" w:firstLineChars="0"/>
        <w:jc w:val="both"/>
        <w:rPr>
          <w:rFonts w:eastAsia="宋体" w:cs="宋体"/>
          <w:b/>
          <w:color w:val="auto"/>
          <w:sz w:val="21"/>
          <w:szCs w:val="21"/>
          <w:highlight w:val="none"/>
        </w:rPr>
      </w:pPr>
      <w:r>
        <w:rPr>
          <w:rFonts w:hint="eastAsia" w:eastAsia="宋体" w:cs="宋体"/>
          <w:color w:val="auto"/>
          <w:kern w:val="0"/>
          <w:sz w:val="21"/>
          <w:szCs w:val="21"/>
          <w:highlight w:val="none"/>
          <w:u w:val="single"/>
        </w:rPr>
        <w:t>浙江中兰工程项目管理有限公司</w:t>
      </w:r>
      <w:r>
        <w:rPr>
          <w:rFonts w:hint="eastAsia" w:eastAsia="宋体" w:cs="宋体"/>
          <w:color w:val="auto"/>
          <w:kern w:val="0"/>
          <w:sz w:val="21"/>
          <w:szCs w:val="21"/>
          <w:highlight w:val="none"/>
        </w:rPr>
        <w:t>（招标人名称）：</w:t>
      </w:r>
    </w:p>
    <w:p>
      <w:pPr>
        <w:pStyle w:val="87"/>
        <w:widowControl w:val="0"/>
        <w:snapToGrid w:val="0"/>
        <w:spacing w:line="440" w:lineRule="exact"/>
        <w:ind w:firstLine="444"/>
        <w:jc w:val="both"/>
        <w:rPr>
          <w:rFonts w:eastAsia="宋体" w:cs="宋体"/>
          <w:color w:val="auto"/>
          <w:spacing w:val="6"/>
          <w:sz w:val="21"/>
          <w:szCs w:val="21"/>
          <w:highlight w:val="none"/>
        </w:rPr>
      </w:pPr>
      <w:r>
        <w:rPr>
          <w:rFonts w:hint="eastAsia" w:eastAsia="宋体" w:cs="宋体"/>
          <w:color w:val="auto"/>
          <w:spacing w:val="6"/>
          <w:sz w:val="21"/>
          <w:szCs w:val="21"/>
          <w:highlight w:val="none"/>
        </w:rPr>
        <w:t>本人经由</w:t>
      </w:r>
      <w:r>
        <w:rPr>
          <w:rFonts w:hint="eastAsia" w:eastAsia="宋体" w:cs="宋体"/>
          <w:color w:val="auto"/>
          <w:spacing w:val="6"/>
          <w:sz w:val="21"/>
          <w:szCs w:val="21"/>
          <w:highlight w:val="none"/>
          <w:u w:val="single"/>
        </w:rPr>
        <w:t xml:space="preserve">                  （单位）</w:t>
      </w:r>
      <w:r>
        <w:rPr>
          <w:rFonts w:hint="eastAsia" w:eastAsia="宋体" w:cs="宋体"/>
          <w:color w:val="auto"/>
          <w:spacing w:val="6"/>
          <w:sz w:val="21"/>
          <w:szCs w:val="21"/>
          <w:highlight w:val="none"/>
        </w:rPr>
        <w:t>负责人</w:t>
      </w:r>
      <w:r>
        <w:rPr>
          <w:rFonts w:hint="eastAsia" w:eastAsia="宋体" w:cs="宋体"/>
          <w:color w:val="auto"/>
          <w:spacing w:val="6"/>
          <w:sz w:val="21"/>
          <w:szCs w:val="21"/>
          <w:highlight w:val="none"/>
          <w:u w:val="single"/>
        </w:rPr>
        <w:t xml:space="preserve">        （姓名）</w:t>
      </w:r>
      <w:r>
        <w:rPr>
          <w:rFonts w:hint="eastAsia" w:eastAsia="宋体" w:cs="宋体"/>
          <w:color w:val="auto"/>
          <w:spacing w:val="6"/>
          <w:sz w:val="21"/>
          <w:szCs w:val="21"/>
          <w:highlight w:val="none"/>
        </w:rPr>
        <w:t>合法授权参加</w:t>
      </w:r>
    </w:p>
    <w:p>
      <w:pPr>
        <w:pStyle w:val="87"/>
        <w:widowControl w:val="0"/>
        <w:snapToGrid w:val="0"/>
        <w:spacing w:line="440" w:lineRule="exact"/>
        <w:ind w:firstLine="420"/>
        <w:jc w:val="both"/>
        <w:rPr>
          <w:rFonts w:eastAsia="宋体" w:cs="宋体"/>
          <w:color w:val="auto"/>
          <w:spacing w:val="6"/>
          <w:sz w:val="21"/>
          <w:szCs w:val="21"/>
          <w:highlight w:val="none"/>
        </w:rPr>
      </w:pPr>
      <w:r>
        <w:rPr>
          <w:rFonts w:hint="eastAsia" w:eastAsia="宋体" w:cs="宋体"/>
          <w:bCs/>
          <w:color w:val="auto"/>
          <w:sz w:val="21"/>
          <w:szCs w:val="21"/>
          <w:highlight w:val="none"/>
          <w:u w:val="single"/>
        </w:rPr>
        <w:t xml:space="preserve"> </w:t>
      </w:r>
      <w:r>
        <w:rPr>
          <w:rFonts w:hint="eastAsia" w:eastAsia="宋体" w:cs="宋体"/>
          <w:color w:val="auto"/>
          <w:spacing w:val="6"/>
          <w:sz w:val="21"/>
          <w:szCs w:val="21"/>
          <w:highlight w:val="none"/>
          <w:u w:val="single"/>
        </w:rPr>
        <w:t xml:space="preserve">                    </w:t>
      </w:r>
      <w:r>
        <w:rPr>
          <w:rFonts w:hint="eastAsia" w:eastAsia="宋体" w:cs="宋体"/>
          <w:bCs/>
          <w:color w:val="auto"/>
          <w:spacing w:val="6"/>
          <w:sz w:val="21"/>
          <w:szCs w:val="21"/>
          <w:highlight w:val="none"/>
        </w:rPr>
        <w:t>（编号：</w:t>
      </w:r>
      <w:r>
        <w:rPr>
          <w:rFonts w:hint="eastAsia" w:eastAsia="宋体" w:cs="宋体"/>
          <w:bCs/>
          <w:color w:val="auto"/>
          <w:sz w:val="21"/>
          <w:szCs w:val="21"/>
          <w:highlight w:val="none"/>
          <w:u w:val="single"/>
        </w:rPr>
        <w:t xml:space="preserve">            </w:t>
      </w:r>
      <w:r>
        <w:rPr>
          <w:rFonts w:hint="eastAsia" w:eastAsia="宋体" w:cs="宋体"/>
          <w:bCs/>
          <w:color w:val="auto"/>
          <w:spacing w:val="6"/>
          <w:sz w:val="21"/>
          <w:szCs w:val="21"/>
          <w:highlight w:val="none"/>
        </w:rPr>
        <w:t>）</w:t>
      </w:r>
      <w:r>
        <w:rPr>
          <w:rFonts w:hint="eastAsia" w:eastAsia="宋体" w:cs="宋体"/>
          <w:color w:val="auto"/>
          <w:spacing w:val="6"/>
          <w:sz w:val="21"/>
          <w:szCs w:val="21"/>
          <w:highlight w:val="none"/>
        </w:rPr>
        <w:t xml:space="preserve">政府采购活动，经与本单位法定代表人（负责人）联系确认，现就有关公平竞争事项郑重声明如下： </w:t>
      </w:r>
    </w:p>
    <w:p>
      <w:pPr>
        <w:pStyle w:val="88"/>
        <w:widowControl/>
        <w:numPr>
          <w:ilvl w:val="0"/>
          <w:numId w:val="11"/>
        </w:numPr>
        <w:snapToGrid w:val="0"/>
        <w:spacing w:line="440" w:lineRule="exact"/>
        <w:ind w:firstLine="396" w:firstLineChars="189"/>
        <w:rPr>
          <w:rFonts w:ascii="宋体" w:cs="宋体"/>
          <w:color w:val="auto"/>
          <w:kern w:val="0"/>
          <w:szCs w:val="21"/>
          <w:highlight w:val="none"/>
        </w:rPr>
      </w:pPr>
      <w:r>
        <w:rPr>
          <w:rFonts w:hint="eastAsia" w:ascii="宋体" w:cs="宋体"/>
          <w:color w:val="auto"/>
          <w:kern w:val="0"/>
          <w:szCs w:val="21"/>
          <w:highlight w:val="none"/>
        </w:rPr>
        <w:t xml:space="preserve">本单位与采购人之间 </w:t>
      </w:r>
      <w:r>
        <w:rPr>
          <w:rFonts w:ascii="宋体" w:cs="宋体"/>
          <w:color w:val="auto"/>
          <w:kern w:val="0"/>
          <w:szCs w:val="21"/>
          <w:highlight w:val="none"/>
        </w:rPr>
        <w:sym w:font="Wingdings" w:char="00A8"/>
      </w:r>
      <w:r>
        <w:rPr>
          <w:rFonts w:hint="eastAsia" w:ascii="宋体" w:cs="宋体"/>
          <w:color w:val="auto"/>
          <w:kern w:val="0"/>
          <w:szCs w:val="21"/>
          <w:highlight w:val="none"/>
        </w:rPr>
        <w:t xml:space="preserve">不存在利害关系 </w:t>
      </w:r>
      <w:r>
        <w:rPr>
          <w:rFonts w:ascii="宋体" w:cs="宋体"/>
          <w:color w:val="auto"/>
          <w:kern w:val="0"/>
          <w:szCs w:val="21"/>
          <w:highlight w:val="none"/>
        </w:rPr>
        <w:sym w:font="Wingdings" w:char="00A8"/>
      </w:r>
      <w:r>
        <w:rPr>
          <w:rFonts w:hint="eastAsia" w:ascii="宋体" w:cs="宋体"/>
          <w:color w:val="auto"/>
          <w:kern w:val="0"/>
          <w:szCs w:val="21"/>
          <w:highlight w:val="none"/>
        </w:rPr>
        <w:t>存在下列利害关系</w:t>
      </w:r>
      <w:r>
        <w:rPr>
          <w:rFonts w:hint="eastAsia" w:ascii="宋体" w:cs="宋体"/>
          <w:color w:val="auto"/>
          <w:kern w:val="0"/>
          <w:szCs w:val="21"/>
          <w:highlight w:val="none"/>
          <w:u w:val="single"/>
        </w:rPr>
        <w:t xml:space="preserve">           </w:t>
      </w:r>
      <w:r>
        <w:rPr>
          <w:rFonts w:hint="eastAsia" w:ascii="宋体" w:cs="宋体"/>
          <w:color w:val="auto"/>
          <w:kern w:val="0"/>
          <w:szCs w:val="21"/>
          <w:highlight w:val="none"/>
        </w:rPr>
        <w:t>：</w:t>
      </w:r>
    </w:p>
    <w:p>
      <w:pPr>
        <w:pStyle w:val="88"/>
        <w:widowControl/>
        <w:snapToGrid w:val="0"/>
        <w:spacing w:line="440" w:lineRule="exact"/>
        <w:rPr>
          <w:rFonts w:ascii="宋体" w:cs="宋体"/>
          <w:color w:val="auto"/>
          <w:kern w:val="0"/>
          <w:szCs w:val="21"/>
          <w:highlight w:val="none"/>
        </w:rPr>
      </w:pPr>
      <w:r>
        <w:rPr>
          <w:rFonts w:hint="eastAsia" w:ascii="宋体" w:cs="宋体"/>
          <w:color w:val="auto"/>
          <w:kern w:val="0"/>
          <w:szCs w:val="21"/>
          <w:highlight w:val="none"/>
        </w:rPr>
        <w:t xml:space="preserve">  A.投资关系    B.行政隶属关系    C.业务指导关系</w:t>
      </w:r>
    </w:p>
    <w:p>
      <w:pPr>
        <w:pStyle w:val="88"/>
        <w:widowControl/>
        <w:snapToGrid w:val="0"/>
        <w:spacing w:line="440" w:lineRule="exact"/>
        <w:rPr>
          <w:rFonts w:ascii="宋体" w:cs="宋体"/>
          <w:color w:val="auto"/>
          <w:kern w:val="0"/>
          <w:szCs w:val="21"/>
          <w:highlight w:val="none"/>
        </w:rPr>
      </w:pPr>
      <w:r>
        <w:rPr>
          <w:rFonts w:hint="eastAsia" w:ascii="宋体" w:cs="宋体"/>
          <w:color w:val="auto"/>
          <w:kern w:val="0"/>
          <w:szCs w:val="21"/>
          <w:highlight w:val="none"/>
        </w:rPr>
        <w:t xml:space="preserve">  D.其他可能</w:t>
      </w:r>
      <w:r>
        <w:rPr>
          <w:rFonts w:hint="eastAsia" w:ascii="宋体" w:cs="宋体"/>
          <w:color w:val="auto"/>
          <w:szCs w:val="21"/>
          <w:highlight w:val="none"/>
        </w:rPr>
        <w:t>影响采购公正的</w:t>
      </w:r>
      <w:r>
        <w:rPr>
          <w:rFonts w:hint="eastAsia" w:ascii="宋体" w:cs="宋体"/>
          <w:color w:val="auto"/>
          <w:kern w:val="0"/>
          <w:szCs w:val="21"/>
          <w:highlight w:val="none"/>
        </w:rPr>
        <w:t>利害关系</w:t>
      </w:r>
      <w:r>
        <w:rPr>
          <w:rFonts w:hint="eastAsia" w:ascii="宋体" w:cs="宋体"/>
          <w:color w:val="auto"/>
          <w:kern w:val="0"/>
          <w:szCs w:val="21"/>
          <w:highlight w:val="none"/>
          <w:u w:val="single"/>
        </w:rPr>
        <w:t xml:space="preserve">（如有，请如实说明）                 </w:t>
      </w:r>
      <w:r>
        <w:rPr>
          <w:rFonts w:hint="eastAsia" w:ascii="宋体" w:cs="宋体"/>
          <w:color w:val="auto"/>
          <w:kern w:val="0"/>
          <w:szCs w:val="21"/>
          <w:highlight w:val="none"/>
        </w:rPr>
        <w:t>。</w:t>
      </w:r>
    </w:p>
    <w:p>
      <w:pPr>
        <w:pStyle w:val="88"/>
        <w:widowControl/>
        <w:snapToGrid w:val="0"/>
        <w:spacing w:line="440" w:lineRule="exact"/>
        <w:rPr>
          <w:rFonts w:ascii="宋体" w:cs="宋体"/>
          <w:color w:val="auto"/>
          <w:kern w:val="0"/>
          <w:szCs w:val="21"/>
          <w:highlight w:val="none"/>
        </w:rPr>
      </w:pPr>
      <w:r>
        <w:rPr>
          <w:rFonts w:hint="eastAsia" w:ascii="宋体" w:cs="宋体"/>
          <w:color w:val="auto"/>
          <w:spacing w:val="6"/>
          <w:szCs w:val="21"/>
          <w:highlight w:val="none"/>
        </w:rPr>
        <w:t xml:space="preserve">  二、</w:t>
      </w:r>
      <w:r>
        <w:rPr>
          <w:rFonts w:hint="eastAsia" w:ascii="宋体" w:cs="宋体"/>
          <w:color w:val="auto"/>
          <w:kern w:val="0"/>
          <w:szCs w:val="21"/>
          <w:highlight w:val="none"/>
        </w:rPr>
        <w:t>现已清楚知道参加本项目采购活动的其他所有供应商名称，本单位 □与其他所有供应商之间均不存在利害关系 □与</w:t>
      </w:r>
      <w:r>
        <w:rPr>
          <w:rFonts w:hint="eastAsia" w:ascii="宋体" w:cs="宋体"/>
          <w:color w:val="auto"/>
          <w:kern w:val="0"/>
          <w:szCs w:val="21"/>
          <w:highlight w:val="none"/>
          <w:u w:val="single"/>
        </w:rPr>
        <w:t xml:space="preserve">           （供应商名称）</w:t>
      </w:r>
      <w:r>
        <w:rPr>
          <w:rFonts w:hint="eastAsia" w:ascii="宋体" w:cs="宋体"/>
          <w:color w:val="auto"/>
          <w:kern w:val="0"/>
          <w:szCs w:val="21"/>
          <w:highlight w:val="none"/>
        </w:rPr>
        <w:t>之间存在下列利害关系</w:t>
      </w:r>
      <w:r>
        <w:rPr>
          <w:rFonts w:hint="eastAsia" w:ascii="宋体" w:cs="宋体"/>
          <w:color w:val="auto"/>
          <w:kern w:val="0"/>
          <w:szCs w:val="21"/>
          <w:highlight w:val="none"/>
          <w:u w:val="single"/>
        </w:rPr>
        <w:t xml:space="preserve">          </w:t>
      </w:r>
      <w:r>
        <w:rPr>
          <w:rFonts w:hint="eastAsia" w:ascii="宋体" w:cs="宋体"/>
          <w:color w:val="auto"/>
          <w:kern w:val="0"/>
          <w:szCs w:val="21"/>
          <w:highlight w:val="none"/>
        </w:rPr>
        <w:t>：</w:t>
      </w:r>
    </w:p>
    <w:p>
      <w:pPr>
        <w:pStyle w:val="87"/>
        <w:widowControl w:val="0"/>
        <w:snapToGrid w:val="0"/>
        <w:spacing w:line="440" w:lineRule="exact"/>
        <w:ind w:firstLine="420"/>
        <w:jc w:val="both"/>
        <w:rPr>
          <w:rFonts w:eastAsia="宋体" w:cs="宋体"/>
          <w:color w:val="auto"/>
          <w:kern w:val="0"/>
          <w:sz w:val="21"/>
          <w:szCs w:val="21"/>
          <w:highlight w:val="none"/>
        </w:rPr>
      </w:pPr>
      <w:r>
        <w:rPr>
          <w:rFonts w:hint="eastAsia" w:eastAsia="宋体" w:cs="宋体"/>
          <w:color w:val="auto"/>
          <w:kern w:val="0"/>
          <w:sz w:val="21"/>
          <w:szCs w:val="21"/>
          <w:highlight w:val="none"/>
        </w:rPr>
        <w:t xml:space="preserve">  A.法定代表人或负责人或实际控制人是同一人</w:t>
      </w:r>
    </w:p>
    <w:p>
      <w:pPr>
        <w:pStyle w:val="87"/>
        <w:widowControl w:val="0"/>
        <w:snapToGrid w:val="0"/>
        <w:spacing w:line="440" w:lineRule="exact"/>
        <w:ind w:firstLine="420"/>
        <w:jc w:val="both"/>
        <w:rPr>
          <w:rFonts w:eastAsia="宋体" w:cs="宋体"/>
          <w:color w:val="auto"/>
          <w:spacing w:val="6"/>
          <w:sz w:val="21"/>
          <w:szCs w:val="21"/>
          <w:highlight w:val="none"/>
        </w:rPr>
      </w:pPr>
      <w:r>
        <w:rPr>
          <w:rFonts w:hint="eastAsia" w:eastAsia="宋体" w:cs="宋体"/>
          <w:color w:val="auto"/>
          <w:kern w:val="0"/>
          <w:sz w:val="21"/>
          <w:szCs w:val="21"/>
          <w:highlight w:val="none"/>
        </w:rPr>
        <w:t xml:space="preserve">  B.法定代表人或负责人或实际控制人是夫妻关系</w:t>
      </w:r>
    </w:p>
    <w:p>
      <w:pPr>
        <w:pStyle w:val="87"/>
        <w:widowControl w:val="0"/>
        <w:snapToGrid w:val="0"/>
        <w:spacing w:line="440" w:lineRule="exact"/>
        <w:ind w:firstLine="420"/>
        <w:jc w:val="both"/>
        <w:rPr>
          <w:rFonts w:eastAsia="宋体" w:cs="宋体"/>
          <w:color w:val="auto"/>
          <w:spacing w:val="6"/>
          <w:sz w:val="21"/>
          <w:szCs w:val="21"/>
          <w:highlight w:val="none"/>
        </w:rPr>
      </w:pPr>
      <w:r>
        <w:rPr>
          <w:rFonts w:hint="eastAsia" w:eastAsia="宋体" w:cs="宋体"/>
          <w:color w:val="auto"/>
          <w:kern w:val="0"/>
          <w:sz w:val="21"/>
          <w:szCs w:val="21"/>
          <w:highlight w:val="none"/>
        </w:rPr>
        <w:t xml:space="preserve">  C.法定代表人或负责人或实际控制人是直系血亲关系</w:t>
      </w:r>
    </w:p>
    <w:p>
      <w:pPr>
        <w:pStyle w:val="87"/>
        <w:widowControl w:val="0"/>
        <w:snapToGrid w:val="0"/>
        <w:spacing w:line="440" w:lineRule="exact"/>
        <w:ind w:firstLine="420"/>
        <w:jc w:val="both"/>
        <w:rPr>
          <w:rFonts w:eastAsia="宋体" w:cs="宋体"/>
          <w:color w:val="auto"/>
          <w:spacing w:val="6"/>
          <w:sz w:val="21"/>
          <w:szCs w:val="21"/>
          <w:highlight w:val="none"/>
        </w:rPr>
      </w:pPr>
      <w:r>
        <w:rPr>
          <w:rFonts w:hint="eastAsia" w:eastAsia="宋体" w:cs="宋体"/>
          <w:color w:val="auto"/>
          <w:kern w:val="0"/>
          <w:sz w:val="21"/>
          <w:szCs w:val="21"/>
          <w:highlight w:val="none"/>
        </w:rPr>
        <w:t xml:space="preserve">  D.法定代表人或负责人或实际控制人存在三代以内旁系血亲关系</w:t>
      </w:r>
    </w:p>
    <w:p>
      <w:pPr>
        <w:pStyle w:val="87"/>
        <w:widowControl w:val="0"/>
        <w:snapToGrid w:val="0"/>
        <w:spacing w:line="440" w:lineRule="exact"/>
        <w:ind w:firstLine="420"/>
        <w:jc w:val="both"/>
        <w:rPr>
          <w:rFonts w:eastAsia="宋体" w:cs="宋体"/>
          <w:color w:val="auto"/>
          <w:kern w:val="0"/>
          <w:sz w:val="21"/>
          <w:szCs w:val="21"/>
          <w:highlight w:val="none"/>
        </w:rPr>
      </w:pPr>
      <w:r>
        <w:rPr>
          <w:rFonts w:hint="eastAsia" w:eastAsia="宋体" w:cs="宋体"/>
          <w:color w:val="auto"/>
          <w:kern w:val="0"/>
          <w:sz w:val="21"/>
          <w:szCs w:val="21"/>
          <w:highlight w:val="none"/>
        </w:rPr>
        <w:t xml:space="preserve">  E.法定代表人或负责人或实际控制人存在近姻亲关系</w:t>
      </w:r>
    </w:p>
    <w:p>
      <w:pPr>
        <w:pStyle w:val="87"/>
        <w:widowControl w:val="0"/>
        <w:snapToGrid w:val="0"/>
        <w:spacing w:line="440" w:lineRule="exact"/>
        <w:ind w:firstLine="420"/>
        <w:jc w:val="both"/>
        <w:rPr>
          <w:rFonts w:eastAsia="宋体" w:cs="宋体"/>
          <w:color w:val="auto"/>
          <w:kern w:val="0"/>
          <w:sz w:val="21"/>
          <w:szCs w:val="21"/>
          <w:highlight w:val="none"/>
        </w:rPr>
      </w:pPr>
      <w:r>
        <w:rPr>
          <w:rFonts w:hint="eastAsia" w:eastAsia="宋体" w:cs="宋体"/>
          <w:color w:val="auto"/>
          <w:kern w:val="0"/>
          <w:sz w:val="21"/>
          <w:szCs w:val="21"/>
          <w:highlight w:val="none"/>
        </w:rPr>
        <w:t xml:space="preserve">  F.法定代表人或负责人或实际控制人存在股份控制或实际控制关系</w:t>
      </w:r>
    </w:p>
    <w:p>
      <w:pPr>
        <w:pStyle w:val="87"/>
        <w:widowControl w:val="0"/>
        <w:snapToGrid w:val="0"/>
        <w:spacing w:line="440" w:lineRule="exact"/>
        <w:ind w:firstLine="420"/>
        <w:jc w:val="both"/>
        <w:rPr>
          <w:rFonts w:eastAsia="宋体" w:cs="宋体"/>
          <w:color w:val="auto"/>
          <w:kern w:val="0"/>
          <w:sz w:val="21"/>
          <w:szCs w:val="21"/>
          <w:highlight w:val="none"/>
        </w:rPr>
      </w:pPr>
      <w:r>
        <w:rPr>
          <w:rFonts w:hint="eastAsia" w:eastAsia="宋体" w:cs="宋体"/>
          <w:color w:val="auto"/>
          <w:kern w:val="0"/>
          <w:sz w:val="21"/>
          <w:szCs w:val="21"/>
          <w:highlight w:val="none"/>
        </w:rPr>
        <w:t xml:space="preserve">  G.存在共同直接或间接投资设立子公司、联营企业和合营企业情况</w:t>
      </w:r>
    </w:p>
    <w:p>
      <w:pPr>
        <w:pStyle w:val="87"/>
        <w:widowControl w:val="0"/>
        <w:snapToGrid w:val="0"/>
        <w:spacing w:line="440" w:lineRule="exact"/>
        <w:ind w:firstLine="420"/>
        <w:jc w:val="both"/>
        <w:rPr>
          <w:rFonts w:eastAsia="宋体" w:cs="宋体"/>
          <w:color w:val="auto"/>
          <w:sz w:val="21"/>
          <w:szCs w:val="21"/>
          <w:highlight w:val="none"/>
        </w:rPr>
      </w:pPr>
      <w:r>
        <w:rPr>
          <w:rFonts w:hint="eastAsia" w:eastAsia="宋体" w:cs="宋体"/>
          <w:color w:val="auto"/>
          <w:kern w:val="0"/>
          <w:sz w:val="21"/>
          <w:szCs w:val="21"/>
          <w:highlight w:val="none"/>
        </w:rPr>
        <w:t xml:space="preserve">  H.存在分级代理或代销关系、同一生产制造商关系、</w:t>
      </w:r>
      <w:r>
        <w:rPr>
          <w:rFonts w:hint="eastAsia" w:eastAsia="宋体" w:cs="宋体"/>
          <w:color w:val="auto"/>
          <w:sz w:val="21"/>
          <w:szCs w:val="21"/>
          <w:highlight w:val="none"/>
        </w:rPr>
        <w:t>管理关系、重要业务（占主营业务收入50%以上）或重要财务往来关系（如融资）等其他实质性控制关系</w:t>
      </w:r>
    </w:p>
    <w:p>
      <w:pPr>
        <w:pStyle w:val="87"/>
        <w:widowControl w:val="0"/>
        <w:snapToGrid w:val="0"/>
        <w:spacing w:line="440" w:lineRule="exact"/>
        <w:ind w:firstLine="420"/>
        <w:jc w:val="both"/>
        <w:rPr>
          <w:rFonts w:eastAsia="宋体" w:cs="宋体"/>
          <w:color w:val="auto"/>
          <w:spacing w:val="6"/>
          <w:sz w:val="21"/>
          <w:szCs w:val="21"/>
          <w:highlight w:val="none"/>
        </w:rPr>
      </w:pPr>
      <w:r>
        <w:rPr>
          <w:rFonts w:hint="eastAsia" w:eastAsia="宋体" w:cs="宋体"/>
          <w:color w:val="auto"/>
          <w:sz w:val="21"/>
          <w:szCs w:val="21"/>
          <w:highlight w:val="none"/>
        </w:rPr>
        <w:t xml:space="preserve">    I</w:t>
      </w:r>
      <w:r>
        <w:rPr>
          <w:rFonts w:hint="eastAsia" w:eastAsia="宋体" w:cs="宋体"/>
          <w:color w:val="auto"/>
          <w:kern w:val="0"/>
          <w:sz w:val="21"/>
          <w:szCs w:val="21"/>
          <w:highlight w:val="none"/>
        </w:rPr>
        <w:t>.</w:t>
      </w:r>
      <w:r>
        <w:rPr>
          <w:rFonts w:hint="eastAsia" w:eastAsia="宋体" w:cs="宋体"/>
          <w:color w:val="auto"/>
          <w:sz w:val="21"/>
          <w:szCs w:val="21"/>
          <w:highlight w:val="none"/>
        </w:rPr>
        <w:t>其他利害关系情况</w:t>
      </w:r>
      <w:r>
        <w:rPr>
          <w:rFonts w:hint="eastAsia" w:eastAsia="宋体" w:cs="宋体"/>
          <w:color w:val="auto"/>
          <w:sz w:val="21"/>
          <w:szCs w:val="21"/>
          <w:highlight w:val="none"/>
          <w:u w:val="single"/>
        </w:rPr>
        <w:t xml:space="preserve">                              </w:t>
      </w:r>
      <w:r>
        <w:rPr>
          <w:rFonts w:hint="eastAsia" w:eastAsia="宋体" w:cs="宋体"/>
          <w:color w:val="auto"/>
          <w:kern w:val="0"/>
          <w:sz w:val="21"/>
          <w:szCs w:val="21"/>
          <w:highlight w:val="none"/>
        </w:rPr>
        <w:t>。</w:t>
      </w:r>
    </w:p>
    <w:p>
      <w:pPr>
        <w:pStyle w:val="88"/>
        <w:widowControl/>
        <w:numPr>
          <w:ilvl w:val="0"/>
          <w:numId w:val="12"/>
        </w:numPr>
        <w:snapToGrid w:val="0"/>
        <w:spacing w:line="440" w:lineRule="exact"/>
        <w:ind w:firstLine="396" w:firstLineChars="189"/>
        <w:rPr>
          <w:rFonts w:ascii="宋体" w:cs="宋体"/>
          <w:color w:val="auto"/>
          <w:kern w:val="0"/>
          <w:szCs w:val="21"/>
          <w:highlight w:val="none"/>
        </w:rPr>
      </w:pPr>
      <w:r>
        <w:rPr>
          <w:rFonts w:hint="eastAsia" w:ascii="宋体" w:cs="宋体"/>
          <w:color w:val="auto"/>
          <w:szCs w:val="21"/>
          <w:highlight w:val="none"/>
        </w:rPr>
        <w:t>现已清楚知道并</w:t>
      </w:r>
      <w:r>
        <w:rPr>
          <w:rFonts w:hint="eastAsia" w:ascii="宋体" w:cs="宋体"/>
          <w:color w:val="auto"/>
          <w:kern w:val="0"/>
          <w:szCs w:val="21"/>
          <w:highlight w:val="none"/>
        </w:rPr>
        <w:t>严格遵守政府采购法律法规和现场纪律。</w:t>
      </w:r>
    </w:p>
    <w:p>
      <w:pPr>
        <w:pStyle w:val="88"/>
        <w:widowControl/>
        <w:numPr>
          <w:ilvl w:val="0"/>
          <w:numId w:val="12"/>
        </w:numPr>
        <w:snapToGrid w:val="0"/>
        <w:spacing w:line="440" w:lineRule="exact"/>
        <w:ind w:firstLine="396" w:firstLineChars="189"/>
        <w:rPr>
          <w:rFonts w:ascii="宋体" w:cs="宋体"/>
          <w:color w:val="auto"/>
          <w:kern w:val="0"/>
          <w:szCs w:val="21"/>
          <w:highlight w:val="none"/>
        </w:rPr>
      </w:pPr>
      <w:r>
        <w:rPr>
          <w:rFonts w:hint="eastAsia" w:ascii="宋体" w:cs="宋体"/>
          <w:color w:val="auto"/>
          <w:kern w:val="0"/>
          <w:szCs w:val="21"/>
          <w:highlight w:val="none"/>
        </w:rPr>
        <w:t>我发现</w:t>
      </w:r>
      <w:r>
        <w:rPr>
          <w:rFonts w:hint="eastAsia" w:ascii="宋体" w:cs="宋体"/>
          <w:color w:val="auto"/>
          <w:kern w:val="0"/>
          <w:szCs w:val="21"/>
          <w:highlight w:val="none"/>
          <w:u w:val="single"/>
        </w:rPr>
        <w:t xml:space="preserve">                    </w:t>
      </w:r>
      <w:r>
        <w:rPr>
          <w:rFonts w:hint="eastAsia" w:ascii="宋体" w:cs="宋体"/>
          <w:color w:val="auto"/>
          <w:kern w:val="0"/>
          <w:szCs w:val="21"/>
          <w:highlight w:val="none"/>
        </w:rPr>
        <w:t>供应商之间存在或可能存在上述第二条第</w:t>
      </w:r>
      <w:r>
        <w:rPr>
          <w:rFonts w:hint="eastAsia" w:ascii="宋体" w:cs="宋体"/>
          <w:color w:val="auto"/>
          <w:kern w:val="0"/>
          <w:szCs w:val="21"/>
          <w:highlight w:val="none"/>
          <w:u w:val="single"/>
        </w:rPr>
        <w:t xml:space="preserve">        </w:t>
      </w:r>
      <w:r>
        <w:rPr>
          <w:rFonts w:hint="eastAsia" w:ascii="宋体" w:cs="宋体"/>
          <w:color w:val="auto"/>
          <w:kern w:val="0"/>
          <w:szCs w:val="21"/>
          <w:highlight w:val="none"/>
        </w:rPr>
        <w:t>项利害关系。</w:t>
      </w:r>
    </w:p>
    <w:p>
      <w:pPr>
        <w:pStyle w:val="87"/>
        <w:widowControl w:val="0"/>
        <w:snapToGrid w:val="0"/>
        <w:spacing w:line="500" w:lineRule="exact"/>
        <w:ind w:firstLine="420"/>
        <w:jc w:val="both"/>
        <w:rPr>
          <w:rFonts w:eastAsia="宋体" w:cs="宋体"/>
          <w:color w:val="auto"/>
          <w:sz w:val="21"/>
          <w:szCs w:val="21"/>
          <w:highlight w:val="none"/>
        </w:rPr>
      </w:pPr>
      <w:r>
        <w:rPr>
          <w:rFonts w:hint="eastAsia" w:eastAsia="宋体" w:cs="宋体"/>
          <w:color w:val="auto"/>
          <w:sz w:val="21"/>
          <w:szCs w:val="21"/>
          <w:highlight w:val="none"/>
        </w:rPr>
        <w:t xml:space="preserve">                               （供应商代表签名）</w:t>
      </w:r>
    </w:p>
    <w:p>
      <w:pPr>
        <w:pStyle w:val="87"/>
        <w:widowControl w:val="0"/>
        <w:snapToGrid w:val="0"/>
        <w:spacing w:line="500" w:lineRule="exact"/>
        <w:ind w:firstLine="420"/>
        <w:jc w:val="both"/>
        <w:rPr>
          <w:rFonts w:eastAsia="宋体" w:cs="宋体"/>
          <w:color w:val="auto"/>
          <w:sz w:val="21"/>
          <w:szCs w:val="21"/>
          <w:highlight w:val="none"/>
        </w:rPr>
      </w:pPr>
      <w:r>
        <w:rPr>
          <w:rFonts w:hint="eastAsia" w:eastAsia="宋体" w:cs="宋体"/>
          <w:color w:val="auto"/>
          <w:sz w:val="21"/>
          <w:szCs w:val="21"/>
          <w:highlight w:val="none"/>
        </w:rPr>
        <w:t xml:space="preserve">                                    年  月  日</w:t>
      </w:r>
    </w:p>
    <w:p>
      <w:pPr>
        <w:spacing w:line="500" w:lineRule="exact"/>
        <w:jc w:val="center"/>
        <w:rPr>
          <w:rFonts w:ascii="宋体" w:cs="宋体"/>
          <w:b/>
          <w:color w:val="auto"/>
          <w:sz w:val="21"/>
          <w:szCs w:val="21"/>
          <w:highlight w:val="none"/>
        </w:rPr>
      </w:pPr>
    </w:p>
    <w:p>
      <w:pPr>
        <w:spacing w:line="500" w:lineRule="exact"/>
        <w:jc w:val="center"/>
        <w:rPr>
          <w:rFonts w:ascii="宋体" w:cs="宋体"/>
          <w:b/>
          <w:color w:val="auto"/>
          <w:sz w:val="30"/>
          <w:szCs w:val="30"/>
          <w:highlight w:val="none"/>
        </w:rPr>
      </w:pPr>
    </w:p>
    <w:p>
      <w:pPr>
        <w:spacing w:line="500" w:lineRule="exact"/>
        <w:jc w:val="center"/>
        <w:rPr>
          <w:rFonts w:ascii="宋体" w:cs="宋体"/>
          <w:b/>
          <w:color w:val="auto"/>
          <w:sz w:val="30"/>
          <w:szCs w:val="30"/>
          <w:highlight w:val="none"/>
        </w:rPr>
      </w:pPr>
      <w:r>
        <w:rPr>
          <w:rFonts w:hint="eastAsia" w:ascii="宋体" w:cs="宋体"/>
          <w:b/>
          <w:color w:val="auto"/>
          <w:sz w:val="30"/>
          <w:szCs w:val="30"/>
          <w:highlight w:val="none"/>
        </w:rPr>
        <w:t>无围标串标挂靠等负面行为承诺书</w:t>
      </w:r>
    </w:p>
    <w:p>
      <w:pPr>
        <w:spacing w:line="520" w:lineRule="exact"/>
        <w:rPr>
          <w:rFonts w:ascii="宋体" w:cs="宋体"/>
          <w:color w:val="auto"/>
          <w:sz w:val="21"/>
          <w:szCs w:val="21"/>
          <w:highlight w:val="none"/>
          <w:u w:val="single"/>
        </w:rPr>
      </w:pPr>
    </w:p>
    <w:p>
      <w:pPr>
        <w:spacing w:line="520" w:lineRule="exact"/>
        <w:rPr>
          <w:rFonts w:ascii="宋体" w:cs="宋体"/>
          <w:color w:val="auto"/>
          <w:sz w:val="21"/>
          <w:szCs w:val="21"/>
          <w:highlight w:val="none"/>
          <w:u w:val="single"/>
        </w:rPr>
      </w:pPr>
      <w:r>
        <w:rPr>
          <w:rFonts w:hint="eastAsia" w:ascii="宋体" w:cs="宋体"/>
          <w:color w:val="auto"/>
          <w:sz w:val="21"/>
          <w:szCs w:val="21"/>
          <w:highlight w:val="none"/>
          <w:u w:val="single"/>
        </w:rPr>
        <w:t xml:space="preserve">               （采购人名称）： </w:t>
      </w:r>
    </w:p>
    <w:p>
      <w:pPr>
        <w:spacing w:line="620" w:lineRule="exact"/>
        <w:rPr>
          <w:rFonts w:ascii="宋体" w:cs="宋体"/>
          <w:color w:val="auto"/>
          <w:sz w:val="21"/>
          <w:szCs w:val="21"/>
          <w:highlight w:val="none"/>
        </w:rPr>
      </w:pPr>
      <w:r>
        <w:rPr>
          <w:rFonts w:hint="eastAsia" w:ascii="宋体" w:cs="宋体"/>
          <w:color w:val="auto"/>
          <w:sz w:val="21"/>
          <w:szCs w:val="21"/>
          <w:highlight w:val="none"/>
        </w:rPr>
        <w:t xml:space="preserve"> </w:t>
      </w:r>
    </w:p>
    <w:p>
      <w:pPr>
        <w:spacing w:line="520" w:lineRule="exact"/>
        <w:ind w:firstLine="420" w:firstLineChars="200"/>
        <w:rPr>
          <w:rFonts w:ascii="宋体" w:cs="宋体"/>
          <w:color w:val="auto"/>
          <w:sz w:val="21"/>
          <w:szCs w:val="21"/>
          <w:highlight w:val="none"/>
        </w:rPr>
      </w:pPr>
      <w:r>
        <w:rPr>
          <w:rFonts w:hint="eastAsia" w:ascii="宋体" w:cs="宋体"/>
          <w:color w:val="auto"/>
          <w:sz w:val="21"/>
          <w:szCs w:val="21"/>
          <w:highlight w:val="none"/>
        </w:rPr>
        <w:t>我单位承诺：</w:t>
      </w:r>
    </w:p>
    <w:p>
      <w:pPr>
        <w:spacing w:line="520" w:lineRule="exact"/>
        <w:ind w:firstLine="420" w:firstLineChars="200"/>
        <w:rPr>
          <w:rFonts w:ascii="宋体" w:cs="宋体"/>
          <w:color w:val="auto"/>
          <w:sz w:val="21"/>
          <w:szCs w:val="21"/>
          <w:highlight w:val="none"/>
        </w:rPr>
      </w:pPr>
      <w:r>
        <w:rPr>
          <w:rFonts w:hint="eastAsia" w:ascii="宋体" w:cs="宋体"/>
          <w:color w:val="auto"/>
          <w:sz w:val="21"/>
          <w:szCs w:val="21"/>
          <w:highlight w:val="none"/>
        </w:rPr>
        <w:t>一、遵循公开、公平、公正、诚实守信的原则，所提供的一切材料均真实、有效、合法，依法依规参与本项目投标。</w:t>
      </w:r>
    </w:p>
    <w:p>
      <w:pPr>
        <w:spacing w:line="520" w:lineRule="exact"/>
        <w:ind w:firstLine="420" w:firstLineChars="200"/>
        <w:rPr>
          <w:rFonts w:ascii="宋体" w:cs="宋体"/>
          <w:color w:val="auto"/>
          <w:sz w:val="21"/>
          <w:szCs w:val="21"/>
          <w:highlight w:val="none"/>
        </w:rPr>
      </w:pPr>
      <w:r>
        <w:rPr>
          <w:rFonts w:hint="eastAsia" w:ascii="宋体" w:cs="宋体"/>
          <w:color w:val="auto"/>
          <w:sz w:val="21"/>
          <w:szCs w:val="21"/>
          <w:highlight w:val="none"/>
        </w:rPr>
        <w:t>二、本项目招标投标活动中，拒绝参与围标串标挂靠，决不损害</w:t>
      </w:r>
      <w:r>
        <w:rPr>
          <w:rFonts w:hint="eastAsia" w:ascii="宋体" w:cs="宋体"/>
          <w:color w:val="auto"/>
          <w:sz w:val="21"/>
          <w:szCs w:val="21"/>
          <w:highlight w:val="none"/>
          <w:lang w:eastAsia="zh-CN"/>
        </w:rPr>
        <w:t>其他</w:t>
      </w:r>
      <w:r>
        <w:rPr>
          <w:rFonts w:hint="eastAsia" w:ascii="宋体" w:cs="宋体"/>
          <w:color w:val="auto"/>
          <w:sz w:val="21"/>
          <w:szCs w:val="21"/>
          <w:highlight w:val="none"/>
        </w:rPr>
        <w:t>投标人、采购人的合法权益。</w:t>
      </w:r>
    </w:p>
    <w:p>
      <w:pPr>
        <w:spacing w:line="520" w:lineRule="exact"/>
        <w:ind w:firstLine="420" w:firstLineChars="200"/>
        <w:rPr>
          <w:rFonts w:ascii="宋体" w:cs="宋体"/>
          <w:color w:val="auto"/>
          <w:sz w:val="21"/>
          <w:szCs w:val="21"/>
          <w:highlight w:val="none"/>
        </w:rPr>
      </w:pPr>
      <w:r>
        <w:rPr>
          <w:rFonts w:hint="eastAsia" w:ascii="宋体" w:cs="宋体"/>
          <w:color w:val="auto"/>
          <w:sz w:val="21"/>
          <w:szCs w:val="21"/>
          <w:highlight w:val="none"/>
        </w:rPr>
        <w:t>三、如被查实在本项目招标投标活动中存在围标串标挂靠行为，将承担被执行失信惩戒并被依法追究相关责任的后果。</w:t>
      </w:r>
    </w:p>
    <w:p>
      <w:pPr>
        <w:spacing w:line="520" w:lineRule="exact"/>
        <w:ind w:firstLine="420" w:firstLineChars="200"/>
        <w:rPr>
          <w:rFonts w:ascii="宋体" w:cs="宋体"/>
          <w:color w:val="auto"/>
          <w:sz w:val="21"/>
          <w:szCs w:val="21"/>
          <w:highlight w:val="none"/>
        </w:rPr>
      </w:pPr>
    </w:p>
    <w:p>
      <w:pPr>
        <w:spacing w:line="520" w:lineRule="exact"/>
        <w:ind w:firstLine="420" w:firstLineChars="200"/>
        <w:rPr>
          <w:rFonts w:ascii="宋体" w:cs="宋体"/>
          <w:color w:val="auto"/>
          <w:sz w:val="21"/>
          <w:szCs w:val="21"/>
          <w:highlight w:val="none"/>
        </w:rPr>
      </w:pPr>
    </w:p>
    <w:p>
      <w:pPr>
        <w:spacing w:line="520" w:lineRule="exact"/>
        <w:ind w:firstLine="420" w:firstLineChars="200"/>
        <w:rPr>
          <w:rFonts w:ascii="宋体" w:cs="宋体"/>
          <w:color w:val="auto"/>
          <w:sz w:val="21"/>
          <w:szCs w:val="21"/>
          <w:highlight w:val="none"/>
        </w:rPr>
      </w:pPr>
    </w:p>
    <w:p>
      <w:pPr>
        <w:spacing w:line="520" w:lineRule="exact"/>
        <w:ind w:firstLine="420" w:firstLineChars="200"/>
        <w:jc w:val="right"/>
        <w:rPr>
          <w:rFonts w:ascii="宋体" w:cs="宋体"/>
          <w:color w:val="auto"/>
          <w:sz w:val="21"/>
          <w:szCs w:val="21"/>
          <w:highlight w:val="none"/>
        </w:rPr>
      </w:pPr>
      <w:r>
        <w:rPr>
          <w:rFonts w:hint="eastAsia" w:ascii="宋体" w:cs="宋体"/>
          <w:color w:val="auto"/>
          <w:sz w:val="21"/>
          <w:szCs w:val="21"/>
          <w:highlight w:val="none"/>
        </w:rPr>
        <w:t>单位名称：</w:t>
      </w:r>
      <w:r>
        <w:rPr>
          <w:rFonts w:hint="eastAsia" w:ascii="宋体" w:cs="宋体"/>
          <w:color w:val="auto"/>
          <w:sz w:val="21"/>
          <w:szCs w:val="21"/>
          <w:highlight w:val="none"/>
          <w:u w:val="single"/>
        </w:rPr>
        <w:t xml:space="preserve">                  </w:t>
      </w:r>
      <w:r>
        <w:rPr>
          <w:rFonts w:hint="eastAsia" w:ascii="宋体" w:cs="宋体"/>
          <w:color w:val="auto"/>
          <w:sz w:val="21"/>
          <w:szCs w:val="21"/>
          <w:highlight w:val="none"/>
        </w:rPr>
        <w:t xml:space="preserve"> （盖单位公章）</w:t>
      </w:r>
    </w:p>
    <w:p>
      <w:pPr>
        <w:spacing w:line="520" w:lineRule="exact"/>
        <w:ind w:firstLine="420" w:firstLineChars="200"/>
        <w:jc w:val="right"/>
        <w:rPr>
          <w:rFonts w:ascii="宋体" w:cs="宋体"/>
          <w:color w:val="auto"/>
          <w:sz w:val="21"/>
          <w:szCs w:val="21"/>
          <w:highlight w:val="none"/>
        </w:rPr>
      </w:pPr>
      <w:r>
        <w:rPr>
          <w:rFonts w:hint="eastAsia" w:ascii="宋体" w:cs="宋体"/>
          <w:color w:val="auto"/>
          <w:sz w:val="21"/>
          <w:szCs w:val="21"/>
          <w:highlight w:val="none"/>
        </w:rPr>
        <w:t>法定代表人：</w:t>
      </w:r>
      <w:r>
        <w:rPr>
          <w:rFonts w:hint="eastAsia" w:ascii="宋体" w:cs="宋体"/>
          <w:color w:val="auto"/>
          <w:sz w:val="21"/>
          <w:szCs w:val="21"/>
          <w:highlight w:val="none"/>
          <w:u w:val="single"/>
        </w:rPr>
        <w:t xml:space="preserve">              </w:t>
      </w:r>
      <w:r>
        <w:rPr>
          <w:rFonts w:hint="eastAsia" w:ascii="宋体" w:cs="宋体"/>
          <w:color w:val="auto"/>
          <w:sz w:val="21"/>
          <w:szCs w:val="21"/>
          <w:highlight w:val="none"/>
        </w:rPr>
        <w:t xml:space="preserve">（签字） </w:t>
      </w:r>
    </w:p>
    <w:p>
      <w:pPr>
        <w:spacing w:line="520" w:lineRule="exact"/>
        <w:ind w:firstLine="420" w:firstLineChars="200"/>
        <w:jc w:val="center"/>
        <w:rPr>
          <w:rFonts w:ascii="宋体" w:cs="宋体"/>
          <w:color w:val="auto"/>
          <w:sz w:val="21"/>
          <w:szCs w:val="21"/>
          <w:highlight w:val="none"/>
        </w:rPr>
      </w:pPr>
      <w:r>
        <w:rPr>
          <w:rFonts w:hint="eastAsia" w:ascii="宋体" w:cs="宋体"/>
          <w:color w:val="auto"/>
          <w:sz w:val="21"/>
          <w:szCs w:val="21"/>
          <w:highlight w:val="none"/>
        </w:rPr>
        <w:t xml:space="preserve">                         年   月   日</w:t>
      </w:r>
    </w:p>
    <w:p>
      <w:pPr>
        <w:spacing w:before="156"/>
        <w:ind w:firstLine="210" w:firstLineChars="100"/>
        <w:rPr>
          <w:rFonts w:ascii="宋体" w:cs="宋体"/>
          <w:color w:val="auto"/>
          <w:sz w:val="21"/>
          <w:szCs w:val="21"/>
          <w:highlight w:val="none"/>
        </w:rPr>
      </w:pPr>
    </w:p>
    <w:p>
      <w:pPr>
        <w:pStyle w:val="38"/>
        <w:rPr>
          <w:b/>
          <w:color w:val="auto"/>
          <w:kern w:val="0"/>
          <w:sz w:val="21"/>
          <w:highlight w:val="none"/>
        </w:rPr>
      </w:pPr>
    </w:p>
    <w:p>
      <w:pPr>
        <w:pStyle w:val="18"/>
        <w:rPr>
          <w:rFonts w:cs="宋体"/>
          <w:b/>
          <w:color w:val="auto"/>
          <w:kern w:val="0"/>
          <w:sz w:val="21"/>
          <w:szCs w:val="21"/>
          <w:highlight w:val="none"/>
        </w:rPr>
      </w:pPr>
    </w:p>
    <w:p>
      <w:pPr>
        <w:pStyle w:val="38"/>
        <w:rPr>
          <w:b/>
          <w:color w:val="auto"/>
          <w:kern w:val="0"/>
          <w:sz w:val="21"/>
          <w:highlight w:val="none"/>
        </w:rPr>
      </w:pPr>
    </w:p>
    <w:p>
      <w:pPr>
        <w:pStyle w:val="38"/>
        <w:rPr>
          <w:b/>
          <w:color w:val="auto"/>
          <w:kern w:val="0"/>
          <w:sz w:val="21"/>
          <w:highlight w:val="none"/>
        </w:rPr>
      </w:pPr>
    </w:p>
    <w:p>
      <w:pPr>
        <w:pStyle w:val="38"/>
        <w:rPr>
          <w:b/>
          <w:color w:val="auto"/>
          <w:kern w:val="0"/>
          <w:sz w:val="21"/>
          <w:highlight w:val="none"/>
        </w:rPr>
      </w:pPr>
    </w:p>
    <w:p>
      <w:pPr>
        <w:pStyle w:val="9"/>
        <w:rPr>
          <w:rFonts w:ascii="宋体" w:cs="宋体"/>
          <w:color w:val="auto"/>
          <w:szCs w:val="21"/>
          <w:highlight w:val="none"/>
        </w:rPr>
      </w:pPr>
    </w:p>
    <w:p>
      <w:pPr>
        <w:rPr>
          <w:rFonts w:ascii="宋体" w:cs="宋体"/>
          <w:color w:val="auto"/>
          <w:sz w:val="21"/>
          <w:szCs w:val="21"/>
          <w:highlight w:val="none"/>
        </w:rPr>
      </w:pPr>
    </w:p>
    <w:p>
      <w:pPr>
        <w:pStyle w:val="16"/>
        <w:rPr>
          <w:rFonts w:ascii="宋体" w:cs="宋体"/>
          <w:color w:val="auto"/>
          <w:sz w:val="21"/>
          <w:szCs w:val="21"/>
          <w:highlight w:val="none"/>
        </w:rPr>
      </w:pPr>
    </w:p>
    <w:p>
      <w:pPr>
        <w:pStyle w:val="18"/>
        <w:rPr>
          <w:rFonts w:cs="宋体"/>
          <w:color w:val="auto"/>
          <w:sz w:val="21"/>
          <w:szCs w:val="21"/>
          <w:highlight w:val="none"/>
        </w:rPr>
      </w:pPr>
    </w:p>
    <w:p>
      <w:pPr>
        <w:pStyle w:val="38"/>
        <w:rPr>
          <w:color w:val="auto"/>
          <w:sz w:val="21"/>
          <w:highlight w:val="none"/>
        </w:rPr>
      </w:pPr>
    </w:p>
    <w:p>
      <w:pPr>
        <w:rPr>
          <w:rFonts w:ascii="宋体" w:cs="宋体"/>
          <w:color w:val="auto"/>
          <w:sz w:val="21"/>
          <w:szCs w:val="21"/>
          <w:highlight w:val="none"/>
        </w:rPr>
      </w:pPr>
    </w:p>
    <w:p>
      <w:pPr>
        <w:pStyle w:val="9"/>
        <w:rPr>
          <w:rFonts w:ascii="宋体" w:cs="宋体"/>
          <w:color w:val="auto"/>
          <w:szCs w:val="21"/>
          <w:highlight w:val="none"/>
        </w:rPr>
      </w:pPr>
    </w:p>
    <w:p>
      <w:pPr>
        <w:pStyle w:val="18"/>
        <w:rPr>
          <w:rFonts w:cs="宋体"/>
          <w:color w:val="auto"/>
          <w:sz w:val="21"/>
          <w:szCs w:val="21"/>
          <w:highlight w:val="none"/>
        </w:rPr>
      </w:pPr>
    </w:p>
    <w:p>
      <w:pPr>
        <w:pStyle w:val="9"/>
        <w:rPr>
          <w:rFonts w:ascii="宋体" w:cs="宋体"/>
          <w:color w:val="auto"/>
          <w:szCs w:val="21"/>
          <w:highlight w:val="none"/>
        </w:rPr>
      </w:pPr>
    </w:p>
    <w:p>
      <w:pPr>
        <w:pStyle w:val="18"/>
        <w:rPr>
          <w:color w:val="auto"/>
          <w:highlight w:val="none"/>
        </w:rPr>
      </w:pPr>
    </w:p>
    <w:p>
      <w:pPr>
        <w:pStyle w:val="16"/>
        <w:rPr>
          <w:rFonts w:ascii="宋体" w:cs="宋体"/>
          <w:color w:val="auto"/>
          <w:sz w:val="21"/>
          <w:szCs w:val="21"/>
          <w:highlight w:val="none"/>
        </w:rPr>
      </w:pPr>
    </w:p>
    <w:p>
      <w:pPr>
        <w:pStyle w:val="36"/>
        <w:adjustRightInd w:val="0"/>
        <w:snapToGrid w:val="0"/>
        <w:spacing w:beforeAutospacing="0" w:afterAutospacing="0" w:line="360" w:lineRule="auto"/>
        <w:ind w:left="-301" w:firstLine="1506" w:firstLineChars="500"/>
        <w:rPr>
          <w:rFonts w:cs="宋体"/>
          <w:b/>
          <w:color w:val="auto"/>
          <w:kern w:val="2"/>
          <w:sz w:val="30"/>
          <w:szCs w:val="30"/>
          <w:highlight w:val="none"/>
        </w:rPr>
      </w:pPr>
      <w:r>
        <w:rPr>
          <w:rFonts w:hint="eastAsia" w:cs="宋体"/>
          <w:b/>
          <w:color w:val="auto"/>
          <w:kern w:val="2"/>
          <w:sz w:val="30"/>
          <w:szCs w:val="30"/>
          <w:highlight w:val="none"/>
        </w:rPr>
        <w:t>符合参加政府采购活动应当具备的一般条件的承诺函</w:t>
      </w:r>
    </w:p>
    <w:p>
      <w:pPr>
        <w:tabs>
          <w:tab w:val="left" w:pos="0"/>
        </w:tabs>
        <w:snapToGrid w:val="0"/>
        <w:spacing w:line="360" w:lineRule="auto"/>
        <w:rPr>
          <w:rFonts w:ascii="仿宋" w:eastAsia="仿宋" w:cs="Helvetica"/>
          <w:color w:val="auto"/>
          <w:kern w:val="0"/>
          <w:sz w:val="24"/>
          <w:highlight w:val="none"/>
        </w:rPr>
      </w:pPr>
    </w:p>
    <w:p>
      <w:pPr>
        <w:tabs>
          <w:tab w:val="left" w:pos="0"/>
        </w:tabs>
        <w:snapToGrid w:val="0"/>
        <w:spacing w:line="360" w:lineRule="auto"/>
        <w:rPr>
          <w:rFonts w:ascii="仿宋" w:eastAsia="仿宋" w:cs="Helvetica"/>
          <w:color w:val="auto"/>
          <w:kern w:val="0"/>
          <w:sz w:val="24"/>
          <w:highlight w:val="none"/>
          <w:u w:val="single"/>
        </w:rPr>
      </w:pPr>
      <w:r>
        <w:rPr>
          <w:rFonts w:hint="eastAsia" w:ascii="仿宋" w:eastAsia="仿宋" w:cs="Helvetica"/>
          <w:color w:val="auto"/>
          <w:kern w:val="0"/>
          <w:sz w:val="24"/>
          <w:highlight w:val="none"/>
          <w:u w:val="single"/>
        </w:rPr>
        <w:t>（采购人）、（采购代理机构）：</w:t>
      </w:r>
    </w:p>
    <w:p>
      <w:pPr>
        <w:tabs>
          <w:tab w:val="left" w:pos="0"/>
        </w:tabs>
        <w:snapToGrid w:val="0"/>
        <w:spacing w:line="360" w:lineRule="auto"/>
        <w:ind w:firstLine="480"/>
        <w:rPr>
          <w:rFonts w:ascii="仿宋" w:eastAsia="仿宋" w:cs="Helvetica"/>
          <w:color w:val="auto"/>
          <w:kern w:val="0"/>
          <w:sz w:val="24"/>
          <w:highlight w:val="none"/>
        </w:rPr>
      </w:pPr>
      <w:r>
        <w:rPr>
          <w:rFonts w:hint="eastAsia" w:ascii="仿宋" w:eastAsia="仿宋" w:cs="Helvetica"/>
          <w:color w:val="auto"/>
          <w:kern w:val="0"/>
          <w:sz w:val="24"/>
          <w:highlight w:val="none"/>
        </w:rPr>
        <w:t>我方参与</w:t>
      </w:r>
      <w:r>
        <w:rPr>
          <w:rFonts w:hint="eastAsia" w:ascii="仿宋" w:eastAsia="仿宋" w:cs="Helvetica"/>
          <w:color w:val="auto"/>
          <w:kern w:val="0"/>
          <w:sz w:val="24"/>
          <w:highlight w:val="none"/>
          <w:lang w:eastAsia="zh-CN"/>
        </w:rPr>
        <w:t>兰溪市人民医院北部院区单泵血透机、双泵血透机采购项目</w:t>
      </w:r>
      <w:r>
        <w:rPr>
          <w:rFonts w:hint="eastAsia" w:ascii="仿宋" w:eastAsia="仿宋" w:cs="Helvetica"/>
          <w:color w:val="auto"/>
          <w:kern w:val="0"/>
          <w:sz w:val="24"/>
          <w:highlight w:val="none"/>
        </w:rPr>
        <w:t>【项目编号：</w:t>
      </w:r>
      <w:r>
        <w:rPr>
          <w:rFonts w:hint="eastAsia" w:ascii="仿宋" w:eastAsia="仿宋" w:cs="Helvetica"/>
          <w:color w:val="auto"/>
          <w:kern w:val="0"/>
          <w:sz w:val="24"/>
          <w:highlight w:val="none"/>
          <w:lang w:eastAsia="zh-CN"/>
        </w:rPr>
        <w:t>ZJZLZC2024099</w:t>
      </w:r>
      <w:r>
        <w:rPr>
          <w:rFonts w:hint="eastAsia" w:ascii="仿宋" w:eastAsia="仿宋" w:cs="Helvetica"/>
          <w:color w:val="auto"/>
          <w:kern w:val="0"/>
          <w:sz w:val="24"/>
          <w:highlight w:val="none"/>
        </w:rPr>
        <w:t>】政府采购活动，郑重承诺：</w:t>
      </w:r>
    </w:p>
    <w:p>
      <w:pPr>
        <w:tabs>
          <w:tab w:val="left" w:pos="0"/>
        </w:tabs>
        <w:snapToGrid w:val="0"/>
        <w:spacing w:line="360" w:lineRule="auto"/>
        <w:ind w:firstLine="480"/>
        <w:rPr>
          <w:rFonts w:ascii="仿宋" w:eastAsia="仿宋" w:cs="Helvetica"/>
          <w:color w:val="auto"/>
          <w:kern w:val="0"/>
          <w:sz w:val="24"/>
          <w:highlight w:val="none"/>
        </w:rPr>
      </w:pPr>
      <w:r>
        <w:rPr>
          <w:rFonts w:hint="eastAsia" w:ascii="仿宋" w:eastAsia="仿宋" w:cs="Helvetica"/>
          <w:color w:val="auto"/>
          <w:kern w:val="0"/>
          <w:sz w:val="24"/>
          <w:highlight w:val="none"/>
        </w:rPr>
        <w:t>（一）具备《中华人民共和国政府采购法》第二十二条第一款规定的条件：</w:t>
      </w:r>
    </w:p>
    <w:p>
      <w:pPr>
        <w:tabs>
          <w:tab w:val="left" w:pos="0"/>
        </w:tabs>
        <w:snapToGrid w:val="0"/>
        <w:spacing w:line="360" w:lineRule="auto"/>
        <w:ind w:firstLine="480"/>
        <w:rPr>
          <w:rFonts w:ascii="仿宋" w:eastAsia="仿宋" w:cs="Helvetica"/>
          <w:color w:val="auto"/>
          <w:kern w:val="0"/>
          <w:sz w:val="24"/>
          <w:highlight w:val="none"/>
        </w:rPr>
      </w:pPr>
      <w:r>
        <w:rPr>
          <w:rFonts w:hint="eastAsia" w:ascii="仿宋" w:eastAsia="仿宋" w:cs="Helvetica"/>
          <w:color w:val="auto"/>
          <w:kern w:val="0"/>
          <w:sz w:val="24"/>
          <w:highlight w:val="none"/>
        </w:rPr>
        <w:t>1、具有独立承担民事责任的能力；</w:t>
      </w:r>
    </w:p>
    <w:p>
      <w:pPr>
        <w:tabs>
          <w:tab w:val="left" w:pos="0"/>
        </w:tabs>
        <w:snapToGrid w:val="0"/>
        <w:spacing w:line="360" w:lineRule="auto"/>
        <w:ind w:firstLine="480"/>
        <w:rPr>
          <w:rFonts w:ascii="仿宋" w:eastAsia="仿宋" w:cs="Helvetica"/>
          <w:color w:val="auto"/>
          <w:kern w:val="0"/>
          <w:sz w:val="24"/>
          <w:highlight w:val="none"/>
        </w:rPr>
      </w:pPr>
      <w:r>
        <w:rPr>
          <w:rFonts w:hint="eastAsia" w:ascii="仿宋" w:eastAsia="仿宋" w:cs="Helvetica"/>
          <w:color w:val="auto"/>
          <w:kern w:val="0"/>
          <w:sz w:val="24"/>
          <w:highlight w:val="none"/>
        </w:rPr>
        <w:t xml:space="preserve">2、具有良好的商业信誉和健全的财务会计制度； </w:t>
      </w:r>
    </w:p>
    <w:p>
      <w:pPr>
        <w:tabs>
          <w:tab w:val="left" w:pos="0"/>
        </w:tabs>
        <w:snapToGrid w:val="0"/>
        <w:spacing w:line="360" w:lineRule="auto"/>
        <w:ind w:firstLine="480"/>
        <w:rPr>
          <w:rFonts w:ascii="仿宋" w:eastAsia="仿宋" w:cs="Helvetica"/>
          <w:color w:val="auto"/>
          <w:kern w:val="0"/>
          <w:sz w:val="24"/>
          <w:highlight w:val="none"/>
        </w:rPr>
      </w:pPr>
      <w:r>
        <w:rPr>
          <w:rFonts w:hint="eastAsia" w:ascii="仿宋" w:eastAsia="仿宋" w:cs="Helvetica"/>
          <w:color w:val="auto"/>
          <w:kern w:val="0"/>
          <w:sz w:val="24"/>
          <w:highlight w:val="none"/>
        </w:rPr>
        <w:t>3、具有履行合同所必需的设备和专业技术能力；</w:t>
      </w:r>
    </w:p>
    <w:p>
      <w:pPr>
        <w:tabs>
          <w:tab w:val="left" w:pos="0"/>
        </w:tabs>
        <w:snapToGrid w:val="0"/>
        <w:spacing w:line="360" w:lineRule="auto"/>
        <w:ind w:firstLine="480"/>
        <w:rPr>
          <w:rFonts w:ascii="仿宋" w:eastAsia="仿宋" w:cs="Helvetica"/>
          <w:color w:val="auto"/>
          <w:kern w:val="0"/>
          <w:sz w:val="24"/>
          <w:highlight w:val="none"/>
        </w:rPr>
      </w:pPr>
      <w:r>
        <w:rPr>
          <w:rFonts w:hint="eastAsia" w:ascii="仿宋" w:eastAsia="仿宋" w:cs="Helvetica"/>
          <w:color w:val="auto"/>
          <w:kern w:val="0"/>
          <w:sz w:val="24"/>
          <w:highlight w:val="none"/>
        </w:rPr>
        <w:t>4、有依法缴纳税收和社会保障资金的良好记录；</w:t>
      </w:r>
    </w:p>
    <w:p>
      <w:pPr>
        <w:tabs>
          <w:tab w:val="left" w:pos="0"/>
        </w:tabs>
        <w:snapToGrid w:val="0"/>
        <w:spacing w:line="360" w:lineRule="auto"/>
        <w:ind w:firstLine="480"/>
        <w:rPr>
          <w:rFonts w:ascii="仿宋" w:eastAsia="仿宋" w:cs="Helvetica"/>
          <w:color w:val="auto"/>
          <w:kern w:val="0"/>
          <w:sz w:val="24"/>
          <w:highlight w:val="none"/>
        </w:rPr>
      </w:pPr>
      <w:r>
        <w:rPr>
          <w:rFonts w:hint="eastAsia" w:ascii="仿宋" w:eastAsia="仿宋" w:cs="Helvetica"/>
          <w:color w:val="auto"/>
          <w:kern w:val="0"/>
          <w:sz w:val="24"/>
          <w:highlight w:val="none"/>
        </w:rPr>
        <w:t>5、参加政府采购活动前三年内，在经营活动中没有重大违法记录；</w:t>
      </w:r>
    </w:p>
    <w:p>
      <w:pPr>
        <w:tabs>
          <w:tab w:val="left" w:pos="0"/>
        </w:tabs>
        <w:snapToGrid w:val="0"/>
        <w:spacing w:line="360" w:lineRule="auto"/>
        <w:ind w:firstLine="480"/>
        <w:rPr>
          <w:rFonts w:ascii="仿宋" w:eastAsia="仿宋" w:cs="Helvetica"/>
          <w:color w:val="auto"/>
          <w:kern w:val="0"/>
          <w:sz w:val="24"/>
          <w:highlight w:val="none"/>
        </w:rPr>
      </w:pPr>
      <w:r>
        <w:rPr>
          <w:rFonts w:hint="eastAsia" w:ascii="仿宋" w:eastAsia="仿宋" w:cs="Helvetica"/>
          <w:color w:val="auto"/>
          <w:kern w:val="0"/>
          <w:sz w:val="24"/>
          <w:highlight w:val="none"/>
        </w:rPr>
        <w:t>6、具有法律、行政法规规定的其他条件。</w:t>
      </w:r>
    </w:p>
    <w:p>
      <w:pPr>
        <w:tabs>
          <w:tab w:val="left" w:pos="0"/>
        </w:tabs>
        <w:snapToGrid w:val="0"/>
        <w:spacing w:line="360" w:lineRule="auto"/>
        <w:ind w:firstLine="480"/>
        <w:rPr>
          <w:rFonts w:ascii="仿宋" w:eastAsia="仿宋" w:cs="Helvetica"/>
          <w:color w:val="auto"/>
          <w:kern w:val="0"/>
          <w:sz w:val="24"/>
          <w:highlight w:val="none"/>
        </w:rPr>
      </w:pPr>
      <w:r>
        <w:rPr>
          <w:rFonts w:hint="eastAsia" w:ascii="仿宋" w:eastAsia="仿宋" w:cs="Helvetica"/>
          <w:color w:val="auto"/>
          <w:kern w:val="0"/>
          <w:sz w:val="24"/>
          <w:highlight w:val="none"/>
        </w:rPr>
        <w:t>（二）未被信用中国（www.creditchina.gov.cn）、中国政府采购网（www.ccgp.gov.cn）列入失信被执行人、重大税收违法案件当事人名单、政府采购严重违法失信行为记录名单。</w:t>
      </w:r>
    </w:p>
    <w:p>
      <w:pPr>
        <w:tabs>
          <w:tab w:val="left" w:pos="0"/>
        </w:tabs>
        <w:snapToGrid w:val="0"/>
        <w:spacing w:line="360" w:lineRule="auto"/>
        <w:ind w:firstLine="480"/>
        <w:rPr>
          <w:rFonts w:ascii="仿宋" w:eastAsia="仿宋" w:cs="Helvetica"/>
          <w:color w:val="auto"/>
          <w:kern w:val="0"/>
          <w:sz w:val="24"/>
          <w:highlight w:val="none"/>
        </w:rPr>
      </w:pPr>
      <w:r>
        <w:rPr>
          <w:rFonts w:hint="eastAsia" w:ascii="仿宋" w:eastAsia="仿宋" w:cs="Helvetica"/>
          <w:color w:val="auto"/>
          <w:kern w:val="0"/>
          <w:sz w:val="24"/>
          <w:highlight w:val="none"/>
        </w:rPr>
        <w:t>（三）不存在以下情况：</w:t>
      </w:r>
    </w:p>
    <w:p>
      <w:pPr>
        <w:tabs>
          <w:tab w:val="left" w:pos="0"/>
        </w:tabs>
        <w:snapToGrid w:val="0"/>
        <w:spacing w:line="360" w:lineRule="auto"/>
        <w:ind w:firstLine="480"/>
        <w:rPr>
          <w:rFonts w:ascii="仿宋" w:eastAsia="仿宋" w:cs="Helvetica"/>
          <w:color w:val="auto"/>
          <w:kern w:val="0"/>
          <w:sz w:val="24"/>
          <w:highlight w:val="none"/>
        </w:rPr>
      </w:pPr>
      <w:r>
        <w:rPr>
          <w:rFonts w:hint="eastAsia" w:ascii="仿宋" w:eastAsia="仿宋" w:cs="Helvetica"/>
          <w:color w:val="auto"/>
          <w:kern w:val="0"/>
          <w:sz w:val="24"/>
          <w:highlight w:val="none"/>
        </w:rPr>
        <w:t>1、单位负责人为同一人或者存在直接控股、管理关系的不同供应商参加同一合同项下的政府采购活动的；</w:t>
      </w:r>
    </w:p>
    <w:p>
      <w:pPr>
        <w:tabs>
          <w:tab w:val="left" w:pos="0"/>
        </w:tabs>
        <w:snapToGrid w:val="0"/>
        <w:spacing w:line="360" w:lineRule="auto"/>
        <w:ind w:firstLine="480"/>
        <w:rPr>
          <w:rFonts w:ascii="仿宋" w:eastAsia="仿宋" w:cs="Helvetica"/>
          <w:color w:val="auto"/>
          <w:kern w:val="0"/>
          <w:sz w:val="24"/>
          <w:highlight w:val="none"/>
        </w:rPr>
      </w:pPr>
      <w:r>
        <w:rPr>
          <w:rFonts w:hint="eastAsia" w:ascii="仿宋" w:eastAsia="仿宋" w:cs="Helvetica"/>
          <w:color w:val="auto"/>
          <w:kern w:val="0"/>
          <w:sz w:val="24"/>
          <w:highlight w:val="none"/>
        </w:rPr>
        <w:t>2、为采购项目提供整体设计、规范编制或者项目管理、监理、检测等服务后再参加该采购项目的其他采购活动的。</w:t>
      </w:r>
    </w:p>
    <w:p>
      <w:pPr>
        <w:tabs>
          <w:tab w:val="left" w:pos="0"/>
        </w:tabs>
        <w:snapToGrid w:val="0"/>
        <w:spacing w:line="360" w:lineRule="auto"/>
        <w:ind w:firstLine="480"/>
        <w:rPr>
          <w:rFonts w:ascii="仿宋" w:eastAsia="仿宋" w:cs="Helvetica"/>
          <w:color w:val="auto"/>
          <w:kern w:val="0"/>
          <w:sz w:val="24"/>
          <w:highlight w:val="none"/>
        </w:rPr>
      </w:pPr>
    </w:p>
    <w:p>
      <w:pPr>
        <w:tabs>
          <w:tab w:val="left" w:pos="0"/>
        </w:tabs>
        <w:snapToGrid w:val="0"/>
        <w:spacing w:line="360" w:lineRule="auto"/>
        <w:ind w:firstLine="480"/>
        <w:rPr>
          <w:rFonts w:ascii="仿宋" w:eastAsia="仿宋" w:cs="Helvetica"/>
          <w:color w:val="auto"/>
          <w:kern w:val="0"/>
          <w:sz w:val="24"/>
          <w:highlight w:val="none"/>
        </w:rPr>
      </w:pPr>
    </w:p>
    <w:p>
      <w:pPr>
        <w:tabs>
          <w:tab w:val="left" w:pos="0"/>
        </w:tabs>
        <w:snapToGrid w:val="0"/>
        <w:spacing w:line="360" w:lineRule="auto"/>
        <w:ind w:firstLine="480"/>
        <w:rPr>
          <w:rFonts w:ascii="仿宋" w:eastAsia="仿宋" w:cs="Helvetica"/>
          <w:color w:val="auto"/>
          <w:kern w:val="0"/>
          <w:sz w:val="24"/>
          <w:highlight w:val="none"/>
        </w:rPr>
      </w:pPr>
    </w:p>
    <w:p>
      <w:pPr>
        <w:tabs>
          <w:tab w:val="left" w:pos="0"/>
        </w:tabs>
        <w:snapToGrid w:val="0"/>
        <w:spacing w:line="360" w:lineRule="auto"/>
        <w:ind w:firstLine="480"/>
        <w:rPr>
          <w:rFonts w:ascii="仿宋" w:eastAsia="仿宋" w:cs="Helvetica"/>
          <w:color w:val="auto"/>
          <w:kern w:val="0"/>
          <w:sz w:val="24"/>
          <w:highlight w:val="none"/>
        </w:rPr>
      </w:pPr>
    </w:p>
    <w:p>
      <w:pPr>
        <w:tabs>
          <w:tab w:val="left" w:pos="0"/>
        </w:tabs>
        <w:snapToGrid w:val="0"/>
        <w:spacing w:line="360" w:lineRule="auto"/>
        <w:ind w:firstLine="5040" w:firstLineChars="2100"/>
        <w:rPr>
          <w:rFonts w:ascii="仿宋" w:eastAsia="仿宋" w:cs="Helvetica"/>
          <w:color w:val="auto"/>
          <w:kern w:val="0"/>
          <w:sz w:val="24"/>
          <w:highlight w:val="none"/>
        </w:rPr>
      </w:pPr>
      <w:r>
        <w:rPr>
          <w:rFonts w:hint="eastAsia" w:ascii="仿宋" w:eastAsia="仿宋" w:cs="Helvetica"/>
          <w:color w:val="auto"/>
          <w:kern w:val="0"/>
          <w:sz w:val="24"/>
          <w:highlight w:val="none"/>
        </w:rPr>
        <w:t>投标人名称（电子签名）：</w:t>
      </w:r>
    </w:p>
    <w:p>
      <w:pPr>
        <w:tabs>
          <w:tab w:val="left" w:pos="0"/>
        </w:tabs>
        <w:snapToGrid w:val="0"/>
        <w:spacing w:line="360" w:lineRule="auto"/>
        <w:ind w:firstLine="480"/>
        <w:rPr>
          <w:rFonts w:ascii="仿宋" w:eastAsia="仿宋" w:cs="Helvetica"/>
          <w:color w:val="auto"/>
          <w:kern w:val="0"/>
          <w:sz w:val="24"/>
          <w:highlight w:val="none"/>
        </w:rPr>
      </w:pPr>
      <w:r>
        <w:rPr>
          <w:rFonts w:hint="eastAsia" w:ascii="仿宋" w:eastAsia="仿宋" w:cs="Helvetica"/>
          <w:color w:val="auto"/>
          <w:kern w:val="0"/>
          <w:sz w:val="24"/>
          <w:highlight w:val="none"/>
        </w:rPr>
        <w:t xml:space="preserve">                                       日期：  年  月   日</w:t>
      </w:r>
    </w:p>
    <w:p>
      <w:pPr>
        <w:pStyle w:val="36"/>
        <w:adjustRightInd w:val="0"/>
        <w:snapToGrid w:val="0"/>
        <w:spacing w:beforeAutospacing="0" w:afterAutospacing="0" w:line="360" w:lineRule="auto"/>
        <w:ind w:left="-301"/>
        <w:rPr>
          <w:rFonts w:ascii="仿宋_GB2312" w:eastAsia="仿宋_GB2312" w:cs="仿宋_GB2312"/>
          <w:b/>
          <w:bCs/>
          <w:color w:val="auto"/>
          <w:highlight w:val="none"/>
        </w:rPr>
      </w:pPr>
    </w:p>
    <w:p>
      <w:pPr>
        <w:pStyle w:val="38"/>
        <w:ind w:firstLine="0"/>
        <w:rPr>
          <w:color w:val="auto"/>
          <w:sz w:val="28"/>
          <w:szCs w:val="28"/>
          <w:highlight w:val="none"/>
        </w:rPr>
      </w:pPr>
    </w:p>
    <w:p>
      <w:pPr>
        <w:pStyle w:val="16"/>
        <w:rPr>
          <w:color w:val="auto"/>
          <w:szCs w:val="28"/>
          <w:highlight w:val="none"/>
        </w:rPr>
      </w:pPr>
    </w:p>
    <w:p>
      <w:pPr>
        <w:widowControl/>
        <w:jc w:val="center"/>
        <w:rPr>
          <w:rFonts w:ascii="宋体" w:cs="宋体"/>
          <w:color w:val="auto"/>
          <w:szCs w:val="28"/>
          <w:highlight w:val="none"/>
        </w:rPr>
      </w:pPr>
      <w:r>
        <w:rPr>
          <w:rFonts w:hint="eastAsia" w:ascii="宋体" w:cs="宋体"/>
          <w:b/>
          <w:color w:val="auto"/>
          <w:kern w:val="0"/>
          <w:szCs w:val="28"/>
          <w:highlight w:val="none"/>
        </w:rPr>
        <w:t>备份电子投标文件的密封</w:t>
      </w:r>
    </w:p>
    <w:p>
      <w:pPr>
        <w:widowControl/>
        <w:jc w:val="left"/>
        <w:rPr>
          <w:rFonts w:ascii="宋体" w:cs="宋体"/>
          <w:b/>
          <w:color w:val="auto"/>
          <w:kern w:val="0"/>
          <w:szCs w:val="28"/>
          <w:highlight w:val="none"/>
        </w:rPr>
      </w:pPr>
    </w:p>
    <w:p>
      <w:pPr>
        <w:widowControl/>
        <w:jc w:val="left"/>
        <w:rPr>
          <w:rFonts w:ascii="宋体" w:cs="宋体"/>
          <w:b/>
          <w:color w:val="auto"/>
          <w:kern w:val="0"/>
          <w:szCs w:val="28"/>
          <w:highlight w:val="none"/>
        </w:rPr>
      </w:pPr>
    </w:p>
    <w:p>
      <w:pPr>
        <w:widowControl/>
        <w:jc w:val="left"/>
        <w:rPr>
          <w:rFonts w:ascii="宋体" w:cs="宋体"/>
          <w:b/>
          <w:color w:val="auto"/>
          <w:kern w:val="0"/>
          <w:szCs w:val="28"/>
          <w:highlight w:val="none"/>
        </w:rPr>
      </w:pPr>
    </w:p>
    <w:p>
      <w:pPr>
        <w:widowControl/>
        <w:jc w:val="left"/>
        <w:rPr>
          <w:rFonts w:ascii="宋体" w:cs="宋体"/>
          <w:color w:val="auto"/>
          <w:szCs w:val="28"/>
          <w:highlight w:val="none"/>
        </w:rPr>
      </w:pPr>
      <w:r>
        <w:rPr>
          <w:rFonts w:hint="eastAsia" w:ascii="宋体" w:cs="宋体"/>
          <w:b/>
          <w:color w:val="auto"/>
          <w:kern w:val="0"/>
          <w:szCs w:val="28"/>
          <w:highlight w:val="none"/>
        </w:rPr>
        <w:t xml:space="preserve">备份电子投标文件包装封面格式： </w:t>
      </w:r>
    </w:p>
    <w:p>
      <w:pPr>
        <w:pStyle w:val="38"/>
        <w:rPr>
          <w:b/>
          <w:color w:val="auto"/>
          <w:kern w:val="0"/>
          <w:sz w:val="28"/>
          <w:szCs w:val="28"/>
          <w:highlight w:val="none"/>
        </w:rPr>
      </w:pPr>
    </w:p>
    <w:p>
      <w:pPr>
        <w:rPr>
          <w:rFonts w:ascii="宋体" w:cs="宋体"/>
          <w:color w:val="auto"/>
          <w:szCs w:val="28"/>
          <w:highlight w:val="none"/>
        </w:rPr>
      </w:pPr>
    </w:p>
    <w:p>
      <w:pPr>
        <w:pStyle w:val="38"/>
        <w:rPr>
          <w:color w:val="auto"/>
          <w:sz w:val="28"/>
          <w:szCs w:val="28"/>
          <w:highlight w:val="none"/>
        </w:rPr>
      </w:pPr>
    </w:p>
    <w:p>
      <w:pPr>
        <w:pStyle w:val="38"/>
        <w:rPr>
          <w:color w:val="auto"/>
          <w:sz w:val="28"/>
          <w:szCs w:val="28"/>
          <w:highlight w:val="none"/>
        </w:rPr>
      </w:pPr>
    </w:p>
    <w:p>
      <w:pPr>
        <w:widowControl/>
        <w:jc w:val="center"/>
        <w:rPr>
          <w:rFonts w:ascii="宋体" w:cs="宋体"/>
          <w:color w:val="auto"/>
          <w:szCs w:val="28"/>
          <w:highlight w:val="none"/>
        </w:rPr>
      </w:pPr>
      <w:r>
        <w:rPr>
          <w:rFonts w:hint="eastAsia" w:ascii="宋体" w:cs="宋体"/>
          <w:b/>
          <w:color w:val="auto"/>
          <w:kern w:val="0"/>
          <w:szCs w:val="28"/>
          <w:highlight w:val="none"/>
        </w:rPr>
        <w:t>备份电子投标文件</w:t>
      </w:r>
    </w:p>
    <w:p>
      <w:pPr>
        <w:widowControl/>
        <w:jc w:val="left"/>
        <w:rPr>
          <w:rFonts w:ascii="宋体" w:cs="宋体"/>
          <w:color w:val="auto"/>
          <w:kern w:val="0"/>
          <w:sz w:val="21"/>
          <w:szCs w:val="21"/>
          <w:highlight w:val="none"/>
        </w:rPr>
      </w:pPr>
    </w:p>
    <w:p>
      <w:pPr>
        <w:widowControl/>
        <w:jc w:val="left"/>
        <w:rPr>
          <w:rFonts w:ascii="宋体" w:cs="宋体"/>
          <w:color w:val="auto"/>
          <w:kern w:val="0"/>
          <w:sz w:val="21"/>
          <w:szCs w:val="21"/>
          <w:highlight w:val="none"/>
        </w:rPr>
      </w:pPr>
    </w:p>
    <w:p>
      <w:pPr>
        <w:widowControl/>
        <w:jc w:val="left"/>
        <w:rPr>
          <w:rFonts w:ascii="宋体" w:cs="宋体"/>
          <w:color w:val="auto"/>
          <w:kern w:val="0"/>
          <w:sz w:val="21"/>
          <w:szCs w:val="21"/>
          <w:highlight w:val="none"/>
        </w:rPr>
      </w:pPr>
    </w:p>
    <w:p>
      <w:pPr>
        <w:widowControl/>
        <w:jc w:val="left"/>
        <w:rPr>
          <w:rFonts w:ascii="宋体" w:cs="宋体"/>
          <w:color w:val="auto"/>
          <w:kern w:val="0"/>
          <w:sz w:val="21"/>
          <w:szCs w:val="21"/>
          <w:highlight w:val="none"/>
        </w:rPr>
      </w:pPr>
    </w:p>
    <w:p>
      <w:pPr>
        <w:widowControl/>
        <w:spacing w:line="800" w:lineRule="exact"/>
        <w:ind w:firstLine="2100" w:firstLineChars="1000"/>
        <w:jc w:val="left"/>
        <w:rPr>
          <w:rFonts w:ascii="宋体" w:cs="宋体"/>
          <w:color w:val="auto"/>
          <w:sz w:val="21"/>
          <w:szCs w:val="21"/>
          <w:highlight w:val="none"/>
        </w:rPr>
      </w:pPr>
      <w:r>
        <w:rPr>
          <w:rFonts w:hint="eastAsia" w:ascii="宋体" w:cs="宋体"/>
          <w:color w:val="auto"/>
          <w:kern w:val="0"/>
          <w:sz w:val="21"/>
          <w:szCs w:val="21"/>
          <w:highlight w:val="none"/>
        </w:rPr>
        <w:t>项目名称：</w:t>
      </w:r>
    </w:p>
    <w:p>
      <w:pPr>
        <w:widowControl/>
        <w:spacing w:line="800" w:lineRule="exact"/>
        <w:ind w:firstLine="2100" w:firstLineChars="1000"/>
        <w:jc w:val="left"/>
        <w:rPr>
          <w:rFonts w:ascii="宋体" w:cs="宋体"/>
          <w:color w:val="auto"/>
          <w:sz w:val="21"/>
          <w:szCs w:val="21"/>
          <w:highlight w:val="none"/>
        </w:rPr>
      </w:pPr>
      <w:r>
        <w:rPr>
          <w:rFonts w:hint="eastAsia" w:ascii="宋体" w:cs="宋体"/>
          <w:color w:val="auto"/>
          <w:kern w:val="0"/>
          <w:sz w:val="21"/>
          <w:szCs w:val="21"/>
          <w:highlight w:val="none"/>
        </w:rPr>
        <w:t>项目编号：</w:t>
      </w:r>
    </w:p>
    <w:p>
      <w:pPr>
        <w:widowControl/>
        <w:spacing w:line="800" w:lineRule="exact"/>
        <w:ind w:firstLine="2100" w:firstLineChars="1000"/>
        <w:jc w:val="left"/>
        <w:rPr>
          <w:rFonts w:ascii="宋体" w:cs="宋体"/>
          <w:color w:val="auto"/>
          <w:sz w:val="21"/>
          <w:szCs w:val="21"/>
          <w:highlight w:val="none"/>
        </w:rPr>
      </w:pPr>
      <w:r>
        <w:rPr>
          <w:rFonts w:hint="eastAsia" w:ascii="宋体" w:cs="宋体"/>
          <w:color w:val="auto"/>
          <w:kern w:val="0"/>
          <w:sz w:val="21"/>
          <w:szCs w:val="21"/>
          <w:highlight w:val="none"/>
        </w:rPr>
        <w:t>投标人名称：</w:t>
      </w:r>
      <w:r>
        <w:rPr>
          <w:rFonts w:hint="eastAsia" w:ascii="宋体" w:cs="宋体"/>
          <w:color w:val="auto"/>
          <w:kern w:val="0"/>
          <w:sz w:val="21"/>
          <w:szCs w:val="21"/>
          <w:highlight w:val="none"/>
          <w:u w:val="single"/>
        </w:rPr>
        <w:t xml:space="preserve">                </w:t>
      </w:r>
      <w:r>
        <w:rPr>
          <w:rFonts w:hint="eastAsia" w:ascii="宋体" w:cs="宋体"/>
          <w:color w:val="auto"/>
          <w:kern w:val="0"/>
          <w:sz w:val="21"/>
          <w:szCs w:val="21"/>
          <w:highlight w:val="none"/>
        </w:rPr>
        <w:t>（公章）</w:t>
      </w:r>
    </w:p>
    <w:p>
      <w:pPr>
        <w:widowControl/>
        <w:spacing w:line="800" w:lineRule="exact"/>
        <w:ind w:firstLine="2100" w:firstLineChars="1000"/>
        <w:jc w:val="left"/>
        <w:rPr>
          <w:rFonts w:ascii="宋体" w:cs="宋体"/>
          <w:color w:val="auto"/>
          <w:sz w:val="21"/>
          <w:szCs w:val="21"/>
          <w:highlight w:val="none"/>
        </w:rPr>
      </w:pPr>
      <w:r>
        <w:rPr>
          <w:rFonts w:hint="eastAsia" w:ascii="宋体" w:cs="宋体"/>
          <w:color w:val="auto"/>
          <w:kern w:val="0"/>
          <w:sz w:val="21"/>
          <w:szCs w:val="21"/>
          <w:highlight w:val="none"/>
        </w:rPr>
        <w:t>投标人地址：</w:t>
      </w:r>
    </w:p>
    <w:p>
      <w:pPr>
        <w:widowControl/>
        <w:spacing w:line="800" w:lineRule="exact"/>
        <w:ind w:firstLine="2100" w:firstLineChars="1000"/>
        <w:jc w:val="left"/>
        <w:rPr>
          <w:rFonts w:ascii="宋体" w:cs="宋体"/>
          <w:color w:val="auto"/>
          <w:sz w:val="21"/>
          <w:szCs w:val="21"/>
          <w:highlight w:val="none"/>
        </w:rPr>
      </w:pPr>
      <w:r>
        <w:rPr>
          <w:rFonts w:hint="eastAsia" w:ascii="宋体" w:cs="宋体"/>
          <w:color w:val="auto"/>
          <w:kern w:val="0"/>
          <w:sz w:val="21"/>
          <w:szCs w:val="21"/>
          <w:highlight w:val="none"/>
        </w:rPr>
        <w:t>法定代表人或授权委托人签字：</w:t>
      </w:r>
    </w:p>
    <w:p>
      <w:pPr>
        <w:widowControl/>
        <w:spacing w:line="800" w:lineRule="exact"/>
        <w:ind w:firstLine="1890" w:firstLineChars="900"/>
        <w:jc w:val="left"/>
        <w:rPr>
          <w:rFonts w:ascii="宋体" w:cs="宋体"/>
          <w:color w:val="auto"/>
          <w:sz w:val="21"/>
          <w:szCs w:val="21"/>
          <w:highlight w:val="none"/>
        </w:rPr>
      </w:pPr>
      <w:r>
        <w:rPr>
          <w:rFonts w:hint="eastAsia" w:ascii="宋体" w:cs="宋体"/>
          <w:color w:val="auto"/>
          <w:kern w:val="0"/>
          <w:sz w:val="21"/>
          <w:szCs w:val="21"/>
          <w:highlight w:val="none"/>
        </w:rPr>
        <w:t>在 年 月 日 时 分之前不得启封（开标时间）</w:t>
      </w:r>
    </w:p>
    <w:p>
      <w:pPr>
        <w:widowControl/>
        <w:spacing w:line="800" w:lineRule="exact"/>
        <w:ind w:firstLine="4200" w:firstLineChars="2000"/>
        <w:jc w:val="left"/>
        <w:rPr>
          <w:rFonts w:ascii="宋体" w:cs="宋体"/>
          <w:color w:val="auto"/>
          <w:sz w:val="21"/>
          <w:szCs w:val="21"/>
          <w:highlight w:val="none"/>
        </w:rPr>
      </w:pPr>
      <w:r>
        <w:rPr>
          <w:rFonts w:hint="eastAsia" w:ascii="宋体" w:cs="宋体"/>
          <w:color w:val="auto"/>
          <w:kern w:val="0"/>
          <w:sz w:val="21"/>
          <w:szCs w:val="21"/>
          <w:highlight w:val="none"/>
        </w:rPr>
        <w:t>年   月   日</w:t>
      </w:r>
    </w:p>
    <w:p>
      <w:pPr>
        <w:jc w:val="center"/>
        <w:rPr>
          <w:rFonts w:ascii="宋体" w:cs="宋体"/>
          <w:b/>
          <w:bCs/>
          <w:color w:val="auto"/>
          <w:kern w:val="0"/>
          <w:sz w:val="21"/>
          <w:szCs w:val="21"/>
          <w:highlight w:val="none"/>
        </w:rPr>
      </w:pPr>
    </w:p>
    <w:p>
      <w:pPr>
        <w:jc w:val="center"/>
        <w:rPr>
          <w:rFonts w:ascii="宋体" w:cs="宋体"/>
          <w:b/>
          <w:bCs/>
          <w:color w:val="auto"/>
          <w:kern w:val="0"/>
          <w:sz w:val="21"/>
          <w:szCs w:val="21"/>
          <w:highlight w:val="none"/>
        </w:rPr>
      </w:pPr>
    </w:p>
    <w:p>
      <w:pPr>
        <w:jc w:val="center"/>
        <w:rPr>
          <w:rFonts w:ascii="宋体" w:cs="宋体"/>
          <w:b/>
          <w:bCs/>
          <w:color w:val="auto"/>
          <w:kern w:val="0"/>
          <w:sz w:val="21"/>
          <w:szCs w:val="21"/>
          <w:highlight w:val="none"/>
        </w:rPr>
      </w:pPr>
    </w:p>
    <w:p>
      <w:pPr>
        <w:jc w:val="center"/>
        <w:rPr>
          <w:rFonts w:ascii="宋体" w:cs="宋体"/>
          <w:b/>
          <w:bCs/>
          <w:color w:val="auto"/>
          <w:kern w:val="0"/>
          <w:sz w:val="21"/>
          <w:szCs w:val="21"/>
          <w:highlight w:val="none"/>
        </w:rPr>
      </w:pPr>
    </w:p>
    <w:p>
      <w:pPr>
        <w:jc w:val="center"/>
        <w:rPr>
          <w:rFonts w:ascii="宋体" w:cs="宋体"/>
          <w:b/>
          <w:bCs/>
          <w:color w:val="auto"/>
          <w:kern w:val="0"/>
          <w:sz w:val="21"/>
          <w:szCs w:val="21"/>
          <w:highlight w:val="none"/>
        </w:rPr>
      </w:pPr>
      <w:r>
        <w:rPr>
          <w:rFonts w:hint="eastAsia" w:ascii="宋体" w:cs="宋体"/>
          <w:b/>
          <w:bCs/>
          <w:color w:val="auto"/>
          <w:kern w:val="0"/>
          <w:sz w:val="21"/>
          <w:szCs w:val="21"/>
          <w:highlight w:val="none"/>
        </w:rPr>
        <w:t>国家计委关于印发《招标代理服务收费管理暂行办法》的通知</w:t>
      </w:r>
    </w:p>
    <w:p>
      <w:pPr>
        <w:widowControl/>
        <w:jc w:val="center"/>
        <w:rPr>
          <w:rFonts w:ascii="宋体" w:cs="宋体"/>
          <w:b/>
          <w:bCs/>
          <w:color w:val="auto"/>
          <w:kern w:val="0"/>
          <w:sz w:val="21"/>
          <w:szCs w:val="21"/>
          <w:highlight w:val="none"/>
        </w:rPr>
      </w:pPr>
      <w:r>
        <w:rPr>
          <w:rFonts w:hint="eastAsia" w:ascii="宋体" w:cs="宋体"/>
          <w:b/>
          <w:bCs/>
          <w:color w:val="auto"/>
          <w:kern w:val="0"/>
          <w:sz w:val="21"/>
          <w:szCs w:val="21"/>
          <w:highlight w:val="none"/>
        </w:rPr>
        <w:t>计价格</w:t>
      </w:r>
      <w:r>
        <w:rPr>
          <w:rFonts w:hint="eastAsia" w:ascii="宋体" w:cs="宋体"/>
          <w:b/>
          <w:bCs/>
          <w:color w:val="auto"/>
          <w:kern w:val="0"/>
          <w:sz w:val="21"/>
          <w:szCs w:val="21"/>
          <w:highlight w:val="none"/>
          <w:lang w:eastAsia="zh-CN"/>
        </w:rPr>
        <w:t>〔2002〕1980号</w:t>
      </w:r>
    </w:p>
    <w:p>
      <w:pPr>
        <w:widowControl/>
        <w:spacing w:before="100" w:beforeAutospacing="1" w:after="100" w:afterAutospacing="1" w:line="360" w:lineRule="auto"/>
        <w:jc w:val="left"/>
        <w:rPr>
          <w:rFonts w:ascii="宋体" w:cs="宋体"/>
          <w:color w:val="auto"/>
          <w:kern w:val="0"/>
          <w:sz w:val="21"/>
          <w:szCs w:val="21"/>
          <w:highlight w:val="none"/>
        </w:rPr>
      </w:pPr>
      <w:r>
        <w:rPr>
          <w:rFonts w:hint="eastAsia" w:ascii="宋体" w:cs="宋体"/>
          <w:color w:val="auto"/>
          <w:kern w:val="0"/>
          <w:sz w:val="21"/>
          <w:szCs w:val="21"/>
          <w:highlight w:val="none"/>
        </w:rPr>
        <w:t xml:space="preserve">各省、自治区、直辖市计委、物价局： </w:t>
      </w:r>
    </w:p>
    <w:p>
      <w:pPr>
        <w:widowControl/>
        <w:spacing w:before="100" w:beforeAutospacing="1" w:after="100" w:afterAutospacing="1" w:line="360" w:lineRule="auto"/>
        <w:ind w:firstLine="567"/>
        <w:jc w:val="left"/>
        <w:rPr>
          <w:rFonts w:ascii="宋体" w:cs="宋体"/>
          <w:color w:val="auto"/>
          <w:kern w:val="0"/>
          <w:sz w:val="21"/>
          <w:szCs w:val="21"/>
          <w:highlight w:val="none"/>
        </w:rPr>
      </w:pPr>
      <w:r>
        <w:rPr>
          <w:rFonts w:hint="eastAsia" w:ascii="宋体" w:cs="宋体"/>
          <w:color w:val="auto"/>
          <w:kern w:val="0"/>
          <w:sz w:val="21"/>
          <w:szCs w:val="21"/>
          <w:highlight w:val="none"/>
        </w:rPr>
        <w:t xml:space="preserve">为规范招标代理服务收费行为，维护招标人和投标人的合法权益，促进招标代理行业的健康发展，我委制定了《招标代理服务收费管理暂行办法》（以下简称《办法》），现印发给你们，请按照执行。 </w:t>
      </w:r>
    </w:p>
    <w:p>
      <w:pPr>
        <w:widowControl/>
        <w:spacing w:before="100" w:beforeAutospacing="1" w:after="100" w:afterAutospacing="1" w:line="360" w:lineRule="auto"/>
        <w:ind w:firstLine="567"/>
        <w:jc w:val="left"/>
        <w:rPr>
          <w:rFonts w:ascii="宋体" w:cs="宋体"/>
          <w:color w:val="auto"/>
          <w:kern w:val="0"/>
          <w:sz w:val="21"/>
          <w:szCs w:val="21"/>
          <w:highlight w:val="none"/>
        </w:rPr>
      </w:pPr>
      <w:r>
        <w:rPr>
          <w:rFonts w:hint="eastAsia" w:ascii="宋体" w:cs="宋体"/>
          <w:color w:val="auto"/>
          <w:kern w:val="0"/>
          <w:sz w:val="21"/>
          <w:szCs w:val="21"/>
          <w:highlight w:val="none"/>
        </w:rPr>
        <w:t>根据《国家计委、财政部关于整顿招标投标收费的通知》（计价格</w:t>
      </w:r>
      <w:r>
        <w:rPr>
          <w:rFonts w:hint="eastAsia" w:ascii="宋体" w:cs="宋体"/>
          <w:color w:val="auto"/>
          <w:kern w:val="0"/>
          <w:sz w:val="21"/>
          <w:szCs w:val="21"/>
          <w:highlight w:val="none"/>
          <w:lang w:eastAsia="zh-CN"/>
        </w:rPr>
        <w:t>〔2002〕520号</w:t>
      </w:r>
      <w:r>
        <w:rPr>
          <w:rFonts w:hint="eastAsia" w:ascii="宋体" w:cs="宋体"/>
          <w:color w:val="auto"/>
          <w:kern w:val="0"/>
          <w:sz w:val="21"/>
          <w:szCs w:val="21"/>
          <w:highlight w:val="none"/>
        </w:rPr>
        <w:t>）规定，实行由中标人付费的机电设备招标代理服务，可暂按现行有关规定执行，至2004年1月1日统一执行委托人付费。机电设备招标代理服务收费标准，自《办法》生效之日起按《办法》规定执行。（国家发展和改革委员会办公厅发改办价格</w:t>
      </w:r>
      <w:r>
        <w:rPr>
          <w:rFonts w:hint="eastAsia" w:ascii="宋体" w:cs="宋体"/>
          <w:color w:val="auto"/>
          <w:kern w:val="0"/>
          <w:sz w:val="21"/>
          <w:szCs w:val="21"/>
          <w:highlight w:val="none"/>
          <w:lang w:eastAsia="zh-CN"/>
        </w:rPr>
        <w:t>〔2003〕857号</w:t>
      </w:r>
      <w:r>
        <w:rPr>
          <w:rFonts w:hint="eastAsia" w:ascii="宋体" w:cs="宋体"/>
          <w:color w:val="auto"/>
          <w:kern w:val="0"/>
          <w:sz w:val="21"/>
          <w:szCs w:val="21"/>
          <w:highlight w:val="none"/>
        </w:rPr>
        <w:t xml:space="preserve">文件《国家发展改革委办公厅关于招标代理服务收费有关问题的通知》删去本段内容） </w:t>
      </w:r>
    </w:p>
    <w:p>
      <w:pPr>
        <w:widowControl/>
        <w:spacing w:before="100" w:beforeAutospacing="1" w:after="100" w:afterAutospacing="1" w:line="360" w:lineRule="auto"/>
        <w:ind w:firstLine="567"/>
        <w:jc w:val="left"/>
        <w:rPr>
          <w:rFonts w:ascii="宋体" w:cs="宋体"/>
          <w:color w:val="auto"/>
          <w:kern w:val="0"/>
          <w:sz w:val="21"/>
          <w:szCs w:val="21"/>
          <w:highlight w:val="none"/>
        </w:rPr>
      </w:pPr>
      <w:r>
        <w:rPr>
          <w:rFonts w:hint="eastAsia" w:ascii="宋体" w:cs="宋体"/>
          <w:color w:val="auto"/>
          <w:kern w:val="0"/>
          <w:sz w:val="21"/>
          <w:szCs w:val="21"/>
          <w:highlight w:val="none"/>
        </w:rPr>
        <w:t xml:space="preserve">药品集中招标采购收费暂按现行有关规定执行。 </w:t>
      </w:r>
    </w:p>
    <w:p>
      <w:pPr>
        <w:widowControl/>
        <w:spacing w:before="100" w:beforeAutospacing="1" w:after="100" w:afterAutospacing="1" w:line="360" w:lineRule="auto"/>
        <w:ind w:firstLine="567"/>
        <w:jc w:val="left"/>
        <w:rPr>
          <w:rFonts w:ascii="宋体" w:cs="宋体"/>
          <w:color w:val="auto"/>
          <w:kern w:val="0"/>
          <w:sz w:val="21"/>
          <w:szCs w:val="21"/>
          <w:highlight w:val="none"/>
        </w:rPr>
      </w:pPr>
      <w:r>
        <w:rPr>
          <w:rFonts w:hint="eastAsia" w:ascii="宋体" w:cs="宋体"/>
          <w:color w:val="auto"/>
          <w:kern w:val="0"/>
          <w:sz w:val="21"/>
          <w:szCs w:val="21"/>
          <w:highlight w:val="none"/>
        </w:rPr>
        <w:t xml:space="preserve">特此通知。 </w:t>
      </w:r>
    </w:p>
    <w:p>
      <w:pPr>
        <w:widowControl/>
        <w:spacing w:before="100" w:beforeAutospacing="1" w:after="100" w:afterAutospacing="1" w:line="360" w:lineRule="auto"/>
        <w:ind w:firstLine="567"/>
        <w:jc w:val="left"/>
        <w:rPr>
          <w:rFonts w:ascii="宋体" w:cs="宋体"/>
          <w:color w:val="auto"/>
          <w:kern w:val="0"/>
          <w:sz w:val="21"/>
          <w:szCs w:val="21"/>
          <w:highlight w:val="none"/>
        </w:rPr>
      </w:pPr>
      <w:r>
        <w:rPr>
          <w:rFonts w:hint="eastAsia" w:ascii="宋体" w:cs="宋体"/>
          <w:color w:val="auto"/>
          <w:kern w:val="0"/>
          <w:sz w:val="21"/>
          <w:szCs w:val="21"/>
          <w:highlight w:val="none"/>
        </w:rPr>
        <w:t xml:space="preserve">附件：招标代理服务收费管理暂行办法。 </w:t>
      </w:r>
    </w:p>
    <w:p>
      <w:pPr>
        <w:widowControl/>
        <w:spacing w:before="100" w:beforeAutospacing="1" w:after="100" w:afterAutospacing="1" w:line="360" w:lineRule="auto"/>
        <w:jc w:val="left"/>
        <w:rPr>
          <w:rFonts w:ascii="宋体" w:cs="宋体"/>
          <w:color w:val="auto"/>
          <w:kern w:val="0"/>
          <w:sz w:val="21"/>
          <w:szCs w:val="21"/>
          <w:highlight w:val="none"/>
        </w:rPr>
      </w:pPr>
      <w:r>
        <w:rPr>
          <w:rFonts w:hint="eastAsia" w:ascii="宋体" w:cs="宋体"/>
          <w:color w:val="auto"/>
          <w:kern w:val="0"/>
          <w:sz w:val="21"/>
          <w:szCs w:val="21"/>
          <w:highlight w:val="none"/>
        </w:rPr>
        <w:t xml:space="preserve">                                                        中华人民共和国国家发展计划委员会</w:t>
      </w:r>
    </w:p>
    <w:p>
      <w:pPr>
        <w:widowControl/>
        <w:spacing w:before="100" w:beforeAutospacing="1" w:after="100" w:afterAutospacing="1" w:line="360" w:lineRule="auto"/>
        <w:ind w:left="6986" w:leftChars="2270" w:hanging="630" w:hangingChars="300"/>
        <w:jc w:val="left"/>
        <w:rPr>
          <w:rFonts w:ascii="宋体" w:cs="宋体"/>
          <w:color w:val="auto"/>
          <w:kern w:val="0"/>
          <w:sz w:val="21"/>
          <w:szCs w:val="21"/>
          <w:highlight w:val="none"/>
        </w:rPr>
      </w:pPr>
      <w:r>
        <w:rPr>
          <w:rFonts w:hint="eastAsia" w:ascii="宋体" w:cs="宋体"/>
          <w:color w:val="auto"/>
          <w:kern w:val="0"/>
          <w:sz w:val="21"/>
          <w:szCs w:val="21"/>
          <w:highlight w:val="none"/>
        </w:rPr>
        <w:t xml:space="preserve">      二〇〇二年十月十五日 </w:t>
      </w:r>
    </w:p>
    <w:p>
      <w:pPr>
        <w:widowControl/>
        <w:spacing w:before="100" w:beforeAutospacing="1" w:after="100" w:afterAutospacing="1"/>
        <w:ind w:firstLine="480"/>
        <w:jc w:val="left"/>
        <w:rPr>
          <w:rFonts w:ascii="宋体" w:cs="宋体"/>
          <w:color w:val="auto"/>
          <w:kern w:val="0"/>
          <w:sz w:val="21"/>
          <w:szCs w:val="21"/>
          <w:highlight w:val="none"/>
        </w:rPr>
      </w:pPr>
      <w:r>
        <w:rPr>
          <w:rFonts w:hint="eastAsia" w:ascii="宋体" w:cs="宋体"/>
          <w:color w:val="auto"/>
          <w:kern w:val="0"/>
          <w:sz w:val="21"/>
          <w:szCs w:val="21"/>
          <w:highlight w:val="none"/>
        </w:rPr>
        <w:t xml:space="preserve"> </w:t>
      </w:r>
    </w:p>
    <w:p>
      <w:pPr>
        <w:widowControl/>
        <w:spacing w:before="100" w:beforeAutospacing="1" w:after="100" w:afterAutospacing="1"/>
        <w:ind w:firstLine="480"/>
        <w:jc w:val="left"/>
        <w:rPr>
          <w:rFonts w:ascii="宋体" w:cs="宋体"/>
          <w:color w:val="auto"/>
          <w:kern w:val="0"/>
          <w:sz w:val="21"/>
          <w:szCs w:val="21"/>
          <w:highlight w:val="none"/>
        </w:rPr>
      </w:pPr>
      <w:r>
        <w:rPr>
          <w:rFonts w:hint="eastAsia" w:ascii="宋体" w:cs="宋体"/>
          <w:color w:val="auto"/>
          <w:kern w:val="0"/>
          <w:sz w:val="21"/>
          <w:szCs w:val="21"/>
          <w:highlight w:val="none"/>
        </w:rPr>
        <w:t xml:space="preserve"> </w:t>
      </w:r>
    </w:p>
    <w:p>
      <w:pPr>
        <w:widowControl/>
        <w:spacing w:before="100" w:beforeAutospacing="1" w:after="100" w:afterAutospacing="1"/>
        <w:ind w:firstLine="480"/>
        <w:jc w:val="left"/>
        <w:rPr>
          <w:rFonts w:ascii="宋体" w:cs="宋体"/>
          <w:color w:val="auto"/>
          <w:kern w:val="0"/>
          <w:sz w:val="21"/>
          <w:szCs w:val="21"/>
          <w:highlight w:val="none"/>
        </w:rPr>
      </w:pPr>
    </w:p>
    <w:p>
      <w:pPr>
        <w:widowControl/>
        <w:spacing w:before="100" w:beforeAutospacing="1" w:after="100" w:afterAutospacing="1"/>
        <w:ind w:firstLine="480"/>
        <w:jc w:val="left"/>
        <w:rPr>
          <w:rFonts w:ascii="宋体" w:cs="宋体"/>
          <w:color w:val="auto"/>
          <w:kern w:val="0"/>
          <w:sz w:val="21"/>
          <w:szCs w:val="21"/>
          <w:highlight w:val="none"/>
        </w:rPr>
      </w:pPr>
    </w:p>
    <w:p>
      <w:pPr>
        <w:widowControl/>
        <w:spacing w:before="100" w:beforeAutospacing="1" w:after="100" w:afterAutospacing="1"/>
        <w:ind w:firstLine="480"/>
        <w:jc w:val="left"/>
        <w:rPr>
          <w:rFonts w:ascii="宋体" w:cs="宋体"/>
          <w:color w:val="auto"/>
          <w:kern w:val="0"/>
          <w:sz w:val="21"/>
          <w:szCs w:val="21"/>
          <w:highlight w:val="none"/>
        </w:rPr>
      </w:pPr>
    </w:p>
    <w:p>
      <w:pPr>
        <w:widowControl/>
        <w:spacing w:before="100" w:beforeAutospacing="1" w:after="100" w:afterAutospacing="1"/>
        <w:ind w:firstLine="480"/>
        <w:jc w:val="left"/>
        <w:rPr>
          <w:rFonts w:ascii="宋体" w:cs="宋体"/>
          <w:color w:val="auto"/>
          <w:kern w:val="0"/>
          <w:sz w:val="21"/>
          <w:szCs w:val="21"/>
          <w:highlight w:val="none"/>
        </w:rPr>
      </w:pPr>
      <w:r>
        <w:rPr>
          <w:rFonts w:hint="eastAsia" w:ascii="宋体" w:cs="宋体"/>
          <w:color w:val="auto"/>
          <w:kern w:val="0"/>
          <w:sz w:val="21"/>
          <w:szCs w:val="21"/>
          <w:highlight w:val="none"/>
        </w:rPr>
        <w:t xml:space="preserve"> </w:t>
      </w:r>
    </w:p>
    <w:p>
      <w:pPr>
        <w:widowControl/>
        <w:spacing w:before="100" w:beforeAutospacing="1" w:after="100" w:afterAutospacing="1"/>
        <w:jc w:val="left"/>
        <w:rPr>
          <w:rFonts w:ascii="宋体" w:cs="宋体"/>
          <w:color w:val="auto"/>
          <w:kern w:val="0"/>
          <w:sz w:val="21"/>
          <w:szCs w:val="21"/>
          <w:highlight w:val="none"/>
        </w:rPr>
      </w:pPr>
    </w:p>
    <w:p>
      <w:pPr>
        <w:widowControl/>
        <w:spacing w:before="100" w:beforeAutospacing="1" w:after="100" w:afterAutospacing="1"/>
        <w:jc w:val="left"/>
        <w:rPr>
          <w:rFonts w:ascii="宋体" w:cs="宋体"/>
          <w:color w:val="auto"/>
          <w:kern w:val="0"/>
          <w:sz w:val="21"/>
          <w:szCs w:val="21"/>
          <w:highlight w:val="none"/>
        </w:rPr>
      </w:pPr>
    </w:p>
    <w:p>
      <w:pPr>
        <w:widowControl/>
        <w:spacing w:before="100" w:beforeAutospacing="1" w:after="100" w:afterAutospacing="1"/>
        <w:jc w:val="left"/>
        <w:rPr>
          <w:rFonts w:ascii="宋体" w:cs="宋体"/>
          <w:b/>
          <w:bCs/>
          <w:color w:val="auto"/>
          <w:kern w:val="0"/>
          <w:sz w:val="21"/>
          <w:szCs w:val="21"/>
          <w:highlight w:val="none"/>
        </w:rPr>
      </w:pPr>
      <w:r>
        <w:rPr>
          <w:rFonts w:hint="eastAsia" w:ascii="宋体" w:cs="宋体"/>
          <w:color w:val="auto"/>
          <w:kern w:val="0"/>
          <w:sz w:val="21"/>
          <w:szCs w:val="21"/>
          <w:highlight w:val="none"/>
        </w:rPr>
        <w:t xml:space="preserve">附件： </w:t>
      </w:r>
    </w:p>
    <w:p>
      <w:pPr>
        <w:widowControl/>
        <w:jc w:val="center"/>
        <w:rPr>
          <w:rFonts w:ascii="宋体" w:cs="宋体"/>
          <w:b/>
          <w:bCs/>
          <w:color w:val="auto"/>
          <w:kern w:val="0"/>
          <w:sz w:val="21"/>
          <w:szCs w:val="21"/>
          <w:highlight w:val="none"/>
        </w:rPr>
      </w:pPr>
      <w:r>
        <w:rPr>
          <w:rFonts w:hint="eastAsia" w:ascii="宋体" w:cs="宋体"/>
          <w:b/>
          <w:bCs/>
          <w:color w:val="auto"/>
          <w:kern w:val="0"/>
          <w:sz w:val="21"/>
          <w:szCs w:val="21"/>
          <w:highlight w:val="none"/>
        </w:rPr>
        <w:t>招标代理服务收费管理暂行办法</w:t>
      </w:r>
    </w:p>
    <w:p>
      <w:pPr>
        <w:widowControl/>
        <w:jc w:val="center"/>
        <w:rPr>
          <w:rFonts w:ascii="宋体" w:cs="宋体"/>
          <w:b/>
          <w:bCs/>
          <w:color w:val="auto"/>
          <w:kern w:val="0"/>
          <w:sz w:val="21"/>
          <w:szCs w:val="21"/>
          <w:highlight w:val="none"/>
        </w:rPr>
      </w:pPr>
      <w:r>
        <w:rPr>
          <w:rFonts w:hint="eastAsia" w:ascii="宋体" w:cs="宋体"/>
          <w:b/>
          <w:bCs/>
          <w:color w:val="auto"/>
          <w:kern w:val="0"/>
          <w:sz w:val="21"/>
          <w:szCs w:val="21"/>
          <w:highlight w:val="none"/>
        </w:rPr>
        <w:t xml:space="preserve"> </w:t>
      </w:r>
    </w:p>
    <w:p>
      <w:pPr>
        <w:widowControl/>
        <w:spacing w:line="400" w:lineRule="exact"/>
        <w:ind w:firstLine="210" w:firstLineChars="100"/>
        <w:jc w:val="left"/>
        <w:rPr>
          <w:rFonts w:ascii="宋体" w:cs="宋体"/>
          <w:color w:val="auto"/>
          <w:kern w:val="0"/>
          <w:sz w:val="21"/>
          <w:szCs w:val="21"/>
          <w:highlight w:val="none"/>
        </w:rPr>
      </w:pPr>
      <w:r>
        <w:rPr>
          <w:rFonts w:hint="eastAsia" w:ascii="宋体" w:cs="宋体"/>
          <w:color w:val="auto"/>
          <w:kern w:val="0"/>
          <w:sz w:val="21"/>
          <w:szCs w:val="21"/>
          <w:highlight w:val="none"/>
        </w:rPr>
        <w:t xml:space="preserve">第一条 为规范招标代理服务收费行为，维护招标人、投标人和招标代理机构的合法权益，根据《中华人民共和国价格法》、《中华人民共和国招标投标法》及有关法律、行政法规，制定本办法。 </w:t>
      </w:r>
    </w:p>
    <w:p>
      <w:pPr>
        <w:widowControl/>
        <w:spacing w:line="400" w:lineRule="exact"/>
        <w:ind w:firstLine="210" w:firstLineChars="100"/>
        <w:jc w:val="left"/>
        <w:rPr>
          <w:rFonts w:ascii="宋体" w:cs="宋体"/>
          <w:color w:val="auto"/>
          <w:kern w:val="0"/>
          <w:sz w:val="21"/>
          <w:szCs w:val="21"/>
          <w:highlight w:val="none"/>
        </w:rPr>
      </w:pPr>
      <w:r>
        <w:rPr>
          <w:rFonts w:hint="eastAsia" w:ascii="宋体" w:cs="宋体"/>
          <w:color w:val="auto"/>
          <w:kern w:val="0"/>
          <w:sz w:val="21"/>
          <w:szCs w:val="21"/>
          <w:highlight w:val="none"/>
        </w:rPr>
        <w:t xml:space="preserve">第二条 中华人民共和国境内发生的各类招标代理服务的收费行为，适用本办法。 </w:t>
      </w:r>
    </w:p>
    <w:p>
      <w:pPr>
        <w:widowControl/>
        <w:spacing w:line="400" w:lineRule="exact"/>
        <w:ind w:firstLine="210" w:firstLineChars="100"/>
        <w:jc w:val="left"/>
        <w:rPr>
          <w:rFonts w:ascii="宋体" w:cs="宋体"/>
          <w:color w:val="auto"/>
          <w:kern w:val="0"/>
          <w:sz w:val="21"/>
          <w:szCs w:val="21"/>
          <w:highlight w:val="none"/>
        </w:rPr>
      </w:pPr>
      <w:r>
        <w:rPr>
          <w:rFonts w:hint="eastAsia" w:ascii="宋体" w:cs="宋体"/>
          <w:color w:val="auto"/>
          <w:kern w:val="0"/>
          <w:sz w:val="21"/>
          <w:szCs w:val="21"/>
          <w:highlight w:val="none"/>
        </w:rPr>
        <w:t xml:space="preserve">第三条 本办法所称招标代理服务收费，是指招标代理机构接受招标人委托，从事编制采购文件（包括编制资格预审文件和标底），审查投标人资格，组织投标人踏勘现场并答疑，组织开标、评标、定标，以及提供招标前期咨询、协调合同的签订等业务所收取的费用。 </w:t>
      </w:r>
    </w:p>
    <w:p>
      <w:pPr>
        <w:widowControl/>
        <w:spacing w:line="400" w:lineRule="exact"/>
        <w:ind w:firstLine="210" w:firstLineChars="100"/>
        <w:jc w:val="left"/>
        <w:rPr>
          <w:rFonts w:ascii="宋体" w:cs="宋体"/>
          <w:color w:val="auto"/>
          <w:kern w:val="0"/>
          <w:sz w:val="21"/>
          <w:szCs w:val="21"/>
          <w:highlight w:val="none"/>
        </w:rPr>
      </w:pPr>
      <w:r>
        <w:rPr>
          <w:rFonts w:hint="eastAsia" w:ascii="宋体" w:cs="宋体"/>
          <w:color w:val="auto"/>
          <w:kern w:val="0"/>
          <w:sz w:val="21"/>
          <w:szCs w:val="21"/>
          <w:highlight w:val="none"/>
        </w:rPr>
        <w:t xml:space="preserve">第四条 招标代理机构从事招标代理业务并收取服务费用的，必须符合《中华人民共和国招标投标法》第十三条、第十四条规定的条件，具备独立法定代表人资格和相应资质。 </w:t>
      </w:r>
    </w:p>
    <w:p>
      <w:pPr>
        <w:widowControl/>
        <w:spacing w:line="400" w:lineRule="exact"/>
        <w:ind w:firstLine="210" w:firstLineChars="100"/>
        <w:jc w:val="left"/>
        <w:rPr>
          <w:rFonts w:ascii="宋体" w:cs="宋体"/>
          <w:color w:val="auto"/>
          <w:kern w:val="0"/>
          <w:sz w:val="21"/>
          <w:szCs w:val="21"/>
          <w:highlight w:val="none"/>
        </w:rPr>
      </w:pPr>
      <w:r>
        <w:rPr>
          <w:rFonts w:hint="eastAsia" w:ascii="宋体" w:cs="宋体"/>
          <w:color w:val="auto"/>
          <w:kern w:val="0"/>
          <w:sz w:val="21"/>
          <w:szCs w:val="21"/>
          <w:highlight w:val="none"/>
        </w:rPr>
        <w:t>第五条 招标代理机构应当在招标人委托的范围内办理招标事宜，遵守国家</w:t>
      </w:r>
      <w:r>
        <w:rPr>
          <w:rFonts w:hint="eastAsia" w:ascii="宋体" w:cs="宋体"/>
          <w:color w:val="auto"/>
          <w:kern w:val="0"/>
          <w:sz w:val="21"/>
          <w:szCs w:val="21"/>
          <w:highlight w:val="none"/>
          <w:lang w:eastAsia="zh-CN"/>
        </w:rPr>
        <w:t>法律法规</w:t>
      </w:r>
      <w:r>
        <w:rPr>
          <w:rFonts w:hint="eastAsia" w:ascii="宋体" w:cs="宋体"/>
          <w:color w:val="auto"/>
          <w:kern w:val="0"/>
          <w:sz w:val="21"/>
          <w:szCs w:val="21"/>
          <w:highlight w:val="none"/>
        </w:rPr>
        <w:t xml:space="preserve">及政策规定，符合招标人的技术、质量要求。 </w:t>
      </w:r>
    </w:p>
    <w:p>
      <w:pPr>
        <w:widowControl/>
        <w:spacing w:line="400" w:lineRule="exact"/>
        <w:ind w:firstLine="210" w:firstLineChars="100"/>
        <w:jc w:val="left"/>
        <w:rPr>
          <w:rFonts w:ascii="宋体" w:cs="宋体"/>
          <w:color w:val="auto"/>
          <w:kern w:val="0"/>
          <w:sz w:val="21"/>
          <w:szCs w:val="21"/>
          <w:highlight w:val="none"/>
        </w:rPr>
      </w:pPr>
      <w:r>
        <w:rPr>
          <w:rFonts w:hint="eastAsia" w:ascii="宋体" w:cs="宋体"/>
          <w:color w:val="auto"/>
          <w:kern w:val="0"/>
          <w:sz w:val="21"/>
          <w:szCs w:val="21"/>
          <w:highlight w:val="none"/>
        </w:rPr>
        <w:t xml:space="preserve">第六条 招标代理服务应当遵循公开、公正、平等、自愿、有偿的原则。严格禁止任何单位和个人为招标人强制指定招标代理机构或强制具有自行招标资格的单位接受代理并收取费用。 </w:t>
      </w:r>
    </w:p>
    <w:p>
      <w:pPr>
        <w:widowControl/>
        <w:spacing w:line="400" w:lineRule="exact"/>
        <w:ind w:firstLine="210" w:firstLineChars="100"/>
        <w:jc w:val="left"/>
        <w:rPr>
          <w:rFonts w:ascii="宋体" w:cs="宋体"/>
          <w:color w:val="auto"/>
          <w:kern w:val="0"/>
          <w:sz w:val="21"/>
          <w:szCs w:val="21"/>
          <w:highlight w:val="none"/>
        </w:rPr>
      </w:pPr>
      <w:r>
        <w:rPr>
          <w:rFonts w:hint="eastAsia" w:ascii="宋体" w:cs="宋体"/>
          <w:color w:val="auto"/>
          <w:kern w:val="0"/>
          <w:sz w:val="21"/>
          <w:szCs w:val="21"/>
          <w:highlight w:val="none"/>
        </w:rPr>
        <w:t xml:space="preserve">第七条 招标代理服务收费按照招标代理业务性质分为： </w:t>
      </w:r>
    </w:p>
    <w:p>
      <w:pPr>
        <w:widowControl/>
        <w:spacing w:line="400" w:lineRule="exact"/>
        <w:ind w:firstLine="210" w:firstLineChars="100"/>
        <w:jc w:val="left"/>
        <w:rPr>
          <w:rFonts w:ascii="宋体" w:cs="宋体"/>
          <w:color w:val="auto"/>
          <w:kern w:val="0"/>
          <w:sz w:val="21"/>
          <w:szCs w:val="21"/>
          <w:highlight w:val="none"/>
        </w:rPr>
      </w:pPr>
      <w:r>
        <w:rPr>
          <w:rFonts w:hint="eastAsia" w:ascii="宋体" w:cs="宋体"/>
          <w:color w:val="auto"/>
          <w:kern w:val="0"/>
          <w:sz w:val="21"/>
          <w:szCs w:val="21"/>
          <w:highlight w:val="none"/>
        </w:rPr>
        <w:t xml:space="preserve">（一）各类土木工程、建筑工程、设备安装、管道线路敷设、装饰装修等建设以及附带服务的工程招标代理服务收费。 </w:t>
      </w:r>
    </w:p>
    <w:p>
      <w:pPr>
        <w:widowControl/>
        <w:spacing w:line="400" w:lineRule="exact"/>
        <w:ind w:firstLine="210" w:firstLineChars="100"/>
        <w:jc w:val="left"/>
        <w:rPr>
          <w:rFonts w:ascii="宋体" w:cs="宋体"/>
          <w:color w:val="auto"/>
          <w:kern w:val="0"/>
          <w:sz w:val="21"/>
          <w:szCs w:val="21"/>
          <w:highlight w:val="none"/>
        </w:rPr>
      </w:pPr>
      <w:r>
        <w:rPr>
          <w:rFonts w:hint="eastAsia" w:ascii="宋体" w:cs="宋体"/>
          <w:color w:val="auto"/>
          <w:kern w:val="0"/>
          <w:sz w:val="21"/>
          <w:szCs w:val="21"/>
          <w:highlight w:val="none"/>
        </w:rPr>
        <w:t xml:space="preserve">（二）原材料、产品、设备和固态、液态或气态物体和电力等货物及其附带服务的货物招标代理服务收费。 </w:t>
      </w:r>
    </w:p>
    <w:p>
      <w:pPr>
        <w:widowControl/>
        <w:spacing w:line="400" w:lineRule="exact"/>
        <w:ind w:firstLine="210" w:firstLineChars="100"/>
        <w:jc w:val="left"/>
        <w:rPr>
          <w:rFonts w:ascii="宋体" w:cs="宋体"/>
          <w:color w:val="auto"/>
          <w:kern w:val="0"/>
          <w:sz w:val="21"/>
          <w:szCs w:val="21"/>
          <w:highlight w:val="none"/>
        </w:rPr>
      </w:pPr>
      <w:r>
        <w:rPr>
          <w:rFonts w:hint="eastAsia" w:ascii="宋体" w:cs="宋体"/>
          <w:color w:val="auto"/>
          <w:kern w:val="0"/>
          <w:sz w:val="21"/>
          <w:szCs w:val="21"/>
          <w:highlight w:val="none"/>
        </w:rPr>
        <w:t xml:space="preserve">（三）工程勘察、设计、咨询、监理，矿业权、土地使用权出让、转让和保险等工程和货物以外的服务招标代理服务收费。 </w:t>
      </w:r>
    </w:p>
    <w:p>
      <w:pPr>
        <w:widowControl/>
        <w:spacing w:line="400" w:lineRule="exact"/>
        <w:ind w:firstLine="210" w:firstLineChars="100"/>
        <w:jc w:val="left"/>
        <w:rPr>
          <w:rFonts w:ascii="宋体" w:cs="宋体"/>
          <w:color w:val="auto"/>
          <w:kern w:val="0"/>
          <w:sz w:val="21"/>
          <w:szCs w:val="21"/>
          <w:highlight w:val="none"/>
        </w:rPr>
      </w:pPr>
      <w:r>
        <w:rPr>
          <w:rFonts w:hint="eastAsia" w:ascii="宋体" w:cs="宋体"/>
          <w:color w:val="auto"/>
          <w:kern w:val="0"/>
          <w:sz w:val="21"/>
          <w:szCs w:val="21"/>
          <w:highlight w:val="none"/>
        </w:rPr>
        <w:t xml:space="preserve">第八条 招标代理服务收费实行政府指导价。 </w:t>
      </w:r>
    </w:p>
    <w:p>
      <w:pPr>
        <w:widowControl/>
        <w:spacing w:line="400" w:lineRule="exact"/>
        <w:ind w:firstLine="210" w:firstLineChars="100"/>
        <w:jc w:val="left"/>
        <w:rPr>
          <w:rFonts w:ascii="宋体" w:cs="宋体"/>
          <w:color w:val="auto"/>
          <w:kern w:val="0"/>
          <w:sz w:val="21"/>
          <w:szCs w:val="21"/>
          <w:highlight w:val="none"/>
        </w:rPr>
      </w:pPr>
      <w:r>
        <w:rPr>
          <w:rFonts w:hint="eastAsia" w:ascii="宋体" w:cs="宋体"/>
          <w:color w:val="auto"/>
          <w:kern w:val="0"/>
          <w:sz w:val="21"/>
          <w:szCs w:val="21"/>
          <w:highlight w:val="none"/>
        </w:rPr>
        <w:t xml:space="preserve">第九条 招标代理服务收费采用差额定率累进计费方式。收费标准按本办法附件规定执行，上下浮动幅度不超过20%。具体收费额由招标代理机构和招标委托人在规定的收费标准和浮动幅度内协商确定。 </w:t>
      </w:r>
    </w:p>
    <w:p>
      <w:pPr>
        <w:widowControl/>
        <w:spacing w:line="400" w:lineRule="exact"/>
        <w:ind w:firstLine="210" w:firstLineChars="100"/>
        <w:jc w:val="left"/>
        <w:rPr>
          <w:rFonts w:ascii="宋体" w:cs="宋体"/>
          <w:color w:val="auto"/>
          <w:kern w:val="0"/>
          <w:sz w:val="21"/>
          <w:szCs w:val="21"/>
          <w:highlight w:val="none"/>
        </w:rPr>
      </w:pPr>
      <w:r>
        <w:rPr>
          <w:rFonts w:hint="eastAsia" w:ascii="宋体" w:cs="宋体"/>
          <w:color w:val="auto"/>
          <w:kern w:val="0"/>
          <w:sz w:val="21"/>
          <w:szCs w:val="21"/>
          <w:highlight w:val="none"/>
        </w:rPr>
        <w:t xml:space="preserve">出售采购文件可以收取编制成本费，具体定价办法由省、自治区、直辖市价格主管部门按照不以营利为目的原则制定。 </w:t>
      </w:r>
    </w:p>
    <w:p>
      <w:pPr>
        <w:widowControl/>
        <w:spacing w:line="400" w:lineRule="exact"/>
        <w:ind w:firstLine="210" w:firstLineChars="100"/>
        <w:jc w:val="left"/>
        <w:rPr>
          <w:rFonts w:ascii="宋体" w:cs="宋体"/>
          <w:color w:val="auto"/>
          <w:kern w:val="0"/>
          <w:sz w:val="21"/>
          <w:szCs w:val="21"/>
          <w:highlight w:val="none"/>
        </w:rPr>
      </w:pPr>
      <w:r>
        <w:rPr>
          <w:rFonts w:hint="eastAsia" w:ascii="宋体" w:cs="宋体"/>
          <w:color w:val="auto"/>
          <w:kern w:val="0"/>
          <w:sz w:val="21"/>
          <w:szCs w:val="21"/>
          <w:highlight w:val="none"/>
        </w:rPr>
        <w:t>第十条 招标代理服务实行谁委托谁付费。（国家发展和改革委员会办公厅发改办价格</w:t>
      </w:r>
      <w:r>
        <w:rPr>
          <w:rFonts w:hint="eastAsia" w:ascii="宋体" w:cs="宋体"/>
          <w:color w:val="auto"/>
          <w:kern w:val="0"/>
          <w:sz w:val="21"/>
          <w:szCs w:val="21"/>
          <w:highlight w:val="none"/>
          <w:lang w:eastAsia="zh-CN"/>
        </w:rPr>
        <w:t>〔2003〕857号</w:t>
      </w:r>
      <w:r>
        <w:rPr>
          <w:rFonts w:hint="eastAsia" w:ascii="宋体" w:cs="宋体"/>
          <w:color w:val="auto"/>
          <w:kern w:val="0"/>
          <w:sz w:val="21"/>
          <w:szCs w:val="21"/>
          <w:highlight w:val="none"/>
        </w:rPr>
        <w:t xml:space="preserve">文件《国家发展改革委办公厅关于招标代理服务收费有关问题的通知》将本条修改为招标代理服务费用应由招标人支付，招标人、招标代理机构与投标人另有约定的，从其约定） </w:t>
      </w:r>
    </w:p>
    <w:p>
      <w:pPr>
        <w:widowControl/>
        <w:spacing w:line="400" w:lineRule="exact"/>
        <w:ind w:firstLine="210" w:firstLineChars="100"/>
        <w:jc w:val="left"/>
        <w:rPr>
          <w:rFonts w:ascii="宋体" w:cs="宋体"/>
          <w:color w:val="auto"/>
          <w:kern w:val="0"/>
          <w:sz w:val="21"/>
          <w:szCs w:val="21"/>
          <w:highlight w:val="none"/>
        </w:rPr>
      </w:pPr>
      <w:r>
        <w:rPr>
          <w:rFonts w:hint="eastAsia" w:ascii="宋体" w:cs="宋体"/>
          <w:color w:val="auto"/>
          <w:kern w:val="0"/>
          <w:sz w:val="21"/>
          <w:szCs w:val="21"/>
          <w:highlight w:val="none"/>
        </w:rPr>
        <w:t xml:space="preserve">工程招标委托人支付的招标代理服务费，可计入工程前期费用。货物招标和服务招标委托人支付的招标代理服务费，按照财政部门规定列支。 </w:t>
      </w:r>
    </w:p>
    <w:p>
      <w:pPr>
        <w:widowControl/>
        <w:spacing w:line="400" w:lineRule="exact"/>
        <w:ind w:firstLine="210" w:firstLineChars="100"/>
        <w:jc w:val="left"/>
        <w:rPr>
          <w:rFonts w:ascii="宋体" w:cs="宋体"/>
          <w:color w:val="auto"/>
          <w:kern w:val="0"/>
          <w:sz w:val="21"/>
          <w:szCs w:val="21"/>
          <w:highlight w:val="none"/>
        </w:rPr>
      </w:pPr>
      <w:r>
        <w:rPr>
          <w:rFonts w:hint="eastAsia" w:ascii="宋体" w:cs="宋体"/>
          <w:color w:val="auto"/>
          <w:kern w:val="0"/>
          <w:sz w:val="21"/>
          <w:szCs w:val="21"/>
          <w:highlight w:val="none"/>
        </w:rPr>
        <w:t xml:space="preserve">第十一条 招标代理机构按规定收取代理费用和出售采购文件后，不得再要求招标委托人无偿提供食宿、交通等或收取其他费用。 </w:t>
      </w:r>
    </w:p>
    <w:p>
      <w:pPr>
        <w:widowControl/>
        <w:spacing w:line="400" w:lineRule="exact"/>
        <w:ind w:firstLine="210" w:firstLineChars="100"/>
        <w:jc w:val="left"/>
        <w:rPr>
          <w:rFonts w:ascii="宋体" w:cs="宋体"/>
          <w:color w:val="auto"/>
          <w:kern w:val="0"/>
          <w:sz w:val="21"/>
          <w:szCs w:val="21"/>
          <w:highlight w:val="none"/>
        </w:rPr>
      </w:pPr>
      <w:r>
        <w:rPr>
          <w:rFonts w:hint="eastAsia" w:ascii="宋体" w:cs="宋体"/>
          <w:color w:val="auto"/>
          <w:kern w:val="0"/>
          <w:sz w:val="21"/>
          <w:szCs w:val="21"/>
          <w:highlight w:val="none"/>
        </w:rPr>
        <w:t xml:space="preserve">第十二条 招标代理业务中有超出本办法第三条规定的要求的，招标代理机构可与招标委托人就所增加的工作量，另行协商确定服务费用。 </w:t>
      </w:r>
    </w:p>
    <w:p>
      <w:pPr>
        <w:widowControl/>
        <w:spacing w:line="400" w:lineRule="exact"/>
        <w:ind w:firstLine="210" w:firstLineChars="100"/>
        <w:jc w:val="left"/>
        <w:rPr>
          <w:rFonts w:ascii="宋体" w:cs="宋体"/>
          <w:color w:val="auto"/>
          <w:kern w:val="0"/>
          <w:sz w:val="21"/>
          <w:szCs w:val="21"/>
          <w:highlight w:val="none"/>
        </w:rPr>
      </w:pPr>
      <w:r>
        <w:rPr>
          <w:rFonts w:hint="eastAsia" w:ascii="宋体" w:cs="宋体"/>
          <w:color w:val="auto"/>
          <w:kern w:val="0"/>
          <w:sz w:val="21"/>
          <w:szCs w:val="21"/>
          <w:highlight w:val="none"/>
        </w:rPr>
        <w:t>第十三条 招标代理服务收费纠纷，依据《中华人民共和国价格法》、《中华人民共和国民法典》及其他有关</w:t>
      </w:r>
      <w:r>
        <w:rPr>
          <w:rFonts w:hint="eastAsia" w:ascii="宋体" w:cs="宋体"/>
          <w:color w:val="auto"/>
          <w:kern w:val="0"/>
          <w:sz w:val="21"/>
          <w:szCs w:val="21"/>
          <w:highlight w:val="none"/>
          <w:lang w:eastAsia="zh-CN"/>
        </w:rPr>
        <w:t>法律法规</w:t>
      </w:r>
      <w:r>
        <w:rPr>
          <w:rFonts w:hint="eastAsia" w:ascii="宋体" w:cs="宋体"/>
          <w:color w:val="auto"/>
          <w:kern w:val="0"/>
          <w:sz w:val="21"/>
          <w:szCs w:val="21"/>
          <w:highlight w:val="none"/>
        </w:rPr>
        <w:t xml:space="preserve">处理。 </w:t>
      </w:r>
    </w:p>
    <w:p>
      <w:pPr>
        <w:widowControl/>
        <w:spacing w:line="400" w:lineRule="exact"/>
        <w:ind w:firstLine="210" w:firstLineChars="100"/>
        <w:jc w:val="left"/>
        <w:rPr>
          <w:rFonts w:ascii="宋体" w:cs="宋体"/>
          <w:color w:val="auto"/>
          <w:kern w:val="0"/>
          <w:sz w:val="21"/>
          <w:szCs w:val="21"/>
          <w:highlight w:val="none"/>
        </w:rPr>
      </w:pPr>
      <w:r>
        <w:rPr>
          <w:rFonts w:hint="eastAsia" w:ascii="宋体" w:cs="宋体"/>
          <w:color w:val="auto"/>
          <w:kern w:val="0"/>
          <w:sz w:val="21"/>
          <w:szCs w:val="21"/>
          <w:highlight w:val="none"/>
        </w:rPr>
        <w:t xml:space="preserve">第十四条 各级政府有关部门或者其授权、委托的单位，按照国务院关于招标投标管理职能分工规定履行监督职能，要求招标投标当事人履行审批、备案及其他手续的，一律不得收费。 </w:t>
      </w:r>
    </w:p>
    <w:p>
      <w:pPr>
        <w:widowControl/>
        <w:spacing w:line="400" w:lineRule="exact"/>
        <w:ind w:firstLine="210" w:firstLineChars="100"/>
        <w:jc w:val="left"/>
        <w:rPr>
          <w:rFonts w:ascii="宋体" w:cs="宋体"/>
          <w:color w:val="auto"/>
          <w:kern w:val="0"/>
          <w:sz w:val="21"/>
          <w:szCs w:val="21"/>
          <w:highlight w:val="none"/>
        </w:rPr>
      </w:pPr>
      <w:r>
        <w:rPr>
          <w:rFonts w:hint="eastAsia" w:ascii="宋体" w:cs="宋体"/>
          <w:color w:val="auto"/>
          <w:kern w:val="0"/>
          <w:sz w:val="21"/>
          <w:szCs w:val="21"/>
          <w:highlight w:val="none"/>
        </w:rPr>
        <w:t xml:space="preserve">违反前款规定，擅自设立收费项目、制定收费标准以及收取管理性费用的，由政府价格主管部门予以处罚。 </w:t>
      </w:r>
    </w:p>
    <w:p>
      <w:pPr>
        <w:widowControl/>
        <w:spacing w:line="400" w:lineRule="exact"/>
        <w:ind w:firstLine="210" w:firstLineChars="100"/>
        <w:jc w:val="left"/>
        <w:rPr>
          <w:rFonts w:ascii="宋体" w:cs="宋体"/>
          <w:color w:val="auto"/>
          <w:kern w:val="0"/>
          <w:sz w:val="21"/>
          <w:szCs w:val="21"/>
          <w:highlight w:val="none"/>
        </w:rPr>
      </w:pPr>
      <w:r>
        <w:rPr>
          <w:rFonts w:hint="eastAsia" w:ascii="宋体" w:cs="宋体"/>
          <w:color w:val="auto"/>
          <w:kern w:val="0"/>
          <w:sz w:val="21"/>
          <w:szCs w:val="21"/>
          <w:highlight w:val="none"/>
        </w:rPr>
        <w:t xml:space="preserve">第十五条 招标代理机构违反本办法规定的，由政府价格主管部门依据《中华人民共和国价格法》和《价格违法行为行政处罚规定》予以查处。 </w:t>
      </w:r>
    </w:p>
    <w:p>
      <w:pPr>
        <w:widowControl/>
        <w:spacing w:line="400" w:lineRule="exact"/>
        <w:ind w:firstLine="210" w:firstLineChars="100"/>
        <w:jc w:val="left"/>
        <w:rPr>
          <w:rFonts w:ascii="宋体" w:cs="宋体"/>
          <w:color w:val="auto"/>
          <w:kern w:val="0"/>
          <w:sz w:val="21"/>
          <w:szCs w:val="21"/>
          <w:highlight w:val="none"/>
        </w:rPr>
      </w:pPr>
      <w:r>
        <w:rPr>
          <w:rFonts w:hint="eastAsia" w:ascii="宋体" w:cs="宋体"/>
          <w:color w:val="auto"/>
          <w:kern w:val="0"/>
          <w:sz w:val="21"/>
          <w:szCs w:val="21"/>
          <w:highlight w:val="none"/>
        </w:rPr>
        <w:t xml:space="preserve">第十六条 本办法由国家计委负责解释。 </w:t>
      </w:r>
    </w:p>
    <w:p>
      <w:pPr>
        <w:widowControl/>
        <w:spacing w:line="400" w:lineRule="exact"/>
        <w:ind w:firstLine="210" w:firstLineChars="100"/>
        <w:jc w:val="left"/>
        <w:rPr>
          <w:rFonts w:ascii="宋体" w:cs="宋体"/>
          <w:color w:val="auto"/>
          <w:kern w:val="0"/>
          <w:sz w:val="21"/>
          <w:szCs w:val="21"/>
          <w:highlight w:val="none"/>
        </w:rPr>
      </w:pPr>
      <w:r>
        <w:rPr>
          <w:rFonts w:hint="eastAsia" w:ascii="宋体" w:cs="宋体"/>
          <w:color w:val="auto"/>
          <w:kern w:val="0"/>
          <w:sz w:val="21"/>
          <w:szCs w:val="21"/>
          <w:highlight w:val="none"/>
        </w:rPr>
        <w:t xml:space="preserve">第十七条 本办法自2003年1月1日起执行。国家计委及有关部门，各省、自治区、直辖市价格主管部门制定的相关规定，凡与本办法相抵触的，自本办法生效之日起废止。 </w:t>
      </w:r>
    </w:p>
    <w:p>
      <w:pPr>
        <w:widowControl/>
        <w:spacing w:before="100" w:beforeAutospacing="1" w:after="100" w:afterAutospacing="1" w:line="360" w:lineRule="auto"/>
        <w:ind w:firstLine="210" w:firstLineChars="100"/>
        <w:jc w:val="left"/>
        <w:rPr>
          <w:rFonts w:ascii="宋体" w:cs="宋体"/>
          <w:color w:val="auto"/>
          <w:kern w:val="0"/>
          <w:sz w:val="21"/>
          <w:szCs w:val="21"/>
          <w:highlight w:val="none"/>
        </w:rPr>
      </w:pPr>
      <w:r>
        <w:rPr>
          <w:rFonts w:hint="eastAsia" w:ascii="宋体" w:cs="宋体"/>
          <w:color w:val="auto"/>
          <w:kern w:val="0"/>
          <w:sz w:val="21"/>
          <w:szCs w:val="21"/>
          <w:highlight w:val="none"/>
        </w:rPr>
        <w:t>附： 招标代理服务收费标准</w:t>
      </w:r>
    </w:p>
    <w:tbl>
      <w:tblPr>
        <w:tblStyle w:val="39"/>
        <w:tblW w:w="0" w:type="auto"/>
        <w:tblInd w:w="1152" w:type="dxa"/>
        <w:tblLayout w:type="fixed"/>
        <w:tblCellMar>
          <w:top w:w="0" w:type="dxa"/>
          <w:left w:w="108" w:type="dxa"/>
          <w:bottom w:w="0" w:type="dxa"/>
          <w:right w:w="108" w:type="dxa"/>
        </w:tblCellMar>
      </w:tblPr>
      <w:tblGrid>
        <w:gridCol w:w="2875"/>
        <w:gridCol w:w="1131"/>
        <w:gridCol w:w="1131"/>
        <w:gridCol w:w="1161"/>
      </w:tblGrid>
      <w:tr>
        <w:tblPrEx>
          <w:tblCellMar>
            <w:top w:w="0" w:type="dxa"/>
            <w:left w:w="108" w:type="dxa"/>
            <w:bottom w:w="0" w:type="dxa"/>
            <w:right w:w="108" w:type="dxa"/>
          </w:tblCellMar>
        </w:tblPrEx>
        <w:tc>
          <w:tcPr>
            <w:tcW w:w="2875" w:type="dxa"/>
            <w:tcBorders>
              <w:top w:val="nil"/>
              <w:left w:val="nil"/>
              <w:bottom w:val="nil"/>
              <w:right w:val="nil"/>
            </w:tcBorders>
            <w:noWrap/>
            <w:tcMar>
              <w:top w:w="15" w:type="dxa"/>
              <w:left w:w="15" w:type="dxa"/>
              <w:bottom w:w="15" w:type="dxa"/>
              <w:right w:w="15" w:type="dxa"/>
            </w:tcMar>
            <w:vAlign w:val="center"/>
          </w:tcPr>
          <w:p>
            <w:pPr>
              <w:widowControl/>
              <w:ind w:firstLine="210" w:firstLineChars="100"/>
              <w:jc w:val="left"/>
              <w:rPr>
                <w:rFonts w:ascii="宋体" w:cs="宋体"/>
                <w:color w:val="auto"/>
                <w:kern w:val="0"/>
                <w:sz w:val="21"/>
                <w:szCs w:val="21"/>
                <w:highlight w:val="none"/>
              </w:rPr>
            </w:pPr>
            <w:r>
              <w:rPr>
                <w:rFonts w:hint="eastAsia" w:ascii="宋体" w:cs="宋体"/>
                <w:color w:val="auto"/>
                <w:kern w:val="0"/>
                <w:sz w:val="21"/>
                <w:szCs w:val="21"/>
                <w:highlight w:val="none"/>
              </w:rPr>
              <w:t>服务费率中标金额（万元）</w:t>
            </w:r>
          </w:p>
        </w:tc>
        <w:tc>
          <w:tcPr>
            <w:tcW w:w="1131" w:type="dxa"/>
            <w:tcBorders>
              <w:top w:val="nil"/>
              <w:left w:val="nil"/>
              <w:bottom w:val="nil"/>
              <w:right w:val="nil"/>
            </w:tcBorders>
            <w:noWrap/>
            <w:tcMar>
              <w:top w:w="15" w:type="dxa"/>
              <w:left w:w="15" w:type="dxa"/>
              <w:bottom w:w="15" w:type="dxa"/>
              <w:right w:w="15" w:type="dxa"/>
            </w:tcMar>
            <w:vAlign w:val="center"/>
          </w:tcPr>
          <w:p>
            <w:pPr>
              <w:widowControl/>
              <w:ind w:firstLine="210" w:firstLineChars="100"/>
              <w:jc w:val="left"/>
              <w:rPr>
                <w:rFonts w:ascii="宋体" w:cs="宋体"/>
                <w:color w:val="auto"/>
                <w:kern w:val="0"/>
                <w:sz w:val="21"/>
                <w:szCs w:val="21"/>
                <w:highlight w:val="none"/>
              </w:rPr>
            </w:pPr>
            <w:r>
              <w:rPr>
                <w:rFonts w:hint="eastAsia" w:ascii="宋体" w:cs="宋体"/>
                <w:color w:val="auto"/>
                <w:kern w:val="0"/>
                <w:sz w:val="21"/>
                <w:szCs w:val="21"/>
                <w:highlight w:val="none"/>
              </w:rPr>
              <w:t>货物招标</w:t>
            </w:r>
          </w:p>
        </w:tc>
        <w:tc>
          <w:tcPr>
            <w:tcW w:w="1131" w:type="dxa"/>
            <w:tcBorders>
              <w:top w:val="nil"/>
              <w:left w:val="nil"/>
              <w:bottom w:val="nil"/>
              <w:right w:val="nil"/>
            </w:tcBorders>
            <w:noWrap/>
            <w:tcMar>
              <w:top w:w="15" w:type="dxa"/>
              <w:left w:w="15" w:type="dxa"/>
              <w:bottom w:w="15" w:type="dxa"/>
              <w:right w:w="15" w:type="dxa"/>
            </w:tcMar>
            <w:vAlign w:val="center"/>
          </w:tcPr>
          <w:p>
            <w:pPr>
              <w:widowControl/>
              <w:ind w:firstLine="210" w:firstLineChars="100"/>
              <w:jc w:val="left"/>
              <w:rPr>
                <w:rFonts w:ascii="宋体" w:cs="宋体"/>
                <w:color w:val="auto"/>
                <w:kern w:val="0"/>
                <w:sz w:val="21"/>
                <w:szCs w:val="21"/>
                <w:highlight w:val="none"/>
              </w:rPr>
            </w:pPr>
            <w:r>
              <w:rPr>
                <w:rFonts w:hint="eastAsia" w:ascii="宋体" w:cs="宋体"/>
                <w:color w:val="auto"/>
                <w:kern w:val="0"/>
                <w:sz w:val="21"/>
                <w:szCs w:val="21"/>
                <w:highlight w:val="none"/>
              </w:rPr>
              <w:t>服务招标</w:t>
            </w:r>
          </w:p>
        </w:tc>
        <w:tc>
          <w:tcPr>
            <w:tcW w:w="1161" w:type="dxa"/>
            <w:tcBorders>
              <w:top w:val="nil"/>
              <w:left w:val="nil"/>
              <w:bottom w:val="nil"/>
              <w:right w:val="nil"/>
            </w:tcBorders>
            <w:noWrap/>
            <w:tcMar>
              <w:top w:w="15" w:type="dxa"/>
              <w:left w:w="15" w:type="dxa"/>
              <w:bottom w:w="15" w:type="dxa"/>
              <w:right w:w="15" w:type="dxa"/>
            </w:tcMar>
            <w:vAlign w:val="center"/>
          </w:tcPr>
          <w:p>
            <w:pPr>
              <w:widowControl/>
              <w:ind w:firstLine="210" w:firstLineChars="100"/>
              <w:jc w:val="left"/>
              <w:rPr>
                <w:rFonts w:ascii="宋体" w:cs="宋体"/>
                <w:color w:val="auto"/>
                <w:kern w:val="0"/>
                <w:sz w:val="21"/>
                <w:szCs w:val="21"/>
                <w:highlight w:val="none"/>
              </w:rPr>
            </w:pPr>
            <w:r>
              <w:rPr>
                <w:rFonts w:hint="eastAsia" w:ascii="宋体" w:cs="宋体"/>
                <w:color w:val="auto"/>
                <w:kern w:val="0"/>
                <w:sz w:val="21"/>
                <w:szCs w:val="21"/>
                <w:highlight w:val="none"/>
              </w:rPr>
              <w:t>工程招标</w:t>
            </w:r>
          </w:p>
        </w:tc>
      </w:tr>
      <w:tr>
        <w:tblPrEx>
          <w:tblCellMar>
            <w:top w:w="0" w:type="dxa"/>
            <w:left w:w="108" w:type="dxa"/>
            <w:bottom w:w="0" w:type="dxa"/>
            <w:right w:w="108" w:type="dxa"/>
          </w:tblCellMar>
        </w:tblPrEx>
        <w:tc>
          <w:tcPr>
            <w:tcW w:w="2875" w:type="dxa"/>
            <w:tcBorders>
              <w:top w:val="nil"/>
              <w:left w:val="nil"/>
              <w:bottom w:val="nil"/>
              <w:right w:val="nil"/>
            </w:tcBorders>
            <w:noWrap/>
            <w:tcMar>
              <w:top w:w="15" w:type="dxa"/>
              <w:left w:w="15" w:type="dxa"/>
              <w:bottom w:w="15" w:type="dxa"/>
              <w:right w:w="15" w:type="dxa"/>
            </w:tcMar>
            <w:vAlign w:val="center"/>
          </w:tcPr>
          <w:p>
            <w:pPr>
              <w:widowControl/>
              <w:ind w:firstLine="210" w:firstLineChars="100"/>
              <w:jc w:val="left"/>
              <w:rPr>
                <w:rFonts w:ascii="宋体" w:cs="宋体"/>
                <w:color w:val="auto"/>
                <w:kern w:val="0"/>
                <w:sz w:val="21"/>
                <w:szCs w:val="21"/>
                <w:highlight w:val="none"/>
              </w:rPr>
            </w:pPr>
            <w:r>
              <w:rPr>
                <w:rFonts w:hint="eastAsia" w:ascii="宋体" w:cs="宋体"/>
                <w:color w:val="auto"/>
                <w:kern w:val="0"/>
                <w:sz w:val="21"/>
                <w:szCs w:val="21"/>
                <w:highlight w:val="none"/>
              </w:rPr>
              <w:t>100以下</w:t>
            </w:r>
          </w:p>
        </w:tc>
        <w:tc>
          <w:tcPr>
            <w:tcW w:w="1131" w:type="dxa"/>
            <w:tcBorders>
              <w:top w:val="nil"/>
              <w:left w:val="nil"/>
              <w:bottom w:val="nil"/>
              <w:right w:val="nil"/>
            </w:tcBorders>
            <w:noWrap/>
            <w:tcMar>
              <w:top w:w="15" w:type="dxa"/>
              <w:left w:w="15" w:type="dxa"/>
              <w:bottom w:w="15" w:type="dxa"/>
              <w:right w:w="15" w:type="dxa"/>
            </w:tcMar>
            <w:vAlign w:val="center"/>
          </w:tcPr>
          <w:p>
            <w:pPr>
              <w:widowControl/>
              <w:ind w:firstLine="210" w:firstLineChars="100"/>
              <w:jc w:val="left"/>
              <w:rPr>
                <w:rFonts w:ascii="宋体" w:cs="宋体"/>
                <w:color w:val="auto"/>
                <w:kern w:val="0"/>
                <w:sz w:val="21"/>
                <w:szCs w:val="21"/>
                <w:highlight w:val="none"/>
              </w:rPr>
            </w:pPr>
            <w:r>
              <w:rPr>
                <w:rFonts w:hint="eastAsia" w:ascii="宋体" w:cs="宋体"/>
                <w:color w:val="auto"/>
                <w:kern w:val="0"/>
                <w:sz w:val="21"/>
                <w:szCs w:val="21"/>
                <w:highlight w:val="none"/>
              </w:rPr>
              <w:t>1.5%</w:t>
            </w:r>
          </w:p>
        </w:tc>
        <w:tc>
          <w:tcPr>
            <w:tcW w:w="1131" w:type="dxa"/>
            <w:tcBorders>
              <w:top w:val="nil"/>
              <w:left w:val="nil"/>
              <w:bottom w:val="nil"/>
              <w:right w:val="nil"/>
            </w:tcBorders>
            <w:noWrap/>
            <w:tcMar>
              <w:top w:w="15" w:type="dxa"/>
              <w:left w:w="15" w:type="dxa"/>
              <w:bottom w:w="15" w:type="dxa"/>
              <w:right w:w="15" w:type="dxa"/>
            </w:tcMar>
            <w:vAlign w:val="center"/>
          </w:tcPr>
          <w:p>
            <w:pPr>
              <w:widowControl/>
              <w:ind w:firstLine="210" w:firstLineChars="100"/>
              <w:jc w:val="left"/>
              <w:rPr>
                <w:rFonts w:ascii="宋体" w:cs="宋体"/>
                <w:color w:val="auto"/>
                <w:kern w:val="0"/>
                <w:sz w:val="21"/>
                <w:szCs w:val="21"/>
                <w:highlight w:val="none"/>
              </w:rPr>
            </w:pPr>
            <w:r>
              <w:rPr>
                <w:rFonts w:hint="eastAsia" w:ascii="宋体" w:cs="宋体"/>
                <w:color w:val="auto"/>
                <w:kern w:val="0"/>
                <w:sz w:val="21"/>
                <w:szCs w:val="21"/>
                <w:highlight w:val="none"/>
              </w:rPr>
              <w:t>1.5%</w:t>
            </w:r>
          </w:p>
        </w:tc>
        <w:tc>
          <w:tcPr>
            <w:tcW w:w="1161" w:type="dxa"/>
            <w:tcBorders>
              <w:top w:val="nil"/>
              <w:left w:val="nil"/>
              <w:bottom w:val="nil"/>
              <w:right w:val="nil"/>
            </w:tcBorders>
            <w:noWrap/>
            <w:tcMar>
              <w:top w:w="15" w:type="dxa"/>
              <w:left w:w="15" w:type="dxa"/>
              <w:bottom w:w="15" w:type="dxa"/>
              <w:right w:w="15" w:type="dxa"/>
            </w:tcMar>
            <w:vAlign w:val="center"/>
          </w:tcPr>
          <w:p>
            <w:pPr>
              <w:widowControl/>
              <w:ind w:firstLine="210" w:firstLineChars="100"/>
              <w:jc w:val="left"/>
              <w:rPr>
                <w:rFonts w:ascii="宋体" w:cs="宋体"/>
                <w:color w:val="auto"/>
                <w:kern w:val="0"/>
                <w:sz w:val="21"/>
                <w:szCs w:val="21"/>
                <w:highlight w:val="none"/>
              </w:rPr>
            </w:pPr>
            <w:r>
              <w:rPr>
                <w:rFonts w:hint="eastAsia" w:ascii="宋体" w:cs="宋体"/>
                <w:color w:val="auto"/>
                <w:kern w:val="0"/>
                <w:sz w:val="21"/>
                <w:szCs w:val="21"/>
                <w:highlight w:val="none"/>
              </w:rPr>
              <w:t>1.0%</w:t>
            </w:r>
          </w:p>
        </w:tc>
      </w:tr>
      <w:tr>
        <w:tblPrEx>
          <w:tblCellMar>
            <w:top w:w="0" w:type="dxa"/>
            <w:left w:w="108" w:type="dxa"/>
            <w:bottom w:w="0" w:type="dxa"/>
            <w:right w:w="108" w:type="dxa"/>
          </w:tblCellMar>
        </w:tblPrEx>
        <w:tc>
          <w:tcPr>
            <w:tcW w:w="2875" w:type="dxa"/>
            <w:tcBorders>
              <w:top w:val="nil"/>
              <w:left w:val="nil"/>
              <w:bottom w:val="nil"/>
              <w:right w:val="nil"/>
            </w:tcBorders>
            <w:noWrap/>
            <w:tcMar>
              <w:top w:w="15" w:type="dxa"/>
              <w:left w:w="15" w:type="dxa"/>
              <w:bottom w:w="15" w:type="dxa"/>
              <w:right w:w="15" w:type="dxa"/>
            </w:tcMar>
            <w:vAlign w:val="center"/>
          </w:tcPr>
          <w:p>
            <w:pPr>
              <w:widowControl/>
              <w:ind w:firstLine="210" w:firstLineChars="100"/>
              <w:jc w:val="left"/>
              <w:rPr>
                <w:rFonts w:ascii="宋体" w:cs="宋体"/>
                <w:color w:val="auto"/>
                <w:kern w:val="0"/>
                <w:sz w:val="21"/>
                <w:szCs w:val="21"/>
                <w:highlight w:val="none"/>
              </w:rPr>
            </w:pPr>
            <w:r>
              <w:rPr>
                <w:rFonts w:hint="eastAsia" w:ascii="宋体" w:cs="宋体"/>
                <w:color w:val="auto"/>
                <w:kern w:val="0"/>
                <w:sz w:val="21"/>
                <w:szCs w:val="21"/>
                <w:highlight w:val="none"/>
              </w:rPr>
              <w:t>100-500</w:t>
            </w:r>
          </w:p>
        </w:tc>
        <w:tc>
          <w:tcPr>
            <w:tcW w:w="1131" w:type="dxa"/>
            <w:tcBorders>
              <w:top w:val="nil"/>
              <w:left w:val="nil"/>
              <w:bottom w:val="nil"/>
              <w:right w:val="nil"/>
            </w:tcBorders>
            <w:noWrap/>
            <w:tcMar>
              <w:top w:w="15" w:type="dxa"/>
              <w:left w:w="15" w:type="dxa"/>
              <w:bottom w:w="15" w:type="dxa"/>
              <w:right w:w="15" w:type="dxa"/>
            </w:tcMar>
            <w:vAlign w:val="center"/>
          </w:tcPr>
          <w:p>
            <w:pPr>
              <w:widowControl/>
              <w:ind w:firstLine="210" w:firstLineChars="100"/>
              <w:jc w:val="left"/>
              <w:rPr>
                <w:rFonts w:ascii="宋体" w:cs="宋体"/>
                <w:color w:val="auto"/>
                <w:kern w:val="0"/>
                <w:sz w:val="21"/>
                <w:szCs w:val="21"/>
                <w:highlight w:val="none"/>
              </w:rPr>
            </w:pPr>
            <w:r>
              <w:rPr>
                <w:rFonts w:hint="eastAsia" w:ascii="宋体" w:cs="宋体"/>
                <w:color w:val="auto"/>
                <w:kern w:val="0"/>
                <w:sz w:val="21"/>
                <w:szCs w:val="21"/>
                <w:highlight w:val="none"/>
              </w:rPr>
              <w:t>1.1%</w:t>
            </w:r>
          </w:p>
        </w:tc>
        <w:tc>
          <w:tcPr>
            <w:tcW w:w="1131" w:type="dxa"/>
            <w:tcBorders>
              <w:top w:val="nil"/>
              <w:left w:val="nil"/>
              <w:bottom w:val="nil"/>
              <w:right w:val="nil"/>
            </w:tcBorders>
            <w:noWrap/>
            <w:tcMar>
              <w:top w:w="15" w:type="dxa"/>
              <w:left w:w="15" w:type="dxa"/>
              <w:bottom w:w="15" w:type="dxa"/>
              <w:right w:w="15" w:type="dxa"/>
            </w:tcMar>
            <w:vAlign w:val="center"/>
          </w:tcPr>
          <w:p>
            <w:pPr>
              <w:widowControl/>
              <w:ind w:firstLine="210" w:firstLineChars="100"/>
              <w:jc w:val="left"/>
              <w:rPr>
                <w:rFonts w:ascii="宋体" w:cs="宋体"/>
                <w:color w:val="auto"/>
                <w:kern w:val="0"/>
                <w:sz w:val="21"/>
                <w:szCs w:val="21"/>
                <w:highlight w:val="none"/>
              </w:rPr>
            </w:pPr>
            <w:r>
              <w:rPr>
                <w:rFonts w:hint="eastAsia" w:ascii="宋体" w:cs="宋体"/>
                <w:color w:val="auto"/>
                <w:kern w:val="0"/>
                <w:sz w:val="21"/>
                <w:szCs w:val="21"/>
                <w:highlight w:val="none"/>
              </w:rPr>
              <w:t>0.8%</w:t>
            </w:r>
          </w:p>
        </w:tc>
        <w:tc>
          <w:tcPr>
            <w:tcW w:w="1161" w:type="dxa"/>
            <w:tcBorders>
              <w:top w:val="nil"/>
              <w:left w:val="nil"/>
              <w:bottom w:val="nil"/>
              <w:right w:val="nil"/>
            </w:tcBorders>
            <w:noWrap/>
            <w:tcMar>
              <w:top w:w="15" w:type="dxa"/>
              <w:left w:w="15" w:type="dxa"/>
              <w:bottom w:w="15" w:type="dxa"/>
              <w:right w:w="15" w:type="dxa"/>
            </w:tcMar>
            <w:vAlign w:val="center"/>
          </w:tcPr>
          <w:p>
            <w:pPr>
              <w:widowControl/>
              <w:ind w:firstLine="210" w:firstLineChars="100"/>
              <w:jc w:val="left"/>
              <w:rPr>
                <w:rFonts w:ascii="宋体" w:cs="宋体"/>
                <w:color w:val="auto"/>
                <w:kern w:val="0"/>
                <w:sz w:val="21"/>
                <w:szCs w:val="21"/>
                <w:highlight w:val="none"/>
              </w:rPr>
            </w:pPr>
            <w:r>
              <w:rPr>
                <w:rFonts w:hint="eastAsia" w:ascii="宋体" w:cs="宋体"/>
                <w:color w:val="auto"/>
                <w:kern w:val="0"/>
                <w:sz w:val="21"/>
                <w:szCs w:val="21"/>
                <w:highlight w:val="none"/>
              </w:rPr>
              <w:t>0.7%</w:t>
            </w:r>
          </w:p>
        </w:tc>
      </w:tr>
      <w:tr>
        <w:tblPrEx>
          <w:tblCellMar>
            <w:top w:w="0" w:type="dxa"/>
            <w:left w:w="108" w:type="dxa"/>
            <w:bottom w:w="0" w:type="dxa"/>
            <w:right w:w="108" w:type="dxa"/>
          </w:tblCellMar>
        </w:tblPrEx>
        <w:tc>
          <w:tcPr>
            <w:tcW w:w="2875" w:type="dxa"/>
            <w:tcBorders>
              <w:top w:val="nil"/>
              <w:left w:val="nil"/>
              <w:bottom w:val="nil"/>
              <w:right w:val="nil"/>
            </w:tcBorders>
            <w:noWrap/>
            <w:tcMar>
              <w:top w:w="15" w:type="dxa"/>
              <w:left w:w="15" w:type="dxa"/>
              <w:bottom w:w="15" w:type="dxa"/>
              <w:right w:w="15" w:type="dxa"/>
            </w:tcMar>
            <w:vAlign w:val="center"/>
          </w:tcPr>
          <w:p>
            <w:pPr>
              <w:widowControl/>
              <w:ind w:firstLine="210" w:firstLineChars="100"/>
              <w:jc w:val="left"/>
              <w:rPr>
                <w:rFonts w:ascii="宋体" w:cs="宋体"/>
                <w:color w:val="auto"/>
                <w:kern w:val="0"/>
                <w:sz w:val="21"/>
                <w:szCs w:val="21"/>
                <w:highlight w:val="none"/>
              </w:rPr>
            </w:pPr>
            <w:r>
              <w:rPr>
                <w:rFonts w:hint="eastAsia" w:ascii="宋体" w:cs="宋体"/>
                <w:color w:val="auto"/>
                <w:kern w:val="0"/>
                <w:sz w:val="21"/>
                <w:szCs w:val="21"/>
                <w:highlight w:val="none"/>
              </w:rPr>
              <w:t>500-1000</w:t>
            </w:r>
          </w:p>
        </w:tc>
        <w:tc>
          <w:tcPr>
            <w:tcW w:w="1131" w:type="dxa"/>
            <w:tcBorders>
              <w:top w:val="nil"/>
              <w:left w:val="nil"/>
              <w:bottom w:val="nil"/>
              <w:right w:val="nil"/>
            </w:tcBorders>
            <w:noWrap/>
            <w:tcMar>
              <w:top w:w="15" w:type="dxa"/>
              <w:left w:w="15" w:type="dxa"/>
              <w:bottom w:w="15" w:type="dxa"/>
              <w:right w:w="15" w:type="dxa"/>
            </w:tcMar>
            <w:vAlign w:val="center"/>
          </w:tcPr>
          <w:p>
            <w:pPr>
              <w:widowControl/>
              <w:ind w:firstLine="210" w:firstLineChars="100"/>
              <w:jc w:val="left"/>
              <w:rPr>
                <w:rFonts w:ascii="宋体" w:cs="宋体"/>
                <w:color w:val="auto"/>
                <w:kern w:val="0"/>
                <w:sz w:val="21"/>
                <w:szCs w:val="21"/>
                <w:highlight w:val="none"/>
              </w:rPr>
            </w:pPr>
            <w:r>
              <w:rPr>
                <w:rFonts w:hint="eastAsia" w:ascii="宋体" w:cs="宋体"/>
                <w:color w:val="auto"/>
                <w:kern w:val="0"/>
                <w:sz w:val="21"/>
                <w:szCs w:val="21"/>
                <w:highlight w:val="none"/>
              </w:rPr>
              <w:t>0.8%</w:t>
            </w:r>
          </w:p>
        </w:tc>
        <w:tc>
          <w:tcPr>
            <w:tcW w:w="1131" w:type="dxa"/>
            <w:tcBorders>
              <w:top w:val="nil"/>
              <w:left w:val="nil"/>
              <w:bottom w:val="nil"/>
              <w:right w:val="nil"/>
            </w:tcBorders>
            <w:noWrap/>
            <w:tcMar>
              <w:top w:w="15" w:type="dxa"/>
              <w:left w:w="15" w:type="dxa"/>
              <w:bottom w:w="15" w:type="dxa"/>
              <w:right w:w="15" w:type="dxa"/>
            </w:tcMar>
            <w:vAlign w:val="center"/>
          </w:tcPr>
          <w:p>
            <w:pPr>
              <w:widowControl/>
              <w:ind w:firstLine="210" w:firstLineChars="100"/>
              <w:jc w:val="left"/>
              <w:rPr>
                <w:rFonts w:ascii="宋体" w:cs="宋体"/>
                <w:color w:val="auto"/>
                <w:kern w:val="0"/>
                <w:sz w:val="21"/>
                <w:szCs w:val="21"/>
                <w:highlight w:val="none"/>
              </w:rPr>
            </w:pPr>
            <w:r>
              <w:rPr>
                <w:rFonts w:hint="eastAsia" w:ascii="宋体" w:cs="宋体"/>
                <w:color w:val="auto"/>
                <w:kern w:val="0"/>
                <w:sz w:val="21"/>
                <w:szCs w:val="21"/>
                <w:highlight w:val="none"/>
              </w:rPr>
              <w:t>0.45%</w:t>
            </w:r>
          </w:p>
        </w:tc>
        <w:tc>
          <w:tcPr>
            <w:tcW w:w="1161" w:type="dxa"/>
            <w:tcBorders>
              <w:top w:val="nil"/>
              <w:left w:val="nil"/>
              <w:bottom w:val="nil"/>
              <w:right w:val="nil"/>
            </w:tcBorders>
            <w:noWrap/>
            <w:tcMar>
              <w:top w:w="15" w:type="dxa"/>
              <w:left w:w="15" w:type="dxa"/>
              <w:bottom w:w="15" w:type="dxa"/>
              <w:right w:w="15" w:type="dxa"/>
            </w:tcMar>
            <w:vAlign w:val="center"/>
          </w:tcPr>
          <w:p>
            <w:pPr>
              <w:widowControl/>
              <w:ind w:firstLine="210" w:firstLineChars="100"/>
              <w:jc w:val="left"/>
              <w:rPr>
                <w:rFonts w:ascii="宋体" w:cs="宋体"/>
                <w:color w:val="auto"/>
                <w:kern w:val="0"/>
                <w:sz w:val="21"/>
                <w:szCs w:val="21"/>
                <w:highlight w:val="none"/>
              </w:rPr>
            </w:pPr>
            <w:r>
              <w:rPr>
                <w:rFonts w:hint="eastAsia" w:ascii="宋体" w:cs="宋体"/>
                <w:color w:val="auto"/>
                <w:kern w:val="0"/>
                <w:sz w:val="21"/>
                <w:szCs w:val="21"/>
                <w:highlight w:val="none"/>
              </w:rPr>
              <w:t>0.55%</w:t>
            </w:r>
          </w:p>
        </w:tc>
      </w:tr>
      <w:tr>
        <w:tblPrEx>
          <w:tblCellMar>
            <w:top w:w="0" w:type="dxa"/>
            <w:left w:w="108" w:type="dxa"/>
            <w:bottom w:w="0" w:type="dxa"/>
            <w:right w:w="108" w:type="dxa"/>
          </w:tblCellMar>
        </w:tblPrEx>
        <w:tc>
          <w:tcPr>
            <w:tcW w:w="2875" w:type="dxa"/>
            <w:tcBorders>
              <w:top w:val="nil"/>
              <w:left w:val="nil"/>
              <w:bottom w:val="nil"/>
              <w:right w:val="nil"/>
            </w:tcBorders>
            <w:noWrap/>
            <w:tcMar>
              <w:top w:w="15" w:type="dxa"/>
              <w:left w:w="15" w:type="dxa"/>
              <w:bottom w:w="15" w:type="dxa"/>
              <w:right w:w="15" w:type="dxa"/>
            </w:tcMar>
            <w:vAlign w:val="center"/>
          </w:tcPr>
          <w:p>
            <w:pPr>
              <w:widowControl/>
              <w:ind w:firstLine="210" w:firstLineChars="100"/>
              <w:jc w:val="left"/>
              <w:rPr>
                <w:rFonts w:ascii="宋体" w:cs="宋体"/>
                <w:color w:val="auto"/>
                <w:kern w:val="0"/>
                <w:sz w:val="21"/>
                <w:szCs w:val="21"/>
                <w:highlight w:val="none"/>
              </w:rPr>
            </w:pPr>
            <w:r>
              <w:rPr>
                <w:rFonts w:hint="eastAsia" w:ascii="宋体" w:cs="宋体"/>
                <w:color w:val="auto"/>
                <w:kern w:val="0"/>
                <w:sz w:val="21"/>
                <w:szCs w:val="21"/>
                <w:highlight w:val="none"/>
              </w:rPr>
              <w:t>1000-5000</w:t>
            </w:r>
          </w:p>
        </w:tc>
        <w:tc>
          <w:tcPr>
            <w:tcW w:w="1131" w:type="dxa"/>
            <w:tcBorders>
              <w:top w:val="nil"/>
              <w:left w:val="nil"/>
              <w:bottom w:val="nil"/>
              <w:right w:val="nil"/>
            </w:tcBorders>
            <w:noWrap/>
            <w:tcMar>
              <w:top w:w="15" w:type="dxa"/>
              <w:left w:w="15" w:type="dxa"/>
              <w:bottom w:w="15" w:type="dxa"/>
              <w:right w:w="15" w:type="dxa"/>
            </w:tcMar>
            <w:vAlign w:val="center"/>
          </w:tcPr>
          <w:p>
            <w:pPr>
              <w:widowControl/>
              <w:ind w:firstLine="210" w:firstLineChars="100"/>
              <w:jc w:val="left"/>
              <w:rPr>
                <w:rFonts w:ascii="宋体" w:cs="宋体"/>
                <w:color w:val="auto"/>
                <w:kern w:val="0"/>
                <w:sz w:val="21"/>
                <w:szCs w:val="21"/>
                <w:highlight w:val="none"/>
              </w:rPr>
            </w:pPr>
            <w:r>
              <w:rPr>
                <w:rFonts w:hint="eastAsia" w:ascii="宋体" w:cs="宋体"/>
                <w:color w:val="auto"/>
                <w:kern w:val="0"/>
                <w:sz w:val="21"/>
                <w:szCs w:val="21"/>
                <w:highlight w:val="none"/>
              </w:rPr>
              <w:t>0.5%</w:t>
            </w:r>
          </w:p>
        </w:tc>
        <w:tc>
          <w:tcPr>
            <w:tcW w:w="1131" w:type="dxa"/>
            <w:tcBorders>
              <w:top w:val="nil"/>
              <w:left w:val="nil"/>
              <w:bottom w:val="nil"/>
              <w:right w:val="nil"/>
            </w:tcBorders>
            <w:noWrap/>
            <w:tcMar>
              <w:top w:w="15" w:type="dxa"/>
              <w:left w:w="15" w:type="dxa"/>
              <w:bottom w:w="15" w:type="dxa"/>
              <w:right w:w="15" w:type="dxa"/>
            </w:tcMar>
            <w:vAlign w:val="center"/>
          </w:tcPr>
          <w:p>
            <w:pPr>
              <w:widowControl/>
              <w:ind w:firstLine="210" w:firstLineChars="100"/>
              <w:jc w:val="left"/>
              <w:rPr>
                <w:rFonts w:ascii="宋体" w:cs="宋体"/>
                <w:color w:val="auto"/>
                <w:kern w:val="0"/>
                <w:sz w:val="21"/>
                <w:szCs w:val="21"/>
                <w:highlight w:val="none"/>
              </w:rPr>
            </w:pPr>
            <w:r>
              <w:rPr>
                <w:rFonts w:hint="eastAsia" w:ascii="宋体" w:cs="宋体"/>
                <w:color w:val="auto"/>
                <w:kern w:val="0"/>
                <w:sz w:val="21"/>
                <w:szCs w:val="21"/>
                <w:highlight w:val="none"/>
              </w:rPr>
              <w:t>0.25%</w:t>
            </w:r>
          </w:p>
        </w:tc>
        <w:tc>
          <w:tcPr>
            <w:tcW w:w="1161" w:type="dxa"/>
            <w:tcBorders>
              <w:top w:val="nil"/>
              <w:left w:val="nil"/>
              <w:bottom w:val="nil"/>
              <w:right w:val="nil"/>
            </w:tcBorders>
            <w:noWrap/>
            <w:tcMar>
              <w:top w:w="15" w:type="dxa"/>
              <w:left w:w="15" w:type="dxa"/>
              <w:bottom w:w="15" w:type="dxa"/>
              <w:right w:w="15" w:type="dxa"/>
            </w:tcMar>
            <w:vAlign w:val="center"/>
          </w:tcPr>
          <w:p>
            <w:pPr>
              <w:widowControl/>
              <w:ind w:firstLine="210" w:firstLineChars="100"/>
              <w:jc w:val="left"/>
              <w:rPr>
                <w:rFonts w:ascii="宋体" w:cs="宋体"/>
                <w:color w:val="auto"/>
                <w:kern w:val="0"/>
                <w:sz w:val="21"/>
                <w:szCs w:val="21"/>
                <w:highlight w:val="none"/>
              </w:rPr>
            </w:pPr>
            <w:r>
              <w:rPr>
                <w:rFonts w:hint="eastAsia" w:ascii="宋体" w:cs="宋体"/>
                <w:color w:val="auto"/>
                <w:kern w:val="0"/>
                <w:sz w:val="21"/>
                <w:szCs w:val="21"/>
                <w:highlight w:val="none"/>
              </w:rPr>
              <w:t>0.35%</w:t>
            </w:r>
          </w:p>
        </w:tc>
      </w:tr>
      <w:tr>
        <w:tblPrEx>
          <w:tblCellMar>
            <w:top w:w="0" w:type="dxa"/>
            <w:left w:w="108" w:type="dxa"/>
            <w:bottom w:w="0" w:type="dxa"/>
            <w:right w:w="108" w:type="dxa"/>
          </w:tblCellMar>
        </w:tblPrEx>
        <w:tc>
          <w:tcPr>
            <w:tcW w:w="2875" w:type="dxa"/>
            <w:tcBorders>
              <w:top w:val="nil"/>
              <w:left w:val="nil"/>
              <w:bottom w:val="nil"/>
              <w:right w:val="nil"/>
            </w:tcBorders>
            <w:noWrap/>
            <w:tcMar>
              <w:top w:w="15" w:type="dxa"/>
              <w:left w:w="15" w:type="dxa"/>
              <w:bottom w:w="15" w:type="dxa"/>
              <w:right w:w="15" w:type="dxa"/>
            </w:tcMar>
            <w:vAlign w:val="center"/>
          </w:tcPr>
          <w:p>
            <w:pPr>
              <w:widowControl/>
              <w:ind w:firstLine="210" w:firstLineChars="100"/>
              <w:jc w:val="left"/>
              <w:rPr>
                <w:rFonts w:ascii="宋体" w:cs="宋体"/>
                <w:color w:val="auto"/>
                <w:kern w:val="0"/>
                <w:sz w:val="21"/>
                <w:szCs w:val="21"/>
                <w:highlight w:val="none"/>
              </w:rPr>
            </w:pPr>
            <w:r>
              <w:rPr>
                <w:rFonts w:hint="eastAsia" w:ascii="宋体" w:cs="宋体"/>
                <w:color w:val="auto"/>
                <w:kern w:val="0"/>
                <w:sz w:val="21"/>
                <w:szCs w:val="21"/>
                <w:highlight w:val="none"/>
              </w:rPr>
              <w:t>5000-10000</w:t>
            </w:r>
          </w:p>
        </w:tc>
        <w:tc>
          <w:tcPr>
            <w:tcW w:w="1131" w:type="dxa"/>
            <w:tcBorders>
              <w:top w:val="nil"/>
              <w:left w:val="nil"/>
              <w:bottom w:val="nil"/>
              <w:right w:val="nil"/>
            </w:tcBorders>
            <w:noWrap/>
            <w:tcMar>
              <w:top w:w="15" w:type="dxa"/>
              <w:left w:w="15" w:type="dxa"/>
              <w:bottom w:w="15" w:type="dxa"/>
              <w:right w:w="15" w:type="dxa"/>
            </w:tcMar>
            <w:vAlign w:val="center"/>
          </w:tcPr>
          <w:p>
            <w:pPr>
              <w:widowControl/>
              <w:ind w:firstLine="210" w:firstLineChars="100"/>
              <w:jc w:val="left"/>
              <w:rPr>
                <w:rFonts w:ascii="宋体" w:cs="宋体"/>
                <w:color w:val="auto"/>
                <w:kern w:val="0"/>
                <w:sz w:val="21"/>
                <w:szCs w:val="21"/>
                <w:highlight w:val="none"/>
              </w:rPr>
            </w:pPr>
            <w:r>
              <w:rPr>
                <w:rFonts w:hint="eastAsia" w:ascii="宋体" w:cs="宋体"/>
                <w:color w:val="auto"/>
                <w:kern w:val="0"/>
                <w:sz w:val="21"/>
                <w:szCs w:val="21"/>
                <w:highlight w:val="none"/>
              </w:rPr>
              <w:t>0.25%</w:t>
            </w:r>
          </w:p>
        </w:tc>
        <w:tc>
          <w:tcPr>
            <w:tcW w:w="1131" w:type="dxa"/>
            <w:tcBorders>
              <w:top w:val="nil"/>
              <w:left w:val="nil"/>
              <w:bottom w:val="nil"/>
              <w:right w:val="nil"/>
            </w:tcBorders>
            <w:noWrap/>
            <w:tcMar>
              <w:top w:w="15" w:type="dxa"/>
              <w:left w:w="15" w:type="dxa"/>
              <w:bottom w:w="15" w:type="dxa"/>
              <w:right w:w="15" w:type="dxa"/>
            </w:tcMar>
            <w:vAlign w:val="center"/>
          </w:tcPr>
          <w:p>
            <w:pPr>
              <w:widowControl/>
              <w:ind w:firstLine="210" w:firstLineChars="100"/>
              <w:jc w:val="left"/>
              <w:rPr>
                <w:rFonts w:ascii="宋体" w:cs="宋体"/>
                <w:color w:val="auto"/>
                <w:kern w:val="0"/>
                <w:sz w:val="21"/>
                <w:szCs w:val="21"/>
                <w:highlight w:val="none"/>
              </w:rPr>
            </w:pPr>
            <w:r>
              <w:rPr>
                <w:rFonts w:hint="eastAsia" w:ascii="宋体" w:cs="宋体"/>
                <w:color w:val="auto"/>
                <w:kern w:val="0"/>
                <w:sz w:val="21"/>
                <w:szCs w:val="21"/>
                <w:highlight w:val="none"/>
              </w:rPr>
              <w:t>0.1%</w:t>
            </w:r>
          </w:p>
        </w:tc>
        <w:tc>
          <w:tcPr>
            <w:tcW w:w="1161" w:type="dxa"/>
            <w:tcBorders>
              <w:top w:val="nil"/>
              <w:left w:val="nil"/>
              <w:bottom w:val="nil"/>
              <w:right w:val="nil"/>
            </w:tcBorders>
            <w:noWrap/>
            <w:tcMar>
              <w:top w:w="15" w:type="dxa"/>
              <w:left w:w="15" w:type="dxa"/>
              <w:bottom w:w="15" w:type="dxa"/>
              <w:right w:w="15" w:type="dxa"/>
            </w:tcMar>
            <w:vAlign w:val="center"/>
          </w:tcPr>
          <w:p>
            <w:pPr>
              <w:widowControl/>
              <w:ind w:firstLine="210" w:firstLineChars="100"/>
              <w:jc w:val="left"/>
              <w:rPr>
                <w:rFonts w:ascii="宋体" w:cs="宋体"/>
                <w:color w:val="auto"/>
                <w:kern w:val="0"/>
                <w:sz w:val="21"/>
                <w:szCs w:val="21"/>
                <w:highlight w:val="none"/>
              </w:rPr>
            </w:pPr>
            <w:r>
              <w:rPr>
                <w:rFonts w:hint="eastAsia" w:ascii="宋体" w:cs="宋体"/>
                <w:color w:val="auto"/>
                <w:kern w:val="0"/>
                <w:sz w:val="21"/>
                <w:szCs w:val="21"/>
                <w:highlight w:val="none"/>
              </w:rPr>
              <w:t>0.2%</w:t>
            </w:r>
          </w:p>
        </w:tc>
      </w:tr>
      <w:tr>
        <w:tblPrEx>
          <w:tblCellMar>
            <w:top w:w="0" w:type="dxa"/>
            <w:left w:w="108" w:type="dxa"/>
            <w:bottom w:w="0" w:type="dxa"/>
            <w:right w:w="108" w:type="dxa"/>
          </w:tblCellMar>
        </w:tblPrEx>
        <w:tc>
          <w:tcPr>
            <w:tcW w:w="2875" w:type="dxa"/>
            <w:tcBorders>
              <w:top w:val="nil"/>
              <w:left w:val="nil"/>
              <w:bottom w:val="nil"/>
              <w:right w:val="nil"/>
            </w:tcBorders>
            <w:noWrap/>
            <w:tcMar>
              <w:top w:w="15" w:type="dxa"/>
              <w:left w:w="15" w:type="dxa"/>
              <w:bottom w:w="15" w:type="dxa"/>
              <w:right w:w="15" w:type="dxa"/>
            </w:tcMar>
            <w:vAlign w:val="center"/>
          </w:tcPr>
          <w:p>
            <w:pPr>
              <w:widowControl/>
              <w:ind w:firstLine="210" w:firstLineChars="100"/>
              <w:jc w:val="left"/>
              <w:rPr>
                <w:rFonts w:ascii="宋体" w:cs="宋体"/>
                <w:color w:val="auto"/>
                <w:kern w:val="0"/>
                <w:sz w:val="21"/>
                <w:szCs w:val="21"/>
                <w:highlight w:val="none"/>
              </w:rPr>
            </w:pPr>
            <w:r>
              <w:rPr>
                <w:rFonts w:hint="eastAsia" w:ascii="宋体" w:cs="宋体"/>
                <w:color w:val="auto"/>
                <w:kern w:val="0"/>
                <w:sz w:val="21"/>
                <w:szCs w:val="21"/>
                <w:highlight w:val="none"/>
              </w:rPr>
              <w:t>10000-100000</w:t>
            </w:r>
          </w:p>
        </w:tc>
        <w:tc>
          <w:tcPr>
            <w:tcW w:w="1131" w:type="dxa"/>
            <w:tcBorders>
              <w:top w:val="nil"/>
              <w:left w:val="nil"/>
              <w:bottom w:val="nil"/>
              <w:right w:val="nil"/>
            </w:tcBorders>
            <w:noWrap/>
            <w:tcMar>
              <w:top w:w="15" w:type="dxa"/>
              <w:left w:w="15" w:type="dxa"/>
              <w:bottom w:w="15" w:type="dxa"/>
              <w:right w:w="15" w:type="dxa"/>
            </w:tcMar>
            <w:vAlign w:val="center"/>
          </w:tcPr>
          <w:p>
            <w:pPr>
              <w:widowControl/>
              <w:ind w:firstLine="210" w:firstLineChars="100"/>
              <w:jc w:val="left"/>
              <w:rPr>
                <w:rFonts w:ascii="宋体" w:cs="宋体"/>
                <w:color w:val="auto"/>
                <w:kern w:val="0"/>
                <w:sz w:val="21"/>
                <w:szCs w:val="21"/>
                <w:highlight w:val="none"/>
              </w:rPr>
            </w:pPr>
            <w:r>
              <w:rPr>
                <w:rFonts w:hint="eastAsia" w:ascii="宋体" w:cs="宋体"/>
                <w:color w:val="auto"/>
                <w:kern w:val="0"/>
                <w:sz w:val="21"/>
                <w:szCs w:val="21"/>
                <w:highlight w:val="none"/>
              </w:rPr>
              <w:t>0.05%</w:t>
            </w:r>
          </w:p>
        </w:tc>
        <w:tc>
          <w:tcPr>
            <w:tcW w:w="1131" w:type="dxa"/>
            <w:tcBorders>
              <w:top w:val="nil"/>
              <w:left w:val="nil"/>
              <w:bottom w:val="nil"/>
              <w:right w:val="nil"/>
            </w:tcBorders>
            <w:noWrap/>
            <w:tcMar>
              <w:top w:w="15" w:type="dxa"/>
              <w:left w:w="15" w:type="dxa"/>
              <w:bottom w:w="15" w:type="dxa"/>
              <w:right w:w="15" w:type="dxa"/>
            </w:tcMar>
            <w:vAlign w:val="center"/>
          </w:tcPr>
          <w:p>
            <w:pPr>
              <w:widowControl/>
              <w:ind w:firstLine="210" w:firstLineChars="100"/>
              <w:jc w:val="left"/>
              <w:rPr>
                <w:rFonts w:ascii="宋体" w:cs="宋体"/>
                <w:color w:val="auto"/>
                <w:kern w:val="0"/>
                <w:sz w:val="21"/>
                <w:szCs w:val="21"/>
                <w:highlight w:val="none"/>
              </w:rPr>
            </w:pPr>
            <w:r>
              <w:rPr>
                <w:rFonts w:hint="eastAsia" w:ascii="宋体" w:cs="宋体"/>
                <w:color w:val="auto"/>
                <w:kern w:val="0"/>
                <w:sz w:val="21"/>
                <w:szCs w:val="21"/>
                <w:highlight w:val="none"/>
              </w:rPr>
              <w:t>0.05%</w:t>
            </w:r>
          </w:p>
        </w:tc>
        <w:tc>
          <w:tcPr>
            <w:tcW w:w="1161" w:type="dxa"/>
            <w:tcBorders>
              <w:top w:val="nil"/>
              <w:left w:val="nil"/>
              <w:bottom w:val="nil"/>
              <w:right w:val="nil"/>
            </w:tcBorders>
            <w:noWrap/>
            <w:tcMar>
              <w:top w:w="15" w:type="dxa"/>
              <w:left w:w="15" w:type="dxa"/>
              <w:bottom w:w="15" w:type="dxa"/>
              <w:right w:w="15" w:type="dxa"/>
            </w:tcMar>
            <w:vAlign w:val="center"/>
          </w:tcPr>
          <w:p>
            <w:pPr>
              <w:widowControl/>
              <w:ind w:firstLine="210" w:firstLineChars="100"/>
              <w:jc w:val="left"/>
              <w:rPr>
                <w:rFonts w:ascii="宋体" w:cs="宋体"/>
                <w:color w:val="auto"/>
                <w:kern w:val="0"/>
                <w:sz w:val="21"/>
                <w:szCs w:val="21"/>
                <w:highlight w:val="none"/>
              </w:rPr>
            </w:pPr>
            <w:r>
              <w:rPr>
                <w:rFonts w:hint="eastAsia" w:ascii="宋体" w:cs="宋体"/>
                <w:color w:val="auto"/>
                <w:kern w:val="0"/>
                <w:sz w:val="21"/>
                <w:szCs w:val="21"/>
                <w:highlight w:val="none"/>
              </w:rPr>
              <w:t>0.05%</w:t>
            </w:r>
          </w:p>
        </w:tc>
      </w:tr>
      <w:tr>
        <w:tblPrEx>
          <w:tblCellMar>
            <w:top w:w="0" w:type="dxa"/>
            <w:left w:w="108" w:type="dxa"/>
            <w:bottom w:w="0" w:type="dxa"/>
            <w:right w:w="108" w:type="dxa"/>
          </w:tblCellMar>
        </w:tblPrEx>
        <w:tc>
          <w:tcPr>
            <w:tcW w:w="2875" w:type="dxa"/>
            <w:tcBorders>
              <w:top w:val="nil"/>
              <w:left w:val="nil"/>
              <w:bottom w:val="nil"/>
              <w:right w:val="nil"/>
            </w:tcBorders>
            <w:noWrap/>
            <w:tcMar>
              <w:top w:w="15" w:type="dxa"/>
              <w:left w:w="15" w:type="dxa"/>
              <w:bottom w:w="15" w:type="dxa"/>
              <w:right w:w="15" w:type="dxa"/>
            </w:tcMar>
            <w:vAlign w:val="center"/>
          </w:tcPr>
          <w:p>
            <w:pPr>
              <w:widowControl/>
              <w:ind w:firstLine="210" w:firstLineChars="100"/>
              <w:jc w:val="left"/>
              <w:rPr>
                <w:rFonts w:ascii="宋体" w:cs="宋体"/>
                <w:color w:val="auto"/>
                <w:kern w:val="0"/>
                <w:sz w:val="21"/>
                <w:szCs w:val="21"/>
                <w:highlight w:val="none"/>
              </w:rPr>
            </w:pPr>
            <w:r>
              <w:rPr>
                <w:rFonts w:hint="eastAsia" w:ascii="宋体" w:cs="宋体"/>
                <w:color w:val="auto"/>
                <w:kern w:val="0"/>
                <w:sz w:val="21"/>
                <w:szCs w:val="21"/>
                <w:highlight w:val="none"/>
              </w:rPr>
              <w:t>1000000以上</w:t>
            </w:r>
          </w:p>
        </w:tc>
        <w:tc>
          <w:tcPr>
            <w:tcW w:w="1131" w:type="dxa"/>
            <w:tcBorders>
              <w:top w:val="nil"/>
              <w:left w:val="nil"/>
              <w:bottom w:val="nil"/>
              <w:right w:val="nil"/>
            </w:tcBorders>
            <w:noWrap/>
            <w:tcMar>
              <w:top w:w="15" w:type="dxa"/>
              <w:left w:w="15" w:type="dxa"/>
              <w:bottom w:w="15" w:type="dxa"/>
              <w:right w:w="15" w:type="dxa"/>
            </w:tcMar>
            <w:vAlign w:val="center"/>
          </w:tcPr>
          <w:p>
            <w:pPr>
              <w:widowControl/>
              <w:ind w:firstLine="210" w:firstLineChars="100"/>
              <w:jc w:val="left"/>
              <w:rPr>
                <w:rFonts w:ascii="宋体" w:cs="宋体"/>
                <w:color w:val="auto"/>
                <w:kern w:val="0"/>
                <w:sz w:val="21"/>
                <w:szCs w:val="21"/>
                <w:highlight w:val="none"/>
              </w:rPr>
            </w:pPr>
            <w:r>
              <w:rPr>
                <w:rFonts w:hint="eastAsia" w:ascii="宋体" w:cs="宋体"/>
                <w:color w:val="auto"/>
                <w:kern w:val="0"/>
                <w:sz w:val="21"/>
                <w:szCs w:val="21"/>
                <w:highlight w:val="none"/>
              </w:rPr>
              <w:t>0.01%</w:t>
            </w:r>
          </w:p>
        </w:tc>
        <w:tc>
          <w:tcPr>
            <w:tcW w:w="1131" w:type="dxa"/>
            <w:tcBorders>
              <w:top w:val="nil"/>
              <w:left w:val="nil"/>
              <w:bottom w:val="nil"/>
              <w:right w:val="nil"/>
            </w:tcBorders>
            <w:noWrap/>
            <w:tcMar>
              <w:top w:w="15" w:type="dxa"/>
              <w:left w:w="15" w:type="dxa"/>
              <w:bottom w:w="15" w:type="dxa"/>
              <w:right w:w="15" w:type="dxa"/>
            </w:tcMar>
            <w:vAlign w:val="center"/>
          </w:tcPr>
          <w:p>
            <w:pPr>
              <w:widowControl/>
              <w:ind w:firstLine="210" w:firstLineChars="100"/>
              <w:jc w:val="left"/>
              <w:rPr>
                <w:rFonts w:ascii="宋体" w:cs="宋体"/>
                <w:color w:val="auto"/>
                <w:kern w:val="0"/>
                <w:sz w:val="21"/>
                <w:szCs w:val="21"/>
                <w:highlight w:val="none"/>
              </w:rPr>
            </w:pPr>
            <w:r>
              <w:rPr>
                <w:rFonts w:hint="eastAsia" w:ascii="宋体" w:cs="宋体"/>
                <w:color w:val="auto"/>
                <w:kern w:val="0"/>
                <w:sz w:val="21"/>
                <w:szCs w:val="21"/>
                <w:highlight w:val="none"/>
              </w:rPr>
              <w:t>0.01%</w:t>
            </w:r>
          </w:p>
        </w:tc>
        <w:tc>
          <w:tcPr>
            <w:tcW w:w="1161" w:type="dxa"/>
            <w:tcBorders>
              <w:top w:val="nil"/>
              <w:left w:val="nil"/>
              <w:bottom w:val="nil"/>
              <w:right w:val="nil"/>
            </w:tcBorders>
            <w:noWrap/>
            <w:tcMar>
              <w:top w:w="15" w:type="dxa"/>
              <w:left w:w="15" w:type="dxa"/>
              <w:bottom w:w="15" w:type="dxa"/>
              <w:right w:w="15" w:type="dxa"/>
            </w:tcMar>
            <w:vAlign w:val="center"/>
          </w:tcPr>
          <w:p>
            <w:pPr>
              <w:widowControl/>
              <w:ind w:firstLine="210" w:firstLineChars="100"/>
              <w:jc w:val="left"/>
              <w:rPr>
                <w:rFonts w:ascii="宋体" w:cs="宋体"/>
                <w:color w:val="auto"/>
                <w:kern w:val="0"/>
                <w:sz w:val="21"/>
                <w:szCs w:val="21"/>
                <w:highlight w:val="none"/>
              </w:rPr>
            </w:pPr>
            <w:r>
              <w:rPr>
                <w:rFonts w:hint="eastAsia" w:ascii="宋体" w:cs="宋体"/>
                <w:color w:val="auto"/>
                <w:kern w:val="0"/>
                <w:sz w:val="21"/>
                <w:szCs w:val="21"/>
                <w:highlight w:val="none"/>
              </w:rPr>
              <w:t>0.01%</w:t>
            </w:r>
          </w:p>
        </w:tc>
      </w:tr>
    </w:tbl>
    <w:p>
      <w:pPr>
        <w:widowControl/>
        <w:spacing w:line="440" w:lineRule="exact"/>
        <w:ind w:firstLine="210" w:firstLineChars="100"/>
        <w:jc w:val="left"/>
        <w:rPr>
          <w:rFonts w:ascii="宋体" w:cs="宋体"/>
          <w:color w:val="auto"/>
          <w:kern w:val="0"/>
          <w:sz w:val="21"/>
          <w:szCs w:val="21"/>
          <w:highlight w:val="none"/>
        </w:rPr>
      </w:pPr>
      <w:r>
        <w:rPr>
          <w:rFonts w:hint="eastAsia" w:ascii="宋体" w:cs="宋体"/>
          <w:color w:val="auto"/>
          <w:kern w:val="0"/>
          <w:sz w:val="21"/>
          <w:szCs w:val="21"/>
          <w:highlight w:val="none"/>
        </w:rPr>
        <w:t xml:space="preserve">注：1.按本表费率计算的收费为招标代理服务全过程的收费基准价格，单独提供编制采购文件（有标底的含标底）服务的，可按规定标准的30%计收。2.招标代理服务收费按差额定率累进法计算。例如：某工程招标代理业务中标金额为6000万元，计算招标代理服务收费额如下： </w:t>
      </w:r>
    </w:p>
    <w:p>
      <w:pPr>
        <w:widowControl/>
        <w:spacing w:line="440" w:lineRule="exact"/>
        <w:ind w:firstLine="210" w:firstLineChars="100"/>
        <w:jc w:val="left"/>
        <w:rPr>
          <w:rFonts w:ascii="宋体" w:cs="宋体"/>
          <w:color w:val="auto"/>
          <w:kern w:val="0"/>
          <w:sz w:val="21"/>
          <w:szCs w:val="21"/>
          <w:highlight w:val="none"/>
        </w:rPr>
      </w:pPr>
      <w:r>
        <w:rPr>
          <w:rFonts w:hint="eastAsia" w:ascii="宋体" w:cs="宋体"/>
          <w:color w:val="auto"/>
          <w:kern w:val="0"/>
          <w:sz w:val="21"/>
          <w:szCs w:val="21"/>
          <w:highlight w:val="none"/>
        </w:rPr>
        <w:t xml:space="preserve"> 100万元×1.0%=1万元 </w:t>
      </w:r>
    </w:p>
    <w:p>
      <w:pPr>
        <w:widowControl/>
        <w:spacing w:line="440" w:lineRule="exact"/>
        <w:ind w:firstLine="210" w:firstLineChars="100"/>
        <w:jc w:val="left"/>
        <w:rPr>
          <w:rFonts w:ascii="宋体" w:cs="宋体"/>
          <w:color w:val="auto"/>
          <w:kern w:val="0"/>
          <w:sz w:val="21"/>
          <w:szCs w:val="21"/>
          <w:highlight w:val="none"/>
        </w:rPr>
      </w:pPr>
      <w:r>
        <w:rPr>
          <w:rFonts w:hint="eastAsia" w:ascii="宋体" w:cs="宋体"/>
          <w:color w:val="auto"/>
          <w:kern w:val="0"/>
          <w:sz w:val="21"/>
          <w:szCs w:val="21"/>
          <w:highlight w:val="none"/>
        </w:rPr>
        <w:t xml:space="preserve">（500-100）万元×0.7%=2.8万元 </w:t>
      </w:r>
    </w:p>
    <w:p>
      <w:pPr>
        <w:widowControl/>
        <w:spacing w:line="440" w:lineRule="exact"/>
        <w:ind w:firstLine="210" w:firstLineChars="100"/>
        <w:jc w:val="left"/>
        <w:rPr>
          <w:rFonts w:ascii="宋体" w:cs="宋体"/>
          <w:color w:val="auto"/>
          <w:kern w:val="0"/>
          <w:sz w:val="21"/>
          <w:szCs w:val="21"/>
          <w:highlight w:val="none"/>
        </w:rPr>
      </w:pPr>
      <w:r>
        <w:rPr>
          <w:rFonts w:hint="eastAsia" w:ascii="宋体" w:cs="宋体"/>
          <w:color w:val="auto"/>
          <w:kern w:val="0"/>
          <w:sz w:val="21"/>
          <w:szCs w:val="21"/>
          <w:highlight w:val="none"/>
        </w:rPr>
        <w:t xml:space="preserve">（1000-500）×0.55%=2.75万元 </w:t>
      </w:r>
    </w:p>
    <w:p>
      <w:pPr>
        <w:widowControl/>
        <w:spacing w:line="440" w:lineRule="exact"/>
        <w:ind w:firstLine="210" w:firstLineChars="100"/>
        <w:jc w:val="left"/>
        <w:rPr>
          <w:rFonts w:ascii="宋体" w:cs="宋体"/>
          <w:color w:val="auto"/>
          <w:kern w:val="0"/>
          <w:sz w:val="21"/>
          <w:szCs w:val="21"/>
          <w:highlight w:val="none"/>
        </w:rPr>
      </w:pPr>
      <w:r>
        <w:rPr>
          <w:rFonts w:hint="eastAsia" w:ascii="宋体" w:cs="宋体"/>
          <w:color w:val="auto"/>
          <w:kern w:val="0"/>
          <w:sz w:val="21"/>
          <w:szCs w:val="21"/>
          <w:highlight w:val="none"/>
        </w:rPr>
        <w:t xml:space="preserve">（5000-1000）×0.35%=14万元 </w:t>
      </w:r>
    </w:p>
    <w:p>
      <w:pPr>
        <w:widowControl/>
        <w:spacing w:line="440" w:lineRule="exact"/>
        <w:ind w:firstLine="210" w:firstLineChars="100"/>
        <w:jc w:val="left"/>
        <w:rPr>
          <w:rFonts w:ascii="宋体" w:cs="宋体"/>
          <w:color w:val="auto"/>
          <w:kern w:val="0"/>
          <w:sz w:val="21"/>
          <w:szCs w:val="21"/>
          <w:highlight w:val="none"/>
        </w:rPr>
      </w:pPr>
      <w:r>
        <w:rPr>
          <w:rFonts w:hint="eastAsia" w:ascii="宋体" w:cs="宋体"/>
          <w:color w:val="auto"/>
          <w:kern w:val="0"/>
          <w:sz w:val="21"/>
          <w:szCs w:val="21"/>
          <w:highlight w:val="none"/>
        </w:rPr>
        <w:t xml:space="preserve">（6000-5000）×0.2%=2万元 </w:t>
      </w:r>
    </w:p>
    <w:p>
      <w:pPr>
        <w:widowControl/>
        <w:spacing w:line="440" w:lineRule="exact"/>
        <w:ind w:firstLine="210" w:firstLineChars="100"/>
        <w:jc w:val="left"/>
        <w:rPr>
          <w:rFonts w:ascii="宋体" w:cs="宋体"/>
          <w:b/>
          <w:color w:val="auto"/>
          <w:sz w:val="21"/>
          <w:szCs w:val="21"/>
          <w:highlight w:val="none"/>
        </w:rPr>
      </w:pPr>
      <w:r>
        <w:rPr>
          <w:rFonts w:hint="eastAsia" w:ascii="宋体" w:cs="宋体"/>
          <w:color w:val="auto"/>
          <w:kern w:val="0"/>
          <w:sz w:val="21"/>
          <w:szCs w:val="21"/>
          <w:highlight w:val="none"/>
        </w:rPr>
        <w:t xml:space="preserve">合计收费=1+2.8+2.75+14+2=22.55（万元） </w:t>
      </w:r>
    </w:p>
    <w:p>
      <w:pPr>
        <w:rPr>
          <w:color w:val="auto"/>
          <w:highlight w:val="none"/>
        </w:rPr>
      </w:pPr>
    </w:p>
    <w:sectPr>
      <w:headerReference r:id="rId9" w:type="first"/>
      <w:footerReference r:id="rId11" w:type="first"/>
      <w:headerReference r:id="rId8" w:type="default"/>
      <w:footerReference r:id="rId10" w:type="default"/>
      <w:pgSz w:w="11906" w:h="16838"/>
      <w:pgMar w:top="1474" w:right="1247" w:bottom="1247" w:left="1247" w:header="851" w:footer="851"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Helvetica">
    <w:panose1 w:val="020B0504020202030204"/>
    <w:charset w:val="00"/>
    <w:family w:val="swiss"/>
    <w:pitch w:val="default"/>
    <w:sig w:usb0="00000007" w:usb1="00000000" w:usb2="00000000" w:usb3="00000000" w:csb0="00000093" w:csb1="00000000"/>
  </w:font>
  <w:font w:name="Tahoma">
    <w:panose1 w:val="020B0604030504040204"/>
    <w:charset w:val="00"/>
    <w:family w:val="swiss"/>
    <w:pitch w:val="default"/>
    <w:sig w:usb0="E1002EFF" w:usb1="C000605B" w:usb2="00000029" w:usb3="00000000" w:csb0="200101FF" w:csb1="20280000"/>
  </w:font>
  <w:font w:name="Lucida Sans">
    <w:panose1 w:val="020B0602030504020204"/>
    <w:charset w:val="00"/>
    <w:family w:val="swiss"/>
    <w:pitch w:val="default"/>
    <w:sig w:usb0="00000003" w:usb1="00000000" w:usb2="00000000" w:usb3="00000000" w:csb0="20000001" w:csb1="00000000"/>
  </w:font>
  <w:font w:name="(使用中文字体)">
    <w:altName w:val="宋体"/>
    <w:panose1 w:val="00000000000000000000"/>
    <w:charset w:val="00"/>
    <w:family w:val="roman"/>
    <w:pitch w:val="default"/>
    <w:sig w:usb0="00000000" w:usb1="00000000" w:usb2="00000000" w:usb3="00000000" w:csb0="00040001"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right="360"/>
      <w:jc w:val="cente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57150" cy="131445"/>
              <wp:effectExtent l="0" t="0" r="0" b="0"/>
              <wp:wrapNone/>
              <wp:docPr id="12" name="文本框 88"/>
              <wp:cNvGraphicFramePr/>
              <a:graphic xmlns:a="http://schemas.openxmlformats.org/drawingml/2006/main">
                <a:graphicData uri="http://schemas.microsoft.com/office/word/2010/wordprocessingShape">
                  <wps:wsp>
                    <wps:cNvSpPr txBox="1"/>
                    <wps:spPr>
                      <a:xfrm>
                        <a:off x="0" y="0"/>
                        <a:ext cx="57150" cy="131445"/>
                      </a:xfrm>
                      <a:prstGeom prst="rect">
                        <a:avLst/>
                      </a:prstGeom>
                      <a:noFill/>
                      <a:ln w="15875">
                        <a:noFill/>
                      </a:ln>
                      <a:effectLst/>
                    </wps:spPr>
                    <wps:txbx>
                      <w:txbxContent>
                        <w:p>
                          <w:pPr>
                            <w:pStyle w:val="27"/>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1">
                      <a:spAutoFit/>
                    </wps:bodyPr>
                  </wps:wsp>
                </a:graphicData>
              </a:graphic>
            </wp:anchor>
          </w:drawing>
        </mc:Choice>
        <mc:Fallback>
          <w:pict>
            <v:shape id="文本框 88" o:spid="_x0000_s1026" o:spt="202" type="#_x0000_t202" style="position:absolute;left:0pt;margin-top:0pt;height:10.35pt;width:4.5pt;mso-position-horizontal:center;mso-position-horizontal-relative:margin;mso-wrap-style:none;z-index:251666432;mso-width-relative:page;mso-height-relative:page;" filled="f" stroked="f" coordsize="21600,21600" o:gfxdata="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RWYn9IAAAACAQAADwAAAAAAAAABACAAAAAiAAAAZHJzL2Rvd25yZXYueG1sUEsBAhQAFAAAAAgA&#10;h07iQIt1m+XyAQAA1QMAAA4AAAAAAAAAAQAgAAAAIQEAAGRycy9lMm9Eb2MueG1sUEsFBgAAAAAG&#10;AAYAWQEAAIUFAAAAAA==&#10;">
              <v:fill on="f" focussize="0,0"/>
              <v:stroke on="f" weight="1.25pt"/>
              <v:imagedata o:title=""/>
              <o:lock v:ext="edit" aspectratio="f"/>
              <v:textbox inset="0mm,0mm,0mm,0mm" style="mso-fit-shape-to-text:t;">
                <w:txbxContent>
                  <w:p>
                    <w:pPr>
                      <w:pStyle w:val="2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14300" cy="131445"/>
              <wp:effectExtent l="0" t="0" r="0" b="0"/>
              <wp:wrapNone/>
              <wp:docPr id="8" name="文本框 2"/>
              <wp:cNvGraphicFramePr/>
              <a:graphic xmlns:a="http://schemas.openxmlformats.org/drawingml/2006/main">
                <a:graphicData uri="http://schemas.microsoft.com/office/word/2010/wordprocessingShape">
                  <wps:wsp>
                    <wps:cNvSpPr txBox="1"/>
                    <wps:spPr>
                      <a:xfrm>
                        <a:off x="0" y="0"/>
                        <a:ext cx="114300" cy="131445"/>
                      </a:xfrm>
                      <a:prstGeom prst="rect">
                        <a:avLst/>
                      </a:prstGeom>
                      <a:noFill/>
                      <a:ln>
                        <a:noFill/>
                      </a:ln>
                      <a:effectLst/>
                    </wps:spPr>
                    <wps:txbx>
                      <w:txbxContent>
                        <w:p>
                          <w:pPr>
                            <w:pStyle w:val="27"/>
                            <w:rPr>
                              <w:rStyle w:val="43"/>
                            </w:rPr>
                          </w:pPr>
                          <w:r>
                            <w:fldChar w:fldCharType="begin"/>
                          </w:r>
                          <w:r>
                            <w:rPr>
                              <w:rStyle w:val="43"/>
                            </w:rPr>
                            <w:instrText xml:space="preserve">PAGE  </w:instrText>
                          </w:r>
                          <w:r>
                            <w:fldChar w:fldCharType="separate"/>
                          </w:r>
                          <w:r>
                            <w:rPr>
                              <w:rStyle w:val="43"/>
                            </w:rPr>
                            <w:t>49</w:t>
                          </w:r>
                          <w:r>
                            <w:fldChar w:fldCharType="end"/>
                          </w:r>
                        </w:p>
                      </w:txbxContent>
                    </wps:txbx>
                    <wps:bodyPr vert="horz" wrap="none" lIns="0" tIns="0" rIns="0" bIns="0" anchor="t" anchorCtr="0" upright="1">
                      <a:spAutoFit/>
                    </wps:bodyPr>
                  </wps:wsp>
                </a:graphicData>
              </a:graphic>
            </wp:anchor>
          </w:drawing>
        </mc:Choice>
        <mc:Fallback>
          <w:pict>
            <v:shape id="文本框 2" o:spid="_x0000_s1026" o:spt="202" type="#_x0000_t202" style="position:absolute;left:0pt;margin-top:0pt;height:10.35pt;width:9pt;mso-position-horizontal:center;mso-position-horizontal-relative:margin;mso-wrap-style:none;z-index:251662336;mso-width-relative:page;mso-height-relative:page;" filled="f" stroked="f" coordsize="21600,21600" o:gfxdata="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Av7yJ88AAAADAQAADwAA&#10;AAAAAAABACAAAAAiAAAAZHJzL2Rvd25yZXYueG1sUEsBAhQAFAAAAAgAh07iQK1IsFHmAQAAygMA&#10;AA4AAAAAAAAAAQAgAAAAHgEAAGRycy9lMm9Eb2MueG1sUEsFBgAAAAAGAAYAWQEAAHYFAAAAAA==&#10;">
              <v:fill on="f" focussize="0,0"/>
              <v:stroke on="f"/>
              <v:imagedata o:title=""/>
              <o:lock v:ext="edit" aspectratio="f"/>
              <v:textbox inset="0mm,0mm,0mm,0mm" style="mso-fit-shape-to-text:t;">
                <w:txbxContent>
                  <w:p>
                    <w:pPr>
                      <w:pStyle w:val="27"/>
                      <w:rPr>
                        <w:rStyle w:val="43"/>
                      </w:rPr>
                    </w:pPr>
                    <w:r>
                      <w:fldChar w:fldCharType="begin"/>
                    </w:r>
                    <w:r>
                      <w:rPr>
                        <w:rStyle w:val="43"/>
                      </w:rPr>
                      <w:instrText xml:space="preserve">PAGE  </w:instrText>
                    </w:r>
                    <w:r>
                      <w:fldChar w:fldCharType="separate"/>
                    </w:r>
                    <w:r>
                      <w:rPr>
                        <w:rStyle w:val="43"/>
                      </w:rPr>
                      <w:t>49</w:t>
                    </w:r>
                    <w:r>
                      <w:fldChar w:fldCharType="end"/>
                    </w:r>
                  </w:p>
                </w:txbxContent>
              </v:textbox>
            </v:shape>
          </w:pict>
        </mc:Fallback>
      </mc:AlternateContent>
    </w:r>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57150" cy="131445"/>
              <wp:effectExtent l="0" t="0" r="0" b="0"/>
              <wp:wrapNone/>
              <wp:docPr id="9" name="文本框 1"/>
              <wp:cNvGraphicFramePr/>
              <a:graphic xmlns:a="http://schemas.openxmlformats.org/drawingml/2006/main">
                <a:graphicData uri="http://schemas.microsoft.com/office/word/2010/wordprocessingShape">
                  <wps:wsp>
                    <wps:cNvSpPr txBox="1"/>
                    <wps:spPr>
                      <a:xfrm>
                        <a:off x="0" y="0"/>
                        <a:ext cx="57150" cy="131445"/>
                      </a:xfrm>
                      <a:prstGeom prst="rect">
                        <a:avLst/>
                      </a:prstGeom>
                      <a:noFill/>
                      <a:ln>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wps:txbx>
                    <wps:bodyPr vert="horz" wrap="none" lIns="0" tIns="0" rIns="0" bIns="0" anchor="t" anchorCtr="0" upright="1">
                      <a:spAutoFit/>
                    </wps:bodyPr>
                  </wps:wsp>
                </a:graphicData>
              </a:graphic>
            </wp:anchor>
          </w:drawing>
        </mc:Choice>
        <mc:Fallback>
          <w:pict>
            <v:shape id="文本框 1" o:spid="_x0000_s1026" o:spt="202" type="#_x0000_t202" style="position:absolute;left:0pt;margin-top:0pt;height:10.35pt;width:4.5pt;mso-position-horizontal:center;mso-position-horizontal-relative:margin;mso-wrap-style:none;z-index:251663360;mso-width-relative:page;mso-height-relative:page;" filled="f" stroked="f" coordsize="21600,21600" o:gfxdata="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I6QUSrPAAAAAgEAAA8A&#10;AAAAAAAAAQAgAAAAIgAAAGRycy9kb3ducmV2LnhtbFBLAQIUABQAAAAIAIdO4kDSylWn5wEAAMkD&#10;AAAOAAAAAAAAAAEAIAAAAB4BAABkcnMvZTJvRG9jLnhtbFBLBQYAAAAABgAGAFkBAAB3BQ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v:textbox>
            </v:shape>
          </w:pict>
        </mc:Fallback>
      </mc:AlternateContent>
    </w:r>
  </w:p>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rPr>
        <w:sz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14300" cy="131445"/>
              <wp:effectExtent l="0" t="0" r="0" b="0"/>
              <wp:wrapNone/>
              <wp:docPr id="10" name="文本框 80"/>
              <wp:cNvGraphicFramePr/>
              <a:graphic xmlns:a="http://schemas.openxmlformats.org/drawingml/2006/main">
                <a:graphicData uri="http://schemas.microsoft.com/office/word/2010/wordprocessingShape">
                  <wps:wsp>
                    <wps:cNvSpPr txBox="1"/>
                    <wps:spPr>
                      <a:xfrm>
                        <a:off x="0" y="0"/>
                        <a:ext cx="114300" cy="131445"/>
                      </a:xfrm>
                      <a:prstGeom prst="rect">
                        <a:avLst/>
                      </a:prstGeom>
                      <a:noFill/>
                      <a:ln w="15875">
                        <a:noFill/>
                      </a:ln>
                      <a:effectLst/>
                    </wps:spPr>
                    <wps:txbx>
                      <w:txbxContent>
                        <w:p>
                          <w:pPr>
                            <w:pStyle w:val="27"/>
                          </w:pPr>
                          <w:r>
                            <w:fldChar w:fldCharType="begin"/>
                          </w:r>
                          <w:r>
                            <w:instrText xml:space="preserve"> PAGE  \* MERGEFORMAT </w:instrText>
                          </w:r>
                          <w:r>
                            <w:fldChar w:fldCharType="separate"/>
                          </w:r>
                          <w:r>
                            <w:t>70</w:t>
                          </w:r>
                          <w:r>
                            <w:fldChar w:fldCharType="end"/>
                          </w:r>
                        </w:p>
                      </w:txbxContent>
                    </wps:txbx>
                    <wps:bodyPr vert="horz" wrap="none" lIns="0" tIns="0" rIns="0" bIns="0" anchor="t" anchorCtr="0" upright="1">
                      <a:spAutoFit/>
                    </wps:bodyPr>
                  </wps:wsp>
                </a:graphicData>
              </a:graphic>
            </wp:anchor>
          </w:drawing>
        </mc:Choice>
        <mc:Fallback>
          <w:pict>
            <v:shape id="文本框 80" o:spid="_x0000_s1026" o:spt="202" type="#_x0000_t202" style="position:absolute;left:0pt;margin-top:0pt;height:10.35pt;width:9pt;mso-position-horizontal:center;mso-position-horizontal-relative:margin;mso-wrap-style:none;z-index:251664384;mso-width-relative:page;mso-height-relative:page;" filled="f" stroked="f" coordsize="21600,21600" o:gfxdata="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B&#10;F0vu0wAAAAMBAAAPAAAAAAAAAAEAIAAAACIAAABkcnMvZG93bnJldi54bWxQSwECFAAUAAAACACH&#10;TuJA5yN9wPABAADWAwAADgAAAAAAAAABACAAAAAiAQAAZHJzL2Uyb0RvYy54bWxQSwUGAAAAAAYA&#10;BgBZAQAAhAUAAAAA&#10;">
              <v:fill on="f" focussize="0,0"/>
              <v:stroke on="f" weight="1.25pt"/>
              <v:imagedata o:title=""/>
              <o:lock v:ext="edit" aspectratio="f"/>
              <v:textbox inset="0mm,0mm,0mm,0mm" style="mso-fit-shape-to-text:t;">
                <w:txbxContent>
                  <w:p>
                    <w:pPr>
                      <w:pStyle w:val="27"/>
                    </w:pPr>
                    <w:r>
                      <w:fldChar w:fldCharType="begin"/>
                    </w:r>
                    <w:r>
                      <w:instrText xml:space="preserve"> PAGE  \* MERGEFORMAT </w:instrText>
                    </w:r>
                    <w:r>
                      <w:fldChar w:fldCharType="separate"/>
                    </w:r>
                    <w:r>
                      <w:t>70</w:t>
                    </w:r>
                    <w:r>
                      <w:fldChar w:fldCharType="end"/>
                    </w:r>
                  </w:p>
                </w:txbxContent>
              </v:textbox>
            </v:shape>
          </w:pict>
        </mc:Fallback>
      </mc:AlternateContent>
    </w:r>
  </w:p>
  <w:p>
    <w:pPr>
      <w:pStyle w:val="2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14300" cy="131445"/>
              <wp:effectExtent l="0" t="0" r="0" b="0"/>
              <wp:wrapNone/>
              <wp:docPr id="11" name="文本框 81"/>
              <wp:cNvGraphicFramePr/>
              <a:graphic xmlns:a="http://schemas.openxmlformats.org/drawingml/2006/main">
                <a:graphicData uri="http://schemas.microsoft.com/office/word/2010/wordprocessingShape">
                  <wps:wsp>
                    <wps:cNvSpPr txBox="1"/>
                    <wps:spPr>
                      <a:xfrm>
                        <a:off x="0" y="0"/>
                        <a:ext cx="114300" cy="131445"/>
                      </a:xfrm>
                      <a:prstGeom prst="rect">
                        <a:avLst/>
                      </a:prstGeom>
                      <a:noFill/>
                      <a:ln w="15875">
                        <a:noFill/>
                      </a:ln>
                      <a:effectLst/>
                    </wps:spPr>
                    <wps:txbx>
                      <w:txbxContent>
                        <w:p>
                          <w:pPr>
                            <w:pStyle w:val="27"/>
                          </w:pPr>
                          <w:r>
                            <w:fldChar w:fldCharType="begin"/>
                          </w:r>
                          <w:r>
                            <w:instrText xml:space="preserve"> PAGE  \* MERGEFORMAT </w:instrText>
                          </w:r>
                          <w:r>
                            <w:fldChar w:fldCharType="separate"/>
                          </w:r>
                          <w:r>
                            <w:t>50</w:t>
                          </w:r>
                          <w:r>
                            <w:fldChar w:fldCharType="end"/>
                          </w:r>
                        </w:p>
                      </w:txbxContent>
                    </wps:txbx>
                    <wps:bodyPr vert="horz" wrap="none" lIns="0" tIns="0" rIns="0" bIns="0" anchor="t" anchorCtr="0" upright="1">
                      <a:spAutoFit/>
                    </wps:bodyPr>
                  </wps:wsp>
                </a:graphicData>
              </a:graphic>
            </wp:anchor>
          </w:drawing>
        </mc:Choice>
        <mc:Fallback>
          <w:pict>
            <v:shape id="文本框 81" o:spid="_x0000_s1026" o:spt="202" type="#_x0000_t202" style="position:absolute;left:0pt;margin-top:0pt;height:10.35pt;width:9pt;mso-position-horizontal:center;mso-position-horizontal-relative:margin;mso-wrap-style:none;z-index:251665408;mso-width-relative:page;mso-height-relative:page;" filled="f" stroked="f" coordsize="21600,21600" o:gfxdata="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AEXS+7TAAAAAwEAAA8AAAAAAAAAAQAgAAAAIgAAAGRycy9kb3ducmV2LnhtbFBLAQIUABQAAAAI&#10;AIdO4kA+80aE8gEAANYDAAAOAAAAAAAAAAEAIAAAACIBAABkcnMvZTJvRG9jLnhtbFBLBQYAAAAA&#10;BgAGAFkBAACGBQAAAAA=&#10;">
              <v:fill on="f" focussize="0,0"/>
              <v:stroke on="f" weight="1.25pt"/>
              <v:imagedata o:title=""/>
              <o:lock v:ext="edit" aspectratio="f"/>
              <v:textbox inset="0mm,0mm,0mm,0mm" style="mso-fit-shape-to-text:t;">
                <w:txbxContent>
                  <w:p>
                    <w:pPr>
                      <w:pStyle w:val="27"/>
                    </w:pPr>
                    <w:r>
                      <w:fldChar w:fldCharType="begin"/>
                    </w:r>
                    <w:r>
                      <w:instrText xml:space="preserve"> PAGE  \* MERGEFORMAT </w:instrText>
                    </w:r>
                    <w:r>
                      <w:fldChar w:fldCharType="separate"/>
                    </w:r>
                    <w:r>
                      <w:t>50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0"/>
      </w:pBdr>
      <w:rPr>
        <w:sz w:val="21"/>
        <w:szCs w:val="21"/>
      </w:rPr>
    </w:pPr>
    <w:r>
      <w:pict>
        <v:shape id="PowerPlusWaterMarkObject1" o:spid="_x0000_s4098" o:spt="136" type="#_x0000_t136" style="position:absolute;left:0pt;height:44.25pt;width:543pt;mso-position-horizontal:center;mso-position-horizontal-relative:margin;mso-position-vertical:bottom;mso-position-vertical-relative:margin;rotation:20643840f;z-index:-251657216;mso-width-relative:page;mso-height-relative:page;" fillcolor="#BFBFBF" filled="t" stroked="f" coordsize="21600,21600">
          <v:path/>
          <v:fill on="t" opacity="32768f" focussize="0,0"/>
          <v:stroke on="f"/>
          <v:imagedata o:title=""/>
          <o:lock v:ext="edit" aspectratio="t"/>
          <v:textpath on="t" fitshape="t" fitpath="t" trim="t" xscale="f" string="浙江中兰工程项目管理有限公司" style="font-family:宋体;font-size:36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0"/>
      </w:pBdr>
    </w:pPr>
    <w:r>
      <w:pict>
        <v:shape id="_x0000_s4104" o:spid="_x0000_s4104" o:spt="136" type="#_x0000_t136" style="position:absolute;left:0pt;height:44.25pt;width:543pt;mso-position-horizontal:center;mso-position-horizontal-relative:margin;mso-position-vertical:bottom;mso-position-vertical-relative:margin;rotation:20643840f;z-index:-251656192;mso-width-relative:page;mso-height-relative:page;" fillcolor="#BFBFBF" filled="t" stroked="f" coordsize="21600,21600">
          <v:path/>
          <v:fill on="t" opacity="32768f" focussize="0,0"/>
          <v:stroke on="f"/>
          <v:imagedata o:title=""/>
          <o:lock v:ext="edit" aspectratio="t"/>
          <v:textpath on="t" fitshape="t" fitpath="t" trim="t" xscale="f" string="浙江中兰工程项目管理有限公司" style="font-family:宋体;font-size:36pt;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0"/>
      </w:pBdr>
    </w:pPr>
    <w:r>
      <w:pict>
        <v:shape id="艺术字 1079" o:spid="_x0000_s4102" o:spt="136" type="#_x0000_t136" style="position:absolute;left:0pt;height:44.25pt;width:543pt;mso-position-horizontal:center;mso-position-horizontal-relative:margin;mso-position-vertical:bottom;mso-position-vertical-relative:margin;rotation:20643840f;z-index:-251655168;mso-width-relative:page;mso-height-relative:page;" fillcolor="#BFBFBF" filled="t" stroked="f" coordsize="21600,21600">
          <v:path/>
          <v:fill on="t" opacity="32768f" focussize="0,0"/>
          <v:stroke on="f"/>
          <v:imagedata o:title=""/>
          <o:lock v:ext="edit" aspectratio="t"/>
          <v:textpath on="t" fitshape="t" fitpath="t" trim="t" xscale="f" string="浙江中兰工程项目管理有限公司" style="font-family:宋体;font-size:36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E6ED18"/>
    <w:multiLevelType w:val="singleLevel"/>
    <w:tmpl w:val="82E6ED18"/>
    <w:lvl w:ilvl="0" w:tentative="0">
      <w:start w:val="2"/>
      <w:numFmt w:val="chineseCounting"/>
      <w:suff w:val="space"/>
      <w:lvlText w:val="第%1章"/>
      <w:lvlJc w:val="left"/>
      <w:pPr>
        <w:ind w:left="0" w:firstLine="0"/>
      </w:pPr>
      <w:rPr>
        <w:rFonts w:hint="eastAsia"/>
      </w:rPr>
    </w:lvl>
  </w:abstractNum>
  <w:abstractNum w:abstractNumId="1">
    <w:nsid w:val="A2ABD8E7"/>
    <w:multiLevelType w:val="singleLevel"/>
    <w:tmpl w:val="A2ABD8E7"/>
    <w:lvl w:ilvl="0" w:tentative="0">
      <w:start w:val="7"/>
      <w:numFmt w:val="chineseCounting"/>
      <w:suff w:val="space"/>
      <w:lvlText w:val="第%1章"/>
      <w:lvlJc w:val="left"/>
      <w:pPr>
        <w:ind w:left="0" w:firstLine="0"/>
      </w:pPr>
      <w:rPr>
        <w:rFonts w:hint="eastAsia"/>
      </w:rPr>
    </w:lvl>
  </w:abstractNum>
  <w:abstractNum w:abstractNumId="2">
    <w:nsid w:val="C0CE2C67"/>
    <w:multiLevelType w:val="singleLevel"/>
    <w:tmpl w:val="C0CE2C67"/>
    <w:lvl w:ilvl="0" w:tentative="0">
      <w:start w:val="1"/>
      <w:numFmt w:val="decimal"/>
      <w:suff w:val="space"/>
      <w:lvlText w:val="%1."/>
      <w:lvlJc w:val="left"/>
    </w:lvl>
  </w:abstractNum>
  <w:abstractNum w:abstractNumId="3">
    <w:nsid w:val="EEC315E1"/>
    <w:multiLevelType w:val="singleLevel"/>
    <w:tmpl w:val="EEC315E1"/>
    <w:lvl w:ilvl="0" w:tentative="0">
      <w:start w:val="1"/>
      <w:numFmt w:val="chineseCounting"/>
      <w:suff w:val="space"/>
      <w:lvlText w:val="第%1章"/>
      <w:lvlJc w:val="left"/>
      <w:pPr>
        <w:ind w:left="0" w:firstLine="0"/>
      </w:pPr>
      <w:rPr>
        <w:rFonts w:hint="eastAsia"/>
      </w:rPr>
    </w:lvl>
  </w:abstractNum>
  <w:abstractNum w:abstractNumId="4">
    <w:nsid w:val="00000009"/>
    <w:multiLevelType w:val="multilevel"/>
    <w:tmpl w:val="00000009"/>
    <w:lvl w:ilvl="0" w:tentative="0">
      <w:start w:val="1"/>
      <w:numFmt w:val="decimal"/>
      <w:pStyle w:val="19"/>
      <w:lvlText w:val="%1."/>
      <w:lvlJc w:val="left"/>
      <w:pPr>
        <w:tabs>
          <w:tab w:val="left" w:pos="1200"/>
        </w:tabs>
        <w:ind w:left="1200" w:hanging="360"/>
      </w:pPr>
    </w:lvl>
    <w:lvl w:ilvl="1" w:tentative="0">
      <w:start w:val="1"/>
      <w:numFmt w:val="decimal"/>
      <w:lvlText w:val="%2、"/>
      <w:lvlJc w:val="left"/>
      <w:pPr>
        <w:tabs>
          <w:tab w:val="left" w:pos="900"/>
        </w:tabs>
        <w:ind w:left="900" w:hanging="360"/>
      </w:pPr>
      <w:rPr>
        <w:rFonts w:hint="default"/>
      </w:rPr>
    </w:lvl>
    <w:lvl w:ilvl="2" w:tentative="0">
      <w:start w:val="5"/>
      <w:numFmt w:val="bullet"/>
      <w:lvlText w:val="▲"/>
      <w:lvlJc w:val="left"/>
      <w:pPr>
        <w:tabs>
          <w:tab w:val="left" w:pos="1470"/>
        </w:tabs>
        <w:ind w:left="1470" w:hanging="630"/>
      </w:pPr>
      <w:rPr>
        <w:rFonts w:hint="eastAsia" w:ascii="微软雅黑" w:hAnsi="微软雅黑" w:eastAsia="微软雅黑" w:cs="Arial"/>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0C"/>
    <w:multiLevelType w:val="multilevel"/>
    <w:tmpl w:val="0000000C"/>
    <w:lvl w:ilvl="0" w:tentative="0">
      <w:start w:val="1"/>
      <w:numFmt w:val="decimal"/>
      <w:pStyle w:val="8"/>
      <w:lvlText w:val="%1．"/>
      <w:lvlJc w:val="left"/>
      <w:pPr>
        <w:tabs>
          <w:tab w:val="left" w:pos="900"/>
        </w:tabs>
        <w:ind w:left="90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2DA3E6A2"/>
    <w:multiLevelType w:val="singleLevel"/>
    <w:tmpl w:val="2DA3E6A2"/>
    <w:lvl w:ilvl="0" w:tentative="0">
      <w:start w:val="12"/>
      <w:numFmt w:val="decimal"/>
      <w:suff w:val="nothing"/>
      <w:lvlText w:val="%1、"/>
      <w:lvlJc w:val="left"/>
      <w:pPr>
        <w:ind w:left="0" w:firstLine="0"/>
      </w:pPr>
    </w:lvl>
  </w:abstractNum>
  <w:abstractNum w:abstractNumId="7">
    <w:nsid w:val="346C5CA9"/>
    <w:multiLevelType w:val="multilevel"/>
    <w:tmpl w:val="346C5CA9"/>
    <w:lvl w:ilvl="0" w:tentative="0">
      <w:start w:val="1"/>
      <w:numFmt w:val="bullet"/>
      <w:pStyle w:val="72"/>
      <w:lvlText w:val="-"/>
      <w:lvlJc w:val="left"/>
      <w:pPr>
        <w:tabs>
          <w:tab w:val="left" w:pos="785"/>
        </w:tabs>
        <w:ind w:left="420" w:firstLine="5"/>
      </w:pPr>
      <w:rPr>
        <w:rFonts w:hint="eastAsia" w:ascii="宋体" w:hAnsi="宋体" w:eastAsia="宋体"/>
      </w:rPr>
    </w:lvl>
    <w:lvl w:ilvl="1" w:tentative="0">
      <w:start w:val="1"/>
      <w:numFmt w:val="bullet"/>
      <w:lvlText w:val=""/>
      <w:lvlJc w:val="left"/>
      <w:pPr>
        <w:tabs>
          <w:tab w:val="left" w:pos="3360"/>
        </w:tabs>
        <w:ind w:left="3360" w:hanging="420"/>
      </w:pPr>
      <w:rPr>
        <w:rFonts w:hint="default" w:ascii="Wingdings" w:hAnsi="Wingdings"/>
      </w:rPr>
    </w:lvl>
    <w:lvl w:ilvl="2" w:tentative="0">
      <w:start w:val="1"/>
      <w:numFmt w:val="bullet"/>
      <w:lvlText w:val=""/>
      <w:lvlJc w:val="left"/>
      <w:pPr>
        <w:tabs>
          <w:tab w:val="left" w:pos="3780"/>
        </w:tabs>
        <w:ind w:left="3780" w:hanging="420"/>
      </w:pPr>
      <w:rPr>
        <w:rFonts w:hint="default" w:ascii="Wingdings" w:hAnsi="Wingdings"/>
      </w:rPr>
    </w:lvl>
    <w:lvl w:ilvl="3" w:tentative="0">
      <w:start w:val="1"/>
      <w:numFmt w:val="bullet"/>
      <w:lvlText w:val=""/>
      <w:lvlJc w:val="left"/>
      <w:pPr>
        <w:tabs>
          <w:tab w:val="left" w:pos="4200"/>
        </w:tabs>
        <w:ind w:left="4200" w:hanging="420"/>
      </w:pPr>
      <w:rPr>
        <w:rFonts w:hint="default" w:ascii="Wingdings" w:hAnsi="Wingdings"/>
      </w:rPr>
    </w:lvl>
    <w:lvl w:ilvl="4" w:tentative="0">
      <w:start w:val="1"/>
      <w:numFmt w:val="bullet"/>
      <w:lvlText w:val=""/>
      <w:lvlJc w:val="left"/>
      <w:pPr>
        <w:tabs>
          <w:tab w:val="left" w:pos="4620"/>
        </w:tabs>
        <w:ind w:left="4620" w:hanging="420"/>
      </w:pPr>
      <w:rPr>
        <w:rFonts w:hint="default" w:ascii="Wingdings" w:hAnsi="Wingdings"/>
      </w:rPr>
    </w:lvl>
    <w:lvl w:ilvl="5" w:tentative="0">
      <w:start w:val="1"/>
      <w:numFmt w:val="bullet"/>
      <w:lvlText w:val=""/>
      <w:lvlJc w:val="left"/>
      <w:pPr>
        <w:tabs>
          <w:tab w:val="left" w:pos="5040"/>
        </w:tabs>
        <w:ind w:left="5040" w:hanging="420"/>
      </w:pPr>
      <w:rPr>
        <w:rFonts w:hint="default" w:ascii="Wingdings" w:hAnsi="Wingdings"/>
      </w:rPr>
    </w:lvl>
    <w:lvl w:ilvl="6" w:tentative="0">
      <w:start w:val="1"/>
      <w:numFmt w:val="bullet"/>
      <w:lvlText w:val=""/>
      <w:lvlJc w:val="left"/>
      <w:pPr>
        <w:tabs>
          <w:tab w:val="left" w:pos="5460"/>
        </w:tabs>
        <w:ind w:left="5460" w:hanging="420"/>
      </w:pPr>
      <w:rPr>
        <w:rFonts w:hint="default" w:ascii="Wingdings" w:hAnsi="Wingdings"/>
      </w:rPr>
    </w:lvl>
    <w:lvl w:ilvl="7" w:tentative="0">
      <w:start w:val="1"/>
      <w:numFmt w:val="bullet"/>
      <w:lvlText w:val=""/>
      <w:lvlJc w:val="left"/>
      <w:pPr>
        <w:tabs>
          <w:tab w:val="left" w:pos="5880"/>
        </w:tabs>
        <w:ind w:left="5880" w:hanging="420"/>
      </w:pPr>
      <w:rPr>
        <w:rFonts w:hint="default" w:ascii="Wingdings" w:hAnsi="Wingdings"/>
      </w:rPr>
    </w:lvl>
    <w:lvl w:ilvl="8" w:tentative="0">
      <w:start w:val="1"/>
      <w:numFmt w:val="bullet"/>
      <w:lvlText w:val=""/>
      <w:lvlJc w:val="left"/>
      <w:pPr>
        <w:tabs>
          <w:tab w:val="left" w:pos="6300"/>
        </w:tabs>
        <w:ind w:left="6300" w:hanging="420"/>
      </w:pPr>
      <w:rPr>
        <w:rFonts w:hint="default" w:ascii="Wingdings" w:hAnsi="Wingdings"/>
      </w:rPr>
    </w:lvl>
  </w:abstractNum>
  <w:abstractNum w:abstractNumId="8">
    <w:nsid w:val="54F403B5"/>
    <w:multiLevelType w:val="singleLevel"/>
    <w:tmpl w:val="54F403B5"/>
    <w:lvl w:ilvl="0" w:tentative="0">
      <w:start w:val="1"/>
      <w:numFmt w:val="chineseCounting"/>
      <w:suff w:val="nothing"/>
      <w:lvlText w:val="%1、"/>
      <w:lvlJc w:val="left"/>
      <w:pPr>
        <w:ind w:left="0" w:firstLine="0"/>
      </w:pPr>
    </w:lvl>
  </w:abstractNum>
  <w:abstractNum w:abstractNumId="9">
    <w:nsid w:val="557FD3DA"/>
    <w:multiLevelType w:val="singleLevel"/>
    <w:tmpl w:val="557FD3DA"/>
    <w:lvl w:ilvl="0" w:tentative="0">
      <w:start w:val="3"/>
      <w:numFmt w:val="chineseCounting"/>
      <w:suff w:val="nothing"/>
      <w:lvlText w:val="%1、"/>
      <w:lvlJc w:val="left"/>
      <w:pPr>
        <w:ind w:left="0" w:firstLine="0"/>
      </w:pPr>
    </w:lvl>
  </w:abstractNum>
  <w:abstractNum w:abstractNumId="10">
    <w:nsid w:val="5AD1F791"/>
    <w:multiLevelType w:val="singleLevel"/>
    <w:tmpl w:val="5AD1F791"/>
    <w:lvl w:ilvl="0" w:tentative="0">
      <w:start w:val="6"/>
      <w:numFmt w:val="chineseCounting"/>
      <w:suff w:val="space"/>
      <w:lvlText w:val="第%1章"/>
      <w:lvlJc w:val="left"/>
      <w:pPr>
        <w:ind w:left="0" w:firstLine="0"/>
      </w:pPr>
    </w:lvl>
  </w:abstractNum>
  <w:abstractNum w:abstractNumId="11">
    <w:nsid w:val="5B349C2F"/>
    <w:multiLevelType w:val="singleLevel"/>
    <w:tmpl w:val="5B349C2F"/>
    <w:lvl w:ilvl="0" w:tentative="0">
      <w:start w:val="1"/>
      <w:numFmt w:val="decimal"/>
      <w:lvlText w:val="%1."/>
      <w:lvlJc w:val="left"/>
      <w:pPr>
        <w:tabs>
          <w:tab w:val="left" w:pos="312"/>
        </w:tabs>
      </w:pPr>
    </w:lvl>
  </w:abstractNum>
  <w:num w:numId="1">
    <w:abstractNumId w:val="5"/>
  </w:num>
  <w:num w:numId="2">
    <w:abstractNumId w:val="4"/>
  </w:num>
  <w:num w:numId="3">
    <w:abstractNumId w:val="7"/>
  </w:num>
  <w:num w:numId="4">
    <w:abstractNumId w:val="3"/>
  </w:num>
  <w:num w:numId="5">
    <w:abstractNumId w:val="0"/>
  </w:num>
  <w:num w:numId="6">
    <w:abstractNumId w:val="11"/>
  </w:num>
  <w:num w:numId="7">
    <w:abstractNumId w:val="6"/>
  </w:num>
  <w:num w:numId="8">
    <w:abstractNumId w:val="10"/>
  </w:num>
  <w:num w:numId="9">
    <w:abstractNumId w:val="1"/>
  </w:num>
  <w:num w:numId="10">
    <w:abstractNumId w:val="2"/>
  </w:num>
  <w:num w:numId="11">
    <w:abstractNumId w:va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1,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3MjY1N2Q0MmNjNDhhZjVhNTdlYTliMmM3OTA0YmIifQ=="/>
  </w:docVars>
  <w:rsids>
    <w:rsidRoot w:val="00172A27"/>
    <w:rsid w:val="0000547F"/>
    <w:rsid w:val="00087ADE"/>
    <w:rsid w:val="000B6472"/>
    <w:rsid w:val="00172A27"/>
    <w:rsid w:val="001B3A9A"/>
    <w:rsid w:val="001C7A7E"/>
    <w:rsid w:val="00212255"/>
    <w:rsid w:val="00213721"/>
    <w:rsid w:val="00237427"/>
    <w:rsid w:val="00253918"/>
    <w:rsid w:val="00312487"/>
    <w:rsid w:val="003329A8"/>
    <w:rsid w:val="003A6835"/>
    <w:rsid w:val="00401AE7"/>
    <w:rsid w:val="00474C87"/>
    <w:rsid w:val="00485848"/>
    <w:rsid w:val="004B7136"/>
    <w:rsid w:val="004D6FDA"/>
    <w:rsid w:val="005310E4"/>
    <w:rsid w:val="00576A97"/>
    <w:rsid w:val="005C5ED0"/>
    <w:rsid w:val="005D23E1"/>
    <w:rsid w:val="005E679D"/>
    <w:rsid w:val="00624CCF"/>
    <w:rsid w:val="006B2680"/>
    <w:rsid w:val="006D1F55"/>
    <w:rsid w:val="0078705A"/>
    <w:rsid w:val="007E034B"/>
    <w:rsid w:val="00813863"/>
    <w:rsid w:val="00827936"/>
    <w:rsid w:val="008E28E1"/>
    <w:rsid w:val="00940A31"/>
    <w:rsid w:val="00960170"/>
    <w:rsid w:val="009E285C"/>
    <w:rsid w:val="00A754F8"/>
    <w:rsid w:val="00AD3045"/>
    <w:rsid w:val="00AF7BD6"/>
    <w:rsid w:val="00B22E1E"/>
    <w:rsid w:val="00B35293"/>
    <w:rsid w:val="00B55352"/>
    <w:rsid w:val="00BD543F"/>
    <w:rsid w:val="00C02A9D"/>
    <w:rsid w:val="00D54AFA"/>
    <w:rsid w:val="00DF1DA0"/>
    <w:rsid w:val="00E6660F"/>
    <w:rsid w:val="00EB3498"/>
    <w:rsid w:val="00F56887"/>
    <w:rsid w:val="00F71F04"/>
    <w:rsid w:val="00F805AB"/>
    <w:rsid w:val="00FD202E"/>
    <w:rsid w:val="023A4BFB"/>
    <w:rsid w:val="02587D34"/>
    <w:rsid w:val="02873BB9"/>
    <w:rsid w:val="02DC5CB3"/>
    <w:rsid w:val="02E24558"/>
    <w:rsid w:val="02FE1B2E"/>
    <w:rsid w:val="039106AD"/>
    <w:rsid w:val="050059F0"/>
    <w:rsid w:val="0677228A"/>
    <w:rsid w:val="073C7668"/>
    <w:rsid w:val="07FD6BA9"/>
    <w:rsid w:val="086309CC"/>
    <w:rsid w:val="086709FE"/>
    <w:rsid w:val="090507D3"/>
    <w:rsid w:val="09515B83"/>
    <w:rsid w:val="0AEB73DB"/>
    <w:rsid w:val="0DA54D95"/>
    <w:rsid w:val="0FD146C5"/>
    <w:rsid w:val="1092654A"/>
    <w:rsid w:val="11947EDA"/>
    <w:rsid w:val="11FA718F"/>
    <w:rsid w:val="1228075C"/>
    <w:rsid w:val="12CB18A0"/>
    <w:rsid w:val="12F41495"/>
    <w:rsid w:val="133149E8"/>
    <w:rsid w:val="14067033"/>
    <w:rsid w:val="1454746C"/>
    <w:rsid w:val="17C90A83"/>
    <w:rsid w:val="192E7E2B"/>
    <w:rsid w:val="198A7DBF"/>
    <w:rsid w:val="19AA66B3"/>
    <w:rsid w:val="19C86B39"/>
    <w:rsid w:val="1A720236"/>
    <w:rsid w:val="1A79218D"/>
    <w:rsid w:val="1C2B2E7E"/>
    <w:rsid w:val="1C5A507D"/>
    <w:rsid w:val="1D424FFC"/>
    <w:rsid w:val="1DC85359"/>
    <w:rsid w:val="1DD64396"/>
    <w:rsid w:val="1E193E07"/>
    <w:rsid w:val="1ED41ADC"/>
    <w:rsid w:val="1FC14756"/>
    <w:rsid w:val="20A400E0"/>
    <w:rsid w:val="21655DBC"/>
    <w:rsid w:val="21E94FBA"/>
    <w:rsid w:val="223C709D"/>
    <w:rsid w:val="22D5228D"/>
    <w:rsid w:val="24C9322B"/>
    <w:rsid w:val="27475541"/>
    <w:rsid w:val="275F3494"/>
    <w:rsid w:val="27914A0E"/>
    <w:rsid w:val="2852419D"/>
    <w:rsid w:val="29503572"/>
    <w:rsid w:val="2B083239"/>
    <w:rsid w:val="2B97006B"/>
    <w:rsid w:val="2BE206ED"/>
    <w:rsid w:val="2D4272FE"/>
    <w:rsid w:val="2E324702"/>
    <w:rsid w:val="2E9372BE"/>
    <w:rsid w:val="30BA5A7F"/>
    <w:rsid w:val="31540F86"/>
    <w:rsid w:val="31A56972"/>
    <w:rsid w:val="31B639EF"/>
    <w:rsid w:val="323F4534"/>
    <w:rsid w:val="332C1856"/>
    <w:rsid w:val="34F860CC"/>
    <w:rsid w:val="35224191"/>
    <w:rsid w:val="3691778A"/>
    <w:rsid w:val="37465815"/>
    <w:rsid w:val="378C1674"/>
    <w:rsid w:val="380977D4"/>
    <w:rsid w:val="3842555B"/>
    <w:rsid w:val="38A65E3F"/>
    <w:rsid w:val="38D806EF"/>
    <w:rsid w:val="395C26EF"/>
    <w:rsid w:val="397E4BA3"/>
    <w:rsid w:val="399E1F94"/>
    <w:rsid w:val="3B253993"/>
    <w:rsid w:val="3B737ABB"/>
    <w:rsid w:val="3B783AC3"/>
    <w:rsid w:val="3D2526EB"/>
    <w:rsid w:val="3DB36BC6"/>
    <w:rsid w:val="3E5E1696"/>
    <w:rsid w:val="3EC14B85"/>
    <w:rsid w:val="40442898"/>
    <w:rsid w:val="41110C42"/>
    <w:rsid w:val="41DF6BE1"/>
    <w:rsid w:val="423163AB"/>
    <w:rsid w:val="429C09DF"/>
    <w:rsid w:val="43D336ED"/>
    <w:rsid w:val="43DA3A8A"/>
    <w:rsid w:val="44242A3A"/>
    <w:rsid w:val="459B6D2C"/>
    <w:rsid w:val="46521A5E"/>
    <w:rsid w:val="46B763C6"/>
    <w:rsid w:val="47777325"/>
    <w:rsid w:val="47F43A38"/>
    <w:rsid w:val="490E272C"/>
    <w:rsid w:val="49400AC4"/>
    <w:rsid w:val="495F2766"/>
    <w:rsid w:val="49FC04EF"/>
    <w:rsid w:val="4ABC2A4F"/>
    <w:rsid w:val="4B35321D"/>
    <w:rsid w:val="4BA174EE"/>
    <w:rsid w:val="4BE3360E"/>
    <w:rsid w:val="4C1A51E9"/>
    <w:rsid w:val="4EED4970"/>
    <w:rsid w:val="4FEF6B40"/>
    <w:rsid w:val="505B20F8"/>
    <w:rsid w:val="51A26A5C"/>
    <w:rsid w:val="52263E21"/>
    <w:rsid w:val="523446EB"/>
    <w:rsid w:val="55145A25"/>
    <w:rsid w:val="561623FF"/>
    <w:rsid w:val="56BF60C0"/>
    <w:rsid w:val="59851D75"/>
    <w:rsid w:val="5B1874BF"/>
    <w:rsid w:val="5CA70254"/>
    <w:rsid w:val="5DDF2519"/>
    <w:rsid w:val="5E490936"/>
    <w:rsid w:val="5EB83FA5"/>
    <w:rsid w:val="5F1128DB"/>
    <w:rsid w:val="5F9F669E"/>
    <w:rsid w:val="642A3E32"/>
    <w:rsid w:val="643E4FFA"/>
    <w:rsid w:val="66140709"/>
    <w:rsid w:val="67332E10"/>
    <w:rsid w:val="67917B37"/>
    <w:rsid w:val="6848469A"/>
    <w:rsid w:val="68887A69"/>
    <w:rsid w:val="688F370A"/>
    <w:rsid w:val="69674FF3"/>
    <w:rsid w:val="69B619CF"/>
    <w:rsid w:val="6C693B68"/>
    <w:rsid w:val="6C743AFA"/>
    <w:rsid w:val="6C997C32"/>
    <w:rsid w:val="6CE259E9"/>
    <w:rsid w:val="6F8138B3"/>
    <w:rsid w:val="6FD7038D"/>
    <w:rsid w:val="718524BB"/>
    <w:rsid w:val="71DF21DC"/>
    <w:rsid w:val="73F66D11"/>
    <w:rsid w:val="7524704D"/>
    <w:rsid w:val="767B78A9"/>
    <w:rsid w:val="7930618C"/>
    <w:rsid w:val="7A88653E"/>
    <w:rsid w:val="7B7D06A6"/>
    <w:rsid w:val="7CE572D4"/>
    <w:rsid w:val="7DAA605A"/>
    <w:rsid w:val="7DD24CD9"/>
    <w:rsid w:val="7E100520"/>
    <w:rsid w:val="7E524DE9"/>
    <w:rsid w:val="7E74105F"/>
    <w:rsid w:val="7EA03548"/>
    <w:rsid w:val="7F8A2C26"/>
    <w:rsid w:val="7FC20D7E"/>
    <w:rsid w:val="7FC525A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paragraph" w:styleId="5">
    <w:name w:val="heading 3"/>
    <w:basedOn w:val="1"/>
    <w:next w:val="1"/>
    <w:qFormat/>
    <w:uiPriority w:val="0"/>
    <w:pPr>
      <w:keepNext/>
      <w:keepLines/>
      <w:spacing w:before="260" w:after="260" w:line="415" w:lineRule="auto"/>
      <w:outlineLvl w:val="2"/>
    </w:pPr>
    <w:rPr>
      <w:rFonts w:eastAsia="黑体"/>
      <w:b/>
      <w:bCs/>
      <w:sz w:val="32"/>
      <w:szCs w:val="32"/>
    </w:rPr>
  </w:style>
  <w:style w:type="paragraph" w:styleId="6">
    <w:name w:val="heading 4"/>
    <w:basedOn w:val="7"/>
    <w:next w:val="1"/>
    <w:qFormat/>
    <w:uiPriority w:val="0"/>
    <w:pPr>
      <w:keepNext/>
      <w:keepLines/>
      <w:spacing w:before="280" w:after="290" w:line="376" w:lineRule="auto"/>
      <w:outlineLvl w:val="3"/>
    </w:pPr>
    <w:rPr>
      <w:rFonts w:ascii="Arial" w:hAnsi="Arial" w:eastAsia="黑体"/>
      <w:szCs w:val="28"/>
    </w:rPr>
  </w:style>
  <w:style w:type="character" w:default="1" w:styleId="41">
    <w:name w:val="Default Paragraph Font"/>
    <w:unhideWhenUsed/>
    <w:qFormat/>
    <w:uiPriority w:val="1"/>
  </w:style>
  <w:style w:type="table" w:default="1" w:styleId="39">
    <w:name w:val="Normal Table"/>
    <w:unhideWhenUsed/>
    <w:qFormat/>
    <w:uiPriority w:val="99"/>
    <w:tblPr>
      <w:tblCellMar>
        <w:top w:w="0" w:type="dxa"/>
        <w:left w:w="108" w:type="dxa"/>
        <w:bottom w:w="0" w:type="dxa"/>
        <w:right w:w="108" w:type="dxa"/>
      </w:tblCellMar>
    </w:tblPr>
  </w:style>
  <w:style w:type="paragraph" w:customStyle="1" w:styleId="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styleId="7">
    <w:name w:val="Title"/>
    <w:basedOn w:val="1"/>
    <w:qFormat/>
    <w:uiPriority w:val="0"/>
    <w:pPr>
      <w:spacing w:before="240" w:after="60"/>
      <w:jc w:val="center"/>
      <w:outlineLvl w:val="0"/>
    </w:pPr>
    <w:rPr>
      <w:rFonts w:ascii="Arial" w:hAnsi="Arial" w:cs="Arial"/>
      <w:b/>
      <w:bCs/>
      <w:sz w:val="32"/>
      <w:szCs w:val="32"/>
    </w:rPr>
  </w:style>
  <w:style w:type="paragraph" w:styleId="8">
    <w:name w:val="List Number"/>
    <w:basedOn w:val="1"/>
    <w:qFormat/>
    <w:uiPriority w:val="0"/>
    <w:pPr>
      <w:widowControl/>
      <w:numPr>
        <w:ilvl w:val="0"/>
        <w:numId w:val="1"/>
      </w:numPr>
      <w:tabs>
        <w:tab w:val="left" w:pos="454"/>
        <w:tab w:val="left" w:pos="720"/>
        <w:tab w:val="clear" w:pos="900"/>
      </w:tabs>
      <w:spacing w:after="156"/>
      <w:ind w:left="454" w:hanging="284"/>
      <w:jc w:val="left"/>
    </w:pPr>
    <w:rPr>
      <w:kern w:val="0"/>
      <w:sz w:val="24"/>
      <w:szCs w:val="20"/>
    </w:rPr>
  </w:style>
  <w:style w:type="paragraph" w:styleId="9">
    <w:name w:val="Normal Indent"/>
    <w:basedOn w:val="1"/>
    <w:qFormat/>
    <w:uiPriority w:val="0"/>
    <w:pPr>
      <w:ind w:firstLine="420"/>
    </w:pPr>
    <w:rPr>
      <w:sz w:val="21"/>
    </w:rPr>
  </w:style>
  <w:style w:type="paragraph" w:styleId="10">
    <w:name w:val="caption"/>
    <w:basedOn w:val="1"/>
    <w:next w:val="1"/>
    <w:qFormat/>
    <w:uiPriority w:val="0"/>
    <w:pPr>
      <w:spacing w:before="152" w:after="160"/>
    </w:pPr>
    <w:rPr>
      <w:rFonts w:ascii="Arial" w:hAnsi="Arial" w:eastAsia="黑体" w:cs="Arial"/>
      <w:sz w:val="20"/>
      <w:szCs w:val="20"/>
    </w:rPr>
  </w:style>
  <w:style w:type="paragraph" w:styleId="11">
    <w:name w:val="List Bullet"/>
    <w:basedOn w:val="1"/>
    <w:qFormat/>
    <w:uiPriority w:val="0"/>
    <w:pPr>
      <w:spacing w:line="360" w:lineRule="auto"/>
    </w:pPr>
    <w:rPr>
      <w:rFonts w:ascii="宋体"/>
      <w:sz w:val="18"/>
      <w:szCs w:val="18"/>
    </w:rPr>
  </w:style>
  <w:style w:type="paragraph" w:styleId="12">
    <w:name w:val="Document Map"/>
    <w:basedOn w:val="1"/>
    <w:qFormat/>
    <w:uiPriority w:val="0"/>
    <w:pPr>
      <w:shd w:val="clear" w:color="auto" w:fill="000080"/>
    </w:pPr>
    <w:rPr>
      <w:sz w:val="21"/>
    </w:rPr>
  </w:style>
  <w:style w:type="paragraph" w:styleId="13">
    <w:name w:val="annotation text"/>
    <w:basedOn w:val="1"/>
    <w:qFormat/>
    <w:uiPriority w:val="0"/>
    <w:pPr>
      <w:jc w:val="left"/>
    </w:pPr>
  </w:style>
  <w:style w:type="paragraph" w:styleId="14">
    <w:name w:val="Body Text 3"/>
    <w:basedOn w:val="1"/>
    <w:qFormat/>
    <w:uiPriority w:val="0"/>
    <w:pPr>
      <w:snapToGrid w:val="0"/>
      <w:spacing w:before="50" w:after="50"/>
    </w:pPr>
    <w:rPr>
      <w:rFonts w:eastAsia="仿宋_GB2312"/>
      <w:b/>
      <w:bCs/>
      <w:sz w:val="24"/>
      <w:szCs w:val="20"/>
    </w:rPr>
  </w:style>
  <w:style w:type="paragraph" w:styleId="15">
    <w:name w:val="Closing"/>
    <w:basedOn w:val="1"/>
    <w:qFormat/>
    <w:uiPriority w:val="0"/>
    <w:pPr>
      <w:ind w:left="2100" w:leftChars="2100"/>
    </w:pPr>
    <w:rPr>
      <w:rFonts w:ascii="宋体"/>
      <w:szCs w:val="28"/>
    </w:rPr>
  </w:style>
  <w:style w:type="paragraph" w:styleId="16">
    <w:name w:val="Body Text"/>
    <w:basedOn w:val="1"/>
    <w:next w:val="17"/>
    <w:qFormat/>
    <w:uiPriority w:val="0"/>
    <w:pPr>
      <w:spacing w:after="120"/>
    </w:pPr>
  </w:style>
  <w:style w:type="paragraph" w:styleId="17">
    <w:name w:val="Body Text First Indent"/>
    <w:basedOn w:val="16"/>
    <w:next w:val="1"/>
    <w:qFormat/>
    <w:uiPriority w:val="0"/>
    <w:pPr>
      <w:ind w:firstLine="100" w:firstLineChars="100"/>
    </w:pPr>
  </w:style>
  <w:style w:type="paragraph" w:styleId="18">
    <w:name w:val="Body Text Indent"/>
    <w:basedOn w:val="1"/>
    <w:qFormat/>
    <w:uiPriority w:val="0"/>
    <w:pPr>
      <w:spacing w:line="200" w:lineRule="atLeast"/>
      <w:ind w:firstLine="301"/>
    </w:pPr>
    <w:rPr>
      <w:rFonts w:ascii="宋体"/>
      <w:spacing w:val="-4"/>
      <w:sz w:val="18"/>
      <w:szCs w:val="20"/>
    </w:rPr>
  </w:style>
  <w:style w:type="paragraph" w:styleId="19">
    <w:name w:val="List Number 3"/>
    <w:basedOn w:val="1"/>
    <w:qFormat/>
    <w:uiPriority w:val="0"/>
    <w:pPr>
      <w:numPr>
        <w:ilvl w:val="0"/>
        <w:numId w:val="2"/>
      </w:numPr>
      <w:ind w:left="720"/>
    </w:pPr>
    <w:rPr>
      <w:sz w:val="21"/>
    </w:rPr>
  </w:style>
  <w:style w:type="paragraph" w:styleId="20">
    <w:name w:val="List 2"/>
    <w:basedOn w:val="1"/>
    <w:qFormat/>
    <w:uiPriority w:val="0"/>
    <w:pPr>
      <w:ind w:left="400" w:leftChars="200" w:hanging="200" w:hangingChars="200"/>
    </w:pPr>
  </w:style>
  <w:style w:type="paragraph" w:styleId="21">
    <w:name w:val="List Continue"/>
    <w:basedOn w:val="1"/>
    <w:qFormat/>
    <w:uiPriority w:val="0"/>
    <w:pPr>
      <w:spacing w:after="120"/>
      <w:ind w:left="420"/>
    </w:pPr>
  </w:style>
  <w:style w:type="paragraph" w:styleId="22">
    <w:name w:val="Block Text"/>
    <w:basedOn w:val="1"/>
    <w:qFormat/>
    <w:uiPriority w:val="0"/>
    <w:pPr>
      <w:adjustRightInd w:val="0"/>
      <w:ind w:left="420" w:right="33"/>
      <w:jc w:val="left"/>
      <w:textAlignment w:val="baseline"/>
    </w:pPr>
    <w:rPr>
      <w:kern w:val="0"/>
      <w:sz w:val="24"/>
      <w:szCs w:val="20"/>
    </w:rPr>
  </w:style>
  <w:style w:type="paragraph" w:styleId="23">
    <w:name w:val="Plain Text"/>
    <w:basedOn w:val="1"/>
    <w:next w:val="9"/>
    <w:qFormat/>
    <w:uiPriority w:val="0"/>
    <w:pPr>
      <w:spacing w:before="156" w:after="156" w:line="400" w:lineRule="atLeast"/>
    </w:pPr>
    <w:rPr>
      <w:rFonts w:ascii="宋体"/>
      <w:sz w:val="24"/>
    </w:rPr>
  </w:style>
  <w:style w:type="paragraph" w:styleId="24">
    <w:name w:val="Date"/>
    <w:basedOn w:val="1"/>
    <w:next w:val="1"/>
    <w:qFormat/>
    <w:uiPriority w:val="0"/>
    <w:pPr>
      <w:ind w:left="2500" w:leftChars="2500"/>
    </w:pPr>
    <w:rPr>
      <w:rFonts w:eastAsia="楷体_GB2312"/>
      <w:sz w:val="32"/>
      <w:szCs w:val="20"/>
    </w:rPr>
  </w:style>
  <w:style w:type="paragraph" w:styleId="25">
    <w:name w:val="Body Text Indent 2"/>
    <w:basedOn w:val="1"/>
    <w:qFormat/>
    <w:uiPriority w:val="0"/>
    <w:pPr>
      <w:snapToGrid w:val="0"/>
      <w:ind w:firstLine="225" w:firstLineChars="225"/>
    </w:pPr>
    <w:rPr>
      <w:rFonts w:ascii="仿宋_GB2312" w:hAnsi="仿宋_GB2312" w:cs="Arial"/>
      <w:b/>
      <w:bCs/>
      <w:color w:val="000000"/>
      <w:sz w:val="24"/>
    </w:rPr>
  </w:style>
  <w:style w:type="paragraph" w:styleId="26">
    <w:name w:val="Balloon Text"/>
    <w:basedOn w:val="1"/>
    <w:qFormat/>
    <w:uiPriority w:val="0"/>
    <w:rPr>
      <w:sz w:val="18"/>
      <w:szCs w:val="18"/>
    </w:rPr>
  </w:style>
  <w:style w:type="paragraph" w:styleId="27">
    <w:name w:val="footer"/>
    <w:basedOn w:val="1"/>
    <w:qFormat/>
    <w:uiPriority w:val="0"/>
    <w:pPr>
      <w:tabs>
        <w:tab w:val="center" w:pos="4153"/>
        <w:tab w:val="right" w:pos="8306"/>
      </w:tabs>
      <w:snapToGrid w:val="0"/>
      <w:jc w:val="left"/>
    </w:pPr>
    <w:rPr>
      <w:sz w:val="18"/>
      <w:szCs w:val="18"/>
    </w:rPr>
  </w:style>
  <w:style w:type="paragraph" w:styleId="28">
    <w:name w:val="envelope return"/>
    <w:basedOn w:val="1"/>
    <w:qFormat/>
    <w:uiPriority w:val="0"/>
    <w:pPr>
      <w:tabs>
        <w:tab w:val="left" w:pos="1332"/>
      </w:tabs>
    </w:pPr>
    <w:rPr>
      <w:rFonts w:ascii="Calibri" w:hAnsi="Calibri"/>
    </w:rPr>
  </w:style>
  <w:style w:type="paragraph" w:styleId="2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30">
    <w:name w:val="toc 1"/>
    <w:basedOn w:val="1"/>
    <w:next w:val="1"/>
    <w:qFormat/>
    <w:uiPriority w:val="0"/>
    <w:rPr>
      <w:sz w:val="21"/>
    </w:rPr>
  </w:style>
  <w:style w:type="paragraph" w:styleId="31">
    <w:name w:val="List"/>
    <w:basedOn w:val="1"/>
    <w:qFormat/>
    <w:uiPriority w:val="0"/>
    <w:pPr>
      <w:ind w:left="200" w:hanging="200" w:hangingChars="200"/>
    </w:pPr>
  </w:style>
  <w:style w:type="paragraph" w:styleId="32">
    <w:name w:val="toc 6"/>
    <w:basedOn w:val="1"/>
    <w:next w:val="1"/>
    <w:qFormat/>
    <w:uiPriority w:val="0"/>
    <w:pPr>
      <w:ind w:left="1200"/>
      <w:jc w:val="left"/>
    </w:pPr>
    <w:rPr>
      <w:sz w:val="18"/>
      <w:szCs w:val="18"/>
    </w:rPr>
  </w:style>
  <w:style w:type="paragraph" w:styleId="33">
    <w:name w:val="Body Text Indent 3"/>
    <w:basedOn w:val="1"/>
    <w:qFormat/>
    <w:uiPriority w:val="0"/>
    <w:pPr>
      <w:spacing w:after="120"/>
      <w:ind w:left="200" w:leftChars="200"/>
    </w:pPr>
    <w:rPr>
      <w:rFonts w:ascii="Calibri" w:hAnsi="Calibri"/>
      <w:sz w:val="16"/>
      <w:szCs w:val="22"/>
    </w:rPr>
  </w:style>
  <w:style w:type="paragraph" w:styleId="34">
    <w:name w:val="toc 2"/>
    <w:basedOn w:val="1"/>
    <w:next w:val="1"/>
    <w:qFormat/>
    <w:uiPriority w:val="0"/>
    <w:pPr>
      <w:ind w:left="200" w:leftChars="200"/>
    </w:pPr>
  </w:style>
  <w:style w:type="paragraph" w:styleId="35">
    <w:name w:val="Body Text 2"/>
    <w:basedOn w:val="1"/>
    <w:qFormat/>
    <w:uiPriority w:val="0"/>
    <w:pPr>
      <w:widowControl/>
      <w:snapToGrid w:val="0"/>
      <w:spacing w:before="50" w:after="156" w:line="400" w:lineRule="atLeast"/>
      <w:jc w:val="left"/>
    </w:pPr>
    <w:rPr>
      <w:rFonts w:ascii="宋体"/>
      <w:color w:val="000000"/>
      <w:sz w:val="24"/>
    </w:rPr>
  </w:style>
  <w:style w:type="paragraph" w:styleId="36">
    <w:name w:val="Normal (Web)"/>
    <w:basedOn w:val="1"/>
    <w:qFormat/>
    <w:uiPriority w:val="0"/>
    <w:pPr>
      <w:widowControl/>
      <w:spacing w:before="100" w:beforeAutospacing="1" w:after="100" w:afterAutospacing="1"/>
      <w:jc w:val="left"/>
    </w:pPr>
    <w:rPr>
      <w:rFonts w:ascii="宋体"/>
      <w:kern w:val="0"/>
      <w:sz w:val="24"/>
    </w:rPr>
  </w:style>
  <w:style w:type="paragraph" w:styleId="37">
    <w:name w:val="annotation subject"/>
    <w:basedOn w:val="13"/>
    <w:next w:val="1"/>
    <w:qFormat/>
    <w:uiPriority w:val="0"/>
    <w:pPr>
      <w:jc w:val="center"/>
    </w:pPr>
    <w:rPr>
      <w:bCs/>
    </w:rPr>
  </w:style>
  <w:style w:type="paragraph" w:styleId="38">
    <w:name w:val="Body Text First Indent 2"/>
    <w:basedOn w:val="18"/>
    <w:next w:val="1"/>
    <w:qFormat/>
    <w:uiPriority w:val="0"/>
    <w:pPr>
      <w:ind w:firstLine="420"/>
    </w:pPr>
    <w:rPr>
      <w:rFonts w:cs="宋体"/>
      <w:szCs w:val="21"/>
    </w:rPr>
  </w:style>
  <w:style w:type="table" w:styleId="40">
    <w:name w:val="Table Grid"/>
    <w:basedOn w:val="3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2">
    <w:name w:val="Strong"/>
    <w:basedOn w:val="41"/>
    <w:qFormat/>
    <w:uiPriority w:val="0"/>
    <w:rPr>
      <w:b/>
      <w:bCs/>
    </w:rPr>
  </w:style>
  <w:style w:type="character" w:styleId="43">
    <w:name w:val="page number"/>
    <w:qFormat/>
    <w:uiPriority w:val="0"/>
  </w:style>
  <w:style w:type="character" w:styleId="44">
    <w:name w:val="FollowedHyperlink"/>
    <w:qFormat/>
    <w:uiPriority w:val="0"/>
    <w:rPr>
      <w:color w:val="000000"/>
      <w:u w:val="none"/>
    </w:rPr>
  </w:style>
  <w:style w:type="character" w:styleId="45">
    <w:name w:val="Emphasis"/>
    <w:basedOn w:val="41"/>
    <w:qFormat/>
    <w:uiPriority w:val="0"/>
    <w:rPr>
      <w:i/>
    </w:rPr>
  </w:style>
  <w:style w:type="character" w:styleId="46">
    <w:name w:val="Hyperlink"/>
    <w:qFormat/>
    <w:uiPriority w:val="0"/>
    <w:rPr>
      <w:color w:val="000000"/>
      <w:u w:val="none"/>
    </w:rPr>
  </w:style>
  <w:style w:type="character" w:styleId="47">
    <w:name w:val="annotation reference"/>
    <w:qFormat/>
    <w:uiPriority w:val="0"/>
    <w:rPr>
      <w:sz w:val="21"/>
      <w:szCs w:val="21"/>
    </w:rPr>
  </w:style>
  <w:style w:type="character" w:styleId="48">
    <w:name w:val="HTML Sample"/>
    <w:qFormat/>
    <w:uiPriority w:val="0"/>
    <w:rPr>
      <w:rFonts w:ascii="Courier New" w:hAnsi="Courier New"/>
    </w:rPr>
  </w:style>
  <w:style w:type="paragraph" w:customStyle="1" w:styleId="4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50">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51">
    <w:name w:val="xl53"/>
    <w:basedOn w:val="1"/>
    <w:next w:val="1"/>
    <w:qFormat/>
    <w:uiPriority w:val="0"/>
    <w:pPr>
      <w:spacing w:before="280" w:after="280" w:line="100" w:lineRule="exact"/>
      <w:jc w:val="center"/>
    </w:pPr>
    <w:rPr>
      <w:b/>
      <w:sz w:val="20"/>
    </w:rPr>
  </w:style>
  <w:style w:type="paragraph" w:customStyle="1" w:styleId="52">
    <w:name w:val="首行缩进"/>
    <w:basedOn w:val="1"/>
    <w:next w:val="21"/>
    <w:qFormat/>
    <w:uiPriority w:val="0"/>
    <w:pPr>
      <w:spacing w:line="360" w:lineRule="auto"/>
      <w:ind w:firstLine="200" w:firstLineChars="200"/>
    </w:pPr>
    <w:rPr>
      <w:sz w:val="24"/>
      <w:lang w:val="zh-CN"/>
    </w:rPr>
  </w:style>
  <w:style w:type="character" w:customStyle="1" w:styleId="53">
    <w:name w:val="15"/>
    <w:qFormat/>
    <w:uiPriority w:val="0"/>
    <w:rPr>
      <w:rFonts w:ascii="Calibri" w:hAnsi="Calibri" w:eastAsia="宋体" w:cs="Times New Roman"/>
      <w:lang w:bidi="ar-SA"/>
    </w:rPr>
  </w:style>
  <w:style w:type="character" w:customStyle="1" w:styleId="54">
    <w:name w:val="列表段落 字符1"/>
    <w:qFormat/>
    <w:uiPriority w:val="0"/>
    <w:rPr>
      <w:kern w:val="2"/>
      <w:sz w:val="21"/>
      <w:szCs w:val="24"/>
    </w:rPr>
  </w:style>
  <w:style w:type="character" w:customStyle="1" w:styleId="55">
    <w:name w:val="fontstyle21"/>
    <w:qFormat/>
    <w:uiPriority w:val="0"/>
    <w:rPr>
      <w:rFonts w:ascii="宋体" w:eastAsia="宋体" w:cs="宋体"/>
      <w:color w:val="000000"/>
      <w:sz w:val="22"/>
      <w:szCs w:val="22"/>
      <w:lang w:bidi="ar-SA"/>
    </w:rPr>
  </w:style>
  <w:style w:type="character" w:customStyle="1" w:styleId="56">
    <w:name w:val="l-btn-left"/>
    <w:qFormat/>
    <w:uiPriority w:val="0"/>
  </w:style>
  <w:style w:type="character" w:customStyle="1" w:styleId="57">
    <w:name w:val="curr"/>
    <w:qFormat/>
    <w:uiPriority w:val="0"/>
  </w:style>
  <w:style w:type="character" w:customStyle="1" w:styleId="58">
    <w:name w:val="font21"/>
    <w:qFormat/>
    <w:uiPriority w:val="0"/>
    <w:rPr>
      <w:rFonts w:ascii="宋体" w:eastAsia="宋体" w:cs="宋体"/>
      <w:color w:val="000000"/>
      <w:sz w:val="24"/>
      <w:szCs w:val="24"/>
      <w:u w:val="none"/>
      <w:lang w:bidi="ar-SA"/>
    </w:rPr>
  </w:style>
  <w:style w:type="character" w:customStyle="1" w:styleId="59">
    <w:name w:val="font112"/>
    <w:qFormat/>
    <w:uiPriority w:val="0"/>
    <w:rPr>
      <w:rFonts w:ascii="新宋体" w:eastAsia="新宋体" w:cs="新宋体"/>
      <w:color w:val="FF0000"/>
      <w:sz w:val="20"/>
      <w:szCs w:val="20"/>
      <w:u w:val="none"/>
      <w:lang w:bidi="ar-SA"/>
    </w:rPr>
  </w:style>
  <w:style w:type="character" w:customStyle="1" w:styleId="60">
    <w:name w:val="l-btn-text34"/>
    <w:qFormat/>
    <w:uiPriority w:val="0"/>
  </w:style>
  <w:style w:type="character" w:customStyle="1" w:styleId="61">
    <w:name w:val="font41"/>
    <w:basedOn w:val="41"/>
    <w:qFormat/>
    <w:uiPriority w:val="0"/>
    <w:rPr>
      <w:rFonts w:ascii="宋体" w:eastAsia="宋体" w:cs="宋体"/>
      <w:b/>
      <w:color w:val="303133"/>
      <w:sz w:val="20"/>
      <w:szCs w:val="20"/>
      <w:u w:val="none"/>
      <w:lang w:bidi="ar-SA"/>
    </w:rPr>
  </w:style>
  <w:style w:type="character" w:customStyle="1" w:styleId="62">
    <w:name w:val="font81"/>
    <w:qFormat/>
    <w:uiPriority w:val="0"/>
    <w:rPr>
      <w:rFonts w:ascii="宋体" w:eastAsia="宋体" w:cs="宋体"/>
      <w:color w:val="000000"/>
      <w:sz w:val="22"/>
      <w:szCs w:val="22"/>
      <w:u w:val="none"/>
      <w:lang w:bidi="ar-SA"/>
    </w:rPr>
  </w:style>
  <w:style w:type="character" w:customStyle="1" w:styleId="63">
    <w:name w:val="font91"/>
    <w:qFormat/>
    <w:uiPriority w:val="0"/>
    <w:rPr>
      <w:rFonts w:ascii="宋体" w:eastAsia="宋体" w:cs="宋体"/>
      <w:color w:val="FF0000"/>
      <w:sz w:val="20"/>
      <w:szCs w:val="20"/>
      <w:u w:val="none"/>
      <w:lang w:bidi="ar-SA"/>
    </w:rPr>
  </w:style>
  <w:style w:type="character" w:customStyle="1" w:styleId="64">
    <w:name w:val="font51"/>
    <w:qFormat/>
    <w:uiPriority w:val="0"/>
    <w:rPr>
      <w:rFonts w:ascii="Helvetica" w:hAnsi="Helvetica" w:eastAsia="Helvetica" w:cs="Helvetica"/>
      <w:b/>
      <w:color w:val="333333"/>
      <w:sz w:val="20"/>
      <w:szCs w:val="20"/>
      <w:u w:val="none"/>
      <w:lang w:bidi="ar-SA"/>
    </w:rPr>
  </w:style>
  <w:style w:type="character" w:customStyle="1" w:styleId="65">
    <w:name w:val="wordstyle1"/>
    <w:qFormat/>
    <w:uiPriority w:val="0"/>
    <w:rPr>
      <w:sz w:val="20"/>
      <w:szCs w:val="20"/>
    </w:rPr>
  </w:style>
  <w:style w:type="character" w:customStyle="1" w:styleId="66">
    <w:name w:val="font01"/>
    <w:qFormat/>
    <w:uiPriority w:val="0"/>
    <w:rPr>
      <w:rFonts w:ascii="Calibri" w:hAnsi="Calibri" w:cs="Calibri"/>
      <w:color w:val="000000"/>
      <w:sz w:val="24"/>
      <w:szCs w:val="24"/>
      <w:u w:val="none"/>
      <w:lang w:bidi="ar-SA"/>
    </w:rPr>
  </w:style>
  <w:style w:type="character" w:customStyle="1" w:styleId="67">
    <w:name w:val="font61"/>
    <w:qFormat/>
    <w:uiPriority w:val="0"/>
    <w:rPr>
      <w:rFonts w:ascii="宋体" w:eastAsia="宋体" w:cs="宋体"/>
      <w:b/>
      <w:color w:val="000000"/>
      <w:sz w:val="22"/>
      <w:szCs w:val="22"/>
      <w:u w:val="none"/>
      <w:lang w:bidi="ar-SA"/>
    </w:rPr>
  </w:style>
  <w:style w:type="character" w:customStyle="1" w:styleId="68">
    <w:name w:val="param_td12"/>
    <w:qFormat/>
    <w:uiPriority w:val="0"/>
  </w:style>
  <w:style w:type="character" w:customStyle="1" w:styleId="69">
    <w:name w:val="font11"/>
    <w:qFormat/>
    <w:uiPriority w:val="0"/>
    <w:rPr>
      <w:rFonts w:ascii="宋体" w:eastAsia="宋体" w:cs="宋体"/>
      <w:color w:val="000000"/>
      <w:sz w:val="21"/>
      <w:szCs w:val="21"/>
      <w:u w:val="none"/>
      <w:lang w:bidi="ar-SA"/>
    </w:rPr>
  </w:style>
  <w:style w:type="paragraph" w:customStyle="1" w:styleId="70">
    <w:name w:val="U_正文2"/>
    <w:basedOn w:val="1"/>
    <w:qFormat/>
    <w:uiPriority w:val="0"/>
    <w:pPr>
      <w:spacing w:beforeLines="10" w:afterLines="10" w:line="300" w:lineRule="auto"/>
    </w:pPr>
    <w:rPr>
      <w:sz w:val="24"/>
      <w:szCs w:val="20"/>
    </w:rPr>
  </w:style>
  <w:style w:type="paragraph" w:customStyle="1" w:styleId="71">
    <w:name w:val="样式 列表编号 + 段后: 0.5 行"/>
    <w:basedOn w:val="8"/>
    <w:qFormat/>
    <w:uiPriority w:val="0"/>
    <w:pPr>
      <w:numPr>
        <w:ilvl w:val="0"/>
        <w:numId w:val="0"/>
      </w:numPr>
      <w:ind w:left="360" w:hanging="360"/>
    </w:pPr>
  </w:style>
  <w:style w:type="paragraph" w:customStyle="1" w:styleId="72">
    <w:name w:val="U_编号2"/>
    <w:basedOn w:val="1"/>
    <w:qFormat/>
    <w:uiPriority w:val="0"/>
    <w:pPr>
      <w:numPr>
        <w:ilvl w:val="0"/>
        <w:numId w:val="3"/>
      </w:numPr>
      <w:spacing w:beforeLines="10" w:afterLines="10" w:line="300" w:lineRule="auto"/>
    </w:pPr>
    <w:rPr>
      <w:sz w:val="24"/>
      <w:szCs w:val="20"/>
    </w:rPr>
  </w:style>
  <w:style w:type="paragraph" w:customStyle="1" w:styleId="73">
    <w:name w:val="正文2"/>
    <w:basedOn w:val="1"/>
    <w:qFormat/>
    <w:uiPriority w:val="0"/>
    <w:pPr>
      <w:spacing w:before="156" w:line="360" w:lineRule="auto"/>
      <w:ind w:firstLine="200" w:firstLineChars="200"/>
    </w:pPr>
    <w:rPr>
      <w:rFonts w:ascii="Calibri" w:hAnsi="Calibri" w:eastAsia="微软雅黑"/>
      <w:sz w:val="24"/>
    </w:rPr>
  </w:style>
  <w:style w:type="paragraph" w:customStyle="1" w:styleId="74">
    <w:name w:val="BodyText1I2"/>
    <w:basedOn w:val="75"/>
    <w:next w:val="1"/>
    <w:qFormat/>
    <w:uiPriority w:val="0"/>
    <w:pPr>
      <w:spacing w:after="120"/>
      <w:ind w:left="200" w:leftChars="200" w:firstLine="420"/>
    </w:pPr>
    <w:rPr>
      <w:sz w:val="21"/>
      <w:szCs w:val="21"/>
    </w:rPr>
  </w:style>
  <w:style w:type="paragraph" w:customStyle="1" w:styleId="75">
    <w:name w:val="BodyTextIndent"/>
    <w:basedOn w:val="1"/>
    <w:next w:val="1"/>
    <w:qFormat/>
    <w:uiPriority w:val="0"/>
    <w:pPr>
      <w:ind w:firstLine="900"/>
    </w:pPr>
  </w:style>
  <w:style w:type="paragraph" w:customStyle="1" w:styleId="76">
    <w:name w:val="正文段"/>
    <w:basedOn w:val="1"/>
    <w:qFormat/>
    <w:uiPriority w:val="0"/>
    <w:pPr>
      <w:widowControl/>
      <w:snapToGrid w:val="0"/>
      <w:spacing w:after="156"/>
      <w:ind w:firstLine="200" w:firstLineChars="200"/>
    </w:pPr>
    <w:rPr>
      <w:kern w:val="0"/>
      <w:sz w:val="24"/>
      <w:szCs w:val="20"/>
    </w:rPr>
  </w:style>
  <w:style w:type="paragraph" w:customStyle="1" w:styleId="77">
    <w:name w:val="目录 72"/>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styleId="78">
    <w:name w:val="List Paragraph"/>
    <w:basedOn w:val="1"/>
    <w:qFormat/>
    <w:uiPriority w:val="0"/>
    <w:pPr>
      <w:ind w:firstLine="200" w:firstLineChars="200"/>
    </w:pPr>
    <w:rPr>
      <w:rFonts w:ascii="Calibri" w:hAnsi="Calibri"/>
      <w:sz w:val="21"/>
    </w:rPr>
  </w:style>
  <w:style w:type="paragraph" w:customStyle="1" w:styleId="79">
    <w:name w:val="Normal_24"/>
    <w:qFormat/>
    <w:uiPriority w:val="0"/>
    <w:pPr>
      <w:spacing w:before="120" w:after="240"/>
      <w:jc w:val="both"/>
    </w:pPr>
    <w:rPr>
      <w:rFonts w:ascii="Calibri" w:hAnsi="Calibri" w:eastAsia="Calibri" w:cs="Times New Roman"/>
      <w:sz w:val="22"/>
      <w:szCs w:val="22"/>
      <w:lang w:val="ru-RU" w:eastAsia="ru-RU" w:bidi="ar-SA"/>
    </w:rPr>
  </w:style>
  <w:style w:type="paragraph" w:customStyle="1" w:styleId="80">
    <w:name w:val="Normal_25"/>
    <w:qFormat/>
    <w:uiPriority w:val="0"/>
    <w:pPr>
      <w:spacing w:before="120" w:after="240"/>
      <w:jc w:val="both"/>
    </w:pPr>
    <w:rPr>
      <w:rFonts w:ascii="Calibri" w:hAnsi="Calibri" w:eastAsia="Calibri" w:cs="Times New Roman"/>
      <w:sz w:val="22"/>
      <w:szCs w:val="22"/>
      <w:lang w:val="ru-RU" w:eastAsia="ru-RU" w:bidi="ar-SA"/>
    </w:rPr>
  </w:style>
  <w:style w:type="paragraph" w:customStyle="1" w:styleId="81">
    <w:name w:val="表格文字"/>
    <w:basedOn w:val="1"/>
    <w:next w:val="16"/>
    <w:qFormat/>
    <w:uiPriority w:val="0"/>
    <w:pPr>
      <w:adjustRightInd w:val="0"/>
      <w:spacing w:line="420" w:lineRule="atLeast"/>
      <w:textAlignment w:val="baseline"/>
    </w:pPr>
  </w:style>
  <w:style w:type="paragraph" w:customStyle="1" w:styleId="82">
    <w:name w:val="无间隔1"/>
    <w:qFormat/>
    <w:uiPriority w:val="0"/>
    <w:pPr>
      <w:adjustRightInd w:val="0"/>
      <w:snapToGrid w:val="0"/>
    </w:pPr>
    <w:rPr>
      <w:rFonts w:ascii="Tahoma" w:hAnsi="Tahoma" w:eastAsia="微软雅黑" w:cs="Times New Roman"/>
      <w:sz w:val="22"/>
      <w:szCs w:val="22"/>
      <w:lang w:val="en-US" w:eastAsia="zh-CN" w:bidi="ar-SA"/>
    </w:rPr>
  </w:style>
  <w:style w:type="paragraph" w:customStyle="1" w:styleId="83">
    <w:name w:val="1 Char Char Char Char Char Char Char"/>
    <w:basedOn w:val="1"/>
    <w:qFormat/>
    <w:uiPriority w:val="0"/>
    <w:pPr>
      <w:spacing w:line="360" w:lineRule="auto"/>
      <w:ind w:firstLine="200" w:firstLineChars="200"/>
    </w:pPr>
    <w:rPr>
      <w:rFonts w:ascii="宋体" w:cs="宋体"/>
      <w:sz w:val="24"/>
    </w:rPr>
  </w:style>
  <w:style w:type="paragraph" w:customStyle="1" w:styleId="84">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85">
    <w:name w:val="列出段落1"/>
    <w:basedOn w:val="1"/>
    <w:qFormat/>
    <w:uiPriority w:val="0"/>
    <w:pPr>
      <w:spacing w:line="360" w:lineRule="auto"/>
      <w:ind w:firstLine="200" w:firstLineChars="200"/>
    </w:pPr>
    <w:rPr>
      <w:rFonts w:eastAsia="楷体_GB2312" w:cs="Lucida Sans"/>
      <w:sz w:val="24"/>
    </w:rPr>
  </w:style>
  <w:style w:type="paragraph" w:customStyle="1" w:styleId="86">
    <w:name w:val="_Style 1"/>
    <w:basedOn w:val="1"/>
    <w:qFormat/>
    <w:uiPriority w:val="0"/>
    <w:pPr>
      <w:ind w:firstLine="200" w:firstLineChars="200"/>
    </w:pPr>
  </w:style>
  <w:style w:type="paragraph" w:customStyle="1" w:styleId="87">
    <w:name w:val="纯文本1"/>
    <w:basedOn w:val="73"/>
    <w:qFormat/>
    <w:uiPriority w:val="0"/>
    <w:pPr>
      <w:widowControl/>
      <w:jc w:val="left"/>
    </w:pPr>
    <w:rPr>
      <w:rFonts w:ascii="宋体" w:hAnsi="宋体"/>
    </w:rPr>
  </w:style>
  <w:style w:type="paragraph" w:customStyle="1" w:styleId="88">
    <w:name w:val="正文1"/>
    <w:next w:val="1"/>
    <w:qFormat/>
    <w:uiPriority w:val="0"/>
    <w:pPr>
      <w:widowControl w:val="0"/>
      <w:jc w:val="both"/>
    </w:pPr>
    <w:rPr>
      <w:rFonts w:ascii="Calibri" w:hAnsi="Calibri" w:eastAsia="宋体" w:cs="Times New Roman"/>
      <w:kern w:val="2"/>
      <w:sz w:val="21"/>
      <w:szCs w:val="22"/>
      <w:lang w:val="en-US" w:eastAsia="zh-CN" w:bidi="ar-SA"/>
    </w:rPr>
  </w:style>
  <w:style w:type="paragraph" w:customStyle="1" w:styleId="89">
    <w:name w:val="正文缩进2格"/>
    <w:basedOn w:val="1"/>
    <w:qFormat/>
    <w:uiPriority w:val="0"/>
    <w:pPr>
      <w:spacing w:line="600" w:lineRule="exact"/>
      <w:ind w:firstLine="206" w:firstLineChars="206"/>
    </w:pPr>
    <w:rPr>
      <w:rFonts w:ascii="仿宋_GB2312" w:eastAsia="仿宋_GB2312"/>
      <w:sz w:val="31"/>
      <w:szCs w:val="28"/>
    </w:rPr>
  </w:style>
  <w:style w:type="paragraph" w:customStyle="1" w:styleId="90">
    <w:name w:val="Char1"/>
    <w:basedOn w:val="1"/>
    <w:qFormat/>
    <w:uiPriority w:val="0"/>
    <w:pPr>
      <w:jc w:val="center"/>
    </w:pPr>
    <w:rPr>
      <w:b/>
      <w:kern w:val="44"/>
      <w:sz w:val="44"/>
      <w:szCs w:val="44"/>
    </w:rPr>
  </w:style>
  <w:style w:type="paragraph" w:customStyle="1" w:styleId="91">
    <w:name w:val="Normal Indent1"/>
    <w:basedOn w:val="1"/>
    <w:qFormat/>
    <w:uiPriority w:val="0"/>
    <w:pPr>
      <w:ind w:firstLine="420"/>
    </w:pPr>
  </w:style>
  <w:style w:type="paragraph" w:customStyle="1" w:styleId="92">
    <w:name w:val="此正文"/>
    <w:basedOn w:val="1"/>
    <w:qFormat/>
    <w:uiPriority w:val="0"/>
    <w:pPr>
      <w:spacing w:line="360" w:lineRule="auto"/>
      <w:ind w:firstLine="200" w:firstLineChars="200"/>
    </w:pPr>
    <w:rPr>
      <w:sz w:val="24"/>
    </w:rPr>
  </w:style>
  <w:style w:type="paragraph" w:customStyle="1" w:styleId="93">
    <w:name w:val="Body text|1"/>
    <w:basedOn w:val="1"/>
    <w:qFormat/>
    <w:uiPriority w:val="0"/>
    <w:pPr>
      <w:spacing w:line="410" w:lineRule="auto"/>
      <w:ind w:firstLine="400"/>
    </w:pPr>
    <w:rPr>
      <w:rFonts w:ascii="宋体" w:cs="宋体"/>
      <w:lang w:val="zh-TW" w:eastAsia="zh-TW" w:bidi="zh-TW"/>
    </w:rPr>
  </w:style>
  <w:style w:type="paragraph" w:customStyle="1" w:styleId="94">
    <w:name w:val="Char Char Char Char Char Char"/>
    <w:basedOn w:val="1"/>
    <w:qFormat/>
    <w:uiPriority w:val="0"/>
    <w:rPr>
      <w:sz w:val="21"/>
    </w:rPr>
  </w:style>
  <w:style w:type="paragraph" w:customStyle="1" w:styleId="95">
    <w:name w:val="_Style 2"/>
    <w:qFormat/>
    <w:uiPriority w:val="0"/>
    <w:pPr>
      <w:adjustRightInd w:val="0"/>
      <w:snapToGrid w:val="0"/>
    </w:pPr>
    <w:rPr>
      <w:rFonts w:ascii="Tahoma" w:hAnsi="Tahoma" w:eastAsia="微软雅黑" w:cs="Tahoma"/>
      <w:sz w:val="22"/>
      <w:szCs w:val="22"/>
      <w:lang w:val="en-US" w:eastAsia="zh-CN" w:bidi="ar-SA"/>
    </w:rPr>
  </w:style>
  <w:style w:type="paragraph" w:customStyle="1" w:styleId="96">
    <w:name w:val="Char"/>
    <w:basedOn w:val="1"/>
    <w:qFormat/>
    <w:uiPriority w:val="0"/>
    <w:rPr>
      <w:rFonts w:ascii="仿宋_GB2312" w:eastAsia="仿宋_GB2312"/>
      <w:b/>
      <w:sz w:val="32"/>
      <w:szCs w:val="32"/>
    </w:rPr>
  </w:style>
  <w:style w:type="paragraph" w:customStyle="1" w:styleId="97">
    <w:name w:val="Char2"/>
    <w:basedOn w:val="1"/>
    <w:qFormat/>
    <w:uiPriority w:val="0"/>
    <w:rPr>
      <w:rFonts w:ascii="仿宋_GB2312" w:eastAsia="仿宋_GB2312"/>
      <w:b/>
      <w:sz w:val="32"/>
      <w:szCs w:val="32"/>
    </w:rPr>
  </w:style>
  <w:style w:type="paragraph" w:customStyle="1" w:styleId="98">
    <w:name w:val="Table Paragraph"/>
    <w:basedOn w:val="1"/>
    <w:qFormat/>
    <w:uiPriority w:val="0"/>
    <w:rPr>
      <w:rFonts w:ascii="宋体" w:cs="宋体"/>
      <w:lang w:val="zh-CN" w:bidi="zh-CN"/>
    </w:rPr>
  </w:style>
  <w:style w:type="paragraph" w:customStyle="1" w:styleId="99">
    <w:name w:val="Char11"/>
    <w:basedOn w:val="1"/>
    <w:qFormat/>
    <w:uiPriority w:val="0"/>
    <w:pPr>
      <w:jc w:val="center"/>
    </w:pPr>
    <w:rPr>
      <w:b/>
      <w:kern w:val="44"/>
      <w:sz w:val="44"/>
      <w:szCs w:val="44"/>
    </w:rPr>
  </w:style>
  <w:style w:type="paragraph" w:customStyle="1" w:styleId="100">
    <w:name w:val="默认段落字体 Para Char Char Char Char Char Char Char Char Char1 Char Char Char Char"/>
    <w:basedOn w:val="1"/>
    <w:qFormat/>
    <w:uiPriority w:val="0"/>
    <w:rPr>
      <w:rFonts w:ascii="Tahoma" w:hAnsi="Tahoma"/>
      <w:sz w:val="24"/>
      <w:szCs w:val="20"/>
    </w:rPr>
  </w:style>
  <w:style w:type="paragraph" w:customStyle="1" w:styleId="101">
    <w:name w:val="Char Char Char Char Char Char1"/>
    <w:basedOn w:val="1"/>
    <w:qFormat/>
    <w:uiPriority w:val="0"/>
    <w:pPr>
      <w:widowControl/>
      <w:spacing w:after="160" w:line="240" w:lineRule="exact"/>
      <w:jc w:val="left"/>
    </w:pPr>
    <w:rPr>
      <w:rFonts w:ascii="(使用中文字体)" w:hAnsi="(使用中文字体)"/>
      <w:kern w:val="0"/>
      <w:sz w:val="20"/>
      <w:szCs w:val="20"/>
    </w:rPr>
  </w:style>
  <w:style w:type="paragraph" w:customStyle="1" w:styleId="102">
    <w:name w:val="正文首行缩进 21"/>
    <w:qFormat/>
    <w:uiPriority w:val="0"/>
    <w:pPr>
      <w:widowControl w:val="0"/>
      <w:spacing w:after="120" w:line="360" w:lineRule="auto"/>
      <w:ind w:left="200" w:leftChars="200" w:firstLine="200" w:firstLineChars="200"/>
      <w:jc w:val="both"/>
    </w:pPr>
    <w:rPr>
      <w:rFonts w:ascii="Times New Roman" w:hAnsi="Times New Roman" w:eastAsia="宋体" w:cs="Times New Roman"/>
      <w:kern w:val="2"/>
      <w:sz w:val="24"/>
      <w:szCs w:val="24"/>
      <w:lang w:val="en-US" w:eastAsia="zh-CN" w:bidi="ar-SA"/>
    </w:rPr>
  </w:style>
  <w:style w:type="paragraph" w:customStyle="1" w:styleId="103">
    <w:name w:val="List Paragraph1"/>
    <w:basedOn w:val="1"/>
    <w:qFormat/>
    <w:uiPriority w:val="0"/>
    <w:pPr>
      <w:ind w:firstLine="200" w:firstLineChars="200"/>
    </w:pPr>
    <w:rPr>
      <w:rFonts w:ascii="Calibri" w:hAnsi="Calibri"/>
      <w:sz w:val="21"/>
      <w:szCs w:val="21"/>
    </w:rPr>
  </w:style>
  <w:style w:type="paragraph" w:customStyle="1" w:styleId="104">
    <w:name w:val="New正文"/>
    <w:qFormat/>
    <w:uiPriority w:val="0"/>
    <w:pPr>
      <w:spacing w:line="360" w:lineRule="auto"/>
      <w:ind w:firstLine="200" w:firstLineChars="200"/>
      <w:jc w:val="both"/>
    </w:pPr>
    <w:rPr>
      <w:rFonts w:ascii="宋体" w:hAnsi="Times New Roman" w:eastAsia="宋体" w:cs="Times New Roman"/>
      <w:kern w:val="2"/>
      <w:sz w:val="28"/>
      <w:szCs w:val="24"/>
      <w:lang w:val="en-US" w:eastAsia="zh-CN" w:bidi="ar-SA"/>
    </w:rPr>
  </w:style>
  <w:style w:type="paragraph" w:customStyle="1" w:styleId="105">
    <w:name w:val="标题4"/>
    <w:basedOn w:val="6"/>
    <w:qFormat/>
    <w:uiPriority w:val="0"/>
    <w:pPr>
      <w:spacing w:before="240" w:line="240" w:lineRule="auto"/>
      <w:ind w:left="150" w:leftChars="150"/>
    </w:pPr>
    <w:rPr>
      <w:rFonts w:ascii="宋体" w:eastAsia="宋体"/>
      <w:sz w:val="24"/>
      <w:szCs w:val="24"/>
    </w:rPr>
  </w:style>
  <w:style w:type="paragraph" w:customStyle="1" w:styleId="106">
    <w:name w:val="样式 首行缩进:  0 字符"/>
    <w:basedOn w:val="1"/>
    <w:qFormat/>
    <w:uiPriority w:val="0"/>
    <w:rPr>
      <w:rFonts w:cs="宋体"/>
    </w:rPr>
  </w:style>
  <w:style w:type="paragraph" w:customStyle="1" w:styleId="107">
    <w:name w:val="正文1.25"/>
    <w:basedOn w:val="1"/>
    <w:qFormat/>
    <w:uiPriority w:val="0"/>
    <w:pPr>
      <w:spacing w:line="300" w:lineRule="auto"/>
      <w:ind w:firstLine="480"/>
    </w:pPr>
  </w:style>
  <w:style w:type="paragraph" w:customStyle="1" w:styleId="108">
    <w:name w:val="a14"/>
    <w:qFormat/>
    <w:uiPriority w:val="0"/>
    <w:pPr>
      <w:spacing w:before="100" w:beforeAutospacing="1" w:after="100" w:afterAutospacing="1" w:line="335" w:lineRule="atLeast"/>
      <w:ind w:firstLine="419"/>
    </w:pPr>
    <w:rPr>
      <w:rFonts w:ascii="宋体" w:hAnsi="Times New Roman" w:eastAsia="宋体" w:cs="宋体"/>
      <w:sz w:val="23"/>
      <w:szCs w:val="23"/>
      <w:lang w:val="en-US" w:eastAsia="zh-CN" w:bidi="ar-SA"/>
    </w:rPr>
  </w:style>
  <w:style w:type="paragraph" w:customStyle="1" w:styleId="109">
    <w:name w:val="正文（首行缩进2字符）"/>
    <w:qFormat/>
    <w:uiPriority w:val="0"/>
    <w:pPr>
      <w:widowControl w:val="0"/>
      <w:spacing w:line="360" w:lineRule="auto"/>
      <w:ind w:firstLine="200" w:firstLineChars="200"/>
      <w:jc w:val="both"/>
    </w:pPr>
    <w:rPr>
      <w:rFonts w:ascii="Calibri" w:hAnsi="Calibri" w:eastAsia="宋体" w:cs="Times New Roman"/>
      <w:kern w:val="2"/>
      <w:sz w:val="24"/>
      <w:szCs w:val="21"/>
      <w:lang w:val="en-US" w:eastAsia="zh-CN" w:bidi="ar-SA"/>
    </w:rPr>
  </w:style>
  <w:style w:type="paragraph" w:customStyle="1" w:styleId="110">
    <w:name w:val="reader-word-layer reader-word-s4-3"/>
    <w:basedOn w:val="1"/>
    <w:qFormat/>
    <w:uiPriority w:val="0"/>
    <w:pPr>
      <w:widowControl/>
      <w:spacing w:before="100" w:beforeAutospacing="1" w:after="100" w:afterAutospacing="1"/>
      <w:jc w:val="left"/>
    </w:pPr>
    <w:rPr>
      <w:rFonts w:ascii="宋体" w:cs="宋体"/>
      <w:kern w:val="0"/>
      <w:sz w:val="24"/>
    </w:rPr>
  </w:style>
  <w:style w:type="paragraph" w:customStyle="1" w:styleId="111">
    <w:name w:val="标书-宋体"/>
    <w:basedOn w:val="1"/>
    <w:qFormat/>
    <w:uiPriority w:val="0"/>
    <w:pPr>
      <w:spacing w:line="360" w:lineRule="auto"/>
      <w:ind w:firstLine="200" w:firstLineChars="200"/>
      <w:jc w:val="left"/>
    </w:pPr>
    <w:rPr>
      <w:sz w:val="24"/>
    </w:rPr>
  </w:style>
  <w:style w:type="paragraph" w:customStyle="1" w:styleId="112">
    <w:name w:val="列出段落6"/>
    <w:basedOn w:val="1"/>
    <w:qFormat/>
    <w:uiPriority w:val="0"/>
    <w:pPr>
      <w:ind w:firstLine="200" w:firstLineChars="200"/>
    </w:pPr>
    <w:rPr>
      <w:rFonts w:ascii="Calibri" w:hAnsi="Calibri"/>
    </w:rPr>
  </w:style>
  <w:style w:type="paragraph" w:customStyle="1" w:styleId="113">
    <w:name w:val="章正文"/>
    <w:basedOn w:val="1"/>
    <w:qFormat/>
    <w:uiPriority w:val="0"/>
    <w:pPr>
      <w:spacing w:before="50" w:after="120" w:line="300" w:lineRule="auto"/>
      <w:ind w:firstLine="480"/>
    </w:pPr>
    <w:rPr>
      <w:rFonts w:ascii="Helvetica" w:hAnsi="Helvetica"/>
      <w:kern w:val="0"/>
      <w:sz w:val="24"/>
    </w:rPr>
  </w:style>
  <w:style w:type="paragraph" w:styleId="114">
    <w:name w:val="No Spacing"/>
    <w:qFormat/>
    <w:uiPriority w:val="0"/>
    <w:pPr>
      <w:widowControl w:val="0"/>
      <w:jc w:val="both"/>
    </w:pPr>
    <w:rPr>
      <w:rFonts w:ascii="Calibri" w:hAnsi="Calibri" w:eastAsia="宋体" w:cs="Times New Roman"/>
      <w:kern w:val="2"/>
      <w:sz w:val="21"/>
      <w:szCs w:val="22"/>
      <w:lang w:val="en-US" w:eastAsia="zh-CN" w:bidi="ar-SA"/>
    </w:rPr>
  </w:style>
  <w:style w:type="character" w:customStyle="1" w:styleId="115">
    <w:name w:val="NormalCharacter"/>
    <w:semiHidden/>
    <w:qFormat/>
    <w:uiPriority w:val="0"/>
    <w:rPr>
      <w:kern w:val="2"/>
      <w:sz w:val="21"/>
      <w:szCs w:val="24"/>
      <w:lang w:val="en-US" w:eastAsia="zh-CN" w:bidi="ar-SA"/>
    </w:rPr>
  </w:style>
  <w:style w:type="paragraph" w:customStyle="1" w:styleId="116">
    <w:name w:val="表格文本"/>
    <w:basedOn w:val="1"/>
    <w:qFormat/>
    <w:uiPriority w:val="0"/>
    <w:pPr>
      <w:spacing w:line="240" w:lineRule="auto"/>
      <w:ind w:firstLine="0" w:firstLineChars="0"/>
      <w:jc w:val="center"/>
    </w:pPr>
    <w:rPr>
      <w:rFonts w:ascii="Times New Roman" w:hAnsi="Times New Roman" w:eastAsia="宋体"/>
      <w:sz w:val="24"/>
    </w:rPr>
  </w:style>
  <w:style w:type="character" w:customStyle="1" w:styleId="117">
    <w:name w:val="font31"/>
    <w:basedOn w:val="4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8"/>
    <customShpInfo spid="_x0000_s1026"/>
    <customShpInfo spid="_x0000_s4104"/>
    <customShpInfo spid="_x0000_s410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78</Pages>
  <Words>7898</Words>
  <Characters>45019</Characters>
  <Lines>375</Lines>
  <Paragraphs>105</Paragraphs>
  <TotalTime>45</TotalTime>
  <ScaleCrop>false</ScaleCrop>
  <LinksUpToDate>false</LinksUpToDate>
  <CharactersWithSpaces>52812</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2023-08-13T23:49:00Z</dcterms:created>
  <dc:creator>999宝藏网</dc:creator>
  <cp:lastModifiedBy>somnus</cp:lastModifiedBy>
  <cp:lastPrinted>2024-11-04T03:13:00Z</cp:lastPrinted>
  <dcterms:modified xsi:type="dcterms:W3CDTF">2024-11-04T09:08:22Z</dcterms:modified>
  <dc:title>兰溪市公共资源交易中心关于兰溪市中医院卫生保洁服务采购项目</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253D0EFDA1FA49B5B982F7C0FB7E5690_13</vt:lpwstr>
  </property>
</Properties>
</file>