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5DFC58">
      <w:pPr>
        <w:jc w:val="center"/>
        <w:rPr>
          <w:rFonts w:hint="eastAsia" w:ascii="宋体"/>
          <w:b/>
          <w:color w:val="auto"/>
          <w:sz w:val="44"/>
          <w:szCs w:val="44"/>
          <w:highlight w:val="none"/>
        </w:rPr>
      </w:pPr>
      <w:bookmarkStart w:id="0" w:name="_Toc27710"/>
      <w:r>
        <w:rPr>
          <w:rFonts w:hint="eastAsia" w:ascii="宋体"/>
          <w:b/>
          <w:color w:val="auto"/>
          <w:sz w:val="44"/>
          <w:szCs w:val="44"/>
          <w:highlight w:val="none"/>
        </w:rPr>
        <w:t>政府采购招标文件确认表</w:t>
      </w:r>
      <w:bookmarkEnd w:id="0"/>
    </w:p>
    <w:p w14:paraId="71D5771D">
      <w:pPr>
        <w:pStyle w:val="35"/>
        <w:rPr>
          <w:rFonts w:hint="eastAsia"/>
          <w:b/>
          <w:color w:val="auto"/>
          <w:sz w:val="44"/>
          <w:szCs w:val="44"/>
          <w:highlight w:val="none"/>
        </w:rPr>
      </w:pPr>
    </w:p>
    <w:tbl>
      <w:tblPr>
        <w:tblStyle w:val="54"/>
        <w:tblW w:w="101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1"/>
        <w:gridCol w:w="2455"/>
        <w:gridCol w:w="5515"/>
      </w:tblGrid>
      <w:tr w14:paraId="26D0F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7"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14:paraId="114FDD82">
            <w:pPr>
              <w:spacing w:line="400" w:lineRule="exact"/>
              <w:rPr>
                <w:rFonts w:hint="eastAsia" w:ascii="宋体" w:hAnsi="宋体" w:cs="宋体"/>
                <w:b/>
                <w:color w:val="auto"/>
                <w:sz w:val="30"/>
                <w:szCs w:val="30"/>
                <w:highlight w:val="none"/>
              </w:rPr>
            </w:pPr>
            <w:r>
              <w:rPr>
                <w:rFonts w:hint="eastAsia" w:ascii="宋体" w:hAnsi="宋体" w:cs="宋体"/>
                <w:b/>
                <w:color w:val="auto"/>
                <w:sz w:val="30"/>
                <w:szCs w:val="30"/>
                <w:highlight w:val="none"/>
              </w:rPr>
              <w:t>采购单位</w:t>
            </w:r>
          </w:p>
        </w:tc>
        <w:tc>
          <w:tcPr>
            <w:tcW w:w="7970" w:type="dxa"/>
            <w:gridSpan w:val="2"/>
            <w:tcBorders>
              <w:top w:val="single" w:color="auto" w:sz="4" w:space="0"/>
              <w:left w:val="single" w:color="auto" w:sz="4" w:space="0"/>
              <w:bottom w:val="single" w:color="auto" w:sz="4" w:space="0"/>
              <w:right w:val="single" w:color="auto" w:sz="4" w:space="0"/>
            </w:tcBorders>
            <w:vAlign w:val="center"/>
          </w:tcPr>
          <w:p w14:paraId="65AF06FF">
            <w:pPr>
              <w:spacing w:line="400" w:lineRule="exact"/>
              <w:rPr>
                <w:rFonts w:hint="eastAsia" w:ascii="宋体" w:hAnsi="宋体" w:eastAsia="宋体" w:cs="宋体"/>
                <w:bCs/>
                <w:color w:val="auto"/>
                <w:sz w:val="30"/>
                <w:szCs w:val="30"/>
                <w:highlight w:val="none"/>
                <w:lang w:val="en-US" w:eastAsia="zh-CN"/>
              </w:rPr>
            </w:pPr>
            <w:r>
              <w:rPr>
                <w:rFonts w:hint="eastAsia" w:ascii="宋体" w:hAnsi="宋体" w:cs="宋体"/>
                <w:bCs/>
                <w:color w:val="auto"/>
                <w:sz w:val="30"/>
                <w:szCs w:val="30"/>
                <w:highlight w:val="none"/>
                <w:lang w:eastAsia="zh-CN"/>
              </w:rPr>
              <w:t>磐安县中医院</w:t>
            </w:r>
          </w:p>
        </w:tc>
      </w:tr>
      <w:tr w14:paraId="130BB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14:paraId="7EA81B60">
            <w:pPr>
              <w:spacing w:line="400" w:lineRule="exact"/>
              <w:ind w:right="144"/>
              <w:rPr>
                <w:rFonts w:hint="eastAsia" w:ascii="宋体" w:hAnsi="宋体" w:cs="宋体"/>
                <w:b/>
                <w:color w:val="auto"/>
                <w:sz w:val="30"/>
                <w:szCs w:val="30"/>
                <w:highlight w:val="none"/>
              </w:rPr>
            </w:pPr>
            <w:r>
              <w:rPr>
                <w:rFonts w:hint="eastAsia" w:ascii="宋体" w:hAnsi="宋体" w:cs="宋体"/>
                <w:b/>
                <w:color w:val="auto"/>
                <w:sz w:val="30"/>
                <w:szCs w:val="30"/>
                <w:highlight w:val="none"/>
              </w:rPr>
              <w:t>招标单位</w:t>
            </w:r>
          </w:p>
        </w:tc>
        <w:tc>
          <w:tcPr>
            <w:tcW w:w="7970" w:type="dxa"/>
            <w:gridSpan w:val="2"/>
            <w:tcBorders>
              <w:top w:val="single" w:color="auto" w:sz="4" w:space="0"/>
              <w:left w:val="single" w:color="auto" w:sz="4" w:space="0"/>
              <w:bottom w:val="single" w:color="auto" w:sz="4" w:space="0"/>
              <w:right w:val="single" w:color="auto" w:sz="4" w:space="0"/>
            </w:tcBorders>
            <w:vAlign w:val="center"/>
          </w:tcPr>
          <w:p w14:paraId="2969C68B">
            <w:pPr>
              <w:spacing w:line="400" w:lineRule="exact"/>
              <w:rPr>
                <w:rFonts w:hint="eastAsia" w:ascii="宋体" w:hAnsi="宋体" w:cs="宋体"/>
                <w:bCs/>
                <w:color w:val="auto"/>
                <w:sz w:val="30"/>
                <w:szCs w:val="30"/>
                <w:highlight w:val="none"/>
              </w:rPr>
            </w:pPr>
            <w:r>
              <w:rPr>
                <w:rFonts w:hint="eastAsia" w:ascii="宋体" w:hAnsi="宋体" w:cs="宋体"/>
                <w:bCs/>
                <w:color w:val="auto"/>
                <w:sz w:val="30"/>
                <w:szCs w:val="30"/>
                <w:highlight w:val="none"/>
              </w:rPr>
              <w:t>浙江展图工程咨询有限公司</w:t>
            </w:r>
          </w:p>
        </w:tc>
      </w:tr>
      <w:tr w14:paraId="28E26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4"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14:paraId="1E14BB8E">
            <w:pPr>
              <w:spacing w:line="400" w:lineRule="exact"/>
              <w:ind w:right="144"/>
              <w:rPr>
                <w:rFonts w:hint="eastAsia" w:ascii="宋体" w:hAnsi="宋体" w:cs="宋体"/>
                <w:b/>
                <w:color w:val="auto"/>
                <w:sz w:val="30"/>
                <w:szCs w:val="30"/>
                <w:highlight w:val="none"/>
              </w:rPr>
            </w:pPr>
            <w:r>
              <w:rPr>
                <w:rFonts w:hint="eastAsia" w:ascii="宋体" w:hAnsi="宋体" w:cs="宋体"/>
                <w:b/>
                <w:color w:val="auto"/>
                <w:sz w:val="30"/>
                <w:szCs w:val="30"/>
                <w:highlight w:val="none"/>
              </w:rPr>
              <w:t>招标项目名称</w:t>
            </w:r>
          </w:p>
        </w:tc>
        <w:tc>
          <w:tcPr>
            <w:tcW w:w="7970" w:type="dxa"/>
            <w:gridSpan w:val="2"/>
            <w:tcBorders>
              <w:top w:val="single" w:color="auto" w:sz="4" w:space="0"/>
              <w:left w:val="single" w:color="auto" w:sz="4" w:space="0"/>
              <w:bottom w:val="single" w:color="auto" w:sz="4" w:space="0"/>
              <w:right w:val="single" w:color="auto" w:sz="4" w:space="0"/>
            </w:tcBorders>
            <w:vAlign w:val="center"/>
          </w:tcPr>
          <w:p w14:paraId="146DD353">
            <w:pPr>
              <w:spacing w:line="400" w:lineRule="exact"/>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lang w:eastAsia="zh-CN"/>
              </w:rPr>
              <w:t>磐安县中医院互联网医院中医药综合信息平台项目</w:t>
            </w:r>
          </w:p>
        </w:tc>
      </w:tr>
      <w:tr w14:paraId="6F1B1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8"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14:paraId="07FE58AD">
            <w:pPr>
              <w:spacing w:line="400" w:lineRule="exact"/>
              <w:ind w:right="144"/>
              <w:rPr>
                <w:rFonts w:hint="eastAsia" w:ascii="宋体" w:hAnsi="宋体" w:cs="宋体"/>
                <w:b/>
                <w:color w:val="auto"/>
                <w:sz w:val="30"/>
                <w:szCs w:val="30"/>
                <w:highlight w:val="none"/>
              </w:rPr>
            </w:pPr>
            <w:r>
              <w:rPr>
                <w:rFonts w:hint="eastAsia" w:ascii="宋体" w:hAnsi="宋体" w:cs="宋体"/>
                <w:b/>
                <w:color w:val="auto"/>
                <w:sz w:val="30"/>
                <w:szCs w:val="30"/>
                <w:highlight w:val="none"/>
              </w:rPr>
              <w:t>财政审批号</w:t>
            </w:r>
          </w:p>
        </w:tc>
        <w:tc>
          <w:tcPr>
            <w:tcW w:w="7970" w:type="dxa"/>
            <w:gridSpan w:val="2"/>
            <w:tcBorders>
              <w:top w:val="single" w:color="auto" w:sz="4" w:space="0"/>
              <w:left w:val="single" w:color="auto" w:sz="4" w:space="0"/>
              <w:bottom w:val="single" w:color="auto" w:sz="4" w:space="0"/>
              <w:right w:val="single" w:color="auto" w:sz="4" w:space="0"/>
            </w:tcBorders>
            <w:vAlign w:val="center"/>
          </w:tcPr>
          <w:p w14:paraId="64D7FA86">
            <w:pPr>
              <w:spacing w:line="400" w:lineRule="exact"/>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磐财采确临[</w:t>
            </w:r>
            <w:r>
              <w:rPr>
                <w:rFonts w:hint="eastAsia" w:ascii="宋体" w:hAnsi="宋体" w:eastAsia="宋体" w:cs="宋体"/>
                <w:color w:val="auto"/>
                <w:sz w:val="30"/>
                <w:szCs w:val="30"/>
                <w:highlight w:val="none"/>
                <w:lang w:eastAsia="zh-CN"/>
              </w:rPr>
              <w:t>2024</w:t>
            </w:r>
            <w:r>
              <w:rPr>
                <w:rFonts w:hint="eastAsia" w:ascii="宋体" w:hAnsi="宋体" w:eastAsia="宋体" w:cs="宋体"/>
                <w:color w:val="auto"/>
                <w:sz w:val="30"/>
                <w:szCs w:val="30"/>
                <w:highlight w:val="none"/>
              </w:rPr>
              <w:t>]</w:t>
            </w:r>
            <w:r>
              <w:rPr>
                <w:rFonts w:hint="eastAsia" w:ascii="宋体" w:hAnsi="宋体" w:cs="宋体"/>
                <w:color w:val="auto"/>
                <w:sz w:val="30"/>
                <w:szCs w:val="30"/>
                <w:highlight w:val="none"/>
                <w:lang w:val="en-US" w:eastAsia="zh-CN"/>
              </w:rPr>
              <w:t>360</w:t>
            </w:r>
            <w:r>
              <w:rPr>
                <w:rFonts w:hint="eastAsia" w:ascii="宋体" w:hAnsi="宋体" w:eastAsia="宋体" w:cs="宋体"/>
                <w:color w:val="auto"/>
                <w:sz w:val="30"/>
                <w:szCs w:val="30"/>
                <w:highlight w:val="none"/>
              </w:rPr>
              <w:t>号</w:t>
            </w:r>
          </w:p>
        </w:tc>
      </w:tr>
      <w:tr w14:paraId="3BB90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8"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14:paraId="48AB4924">
            <w:pPr>
              <w:spacing w:line="400" w:lineRule="exact"/>
              <w:ind w:right="144"/>
              <w:rPr>
                <w:rFonts w:hint="eastAsia" w:ascii="宋体" w:hAnsi="宋体" w:cs="宋体"/>
                <w:b/>
                <w:color w:val="auto"/>
                <w:sz w:val="30"/>
                <w:szCs w:val="30"/>
                <w:highlight w:val="none"/>
              </w:rPr>
            </w:pPr>
            <w:r>
              <w:rPr>
                <w:rFonts w:hint="eastAsia" w:ascii="宋体" w:hAnsi="宋体" w:cs="宋体"/>
                <w:b/>
                <w:color w:val="auto"/>
                <w:sz w:val="30"/>
                <w:szCs w:val="30"/>
                <w:highlight w:val="none"/>
              </w:rPr>
              <w:t>招标项目编号</w:t>
            </w:r>
          </w:p>
        </w:tc>
        <w:tc>
          <w:tcPr>
            <w:tcW w:w="7970" w:type="dxa"/>
            <w:gridSpan w:val="2"/>
            <w:tcBorders>
              <w:top w:val="single" w:color="auto" w:sz="4" w:space="0"/>
              <w:left w:val="single" w:color="auto" w:sz="4" w:space="0"/>
              <w:bottom w:val="single" w:color="auto" w:sz="4" w:space="0"/>
              <w:right w:val="single" w:color="auto" w:sz="4" w:space="0"/>
            </w:tcBorders>
            <w:vAlign w:val="center"/>
          </w:tcPr>
          <w:p w14:paraId="5BB9CA52">
            <w:pPr>
              <w:spacing w:line="400" w:lineRule="exact"/>
              <w:rPr>
                <w:rFonts w:hint="default" w:ascii="宋体" w:hAnsi="宋体" w:eastAsia="宋体" w:cs="宋体"/>
                <w:bCs/>
                <w:color w:val="auto"/>
                <w:sz w:val="30"/>
                <w:szCs w:val="30"/>
                <w:highlight w:val="none"/>
                <w:lang w:val="en-US" w:eastAsia="zh-CN"/>
              </w:rPr>
            </w:pPr>
            <w:r>
              <w:rPr>
                <w:rFonts w:hint="eastAsia" w:ascii="宋体" w:hAnsi="宋体" w:eastAsia="宋体" w:cs="宋体"/>
                <w:color w:val="auto"/>
                <w:sz w:val="30"/>
                <w:szCs w:val="30"/>
                <w:highlight w:val="none"/>
                <w:lang w:eastAsia="zh-CN"/>
              </w:rPr>
              <w:t>ZTPA-2024-GK0</w:t>
            </w:r>
            <w:r>
              <w:rPr>
                <w:rFonts w:hint="eastAsia" w:ascii="宋体" w:hAnsi="宋体" w:cs="宋体"/>
                <w:color w:val="auto"/>
                <w:sz w:val="30"/>
                <w:szCs w:val="30"/>
                <w:highlight w:val="none"/>
                <w:lang w:val="en-US" w:eastAsia="zh-CN"/>
              </w:rPr>
              <w:t>15</w:t>
            </w:r>
          </w:p>
        </w:tc>
      </w:tr>
      <w:tr w14:paraId="22790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5" w:hRule="atLeast"/>
          <w:jc w:val="center"/>
        </w:trPr>
        <w:tc>
          <w:tcPr>
            <w:tcW w:w="4636" w:type="dxa"/>
            <w:gridSpan w:val="2"/>
            <w:tcBorders>
              <w:top w:val="single" w:color="auto" w:sz="4" w:space="0"/>
              <w:left w:val="single" w:color="auto" w:sz="4" w:space="0"/>
              <w:bottom w:val="single" w:color="auto" w:sz="4" w:space="0"/>
              <w:right w:val="single" w:color="auto" w:sz="4" w:space="0"/>
            </w:tcBorders>
          </w:tcPr>
          <w:p w14:paraId="7792C220">
            <w:pPr>
              <w:spacing w:line="360" w:lineRule="auto"/>
              <w:jc w:val="left"/>
              <w:rPr>
                <w:rFonts w:hint="eastAsia" w:ascii="宋体" w:hAnsi="宋体" w:eastAsia="宋体" w:cs="宋体"/>
                <w:color w:val="auto"/>
                <w:sz w:val="30"/>
                <w:highlight w:val="none"/>
              </w:rPr>
            </w:pPr>
          </w:p>
          <w:p w14:paraId="2070AAC8">
            <w:pPr>
              <w:spacing w:line="360" w:lineRule="auto"/>
              <w:jc w:val="left"/>
              <w:rPr>
                <w:rFonts w:hint="eastAsia" w:ascii="宋体" w:hAnsi="宋体" w:eastAsia="宋体" w:cs="宋体"/>
                <w:color w:val="auto"/>
                <w:sz w:val="30"/>
                <w:highlight w:val="none"/>
              </w:rPr>
            </w:pPr>
            <w:r>
              <w:rPr>
                <w:rFonts w:hint="eastAsia" w:ascii="宋体" w:hAnsi="宋体" w:eastAsia="宋体" w:cs="宋体"/>
                <w:color w:val="auto"/>
                <w:sz w:val="30"/>
                <w:highlight w:val="none"/>
              </w:rPr>
              <w:t>经办人：（签名）</w:t>
            </w:r>
          </w:p>
          <w:p w14:paraId="3A3DEC63">
            <w:pPr>
              <w:spacing w:line="360" w:lineRule="auto"/>
              <w:jc w:val="left"/>
              <w:rPr>
                <w:rFonts w:hint="eastAsia" w:ascii="宋体" w:hAnsi="宋体" w:eastAsia="宋体" w:cs="宋体"/>
                <w:color w:val="auto"/>
                <w:sz w:val="30"/>
                <w:highlight w:val="none"/>
              </w:rPr>
            </w:pPr>
          </w:p>
          <w:p w14:paraId="723A2661">
            <w:pPr>
              <w:spacing w:line="360" w:lineRule="auto"/>
              <w:jc w:val="left"/>
              <w:rPr>
                <w:rFonts w:hint="eastAsia" w:ascii="宋体" w:hAnsi="宋体" w:eastAsia="宋体" w:cs="宋体"/>
                <w:color w:val="auto"/>
                <w:sz w:val="30"/>
                <w:highlight w:val="none"/>
              </w:rPr>
            </w:pPr>
            <w:r>
              <w:rPr>
                <w:rFonts w:hint="eastAsia" w:ascii="宋体" w:hAnsi="宋体" w:eastAsia="宋体" w:cs="宋体"/>
                <w:color w:val="auto"/>
                <w:sz w:val="30"/>
                <w:highlight w:val="none"/>
              </w:rPr>
              <w:t>单位负责人：（签名）</w:t>
            </w:r>
          </w:p>
          <w:p w14:paraId="68134820">
            <w:pPr>
              <w:pStyle w:val="2"/>
              <w:jc w:val="left"/>
              <w:rPr>
                <w:rFonts w:hint="eastAsia"/>
                <w:color w:val="auto"/>
                <w:highlight w:val="none"/>
              </w:rPr>
            </w:pPr>
          </w:p>
          <w:p w14:paraId="1E1A7AE2">
            <w:pPr>
              <w:spacing w:line="360" w:lineRule="auto"/>
              <w:jc w:val="left"/>
              <w:rPr>
                <w:rFonts w:hint="eastAsia" w:ascii="宋体" w:hAnsi="宋体" w:eastAsia="宋体" w:cs="宋体"/>
                <w:color w:val="auto"/>
                <w:sz w:val="30"/>
                <w:highlight w:val="none"/>
              </w:rPr>
            </w:pPr>
            <w:r>
              <w:rPr>
                <w:rFonts w:hint="eastAsia" w:ascii="宋体" w:hAnsi="宋体" w:eastAsia="宋体" w:cs="宋体"/>
                <w:color w:val="auto"/>
                <w:sz w:val="30"/>
                <w:highlight w:val="none"/>
              </w:rPr>
              <w:t>采购单位：（盖章）</w:t>
            </w:r>
          </w:p>
          <w:p w14:paraId="37BAD0A7">
            <w:pPr>
              <w:spacing w:line="360" w:lineRule="auto"/>
              <w:jc w:val="left"/>
              <w:rPr>
                <w:rFonts w:hint="eastAsia" w:ascii="宋体" w:hAnsi="宋体" w:eastAsia="宋体" w:cs="宋体"/>
                <w:color w:val="auto"/>
                <w:sz w:val="30"/>
                <w:highlight w:val="none"/>
              </w:rPr>
            </w:pPr>
          </w:p>
          <w:p w14:paraId="5468FE73">
            <w:pPr>
              <w:spacing w:line="360" w:lineRule="auto"/>
              <w:jc w:val="center"/>
              <w:rPr>
                <w:rFonts w:hint="eastAsia" w:ascii="宋体" w:hAnsi="宋体" w:cs="宋体"/>
                <w:color w:val="auto"/>
                <w:sz w:val="32"/>
                <w:szCs w:val="32"/>
                <w:highlight w:val="none"/>
              </w:rPr>
            </w:pPr>
            <w:r>
              <w:rPr>
                <w:rFonts w:hint="eastAsia" w:ascii="宋体" w:hAnsi="宋体" w:eastAsia="宋体" w:cs="宋体"/>
                <w:color w:val="auto"/>
                <w:sz w:val="30"/>
                <w:highlight w:val="none"/>
                <w:lang w:eastAsia="zh-CN"/>
              </w:rPr>
              <w:t>2024</w:t>
            </w:r>
            <w:r>
              <w:rPr>
                <w:rFonts w:hint="eastAsia" w:ascii="宋体" w:hAnsi="宋体" w:eastAsia="宋体" w:cs="宋体"/>
                <w:color w:val="auto"/>
                <w:sz w:val="30"/>
                <w:highlight w:val="none"/>
              </w:rPr>
              <w:t>年</w:t>
            </w:r>
            <w:r>
              <w:rPr>
                <w:rFonts w:hint="eastAsia" w:ascii="仿宋_GB2312" w:eastAsia="仿宋_GB2312"/>
                <w:color w:val="auto"/>
                <w:sz w:val="30"/>
                <w:highlight w:val="none"/>
                <w:lang w:val="en-US" w:eastAsia="zh-CN"/>
              </w:rPr>
              <w:t>8</w:t>
            </w:r>
            <w:r>
              <w:rPr>
                <w:rFonts w:hint="eastAsia" w:ascii="仿宋_GB2312" w:eastAsia="仿宋_GB2312"/>
                <w:color w:val="auto"/>
                <w:sz w:val="30"/>
                <w:highlight w:val="none"/>
              </w:rPr>
              <w:t>月</w:t>
            </w:r>
            <w:r>
              <w:rPr>
                <w:rFonts w:hint="eastAsia" w:ascii="仿宋_GB2312" w:eastAsia="仿宋_GB2312"/>
                <w:color w:val="auto"/>
                <w:sz w:val="30"/>
                <w:highlight w:val="none"/>
                <w:lang w:val="en-US" w:eastAsia="zh-CN"/>
              </w:rPr>
              <w:t>21</w:t>
            </w:r>
            <w:r>
              <w:rPr>
                <w:rFonts w:hint="eastAsia" w:ascii="仿宋_GB2312" w:eastAsia="仿宋_GB2312"/>
                <w:color w:val="auto"/>
                <w:sz w:val="30"/>
                <w:highlight w:val="none"/>
              </w:rPr>
              <w:t>日</w:t>
            </w:r>
          </w:p>
        </w:tc>
        <w:tc>
          <w:tcPr>
            <w:tcW w:w="5515" w:type="dxa"/>
            <w:tcBorders>
              <w:top w:val="single" w:color="auto" w:sz="4" w:space="0"/>
              <w:left w:val="single" w:color="auto" w:sz="4" w:space="0"/>
              <w:bottom w:val="single" w:color="auto" w:sz="4" w:space="0"/>
              <w:right w:val="single" w:color="auto" w:sz="4" w:space="0"/>
            </w:tcBorders>
            <w:vAlign w:val="bottom"/>
          </w:tcPr>
          <w:p w14:paraId="693E838A">
            <w:pPr>
              <w:spacing w:line="360" w:lineRule="auto"/>
              <w:jc w:val="left"/>
              <w:rPr>
                <w:rFonts w:hint="eastAsia" w:ascii="宋体" w:hAnsi="宋体" w:cs="宋体"/>
                <w:color w:val="auto"/>
                <w:sz w:val="30"/>
                <w:highlight w:val="none"/>
              </w:rPr>
            </w:pPr>
          </w:p>
          <w:p w14:paraId="518F0776">
            <w:pPr>
              <w:spacing w:line="360" w:lineRule="auto"/>
              <w:jc w:val="left"/>
              <w:rPr>
                <w:rFonts w:hint="eastAsia" w:ascii="宋体" w:hAnsi="宋体" w:cs="宋体"/>
                <w:color w:val="auto"/>
                <w:sz w:val="30"/>
                <w:highlight w:val="none"/>
              </w:rPr>
            </w:pPr>
          </w:p>
          <w:p w14:paraId="6690D0B0">
            <w:pPr>
              <w:spacing w:line="360" w:lineRule="auto"/>
              <w:jc w:val="left"/>
              <w:rPr>
                <w:rFonts w:hint="eastAsia" w:ascii="宋体" w:hAnsi="宋体" w:cs="宋体"/>
                <w:color w:val="auto"/>
                <w:sz w:val="30"/>
                <w:highlight w:val="none"/>
              </w:rPr>
            </w:pPr>
            <w:r>
              <w:rPr>
                <w:rFonts w:hint="eastAsia" w:ascii="宋体" w:hAnsi="宋体" w:cs="宋体"/>
                <w:bCs/>
                <w:color w:val="auto"/>
                <w:sz w:val="30"/>
                <w:szCs w:val="30"/>
                <w:highlight w:val="none"/>
                <w:lang w:eastAsia="zh-CN"/>
              </w:rPr>
              <w:t>浙江展图工程咨询有限公司</w:t>
            </w:r>
            <w:r>
              <w:rPr>
                <w:rFonts w:hint="eastAsia" w:ascii="宋体" w:hAnsi="宋体" w:cs="宋体"/>
                <w:color w:val="auto"/>
                <w:sz w:val="30"/>
                <w:szCs w:val="30"/>
                <w:highlight w:val="none"/>
              </w:rPr>
              <w:t>：</w:t>
            </w:r>
            <w:r>
              <w:rPr>
                <w:rFonts w:hint="eastAsia" w:ascii="宋体" w:hAnsi="宋体" w:cs="宋体"/>
                <w:color w:val="auto"/>
                <w:sz w:val="30"/>
                <w:highlight w:val="none"/>
              </w:rPr>
              <w:t>（盖章）</w:t>
            </w:r>
          </w:p>
          <w:p w14:paraId="4A6F735B">
            <w:pPr>
              <w:pStyle w:val="21"/>
              <w:jc w:val="left"/>
              <w:rPr>
                <w:rFonts w:hint="eastAsia" w:cs="宋体"/>
                <w:color w:val="auto"/>
                <w:kern w:val="2"/>
                <w:sz w:val="30"/>
                <w:highlight w:val="none"/>
              </w:rPr>
            </w:pPr>
          </w:p>
          <w:p w14:paraId="003C5F50">
            <w:pPr>
              <w:ind w:firstLine="480"/>
              <w:rPr>
                <w:rFonts w:hint="eastAsia"/>
                <w:color w:val="auto"/>
                <w:highlight w:val="none"/>
              </w:rPr>
            </w:pPr>
          </w:p>
          <w:p w14:paraId="6FAFB81F">
            <w:pPr>
              <w:spacing w:line="360" w:lineRule="auto"/>
              <w:jc w:val="left"/>
              <w:rPr>
                <w:rFonts w:hint="eastAsia" w:ascii="宋体" w:hAnsi="宋体" w:cs="宋体"/>
                <w:color w:val="auto"/>
                <w:sz w:val="30"/>
                <w:highlight w:val="none"/>
              </w:rPr>
            </w:pPr>
          </w:p>
          <w:p w14:paraId="2D823184">
            <w:pPr>
              <w:spacing w:line="360" w:lineRule="auto"/>
              <w:jc w:val="left"/>
              <w:rPr>
                <w:rFonts w:hint="eastAsia" w:ascii="宋体" w:hAnsi="宋体" w:cs="宋体"/>
                <w:color w:val="auto"/>
                <w:sz w:val="30"/>
                <w:highlight w:val="none"/>
              </w:rPr>
            </w:pPr>
          </w:p>
          <w:p w14:paraId="33685B9C">
            <w:pPr>
              <w:spacing w:line="360" w:lineRule="auto"/>
              <w:jc w:val="left"/>
              <w:rPr>
                <w:rFonts w:hint="eastAsia" w:ascii="宋体" w:hAnsi="宋体" w:cs="宋体"/>
                <w:color w:val="auto"/>
                <w:sz w:val="30"/>
                <w:highlight w:val="none"/>
              </w:rPr>
            </w:pPr>
          </w:p>
          <w:p w14:paraId="1A9C334A">
            <w:pPr>
              <w:spacing w:line="360" w:lineRule="auto"/>
              <w:jc w:val="center"/>
              <w:rPr>
                <w:rFonts w:hint="eastAsia" w:ascii="宋体" w:hAnsi="宋体" w:cs="宋体"/>
                <w:color w:val="auto"/>
                <w:sz w:val="32"/>
                <w:szCs w:val="32"/>
                <w:highlight w:val="none"/>
              </w:rPr>
            </w:pPr>
            <w:r>
              <w:rPr>
                <w:rFonts w:hint="eastAsia" w:ascii="宋体" w:hAnsi="宋体" w:cs="宋体"/>
                <w:color w:val="auto"/>
                <w:sz w:val="30"/>
                <w:highlight w:val="none"/>
                <w:lang w:val="en-US" w:eastAsia="zh-CN"/>
              </w:rPr>
              <w:t>2</w:t>
            </w:r>
            <w:r>
              <w:rPr>
                <w:rFonts w:hint="eastAsia" w:ascii="宋体" w:hAnsi="宋体" w:cs="宋体"/>
                <w:color w:val="auto"/>
                <w:sz w:val="30"/>
                <w:highlight w:val="none"/>
                <w:lang w:eastAsia="zh-CN"/>
              </w:rPr>
              <w:t>024</w:t>
            </w:r>
            <w:r>
              <w:rPr>
                <w:rFonts w:hint="eastAsia" w:ascii="宋体" w:hAnsi="宋体" w:cs="宋体"/>
                <w:color w:val="auto"/>
                <w:sz w:val="30"/>
                <w:highlight w:val="none"/>
              </w:rPr>
              <w:t>年</w:t>
            </w:r>
            <w:r>
              <w:rPr>
                <w:rFonts w:hint="eastAsia" w:ascii="仿宋_GB2312" w:eastAsia="仿宋_GB2312"/>
                <w:color w:val="auto"/>
                <w:sz w:val="30"/>
                <w:highlight w:val="none"/>
                <w:lang w:val="en-US" w:eastAsia="zh-CN"/>
              </w:rPr>
              <w:t>8</w:t>
            </w:r>
            <w:r>
              <w:rPr>
                <w:rFonts w:hint="eastAsia" w:ascii="仿宋_GB2312" w:eastAsia="仿宋_GB2312"/>
                <w:color w:val="auto"/>
                <w:sz w:val="30"/>
                <w:highlight w:val="none"/>
              </w:rPr>
              <w:t>月</w:t>
            </w:r>
            <w:r>
              <w:rPr>
                <w:rFonts w:hint="eastAsia" w:ascii="仿宋_GB2312" w:eastAsia="仿宋_GB2312"/>
                <w:color w:val="auto"/>
                <w:sz w:val="30"/>
                <w:highlight w:val="none"/>
                <w:lang w:val="en-US" w:eastAsia="zh-CN"/>
              </w:rPr>
              <w:t>21</w:t>
            </w:r>
            <w:r>
              <w:rPr>
                <w:rFonts w:hint="eastAsia" w:ascii="仿宋_GB2312" w:eastAsia="仿宋_GB2312"/>
                <w:color w:val="auto"/>
                <w:sz w:val="30"/>
                <w:highlight w:val="none"/>
              </w:rPr>
              <w:t>日</w:t>
            </w:r>
          </w:p>
        </w:tc>
      </w:tr>
    </w:tbl>
    <w:p w14:paraId="0F8A4C5C">
      <w:pPr>
        <w:spacing w:before="0" w:beforeLines="-2147483648" w:line="240" w:lineRule="auto"/>
        <w:jc w:val="left"/>
        <w:rPr>
          <w:rFonts w:hint="eastAsia" w:ascii="宋体" w:hAnsi="宋体" w:cs="宋体"/>
          <w:b/>
          <w:bCs w:val="0"/>
          <w:color w:val="auto"/>
          <w:sz w:val="52"/>
          <w:szCs w:val="52"/>
          <w:highlight w:val="none"/>
          <w:lang w:eastAsia="zh-CN"/>
        </w:rPr>
      </w:pPr>
      <w:r>
        <w:rPr>
          <w:rFonts w:hint="eastAsia" w:ascii="宋体" w:hAnsi="宋体" w:cs="宋体"/>
          <w:b/>
          <w:bCs w:val="0"/>
          <w:color w:val="auto"/>
          <w:sz w:val="52"/>
          <w:szCs w:val="52"/>
          <w:highlight w:val="none"/>
          <w:lang w:eastAsia="zh-CN"/>
        </w:rPr>
        <w:br w:type="page"/>
      </w:r>
    </w:p>
    <w:p w14:paraId="1C0C3D8F">
      <w:pPr>
        <w:spacing w:before="120" w:beforeLines="50" w:line="480" w:lineRule="auto"/>
        <w:jc w:val="center"/>
        <w:rPr>
          <w:rFonts w:hint="eastAsia" w:ascii="宋体" w:hAnsi="宋体" w:cs="宋体"/>
          <w:b/>
          <w:bCs w:val="0"/>
          <w:color w:val="auto"/>
          <w:sz w:val="52"/>
          <w:szCs w:val="52"/>
          <w:highlight w:val="none"/>
          <w:lang w:eastAsia="zh-CN"/>
        </w:rPr>
      </w:pPr>
    </w:p>
    <w:p w14:paraId="47053DBB">
      <w:pPr>
        <w:spacing w:before="120" w:beforeLines="50" w:line="480" w:lineRule="auto"/>
        <w:jc w:val="center"/>
        <w:rPr>
          <w:rFonts w:hint="eastAsia" w:ascii="宋体" w:hAnsi="宋体" w:cs="宋体"/>
          <w:b/>
          <w:bCs w:val="0"/>
          <w:color w:val="auto"/>
          <w:sz w:val="48"/>
          <w:szCs w:val="48"/>
          <w:highlight w:val="none"/>
          <w:lang w:eastAsia="zh-CN"/>
        </w:rPr>
      </w:pPr>
      <w:r>
        <w:rPr>
          <w:rFonts w:hint="eastAsia" w:ascii="宋体" w:hAnsi="宋体" w:cs="宋体"/>
          <w:b/>
          <w:bCs w:val="0"/>
          <w:color w:val="auto"/>
          <w:sz w:val="52"/>
          <w:szCs w:val="52"/>
          <w:highlight w:val="none"/>
          <w:lang w:eastAsia="zh-CN"/>
        </w:rPr>
        <w:t>磐安县中医院互联网医院中医药综合信息平台项目</w:t>
      </w:r>
    </w:p>
    <w:p w14:paraId="66E2832D">
      <w:pPr>
        <w:spacing w:before="120" w:beforeLines="50" w:line="276" w:lineRule="auto"/>
        <w:jc w:val="center"/>
        <w:rPr>
          <w:rFonts w:hint="eastAsia" w:ascii="宋体" w:hAnsi="宋体"/>
          <w:color w:val="auto"/>
          <w:sz w:val="48"/>
          <w:szCs w:val="48"/>
          <w:highlight w:val="none"/>
        </w:rPr>
      </w:pPr>
    </w:p>
    <w:p w14:paraId="01662B26">
      <w:pPr>
        <w:spacing w:before="120" w:beforeLines="50" w:line="276" w:lineRule="auto"/>
        <w:jc w:val="center"/>
        <w:rPr>
          <w:rFonts w:ascii="宋体" w:hAnsi="宋体"/>
          <w:color w:val="auto"/>
          <w:sz w:val="72"/>
          <w:szCs w:val="72"/>
          <w:highlight w:val="none"/>
        </w:rPr>
      </w:pPr>
      <w:r>
        <w:rPr>
          <w:rFonts w:hint="eastAsia" w:ascii="宋体" w:hAnsi="宋体"/>
          <w:color w:val="auto"/>
          <w:sz w:val="48"/>
          <w:szCs w:val="48"/>
          <w:highlight w:val="none"/>
        </w:rPr>
        <w:t>公开招标采购文件</w:t>
      </w:r>
    </w:p>
    <w:p w14:paraId="58F96AAC">
      <w:pPr>
        <w:spacing w:before="120" w:beforeLines="50" w:line="276" w:lineRule="auto"/>
        <w:jc w:val="center"/>
        <w:rPr>
          <w:rFonts w:ascii="宋体" w:hAnsi="宋体"/>
          <w:color w:val="auto"/>
          <w:sz w:val="72"/>
          <w:szCs w:val="72"/>
          <w:highlight w:val="none"/>
        </w:rPr>
      </w:pPr>
    </w:p>
    <w:p w14:paraId="7B00BA10">
      <w:pPr>
        <w:pStyle w:val="71"/>
        <w:rPr>
          <w:color w:val="auto"/>
          <w:highlight w:val="none"/>
        </w:rPr>
      </w:pPr>
    </w:p>
    <w:p w14:paraId="1B7D78EA">
      <w:pPr>
        <w:snapToGrid w:val="0"/>
        <w:spacing w:before="120" w:beforeLines="50" w:line="276" w:lineRule="auto"/>
        <w:jc w:val="center"/>
        <w:rPr>
          <w:rFonts w:hAnsi="宋体"/>
          <w:b/>
          <w:bCs/>
          <w:color w:val="auto"/>
          <w:sz w:val="28"/>
          <w:szCs w:val="28"/>
          <w:highlight w:val="none"/>
        </w:rPr>
      </w:pPr>
      <w:r>
        <w:rPr>
          <w:rFonts w:ascii="仿宋_GB2312" w:hAnsi="新宋体" w:eastAsia="仿宋_GB2312"/>
          <w:b/>
          <w:color w:val="auto"/>
          <w:sz w:val="32"/>
          <w:highlight w:val="none"/>
        </w:rPr>
        <w:drawing>
          <wp:inline distT="0" distB="0" distL="0" distR="0">
            <wp:extent cx="3869690" cy="1330325"/>
            <wp:effectExtent l="0" t="0" r="16510" b="3175"/>
            <wp:docPr id="1026" name="图片 1" descr="政府采购图案"/>
            <wp:cNvGraphicFramePr/>
            <a:graphic xmlns:a="http://schemas.openxmlformats.org/drawingml/2006/main">
              <a:graphicData uri="http://schemas.openxmlformats.org/drawingml/2006/picture">
                <pic:pic xmlns:pic="http://schemas.openxmlformats.org/drawingml/2006/picture">
                  <pic:nvPicPr>
                    <pic:cNvPr id="1026" name="图片 1" descr="政府采购图案"/>
                    <pic:cNvPicPr/>
                  </pic:nvPicPr>
                  <pic:blipFill>
                    <a:blip r:embed="rId9" cstate="print"/>
                    <a:srcRect/>
                    <a:stretch>
                      <a:fillRect/>
                    </a:stretch>
                  </pic:blipFill>
                  <pic:spPr>
                    <a:xfrm>
                      <a:off x="0" y="0"/>
                      <a:ext cx="3869690" cy="1330325"/>
                    </a:xfrm>
                    <a:prstGeom prst="rect">
                      <a:avLst/>
                    </a:prstGeom>
                    <a:ln>
                      <a:noFill/>
                    </a:ln>
                  </pic:spPr>
                </pic:pic>
              </a:graphicData>
            </a:graphic>
          </wp:inline>
        </w:drawing>
      </w:r>
    </w:p>
    <w:p w14:paraId="4C28583A">
      <w:pPr>
        <w:pStyle w:val="30"/>
        <w:snapToGrid w:val="0"/>
        <w:spacing w:before="120" w:after="120" w:line="276" w:lineRule="auto"/>
        <w:rPr>
          <w:rFonts w:hAnsi="宋体"/>
          <w:b/>
          <w:bCs/>
          <w:color w:val="auto"/>
          <w:sz w:val="28"/>
          <w:szCs w:val="28"/>
          <w:highlight w:val="none"/>
        </w:rPr>
      </w:pPr>
    </w:p>
    <w:p w14:paraId="5F1C0962">
      <w:pPr>
        <w:rPr>
          <w:color w:val="auto"/>
          <w:highlight w:val="none"/>
        </w:rPr>
      </w:pPr>
    </w:p>
    <w:p w14:paraId="0FF53F4D">
      <w:pPr>
        <w:rPr>
          <w:color w:val="auto"/>
          <w:highlight w:val="none"/>
        </w:rPr>
      </w:pPr>
    </w:p>
    <w:p w14:paraId="2550A0AD">
      <w:pPr>
        <w:rPr>
          <w:rFonts w:hAnsi="宋体"/>
          <w:b/>
          <w:bCs/>
          <w:color w:val="auto"/>
          <w:sz w:val="28"/>
          <w:szCs w:val="28"/>
          <w:highlight w:val="none"/>
        </w:rPr>
      </w:pPr>
    </w:p>
    <w:p w14:paraId="5C59209B">
      <w:pPr>
        <w:pStyle w:val="21"/>
        <w:rPr>
          <w:color w:val="auto"/>
          <w:highlight w:val="none"/>
        </w:rPr>
      </w:pPr>
    </w:p>
    <w:p w14:paraId="50F2C9F3">
      <w:pPr>
        <w:pStyle w:val="30"/>
        <w:snapToGrid w:val="0"/>
        <w:spacing w:before="120" w:after="120" w:line="276" w:lineRule="auto"/>
        <w:rPr>
          <w:rFonts w:hint="default" w:ascii="Times New Roman" w:hAnsi="宋体" w:eastAsia="宋体"/>
          <w:b w:val="0"/>
          <w:bCs w:val="0"/>
          <w:color w:val="auto"/>
          <w:sz w:val="28"/>
          <w:szCs w:val="28"/>
          <w:highlight w:val="none"/>
          <w:lang w:val="en-US" w:eastAsia="zh-CN"/>
        </w:rPr>
      </w:pPr>
      <w:r>
        <w:rPr>
          <w:rFonts w:hAnsi="宋体"/>
          <w:b w:val="0"/>
          <w:bCs w:val="0"/>
          <w:color w:val="auto"/>
          <w:sz w:val="28"/>
          <w:szCs w:val="28"/>
          <w:highlight w:val="none"/>
        </w:rPr>
        <w:t>项目编号</w:t>
      </w:r>
      <w:r>
        <w:rPr>
          <w:rFonts w:hint="eastAsia" w:ascii="Times New Roman" w:hAnsi="宋体"/>
          <w:b w:val="0"/>
          <w:bCs w:val="0"/>
          <w:color w:val="auto"/>
          <w:sz w:val="28"/>
          <w:szCs w:val="28"/>
          <w:highlight w:val="none"/>
        </w:rPr>
        <w:t>：</w:t>
      </w:r>
      <w:r>
        <w:rPr>
          <w:rFonts w:hint="eastAsia" w:hAnsi="宋体" w:cs="宋体"/>
          <w:b w:val="0"/>
          <w:bCs w:val="0"/>
          <w:color w:val="auto"/>
          <w:sz w:val="28"/>
          <w:szCs w:val="28"/>
          <w:highlight w:val="none"/>
          <w:lang w:eastAsia="zh-CN"/>
        </w:rPr>
        <w:t>ZTPA-2024-GK0</w:t>
      </w:r>
      <w:r>
        <w:rPr>
          <w:rFonts w:hint="eastAsia" w:hAnsi="宋体" w:cs="宋体"/>
          <w:b w:val="0"/>
          <w:bCs w:val="0"/>
          <w:color w:val="auto"/>
          <w:sz w:val="28"/>
          <w:szCs w:val="28"/>
          <w:highlight w:val="none"/>
          <w:lang w:val="en-US" w:eastAsia="zh-CN"/>
        </w:rPr>
        <w:t>15</w:t>
      </w:r>
    </w:p>
    <w:p w14:paraId="2761AF94">
      <w:pPr>
        <w:pStyle w:val="30"/>
        <w:snapToGrid w:val="0"/>
        <w:spacing w:before="120" w:after="120" w:line="276" w:lineRule="auto"/>
        <w:rPr>
          <w:rFonts w:hint="eastAsia" w:ascii="Times New Roman" w:hAnsi="宋体" w:eastAsia="宋体" w:cs="Times New Roman"/>
          <w:b w:val="0"/>
          <w:bCs w:val="0"/>
          <w:color w:val="auto"/>
          <w:sz w:val="28"/>
          <w:szCs w:val="28"/>
          <w:highlight w:val="none"/>
          <w:lang w:eastAsia="zh-CN"/>
        </w:rPr>
      </w:pPr>
      <w:bookmarkStart w:id="1" w:name="_Toc8881"/>
      <w:r>
        <w:rPr>
          <w:rFonts w:hint="eastAsia" w:ascii="Times New Roman" w:hAnsi="宋体" w:eastAsia="宋体" w:cs="Times New Roman"/>
          <w:b w:val="0"/>
          <w:bCs w:val="0"/>
          <w:color w:val="auto"/>
          <w:sz w:val="28"/>
          <w:szCs w:val="28"/>
          <w:highlight w:val="none"/>
        </w:rPr>
        <w:t>项目名称：</w:t>
      </w:r>
      <w:bookmarkEnd w:id="1"/>
      <w:r>
        <w:rPr>
          <w:rFonts w:hint="eastAsia" w:hAnsi="宋体" w:cs="宋体"/>
          <w:bCs/>
          <w:color w:val="auto"/>
          <w:sz w:val="30"/>
          <w:szCs w:val="30"/>
          <w:highlight w:val="none"/>
          <w:lang w:eastAsia="zh-CN"/>
        </w:rPr>
        <w:t>磐安县中医院互联网医院中医药综合信息平台项目</w:t>
      </w:r>
    </w:p>
    <w:p w14:paraId="1FF83844">
      <w:pPr>
        <w:pStyle w:val="30"/>
        <w:snapToGrid w:val="0"/>
        <w:spacing w:before="120" w:after="120" w:line="276" w:lineRule="auto"/>
        <w:rPr>
          <w:rFonts w:hint="eastAsia" w:ascii="Times New Roman" w:hAnsi="宋体" w:eastAsia="宋体" w:cs="Times New Roman"/>
          <w:b w:val="0"/>
          <w:bCs w:val="0"/>
          <w:color w:val="auto"/>
          <w:sz w:val="28"/>
          <w:szCs w:val="28"/>
          <w:highlight w:val="none"/>
          <w:lang w:eastAsia="zh-CN"/>
        </w:rPr>
      </w:pPr>
      <w:bookmarkStart w:id="2" w:name="_Toc4102"/>
      <w:r>
        <w:rPr>
          <w:rFonts w:hint="eastAsia" w:ascii="Times New Roman" w:hAnsi="宋体" w:eastAsia="宋体" w:cs="Times New Roman"/>
          <w:b w:val="0"/>
          <w:bCs w:val="0"/>
          <w:color w:val="auto"/>
          <w:sz w:val="28"/>
          <w:szCs w:val="28"/>
          <w:highlight w:val="none"/>
        </w:rPr>
        <w:t>采购单位：</w:t>
      </w:r>
      <w:bookmarkEnd w:id="2"/>
      <w:r>
        <w:rPr>
          <w:rFonts w:hint="eastAsia" w:hAnsi="宋体" w:cs="宋体"/>
          <w:bCs/>
          <w:color w:val="auto"/>
          <w:sz w:val="30"/>
          <w:szCs w:val="30"/>
          <w:highlight w:val="none"/>
          <w:lang w:eastAsia="zh-CN"/>
        </w:rPr>
        <w:t>磐安县中医院</w:t>
      </w:r>
    </w:p>
    <w:p w14:paraId="33C97628">
      <w:pPr>
        <w:pStyle w:val="30"/>
        <w:snapToGrid w:val="0"/>
        <w:spacing w:before="120" w:after="120" w:line="276" w:lineRule="auto"/>
        <w:rPr>
          <w:rFonts w:hint="eastAsia" w:hAnsi="宋体" w:eastAsia="宋体"/>
          <w:b w:val="0"/>
          <w:bCs w:val="0"/>
          <w:color w:val="auto"/>
          <w:sz w:val="28"/>
          <w:szCs w:val="28"/>
          <w:highlight w:val="none"/>
          <w:lang w:eastAsia="zh-CN"/>
        </w:rPr>
      </w:pPr>
      <w:bookmarkStart w:id="3" w:name="_Toc14828"/>
      <w:r>
        <w:rPr>
          <w:rFonts w:hint="eastAsia" w:hAnsi="宋体"/>
          <w:b w:val="0"/>
          <w:bCs w:val="0"/>
          <w:color w:val="auto"/>
          <w:sz w:val="28"/>
          <w:szCs w:val="28"/>
          <w:highlight w:val="none"/>
          <w:lang w:eastAsia="zh-CN"/>
        </w:rPr>
        <w:t>代理</w:t>
      </w:r>
      <w:r>
        <w:rPr>
          <w:rFonts w:hAnsi="宋体"/>
          <w:b w:val="0"/>
          <w:bCs w:val="0"/>
          <w:color w:val="auto"/>
          <w:sz w:val="28"/>
          <w:szCs w:val="28"/>
          <w:highlight w:val="none"/>
        </w:rPr>
        <w:t>机构：</w:t>
      </w:r>
      <w:bookmarkEnd w:id="3"/>
      <w:r>
        <w:rPr>
          <w:rFonts w:hint="eastAsia" w:ascii="Times New Roman" w:hAnsi="宋体"/>
          <w:b w:val="0"/>
          <w:bCs w:val="0"/>
          <w:color w:val="auto"/>
          <w:sz w:val="28"/>
          <w:szCs w:val="28"/>
          <w:highlight w:val="none"/>
          <w:lang w:eastAsia="zh-CN"/>
        </w:rPr>
        <w:t>浙江展图工程咨询有限公司</w:t>
      </w:r>
    </w:p>
    <w:p w14:paraId="3DEF8FD8">
      <w:pPr>
        <w:pStyle w:val="395"/>
        <w:tabs>
          <w:tab w:val="right" w:leader="dot" w:pos="9660"/>
        </w:tabs>
        <w:spacing w:line="480" w:lineRule="auto"/>
        <w:rPr>
          <w:color w:val="auto"/>
          <w:sz w:val="32"/>
          <w:szCs w:val="32"/>
          <w:highlight w:val="none"/>
        </w:rPr>
      </w:pPr>
      <w:r>
        <w:rPr>
          <w:rFonts w:hAnsi="宋体"/>
          <w:color w:val="auto"/>
          <w:highlight w:val="none"/>
        </w:rPr>
        <w:br w:type="page"/>
      </w:r>
    </w:p>
    <w:p w14:paraId="09672FFD">
      <w:pPr>
        <w:jc w:val="center"/>
        <w:rPr>
          <w:color w:val="auto"/>
          <w:sz w:val="44"/>
          <w:szCs w:val="44"/>
          <w:highlight w:val="none"/>
        </w:rPr>
      </w:pPr>
      <w:r>
        <w:rPr>
          <w:rFonts w:ascii="宋体" w:hAnsi="宋体"/>
          <w:color w:val="auto"/>
          <w:sz w:val="44"/>
          <w:szCs w:val="44"/>
          <w:highlight w:val="none"/>
        </w:rPr>
        <w:t>目录</w:t>
      </w:r>
    </w:p>
    <w:p w14:paraId="77B9B1AA">
      <w:pPr>
        <w:pStyle w:val="38"/>
        <w:tabs>
          <w:tab w:val="right" w:leader="dot" w:pos="9360"/>
        </w:tabs>
        <w:spacing w:line="360" w:lineRule="auto"/>
        <w:rPr>
          <w:rFonts w:hint="eastAsia" w:ascii="宋体" w:hAnsi="宋体" w:cs="宋体"/>
          <w:color w:val="auto"/>
          <w:sz w:val="28"/>
          <w:szCs w:val="28"/>
          <w:highlight w:val="none"/>
        </w:rPr>
      </w:pPr>
    </w:p>
    <w:p w14:paraId="078A750A">
      <w:pPr>
        <w:pStyle w:val="38"/>
        <w:tabs>
          <w:tab w:val="right" w:leader="dot" w:pos="9360"/>
        </w:tabs>
        <w:spacing w:line="36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TOC \o "1-1" \h \u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HYPERLINK \l _Toc18691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第一章  招标公告</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_Toc18691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4</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231BE7F2">
      <w:pPr>
        <w:pStyle w:val="38"/>
        <w:tabs>
          <w:tab w:val="right" w:leader="dot" w:pos="9360"/>
        </w:tabs>
        <w:spacing w:line="36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HYPERLINK \l _Toc16324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第二章  招标需求</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_Toc16324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9</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126B449D">
      <w:pPr>
        <w:pStyle w:val="38"/>
        <w:tabs>
          <w:tab w:val="right" w:leader="dot" w:pos="9360"/>
        </w:tabs>
        <w:spacing w:line="36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HYPERLINK \l _Toc21466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第三章  投标人须知</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_Toc21466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60</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2F00C00D">
      <w:pPr>
        <w:pStyle w:val="38"/>
        <w:tabs>
          <w:tab w:val="right" w:leader="dot" w:pos="9360"/>
        </w:tabs>
        <w:spacing w:line="36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HYPERLINK \l _Toc1727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第四章  评审办法和评分标准</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_Toc1727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81</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72011BBD">
      <w:pPr>
        <w:pStyle w:val="38"/>
        <w:tabs>
          <w:tab w:val="right" w:leader="dot" w:pos="9360"/>
        </w:tabs>
        <w:spacing w:line="36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HYPERLINK \l _Toc22538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第五章  政府采购政策相关说明</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_Toc22538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85</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09A6453D">
      <w:pPr>
        <w:pStyle w:val="38"/>
        <w:tabs>
          <w:tab w:val="right" w:leader="dot" w:pos="9360"/>
        </w:tabs>
        <w:spacing w:line="36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HYPERLINK \l _Toc16359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第六章  拟签订合同主要条款</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_Toc16359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92</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6CBD7592">
      <w:pPr>
        <w:pStyle w:val="38"/>
        <w:tabs>
          <w:tab w:val="right" w:leader="dot" w:pos="9360"/>
        </w:tabs>
        <w:spacing w:line="36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HYPERLINK \l _Toc26624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第七章  投标文件格式</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_Toc26624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95</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093AABC9">
      <w:pPr>
        <w:widowControl/>
        <w:spacing w:line="36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fldChar w:fldCharType="end"/>
      </w:r>
    </w:p>
    <w:p w14:paraId="47B48750">
      <w:pPr>
        <w:rPr>
          <w:color w:val="auto"/>
          <w:highlight w:val="none"/>
        </w:rPr>
      </w:pPr>
    </w:p>
    <w:p w14:paraId="4816C909">
      <w:pPr>
        <w:rPr>
          <w:color w:val="auto"/>
          <w:highlight w:val="none"/>
        </w:rPr>
      </w:pPr>
    </w:p>
    <w:p w14:paraId="74C92E0C">
      <w:pPr>
        <w:rPr>
          <w:color w:val="auto"/>
          <w:highlight w:val="none"/>
        </w:rPr>
      </w:pPr>
    </w:p>
    <w:p w14:paraId="7F39E546">
      <w:pPr>
        <w:pStyle w:val="30"/>
        <w:snapToGrid w:val="0"/>
        <w:spacing w:before="120" w:after="120"/>
        <w:jc w:val="center"/>
        <w:outlineLvl w:val="0"/>
        <w:rPr>
          <w:rFonts w:ascii="黑体" w:hAnsi="黑体" w:eastAsia="黑体"/>
          <w:color w:val="auto"/>
          <w:sz w:val="30"/>
          <w:szCs w:val="30"/>
          <w:highlight w:val="none"/>
        </w:rPr>
      </w:pPr>
      <w:r>
        <w:rPr>
          <w:color w:val="auto"/>
          <w:highlight w:val="none"/>
        </w:rPr>
        <w:br w:type="page"/>
      </w:r>
      <w:bookmarkStart w:id="4" w:name="_Toc1688"/>
      <w:bookmarkStart w:id="5" w:name="_Toc5922"/>
      <w:bookmarkStart w:id="6" w:name="_Toc18691"/>
      <w:bookmarkStart w:id="7" w:name="_Toc2068"/>
      <w:bookmarkStart w:id="8" w:name="_Hlk74317073"/>
      <w:r>
        <w:rPr>
          <w:rStyle w:val="74"/>
          <w:rFonts w:hint="eastAsia"/>
          <w:color w:val="auto"/>
          <w:highlight w:val="none"/>
        </w:rPr>
        <w:t>第一</w:t>
      </w:r>
      <w:r>
        <w:rPr>
          <w:rStyle w:val="74"/>
          <w:rFonts w:hint="eastAsia" w:ascii="Times New Roman" w:hAnsi="Times New Roman" w:cs="Times New Roman"/>
          <w:color w:val="auto"/>
          <w:highlight w:val="none"/>
        </w:rPr>
        <w:t xml:space="preserve">章  </w:t>
      </w:r>
      <w:r>
        <w:rPr>
          <w:rStyle w:val="74"/>
          <w:rFonts w:hint="eastAsia"/>
          <w:color w:val="auto"/>
          <w:highlight w:val="none"/>
        </w:rPr>
        <w:t>招标公告</w:t>
      </w:r>
      <w:bookmarkEnd w:id="4"/>
      <w:bookmarkEnd w:id="5"/>
      <w:bookmarkEnd w:id="6"/>
      <w:bookmarkEnd w:id="7"/>
    </w:p>
    <w:p w14:paraId="21E104FE">
      <w:pPr>
        <w:spacing w:line="360" w:lineRule="auto"/>
        <w:ind w:firstLine="560" w:firstLineChars="200"/>
        <w:rPr>
          <w:rFonts w:hint="eastAsia"/>
          <w:color w:val="auto"/>
          <w:sz w:val="28"/>
          <w:szCs w:val="28"/>
          <w:highlight w:val="none"/>
        </w:rPr>
      </w:pPr>
    </w:p>
    <w:p w14:paraId="14C72485">
      <w:pPr>
        <w:spacing w:line="360" w:lineRule="auto"/>
        <w:ind w:firstLine="560" w:firstLineChars="200"/>
        <w:jc w:val="both"/>
        <w:rPr>
          <w:rFonts w:hint="eastAsia"/>
          <w:color w:val="auto"/>
          <w:sz w:val="28"/>
          <w:szCs w:val="28"/>
          <w:highlight w:val="none"/>
        </w:rPr>
      </w:pPr>
      <w:r>
        <w:rPr>
          <w:rFonts w:hint="eastAsia"/>
          <w:color w:val="auto"/>
          <w:sz w:val="28"/>
          <w:szCs w:val="28"/>
          <w:highlight w:val="none"/>
        </w:rPr>
        <w:t>本项目经磐安县财政局</w:t>
      </w:r>
      <w:r>
        <w:rPr>
          <w:rFonts w:hint="eastAsia"/>
          <w:color w:val="auto"/>
          <w:sz w:val="28"/>
          <w:szCs w:val="28"/>
          <w:highlight w:val="none"/>
        </w:rPr>
        <w:fldChar w:fldCharType="begin"/>
      </w:r>
      <w:r>
        <w:rPr>
          <w:rFonts w:hint="eastAsia"/>
          <w:color w:val="auto"/>
          <w:sz w:val="28"/>
          <w:szCs w:val="28"/>
          <w:highlight w:val="none"/>
        </w:rPr>
        <w:instrText xml:space="preserve"> HYPERLINK "https://pay.zcygov.cn/purchaseplan_front/" \l "/plan/list/detail?id=1000000000003445350&amp;encrypt=f6625fd24cdeb78dd47a2b1d97e1a416" \t "https://www.zcygov.cn/bidding-entrust/" \l "/purchasePlans/_blank" </w:instrText>
      </w:r>
      <w:r>
        <w:rPr>
          <w:rFonts w:hint="eastAsia"/>
          <w:color w:val="auto"/>
          <w:sz w:val="28"/>
          <w:szCs w:val="28"/>
          <w:highlight w:val="none"/>
        </w:rPr>
        <w:fldChar w:fldCharType="separate"/>
      </w:r>
      <w:r>
        <w:rPr>
          <w:rFonts w:hint="eastAsia"/>
          <w:color w:val="auto"/>
          <w:sz w:val="28"/>
          <w:szCs w:val="28"/>
          <w:highlight w:val="none"/>
        </w:rPr>
        <w:t>临[</w:t>
      </w:r>
      <w:r>
        <w:rPr>
          <w:rFonts w:hint="eastAsia"/>
          <w:color w:val="auto"/>
          <w:sz w:val="28"/>
          <w:szCs w:val="28"/>
          <w:highlight w:val="none"/>
          <w:lang w:eastAsia="zh-CN"/>
        </w:rPr>
        <w:t>2024</w:t>
      </w:r>
      <w:r>
        <w:rPr>
          <w:rFonts w:hint="eastAsia"/>
          <w:color w:val="auto"/>
          <w:sz w:val="28"/>
          <w:szCs w:val="28"/>
          <w:highlight w:val="none"/>
        </w:rPr>
        <w:t>]</w:t>
      </w:r>
      <w:r>
        <w:rPr>
          <w:rFonts w:hint="eastAsia"/>
          <w:color w:val="auto"/>
          <w:sz w:val="28"/>
          <w:szCs w:val="28"/>
          <w:highlight w:val="none"/>
          <w:lang w:val="en-US" w:eastAsia="zh-CN"/>
        </w:rPr>
        <w:t>360</w:t>
      </w:r>
      <w:r>
        <w:rPr>
          <w:rFonts w:hint="eastAsia"/>
          <w:color w:val="auto"/>
          <w:sz w:val="28"/>
          <w:szCs w:val="28"/>
          <w:highlight w:val="none"/>
        </w:rPr>
        <w:t>号</w:t>
      </w:r>
      <w:r>
        <w:rPr>
          <w:rFonts w:hint="eastAsia"/>
          <w:color w:val="auto"/>
          <w:sz w:val="28"/>
          <w:szCs w:val="28"/>
          <w:highlight w:val="none"/>
        </w:rPr>
        <w:fldChar w:fldCharType="end"/>
      </w:r>
      <w:r>
        <w:rPr>
          <w:rFonts w:hint="eastAsia"/>
          <w:color w:val="auto"/>
          <w:sz w:val="28"/>
          <w:szCs w:val="28"/>
          <w:highlight w:val="none"/>
        </w:rPr>
        <w:t>采购计划确认书批准进行公开招标，本项目的潜在投标人应在浙江政府采购网获取招标文件，并于</w:t>
      </w:r>
      <w:r>
        <w:rPr>
          <w:rFonts w:hint="eastAsia" w:ascii="宋体" w:hAnsi="宋体" w:cs="Arial"/>
          <w:b/>
          <w:bCs/>
          <w:color w:val="auto"/>
          <w:sz w:val="28"/>
          <w:szCs w:val="28"/>
          <w:highlight w:val="none"/>
          <w:u w:val="single"/>
          <w:lang w:eastAsia="zh-CN"/>
        </w:rPr>
        <w:t>202</w:t>
      </w:r>
      <w:r>
        <w:rPr>
          <w:rFonts w:hint="eastAsia" w:ascii="宋体" w:hAnsi="宋体" w:cs="Arial"/>
          <w:b/>
          <w:bCs/>
          <w:color w:val="auto"/>
          <w:sz w:val="28"/>
          <w:szCs w:val="28"/>
          <w:highlight w:val="none"/>
          <w:u w:val="single"/>
          <w:lang w:val="en-US" w:eastAsia="zh-CN"/>
        </w:rPr>
        <w:t>4</w:t>
      </w:r>
      <w:r>
        <w:rPr>
          <w:rFonts w:hint="eastAsia" w:ascii="宋体" w:hAnsi="宋体" w:cs="Arial"/>
          <w:b/>
          <w:bCs/>
          <w:color w:val="auto"/>
          <w:sz w:val="28"/>
          <w:szCs w:val="28"/>
          <w:highlight w:val="none"/>
          <w:u w:val="single"/>
          <w:lang w:eastAsia="zh-CN"/>
        </w:rPr>
        <w:t>年</w:t>
      </w:r>
      <w:r>
        <w:rPr>
          <w:rFonts w:hint="eastAsia" w:ascii="宋体" w:hAnsi="宋体" w:cs="Arial"/>
          <w:b/>
          <w:bCs/>
          <w:color w:val="auto"/>
          <w:sz w:val="28"/>
          <w:szCs w:val="28"/>
          <w:highlight w:val="none"/>
          <w:u w:val="single"/>
          <w:lang w:val="en-US" w:eastAsia="zh-CN"/>
        </w:rPr>
        <w:t>9</w:t>
      </w:r>
      <w:r>
        <w:rPr>
          <w:rFonts w:hint="eastAsia" w:ascii="宋体" w:hAnsi="宋体" w:cs="Arial"/>
          <w:b/>
          <w:bCs/>
          <w:color w:val="auto"/>
          <w:sz w:val="28"/>
          <w:szCs w:val="28"/>
          <w:highlight w:val="none"/>
          <w:u w:val="single"/>
          <w:lang w:eastAsia="zh-CN"/>
        </w:rPr>
        <w:t>月</w:t>
      </w:r>
      <w:r>
        <w:rPr>
          <w:rFonts w:hint="eastAsia" w:ascii="宋体" w:hAnsi="宋体" w:cs="Arial"/>
          <w:b/>
          <w:bCs/>
          <w:color w:val="auto"/>
          <w:sz w:val="28"/>
          <w:szCs w:val="28"/>
          <w:highlight w:val="none"/>
          <w:u w:val="single"/>
          <w:lang w:val="en-US" w:eastAsia="zh-CN"/>
        </w:rPr>
        <w:t>12</w:t>
      </w:r>
      <w:r>
        <w:rPr>
          <w:rFonts w:hint="eastAsia" w:ascii="宋体" w:hAnsi="宋体" w:cs="Arial"/>
          <w:b/>
          <w:bCs/>
          <w:color w:val="auto"/>
          <w:sz w:val="28"/>
          <w:szCs w:val="28"/>
          <w:highlight w:val="none"/>
          <w:u w:val="single"/>
          <w:lang w:eastAsia="zh-CN"/>
        </w:rPr>
        <w:t>日</w:t>
      </w:r>
      <w:r>
        <w:rPr>
          <w:rFonts w:hint="eastAsia" w:ascii="宋体" w:hAnsi="宋体" w:cs="Arial"/>
          <w:b/>
          <w:bCs/>
          <w:color w:val="auto"/>
          <w:sz w:val="28"/>
          <w:szCs w:val="28"/>
          <w:highlight w:val="none"/>
          <w:u w:val="single"/>
          <w:lang w:val="en-US" w:eastAsia="zh-CN"/>
        </w:rPr>
        <w:t>9：00</w:t>
      </w:r>
      <w:r>
        <w:rPr>
          <w:rFonts w:hint="eastAsia" w:ascii="宋体" w:hAnsi="宋体" w:cs="Arial"/>
          <w:b/>
          <w:bCs/>
          <w:color w:val="auto"/>
          <w:sz w:val="28"/>
          <w:szCs w:val="28"/>
          <w:highlight w:val="none"/>
          <w:u w:val="single"/>
        </w:rPr>
        <w:t>（北京时间）前</w:t>
      </w:r>
      <w:r>
        <w:rPr>
          <w:rFonts w:hint="eastAsia"/>
          <w:color w:val="auto"/>
          <w:sz w:val="28"/>
          <w:szCs w:val="28"/>
          <w:highlight w:val="none"/>
        </w:rPr>
        <w:t>递交投标文件。</w:t>
      </w:r>
    </w:p>
    <w:p w14:paraId="6AE25F68">
      <w:pPr>
        <w:pStyle w:val="3"/>
        <w:keepNext/>
        <w:keepLines/>
        <w:pageBreakBefore w:val="0"/>
        <w:widowControl w:val="0"/>
        <w:kinsoku/>
        <w:wordWrap/>
        <w:overflowPunct/>
        <w:topLinePunct w:val="0"/>
        <w:autoSpaceDE/>
        <w:autoSpaceDN/>
        <w:bidi w:val="0"/>
        <w:adjustRightInd/>
        <w:snapToGrid/>
        <w:spacing w:before="140" w:after="20" w:line="360" w:lineRule="auto"/>
        <w:ind w:firstLine="562" w:firstLineChars="200"/>
        <w:textAlignment w:val="auto"/>
        <w:rPr>
          <w:rFonts w:hint="eastAsia" w:ascii="Arial" w:hAnsi="Arial" w:eastAsia="宋体" w:cs="Times New Roman"/>
          <w:b/>
          <w:bCs/>
          <w:color w:val="auto"/>
          <w:kern w:val="2"/>
          <w:sz w:val="28"/>
          <w:szCs w:val="32"/>
          <w:highlight w:val="none"/>
        </w:rPr>
      </w:pPr>
      <w:r>
        <w:rPr>
          <w:rFonts w:hint="eastAsia" w:ascii="Arial" w:hAnsi="Arial" w:eastAsia="宋体" w:cs="Times New Roman"/>
          <w:b/>
          <w:bCs/>
          <w:color w:val="auto"/>
          <w:kern w:val="2"/>
          <w:sz w:val="28"/>
          <w:szCs w:val="32"/>
          <w:highlight w:val="none"/>
        </w:rPr>
        <w:t>一、项目基本情况</w:t>
      </w:r>
    </w:p>
    <w:p w14:paraId="55457403">
      <w:pPr>
        <w:pStyle w:val="107"/>
        <w:spacing w:line="360" w:lineRule="auto"/>
        <w:ind w:left="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1.项目名称：</w:t>
      </w:r>
      <w:r>
        <w:rPr>
          <w:rFonts w:hint="eastAsia" w:ascii="宋体" w:hAnsi="宋体" w:cs="宋体"/>
          <w:color w:val="auto"/>
          <w:sz w:val="24"/>
          <w:szCs w:val="24"/>
          <w:highlight w:val="none"/>
          <w:lang w:eastAsia="zh-CN"/>
        </w:rPr>
        <w:t>磐安县中医院互联网医院中医药综合信息平台项目</w:t>
      </w:r>
    </w:p>
    <w:p w14:paraId="303AA2F6">
      <w:pPr>
        <w:spacing w:line="360" w:lineRule="auto"/>
        <w:ind w:firstLine="480" w:firstLineChars="200"/>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2.项目编号：ZTPA-2024-GK0</w:t>
      </w:r>
      <w:r>
        <w:rPr>
          <w:rFonts w:hint="eastAsia" w:ascii="宋体" w:hAnsi="宋体" w:cs="宋体"/>
          <w:color w:val="auto"/>
          <w:kern w:val="2"/>
          <w:sz w:val="24"/>
          <w:szCs w:val="24"/>
          <w:highlight w:val="none"/>
          <w:lang w:val="en-US" w:eastAsia="zh-CN" w:bidi="ar-SA"/>
        </w:rPr>
        <w:t>15</w:t>
      </w:r>
    </w:p>
    <w:p w14:paraId="3F6F447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3.采购组织类型：</w:t>
      </w:r>
      <w:r>
        <w:rPr>
          <w:rFonts w:hint="eastAsia" w:ascii="宋体" w:hAnsi="宋体" w:cs="宋体"/>
          <w:color w:val="auto"/>
          <w:sz w:val="24"/>
          <w:highlight w:val="none"/>
          <w:lang w:eastAsia="zh-CN"/>
        </w:rPr>
        <w:t>分散</w:t>
      </w:r>
      <w:r>
        <w:rPr>
          <w:rFonts w:hint="eastAsia" w:ascii="宋体" w:hAnsi="宋体" w:cs="宋体"/>
          <w:color w:val="auto"/>
          <w:sz w:val="24"/>
          <w:highlight w:val="none"/>
        </w:rPr>
        <w:t>采购</w:t>
      </w:r>
    </w:p>
    <w:p w14:paraId="0526176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4.采购方式：公开招标 </w:t>
      </w:r>
    </w:p>
    <w:p w14:paraId="0540216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5.预算金额：</w:t>
      </w:r>
      <w:r>
        <w:rPr>
          <w:rFonts w:hint="eastAsia" w:ascii="宋体" w:hAnsi="宋体" w:cs="宋体"/>
          <w:color w:val="auto"/>
          <w:sz w:val="24"/>
          <w:highlight w:val="none"/>
          <w:lang w:val="en-US" w:eastAsia="zh-CN"/>
        </w:rPr>
        <w:t>273.24</w:t>
      </w:r>
      <w:r>
        <w:rPr>
          <w:rFonts w:hint="eastAsia" w:ascii="宋体" w:hAnsi="宋体" w:cs="宋体"/>
          <w:color w:val="auto"/>
          <w:sz w:val="24"/>
          <w:highlight w:val="none"/>
        </w:rPr>
        <w:t xml:space="preserve">万元    </w:t>
      </w:r>
    </w:p>
    <w:p w14:paraId="037362B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6.最高限价：</w:t>
      </w:r>
      <w:r>
        <w:rPr>
          <w:rFonts w:hint="eastAsia" w:ascii="宋体" w:hAnsi="宋体" w:cs="宋体"/>
          <w:color w:val="auto"/>
          <w:sz w:val="24"/>
          <w:highlight w:val="none"/>
          <w:lang w:val="en-US" w:eastAsia="zh-CN"/>
        </w:rPr>
        <w:t>273.24</w:t>
      </w:r>
      <w:r>
        <w:rPr>
          <w:rFonts w:hint="eastAsia" w:ascii="宋体" w:hAnsi="宋体" w:cs="宋体"/>
          <w:color w:val="auto"/>
          <w:sz w:val="24"/>
          <w:highlight w:val="none"/>
        </w:rPr>
        <w:t xml:space="preserve">万元  </w:t>
      </w:r>
    </w:p>
    <w:p w14:paraId="6782BF8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7.合同履行期限：</w:t>
      </w:r>
      <w:r>
        <w:rPr>
          <w:rFonts w:hint="eastAsia" w:ascii="宋体" w:hAnsi="宋体" w:cs="宋体"/>
          <w:color w:val="auto"/>
          <w:sz w:val="24"/>
          <w:highlight w:val="none"/>
          <w:lang w:eastAsia="zh-CN"/>
        </w:rPr>
        <w:t>合同签订起至质保期结束。</w:t>
      </w:r>
    </w:p>
    <w:p w14:paraId="18AA5FE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8.采购需求：</w:t>
      </w:r>
    </w:p>
    <w:tbl>
      <w:tblPr>
        <w:tblStyle w:val="54"/>
        <w:tblW w:w="99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3"/>
        <w:gridCol w:w="2273"/>
        <w:gridCol w:w="825"/>
        <w:gridCol w:w="4830"/>
        <w:gridCol w:w="1310"/>
      </w:tblGrid>
      <w:tr w14:paraId="76A75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743" w:type="dxa"/>
            <w:vAlign w:val="center"/>
          </w:tcPr>
          <w:p w14:paraId="35E46D19">
            <w:pPr>
              <w:spacing w:line="360" w:lineRule="auto"/>
              <w:jc w:val="center"/>
              <w:rPr>
                <w:rFonts w:hAnsi="宋体" w:cs="宋体"/>
                <w:b/>
                <w:bCs/>
                <w:sz w:val="21"/>
                <w:szCs w:val="21"/>
              </w:rPr>
            </w:pPr>
            <w:r>
              <w:rPr>
                <w:rFonts w:hint="eastAsia" w:hAnsi="宋体" w:cs="宋体"/>
                <w:b/>
                <w:bCs/>
                <w:sz w:val="21"/>
                <w:szCs w:val="21"/>
              </w:rPr>
              <w:t>序号</w:t>
            </w:r>
          </w:p>
        </w:tc>
        <w:tc>
          <w:tcPr>
            <w:tcW w:w="2273" w:type="dxa"/>
            <w:vAlign w:val="center"/>
          </w:tcPr>
          <w:p w14:paraId="4D1D2B96">
            <w:pPr>
              <w:spacing w:line="360" w:lineRule="auto"/>
              <w:jc w:val="center"/>
              <w:rPr>
                <w:rFonts w:hAnsi="宋体" w:cs="宋体"/>
                <w:b/>
                <w:bCs/>
                <w:sz w:val="21"/>
                <w:szCs w:val="21"/>
              </w:rPr>
            </w:pPr>
            <w:r>
              <w:rPr>
                <w:rFonts w:hint="eastAsia" w:hAnsi="宋体" w:cs="宋体"/>
                <w:b/>
                <w:bCs/>
                <w:sz w:val="21"/>
                <w:szCs w:val="21"/>
              </w:rPr>
              <w:t>项目名称</w:t>
            </w:r>
          </w:p>
        </w:tc>
        <w:tc>
          <w:tcPr>
            <w:tcW w:w="825" w:type="dxa"/>
            <w:vAlign w:val="center"/>
          </w:tcPr>
          <w:p w14:paraId="4B30057F">
            <w:pPr>
              <w:spacing w:line="360" w:lineRule="auto"/>
              <w:jc w:val="center"/>
              <w:rPr>
                <w:rFonts w:hAnsi="宋体" w:cs="宋体"/>
                <w:b/>
                <w:bCs/>
                <w:sz w:val="21"/>
                <w:szCs w:val="21"/>
              </w:rPr>
            </w:pPr>
            <w:r>
              <w:rPr>
                <w:rFonts w:hint="eastAsia" w:hAnsi="宋体" w:cs="宋体"/>
                <w:b/>
                <w:bCs/>
                <w:sz w:val="21"/>
                <w:szCs w:val="21"/>
              </w:rPr>
              <w:t>数量</w:t>
            </w:r>
          </w:p>
        </w:tc>
        <w:tc>
          <w:tcPr>
            <w:tcW w:w="4830" w:type="dxa"/>
            <w:vAlign w:val="center"/>
          </w:tcPr>
          <w:p w14:paraId="1368B769">
            <w:pPr>
              <w:spacing w:line="360" w:lineRule="auto"/>
              <w:jc w:val="center"/>
              <w:rPr>
                <w:rFonts w:hAnsi="宋体" w:cs="宋体"/>
                <w:b/>
                <w:bCs/>
                <w:sz w:val="21"/>
                <w:szCs w:val="21"/>
              </w:rPr>
            </w:pPr>
            <w:r>
              <w:rPr>
                <w:rFonts w:hint="eastAsia" w:hAnsi="宋体" w:cs="宋体"/>
                <w:b/>
                <w:bCs/>
                <w:sz w:val="21"/>
                <w:szCs w:val="21"/>
              </w:rPr>
              <w:t>简要技术要求</w:t>
            </w:r>
          </w:p>
        </w:tc>
        <w:tc>
          <w:tcPr>
            <w:tcW w:w="1310" w:type="dxa"/>
            <w:vAlign w:val="center"/>
          </w:tcPr>
          <w:p w14:paraId="6FBBBA33">
            <w:pPr>
              <w:spacing w:line="360" w:lineRule="auto"/>
              <w:jc w:val="center"/>
              <w:rPr>
                <w:rFonts w:hAnsi="宋体" w:cs="宋体"/>
                <w:b/>
                <w:bCs/>
                <w:sz w:val="21"/>
                <w:szCs w:val="21"/>
              </w:rPr>
            </w:pPr>
            <w:r>
              <w:rPr>
                <w:rFonts w:hint="eastAsia" w:hAnsi="宋体" w:cs="宋体"/>
                <w:b/>
                <w:bCs/>
                <w:sz w:val="21"/>
                <w:szCs w:val="21"/>
              </w:rPr>
              <w:t>最高限价</w:t>
            </w:r>
          </w:p>
        </w:tc>
      </w:tr>
      <w:tr w14:paraId="22B0D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jc w:val="center"/>
        </w:trPr>
        <w:tc>
          <w:tcPr>
            <w:tcW w:w="743" w:type="dxa"/>
            <w:vAlign w:val="center"/>
          </w:tcPr>
          <w:p w14:paraId="27870E27">
            <w:pPr>
              <w:snapToGrid w:val="0"/>
              <w:spacing w:line="360" w:lineRule="auto"/>
              <w:jc w:val="center"/>
              <w:outlineLvl w:val="1"/>
              <w:rPr>
                <w:rFonts w:hAnsi="宋体" w:cs="宋体"/>
                <w:sz w:val="21"/>
                <w:szCs w:val="21"/>
              </w:rPr>
            </w:pPr>
            <w:r>
              <w:rPr>
                <w:rFonts w:hint="eastAsia" w:hAnsi="宋体" w:cs="宋体"/>
                <w:sz w:val="21"/>
                <w:szCs w:val="21"/>
              </w:rPr>
              <w:t>1</w:t>
            </w:r>
          </w:p>
        </w:tc>
        <w:tc>
          <w:tcPr>
            <w:tcW w:w="2273" w:type="dxa"/>
            <w:vAlign w:val="center"/>
          </w:tcPr>
          <w:p w14:paraId="1BFA1446">
            <w:pPr>
              <w:snapToGrid w:val="0"/>
              <w:spacing w:line="360" w:lineRule="auto"/>
              <w:jc w:val="center"/>
              <w:outlineLvl w:val="1"/>
              <w:rPr>
                <w:rFonts w:hAnsi="宋体" w:cs="宋体"/>
                <w:sz w:val="21"/>
                <w:szCs w:val="21"/>
              </w:rPr>
            </w:pPr>
            <w:r>
              <w:rPr>
                <w:rFonts w:hint="eastAsia" w:hAnsi="宋体" w:cs="宋体"/>
                <w:bCs/>
                <w:sz w:val="21"/>
                <w:szCs w:val="21"/>
              </w:rPr>
              <w:t>磐安县中医院互联网医院中医药综合信息平台项目</w:t>
            </w:r>
          </w:p>
        </w:tc>
        <w:tc>
          <w:tcPr>
            <w:tcW w:w="825" w:type="dxa"/>
            <w:vAlign w:val="center"/>
          </w:tcPr>
          <w:p w14:paraId="7CAD988A">
            <w:pPr>
              <w:snapToGrid w:val="0"/>
              <w:spacing w:line="360" w:lineRule="auto"/>
              <w:jc w:val="center"/>
              <w:outlineLvl w:val="1"/>
              <w:rPr>
                <w:rFonts w:hAnsi="宋体" w:cs="宋体"/>
                <w:sz w:val="21"/>
                <w:szCs w:val="21"/>
              </w:rPr>
            </w:pPr>
            <w:r>
              <w:rPr>
                <w:rFonts w:hint="eastAsia" w:hAnsi="宋体" w:cs="宋体"/>
                <w:sz w:val="21"/>
                <w:szCs w:val="21"/>
              </w:rPr>
              <w:t>1项</w:t>
            </w:r>
          </w:p>
        </w:tc>
        <w:tc>
          <w:tcPr>
            <w:tcW w:w="4830" w:type="dxa"/>
            <w:vAlign w:val="center"/>
          </w:tcPr>
          <w:p w14:paraId="6E4C3DBA">
            <w:pPr>
              <w:jc w:val="center"/>
              <w:rPr>
                <w:rFonts w:hAnsi="宋体" w:cs="宋体"/>
                <w:sz w:val="21"/>
                <w:szCs w:val="21"/>
              </w:rPr>
            </w:pPr>
            <w:r>
              <w:rPr>
                <w:rFonts w:hint="eastAsia" w:hAnsi="宋体" w:cs="宋体"/>
                <w:sz w:val="21"/>
                <w:szCs w:val="21"/>
              </w:rPr>
              <w:t>本项目建设模式为“1＋6模式”：1是指1个平台，即：互联网＋中医健康服务平台；6是指基于统一平台搭建的6大类互联网中医应用；项目建成后，互联网+健康服务平台需开放相应接口，以便与“健康磐安”、“健康金华”等平台以及其它应用的接入；另外，为了充分激活互联网中医应用平台，创新医疗流程和服务模式，需建设一整套成熟完善的互联网医院运营体系（医生运营、患者运营、线上运营、渠下运营、数据）保驾护航，确保平台数据可追溯、可管理、可控制、可分析、可利用。</w:t>
            </w:r>
          </w:p>
        </w:tc>
        <w:tc>
          <w:tcPr>
            <w:tcW w:w="1310" w:type="dxa"/>
            <w:vAlign w:val="center"/>
          </w:tcPr>
          <w:p w14:paraId="7615B63A">
            <w:pPr>
              <w:widowControl/>
              <w:spacing w:line="360" w:lineRule="auto"/>
              <w:jc w:val="center"/>
              <w:textAlignment w:val="center"/>
              <w:rPr>
                <w:rFonts w:hAnsi="宋体" w:cs="宋体"/>
                <w:b/>
                <w:bCs/>
                <w:sz w:val="21"/>
                <w:szCs w:val="21"/>
                <w:u w:val="single"/>
              </w:rPr>
            </w:pPr>
            <w:r>
              <w:rPr>
                <w:rFonts w:hint="eastAsia" w:hAnsi="宋体" w:cs="宋体"/>
                <w:b/>
                <w:bCs/>
                <w:sz w:val="21"/>
                <w:szCs w:val="21"/>
                <w:lang w:eastAsia="zh-CN"/>
              </w:rPr>
              <w:t>273</w:t>
            </w:r>
            <w:r>
              <w:rPr>
                <w:rFonts w:hint="default" w:hAnsi="宋体" w:cs="宋体"/>
                <w:b/>
                <w:bCs/>
                <w:sz w:val="21"/>
                <w:szCs w:val="21"/>
                <w:lang w:val="en-US" w:eastAsia="zh-CN"/>
              </w:rPr>
              <w:t>.24</w:t>
            </w:r>
            <w:r>
              <w:rPr>
                <w:rFonts w:hint="eastAsia" w:hAnsi="宋体" w:cs="宋体"/>
                <w:b/>
                <w:bCs/>
                <w:sz w:val="21"/>
                <w:szCs w:val="21"/>
              </w:rPr>
              <w:t>万元</w:t>
            </w:r>
          </w:p>
        </w:tc>
      </w:tr>
    </w:tbl>
    <w:p w14:paraId="6018C80C">
      <w:pPr>
        <w:pStyle w:val="3"/>
        <w:keepNext/>
        <w:keepLines/>
        <w:pageBreakBefore w:val="0"/>
        <w:widowControl w:val="0"/>
        <w:kinsoku/>
        <w:wordWrap/>
        <w:overflowPunct/>
        <w:topLinePunct w:val="0"/>
        <w:autoSpaceDE/>
        <w:autoSpaceDN/>
        <w:bidi w:val="0"/>
        <w:adjustRightInd/>
        <w:snapToGrid/>
        <w:spacing w:before="260" w:after="20" w:line="360" w:lineRule="auto"/>
        <w:ind w:firstLine="562" w:firstLineChars="200"/>
        <w:textAlignment w:val="auto"/>
        <w:rPr>
          <w:rFonts w:hint="eastAsia" w:ascii="Arial" w:hAnsi="Arial" w:eastAsia="宋体" w:cs="Times New Roman"/>
          <w:b/>
          <w:bCs/>
          <w:color w:val="auto"/>
          <w:kern w:val="2"/>
          <w:sz w:val="28"/>
          <w:szCs w:val="32"/>
          <w:highlight w:val="none"/>
        </w:rPr>
      </w:pPr>
      <w:r>
        <w:rPr>
          <w:rFonts w:hint="eastAsia" w:ascii="Arial" w:hAnsi="Arial" w:eastAsia="宋体" w:cs="Times New Roman"/>
          <w:b/>
          <w:bCs/>
          <w:color w:val="auto"/>
          <w:kern w:val="2"/>
          <w:sz w:val="28"/>
          <w:szCs w:val="32"/>
          <w:highlight w:val="none"/>
        </w:rPr>
        <w:t>二、合格投标人的资格要求</w:t>
      </w:r>
    </w:p>
    <w:p w14:paraId="50D756D1">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s="Arial"/>
          <w:bCs/>
          <w:color w:val="auto"/>
          <w:sz w:val="24"/>
          <w:highlight w:val="none"/>
        </w:rPr>
        <w:t>1.满足《中华人民共和国政府采购法》第二十二条规定；未被“信用中国”网站（www.creditchina.gov.cn）、中国政府采购网（www.ccgp.gov.cn）列入失信被执行人、重大税收违法当事人名单、政府采购严重违法失信行为记录名单；</w:t>
      </w:r>
    </w:p>
    <w:p w14:paraId="68CAD147">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s="Arial"/>
          <w:bCs/>
          <w:color w:val="auto"/>
          <w:sz w:val="24"/>
          <w:highlight w:val="none"/>
          <w:lang w:val="en-US" w:eastAsia="zh-CN"/>
        </w:rPr>
        <w:t>2</w:t>
      </w:r>
      <w:r>
        <w:rPr>
          <w:rFonts w:hint="eastAsia" w:ascii="宋体" w:hAnsi="宋体" w:cs="Arial"/>
          <w:bCs/>
          <w:color w:val="auto"/>
          <w:sz w:val="24"/>
          <w:highlight w:val="none"/>
        </w:rPr>
        <w:t>.特定资格条件：无；</w:t>
      </w:r>
    </w:p>
    <w:p w14:paraId="07F9CB39">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s="Arial"/>
          <w:bCs/>
          <w:color w:val="auto"/>
          <w:sz w:val="24"/>
          <w:highlight w:val="none"/>
          <w:lang w:val="en-US" w:eastAsia="zh-CN"/>
        </w:rPr>
        <w:t>3.</w:t>
      </w:r>
      <w:r>
        <w:rPr>
          <w:rFonts w:hint="eastAsia" w:ascii="宋体" w:hAnsi="宋体" w:cs="Arial"/>
          <w:bCs/>
          <w:color w:val="auto"/>
          <w:sz w:val="24"/>
          <w:highlight w:val="none"/>
        </w:rPr>
        <w:t>落实政府采购政策需满足的资格要求：</w:t>
      </w:r>
    </w:p>
    <w:p w14:paraId="59D842D9">
      <w:pPr>
        <w:spacing w:line="480" w:lineRule="exact"/>
        <w:ind w:firstLine="720" w:firstLineChars="300"/>
        <w:rPr>
          <w:rFonts w:hint="eastAsia" w:ascii="宋体" w:hAnsi="宋体"/>
          <w:color w:val="auto"/>
          <w:sz w:val="24"/>
          <w:highlight w:val="none"/>
        </w:rPr>
      </w:pPr>
      <w:r>
        <w:rPr>
          <w:rFonts w:hint="eastAsia" w:ascii="宋体" w:hAnsi="宋体"/>
          <w:color w:val="auto"/>
          <w:sz w:val="24"/>
          <w:highlight w:val="none"/>
        </w:rPr>
        <w:sym w:font="Wingdings" w:char="00FE"/>
      </w:r>
      <w:r>
        <w:rPr>
          <w:rFonts w:hint="eastAsia" w:ascii="宋体" w:hAnsi="宋体"/>
          <w:color w:val="auto"/>
          <w:sz w:val="24"/>
          <w:highlight w:val="none"/>
        </w:rPr>
        <w:t>本项目不专门面向中小企业</w:t>
      </w:r>
      <w:r>
        <w:rPr>
          <w:rFonts w:hint="eastAsia" w:ascii="宋体" w:hAnsi="宋体"/>
          <w:color w:val="auto"/>
          <w:sz w:val="24"/>
          <w:highlight w:val="none"/>
          <w:lang w:eastAsia="zh-CN"/>
        </w:rPr>
        <w:t>。</w:t>
      </w:r>
    </w:p>
    <w:p w14:paraId="4D7E1EA3">
      <w:pPr>
        <w:spacing w:line="480" w:lineRule="exact"/>
        <w:ind w:firstLine="720" w:firstLineChars="300"/>
        <w:rPr>
          <w:rFonts w:hint="eastAsia" w:ascii="宋体" w:hAnsi="宋体"/>
          <w:color w:val="auto"/>
          <w:sz w:val="24"/>
          <w:highlight w:val="none"/>
        </w:rPr>
      </w:pPr>
      <w:r>
        <w:rPr>
          <w:rFonts w:hint="eastAsia" w:ascii="宋体" w:hAnsi="宋体"/>
          <w:color w:val="auto"/>
          <w:sz w:val="24"/>
          <w:highlight w:val="none"/>
        </w:rPr>
        <w:sym w:font="Wingdings" w:char="00A8"/>
      </w:r>
      <w:r>
        <w:rPr>
          <w:rFonts w:hint="eastAsia" w:ascii="宋体" w:hAnsi="宋体"/>
          <w:color w:val="auto"/>
          <w:sz w:val="24"/>
          <w:highlight w:val="none"/>
        </w:rPr>
        <w:t>本项目专门面向中小企业</w:t>
      </w:r>
      <w:r>
        <w:rPr>
          <w:rFonts w:hint="eastAsia" w:ascii="宋体" w:hAnsi="宋体"/>
          <w:color w:val="auto"/>
          <w:sz w:val="24"/>
          <w:highlight w:val="none"/>
          <w:lang w:eastAsia="zh-CN"/>
        </w:rPr>
        <w:t>。</w:t>
      </w:r>
    </w:p>
    <w:p w14:paraId="4DB14D94">
      <w:pPr>
        <w:spacing w:line="480" w:lineRule="exact"/>
        <w:ind w:firstLine="1200" w:firstLineChars="500"/>
        <w:rPr>
          <w:rFonts w:hint="eastAsia" w:ascii="宋体" w:hAnsi="宋体"/>
          <w:color w:val="auto"/>
          <w:sz w:val="24"/>
          <w:highlight w:val="none"/>
        </w:rPr>
      </w:pPr>
      <w:r>
        <w:rPr>
          <w:rFonts w:hint="eastAsia" w:ascii="宋体" w:hAnsi="宋体"/>
          <w:color w:val="auto"/>
          <w:sz w:val="24"/>
          <w:highlight w:val="none"/>
        </w:rPr>
        <w:sym w:font="Wingdings" w:char="00A8"/>
      </w:r>
      <w:r>
        <w:rPr>
          <w:rFonts w:hint="eastAsia" w:ascii="宋体" w:hAnsi="宋体"/>
          <w:color w:val="auto"/>
          <w:sz w:val="24"/>
          <w:highlight w:val="none"/>
        </w:rPr>
        <w:t>货物全部由符合政策要求的中小企业制造，提供中小企业声明函；</w:t>
      </w:r>
    </w:p>
    <w:p w14:paraId="7241869B">
      <w:pPr>
        <w:spacing w:line="480" w:lineRule="exact"/>
        <w:ind w:firstLine="1200" w:firstLineChars="500"/>
        <w:rPr>
          <w:rFonts w:hint="eastAsia" w:ascii="宋体" w:hAnsi="宋体"/>
          <w:color w:val="auto"/>
          <w:sz w:val="24"/>
          <w:highlight w:val="none"/>
        </w:rPr>
      </w:pPr>
      <w:r>
        <w:rPr>
          <w:rFonts w:hint="eastAsia" w:ascii="宋体" w:hAnsi="宋体"/>
          <w:color w:val="auto"/>
          <w:sz w:val="24"/>
          <w:highlight w:val="none"/>
        </w:rPr>
        <w:sym w:font="Wingdings" w:char="00A8"/>
      </w:r>
      <w:r>
        <w:rPr>
          <w:rFonts w:hint="eastAsia" w:ascii="宋体" w:hAnsi="宋体"/>
          <w:color w:val="auto"/>
          <w:sz w:val="24"/>
          <w:highlight w:val="none"/>
        </w:rPr>
        <w:t>货物全部由符合政策要求的小微企业制造，提供中小企业声明函；</w:t>
      </w:r>
    </w:p>
    <w:p w14:paraId="632947DA">
      <w:pPr>
        <w:spacing w:line="480" w:lineRule="exact"/>
        <w:ind w:firstLine="1200" w:firstLineChars="500"/>
        <w:rPr>
          <w:rFonts w:hint="eastAsia" w:ascii="宋体" w:hAnsi="宋体"/>
          <w:color w:val="auto"/>
          <w:sz w:val="24"/>
          <w:highlight w:val="none"/>
        </w:rPr>
      </w:pPr>
      <w:r>
        <w:rPr>
          <w:rFonts w:hint="eastAsia" w:ascii="宋体" w:hAnsi="宋体"/>
          <w:color w:val="auto"/>
          <w:sz w:val="24"/>
          <w:highlight w:val="none"/>
        </w:rPr>
        <w:sym w:font="Wingdings" w:char="00A8"/>
      </w:r>
      <w:r>
        <w:rPr>
          <w:rFonts w:hint="eastAsia" w:ascii="宋体" w:hAnsi="宋体"/>
          <w:color w:val="auto"/>
          <w:sz w:val="24"/>
          <w:highlight w:val="none"/>
        </w:rPr>
        <w:t>工程全部由符合政策要求的中小企业承接，提供中小企业声明函；</w:t>
      </w:r>
    </w:p>
    <w:p w14:paraId="000930E9">
      <w:pPr>
        <w:spacing w:line="480" w:lineRule="exact"/>
        <w:ind w:firstLine="1200" w:firstLineChars="500"/>
        <w:rPr>
          <w:rFonts w:hint="eastAsia" w:ascii="宋体" w:hAnsi="宋体"/>
          <w:color w:val="auto"/>
          <w:sz w:val="24"/>
          <w:highlight w:val="none"/>
        </w:rPr>
      </w:pPr>
      <w:r>
        <w:rPr>
          <w:rFonts w:hint="eastAsia" w:ascii="宋体" w:hAnsi="宋体"/>
          <w:color w:val="auto"/>
          <w:sz w:val="24"/>
          <w:highlight w:val="none"/>
        </w:rPr>
        <w:sym w:font="Wingdings" w:char="00A8"/>
      </w:r>
      <w:r>
        <w:rPr>
          <w:rFonts w:hint="eastAsia" w:ascii="宋体" w:hAnsi="宋体"/>
          <w:color w:val="auto"/>
          <w:sz w:val="24"/>
          <w:highlight w:val="none"/>
        </w:rPr>
        <w:t>工程全部由符合政策要求的小微企业承接，提供中小企业声明函；</w:t>
      </w:r>
    </w:p>
    <w:p w14:paraId="290CB4FB">
      <w:pPr>
        <w:spacing w:line="480" w:lineRule="exact"/>
        <w:ind w:firstLine="1200" w:firstLineChars="500"/>
        <w:rPr>
          <w:rFonts w:hint="eastAsia" w:ascii="宋体" w:hAnsi="宋体"/>
          <w:color w:val="auto"/>
          <w:sz w:val="24"/>
          <w:highlight w:val="none"/>
        </w:rPr>
      </w:pPr>
      <w:r>
        <w:rPr>
          <w:rFonts w:hint="eastAsia" w:ascii="宋体" w:hAnsi="宋体"/>
          <w:color w:val="auto"/>
          <w:sz w:val="24"/>
          <w:highlight w:val="none"/>
        </w:rPr>
        <w:sym w:font="Wingdings" w:char="00A8"/>
      </w:r>
      <w:r>
        <w:rPr>
          <w:rFonts w:hint="eastAsia" w:ascii="宋体" w:hAnsi="宋体"/>
          <w:color w:val="auto"/>
          <w:sz w:val="24"/>
          <w:highlight w:val="none"/>
        </w:rPr>
        <w:t>服务全部由符合政策要求的中小企业承接，提供中小企业声明函；</w:t>
      </w:r>
    </w:p>
    <w:p w14:paraId="3FC49AE2">
      <w:pPr>
        <w:spacing w:line="480" w:lineRule="exact"/>
        <w:ind w:firstLine="1200" w:firstLineChars="500"/>
        <w:rPr>
          <w:rFonts w:hint="eastAsia"/>
          <w:color w:val="auto"/>
          <w:highlight w:val="none"/>
        </w:rPr>
      </w:pPr>
      <w:r>
        <w:rPr>
          <w:rFonts w:hint="eastAsia" w:ascii="宋体" w:hAnsi="宋体"/>
          <w:color w:val="auto"/>
          <w:sz w:val="24"/>
          <w:highlight w:val="none"/>
        </w:rPr>
        <w:sym w:font="Wingdings" w:char="00A8"/>
      </w:r>
      <w:r>
        <w:rPr>
          <w:rFonts w:hint="eastAsia" w:ascii="宋体" w:hAnsi="宋体"/>
          <w:color w:val="auto"/>
          <w:sz w:val="24"/>
          <w:highlight w:val="none"/>
        </w:rPr>
        <w:t>服务全部由符合政策要求的小微企业承接，提供中小企业声明函；</w:t>
      </w:r>
    </w:p>
    <w:p w14:paraId="4C4D80D6">
      <w:pPr>
        <w:snapToGrid w:val="0"/>
        <w:spacing w:line="480" w:lineRule="exact"/>
        <w:ind w:right="218" w:rightChars="104" w:firstLine="480" w:firstLineChars="200"/>
        <w:rPr>
          <w:rFonts w:hint="eastAsia" w:ascii="宋体" w:hAnsi="宋体" w:cs="Arial"/>
          <w:bCs/>
          <w:color w:val="auto"/>
          <w:sz w:val="24"/>
          <w:highlight w:val="none"/>
        </w:rPr>
      </w:pPr>
      <w:bookmarkStart w:id="9" w:name="_Toc19722"/>
      <w:bookmarkStart w:id="10" w:name="_Toc23203"/>
      <w:bookmarkStart w:id="11" w:name="_Toc7631"/>
      <w:bookmarkStart w:id="12" w:name="_Toc2481"/>
      <w:bookmarkStart w:id="13" w:name="_Toc18695"/>
      <w:bookmarkStart w:id="14" w:name="_Toc25035"/>
      <w:bookmarkStart w:id="15" w:name="_Toc23431"/>
      <w:r>
        <w:rPr>
          <w:rFonts w:hint="eastAsia" w:ascii="宋体" w:hAnsi="宋体" w:cs="Arial"/>
          <w:bCs/>
          <w:color w:val="auto"/>
          <w:sz w:val="24"/>
          <w:highlight w:val="none"/>
        </w:rPr>
        <w:t>4.本项目接受</w:t>
      </w:r>
      <w:r>
        <w:rPr>
          <w:rFonts w:hint="eastAsia" w:ascii="宋体" w:hAnsi="宋体" w:cs="Arial"/>
          <w:bCs/>
          <w:color w:val="auto"/>
          <w:sz w:val="24"/>
          <w:highlight w:val="none"/>
          <w:lang w:eastAsia="zh-CN"/>
        </w:rPr>
        <w:t>（</w:t>
      </w:r>
      <w:r>
        <w:rPr>
          <w:rFonts w:hint="eastAsia" w:ascii="宋体" w:hAnsi="宋体"/>
          <w:color w:val="auto"/>
          <w:sz w:val="24"/>
          <w:highlight w:val="none"/>
        </w:rPr>
        <w:sym w:font="Wingdings" w:char="00FE"/>
      </w:r>
      <w:r>
        <w:rPr>
          <w:rFonts w:hint="eastAsia" w:ascii="宋体" w:hAnsi="宋体" w:cs="Arial"/>
          <w:bCs/>
          <w:color w:val="auto"/>
          <w:sz w:val="24"/>
          <w:highlight w:val="none"/>
          <w:lang w:eastAsia="zh-CN"/>
        </w:rPr>
        <w:t>部分</w:t>
      </w:r>
      <w:r>
        <w:rPr>
          <w:rFonts w:hint="eastAsia" w:ascii="宋体" w:hAnsi="宋体" w:cs="Arial"/>
          <w:bCs/>
          <w:color w:val="auto"/>
          <w:sz w:val="24"/>
          <w:highlight w:val="none"/>
          <w:lang w:val="en-US" w:eastAsia="zh-CN"/>
        </w:rPr>
        <w:t>/</w:t>
      </w:r>
      <w:r>
        <w:rPr>
          <w:rFonts w:hint="eastAsia" w:ascii="宋体" w:hAnsi="宋体"/>
          <w:color w:val="auto"/>
          <w:sz w:val="24"/>
          <w:highlight w:val="none"/>
        </w:rPr>
        <w:sym w:font="Wingdings" w:char="00A8"/>
      </w:r>
      <w:r>
        <w:rPr>
          <w:rFonts w:hint="eastAsia" w:ascii="宋体" w:hAnsi="宋体" w:cs="Arial"/>
          <w:bCs/>
          <w:color w:val="auto"/>
          <w:sz w:val="24"/>
          <w:highlight w:val="none"/>
          <w:lang w:val="en-US" w:eastAsia="zh-CN"/>
        </w:rPr>
        <w:t>全部</w:t>
      </w:r>
      <w:r>
        <w:rPr>
          <w:rFonts w:hint="eastAsia" w:ascii="宋体" w:hAnsi="宋体" w:cs="Arial"/>
          <w:bCs/>
          <w:color w:val="auto"/>
          <w:sz w:val="24"/>
          <w:highlight w:val="none"/>
          <w:lang w:eastAsia="zh-CN"/>
        </w:rPr>
        <w:t>）</w:t>
      </w:r>
      <w:r>
        <w:rPr>
          <w:rFonts w:hint="eastAsia" w:ascii="宋体" w:hAnsi="宋体" w:cs="Arial"/>
          <w:bCs/>
          <w:color w:val="auto"/>
          <w:sz w:val="24"/>
          <w:highlight w:val="none"/>
        </w:rPr>
        <w:t>联合体投标。</w:t>
      </w:r>
    </w:p>
    <w:p w14:paraId="52A8FE86">
      <w:pPr>
        <w:spacing w:line="480" w:lineRule="exact"/>
        <w:ind w:firstLine="1200" w:firstLineChars="500"/>
        <w:rPr>
          <w:rFonts w:hint="eastAsia" w:ascii="宋体" w:hAnsi="宋体" w:eastAsia="宋体"/>
          <w:color w:val="auto"/>
          <w:sz w:val="24"/>
          <w:highlight w:val="none"/>
          <w:lang w:val="en-US" w:eastAsia="zh-CN"/>
        </w:rPr>
      </w:pPr>
      <w:r>
        <w:rPr>
          <w:rFonts w:hint="eastAsia" w:ascii="宋体" w:hAnsi="宋体"/>
          <w:color w:val="auto"/>
          <w:sz w:val="24"/>
          <w:highlight w:val="none"/>
        </w:rPr>
        <w:sym w:font="Wingdings" w:char="00A8"/>
      </w:r>
      <w:r>
        <w:rPr>
          <w:rFonts w:hint="eastAsia" w:ascii="宋体" w:hAnsi="宋体"/>
          <w:color w:val="auto"/>
          <w:sz w:val="24"/>
          <w:highlight w:val="none"/>
        </w:rPr>
        <w:t>大型企业与大型企业组成联合体</w:t>
      </w:r>
      <w:r>
        <w:rPr>
          <w:rFonts w:hint="eastAsia" w:ascii="宋体" w:hAnsi="宋体"/>
          <w:color w:val="auto"/>
          <w:sz w:val="24"/>
          <w:highlight w:val="none"/>
          <w:lang w:eastAsia="zh-CN"/>
        </w:rPr>
        <w:t>；</w:t>
      </w:r>
    </w:p>
    <w:p w14:paraId="3A2CAD97">
      <w:pPr>
        <w:spacing w:line="480" w:lineRule="exact"/>
        <w:ind w:firstLine="1200" w:firstLineChars="500"/>
        <w:rPr>
          <w:rFonts w:hint="eastAsia" w:ascii="宋体" w:hAnsi="宋体"/>
          <w:color w:val="auto"/>
          <w:sz w:val="24"/>
          <w:highlight w:val="none"/>
        </w:rPr>
      </w:pPr>
      <w:r>
        <w:rPr>
          <w:rFonts w:hint="eastAsia" w:ascii="宋体" w:hAnsi="宋体"/>
          <w:color w:val="auto"/>
          <w:sz w:val="24"/>
          <w:highlight w:val="none"/>
        </w:rPr>
        <w:sym w:font="Wingdings" w:char="00A8"/>
      </w:r>
      <w:r>
        <w:rPr>
          <w:rFonts w:hint="eastAsia" w:ascii="宋体" w:hAnsi="宋体"/>
          <w:color w:val="auto"/>
          <w:sz w:val="24"/>
          <w:highlight w:val="none"/>
        </w:rPr>
        <w:t>大型企业与</w:t>
      </w:r>
      <w:r>
        <w:rPr>
          <w:rFonts w:hint="eastAsia" w:ascii="宋体" w:hAnsi="宋体" w:cs="Arial"/>
          <w:bCs/>
          <w:color w:val="auto"/>
          <w:sz w:val="24"/>
          <w:highlight w:val="none"/>
        </w:rPr>
        <w:t>中型</w:t>
      </w:r>
      <w:r>
        <w:rPr>
          <w:rFonts w:hint="eastAsia" w:ascii="宋体" w:hAnsi="宋体"/>
          <w:color w:val="auto"/>
          <w:sz w:val="24"/>
          <w:highlight w:val="none"/>
        </w:rPr>
        <w:t>企业组成联合体；</w:t>
      </w:r>
    </w:p>
    <w:p w14:paraId="5EECEC12">
      <w:pPr>
        <w:spacing w:line="480" w:lineRule="exact"/>
        <w:ind w:firstLine="1200" w:firstLineChars="500"/>
        <w:rPr>
          <w:rFonts w:hint="eastAsia" w:ascii="宋体" w:hAnsi="宋体"/>
          <w:color w:val="auto"/>
          <w:sz w:val="24"/>
          <w:highlight w:val="none"/>
        </w:rPr>
      </w:pPr>
      <w:r>
        <w:rPr>
          <w:rFonts w:hint="eastAsia" w:ascii="宋体" w:hAnsi="宋体"/>
          <w:color w:val="auto"/>
          <w:sz w:val="24"/>
          <w:highlight w:val="none"/>
        </w:rPr>
        <w:sym w:font="Wingdings" w:char="00FE"/>
      </w:r>
      <w:r>
        <w:rPr>
          <w:rFonts w:hint="eastAsia" w:ascii="宋体" w:hAnsi="宋体"/>
          <w:color w:val="auto"/>
          <w:sz w:val="24"/>
          <w:highlight w:val="none"/>
        </w:rPr>
        <w:t>大型企业与小微企业组成联合体；</w:t>
      </w:r>
    </w:p>
    <w:p w14:paraId="607DE3D6">
      <w:pPr>
        <w:spacing w:line="480" w:lineRule="exact"/>
        <w:ind w:firstLine="1200" w:firstLineChars="500"/>
        <w:rPr>
          <w:rFonts w:hint="eastAsia" w:ascii="宋体" w:hAnsi="宋体"/>
          <w:color w:val="auto"/>
          <w:sz w:val="24"/>
          <w:highlight w:val="none"/>
        </w:rPr>
      </w:pPr>
      <w:r>
        <w:rPr>
          <w:rFonts w:hint="eastAsia" w:ascii="宋体" w:hAnsi="宋体"/>
          <w:color w:val="auto"/>
          <w:sz w:val="24"/>
          <w:highlight w:val="none"/>
        </w:rPr>
        <w:sym w:font="Wingdings" w:char="00A8"/>
      </w:r>
      <w:r>
        <w:rPr>
          <w:rFonts w:hint="eastAsia" w:ascii="宋体" w:hAnsi="宋体" w:cs="Arial"/>
          <w:bCs/>
          <w:color w:val="auto"/>
          <w:sz w:val="24"/>
          <w:highlight w:val="none"/>
        </w:rPr>
        <w:t>中型企业与中型企业组成联合体</w:t>
      </w:r>
      <w:r>
        <w:rPr>
          <w:rFonts w:hint="eastAsia" w:ascii="宋体" w:hAnsi="宋体"/>
          <w:color w:val="auto"/>
          <w:sz w:val="24"/>
          <w:highlight w:val="none"/>
        </w:rPr>
        <w:t>；</w:t>
      </w:r>
    </w:p>
    <w:p w14:paraId="7F1035A3">
      <w:pPr>
        <w:spacing w:line="480" w:lineRule="exact"/>
        <w:ind w:firstLine="1200" w:firstLineChars="500"/>
        <w:rPr>
          <w:rFonts w:hint="eastAsia"/>
          <w:color w:val="auto"/>
          <w:highlight w:val="none"/>
        </w:rPr>
      </w:pPr>
      <w:r>
        <w:rPr>
          <w:rFonts w:hint="eastAsia" w:ascii="宋体" w:hAnsi="宋体"/>
          <w:color w:val="auto"/>
          <w:sz w:val="24"/>
          <w:highlight w:val="none"/>
        </w:rPr>
        <w:sym w:font="Wingdings" w:char="00FE"/>
      </w:r>
      <w:r>
        <w:rPr>
          <w:rFonts w:hint="eastAsia" w:ascii="宋体" w:hAnsi="宋体" w:cs="Arial"/>
          <w:bCs/>
          <w:color w:val="auto"/>
          <w:sz w:val="24"/>
          <w:highlight w:val="none"/>
        </w:rPr>
        <w:t>中型企业与小微企业组成联合体</w:t>
      </w:r>
      <w:r>
        <w:rPr>
          <w:rFonts w:hint="eastAsia" w:ascii="宋体" w:hAnsi="宋体"/>
          <w:color w:val="auto"/>
          <w:sz w:val="24"/>
          <w:highlight w:val="none"/>
        </w:rPr>
        <w:t>；</w:t>
      </w:r>
    </w:p>
    <w:p w14:paraId="1200F6D8">
      <w:pPr>
        <w:spacing w:line="480" w:lineRule="exact"/>
        <w:ind w:firstLine="1200" w:firstLineChars="500"/>
        <w:rPr>
          <w:rFonts w:hint="eastAsia" w:ascii="宋体" w:hAnsi="宋体" w:cs="Arial"/>
          <w:bCs/>
          <w:color w:val="auto"/>
          <w:sz w:val="24"/>
          <w:highlight w:val="none"/>
        </w:rPr>
      </w:pPr>
      <w:r>
        <w:rPr>
          <w:rFonts w:hint="eastAsia" w:ascii="宋体" w:hAnsi="宋体"/>
          <w:color w:val="auto"/>
          <w:sz w:val="24"/>
          <w:highlight w:val="none"/>
        </w:rPr>
        <w:sym w:font="Wingdings" w:char="00FE"/>
      </w:r>
      <w:r>
        <w:rPr>
          <w:rFonts w:hint="eastAsia" w:ascii="宋体" w:hAnsi="宋体" w:cs="Arial"/>
          <w:bCs/>
          <w:color w:val="auto"/>
          <w:sz w:val="24"/>
          <w:highlight w:val="none"/>
        </w:rPr>
        <w:t>小微企业与小微企业组成联合体</w:t>
      </w:r>
      <w:r>
        <w:rPr>
          <w:rFonts w:hint="eastAsia" w:ascii="宋体" w:hAnsi="宋体"/>
          <w:color w:val="auto"/>
          <w:sz w:val="24"/>
          <w:highlight w:val="none"/>
        </w:rPr>
        <w:t>；</w:t>
      </w:r>
    </w:p>
    <w:p w14:paraId="751F9042">
      <w:pPr>
        <w:snapToGrid w:val="0"/>
        <w:spacing w:line="480" w:lineRule="exact"/>
        <w:ind w:right="218" w:rightChars="104" w:firstLine="480" w:firstLineChars="200"/>
        <w:rPr>
          <w:rFonts w:hint="eastAsia" w:ascii="宋体" w:hAnsi="宋体" w:eastAsia="宋体" w:cs="Arial"/>
          <w:bCs/>
          <w:color w:val="auto"/>
          <w:sz w:val="24"/>
          <w:highlight w:val="none"/>
        </w:rPr>
      </w:pPr>
      <w:r>
        <w:rPr>
          <w:rFonts w:hint="eastAsia" w:ascii="宋体" w:hAnsi="宋体" w:cs="Arial"/>
          <w:bCs/>
          <w:color w:val="auto"/>
          <w:sz w:val="24"/>
          <w:highlight w:val="none"/>
        </w:rPr>
        <w:t>组成联合体投标的：提供联合协议和中小企业声明函（详见附件），且联合协议小微企业合同份额应当达到合同总金额的30%。签订的联合体协议书应明确联合体牵头人和各方权利义务，联合体各方不得再以自己名义单独或参加其他联合体在本项目中投标；联合</w:t>
      </w:r>
      <w:r>
        <w:rPr>
          <w:rFonts w:hint="eastAsia" w:ascii="宋体" w:hAnsi="宋体" w:eastAsia="宋体" w:cs="Arial"/>
          <w:bCs/>
          <w:color w:val="auto"/>
          <w:sz w:val="24"/>
          <w:highlight w:val="none"/>
        </w:rPr>
        <w:t>体各方按要求签字、盖章后上传联合体协议书原件。牵头人制作、上传、解密电子投标文件即可。</w:t>
      </w:r>
    </w:p>
    <w:p w14:paraId="4B77AE42">
      <w:pPr>
        <w:snapToGrid w:val="0"/>
        <w:spacing w:line="480" w:lineRule="exact"/>
        <w:ind w:right="218" w:rightChars="104" w:firstLine="480" w:firstLineChars="200"/>
        <w:rPr>
          <w:rFonts w:hint="eastAsia" w:ascii="宋体" w:hAnsi="宋体" w:eastAsia="宋体" w:cs="Arial"/>
          <w:bCs/>
          <w:color w:val="auto"/>
          <w:sz w:val="24"/>
          <w:highlight w:val="none"/>
          <w:lang w:val="en-US" w:eastAsia="zh-CN"/>
        </w:rPr>
      </w:pPr>
      <w:r>
        <w:rPr>
          <w:rFonts w:hint="eastAsia" w:ascii="宋体" w:hAnsi="宋体" w:eastAsia="宋体" w:cs="Arial"/>
          <w:bCs/>
          <w:color w:val="auto"/>
          <w:sz w:val="24"/>
          <w:highlight w:val="none"/>
          <w:lang w:val="en-US" w:eastAsia="zh-CN"/>
        </w:rPr>
        <w:t>向小微企业合理分包的：提供分包意向协议和中小企业声明函</w:t>
      </w:r>
      <w:r>
        <w:rPr>
          <w:rFonts w:hint="eastAsia" w:ascii="宋体" w:hAnsi="宋体" w:cs="Arial"/>
          <w:bCs/>
          <w:color w:val="auto"/>
          <w:sz w:val="24"/>
          <w:highlight w:val="none"/>
        </w:rPr>
        <w:t>（详见附件）</w:t>
      </w:r>
      <w:r>
        <w:rPr>
          <w:rFonts w:hint="eastAsia" w:ascii="宋体" w:hAnsi="宋体" w:cs="Arial"/>
          <w:bCs/>
          <w:color w:val="auto"/>
          <w:sz w:val="24"/>
          <w:highlight w:val="none"/>
          <w:lang w:val="en-US" w:eastAsia="zh-CN"/>
        </w:rPr>
        <w:t>,</w:t>
      </w:r>
      <w:r>
        <w:rPr>
          <w:rFonts w:hint="eastAsia" w:ascii="宋体" w:hAnsi="宋体" w:cs="Arial"/>
          <w:bCs/>
          <w:color w:val="auto"/>
          <w:sz w:val="24"/>
          <w:highlight w:val="none"/>
        </w:rPr>
        <w:t>且</w:t>
      </w:r>
      <w:r>
        <w:rPr>
          <w:rFonts w:hint="eastAsia" w:ascii="宋体" w:hAnsi="宋体" w:cs="Arial"/>
          <w:bCs/>
          <w:color w:val="auto"/>
          <w:sz w:val="24"/>
          <w:highlight w:val="none"/>
          <w:lang w:eastAsia="zh-CN"/>
        </w:rPr>
        <w:t>分包</w:t>
      </w:r>
      <w:r>
        <w:rPr>
          <w:rFonts w:hint="eastAsia" w:ascii="宋体" w:hAnsi="宋体" w:cs="Arial"/>
          <w:bCs/>
          <w:color w:val="auto"/>
          <w:sz w:val="24"/>
          <w:highlight w:val="none"/>
        </w:rPr>
        <w:t>协议小微企业合同份额应当达到</w:t>
      </w:r>
      <w:r>
        <w:rPr>
          <w:rFonts w:hint="eastAsia" w:ascii="宋体" w:hAnsi="宋体" w:cs="Arial"/>
          <w:bCs/>
          <w:color w:val="auto"/>
          <w:sz w:val="24"/>
          <w:highlight w:val="none"/>
          <w:lang w:eastAsia="zh-CN"/>
        </w:rPr>
        <w:t>本项目规定的比例，如无特别规定的，小微企业合同份额应占</w:t>
      </w:r>
      <w:r>
        <w:rPr>
          <w:rFonts w:hint="eastAsia" w:ascii="宋体" w:hAnsi="宋体" w:cs="Arial"/>
          <w:bCs/>
          <w:color w:val="auto"/>
          <w:sz w:val="24"/>
          <w:highlight w:val="none"/>
        </w:rPr>
        <w:t>合同总金额的30%</w:t>
      </w:r>
      <w:r>
        <w:rPr>
          <w:rFonts w:hint="eastAsia" w:ascii="宋体" w:hAnsi="宋体" w:cs="Arial"/>
          <w:bCs/>
          <w:color w:val="auto"/>
          <w:sz w:val="24"/>
          <w:highlight w:val="none"/>
          <w:lang w:eastAsia="zh-CN"/>
        </w:rPr>
        <w:t>及以上</w:t>
      </w:r>
      <w:r>
        <w:rPr>
          <w:rFonts w:hint="eastAsia" w:ascii="宋体" w:hAnsi="宋体" w:cs="Arial"/>
          <w:bCs/>
          <w:color w:val="auto"/>
          <w:sz w:val="24"/>
          <w:highlight w:val="none"/>
        </w:rPr>
        <w:t>。</w:t>
      </w:r>
    </w:p>
    <w:p w14:paraId="0E4F50AD">
      <w:pPr>
        <w:snapToGrid w:val="0"/>
        <w:spacing w:line="480" w:lineRule="exact"/>
        <w:ind w:right="218" w:rightChars="104" w:firstLine="480" w:firstLineChars="200"/>
        <w:rPr>
          <w:rFonts w:hint="eastAsia" w:ascii="Arial" w:hAnsi="Arial"/>
          <w:color w:val="auto"/>
          <w:kern w:val="2"/>
          <w:sz w:val="28"/>
          <w:szCs w:val="32"/>
          <w:highlight w:val="none"/>
        </w:rPr>
      </w:pPr>
      <w:r>
        <w:rPr>
          <w:rFonts w:hint="eastAsia" w:ascii="宋体" w:hAnsi="宋体" w:eastAsia="宋体" w:cs="Arial"/>
          <w:bCs/>
          <w:color w:val="auto"/>
          <w:sz w:val="24"/>
          <w:highlight w:val="none"/>
        </w:rPr>
        <w:t>5.单位负责人为同一人或者存在直接控股、管理关系的不同供应商，不得参加同一合同项下的政府采购活动；为</w:t>
      </w:r>
      <w:r>
        <w:rPr>
          <w:rFonts w:hint="eastAsia" w:ascii="宋体" w:hAnsi="宋体" w:cs="Arial"/>
          <w:bCs/>
          <w:color w:val="auto"/>
          <w:sz w:val="24"/>
          <w:highlight w:val="none"/>
        </w:rPr>
        <w:t>采购项目提供整体设计、规范编制或者项目管理、监理、检测等服务后不得再参加该采购项目的其他采购活动。</w:t>
      </w:r>
    </w:p>
    <w:p w14:paraId="7938D76C">
      <w:pPr>
        <w:pStyle w:val="3"/>
        <w:keepNext/>
        <w:keepLines/>
        <w:pageBreakBefore w:val="0"/>
        <w:widowControl w:val="0"/>
        <w:kinsoku/>
        <w:wordWrap/>
        <w:overflowPunct/>
        <w:topLinePunct w:val="0"/>
        <w:autoSpaceDE/>
        <w:autoSpaceDN/>
        <w:bidi w:val="0"/>
        <w:adjustRightInd/>
        <w:snapToGrid/>
        <w:spacing w:before="140" w:after="20" w:line="360" w:lineRule="auto"/>
        <w:ind w:firstLine="562" w:firstLineChars="200"/>
        <w:textAlignment w:val="auto"/>
        <w:rPr>
          <w:rFonts w:hint="eastAsia" w:ascii="Arial" w:hAnsi="Arial" w:eastAsia="宋体" w:cs="Times New Roman"/>
          <w:b/>
          <w:bCs/>
          <w:color w:val="auto"/>
          <w:kern w:val="2"/>
          <w:sz w:val="28"/>
          <w:szCs w:val="32"/>
          <w:highlight w:val="none"/>
        </w:rPr>
      </w:pPr>
      <w:r>
        <w:rPr>
          <w:rFonts w:hint="eastAsia" w:ascii="Arial" w:hAnsi="Arial" w:eastAsia="宋体" w:cs="Times New Roman"/>
          <w:b/>
          <w:bCs/>
          <w:color w:val="auto"/>
          <w:kern w:val="2"/>
          <w:sz w:val="28"/>
          <w:szCs w:val="32"/>
          <w:highlight w:val="none"/>
        </w:rPr>
        <w:t>三、招标文件的获取</w:t>
      </w:r>
      <w:bookmarkEnd w:id="9"/>
      <w:bookmarkEnd w:id="10"/>
      <w:bookmarkEnd w:id="11"/>
      <w:bookmarkEnd w:id="12"/>
      <w:bookmarkEnd w:id="13"/>
      <w:bookmarkEnd w:id="14"/>
      <w:bookmarkEnd w:id="15"/>
    </w:p>
    <w:p w14:paraId="5F0DE496">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s="Arial"/>
          <w:bCs/>
          <w:color w:val="auto"/>
          <w:sz w:val="24"/>
          <w:highlight w:val="none"/>
        </w:rPr>
        <w:t>1.招标文件获取期限：投标截止时间前</w:t>
      </w:r>
    </w:p>
    <w:p w14:paraId="3BD66F1A">
      <w:pPr>
        <w:snapToGrid w:val="0"/>
        <w:spacing w:line="480" w:lineRule="exact"/>
        <w:ind w:right="218" w:rightChars="104" w:firstLine="480" w:firstLineChars="200"/>
        <w:rPr>
          <w:color w:val="auto"/>
          <w:highlight w:val="none"/>
        </w:rPr>
      </w:pPr>
      <w:r>
        <w:rPr>
          <w:rFonts w:hint="eastAsia" w:ascii="宋体" w:hAnsi="宋体" w:cs="Arial"/>
          <w:bCs/>
          <w:color w:val="auto"/>
          <w:sz w:val="24"/>
          <w:highlight w:val="none"/>
        </w:rPr>
        <w:t>2.招标文件获取方式：政府采购云平台（www.zcygov.cn）</w:t>
      </w:r>
    </w:p>
    <w:p w14:paraId="50CCC31B">
      <w:pPr>
        <w:snapToGrid w:val="0"/>
        <w:spacing w:line="480" w:lineRule="exact"/>
        <w:ind w:right="218" w:rightChars="104" w:firstLine="482" w:firstLineChars="200"/>
        <w:rPr>
          <w:rFonts w:hint="eastAsia" w:ascii="宋体" w:hAnsi="宋体" w:cs="Arial"/>
          <w:b/>
          <w:color w:val="auto"/>
          <w:sz w:val="24"/>
          <w:highlight w:val="none"/>
        </w:rPr>
      </w:pPr>
      <w:r>
        <w:rPr>
          <w:rFonts w:hint="eastAsia" w:ascii="宋体" w:hAnsi="宋体" w:cs="Arial"/>
          <w:b/>
          <w:color w:val="auto"/>
          <w:sz w:val="24"/>
          <w:highlight w:val="none"/>
        </w:rPr>
        <w:t xml:space="preserve">（1）供应商登录政采云平台在线申请获取采购文件（进入“项目采购”应用，在获取采购文件菜单中选择项目，申请获取采购文件）。 </w:t>
      </w:r>
    </w:p>
    <w:p w14:paraId="2CC94771">
      <w:pPr>
        <w:snapToGrid w:val="0"/>
        <w:spacing w:line="480" w:lineRule="exact"/>
        <w:ind w:right="218" w:rightChars="104" w:firstLine="482" w:firstLineChars="200"/>
        <w:rPr>
          <w:rFonts w:hint="eastAsia" w:ascii="Arial" w:hAnsi="Arial"/>
          <w:color w:val="auto"/>
          <w:kern w:val="2"/>
          <w:sz w:val="28"/>
          <w:szCs w:val="32"/>
          <w:highlight w:val="none"/>
        </w:rPr>
      </w:pPr>
      <w:r>
        <w:rPr>
          <w:rFonts w:hint="eastAsia" w:ascii="宋体" w:hAnsi="宋体" w:cs="Arial"/>
          <w:b/>
          <w:color w:val="auto"/>
          <w:sz w:val="24"/>
          <w:highlight w:val="none"/>
        </w:rPr>
        <w:t>（2）在浙江政府采购网采购公告附件中以“游客”身份获取的招标文件仅供阅览；潜在供应商未按上述第（1）条方式获取招标文件的不得对招标文件提起质疑投诉。</w:t>
      </w:r>
      <w:bookmarkStart w:id="16" w:name="_Toc6715"/>
      <w:bookmarkStart w:id="17" w:name="_Toc15817"/>
      <w:bookmarkStart w:id="18" w:name="_Toc24992"/>
      <w:bookmarkStart w:id="19" w:name="_Toc18791"/>
      <w:bookmarkStart w:id="20" w:name="_Toc24345"/>
      <w:bookmarkStart w:id="21" w:name="_Toc19407"/>
      <w:bookmarkStart w:id="22" w:name="_Toc31426"/>
    </w:p>
    <w:p w14:paraId="60435A55">
      <w:pPr>
        <w:pStyle w:val="3"/>
        <w:keepNext/>
        <w:keepLines/>
        <w:pageBreakBefore w:val="0"/>
        <w:widowControl w:val="0"/>
        <w:kinsoku/>
        <w:wordWrap/>
        <w:overflowPunct/>
        <w:topLinePunct w:val="0"/>
        <w:autoSpaceDE/>
        <w:autoSpaceDN/>
        <w:bidi w:val="0"/>
        <w:adjustRightInd/>
        <w:snapToGrid/>
        <w:spacing w:before="140" w:after="20" w:line="360" w:lineRule="auto"/>
        <w:ind w:firstLine="562" w:firstLineChars="200"/>
        <w:textAlignment w:val="auto"/>
        <w:rPr>
          <w:rFonts w:hint="eastAsia" w:ascii="Arial" w:hAnsi="Arial" w:eastAsia="宋体" w:cs="Times New Roman"/>
          <w:b/>
          <w:bCs/>
          <w:color w:val="auto"/>
          <w:kern w:val="2"/>
          <w:sz w:val="28"/>
          <w:szCs w:val="32"/>
          <w:highlight w:val="none"/>
        </w:rPr>
      </w:pPr>
      <w:r>
        <w:rPr>
          <w:rFonts w:hint="eastAsia" w:ascii="Arial" w:hAnsi="Arial" w:eastAsia="宋体" w:cs="Times New Roman"/>
          <w:b/>
          <w:bCs/>
          <w:color w:val="auto"/>
          <w:kern w:val="2"/>
          <w:sz w:val="28"/>
          <w:szCs w:val="32"/>
          <w:highlight w:val="none"/>
        </w:rPr>
        <w:t>四、提交投标文件截止时间</w:t>
      </w:r>
      <w:bookmarkEnd w:id="16"/>
      <w:bookmarkEnd w:id="17"/>
      <w:bookmarkEnd w:id="18"/>
      <w:bookmarkEnd w:id="19"/>
      <w:bookmarkEnd w:id="20"/>
      <w:bookmarkEnd w:id="21"/>
      <w:bookmarkEnd w:id="22"/>
    </w:p>
    <w:p w14:paraId="37DD74CC">
      <w:pPr>
        <w:snapToGrid w:val="0"/>
        <w:spacing w:line="480" w:lineRule="exact"/>
        <w:ind w:right="218" w:rightChars="104" w:firstLine="480" w:firstLineChars="200"/>
        <w:rPr>
          <w:rFonts w:hint="eastAsia" w:ascii="宋体" w:hAnsi="宋体" w:cs="宋体"/>
          <w:color w:val="auto"/>
          <w:sz w:val="24"/>
          <w:highlight w:val="none"/>
        </w:rPr>
      </w:pPr>
      <w:r>
        <w:rPr>
          <w:rFonts w:hint="eastAsia" w:ascii="宋体" w:hAnsi="宋体" w:cs="宋体"/>
          <w:bCs/>
          <w:color w:val="auto"/>
          <w:sz w:val="24"/>
          <w:highlight w:val="none"/>
        </w:rPr>
        <w:t>1.提交投标文件截止时间：</w:t>
      </w:r>
      <w:r>
        <w:rPr>
          <w:rFonts w:hint="eastAsia" w:ascii="宋体" w:hAnsi="宋体" w:cs="Arial"/>
          <w:b/>
          <w:bCs/>
          <w:color w:val="auto"/>
          <w:sz w:val="24"/>
          <w:highlight w:val="none"/>
          <w:u w:val="single"/>
          <w:lang w:eastAsia="zh-CN"/>
        </w:rPr>
        <w:t>2024年</w:t>
      </w:r>
      <w:r>
        <w:rPr>
          <w:rFonts w:hint="eastAsia" w:ascii="宋体" w:hAnsi="宋体" w:cs="Arial"/>
          <w:b/>
          <w:bCs/>
          <w:color w:val="auto"/>
          <w:sz w:val="24"/>
          <w:highlight w:val="none"/>
          <w:u w:val="single"/>
          <w:lang w:val="en-US" w:eastAsia="zh-CN"/>
        </w:rPr>
        <w:t>9月12日</w:t>
      </w:r>
      <w:r>
        <w:rPr>
          <w:rFonts w:hint="eastAsia" w:ascii="宋体" w:hAnsi="宋体" w:cs="Arial"/>
          <w:b/>
          <w:bCs/>
          <w:color w:val="auto"/>
          <w:sz w:val="24"/>
          <w:highlight w:val="none"/>
          <w:u w:val="single"/>
          <w:lang w:eastAsia="zh-CN"/>
        </w:rPr>
        <w:t>9：00</w:t>
      </w:r>
      <w:r>
        <w:rPr>
          <w:rFonts w:hint="eastAsia" w:ascii="宋体" w:hAnsi="宋体" w:cs="宋体"/>
          <w:color w:val="auto"/>
          <w:sz w:val="24"/>
          <w:highlight w:val="none"/>
        </w:rPr>
        <w:t>（北京时间）前将电子加密投标文件上传到政府采购云平台，未上传电子投标文件的，视为供应商放弃投标。</w:t>
      </w:r>
    </w:p>
    <w:p w14:paraId="631132AF">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s="Arial"/>
          <w:bCs/>
          <w:color w:val="auto"/>
          <w:sz w:val="24"/>
          <w:highlight w:val="none"/>
        </w:rPr>
        <w:t>2.供应商如提供备份投标文件的，应于</w:t>
      </w:r>
      <w:r>
        <w:rPr>
          <w:rFonts w:hint="eastAsia" w:ascii="宋体" w:hAnsi="宋体" w:cs="Arial"/>
          <w:b/>
          <w:bCs/>
          <w:color w:val="auto"/>
          <w:sz w:val="24"/>
          <w:highlight w:val="none"/>
          <w:u w:val="single"/>
          <w:lang w:eastAsia="zh-CN"/>
        </w:rPr>
        <w:t>2024年</w:t>
      </w:r>
      <w:r>
        <w:rPr>
          <w:rFonts w:hint="eastAsia" w:ascii="宋体" w:hAnsi="宋体" w:cs="Arial"/>
          <w:b/>
          <w:bCs/>
          <w:color w:val="auto"/>
          <w:sz w:val="24"/>
          <w:highlight w:val="none"/>
          <w:u w:val="single"/>
          <w:lang w:val="en-US" w:eastAsia="zh-CN"/>
        </w:rPr>
        <w:t>9月12日</w:t>
      </w:r>
      <w:r>
        <w:rPr>
          <w:rFonts w:hint="eastAsia" w:ascii="宋体" w:hAnsi="宋体" w:cs="Arial"/>
          <w:b/>
          <w:bCs/>
          <w:color w:val="auto"/>
          <w:sz w:val="24"/>
          <w:highlight w:val="none"/>
          <w:u w:val="single"/>
          <w:lang w:eastAsia="zh-CN"/>
        </w:rPr>
        <w:t>9：00</w:t>
      </w:r>
      <w:r>
        <w:rPr>
          <w:rFonts w:hint="eastAsia" w:ascii="宋体" w:hAnsi="宋体" w:cs="Arial"/>
          <w:bCs/>
          <w:color w:val="auto"/>
          <w:sz w:val="24"/>
          <w:highlight w:val="none"/>
        </w:rPr>
        <w:t>（北京时间）前，将电子备份投标文件和纸质备份投标文件分别密封，</w:t>
      </w:r>
      <w:r>
        <w:rPr>
          <w:rFonts w:hint="eastAsia" w:ascii="宋体" w:hAnsi="宋体" w:cs="Arial"/>
          <w:b/>
          <w:bCs/>
          <w:color w:val="auto"/>
          <w:sz w:val="24"/>
          <w:highlight w:val="none"/>
        </w:rPr>
        <w:t>递交至磐安县安文街道花月路211号建设大厦</w:t>
      </w:r>
      <w:r>
        <w:rPr>
          <w:rFonts w:hint="eastAsia" w:ascii="宋体" w:hAnsi="宋体" w:cs="Arial"/>
          <w:b/>
          <w:bCs/>
          <w:color w:val="auto"/>
          <w:sz w:val="24"/>
          <w:highlight w:val="none"/>
          <w:lang w:val="en-US" w:eastAsia="zh-CN"/>
        </w:rPr>
        <w:t>1</w:t>
      </w:r>
      <w:r>
        <w:rPr>
          <w:rFonts w:hint="eastAsia" w:ascii="宋体" w:hAnsi="宋体" w:cs="Arial"/>
          <w:b/>
          <w:bCs/>
          <w:color w:val="auto"/>
          <w:sz w:val="24"/>
          <w:highlight w:val="none"/>
        </w:rPr>
        <w:t>2楼，联系人</w:t>
      </w:r>
      <w:r>
        <w:rPr>
          <w:rFonts w:hint="eastAsia" w:ascii="宋体" w:hAnsi="宋体" w:cs="Arial"/>
          <w:b/>
          <w:bCs/>
          <w:color w:val="auto"/>
          <w:sz w:val="24"/>
          <w:highlight w:val="none"/>
          <w:lang w:eastAsia="zh-CN"/>
        </w:rPr>
        <w:t>徐晓燕</w:t>
      </w:r>
      <w:r>
        <w:rPr>
          <w:rFonts w:hint="eastAsia" w:ascii="宋体" w:hAnsi="宋体" w:cs="Arial"/>
          <w:b/>
          <w:bCs/>
          <w:color w:val="auto"/>
          <w:sz w:val="24"/>
          <w:highlight w:val="none"/>
        </w:rPr>
        <w:t>，联系电话：</w:t>
      </w:r>
      <w:r>
        <w:rPr>
          <w:rFonts w:hint="eastAsia" w:ascii="宋体" w:hAnsi="宋体" w:cs="宋体"/>
          <w:b/>
          <w:bCs/>
          <w:color w:val="auto"/>
          <w:sz w:val="24"/>
          <w:highlight w:val="none"/>
        </w:rPr>
        <w:t>1</w:t>
      </w:r>
      <w:r>
        <w:rPr>
          <w:rFonts w:hint="eastAsia" w:ascii="宋体" w:hAnsi="宋体" w:cs="宋体"/>
          <w:b/>
          <w:bCs/>
          <w:color w:val="auto"/>
          <w:sz w:val="24"/>
          <w:highlight w:val="none"/>
          <w:lang w:val="en-US" w:eastAsia="zh-CN"/>
        </w:rPr>
        <w:t>8257094250</w:t>
      </w:r>
      <w:r>
        <w:rPr>
          <w:rFonts w:hint="eastAsia" w:ascii="宋体" w:hAnsi="宋体" w:cs="宋体"/>
          <w:b/>
          <w:bCs/>
          <w:color w:val="auto"/>
          <w:sz w:val="24"/>
          <w:highlight w:val="none"/>
        </w:rPr>
        <w:t>（6</w:t>
      </w:r>
      <w:r>
        <w:rPr>
          <w:rFonts w:hint="eastAsia" w:ascii="宋体" w:hAnsi="宋体" w:cs="宋体"/>
          <w:b/>
          <w:bCs/>
          <w:color w:val="auto"/>
          <w:sz w:val="24"/>
          <w:highlight w:val="none"/>
          <w:lang w:val="en-US" w:eastAsia="zh-CN"/>
        </w:rPr>
        <w:t>49250</w:t>
      </w:r>
      <w:r>
        <w:rPr>
          <w:rFonts w:hint="eastAsia" w:ascii="宋体" w:hAnsi="宋体" w:cs="宋体"/>
          <w:b/>
          <w:bCs/>
          <w:color w:val="auto"/>
          <w:sz w:val="24"/>
          <w:highlight w:val="none"/>
        </w:rPr>
        <w:t>）</w:t>
      </w:r>
      <w:r>
        <w:rPr>
          <w:rFonts w:hint="eastAsia" w:ascii="宋体" w:hAnsi="宋体" w:cs="Arial"/>
          <w:bCs/>
          <w:color w:val="auto"/>
          <w:sz w:val="24"/>
          <w:highlight w:val="none"/>
        </w:rPr>
        <w:t>逾期送达或未密封将予以拒收。供应商仅提供备份投标文件（包括以电子备份投标文件或纸质备份投标文件）投标的，投标无效。</w:t>
      </w:r>
    </w:p>
    <w:p w14:paraId="5363ACDC">
      <w:pPr>
        <w:snapToGrid w:val="0"/>
        <w:spacing w:line="480" w:lineRule="exact"/>
        <w:ind w:right="218" w:rightChars="104" w:firstLine="480" w:firstLineChars="200"/>
        <w:rPr>
          <w:rFonts w:hint="eastAsia" w:ascii="宋体" w:hAnsi="宋体" w:cs="宋体"/>
          <w:bCs/>
          <w:color w:val="auto"/>
          <w:sz w:val="24"/>
          <w:highlight w:val="none"/>
        </w:rPr>
      </w:pPr>
      <w:r>
        <w:rPr>
          <w:rFonts w:hint="eastAsia" w:ascii="宋体" w:hAnsi="宋体" w:cs="Arial"/>
          <w:bCs/>
          <w:color w:val="auto"/>
          <w:sz w:val="24"/>
          <w:highlight w:val="none"/>
        </w:rPr>
        <w:t>3.如因系统或部分电子投标文件无法解密，而采用纸质备份投标文件线下评审程序时，供应商在投标截止时间前未提交纸质备份投标文件的，视为供应商放弃投标。</w:t>
      </w:r>
    </w:p>
    <w:p w14:paraId="3D882956">
      <w:pPr>
        <w:pStyle w:val="3"/>
        <w:keepNext/>
        <w:keepLines/>
        <w:pageBreakBefore w:val="0"/>
        <w:widowControl w:val="0"/>
        <w:kinsoku/>
        <w:wordWrap/>
        <w:overflowPunct/>
        <w:topLinePunct w:val="0"/>
        <w:autoSpaceDE/>
        <w:autoSpaceDN/>
        <w:bidi w:val="0"/>
        <w:adjustRightInd/>
        <w:snapToGrid/>
        <w:spacing w:before="140" w:after="20" w:line="360" w:lineRule="auto"/>
        <w:ind w:firstLine="562" w:firstLineChars="200"/>
        <w:textAlignment w:val="auto"/>
        <w:rPr>
          <w:rFonts w:hint="eastAsia" w:ascii="Arial" w:hAnsi="Arial" w:eastAsia="宋体" w:cs="Times New Roman"/>
          <w:b/>
          <w:bCs/>
          <w:color w:val="auto"/>
          <w:kern w:val="2"/>
          <w:sz w:val="28"/>
          <w:szCs w:val="32"/>
          <w:highlight w:val="none"/>
        </w:rPr>
      </w:pPr>
      <w:bookmarkStart w:id="23" w:name="_Toc17679"/>
      <w:bookmarkStart w:id="24" w:name="_Toc15"/>
      <w:bookmarkStart w:id="25" w:name="_Toc20159"/>
      <w:bookmarkStart w:id="26" w:name="_Toc14408"/>
      <w:bookmarkStart w:id="27" w:name="_Toc22135"/>
      <w:bookmarkStart w:id="28" w:name="_Toc7601"/>
      <w:bookmarkStart w:id="29" w:name="_Toc8418"/>
      <w:r>
        <w:rPr>
          <w:rFonts w:hint="eastAsia" w:ascii="Arial" w:hAnsi="Arial" w:eastAsia="宋体" w:cs="Times New Roman"/>
          <w:b/>
          <w:bCs/>
          <w:color w:val="auto"/>
          <w:kern w:val="2"/>
          <w:sz w:val="28"/>
          <w:szCs w:val="32"/>
          <w:highlight w:val="none"/>
        </w:rPr>
        <w:t>五、开标时间和地点</w:t>
      </w:r>
      <w:bookmarkEnd w:id="23"/>
      <w:bookmarkEnd w:id="24"/>
      <w:bookmarkEnd w:id="25"/>
      <w:bookmarkEnd w:id="26"/>
      <w:bookmarkEnd w:id="27"/>
      <w:bookmarkEnd w:id="28"/>
      <w:bookmarkEnd w:id="29"/>
    </w:p>
    <w:p w14:paraId="39CDC6BE">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s="Arial"/>
          <w:bCs/>
          <w:color w:val="auto"/>
          <w:sz w:val="24"/>
          <w:highlight w:val="none"/>
        </w:rPr>
        <w:t>1.开标时间：</w:t>
      </w:r>
      <w:r>
        <w:rPr>
          <w:rFonts w:hint="eastAsia" w:ascii="宋体" w:hAnsi="宋体" w:cs="Arial"/>
          <w:b/>
          <w:bCs/>
          <w:color w:val="auto"/>
          <w:sz w:val="24"/>
          <w:highlight w:val="none"/>
          <w:u w:val="single"/>
          <w:lang w:eastAsia="zh-CN"/>
        </w:rPr>
        <w:t>2024年</w:t>
      </w:r>
      <w:r>
        <w:rPr>
          <w:rFonts w:hint="eastAsia" w:ascii="宋体" w:hAnsi="宋体" w:cs="Arial"/>
          <w:b/>
          <w:bCs/>
          <w:color w:val="auto"/>
          <w:sz w:val="24"/>
          <w:highlight w:val="none"/>
          <w:u w:val="single"/>
          <w:lang w:val="en-US" w:eastAsia="zh-CN"/>
        </w:rPr>
        <w:t>9月12日</w:t>
      </w:r>
      <w:r>
        <w:rPr>
          <w:rFonts w:hint="eastAsia" w:ascii="宋体" w:hAnsi="宋体" w:cs="Arial"/>
          <w:b/>
          <w:bCs/>
          <w:color w:val="auto"/>
          <w:sz w:val="24"/>
          <w:highlight w:val="none"/>
          <w:u w:val="single"/>
          <w:lang w:eastAsia="zh-CN"/>
        </w:rPr>
        <w:t>9：00</w:t>
      </w:r>
      <w:r>
        <w:rPr>
          <w:rFonts w:hint="eastAsia" w:ascii="宋体" w:hAnsi="宋体" w:cs="Arial"/>
          <w:bCs/>
          <w:color w:val="auto"/>
          <w:sz w:val="24"/>
          <w:highlight w:val="none"/>
        </w:rPr>
        <w:t>（北京时间）</w:t>
      </w:r>
    </w:p>
    <w:p w14:paraId="78941681">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s="Arial"/>
          <w:bCs/>
          <w:color w:val="auto"/>
          <w:sz w:val="24"/>
          <w:highlight w:val="none"/>
        </w:rPr>
        <w:t>2.开标地点（网址）：政采云平台（https://www.zcygov.cn/）</w:t>
      </w:r>
    </w:p>
    <w:p w14:paraId="4785DFC5">
      <w:pPr>
        <w:snapToGrid w:val="0"/>
        <w:spacing w:line="480" w:lineRule="exact"/>
        <w:ind w:right="218" w:rightChars="104" w:firstLine="480" w:firstLineChars="200"/>
        <w:rPr>
          <w:rFonts w:hint="eastAsia" w:ascii="Arial" w:hAnsi="Arial"/>
          <w:color w:val="auto"/>
          <w:kern w:val="2"/>
          <w:sz w:val="28"/>
          <w:szCs w:val="32"/>
          <w:highlight w:val="none"/>
        </w:rPr>
      </w:pPr>
      <w:r>
        <w:rPr>
          <w:rFonts w:hint="eastAsia" w:ascii="宋体" w:hAnsi="宋体" w:cs="Arial"/>
          <w:bCs/>
          <w:color w:val="auto"/>
          <w:sz w:val="24"/>
          <w:highlight w:val="none"/>
        </w:rPr>
        <w:t>3.采购代理机构在招标文件规定的时间通过政府采购云平台组织开标、开启投标文件，所有供应商均应准时在线参加。采购组织机构将向各投标供应商发出“电子加密投标文件”的解密通知，各投标供应商代表应当在发出解密通知后30分钟内自行完成“电子加密投标文件”的在线解密。若供应商在规定时间内无法解密或解密失败，可使用电子备份投标文件进行或使用纸质备份投标文件进行线下评标。</w:t>
      </w:r>
      <w:bookmarkStart w:id="30" w:name="_Toc18619"/>
      <w:bookmarkStart w:id="31" w:name="_Toc19936"/>
      <w:bookmarkStart w:id="32" w:name="_Toc15544"/>
      <w:bookmarkStart w:id="33" w:name="_Toc29617"/>
      <w:bookmarkStart w:id="34" w:name="_Toc1294"/>
      <w:bookmarkStart w:id="35" w:name="_Toc27683"/>
      <w:bookmarkStart w:id="36" w:name="_Toc28674"/>
      <w:bookmarkStart w:id="37" w:name="_Toc31439"/>
      <w:bookmarkStart w:id="38" w:name="_Toc18909"/>
      <w:bookmarkStart w:id="39" w:name="_Toc16756"/>
    </w:p>
    <w:p w14:paraId="4275CCCD">
      <w:pPr>
        <w:pStyle w:val="3"/>
        <w:keepNext/>
        <w:keepLines/>
        <w:pageBreakBefore w:val="0"/>
        <w:widowControl w:val="0"/>
        <w:kinsoku/>
        <w:wordWrap/>
        <w:overflowPunct/>
        <w:topLinePunct w:val="0"/>
        <w:autoSpaceDE/>
        <w:autoSpaceDN/>
        <w:bidi w:val="0"/>
        <w:adjustRightInd/>
        <w:snapToGrid/>
        <w:spacing w:before="140" w:after="20" w:line="360" w:lineRule="auto"/>
        <w:ind w:firstLine="562" w:firstLineChars="200"/>
        <w:textAlignment w:val="auto"/>
        <w:rPr>
          <w:rFonts w:hint="eastAsia" w:ascii="Arial" w:hAnsi="Arial" w:eastAsia="宋体" w:cs="Times New Roman"/>
          <w:b/>
          <w:bCs/>
          <w:color w:val="auto"/>
          <w:kern w:val="2"/>
          <w:sz w:val="28"/>
          <w:szCs w:val="32"/>
          <w:highlight w:val="none"/>
        </w:rPr>
      </w:pPr>
      <w:r>
        <w:rPr>
          <w:rFonts w:hint="eastAsia" w:ascii="Arial" w:hAnsi="Arial" w:eastAsia="宋体" w:cs="Times New Roman"/>
          <w:b/>
          <w:bCs/>
          <w:color w:val="auto"/>
          <w:kern w:val="2"/>
          <w:sz w:val="28"/>
          <w:szCs w:val="32"/>
          <w:highlight w:val="none"/>
          <w:lang w:eastAsia="zh-CN"/>
        </w:rPr>
        <w:t>六、</w:t>
      </w:r>
      <w:r>
        <w:rPr>
          <w:rFonts w:hint="eastAsia" w:ascii="Arial" w:hAnsi="Arial" w:eastAsia="宋体" w:cs="Times New Roman"/>
          <w:b/>
          <w:bCs/>
          <w:color w:val="auto"/>
          <w:kern w:val="2"/>
          <w:sz w:val="28"/>
          <w:szCs w:val="32"/>
          <w:highlight w:val="none"/>
        </w:rPr>
        <w:t>公告期限</w:t>
      </w:r>
      <w:bookmarkEnd w:id="30"/>
      <w:bookmarkEnd w:id="31"/>
      <w:bookmarkEnd w:id="32"/>
      <w:bookmarkEnd w:id="33"/>
      <w:bookmarkEnd w:id="34"/>
      <w:bookmarkEnd w:id="35"/>
      <w:bookmarkEnd w:id="36"/>
      <w:bookmarkEnd w:id="37"/>
      <w:bookmarkEnd w:id="38"/>
      <w:bookmarkEnd w:id="39"/>
    </w:p>
    <w:p w14:paraId="71AD1D93">
      <w:pPr>
        <w:pStyle w:val="3"/>
        <w:spacing w:before="20" w:after="20" w:line="360" w:lineRule="auto"/>
        <w:ind w:firstLine="480" w:firstLineChars="200"/>
        <w:rPr>
          <w:rFonts w:hint="eastAsia" w:ascii="Arial" w:hAnsi="Arial"/>
          <w:color w:val="auto"/>
          <w:kern w:val="2"/>
          <w:sz w:val="28"/>
          <w:szCs w:val="32"/>
          <w:highlight w:val="none"/>
        </w:rPr>
      </w:pPr>
      <w:r>
        <w:rPr>
          <w:rFonts w:hint="eastAsia" w:ascii="宋体" w:hAnsi="宋体" w:cs="Arial"/>
          <w:b w:val="0"/>
          <w:color w:val="auto"/>
          <w:kern w:val="2"/>
          <w:sz w:val="24"/>
          <w:szCs w:val="24"/>
          <w:highlight w:val="none"/>
        </w:rPr>
        <w:t>自本公告发布之日起</w:t>
      </w:r>
      <w:r>
        <w:rPr>
          <w:rFonts w:hint="eastAsia" w:ascii="宋体" w:hAnsi="宋体" w:cs="Arial"/>
          <w:b w:val="0"/>
          <w:color w:val="auto"/>
          <w:kern w:val="2"/>
          <w:sz w:val="24"/>
          <w:szCs w:val="24"/>
          <w:highlight w:val="none"/>
          <w:lang w:val="en-US" w:eastAsia="zh-CN"/>
        </w:rPr>
        <w:t>5个工作日</w:t>
      </w:r>
      <w:r>
        <w:rPr>
          <w:rFonts w:hint="eastAsia" w:ascii="宋体" w:hAnsi="宋体" w:cs="Arial"/>
          <w:b w:val="0"/>
          <w:color w:val="auto"/>
          <w:kern w:val="2"/>
          <w:sz w:val="24"/>
          <w:szCs w:val="24"/>
          <w:highlight w:val="none"/>
        </w:rPr>
        <w:t>（以公告发布次日开始计算）</w:t>
      </w:r>
      <w:bookmarkStart w:id="40" w:name="_Toc8029"/>
      <w:bookmarkStart w:id="41" w:name="_Toc7563"/>
      <w:bookmarkStart w:id="42" w:name="_Toc32256"/>
      <w:bookmarkStart w:id="43" w:name="_Toc29944"/>
      <w:bookmarkStart w:id="44" w:name="_Toc22007"/>
      <w:bookmarkStart w:id="45" w:name="_Toc15696"/>
      <w:bookmarkStart w:id="46" w:name="_Toc28590"/>
    </w:p>
    <w:p w14:paraId="3D978DC7">
      <w:pPr>
        <w:pStyle w:val="3"/>
        <w:keepNext/>
        <w:keepLines/>
        <w:pageBreakBefore w:val="0"/>
        <w:widowControl w:val="0"/>
        <w:kinsoku/>
        <w:wordWrap/>
        <w:overflowPunct/>
        <w:topLinePunct w:val="0"/>
        <w:autoSpaceDE/>
        <w:autoSpaceDN/>
        <w:bidi w:val="0"/>
        <w:adjustRightInd/>
        <w:snapToGrid/>
        <w:spacing w:before="140" w:after="20" w:line="360" w:lineRule="auto"/>
        <w:ind w:firstLine="562" w:firstLineChars="200"/>
        <w:textAlignment w:val="auto"/>
        <w:rPr>
          <w:rFonts w:hint="eastAsia" w:ascii="Arial" w:hAnsi="Arial" w:eastAsia="宋体" w:cs="Times New Roman"/>
          <w:b/>
          <w:bCs/>
          <w:color w:val="auto"/>
          <w:kern w:val="2"/>
          <w:sz w:val="28"/>
          <w:szCs w:val="32"/>
          <w:highlight w:val="none"/>
        </w:rPr>
      </w:pPr>
      <w:r>
        <w:rPr>
          <w:rFonts w:hint="eastAsia" w:ascii="Arial" w:hAnsi="Arial" w:eastAsia="宋体" w:cs="Times New Roman"/>
          <w:b/>
          <w:bCs/>
          <w:color w:val="auto"/>
          <w:kern w:val="2"/>
          <w:sz w:val="28"/>
          <w:szCs w:val="32"/>
          <w:highlight w:val="none"/>
        </w:rPr>
        <w:t>七、其他补充事宜</w:t>
      </w:r>
      <w:bookmarkEnd w:id="40"/>
      <w:bookmarkEnd w:id="41"/>
      <w:bookmarkEnd w:id="42"/>
      <w:bookmarkEnd w:id="43"/>
      <w:bookmarkEnd w:id="44"/>
      <w:bookmarkEnd w:id="45"/>
      <w:bookmarkEnd w:id="46"/>
    </w:p>
    <w:p w14:paraId="45CBC434">
      <w:pPr>
        <w:spacing w:line="480" w:lineRule="exact"/>
        <w:ind w:firstLine="480" w:firstLineChars="200"/>
        <w:rPr>
          <w:rFonts w:hint="eastAsia" w:ascii="宋体" w:hAnsi="宋体"/>
          <w:color w:val="auto"/>
          <w:sz w:val="24"/>
          <w:highlight w:val="none"/>
        </w:rPr>
      </w:pPr>
      <w:r>
        <w:rPr>
          <w:rFonts w:hint="eastAsia" w:ascii="仿宋_GB2312" w:hAnsi="仿宋_GB2312" w:eastAsia="仿宋_GB2312" w:cs="仿宋_GB2312"/>
          <w:color w:val="auto"/>
          <w:sz w:val="24"/>
          <w:highlight w:val="none"/>
        </w:rPr>
        <w:t> </w:t>
      </w:r>
      <w:r>
        <w:rPr>
          <w:rFonts w:hint="eastAsia" w:ascii="宋体" w:hAnsi="宋体"/>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2022年2月1日开始实施，此前有关规定与上述文件内容不一致的，按上述文件要求执行。</w:t>
      </w:r>
    </w:p>
    <w:p w14:paraId="2D4086AF">
      <w:pPr>
        <w:spacing w:line="480" w:lineRule="exact"/>
        <w:ind w:firstLine="480" w:firstLineChars="200"/>
        <w:rPr>
          <w:rFonts w:hint="eastAsia" w:ascii="宋体" w:hAnsi="宋体"/>
          <w:color w:val="auto"/>
          <w:sz w:val="24"/>
          <w:highlight w:val="none"/>
        </w:rPr>
      </w:pPr>
      <w:r>
        <w:rPr>
          <w:rFonts w:hint="eastAsia" w:ascii="宋体" w:hAnsi="宋体"/>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02AF2BC">
      <w:pPr>
        <w:spacing w:line="480" w:lineRule="exact"/>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3</w:t>
      </w:r>
      <w:r>
        <w:rPr>
          <w:rFonts w:hint="eastAsia" w:ascii="宋体" w:hAnsi="宋体"/>
          <w:color w:val="auto"/>
          <w:sz w:val="24"/>
          <w:highlight w:val="none"/>
        </w:rPr>
        <w:t>.企业信用融资：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 https://www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2C2D1E31">
      <w:pPr>
        <w:spacing w:line="480" w:lineRule="exact"/>
        <w:ind w:firstLine="480" w:firstLineChars="200"/>
        <w:rPr>
          <w:rFonts w:ascii="宋体" w:hAnsi="宋体"/>
          <w:color w:val="auto"/>
          <w:sz w:val="24"/>
          <w:highlight w:val="none"/>
        </w:rPr>
      </w:pPr>
      <w:r>
        <w:rPr>
          <w:rFonts w:hint="eastAsia" w:ascii="宋体" w:hAnsi="宋体"/>
          <w:color w:val="auto"/>
          <w:sz w:val="24"/>
          <w:highlight w:val="none"/>
          <w:lang w:val="en-US" w:eastAsia="zh-CN"/>
        </w:rPr>
        <w:t>4</w:t>
      </w:r>
      <w:r>
        <w:rPr>
          <w:rFonts w:hint="eastAsia" w:ascii="宋体" w:hAnsi="宋体"/>
          <w:color w:val="auto"/>
          <w:sz w:val="24"/>
          <w:highlight w:val="none"/>
        </w:rPr>
        <w:t>.根据《浙江省财政厅关于进一步加大政府采购支持中小企业力度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相关材料。</w:t>
      </w:r>
    </w:p>
    <w:p w14:paraId="7EB9CF0F">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olor w:val="auto"/>
          <w:sz w:val="24"/>
          <w:highlight w:val="none"/>
          <w:lang w:val="en-US" w:eastAsia="zh-CN"/>
        </w:rPr>
        <w:t>5</w:t>
      </w:r>
      <w:r>
        <w:rPr>
          <w:rFonts w:hint="eastAsia" w:ascii="宋体" w:hAnsi="宋体"/>
          <w:color w:val="auto"/>
          <w:sz w:val="24"/>
          <w:highlight w:val="none"/>
        </w:rPr>
        <w:t>.落实政策：执行节约能源、保护环境相关的节能产品政府强制采购和优先采购政策，执行环境标志产品政府优先采购政策；执行扶持不发达地区和少数民族地区、促进中小企业发展、支持监狱企业发展、促进残疾人就业、支持中小企业信用融资等政府采购政策。</w:t>
      </w:r>
    </w:p>
    <w:p w14:paraId="097B1666">
      <w:pPr>
        <w:pStyle w:val="3"/>
        <w:keepNext/>
        <w:keepLines/>
        <w:pageBreakBefore w:val="0"/>
        <w:widowControl w:val="0"/>
        <w:kinsoku/>
        <w:wordWrap/>
        <w:overflowPunct/>
        <w:topLinePunct w:val="0"/>
        <w:autoSpaceDE/>
        <w:autoSpaceDN/>
        <w:bidi w:val="0"/>
        <w:adjustRightInd/>
        <w:snapToGrid/>
        <w:spacing w:before="140" w:after="20" w:line="360" w:lineRule="auto"/>
        <w:ind w:firstLine="562" w:firstLineChars="200"/>
        <w:textAlignment w:val="auto"/>
        <w:rPr>
          <w:rFonts w:hint="eastAsia" w:ascii="Arial" w:hAnsi="Arial" w:eastAsia="宋体" w:cs="Times New Roman"/>
          <w:b/>
          <w:bCs/>
          <w:color w:val="auto"/>
          <w:kern w:val="2"/>
          <w:sz w:val="28"/>
          <w:szCs w:val="32"/>
          <w:highlight w:val="none"/>
        </w:rPr>
      </w:pPr>
      <w:r>
        <w:rPr>
          <w:rFonts w:hint="eastAsia" w:ascii="Arial" w:hAnsi="Arial" w:eastAsia="宋体" w:cs="Times New Roman"/>
          <w:b/>
          <w:bCs/>
          <w:color w:val="auto"/>
          <w:kern w:val="2"/>
          <w:sz w:val="28"/>
          <w:szCs w:val="32"/>
          <w:highlight w:val="none"/>
        </w:rPr>
        <w:t>八、政采贷</w:t>
      </w:r>
    </w:p>
    <w:p w14:paraId="59318D77">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s="Arial"/>
          <w:bCs/>
          <w:color w:val="auto"/>
          <w:sz w:val="24"/>
          <w:highlight w:val="none"/>
        </w:rPr>
        <w:t>具体要求、条件和操作教程可通过政采云首页右上角——网站导航——金融服务查看，也可拨打政采云客服热线400-881-7190咨询，也可查看公告附件中的相关宣传资料，或向各地已开通政采贷的银行咨询办理。中标供应商可通过以保函的形式提交履约保证金，减少对中小微企业的资金占用，降低财务成本。具体的条件、要求和操作程序由申请贷款的中标供应商向各地保险公司、银行咨询办理。</w:t>
      </w:r>
    </w:p>
    <w:p w14:paraId="707AD5BC">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s="Arial"/>
          <w:bCs/>
          <w:color w:val="auto"/>
          <w:sz w:val="24"/>
          <w:highlight w:val="none"/>
        </w:rPr>
        <w:t>风险提示：</w:t>
      </w:r>
    </w:p>
    <w:p w14:paraId="24EDBDA2">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s="Arial"/>
          <w:bCs/>
          <w:color w:val="auto"/>
          <w:sz w:val="24"/>
          <w:highlight w:val="none"/>
        </w:rPr>
        <w:t>（1）本内容仅为提供给各中标供应商对办理政府采购金融服务的宣传和了解之方便，对金融服务的具体内容和操作流程均以各金融机构的要求为准，也不作强制要求。</w:t>
      </w:r>
    </w:p>
    <w:p w14:paraId="4EFBDF3D">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s="Arial"/>
          <w:bCs/>
          <w:color w:val="auto"/>
          <w:sz w:val="24"/>
          <w:highlight w:val="none"/>
        </w:rPr>
        <w:t>（2）政府采购金融服务有风险，请详细了解并综合评估后再决定。</w:t>
      </w:r>
    </w:p>
    <w:p w14:paraId="02BC0BA5">
      <w:pPr>
        <w:snapToGrid w:val="0"/>
        <w:spacing w:line="480" w:lineRule="exact"/>
        <w:ind w:right="218" w:rightChars="104" w:firstLine="480" w:firstLineChars="200"/>
        <w:rPr>
          <w:rFonts w:hint="eastAsia" w:ascii="宋体" w:hAnsi="宋体" w:cs="Arial"/>
          <w:bCs/>
          <w:color w:val="auto"/>
          <w:sz w:val="24"/>
          <w:highlight w:val="none"/>
        </w:rPr>
      </w:pPr>
      <w:r>
        <w:rPr>
          <w:rFonts w:hint="eastAsia" w:ascii="宋体" w:hAnsi="宋体" w:cs="Arial"/>
          <w:bCs/>
          <w:color w:val="auto"/>
          <w:sz w:val="24"/>
          <w:highlight w:val="none"/>
        </w:rPr>
        <w:t>（3）政府采购金融服务遵循平等自愿、风险自担的原则。采购人、代理机构、财政部门不为任何政府采购金融服务项目承担任何形式的担保、解释或其他连带责任。</w:t>
      </w:r>
    </w:p>
    <w:p w14:paraId="74146D20">
      <w:pPr>
        <w:pStyle w:val="26"/>
        <w:spacing w:line="480" w:lineRule="exact"/>
        <w:ind w:left="0" w:firstLine="480" w:firstLineChars="200"/>
        <w:jc w:val="both"/>
        <w:rPr>
          <w:rFonts w:hint="eastAsia" w:ascii="宋体" w:hAnsi="宋体" w:cs="Arial"/>
          <w:bCs/>
          <w:color w:val="auto"/>
          <w:sz w:val="24"/>
          <w:highlight w:val="none"/>
        </w:rPr>
      </w:pPr>
    </w:p>
    <w:p w14:paraId="0955C24D">
      <w:pPr>
        <w:pStyle w:val="3"/>
        <w:spacing w:before="20" w:after="20" w:line="360" w:lineRule="auto"/>
        <w:ind w:firstLine="562" w:firstLineChars="200"/>
        <w:rPr>
          <w:rFonts w:hint="eastAsia" w:ascii="Arial" w:hAnsi="Arial"/>
          <w:color w:val="auto"/>
          <w:kern w:val="2"/>
          <w:sz w:val="28"/>
          <w:szCs w:val="32"/>
          <w:highlight w:val="none"/>
        </w:rPr>
      </w:pPr>
      <w:bookmarkStart w:id="47" w:name="_Toc23494"/>
      <w:bookmarkStart w:id="48" w:name="_Toc14402"/>
      <w:bookmarkStart w:id="49" w:name="_Toc13168"/>
      <w:bookmarkStart w:id="50" w:name="_Toc13994"/>
      <w:r>
        <w:rPr>
          <w:rFonts w:hint="eastAsia" w:ascii="Arial" w:hAnsi="Arial" w:eastAsia="宋体" w:cs="Times New Roman"/>
          <w:b/>
          <w:bCs/>
          <w:color w:val="auto"/>
          <w:kern w:val="2"/>
          <w:sz w:val="28"/>
          <w:szCs w:val="32"/>
          <w:highlight w:val="none"/>
        </w:rPr>
        <w:t>九、</w:t>
      </w:r>
      <w:bookmarkEnd w:id="47"/>
      <w:bookmarkEnd w:id="48"/>
      <w:bookmarkEnd w:id="49"/>
      <w:bookmarkEnd w:id="50"/>
      <w:r>
        <w:rPr>
          <w:rFonts w:hint="eastAsia" w:ascii="Arial" w:hAnsi="Arial" w:eastAsia="宋体" w:cs="Times New Roman"/>
          <w:b/>
          <w:bCs/>
          <w:color w:val="auto"/>
          <w:kern w:val="2"/>
          <w:sz w:val="28"/>
          <w:szCs w:val="32"/>
          <w:highlight w:val="none"/>
        </w:rPr>
        <w:t>业务咨询</w:t>
      </w:r>
      <w:r>
        <w:rPr>
          <w:rFonts w:hint="eastAsia" w:ascii="Arial" w:hAnsi="Arial"/>
          <w:color w:val="auto"/>
          <w:kern w:val="2"/>
          <w:sz w:val="28"/>
          <w:szCs w:val="32"/>
          <w:highlight w:val="none"/>
        </w:rPr>
        <w:t>（招标需求的疑问请向采购人询问或反映）</w:t>
      </w:r>
    </w:p>
    <w:p w14:paraId="18B65F60">
      <w:pPr>
        <w:spacing w:line="480" w:lineRule="exact"/>
        <w:ind w:right="60" w:firstLine="480" w:firstLineChars="200"/>
        <w:rPr>
          <w:rFonts w:hint="eastAsia" w:ascii="宋体" w:hAnsi="宋体" w:eastAsia="宋体" w:cs="Arial"/>
          <w:bCs/>
          <w:color w:val="auto"/>
          <w:sz w:val="24"/>
          <w:highlight w:val="none"/>
          <w:lang w:eastAsia="zh-CN"/>
        </w:rPr>
      </w:pPr>
      <w:r>
        <w:rPr>
          <w:rFonts w:hint="eastAsia" w:ascii="宋体" w:hAnsi="宋体" w:cs="Arial"/>
          <w:bCs/>
          <w:color w:val="auto"/>
          <w:sz w:val="24"/>
          <w:highlight w:val="none"/>
        </w:rPr>
        <w:t>1．采购单位：</w:t>
      </w:r>
      <w:r>
        <w:rPr>
          <w:rFonts w:hint="eastAsia" w:ascii="宋体" w:hAnsi="宋体" w:cs="Arial"/>
          <w:bCs/>
          <w:color w:val="auto"/>
          <w:sz w:val="24"/>
          <w:highlight w:val="none"/>
          <w:lang w:eastAsia="zh-CN"/>
        </w:rPr>
        <w:t>磐安县中医院</w:t>
      </w:r>
    </w:p>
    <w:p w14:paraId="07A73096">
      <w:pPr>
        <w:snapToGrid w:val="0"/>
        <w:spacing w:line="480" w:lineRule="exact"/>
        <w:ind w:right="218" w:rightChars="104" w:firstLine="720" w:firstLineChars="300"/>
        <w:rPr>
          <w:rFonts w:hint="default" w:ascii="宋体" w:hAnsi="宋体" w:eastAsia="宋体" w:cs="Arial"/>
          <w:bCs/>
          <w:color w:val="auto"/>
          <w:sz w:val="24"/>
          <w:highlight w:val="none"/>
          <w:lang w:val="en-US" w:eastAsia="zh-CN"/>
        </w:rPr>
      </w:pPr>
      <w:r>
        <w:rPr>
          <w:rFonts w:hint="eastAsia" w:ascii="宋体" w:hAnsi="宋体" w:eastAsia="宋体" w:cs="Arial"/>
          <w:bCs/>
          <w:color w:val="auto"/>
          <w:sz w:val="24"/>
          <w:highlight w:val="none"/>
        </w:rPr>
        <w:t>联系人：卢俊   联系电话：15958486559</w:t>
      </w:r>
    </w:p>
    <w:p w14:paraId="5D70B835">
      <w:pPr>
        <w:snapToGrid w:val="0"/>
        <w:spacing w:line="480" w:lineRule="exact"/>
        <w:ind w:right="218" w:rightChars="104" w:firstLine="480" w:firstLineChars="200"/>
        <w:rPr>
          <w:rFonts w:hint="eastAsia" w:ascii="宋体" w:hAnsi="宋体" w:eastAsia="宋体" w:cs="Arial"/>
          <w:bCs/>
          <w:color w:val="auto"/>
          <w:sz w:val="24"/>
          <w:highlight w:val="none"/>
        </w:rPr>
      </w:pPr>
      <w:r>
        <w:rPr>
          <w:rFonts w:hint="eastAsia" w:ascii="宋体" w:hAnsi="宋体" w:eastAsia="宋体" w:cs="Arial"/>
          <w:bCs/>
          <w:color w:val="auto"/>
          <w:sz w:val="24"/>
          <w:highlight w:val="none"/>
          <w:lang w:eastAsia="zh-CN"/>
        </w:rPr>
        <w:t>　</w:t>
      </w:r>
      <w:r>
        <w:rPr>
          <w:rFonts w:hint="eastAsia" w:ascii="宋体" w:hAnsi="宋体" w:eastAsia="宋体" w:cs="Arial"/>
          <w:bCs/>
          <w:color w:val="auto"/>
          <w:sz w:val="24"/>
          <w:highlight w:val="none"/>
        </w:rPr>
        <w:t>质疑联系人：</w:t>
      </w:r>
      <w:r>
        <w:rPr>
          <w:rFonts w:hint="eastAsia" w:ascii="宋体" w:hAnsi="宋体" w:eastAsia="宋体" w:cs="Arial"/>
          <w:bCs/>
          <w:color w:val="auto"/>
          <w:sz w:val="24"/>
          <w:highlight w:val="none"/>
          <w:lang w:eastAsia="zh-CN"/>
        </w:rPr>
        <w:t>杨晔</w:t>
      </w:r>
      <w:r>
        <w:rPr>
          <w:rFonts w:hint="eastAsia" w:ascii="宋体" w:hAnsi="宋体" w:eastAsia="宋体" w:cs="Arial"/>
          <w:bCs/>
          <w:color w:val="auto"/>
          <w:sz w:val="24"/>
          <w:highlight w:val="none"/>
        </w:rPr>
        <w:t xml:space="preserve">     联系电话：0579-85658822</w:t>
      </w:r>
    </w:p>
    <w:p w14:paraId="336AD244">
      <w:pPr>
        <w:snapToGrid w:val="0"/>
        <w:spacing w:line="480" w:lineRule="exact"/>
        <w:ind w:right="218" w:rightChars="104" w:firstLine="480" w:firstLineChars="200"/>
        <w:rPr>
          <w:rFonts w:hint="eastAsia" w:ascii="宋体" w:hAnsi="宋体" w:eastAsia="宋体" w:cs="Arial"/>
          <w:bCs/>
          <w:color w:val="auto"/>
          <w:sz w:val="24"/>
          <w:highlight w:val="none"/>
        </w:rPr>
      </w:pPr>
      <w:r>
        <w:rPr>
          <w:rFonts w:hint="eastAsia" w:ascii="宋体" w:hAnsi="宋体" w:eastAsia="宋体" w:cs="Arial"/>
          <w:bCs/>
          <w:color w:val="auto"/>
          <w:sz w:val="24"/>
          <w:highlight w:val="none"/>
        </w:rPr>
        <w:t xml:space="preserve">　地点：磐安县新渥街道古月路66号  </w:t>
      </w:r>
    </w:p>
    <w:p w14:paraId="1356A335">
      <w:pPr>
        <w:snapToGrid w:val="0"/>
        <w:spacing w:line="480" w:lineRule="exact"/>
        <w:ind w:right="218" w:rightChars="104" w:firstLine="480" w:firstLineChars="200"/>
        <w:rPr>
          <w:rFonts w:hint="eastAsia" w:ascii="宋体" w:hAnsi="宋体" w:eastAsia="宋体" w:cs="宋体"/>
          <w:bCs/>
          <w:color w:val="auto"/>
          <w:sz w:val="24"/>
          <w:highlight w:val="none"/>
          <w:lang w:eastAsia="zh-CN"/>
        </w:rPr>
      </w:pPr>
      <w:r>
        <w:rPr>
          <w:rFonts w:hint="eastAsia" w:ascii="宋体" w:hAnsi="宋体" w:eastAsia="宋体" w:cs="Arial"/>
          <w:bCs/>
          <w:color w:val="auto"/>
          <w:sz w:val="24"/>
          <w:highlight w:val="none"/>
        </w:rPr>
        <w:t>2．招标采购机构名称：</w:t>
      </w:r>
      <w:r>
        <w:rPr>
          <w:rFonts w:hint="eastAsia" w:ascii="宋体" w:hAnsi="宋体" w:eastAsia="宋体" w:cs="Arial"/>
          <w:bCs/>
          <w:color w:val="auto"/>
          <w:sz w:val="24"/>
          <w:highlight w:val="none"/>
          <w:lang w:eastAsia="zh-CN"/>
        </w:rPr>
        <w:t>浙江展图工程咨询有</w:t>
      </w:r>
      <w:r>
        <w:rPr>
          <w:rFonts w:hint="eastAsia" w:ascii="宋体" w:hAnsi="宋体" w:eastAsia="宋体" w:cs="宋体"/>
          <w:bCs/>
          <w:color w:val="auto"/>
          <w:sz w:val="24"/>
          <w:highlight w:val="none"/>
          <w:lang w:eastAsia="zh-CN"/>
        </w:rPr>
        <w:t>限公司</w:t>
      </w:r>
    </w:p>
    <w:p w14:paraId="10B2E4F9">
      <w:pPr>
        <w:snapToGrid w:val="0"/>
        <w:spacing w:line="480" w:lineRule="exact"/>
        <w:ind w:right="218" w:rightChars="104" w:firstLine="720" w:firstLineChars="300"/>
        <w:rPr>
          <w:rFonts w:hint="eastAsia" w:ascii="宋体" w:hAnsi="宋体" w:eastAsia="宋体" w:cs="Arial"/>
          <w:bCs/>
          <w:color w:val="auto"/>
          <w:sz w:val="24"/>
          <w:highlight w:val="none"/>
          <w:lang w:val="en-US" w:eastAsia="zh-CN"/>
        </w:rPr>
      </w:pPr>
      <w:r>
        <w:rPr>
          <w:rFonts w:hint="eastAsia" w:ascii="宋体" w:hAnsi="宋体" w:cs="Arial"/>
          <w:bCs/>
          <w:color w:val="auto"/>
          <w:sz w:val="24"/>
          <w:highlight w:val="none"/>
        </w:rPr>
        <w:t>联系人：</w:t>
      </w:r>
      <w:r>
        <w:rPr>
          <w:rFonts w:hint="eastAsia" w:ascii="宋体" w:hAnsi="宋体" w:cs="Arial"/>
          <w:bCs/>
          <w:color w:val="auto"/>
          <w:sz w:val="24"/>
          <w:highlight w:val="none"/>
          <w:lang w:eastAsia="zh-CN"/>
        </w:rPr>
        <w:t>徐晓燕</w:t>
      </w:r>
    </w:p>
    <w:p w14:paraId="6510C873">
      <w:pPr>
        <w:snapToGrid w:val="0"/>
        <w:spacing w:line="480" w:lineRule="exact"/>
        <w:ind w:right="218" w:rightChars="104" w:firstLine="720" w:firstLineChars="300"/>
        <w:rPr>
          <w:rFonts w:hint="default" w:ascii="宋体" w:hAnsi="宋体" w:eastAsia="宋体" w:cs="Arial"/>
          <w:bCs/>
          <w:color w:val="auto"/>
          <w:sz w:val="24"/>
          <w:highlight w:val="none"/>
          <w:lang w:val="en-US" w:eastAsia="zh-CN"/>
        </w:rPr>
      </w:pPr>
      <w:r>
        <w:rPr>
          <w:rFonts w:hint="eastAsia" w:ascii="宋体" w:hAnsi="宋体" w:cs="Arial"/>
          <w:bCs/>
          <w:color w:val="auto"/>
          <w:sz w:val="24"/>
          <w:highlight w:val="none"/>
        </w:rPr>
        <w:t>联系电话：</w:t>
      </w:r>
      <w:r>
        <w:rPr>
          <w:rFonts w:hint="eastAsia" w:ascii="宋体" w:hAnsi="宋体" w:cs="Arial"/>
          <w:bCs/>
          <w:color w:val="auto"/>
          <w:sz w:val="24"/>
          <w:highlight w:val="none"/>
          <w:lang w:val="en-US" w:eastAsia="zh-CN"/>
        </w:rPr>
        <w:t>05</w:t>
      </w:r>
      <w:r>
        <w:rPr>
          <w:rFonts w:hint="eastAsia" w:ascii="宋体" w:hAnsi="宋体" w:cs="Arial"/>
          <w:bCs/>
          <w:color w:val="auto"/>
          <w:sz w:val="24"/>
          <w:highlight w:val="none"/>
        </w:rPr>
        <w:t>79-8466</w:t>
      </w:r>
      <w:r>
        <w:rPr>
          <w:rFonts w:hint="eastAsia" w:ascii="宋体" w:hAnsi="宋体" w:cs="Arial"/>
          <w:bCs/>
          <w:color w:val="auto"/>
          <w:sz w:val="24"/>
          <w:highlight w:val="none"/>
          <w:lang w:val="en-US" w:eastAsia="zh-CN"/>
        </w:rPr>
        <w:t>9847、18257094250</w:t>
      </w:r>
    </w:p>
    <w:p w14:paraId="698B36E0">
      <w:pPr>
        <w:widowControl/>
        <w:tabs>
          <w:tab w:val="left" w:pos="4228"/>
        </w:tabs>
        <w:snapToGrid w:val="0"/>
        <w:spacing w:line="480" w:lineRule="exact"/>
        <w:ind w:firstLine="720" w:firstLineChars="300"/>
        <w:rPr>
          <w:rFonts w:hint="default" w:ascii="宋体" w:hAnsi="宋体" w:eastAsia="宋体" w:cs="宋体"/>
          <w:bCs/>
          <w:color w:val="auto"/>
          <w:sz w:val="24"/>
          <w:highlight w:val="none"/>
          <w:lang w:val="en-US" w:eastAsia="zh-CN"/>
        </w:rPr>
      </w:pPr>
      <w:r>
        <w:rPr>
          <w:rFonts w:hint="eastAsia" w:ascii="宋体" w:hAnsi="宋体" w:cs="Arial"/>
          <w:bCs/>
          <w:color w:val="auto"/>
          <w:sz w:val="24"/>
          <w:highlight w:val="none"/>
        </w:rPr>
        <w:t>地址：磐安县安文街道花月路211号建设大厦</w:t>
      </w:r>
      <w:r>
        <w:rPr>
          <w:rFonts w:hint="eastAsia" w:ascii="宋体" w:hAnsi="宋体" w:cs="Arial"/>
          <w:bCs/>
          <w:color w:val="auto"/>
          <w:sz w:val="24"/>
          <w:highlight w:val="none"/>
          <w:lang w:val="en-US" w:eastAsia="zh-CN"/>
        </w:rPr>
        <w:t>1205</w:t>
      </w:r>
    </w:p>
    <w:p w14:paraId="1716622D">
      <w:pPr>
        <w:snapToGrid w:val="0"/>
        <w:spacing w:line="480" w:lineRule="exact"/>
        <w:ind w:right="218" w:rightChars="104" w:firstLine="540" w:firstLineChars="225"/>
        <w:rPr>
          <w:rFonts w:ascii="宋体" w:hAnsi="宋体" w:cs="Arial"/>
          <w:bCs/>
          <w:color w:val="auto"/>
          <w:sz w:val="24"/>
          <w:highlight w:val="none"/>
        </w:rPr>
      </w:pPr>
      <w:r>
        <w:rPr>
          <w:rFonts w:hint="eastAsia" w:ascii="宋体" w:hAnsi="宋体" w:cs="Arial"/>
          <w:bCs/>
          <w:color w:val="auto"/>
          <w:sz w:val="24"/>
          <w:highlight w:val="none"/>
        </w:rPr>
        <w:t>3．同级政府采购监督管理部门名称：金华市磐安县财政局</w:t>
      </w:r>
    </w:p>
    <w:p w14:paraId="5DA5D42D">
      <w:pPr>
        <w:snapToGrid w:val="0"/>
        <w:spacing w:line="480" w:lineRule="exact"/>
        <w:ind w:right="218" w:rightChars="104" w:firstLine="780" w:firstLineChars="325"/>
        <w:rPr>
          <w:rFonts w:ascii="宋体" w:hAnsi="宋体" w:cs="Arial"/>
          <w:bCs/>
          <w:color w:val="auto"/>
          <w:sz w:val="24"/>
          <w:highlight w:val="none"/>
        </w:rPr>
      </w:pPr>
      <w:r>
        <w:rPr>
          <w:rFonts w:hint="eastAsia" w:ascii="宋体" w:hAnsi="宋体" w:cs="Arial"/>
          <w:bCs/>
          <w:color w:val="auto"/>
          <w:sz w:val="24"/>
          <w:highlight w:val="none"/>
        </w:rPr>
        <w:t>联系人：</w:t>
      </w:r>
      <w:r>
        <w:rPr>
          <w:rFonts w:hint="eastAsia" w:ascii="宋体" w:hAnsi="宋体" w:cs="Arial"/>
          <w:bCs/>
          <w:color w:val="auto"/>
          <w:sz w:val="24"/>
          <w:highlight w:val="none"/>
          <w:lang w:eastAsia="zh-CN"/>
        </w:rPr>
        <w:t>陈巧慧、叶升</w:t>
      </w:r>
      <w:r>
        <w:rPr>
          <w:rFonts w:hint="eastAsia" w:ascii="宋体" w:hAnsi="宋体" w:cs="Arial"/>
          <w:bCs/>
          <w:color w:val="auto"/>
          <w:sz w:val="24"/>
          <w:highlight w:val="none"/>
        </w:rPr>
        <w:t xml:space="preserve">          监督投诉电话：</w:t>
      </w:r>
      <w:r>
        <w:rPr>
          <w:rFonts w:hint="eastAsia" w:ascii="宋体" w:hAnsi="宋体" w:cs="Arial"/>
          <w:bCs/>
          <w:color w:val="auto"/>
          <w:sz w:val="24"/>
          <w:highlight w:val="none"/>
          <w:lang w:val="en-US" w:eastAsia="zh-CN"/>
        </w:rPr>
        <w:t>05</w:t>
      </w:r>
      <w:r>
        <w:rPr>
          <w:rFonts w:hint="eastAsia" w:ascii="宋体" w:hAnsi="宋体" w:cs="Arial"/>
          <w:bCs/>
          <w:color w:val="auto"/>
          <w:sz w:val="24"/>
          <w:highlight w:val="none"/>
        </w:rPr>
        <w:t xml:space="preserve">79-84883829  </w:t>
      </w:r>
    </w:p>
    <w:p w14:paraId="34291B81">
      <w:pPr>
        <w:snapToGrid w:val="0"/>
        <w:spacing w:line="480" w:lineRule="exact"/>
        <w:ind w:right="218" w:rightChars="104" w:firstLine="780" w:firstLineChars="325"/>
        <w:rPr>
          <w:rFonts w:hint="eastAsia" w:ascii="仿宋_GB2312" w:hAnsi="仿宋_GB2312" w:eastAsia="仿宋_GB2312" w:cs="仿宋_GB2312"/>
          <w:color w:val="auto"/>
          <w:sz w:val="24"/>
          <w:highlight w:val="none"/>
        </w:rPr>
      </w:pPr>
      <w:r>
        <w:rPr>
          <w:rFonts w:hint="eastAsia" w:ascii="宋体" w:hAnsi="宋体" w:cs="Arial"/>
          <w:bCs/>
          <w:color w:val="auto"/>
          <w:sz w:val="24"/>
          <w:highlight w:val="none"/>
        </w:rPr>
        <w:t xml:space="preserve">地址：磐安县安文街道文溪南路88号 </w:t>
      </w:r>
      <w:r>
        <w:rPr>
          <w:rFonts w:hint="eastAsia" w:ascii="宋体" w:hAnsi="宋体" w:cs="Arial"/>
          <w:color w:val="auto"/>
          <w:sz w:val="24"/>
          <w:highlight w:val="none"/>
        </w:rPr>
        <w:t xml:space="preserve">      </w:t>
      </w:r>
    </w:p>
    <w:bookmarkEnd w:id="8"/>
    <w:p w14:paraId="614EC2A1">
      <w:pPr>
        <w:wordWrap w:val="0"/>
        <w:snapToGrid w:val="0"/>
        <w:spacing w:line="360" w:lineRule="auto"/>
        <w:rPr>
          <w:rFonts w:ascii="黑体" w:hAnsi="黑体" w:eastAsia="黑体"/>
          <w:color w:val="auto"/>
          <w:sz w:val="30"/>
          <w:szCs w:val="30"/>
          <w:highlight w:val="none"/>
        </w:rPr>
      </w:pPr>
      <w:bookmarkStart w:id="51" w:name="_Toc20561"/>
      <w:bookmarkStart w:id="52" w:name="_Toc2844"/>
      <w:bookmarkStart w:id="53" w:name="_Toc15298"/>
    </w:p>
    <w:p w14:paraId="3529F526">
      <w:pPr>
        <w:wordWrap w:val="0"/>
        <w:snapToGrid w:val="0"/>
        <w:spacing w:line="360" w:lineRule="auto"/>
        <w:ind w:firstLine="883" w:firstLineChars="200"/>
        <w:jc w:val="center"/>
        <w:rPr>
          <w:rStyle w:val="74"/>
          <w:rFonts w:hint="eastAsia"/>
          <w:color w:val="auto"/>
          <w:highlight w:val="none"/>
        </w:rPr>
        <w:sectPr>
          <w:footerReference r:id="rId5" w:type="first"/>
          <w:headerReference r:id="rId3" w:type="default"/>
          <w:footerReference r:id="rId4" w:type="default"/>
          <w:pgSz w:w="11906" w:h="16838"/>
          <w:pgMar w:top="1440" w:right="1106" w:bottom="1440" w:left="1440" w:header="851" w:footer="992" w:gutter="0"/>
          <w:pgNumType w:start="1"/>
          <w:cols w:space="720" w:num="1"/>
          <w:docGrid w:linePitch="312" w:charSpace="0"/>
        </w:sectPr>
      </w:pPr>
      <w:bookmarkStart w:id="54" w:name="_Toc10053"/>
      <w:bookmarkStart w:id="55" w:name="_Toc16324"/>
    </w:p>
    <w:p w14:paraId="09CE6D73">
      <w:pPr>
        <w:wordWrap w:val="0"/>
        <w:snapToGrid w:val="0"/>
        <w:spacing w:line="360" w:lineRule="auto"/>
        <w:jc w:val="center"/>
        <w:rPr>
          <w:rFonts w:hint="eastAsia" w:hAnsi="宋体" w:cs="宋体"/>
          <w:b/>
          <w:bCs/>
          <w:color w:val="auto"/>
          <w:sz w:val="32"/>
          <w:szCs w:val="32"/>
          <w:highlight w:val="none"/>
        </w:rPr>
      </w:pPr>
      <w:r>
        <w:rPr>
          <w:rStyle w:val="74"/>
          <w:rFonts w:hint="eastAsia"/>
          <w:color w:val="auto"/>
          <w:highlight w:val="none"/>
        </w:rPr>
        <w:t>第二章  招标需求</w:t>
      </w:r>
      <w:bookmarkEnd w:id="51"/>
      <w:bookmarkEnd w:id="52"/>
      <w:bookmarkEnd w:id="53"/>
      <w:bookmarkEnd w:id="54"/>
      <w:bookmarkEnd w:id="55"/>
    </w:p>
    <w:p w14:paraId="6A55AD56">
      <w:pPr>
        <w:spacing w:line="400" w:lineRule="exact"/>
        <w:ind w:firstLine="369" w:firstLineChars="175"/>
        <w:outlineLvl w:val="1"/>
        <w:rPr>
          <w:rFonts w:hAnsi="宋体" w:cs="宋体"/>
          <w:b/>
          <w:bCs/>
        </w:rPr>
      </w:pPr>
      <w:r>
        <w:rPr>
          <w:rFonts w:hint="eastAsia" w:hAnsi="宋体" w:cs="宋体"/>
          <w:b/>
          <w:bCs/>
        </w:rPr>
        <w:t>一、招标内容及清单</w:t>
      </w:r>
    </w:p>
    <w:p w14:paraId="0844C0EB">
      <w:pPr>
        <w:snapToGrid w:val="0"/>
        <w:spacing w:line="420" w:lineRule="exact"/>
        <w:ind w:right="218" w:rightChars="104" w:firstLine="420" w:firstLineChars="200"/>
        <w:outlineLvl w:val="2"/>
        <w:rPr>
          <w:rFonts w:hAnsi="宋体" w:cs="Arial"/>
          <w:bCs/>
        </w:rPr>
      </w:pPr>
      <w:r>
        <w:rPr>
          <w:rFonts w:hint="eastAsia" w:hAnsi="宋体" w:cs="Arial"/>
          <w:bCs/>
        </w:rPr>
        <w:t>1、建设内容</w:t>
      </w:r>
    </w:p>
    <w:p w14:paraId="203871D8">
      <w:pPr>
        <w:spacing w:line="360" w:lineRule="auto"/>
        <w:ind w:firstLine="420" w:firstLineChars="200"/>
        <w:rPr>
          <w:rFonts w:hAnsi="宋体" w:cs="仿宋"/>
          <w:szCs w:val="21"/>
        </w:rPr>
      </w:pPr>
      <w:r>
        <w:rPr>
          <w:rFonts w:hint="eastAsia" w:hAnsi="宋体" w:cs="仿宋"/>
          <w:szCs w:val="21"/>
        </w:rPr>
        <w:t>本项目建设模式为“1＋6模式”：1是指1个平台，即：互联网＋中医健康服务平台；6是指基于统一平台搭建的6大类互联网中医应用；项目建成后，互联网+健康服务平台需开放相应接口，以便与“健康磐安”、“健康金华”等平台以及其它应用的接入；另外，为了充分激活互联网中医应用平台，创新医疗流程和服务模式，需建设一整套成熟完善的互联网医院运营体系（医生运营、患者运营、线上运营、渠下运营、数据）保驾护航，确保平台数据可追溯、可管理、可控制、可分析、可利用。</w:t>
      </w:r>
    </w:p>
    <w:p w14:paraId="6763582C">
      <w:pPr>
        <w:pStyle w:val="101"/>
        <w:numPr>
          <w:ilvl w:val="0"/>
          <w:numId w:val="1"/>
        </w:numPr>
        <w:ind w:firstLine="480"/>
        <w:outlineLvl w:val="2"/>
        <w:rPr>
          <w:rFonts w:hAnsi="宋体" w:cs="Arial"/>
          <w:bCs/>
        </w:rPr>
      </w:pPr>
      <w:r>
        <w:rPr>
          <w:rFonts w:hint="eastAsia" w:hAnsi="宋体" w:cs="Arial"/>
          <w:bCs/>
        </w:rPr>
        <w:t>建设清单</w:t>
      </w:r>
    </w:p>
    <w:tbl>
      <w:tblPr>
        <w:tblStyle w:val="54"/>
        <w:tblW w:w="456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7"/>
        <w:gridCol w:w="1616"/>
        <w:gridCol w:w="1643"/>
        <w:gridCol w:w="2757"/>
        <w:gridCol w:w="1417"/>
      </w:tblGrid>
      <w:tr w14:paraId="0C66A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000000" w:fill="DEEAF6"/>
            <w:vAlign w:val="center"/>
          </w:tcPr>
          <w:p w14:paraId="78FFABFF">
            <w:pPr>
              <w:spacing w:line="240" w:lineRule="auto"/>
              <w:ind w:firstLine="482"/>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应用一、互联网中医就医服务平台</w:t>
            </w:r>
          </w:p>
        </w:tc>
      </w:tr>
      <w:tr w14:paraId="2BBAE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shd w:val="clear" w:color="000000" w:fill="DEEAF6"/>
            <w:vAlign w:val="center"/>
          </w:tcPr>
          <w:p w14:paraId="2FCB1712">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序号</w:t>
            </w:r>
          </w:p>
        </w:tc>
        <w:tc>
          <w:tcPr>
            <w:tcW w:w="924" w:type="pct"/>
            <w:shd w:val="clear" w:color="000000" w:fill="DEEAF6"/>
            <w:vAlign w:val="center"/>
          </w:tcPr>
          <w:p w14:paraId="203CFB55">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建设模块</w:t>
            </w:r>
          </w:p>
        </w:tc>
        <w:tc>
          <w:tcPr>
            <w:tcW w:w="939" w:type="pct"/>
            <w:shd w:val="clear" w:color="000000" w:fill="DEEAF6"/>
            <w:vAlign w:val="center"/>
          </w:tcPr>
          <w:p w14:paraId="2D55895C">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一级功能</w:t>
            </w:r>
          </w:p>
        </w:tc>
        <w:tc>
          <w:tcPr>
            <w:tcW w:w="1577" w:type="pct"/>
            <w:shd w:val="clear" w:color="000000" w:fill="DEEAF6"/>
            <w:vAlign w:val="center"/>
          </w:tcPr>
          <w:p w14:paraId="480BA0BA">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二级功能</w:t>
            </w:r>
          </w:p>
        </w:tc>
        <w:tc>
          <w:tcPr>
            <w:tcW w:w="810" w:type="pct"/>
            <w:shd w:val="clear" w:color="000000" w:fill="DEEAF6"/>
            <w:vAlign w:val="center"/>
          </w:tcPr>
          <w:p w14:paraId="33025812">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备注</w:t>
            </w:r>
          </w:p>
        </w:tc>
      </w:tr>
      <w:tr w14:paraId="7F968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15779F99">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7D88CF5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医院首页</w:t>
            </w:r>
          </w:p>
        </w:tc>
        <w:tc>
          <w:tcPr>
            <w:tcW w:w="939" w:type="pct"/>
            <w:vMerge w:val="restart"/>
            <w:vAlign w:val="center"/>
          </w:tcPr>
          <w:p w14:paraId="7453446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医院首页</w:t>
            </w:r>
          </w:p>
        </w:tc>
        <w:tc>
          <w:tcPr>
            <w:tcW w:w="1577" w:type="pct"/>
            <w:vAlign w:val="center"/>
          </w:tcPr>
          <w:p w14:paraId="37DC8BF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页面自定义菜单</w:t>
            </w:r>
          </w:p>
        </w:tc>
        <w:tc>
          <w:tcPr>
            <w:tcW w:w="810" w:type="pct"/>
          </w:tcPr>
          <w:p w14:paraId="5C749505">
            <w:pPr>
              <w:spacing w:line="240" w:lineRule="auto"/>
              <w:ind w:firstLine="480"/>
              <w:jc w:val="left"/>
              <w:rPr>
                <w:rFonts w:ascii="瀹嬩綋" w:hAnsi="瀹嬩綋" w:eastAsia="瀹嬩綋"/>
                <w:color w:val="000000"/>
                <w:sz w:val="21"/>
                <w:szCs w:val="21"/>
              </w:rPr>
            </w:pPr>
          </w:p>
        </w:tc>
      </w:tr>
      <w:tr w14:paraId="153E3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1AFC7A1A">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1FCACDA">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3DE08438">
            <w:pPr>
              <w:spacing w:line="240" w:lineRule="auto"/>
              <w:ind w:firstLine="480"/>
              <w:jc w:val="left"/>
              <w:rPr>
                <w:rFonts w:ascii="仿宋" w:hAnsi="仿宋" w:eastAsia="仿宋" w:cs="仿宋"/>
                <w:color w:val="000000"/>
                <w:sz w:val="21"/>
                <w:szCs w:val="21"/>
              </w:rPr>
            </w:pPr>
          </w:p>
        </w:tc>
        <w:tc>
          <w:tcPr>
            <w:tcW w:w="1577" w:type="pct"/>
            <w:vAlign w:val="center"/>
          </w:tcPr>
          <w:p w14:paraId="101A672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应用集成与分类展现</w:t>
            </w:r>
          </w:p>
        </w:tc>
        <w:tc>
          <w:tcPr>
            <w:tcW w:w="810" w:type="pct"/>
          </w:tcPr>
          <w:p w14:paraId="06187F0B">
            <w:pPr>
              <w:spacing w:line="240" w:lineRule="auto"/>
              <w:ind w:firstLine="480"/>
              <w:jc w:val="left"/>
              <w:rPr>
                <w:rFonts w:ascii="瀹嬩綋" w:hAnsi="瀹嬩綋" w:eastAsia="瀹嬩綋"/>
                <w:color w:val="000000"/>
                <w:sz w:val="21"/>
                <w:szCs w:val="21"/>
              </w:rPr>
            </w:pPr>
          </w:p>
        </w:tc>
      </w:tr>
      <w:tr w14:paraId="7E4FF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37B2A64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18374DD">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4AD4B803">
            <w:pPr>
              <w:spacing w:line="240" w:lineRule="auto"/>
              <w:ind w:firstLine="480"/>
              <w:jc w:val="left"/>
              <w:rPr>
                <w:rFonts w:ascii="仿宋" w:hAnsi="仿宋" w:eastAsia="仿宋" w:cs="仿宋"/>
                <w:color w:val="000000"/>
                <w:sz w:val="21"/>
                <w:szCs w:val="21"/>
              </w:rPr>
            </w:pPr>
          </w:p>
        </w:tc>
        <w:tc>
          <w:tcPr>
            <w:tcW w:w="1577" w:type="pct"/>
            <w:vAlign w:val="center"/>
          </w:tcPr>
          <w:p w14:paraId="679FAA03">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应用搜索</w:t>
            </w:r>
          </w:p>
        </w:tc>
        <w:tc>
          <w:tcPr>
            <w:tcW w:w="810" w:type="pct"/>
          </w:tcPr>
          <w:p w14:paraId="40B9068B">
            <w:pPr>
              <w:spacing w:line="240" w:lineRule="auto"/>
              <w:ind w:firstLine="480"/>
              <w:jc w:val="left"/>
              <w:rPr>
                <w:rFonts w:ascii="瀹嬩綋" w:hAnsi="瀹嬩綋" w:eastAsia="瀹嬩綋"/>
                <w:color w:val="000000"/>
                <w:sz w:val="21"/>
                <w:szCs w:val="21"/>
              </w:rPr>
            </w:pPr>
          </w:p>
        </w:tc>
      </w:tr>
      <w:tr w14:paraId="24841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53C2A1A3">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3B256A9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就诊人管理</w:t>
            </w:r>
          </w:p>
        </w:tc>
        <w:tc>
          <w:tcPr>
            <w:tcW w:w="939" w:type="pct"/>
            <w:vMerge w:val="restart"/>
            <w:vAlign w:val="center"/>
          </w:tcPr>
          <w:p w14:paraId="66D149B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电子健康卡</w:t>
            </w:r>
          </w:p>
        </w:tc>
        <w:tc>
          <w:tcPr>
            <w:tcW w:w="1577" w:type="pct"/>
            <w:vAlign w:val="center"/>
          </w:tcPr>
          <w:p w14:paraId="6969135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电子健康卡注册</w:t>
            </w:r>
          </w:p>
        </w:tc>
        <w:tc>
          <w:tcPr>
            <w:tcW w:w="810" w:type="pct"/>
          </w:tcPr>
          <w:p w14:paraId="43010DB1">
            <w:pPr>
              <w:spacing w:line="240" w:lineRule="auto"/>
              <w:ind w:firstLine="480"/>
              <w:jc w:val="left"/>
              <w:rPr>
                <w:rFonts w:ascii="瀹嬩綋" w:hAnsi="瀹嬩綋" w:eastAsia="瀹嬩綋"/>
                <w:color w:val="000000"/>
                <w:sz w:val="21"/>
                <w:szCs w:val="21"/>
              </w:rPr>
            </w:pPr>
          </w:p>
        </w:tc>
      </w:tr>
      <w:tr w14:paraId="053CD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6049A4F2">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E9CD045">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599B6EF8">
            <w:pPr>
              <w:spacing w:line="240" w:lineRule="auto"/>
              <w:ind w:firstLine="480"/>
              <w:jc w:val="left"/>
              <w:rPr>
                <w:rFonts w:ascii="仿宋" w:hAnsi="仿宋" w:eastAsia="仿宋" w:cs="仿宋"/>
                <w:color w:val="000000"/>
                <w:sz w:val="21"/>
                <w:szCs w:val="21"/>
              </w:rPr>
            </w:pPr>
          </w:p>
        </w:tc>
        <w:tc>
          <w:tcPr>
            <w:tcW w:w="1577" w:type="pct"/>
            <w:vAlign w:val="center"/>
          </w:tcPr>
          <w:p w14:paraId="719FB66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历史就诊卡升级电子健康卡</w:t>
            </w:r>
          </w:p>
        </w:tc>
        <w:tc>
          <w:tcPr>
            <w:tcW w:w="810" w:type="pct"/>
          </w:tcPr>
          <w:p w14:paraId="2AD922B8">
            <w:pPr>
              <w:spacing w:line="240" w:lineRule="auto"/>
              <w:ind w:firstLine="480"/>
              <w:jc w:val="left"/>
              <w:rPr>
                <w:rFonts w:ascii="瀹嬩綋" w:hAnsi="瀹嬩綋" w:eastAsia="瀹嬩綋"/>
                <w:color w:val="000000"/>
                <w:sz w:val="21"/>
                <w:szCs w:val="21"/>
              </w:rPr>
            </w:pPr>
          </w:p>
        </w:tc>
      </w:tr>
      <w:tr w14:paraId="1E242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4FE4E3E4">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16BA0FA">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6F42B544">
            <w:pPr>
              <w:spacing w:line="240" w:lineRule="auto"/>
              <w:ind w:firstLine="480"/>
              <w:jc w:val="left"/>
              <w:rPr>
                <w:rFonts w:ascii="仿宋" w:hAnsi="仿宋" w:eastAsia="仿宋" w:cs="仿宋"/>
                <w:color w:val="000000"/>
                <w:sz w:val="21"/>
                <w:szCs w:val="21"/>
              </w:rPr>
            </w:pPr>
          </w:p>
        </w:tc>
        <w:tc>
          <w:tcPr>
            <w:tcW w:w="1577" w:type="pct"/>
            <w:vAlign w:val="center"/>
          </w:tcPr>
          <w:p w14:paraId="63AB37D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电子健康卡二维码查询功能</w:t>
            </w:r>
          </w:p>
        </w:tc>
        <w:tc>
          <w:tcPr>
            <w:tcW w:w="810" w:type="pct"/>
          </w:tcPr>
          <w:p w14:paraId="2070D1E3">
            <w:pPr>
              <w:spacing w:line="240" w:lineRule="auto"/>
              <w:ind w:firstLine="480"/>
              <w:jc w:val="left"/>
              <w:rPr>
                <w:rFonts w:ascii="瀹嬩綋" w:hAnsi="瀹嬩綋" w:eastAsia="瀹嬩綋"/>
                <w:color w:val="000000"/>
                <w:sz w:val="21"/>
                <w:szCs w:val="21"/>
              </w:rPr>
            </w:pPr>
          </w:p>
        </w:tc>
      </w:tr>
      <w:tr w14:paraId="4B066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4FABDC37">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1061D5F">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3752158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在线建卡</w:t>
            </w:r>
          </w:p>
        </w:tc>
        <w:tc>
          <w:tcPr>
            <w:tcW w:w="1577" w:type="pct"/>
            <w:vAlign w:val="center"/>
          </w:tcPr>
          <w:p w14:paraId="4EFAEC23">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在线注册建卡</w:t>
            </w:r>
          </w:p>
        </w:tc>
        <w:tc>
          <w:tcPr>
            <w:tcW w:w="810" w:type="pct"/>
          </w:tcPr>
          <w:p w14:paraId="1BEBD22A">
            <w:pPr>
              <w:spacing w:line="240" w:lineRule="auto"/>
              <w:ind w:firstLine="480"/>
              <w:jc w:val="left"/>
              <w:rPr>
                <w:rFonts w:ascii="瀹嬩綋" w:hAnsi="瀹嬩綋" w:eastAsia="瀹嬩綋"/>
                <w:color w:val="000000"/>
                <w:sz w:val="21"/>
                <w:szCs w:val="21"/>
              </w:rPr>
            </w:pPr>
          </w:p>
        </w:tc>
      </w:tr>
      <w:tr w14:paraId="16054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3E3F4D15">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6BC3859">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19828214">
            <w:pPr>
              <w:spacing w:line="240" w:lineRule="auto"/>
              <w:ind w:firstLine="480"/>
              <w:jc w:val="left"/>
              <w:rPr>
                <w:rFonts w:ascii="仿宋" w:hAnsi="仿宋" w:eastAsia="仿宋" w:cs="仿宋"/>
                <w:color w:val="000000"/>
                <w:sz w:val="21"/>
                <w:szCs w:val="21"/>
              </w:rPr>
            </w:pPr>
          </w:p>
        </w:tc>
        <w:tc>
          <w:tcPr>
            <w:tcW w:w="1577" w:type="pct"/>
            <w:vAlign w:val="center"/>
          </w:tcPr>
          <w:p w14:paraId="20B799B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在线绑卡</w:t>
            </w:r>
          </w:p>
        </w:tc>
        <w:tc>
          <w:tcPr>
            <w:tcW w:w="810" w:type="pct"/>
          </w:tcPr>
          <w:p w14:paraId="4F495BE7">
            <w:pPr>
              <w:spacing w:line="240" w:lineRule="auto"/>
              <w:ind w:firstLine="480"/>
              <w:jc w:val="left"/>
              <w:rPr>
                <w:rFonts w:ascii="瀹嬩綋" w:hAnsi="瀹嬩綋" w:eastAsia="瀹嬩綋"/>
                <w:color w:val="000000"/>
                <w:sz w:val="21"/>
                <w:szCs w:val="21"/>
              </w:rPr>
            </w:pPr>
          </w:p>
        </w:tc>
      </w:tr>
      <w:tr w14:paraId="17BC4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09C0BCE8">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FD7E2D8">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43468D04">
            <w:pPr>
              <w:spacing w:line="240" w:lineRule="auto"/>
              <w:ind w:firstLine="480"/>
              <w:jc w:val="left"/>
              <w:rPr>
                <w:rFonts w:ascii="仿宋" w:hAnsi="仿宋" w:eastAsia="仿宋" w:cs="仿宋"/>
                <w:color w:val="000000"/>
                <w:sz w:val="21"/>
                <w:szCs w:val="21"/>
              </w:rPr>
            </w:pPr>
          </w:p>
        </w:tc>
        <w:tc>
          <w:tcPr>
            <w:tcW w:w="1577" w:type="pct"/>
            <w:vAlign w:val="center"/>
          </w:tcPr>
          <w:p w14:paraId="1FFB9E1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建卡模式自定义</w:t>
            </w:r>
          </w:p>
        </w:tc>
        <w:tc>
          <w:tcPr>
            <w:tcW w:w="810" w:type="pct"/>
          </w:tcPr>
          <w:p w14:paraId="29123B70">
            <w:pPr>
              <w:spacing w:line="240" w:lineRule="auto"/>
              <w:ind w:firstLine="480"/>
              <w:jc w:val="left"/>
              <w:rPr>
                <w:rFonts w:ascii="瀹嬩綋" w:hAnsi="瀹嬩綋" w:eastAsia="瀹嬩綋"/>
                <w:color w:val="000000"/>
                <w:sz w:val="21"/>
                <w:szCs w:val="21"/>
              </w:rPr>
            </w:pPr>
          </w:p>
        </w:tc>
      </w:tr>
      <w:tr w14:paraId="266C7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737FCB1B">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E7DFC50">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6593F4AE">
            <w:pPr>
              <w:spacing w:line="240" w:lineRule="auto"/>
              <w:ind w:firstLine="480"/>
              <w:jc w:val="left"/>
              <w:rPr>
                <w:rFonts w:ascii="仿宋" w:hAnsi="仿宋" w:eastAsia="仿宋" w:cs="仿宋"/>
                <w:color w:val="000000"/>
                <w:sz w:val="21"/>
                <w:szCs w:val="21"/>
              </w:rPr>
            </w:pPr>
          </w:p>
        </w:tc>
        <w:tc>
          <w:tcPr>
            <w:tcW w:w="1577" w:type="pct"/>
            <w:vAlign w:val="center"/>
          </w:tcPr>
          <w:p w14:paraId="513B5F15">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建卡信息必填项目设置</w:t>
            </w:r>
          </w:p>
        </w:tc>
        <w:tc>
          <w:tcPr>
            <w:tcW w:w="810" w:type="pct"/>
          </w:tcPr>
          <w:p w14:paraId="4C213108">
            <w:pPr>
              <w:spacing w:line="240" w:lineRule="auto"/>
              <w:ind w:firstLine="480"/>
              <w:jc w:val="left"/>
              <w:rPr>
                <w:rFonts w:ascii="瀹嬩綋" w:hAnsi="瀹嬩綋" w:eastAsia="瀹嬩綋"/>
                <w:color w:val="000000"/>
                <w:sz w:val="21"/>
                <w:szCs w:val="21"/>
              </w:rPr>
            </w:pPr>
          </w:p>
        </w:tc>
      </w:tr>
      <w:tr w14:paraId="4F8F1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47" w:type="pct"/>
            <w:vAlign w:val="center"/>
          </w:tcPr>
          <w:p w14:paraId="57473301">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3A4836D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一站式门诊服务</w:t>
            </w:r>
          </w:p>
        </w:tc>
        <w:tc>
          <w:tcPr>
            <w:tcW w:w="939" w:type="pct"/>
            <w:vAlign w:val="center"/>
          </w:tcPr>
          <w:p w14:paraId="0644D5B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智能导诊</w:t>
            </w:r>
          </w:p>
        </w:tc>
        <w:tc>
          <w:tcPr>
            <w:tcW w:w="1577" w:type="pct"/>
            <w:vAlign w:val="center"/>
          </w:tcPr>
          <w:p w14:paraId="03B4616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智能导诊</w:t>
            </w:r>
          </w:p>
        </w:tc>
        <w:tc>
          <w:tcPr>
            <w:tcW w:w="810" w:type="pct"/>
          </w:tcPr>
          <w:p w14:paraId="0519D3BC">
            <w:pPr>
              <w:spacing w:line="240" w:lineRule="auto"/>
              <w:ind w:firstLine="480"/>
              <w:jc w:val="left"/>
              <w:rPr>
                <w:rFonts w:ascii="瀹嬩綋" w:hAnsi="瀹嬩綋" w:eastAsia="瀹嬩綋"/>
                <w:color w:val="000000"/>
                <w:sz w:val="21"/>
                <w:szCs w:val="21"/>
              </w:rPr>
            </w:pPr>
          </w:p>
        </w:tc>
      </w:tr>
      <w:tr w14:paraId="3D138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2A271ACB">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BA21FE5">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71554C9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挂号服务</w:t>
            </w:r>
          </w:p>
        </w:tc>
        <w:tc>
          <w:tcPr>
            <w:tcW w:w="1577" w:type="pct"/>
            <w:vAlign w:val="center"/>
          </w:tcPr>
          <w:p w14:paraId="26A5EBE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预约挂号</w:t>
            </w:r>
          </w:p>
        </w:tc>
        <w:tc>
          <w:tcPr>
            <w:tcW w:w="810" w:type="pct"/>
          </w:tcPr>
          <w:p w14:paraId="49706E1D">
            <w:pPr>
              <w:spacing w:line="240" w:lineRule="auto"/>
              <w:ind w:firstLine="480"/>
              <w:jc w:val="left"/>
              <w:rPr>
                <w:rFonts w:ascii="瀹嬩綋" w:hAnsi="瀹嬩綋" w:eastAsia="瀹嬩綋"/>
                <w:color w:val="000000"/>
                <w:sz w:val="21"/>
                <w:szCs w:val="21"/>
              </w:rPr>
            </w:pPr>
          </w:p>
        </w:tc>
      </w:tr>
      <w:tr w14:paraId="76667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01E86224">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29E6DA2">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5D20B751">
            <w:pPr>
              <w:spacing w:line="240" w:lineRule="auto"/>
              <w:ind w:firstLine="480"/>
              <w:jc w:val="left"/>
              <w:rPr>
                <w:rFonts w:ascii="仿宋" w:hAnsi="仿宋" w:eastAsia="仿宋" w:cs="仿宋"/>
                <w:color w:val="000000"/>
                <w:sz w:val="21"/>
                <w:szCs w:val="21"/>
              </w:rPr>
            </w:pPr>
          </w:p>
        </w:tc>
        <w:tc>
          <w:tcPr>
            <w:tcW w:w="1577" w:type="pct"/>
            <w:vAlign w:val="center"/>
          </w:tcPr>
          <w:p w14:paraId="4997889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当天挂号</w:t>
            </w:r>
          </w:p>
        </w:tc>
        <w:tc>
          <w:tcPr>
            <w:tcW w:w="810" w:type="pct"/>
          </w:tcPr>
          <w:p w14:paraId="0F18D5EB">
            <w:pPr>
              <w:spacing w:line="240" w:lineRule="auto"/>
              <w:ind w:firstLine="480"/>
              <w:jc w:val="left"/>
              <w:rPr>
                <w:rFonts w:ascii="瀹嬩綋" w:hAnsi="瀹嬩綋" w:eastAsia="瀹嬩綋"/>
                <w:color w:val="000000"/>
                <w:sz w:val="21"/>
                <w:szCs w:val="21"/>
              </w:rPr>
            </w:pPr>
          </w:p>
        </w:tc>
      </w:tr>
      <w:tr w14:paraId="2EE65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0489BEC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2CC2F37">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6DFE0EA4">
            <w:pPr>
              <w:spacing w:line="240" w:lineRule="auto"/>
              <w:ind w:firstLine="480"/>
              <w:jc w:val="left"/>
              <w:rPr>
                <w:rFonts w:ascii="仿宋" w:hAnsi="仿宋" w:eastAsia="仿宋" w:cs="仿宋"/>
                <w:color w:val="000000"/>
                <w:sz w:val="21"/>
                <w:szCs w:val="21"/>
              </w:rPr>
            </w:pPr>
          </w:p>
        </w:tc>
        <w:tc>
          <w:tcPr>
            <w:tcW w:w="1577" w:type="pct"/>
            <w:vAlign w:val="center"/>
          </w:tcPr>
          <w:p w14:paraId="2461478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我的挂号</w:t>
            </w:r>
          </w:p>
        </w:tc>
        <w:tc>
          <w:tcPr>
            <w:tcW w:w="810" w:type="pct"/>
          </w:tcPr>
          <w:p w14:paraId="009A4D20">
            <w:pPr>
              <w:spacing w:line="240" w:lineRule="auto"/>
              <w:ind w:firstLine="480"/>
              <w:jc w:val="left"/>
              <w:rPr>
                <w:rFonts w:ascii="瀹嬩綋" w:hAnsi="瀹嬩綋" w:eastAsia="瀹嬩綋"/>
                <w:color w:val="000000"/>
                <w:sz w:val="21"/>
                <w:szCs w:val="21"/>
              </w:rPr>
            </w:pPr>
          </w:p>
        </w:tc>
      </w:tr>
      <w:tr w14:paraId="033C9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44AD2801">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1DA07D9">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5599164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就诊指引</w:t>
            </w:r>
          </w:p>
        </w:tc>
        <w:tc>
          <w:tcPr>
            <w:tcW w:w="1577" w:type="pct"/>
            <w:vAlign w:val="center"/>
          </w:tcPr>
          <w:p w14:paraId="5853119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就诊信息自定义</w:t>
            </w:r>
          </w:p>
        </w:tc>
        <w:tc>
          <w:tcPr>
            <w:tcW w:w="810" w:type="pct"/>
          </w:tcPr>
          <w:p w14:paraId="1A9D9C99">
            <w:pPr>
              <w:spacing w:line="240" w:lineRule="auto"/>
              <w:ind w:firstLine="480"/>
              <w:jc w:val="left"/>
              <w:rPr>
                <w:rFonts w:ascii="瀹嬩綋" w:hAnsi="瀹嬩綋" w:eastAsia="瀹嬩綋"/>
                <w:color w:val="000000"/>
                <w:sz w:val="21"/>
                <w:szCs w:val="21"/>
              </w:rPr>
            </w:pPr>
          </w:p>
        </w:tc>
      </w:tr>
      <w:tr w14:paraId="5FB49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0320BE78">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E3EA048">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20FC84A7">
            <w:pPr>
              <w:spacing w:line="240" w:lineRule="auto"/>
              <w:ind w:firstLine="480"/>
              <w:jc w:val="left"/>
              <w:rPr>
                <w:rFonts w:ascii="仿宋" w:hAnsi="仿宋" w:eastAsia="仿宋" w:cs="仿宋"/>
                <w:color w:val="000000"/>
                <w:sz w:val="21"/>
                <w:szCs w:val="21"/>
              </w:rPr>
            </w:pPr>
          </w:p>
        </w:tc>
        <w:tc>
          <w:tcPr>
            <w:tcW w:w="1577" w:type="pct"/>
            <w:vAlign w:val="center"/>
          </w:tcPr>
          <w:p w14:paraId="5B40C82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就诊消息推送</w:t>
            </w:r>
          </w:p>
        </w:tc>
        <w:tc>
          <w:tcPr>
            <w:tcW w:w="810" w:type="pct"/>
          </w:tcPr>
          <w:p w14:paraId="090025C4">
            <w:pPr>
              <w:spacing w:line="240" w:lineRule="auto"/>
              <w:ind w:firstLine="480"/>
              <w:jc w:val="left"/>
              <w:rPr>
                <w:rFonts w:ascii="瀹嬩綋" w:hAnsi="瀹嬩綋" w:eastAsia="瀹嬩綋"/>
                <w:color w:val="000000"/>
                <w:sz w:val="21"/>
                <w:szCs w:val="21"/>
              </w:rPr>
            </w:pPr>
          </w:p>
        </w:tc>
      </w:tr>
      <w:tr w14:paraId="6845C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747" w:type="pct"/>
            <w:vAlign w:val="center"/>
          </w:tcPr>
          <w:p w14:paraId="6412CB2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44072F1">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518985D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排队查询</w:t>
            </w:r>
          </w:p>
        </w:tc>
        <w:tc>
          <w:tcPr>
            <w:tcW w:w="1577" w:type="pct"/>
            <w:vAlign w:val="center"/>
          </w:tcPr>
          <w:p w14:paraId="637A1EC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个人候诊排队信息查询</w:t>
            </w:r>
          </w:p>
        </w:tc>
        <w:tc>
          <w:tcPr>
            <w:tcW w:w="810" w:type="pct"/>
          </w:tcPr>
          <w:p w14:paraId="45E87F2B">
            <w:pPr>
              <w:spacing w:line="240" w:lineRule="auto"/>
              <w:ind w:firstLine="480"/>
              <w:jc w:val="left"/>
              <w:rPr>
                <w:rFonts w:ascii="瀹嬩綋" w:hAnsi="瀹嬩綋" w:eastAsia="瀹嬩綋"/>
                <w:color w:val="000000"/>
                <w:sz w:val="21"/>
                <w:szCs w:val="21"/>
              </w:rPr>
            </w:pPr>
          </w:p>
        </w:tc>
      </w:tr>
      <w:tr w14:paraId="7A69D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747" w:type="pct"/>
            <w:vAlign w:val="center"/>
          </w:tcPr>
          <w:p w14:paraId="47BF66BA">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F9D86B9">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35C9F609">
            <w:pPr>
              <w:spacing w:line="240" w:lineRule="auto"/>
              <w:ind w:firstLine="480"/>
              <w:jc w:val="left"/>
              <w:rPr>
                <w:rFonts w:ascii="仿宋" w:hAnsi="仿宋" w:eastAsia="仿宋" w:cs="仿宋"/>
                <w:color w:val="000000"/>
                <w:sz w:val="21"/>
                <w:szCs w:val="21"/>
              </w:rPr>
            </w:pPr>
          </w:p>
        </w:tc>
        <w:tc>
          <w:tcPr>
            <w:tcW w:w="1577" w:type="pct"/>
            <w:vAlign w:val="center"/>
          </w:tcPr>
          <w:p w14:paraId="1613302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全院候诊排队信息查询</w:t>
            </w:r>
          </w:p>
        </w:tc>
        <w:tc>
          <w:tcPr>
            <w:tcW w:w="810" w:type="pct"/>
          </w:tcPr>
          <w:p w14:paraId="5C3807D7">
            <w:pPr>
              <w:spacing w:line="240" w:lineRule="auto"/>
              <w:ind w:firstLine="480"/>
              <w:jc w:val="left"/>
              <w:rPr>
                <w:rFonts w:ascii="瀹嬩綋" w:hAnsi="瀹嬩綋" w:eastAsia="瀹嬩綋"/>
                <w:color w:val="000000"/>
                <w:sz w:val="21"/>
                <w:szCs w:val="21"/>
              </w:rPr>
            </w:pPr>
          </w:p>
        </w:tc>
      </w:tr>
      <w:tr w14:paraId="18AEF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7F5E8B4F">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8E281EC">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228923A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扫码签到</w:t>
            </w:r>
          </w:p>
        </w:tc>
        <w:tc>
          <w:tcPr>
            <w:tcW w:w="1577" w:type="pct"/>
            <w:vAlign w:val="center"/>
          </w:tcPr>
          <w:p w14:paraId="763A872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挂号签到</w:t>
            </w:r>
          </w:p>
        </w:tc>
        <w:tc>
          <w:tcPr>
            <w:tcW w:w="810" w:type="pct"/>
          </w:tcPr>
          <w:p w14:paraId="25D43477">
            <w:pPr>
              <w:spacing w:line="240" w:lineRule="auto"/>
              <w:ind w:firstLine="480"/>
              <w:jc w:val="left"/>
              <w:rPr>
                <w:rFonts w:ascii="瀹嬩綋" w:hAnsi="瀹嬩綋" w:eastAsia="瀹嬩綋"/>
                <w:color w:val="000000"/>
                <w:sz w:val="21"/>
                <w:szCs w:val="21"/>
              </w:rPr>
            </w:pPr>
          </w:p>
        </w:tc>
      </w:tr>
      <w:tr w14:paraId="62220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13D949E4">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71CED19">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1EF3C7EC">
            <w:pPr>
              <w:spacing w:line="240" w:lineRule="auto"/>
              <w:ind w:firstLine="480"/>
              <w:jc w:val="left"/>
              <w:rPr>
                <w:rFonts w:ascii="仿宋" w:hAnsi="仿宋" w:eastAsia="仿宋" w:cs="仿宋"/>
                <w:color w:val="000000"/>
                <w:sz w:val="21"/>
                <w:szCs w:val="21"/>
              </w:rPr>
            </w:pPr>
          </w:p>
        </w:tc>
        <w:tc>
          <w:tcPr>
            <w:tcW w:w="1577" w:type="pct"/>
            <w:vAlign w:val="center"/>
          </w:tcPr>
          <w:p w14:paraId="42C85A9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二次签到</w:t>
            </w:r>
          </w:p>
        </w:tc>
        <w:tc>
          <w:tcPr>
            <w:tcW w:w="810" w:type="pct"/>
          </w:tcPr>
          <w:p w14:paraId="313B56AA">
            <w:pPr>
              <w:spacing w:line="240" w:lineRule="auto"/>
              <w:ind w:firstLine="480"/>
              <w:jc w:val="left"/>
              <w:rPr>
                <w:rFonts w:ascii="瀹嬩綋" w:hAnsi="瀹嬩綋" w:eastAsia="瀹嬩綋"/>
                <w:color w:val="000000"/>
                <w:sz w:val="21"/>
                <w:szCs w:val="21"/>
              </w:rPr>
            </w:pPr>
          </w:p>
        </w:tc>
      </w:tr>
      <w:tr w14:paraId="68DBA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5D4A62CB">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78E2B8A">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050D80C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就诊全流程</w:t>
            </w:r>
          </w:p>
        </w:tc>
        <w:tc>
          <w:tcPr>
            <w:tcW w:w="1577" w:type="pct"/>
            <w:vAlign w:val="center"/>
          </w:tcPr>
          <w:p w14:paraId="0CE9737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就诊全流程设置</w:t>
            </w:r>
          </w:p>
        </w:tc>
        <w:tc>
          <w:tcPr>
            <w:tcW w:w="810" w:type="pct"/>
          </w:tcPr>
          <w:p w14:paraId="6511C418">
            <w:pPr>
              <w:spacing w:line="240" w:lineRule="auto"/>
              <w:ind w:firstLine="480"/>
              <w:jc w:val="left"/>
              <w:rPr>
                <w:rFonts w:ascii="瀹嬩綋" w:hAnsi="瀹嬩綋" w:eastAsia="瀹嬩綋"/>
                <w:color w:val="000000"/>
                <w:sz w:val="21"/>
                <w:szCs w:val="21"/>
              </w:rPr>
            </w:pPr>
          </w:p>
        </w:tc>
      </w:tr>
      <w:tr w14:paraId="027B0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4BA1146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E90FD47">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20924745">
            <w:pPr>
              <w:spacing w:line="240" w:lineRule="auto"/>
              <w:ind w:firstLine="480"/>
              <w:jc w:val="left"/>
              <w:rPr>
                <w:rFonts w:ascii="仿宋" w:hAnsi="仿宋" w:eastAsia="仿宋" w:cs="仿宋"/>
                <w:color w:val="000000"/>
                <w:sz w:val="21"/>
                <w:szCs w:val="21"/>
              </w:rPr>
            </w:pPr>
          </w:p>
        </w:tc>
        <w:tc>
          <w:tcPr>
            <w:tcW w:w="1577" w:type="pct"/>
            <w:vAlign w:val="center"/>
          </w:tcPr>
          <w:p w14:paraId="7117BF1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就诊全流程展示</w:t>
            </w:r>
          </w:p>
        </w:tc>
        <w:tc>
          <w:tcPr>
            <w:tcW w:w="810" w:type="pct"/>
          </w:tcPr>
          <w:p w14:paraId="027AA568">
            <w:pPr>
              <w:spacing w:line="240" w:lineRule="auto"/>
              <w:ind w:firstLine="480"/>
              <w:jc w:val="left"/>
              <w:rPr>
                <w:rFonts w:ascii="瀹嬩綋" w:hAnsi="瀹嬩綋" w:eastAsia="瀹嬩綋"/>
                <w:color w:val="000000"/>
                <w:sz w:val="21"/>
                <w:szCs w:val="21"/>
              </w:rPr>
            </w:pPr>
          </w:p>
        </w:tc>
      </w:tr>
      <w:tr w14:paraId="06E77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5D7484A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E094E66">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1EAF7483">
            <w:pPr>
              <w:spacing w:line="240" w:lineRule="auto"/>
              <w:ind w:firstLine="480"/>
              <w:jc w:val="left"/>
              <w:rPr>
                <w:rFonts w:ascii="仿宋" w:hAnsi="仿宋" w:eastAsia="仿宋" w:cs="仿宋"/>
                <w:color w:val="000000"/>
                <w:sz w:val="21"/>
                <w:szCs w:val="21"/>
              </w:rPr>
            </w:pPr>
          </w:p>
        </w:tc>
        <w:tc>
          <w:tcPr>
            <w:tcW w:w="1577" w:type="pct"/>
            <w:vAlign w:val="center"/>
          </w:tcPr>
          <w:p w14:paraId="1C7D7DC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就诊流程查询</w:t>
            </w:r>
          </w:p>
        </w:tc>
        <w:tc>
          <w:tcPr>
            <w:tcW w:w="810" w:type="pct"/>
          </w:tcPr>
          <w:p w14:paraId="1B8BB42D">
            <w:pPr>
              <w:spacing w:line="240" w:lineRule="auto"/>
              <w:ind w:firstLine="480"/>
              <w:jc w:val="left"/>
              <w:rPr>
                <w:rFonts w:ascii="瀹嬩綋" w:hAnsi="瀹嬩綋" w:eastAsia="瀹嬩綋"/>
                <w:color w:val="000000"/>
                <w:sz w:val="21"/>
                <w:szCs w:val="21"/>
              </w:rPr>
            </w:pPr>
          </w:p>
        </w:tc>
      </w:tr>
      <w:tr w14:paraId="790C4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6E8166F3">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A1EFA2C">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742CF87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关键词回复</w:t>
            </w:r>
          </w:p>
        </w:tc>
        <w:tc>
          <w:tcPr>
            <w:tcW w:w="1577" w:type="pct"/>
            <w:vAlign w:val="center"/>
          </w:tcPr>
          <w:p w14:paraId="0DE8DD2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回复设置</w:t>
            </w:r>
          </w:p>
        </w:tc>
        <w:tc>
          <w:tcPr>
            <w:tcW w:w="810" w:type="pct"/>
          </w:tcPr>
          <w:p w14:paraId="1FA34386">
            <w:pPr>
              <w:spacing w:line="240" w:lineRule="auto"/>
              <w:ind w:firstLine="480"/>
              <w:jc w:val="left"/>
              <w:rPr>
                <w:rFonts w:ascii="瀹嬩綋" w:hAnsi="瀹嬩綋" w:eastAsia="瀹嬩綋"/>
                <w:color w:val="000000"/>
                <w:sz w:val="21"/>
                <w:szCs w:val="21"/>
              </w:rPr>
            </w:pPr>
          </w:p>
        </w:tc>
      </w:tr>
      <w:tr w14:paraId="2326F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212A3F16">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927270C">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1C9729CF">
            <w:pPr>
              <w:spacing w:line="240" w:lineRule="auto"/>
              <w:ind w:firstLine="480"/>
              <w:jc w:val="left"/>
              <w:rPr>
                <w:rFonts w:ascii="仿宋" w:hAnsi="仿宋" w:eastAsia="仿宋" w:cs="仿宋"/>
                <w:color w:val="000000"/>
                <w:sz w:val="21"/>
                <w:szCs w:val="21"/>
              </w:rPr>
            </w:pPr>
          </w:p>
        </w:tc>
        <w:tc>
          <w:tcPr>
            <w:tcW w:w="1577" w:type="pct"/>
            <w:vAlign w:val="center"/>
          </w:tcPr>
          <w:p w14:paraId="43632575">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回复信息推送</w:t>
            </w:r>
          </w:p>
        </w:tc>
        <w:tc>
          <w:tcPr>
            <w:tcW w:w="810" w:type="pct"/>
          </w:tcPr>
          <w:p w14:paraId="228758BC">
            <w:pPr>
              <w:spacing w:line="240" w:lineRule="auto"/>
              <w:ind w:firstLine="480"/>
              <w:jc w:val="left"/>
              <w:rPr>
                <w:rFonts w:ascii="瀹嬩綋" w:hAnsi="瀹嬩綋" w:eastAsia="瀹嬩綋"/>
                <w:color w:val="000000"/>
                <w:sz w:val="21"/>
                <w:szCs w:val="21"/>
              </w:rPr>
            </w:pPr>
          </w:p>
        </w:tc>
      </w:tr>
      <w:tr w14:paraId="58343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2C3F3A1A">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E49ECD0">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095D5D6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消息中心</w:t>
            </w:r>
          </w:p>
        </w:tc>
        <w:tc>
          <w:tcPr>
            <w:tcW w:w="1577" w:type="pct"/>
            <w:vAlign w:val="center"/>
          </w:tcPr>
          <w:p w14:paraId="0BE2E853">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消息定义</w:t>
            </w:r>
          </w:p>
        </w:tc>
        <w:tc>
          <w:tcPr>
            <w:tcW w:w="810" w:type="pct"/>
          </w:tcPr>
          <w:p w14:paraId="6E732050">
            <w:pPr>
              <w:spacing w:line="240" w:lineRule="auto"/>
              <w:ind w:firstLine="480"/>
              <w:jc w:val="left"/>
              <w:rPr>
                <w:rFonts w:ascii="瀹嬩綋" w:hAnsi="瀹嬩綋" w:eastAsia="瀹嬩綋"/>
                <w:color w:val="000000"/>
                <w:sz w:val="21"/>
                <w:szCs w:val="21"/>
              </w:rPr>
            </w:pPr>
          </w:p>
        </w:tc>
      </w:tr>
      <w:tr w14:paraId="79CCB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07F5D6ED">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FAE10DD">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28EAD0CE">
            <w:pPr>
              <w:spacing w:line="240" w:lineRule="auto"/>
              <w:ind w:firstLine="480"/>
              <w:jc w:val="left"/>
              <w:rPr>
                <w:rFonts w:ascii="仿宋" w:hAnsi="仿宋" w:eastAsia="仿宋" w:cs="仿宋"/>
                <w:color w:val="000000"/>
                <w:sz w:val="21"/>
                <w:szCs w:val="21"/>
              </w:rPr>
            </w:pPr>
          </w:p>
        </w:tc>
        <w:tc>
          <w:tcPr>
            <w:tcW w:w="1577" w:type="pct"/>
            <w:vAlign w:val="center"/>
          </w:tcPr>
          <w:p w14:paraId="49E02E3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消息模板维护</w:t>
            </w:r>
          </w:p>
        </w:tc>
        <w:tc>
          <w:tcPr>
            <w:tcW w:w="810" w:type="pct"/>
          </w:tcPr>
          <w:p w14:paraId="57FA7031">
            <w:pPr>
              <w:spacing w:line="240" w:lineRule="auto"/>
              <w:ind w:firstLine="480"/>
              <w:jc w:val="left"/>
              <w:rPr>
                <w:rFonts w:ascii="瀹嬩綋" w:hAnsi="瀹嬩綋" w:eastAsia="瀹嬩綋"/>
                <w:color w:val="000000"/>
                <w:sz w:val="21"/>
                <w:szCs w:val="21"/>
              </w:rPr>
            </w:pPr>
          </w:p>
        </w:tc>
      </w:tr>
      <w:tr w14:paraId="0EB73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5ACC5155">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69705D6">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28A7CB49">
            <w:pPr>
              <w:spacing w:line="240" w:lineRule="auto"/>
              <w:ind w:firstLine="480"/>
              <w:jc w:val="left"/>
              <w:rPr>
                <w:rFonts w:ascii="仿宋" w:hAnsi="仿宋" w:eastAsia="仿宋" w:cs="仿宋"/>
                <w:color w:val="000000"/>
                <w:sz w:val="21"/>
                <w:szCs w:val="21"/>
              </w:rPr>
            </w:pPr>
          </w:p>
        </w:tc>
        <w:tc>
          <w:tcPr>
            <w:tcW w:w="1577" w:type="pct"/>
            <w:vAlign w:val="center"/>
          </w:tcPr>
          <w:p w14:paraId="7D3F90F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消息推送</w:t>
            </w:r>
          </w:p>
        </w:tc>
        <w:tc>
          <w:tcPr>
            <w:tcW w:w="810" w:type="pct"/>
          </w:tcPr>
          <w:p w14:paraId="3353805B">
            <w:pPr>
              <w:spacing w:line="240" w:lineRule="auto"/>
              <w:ind w:firstLine="480"/>
              <w:jc w:val="left"/>
              <w:rPr>
                <w:rFonts w:ascii="瀹嬩綋" w:hAnsi="瀹嬩綋" w:eastAsia="瀹嬩綋"/>
                <w:color w:val="000000"/>
                <w:sz w:val="21"/>
                <w:szCs w:val="21"/>
              </w:rPr>
            </w:pPr>
          </w:p>
        </w:tc>
      </w:tr>
      <w:tr w14:paraId="24E70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7688734F">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2650682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一站式住院服务</w:t>
            </w:r>
          </w:p>
        </w:tc>
        <w:tc>
          <w:tcPr>
            <w:tcW w:w="939" w:type="pct"/>
            <w:vAlign w:val="center"/>
          </w:tcPr>
          <w:p w14:paraId="15696DF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入院登记</w:t>
            </w:r>
          </w:p>
        </w:tc>
        <w:tc>
          <w:tcPr>
            <w:tcW w:w="1577" w:type="pct"/>
            <w:vAlign w:val="center"/>
          </w:tcPr>
          <w:p w14:paraId="35B306F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入院登记</w:t>
            </w:r>
          </w:p>
        </w:tc>
        <w:tc>
          <w:tcPr>
            <w:tcW w:w="810" w:type="pct"/>
          </w:tcPr>
          <w:p w14:paraId="0EED44FC">
            <w:pPr>
              <w:spacing w:line="240" w:lineRule="auto"/>
              <w:ind w:firstLine="480"/>
              <w:jc w:val="left"/>
              <w:rPr>
                <w:rFonts w:ascii="瀹嬩綋" w:hAnsi="瀹嬩綋" w:eastAsia="瀹嬩綋"/>
                <w:color w:val="000000"/>
                <w:sz w:val="21"/>
                <w:szCs w:val="21"/>
              </w:rPr>
            </w:pPr>
          </w:p>
        </w:tc>
      </w:tr>
      <w:tr w14:paraId="1E570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2BF099DB">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0FB7406">
            <w:pPr>
              <w:spacing w:line="240" w:lineRule="auto"/>
              <w:ind w:firstLine="480"/>
              <w:jc w:val="left"/>
              <w:rPr>
                <w:rFonts w:ascii="仿宋" w:hAnsi="仿宋" w:eastAsia="仿宋" w:cs="仿宋"/>
                <w:color w:val="000000"/>
                <w:sz w:val="21"/>
                <w:szCs w:val="21"/>
              </w:rPr>
            </w:pPr>
          </w:p>
        </w:tc>
        <w:tc>
          <w:tcPr>
            <w:tcW w:w="939" w:type="pct"/>
            <w:vAlign w:val="center"/>
          </w:tcPr>
          <w:p w14:paraId="1225126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入院须知</w:t>
            </w:r>
          </w:p>
        </w:tc>
        <w:tc>
          <w:tcPr>
            <w:tcW w:w="1577" w:type="pct"/>
            <w:vAlign w:val="center"/>
          </w:tcPr>
          <w:p w14:paraId="314A098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入院须知</w:t>
            </w:r>
          </w:p>
        </w:tc>
        <w:tc>
          <w:tcPr>
            <w:tcW w:w="810" w:type="pct"/>
          </w:tcPr>
          <w:p w14:paraId="444727A4">
            <w:pPr>
              <w:spacing w:line="240" w:lineRule="auto"/>
              <w:ind w:firstLine="480"/>
              <w:jc w:val="left"/>
              <w:rPr>
                <w:rFonts w:ascii="瀹嬩綋" w:hAnsi="瀹嬩綋" w:eastAsia="瀹嬩綋"/>
                <w:color w:val="000000"/>
                <w:sz w:val="21"/>
                <w:szCs w:val="21"/>
              </w:rPr>
            </w:pPr>
          </w:p>
        </w:tc>
      </w:tr>
      <w:tr w14:paraId="68579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7BF3C816">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C24F895">
            <w:pPr>
              <w:spacing w:line="240" w:lineRule="auto"/>
              <w:ind w:firstLine="480"/>
              <w:jc w:val="left"/>
              <w:rPr>
                <w:rFonts w:ascii="仿宋" w:hAnsi="仿宋" w:eastAsia="仿宋" w:cs="仿宋"/>
                <w:color w:val="000000"/>
                <w:sz w:val="21"/>
                <w:szCs w:val="21"/>
              </w:rPr>
            </w:pPr>
          </w:p>
        </w:tc>
        <w:tc>
          <w:tcPr>
            <w:tcW w:w="939" w:type="pct"/>
            <w:vAlign w:val="center"/>
          </w:tcPr>
          <w:p w14:paraId="6A038A5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住院预交金</w:t>
            </w:r>
          </w:p>
        </w:tc>
        <w:tc>
          <w:tcPr>
            <w:tcW w:w="1577" w:type="pct"/>
            <w:vAlign w:val="center"/>
          </w:tcPr>
          <w:p w14:paraId="05DCEAA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住院预交金</w:t>
            </w:r>
          </w:p>
        </w:tc>
        <w:tc>
          <w:tcPr>
            <w:tcW w:w="810" w:type="pct"/>
          </w:tcPr>
          <w:p w14:paraId="6D4075ED">
            <w:pPr>
              <w:spacing w:line="240" w:lineRule="auto"/>
              <w:ind w:firstLine="480"/>
              <w:jc w:val="left"/>
              <w:rPr>
                <w:rFonts w:ascii="瀹嬩綋" w:hAnsi="瀹嬩綋" w:eastAsia="瀹嬩綋"/>
                <w:color w:val="000000"/>
                <w:sz w:val="21"/>
                <w:szCs w:val="21"/>
              </w:rPr>
            </w:pPr>
          </w:p>
        </w:tc>
      </w:tr>
      <w:tr w14:paraId="1380C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4540D8B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84422E9">
            <w:pPr>
              <w:spacing w:line="240" w:lineRule="auto"/>
              <w:ind w:firstLine="480"/>
              <w:jc w:val="left"/>
              <w:rPr>
                <w:rFonts w:ascii="仿宋" w:hAnsi="仿宋" w:eastAsia="仿宋" w:cs="仿宋"/>
                <w:color w:val="000000"/>
                <w:sz w:val="21"/>
                <w:szCs w:val="21"/>
              </w:rPr>
            </w:pPr>
          </w:p>
        </w:tc>
        <w:tc>
          <w:tcPr>
            <w:tcW w:w="939" w:type="pct"/>
            <w:vAlign w:val="center"/>
          </w:tcPr>
          <w:p w14:paraId="5A6BA09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住院费用</w:t>
            </w:r>
          </w:p>
        </w:tc>
        <w:tc>
          <w:tcPr>
            <w:tcW w:w="1577" w:type="pct"/>
            <w:vAlign w:val="center"/>
          </w:tcPr>
          <w:p w14:paraId="0A096EA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住院费用</w:t>
            </w:r>
          </w:p>
        </w:tc>
        <w:tc>
          <w:tcPr>
            <w:tcW w:w="810" w:type="pct"/>
          </w:tcPr>
          <w:p w14:paraId="7307AF46">
            <w:pPr>
              <w:spacing w:line="240" w:lineRule="auto"/>
              <w:ind w:firstLine="480"/>
              <w:jc w:val="left"/>
              <w:rPr>
                <w:rFonts w:ascii="瀹嬩綋" w:hAnsi="瀹嬩綋" w:eastAsia="瀹嬩綋"/>
                <w:color w:val="000000"/>
                <w:sz w:val="21"/>
                <w:szCs w:val="21"/>
              </w:rPr>
            </w:pPr>
          </w:p>
        </w:tc>
      </w:tr>
      <w:tr w14:paraId="1C1BA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4A76C946">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94FFC39">
            <w:pPr>
              <w:spacing w:line="240" w:lineRule="auto"/>
              <w:ind w:firstLine="480"/>
              <w:jc w:val="left"/>
              <w:rPr>
                <w:rFonts w:ascii="仿宋" w:hAnsi="仿宋" w:eastAsia="仿宋" w:cs="仿宋"/>
                <w:color w:val="000000"/>
                <w:sz w:val="21"/>
                <w:szCs w:val="21"/>
              </w:rPr>
            </w:pPr>
          </w:p>
        </w:tc>
        <w:tc>
          <w:tcPr>
            <w:tcW w:w="939" w:type="pct"/>
            <w:vAlign w:val="center"/>
          </w:tcPr>
          <w:p w14:paraId="15DB04C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每日清单</w:t>
            </w:r>
          </w:p>
        </w:tc>
        <w:tc>
          <w:tcPr>
            <w:tcW w:w="1577" w:type="pct"/>
            <w:vAlign w:val="center"/>
          </w:tcPr>
          <w:p w14:paraId="7ED5A35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每日清单</w:t>
            </w:r>
          </w:p>
        </w:tc>
        <w:tc>
          <w:tcPr>
            <w:tcW w:w="810" w:type="pct"/>
          </w:tcPr>
          <w:p w14:paraId="6BD2D2E5">
            <w:pPr>
              <w:spacing w:line="240" w:lineRule="auto"/>
              <w:ind w:firstLine="480"/>
              <w:jc w:val="left"/>
              <w:rPr>
                <w:rFonts w:ascii="瀹嬩綋" w:hAnsi="瀹嬩綋" w:eastAsia="瀹嬩綋"/>
                <w:color w:val="000000"/>
                <w:sz w:val="21"/>
                <w:szCs w:val="21"/>
              </w:rPr>
            </w:pPr>
          </w:p>
        </w:tc>
      </w:tr>
      <w:tr w14:paraId="46C66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186C25E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F94E650">
            <w:pPr>
              <w:spacing w:line="240" w:lineRule="auto"/>
              <w:ind w:firstLine="480"/>
              <w:jc w:val="left"/>
              <w:rPr>
                <w:rFonts w:ascii="仿宋" w:hAnsi="仿宋" w:eastAsia="仿宋" w:cs="仿宋"/>
                <w:color w:val="000000"/>
                <w:sz w:val="21"/>
                <w:szCs w:val="21"/>
              </w:rPr>
            </w:pPr>
          </w:p>
        </w:tc>
        <w:tc>
          <w:tcPr>
            <w:tcW w:w="939" w:type="pct"/>
            <w:vAlign w:val="center"/>
          </w:tcPr>
          <w:p w14:paraId="3535EC5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出院小结</w:t>
            </w:r>
          </w:p>
        </w:tc>
        <w:tc>
          <w:tcPr>
            <w:tcW w:w="1577" w:type="pct"/>
            <w:vAlign w:val="center"/>
          </w:tcPr>
          <w:p w14:paraId="38B76C5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出院小结</w:t>
            </w:r>
          </w:p>
        </w:tc>
        <w:tc>
          <w:tcPr>
            <w:tcW w:w="810" w:type="pct"/>
          </w:tcPr>
          <w:p w14:paraId="6D807CA9">
            <w:pPr>
              <w:spacing w:line="240" w:lineRule="auto"/>
              <w:ind w:firstLine="480"/>
              <w:jc w:val="left"/>
              <w:rPr>
                <w:rFonts w:ascii="瀹嬩綋" w:hAnsi="瀹嬩綋" w:eastAsia="瀹嬩綋"/>
                <w:color w:val="000000"/>
                <w:sz w:val="21"/>
                <w:szCs w:val="21"/>
              </w:rPr>
            </w:pPr>
          </w:p>
        </w:tc>
      </w:tr>
      <w:tr w14:paraId="77D76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197A76E1">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7BCB3AA">
            <w:pPr>
              <w:spacing w:line="240" w:lineRule="auto"/>
              <w:ind w:firstLine="480"/>
              <w:jc w:val="left"/>
              <w:rPr>
                <w:rFonts w:ascii="仿宋" w:hAnsi="仿宋" w:eastAsia="仿宋" w:cs="仿宋"/>
                <w:color w:val="000000"/>
                <w:sz w:val="21"/>
                <w:szCs w:val="21"/>
              </w:rPr>
            </w:pPr>
          </w:p>
        </w:tc>
        <w:tc>
          <w:tcPr>
            <w:tcW w:w="939" w:type="pct"/>
            <w:vAlign w:val="center"/>
          </w:tcPr>
          <w:p w14:paraId="4D4B2E1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出院须知</w:t>
            </w:r>
          </w:p>
        </w:tc>
        <w:tc>
          <w:tcPr>
            <w:tcW w:w="1577" w:type="pct"/>
            <w:vAlign w:val="center"/>
          </w:tcPr>
          <w:p w14:paraId="567A2A5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出院须知</w:t>
            </w:r>
          </w:p>
        </w:tc>
        <w:tc>
          <w:tcPr>
            <w:tcW w:w="810" w:type="pct"/>
          </w:tcPr>
          <w:p w14:paraId="1D879491">
            <w:pPr>
              <w:spacing w:line="240" w:lineRule="auto"/>
              <w:ind w:firstLine="480"/>
              <w:jc w:val="left"/>
              <w:rPr>
                <w:rFonts w:ascii="瀹嬩綋" w:hAnsi="瀹嬩綋" w:eastAsia="瀹嬩綋"/>
                <w:color w:val="000000"/>
                <w:sz w:val="21"/>
                <w:szCs w:val="21"/>
              </w:rPr>
            </w:pPr>
          </w:p>
        </w:tc>
      </w:tr>
      <w:tr w14:paraId="7E148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5C3F32F5">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74B96C3">
            <w:pPr>
              <w:spacing w:line="240" w:lineRule="auto"/>
              <w:ind w:firstLine="480"/>
              <w:jc w:val="left"/>
              <w:rPr>
                <w:rFonts w:ascii="仿宋" w:hAnsi="仿宋" w:eastAsia="仿宋" w:cs="仿宋"/>
                <w:color w:val="000000"/>
                <w:sz w:val="21"/>
                <w:szCs w:val="21"/>
              </w:rPr>
            </w:pPr>
          </w:p>
        </w:tc>
        <w:tc>
          <w:tcPr>
            <w:tcW w:w="939" w:type="pct"/>
            <w:vAlign w:val="center"/>
          </w:tcPr>
          <w:p w14:paraId="2922E4E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出院带药</w:t>
            </w:r>
          </w:p>
        </w:tc>
        <w:tc>
          <w:tcPr>
            <w:tcW w:w="1577" w:type="pct"/>
            <w:vAlign w:val="center"/>
          </w:tcPr>
          <w:p w14:paraId="2383006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出院带药</w:t>
            </w:r>
          </w:p>
        </w:tc>
        <w:tc>
          <w:tcPr>
            <w:tcW w:w="810" w:type="pct"/>
          </w:tcPr>
          <w:p w14:paraId="758A4BC4">
            <w:pPr>
              <w:spacing w:line="240" w:lineRule="auto"/>
              <w:ind w:firstLine="480"/>
              <w:jc w:val="left"/>
              <w:rPr>
                <w:rFonts w:ascii="瀹嬩綋" w:hAnsi="瀹嬩綋" w:eastAsia="瀹嬩綋"/>
                <w:color w:val="000000"/>
                <w:sz w:val="21"/>
                <w:szCs w:val="21"/>
              </w:rPr>
            </w:pPr>
          </w:p>
        </w:tc>
      </w:tr>
      <w:tr w14:paraId="516FE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2077E8FC">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0ED1974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就医费用支付</w:t>
            </w:r>
          </w:p>
        </w:tc>
        <w:tc>
          <w:tcPr>
            <w:tcW w:w="939" w:type="pct"/>
            <w:vAlign w:val="center"/>
          </w:tcPr>
          <w:p w14:paraId="671A035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挂号支付</w:t>
            </w:r>
          </w:p>
        </w:tc>
        <w:tc>
          <w:tcPr>
            <w:tcW w:w="1577" w:type="pct"/>
            <w:vAlign w:val="center"/>
          </w:tcPr>
          <w:p w14:paraId="5B795B9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挂号支付</w:t>
            </w:r>
          </w:p>
        </w:tc>
        <w:tc>
          <w:tcPr>
            <w:tcW w:w="810" w:type="pct"/>
          </w:tcPr>
          <w:p w14:paraId="120D5670">
            <w:pPr>
              <w:spacing w:line="240" w:lineRule="auto"/>
              <w:ind w:firstLine="480"/>
              <w:jc w:val="left"/>
              <w:rPr>
                <w:rFonts w:ascii="瀹嬩綋" w:hAnsi="瀹嬩綋" w:eastAsia="瀹嬩綋"/>
                <w:color w:val="000000"/>
                <w:sz w:val="21"/>
                <w:szCs w:val="21"/>
              </w:rPr>
            </w:pPr>
          </w:p>
        </w:tc>
      </w:tr>
      <w:tr w14:paraId="53717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485FDDC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53C023E">
            <w:pPr>
              <w:spacing w:line="240" w:lineRule="auto"/>
              <w:jc w:val="left"/>
              <w:rPr>
                <w:rFonts w:ascii="仿宋" w:hAnsi="仿宋" w:eastAsia="仿宋" w:cs="仿宋"/>
                <w:color w:val="000000"/>
                <w:sz w:val="21"/>
                <w:szCs w:val="21"/>
              </w:rPr>
            </w:pPr>
          </w:p>
        </w:tc>
        <w:tc>
          <w:tcPr>
            <w:tcW w:w="939" w:type="pct"/>
            <w:vAlign w:val="center"/>
          </w:tcPr>
          <w:p w14:paraId="2AA48FD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诊间支付</w:t>
            </w:r>
          </w:p>
        </w:tc>
        <w:tc>
          <w:tcPr>
            <w:tcW w:w="1577" w:type="pct"/>
            <w:vAlign w:val="center"/>
          </w:tcPr>
          <w:p w14:paraId="24880BA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诊间支付</w:t>
            </w:r>
          </w:p>
        </w:tc>
        <w:tc>
          <w:tcPr>
            <w:tcW w:w="810" w:type="pct"/>
          </w:tcPr>
          <w:p w14:paraId="77BEBD31">
            <w:pPr>
              <w:spacing w:line="240" w:lineRule="auto"/>
              <w:ind w:firstLine="480"/>
              <w:jc w:val="left"/>
              <w:rPr>
                <w:rFonts w:ascii="瀹嬩綋" w:hAnsi="瀹嬩綋" w:eastAsia="瀹嬩綋"/>
                <w:color w:val="000000"/>
                <w:sz w:val="21"/>
                <w:szCs w:val="21"/>
              </w:rPr>
            </w:pPr>
          </w:p>
        </w:tc>
      </w:tr>
      <w:tr w14:paraId="40ECE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0998474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98AC29F">
            <w:pPr>
              <w:spacing w:line="240" w:lineRule="auto"/>
              <w:jc w:val="left"/>
              <w:rPr>
                <w:rFonts w:ascii="仿宋" w:hAnsi="仿宋" w:eastAsia="仿宋" w:cs="仿宋"/>
                <w:color w:val="000000"/>
                <w:sz w:val="21"/>
                <w:szCs w:val="21"/>
              </w:rPr>
            </w:pPr>
          </w:p>
        </w:tc>
        <w:tc>
          <w:tcPr>
            <w:tcW w:w="939" w:type="pct"/>
            <w:vAlign w:val="center"/>
          </w:tcPr>
          <w:p w14:paraId="5C14977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扫处方单二维码支付</w:t>
            </w:r>
          </w:p>
        </w:tc>
        <w:tc>
          <w:tcPr>
            <w:tcW w:w="1577" w:type="pct"/>
            <w:vAlign w:val="center"/>
          </w:tcPr>
          <w:p w14:paraId="5A7CF72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扫处方单二维码支付</w:t>
            </w:r>
          </w:p>
        </w:tc>
        <w:tc>
          <w:tcPr>
            <w:tcW w:w="810" w:type="pct"/>
          </w:tcPr>
          <w:p w14:paraId="781D5131">
            <w:pPr>
              <w:spacing w:line="240" w:lineRule="auto"/>
              <w:ind w:firstLine="480"/>
              <w:jc w:val="left"/>
              <w:rPr>
                <w:rFonts w:ascii="瀹嬩綋" w:hAnsi="瀹嬩綋" w:eastAsia="瀹嬩綋"/>
                <w:color w:val="000000"/>
                <w:sz w:val="21"/>
                <w:szCs w:val="21"/>
              </w:rPr>
            </w:pPr>
          </w:p>
        </w:tc>
      </w:tr>
      <w:tr w14:paraId="5495B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1B9AB004">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FA22292">
            <w:pPr>
              <w:spacing w:line="240" w:lineRule="auto"/>
              <w:jc w:val="left"/>
              <w:rPr>
                <w:rFonts w:ascii="仿宋" w:hAnsi="仿宋" w:eastAsia="仿宋" w:cs="仿宋"/>
                <w:color w:val="000000"/>
                <w:sz w:val="21"/>
                <w:szCs w:val="21"/>
              </w:rPr>
            </w:pPr>
          </w:p>
        </w:tc>
        <w:tc>
          <w:tcPr>
            <w:tcW w:w="939" w:type="pct"/>
            <w:vAlign w:val="center"/>
          </w:tcPr>
          <w:p w14:paraId="237572C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窗口扫付款码支付</w:t>
            </w:r>
          </w:p>
        </w:tc>
        <w:tc>
          <w:tcPr>
            <w:tcW w:w="1577" w:type="pct"/>
            <w:vAlign w:val="center"/>
          </w:tcPr>
          <w:p w14:paraId="1620303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窗口扫付款码支付</w:t>
            </w:r>
          </w:p>
        </w:tc>
        <w:tc>
          <w:tcPr>
            <w:tcW w:w="810" w:type="pct"/>
          </w:tcPr>
          <w:p w14:paraId="3EF09EC6">
            <w:pPr>
              <w:spacing w:line="240" w:lineRule="auto"/>
              <w:ind w:firstLine="480"/>
              <w:jc w:val="left"/>
              <w:rPr>
                <w:rFonts w:ascii="瀹嬩綋" w:hAnsi="瀹嬩綋" w:eastAsia="瀹嬩綋"/>
                <w:color w:val="000000"/>
                <w:sz w:val="21"/>
                <w:szCs w:val="21"/>
              </w:rPr>
            </w:pPr>
          </w:p>
        </w:tc>
      </w:tr>
      <w:tr w14:paraId="2D24A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56E162F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DDB420B">
            <w:pPr>
              <w:spacing w:line="240" w:lineRule="auto"/>
              <w:jc w:val="left"/>
              <w:rPr>
                <w:rFonts w:ascii="仿宋" w:hAnsi="仿宋" w:eastAsia="仿宋" w:cs="仿宋"/>
                <w:color w:val="000000"/>
                <w:sz w:val="21"/>
                <w:szCs w:val="21"/>
              </w:rPr>
            </w:pPr>
          </w:p>
        </w:tc>
        <w:tc>
          <w:tcPr>
            <w:tcW w:w="939" w:type="pct"/>
            <w:vAlign w:val="center"/>
          </w:tcPr>
          <w:p w14:paraId="0B5964F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账单查询</w:t>
            </w:r>
          </w:p>
        </w:tc>
        <w:tc>
          <w:tcPr>
            <w:tcW w:w="1577" w:type="pct"/>
            <w:vAlign w:val="center"/>
          </w:tcPr>
          <w:p w14:paraId="169156A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账单查询</w:t>
            </w:r>
          </w:p>
        </w:tc>
        <w:tc>
          <w:tcPr>
            <w:tcW w:w="810" w:type="pct"/>
          </w:tcPr>
          <w:p w14:paraId="7E6262FA">
            <w:pPr>
              <w:spacing w:line="240" w:lineRule="auto"/>
              <w:ind w:firstLine="480"/>
              <w:jc w:val="left"/>
              <w:rPr>
                <w:rFonts w:ascii="瀹嬩綋" w:hAnsi="瀹嬩綋" w:eastAsia="瀹嬩綋"/>
                <w:color w:val="000000"/>
                <w:sz w:val="21"/>
                <w:szCs w:val="21"/>
              </w:rPr>
            </w:pPr>
          </w:p>
        </w:tc>
      </w:tr>
      <w:tr w14:paraId="7019A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3EE67CB9">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41E57815">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就医记录查询及推送</w:t>
            </w:r>
          </w:p>
        </w:tc>
        <w:tc>
          <w:tcPr>
            <w:tcW w:w="939" w:type="pct"/>
            <w:vAlign w:val="center"/>
          </w:tcPr>
          <w:p w14:paraId="3EDA524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门诊病历</w:t>
            </w:r>
          </w:p>
        </w:tc>
        <w:tc>
          <w:tcPr>
            <w:tcW w:w="1577" w:type="pct"/>
            <w:vAlign w:val="center"/>
          </w:tcPr>
          <w:p w14:paraId="46D0FAE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门诊病历</w:t>
            </w:r>
          </w:p>
        </w:tc>
        <w:tc>
          <w:tcPr>
            <w:tcW w:w="810" w:type="pct"/>
          </w:tcPr>
          <w:p w14:paraId="40CCA6E0">
            <w:pPr>
              <w:spacing w:line="240" w:lineRule="auto"/>
              <w:ind w:firstLine="480"/>
              <w:jc w:val="left"/>
              <w:rPr>
                <w:rFonts w:ascii="瀹嬩綋" w:hAnsi="瀹嬩綋" w:eastAsia="瀹嬩綋"/>
                <w:color w:val="000000"/>
                <w:sz w:val="21"/>
                <w:szCs w:val="21"/>
              </w:rPr>
            </w:pPr>
          </w:p>
        </w:tc>
      </w:tr>
      <w:tr w14:paraId="12A76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4BB6E7CA">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F400A87">
            <w:pPr>
              <w:spacing w:line="240" w:lineRule="auto"/>
              <w:jc w:val="left"/>
              <w:rPr>
                <w:rFonts w:ascii="仿宋" w:hAnsi="仿宋" w:eastAsia="仿宋" w:cs="仿宋"/>
                <w:color w:val="000000"/>
                <w:sz w:val="21"/>
                <w:szCs w:val="21"/>
              </w:rPr>
            </w:pPr>
          </w:p>
        </w:tc>
        <w:tc>
          <w:tcPr>
            <w:tcW w:w="939" w:type="pct"/>
            <w:vAlign w:val="center"/>
          </w:tcPr>
          <w:p w14:paraId="6C48ADC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检验报告</w:t>
            </w:r>
          </w:p>
        </w:tc>
        <w:tc>
          <w:tcPr>
            <w:tcW w:w="1577" w:type="pct"/>
            <w:vAlign w:val="center"/>
          </w:tcPr>
          <w:p w14:paraId="45D2794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检验报告</w:t>
            </w:r>
          </w:p>
        </w:tc>
        <w:tc>
          <w:tcPr>
            <w:tcW w:w="810" w:type="pct"/>
          </w:tcPr>
          <w:p w14:paraId="4A7F20C5">
            <w:pPr>
              <w:spacing w:line="240" w:lineRule="auto"/>
              <w:ind w:firstLine="480"/>
              <w:jc w:val="left"/>
              <w:rPr>
                <w:rFonts w:ascii="瀹嬩綋" w:hAnsi="瀹嬩綋" w:eastAsia="瀹嬩綋"/>
                <w:color w:val="000000"/>
                <w:sz w:val="21"/>
                <w:szCs w:val="21"/>
              </w:rPr>
            </w:pPr>
          </w:p>
        </w:tc>
      </w:tr>
      <w:tr w14:paraId="6A277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62303D7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4B2C1C3">
            <w:pPr>
              <w:spacing w:line="240" w:lineRule="auto"/>
              <w:jc w:val="left"/>
              <w:rPr>
                <w:rFonts w:ascii="仿宋" w:hAnsi="仿宋" w:eastAsia="仿宋" w:cs="仿宋"/>
                <w:color w:val="000000"/>
                <w:sz w:val="21"/>
                <w:szCs w:val="21"/>
              </w:rPr>
            </w:pPr>
          </w:p>
        </w:tc>
        <w:tc>
          <w:tcPr>
            <w:tcW w:w="939" w:type="pct"/>
            <w:vAlign w:val="center"/>
          </w:tcPr>
          <w:p w14:paraId="356DF59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检查报告</w:t>
            </w:r>
          </w:p>
        </w:tc>
        <w:tc>
          <w:tcPr>
            <w:tcW w:w="1577" w:type="pct"/>
            <w:vAlign w:val="center"/>
          </w:tcPr>
          <w:p w14:paraId="5C24EFA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检查报告</w:t>
            </w:r>
          </w:p>
        </w:tc>
        <w:tc>
          <w:tcPr>
            <w:tcW w:w="810" w:type="pct"/>
          </w:tcPr>
          <w:p w14:paraId="371F667F">
            <w:pPr>
              <w:spacing w:line="240" w:lineRule="auto"/>
              <w:ind w:firstLine="480"/>
              <w:jc w:val="left"/>
              <w:rPr>
                <w:rFonts w:ascii="瀹嬩綋" w:hAnsi="瀹嬩綋" w:eastAsia="瀹嬩綋"/>
                <w:color w:val="000000"/>
                <w:sz w:val="21"/>
                <w:szCs w:val="21"/>
              </w:rPr>
            </w:pPr>
          </w:p>
        </w:tc>
      </w:tr>
      <w:tr w14:paraId="6078E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3026B64F">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5CE88EE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就医满意度评价</w:t>
            </w:r>
          </w:p>
        </w:tc>
        <w:tc>
          <w:tcPr>
            <w:tcW w:w="939" w:type="pct"/>
            <w:vAlign w:val="center"/>
          </w:tcPr>
          <w:p w14:paraId="442CE49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医院评价</w:t>
            </w:r>
          </w:p>
        </w:tc>
        <w:tc>
          <w:tcPr>
            <w:tcW w:w="1577" w:type="pct"/>
            <w:vAlign w:val="center"/>
          </w:tcPr>
          <w:p w14:paraId="2D8864B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医院评价</w:t>
            </w:r>
          </w:p>
        </w:tc>
        <w:tc>
          <w:tcPr>
            <w:tcW w:w="810" w:type="pct"/>
          </w:tcPr>
          <w:p w14:paraId="26073316">
            <w:pPr>
              <w:spacing w:line="240" w:lineRule="auto"/>
              <w:ind w:firstLine="480"/>
              <w:jc w:val="left"/>
              <w:rPr>
                <w:rFonts w:ascii="瀹嬩綋" w:hAnsi="瀹嬩綋" w:eastAsia="瀹嬩綋"/>
                <w:color w:val="000000"/>
                <w:sz w:val="21"/>
                <w:szCs w:val="21"/>
              </w:rPr>
            </w:pPr>
          </w:p>
        </w:tc>
      </w:tr>
      <w:tr w14:paraId="3F6C0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584F403F">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B519E82">
            <w:pPr>
              <w:spacing w:line="240" w:lineRule="auto"/>
              <w:jc w:val="left"/>
              <w:rPr>
                <w:rFonts w:ascii="仿宋" w:hAnsi="仿宋" w:eastAsia="仿宋" w:cs="仿宋"/>
                <w:color w:val="000000"/>
                <w:sz w:val="21"/>
                <w:szCs w:val="21"/>
              </w:rPr>
            </w:pPr>
          </w:p>
        </w:tc>
        <w:tc>
          <w:tcPr>
            <w:tcW w:w="939" w:type="pct"/>
            <w:vAlign w:val="center"/>
          </w:tcPr>
          <w:p w14:paraId="5CDD835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门诊就医评价</w:t>
            </w:r>
          </w:p>
        </w:tc>
        <w:tc>
          <w:tcPr>
            <w:tcW w:w="1577" w:type="pct"/>
            <w:vAlign w:val="center"/>
          </w:tcPr>
          <w:p w14:paraId="1B90FEE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门诊就医评价</w:t>
            </w:r>
          </w:p>
        </w:tc>
        <w:tc>
          <w:tcPr>
            <w:tcW w:w="810" w:type="pct"/>
          </w:tcPr>
          <w:p w14:paraId="67539896">
            <w:pPr>
              <w:spacing w:line="240" w:lineRule="auto"/>
              <w:ind w:firstLine="480"/>
              <w:jc w:val="left"/>
              <w:rPr>
                <w:rFonts w:ascii="瀹嬩綋" w:hAnsi="瀹嬩綋" w:eastAsia="瀹嬩綋"/>
                <w:color w:val="000000"/>
                <w:sz w:val="21"/>
                <w:szCs w:val="21"/>
              </w:rPr>
            </w:pPr>
          </w:p>
        </w:tc>
      </w:tr>
      <w:tr w14:paraId="76703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4A4D55E5">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B082BE6">
            <w:pPr>
              <w:spacing w:line="240" w:lineRule="auto"/>
              <w:jc w:val="left"/>
              <w:rPr>
                <w:rFonts w:ascii="仿宋" w:hAnsi="仿宋" w:eastAsia="仿宋" w:cs="仿宋"/>
                <w:color w:val="000000"/>
                <w:sz w:val="21"/>
                <w:szCs w:val="21"/>
              </w:rPr>
            </w:pPr>
          </w:p>
        </w:tc>
        <w:tc>
          <w:tcPr>
            <w:tcW w:w="939" w:type="pct"/>
            <w:vAlign w:val="center"/>
          </w:tcPr>
          <w:p w14:paraId="6870E06B">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住院评价</w:t>
            </w:r>
          </w:p>
        </w:tc>
        <w:tc>
          <w:tcPr>
            <w:tcW w:w="1577" w:type="pct"/>
            <w:vAlign w:val="center"/>
          </w:tcPr>
          <w:p w14:paraId="2EAA25A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住院评价</w:t>
            </w:r>
          </w:p>
        </w:tc>
        <w:tc>
          <w:tcPr>
            <w:tcW w:w="810" w:type="pct"/>
          </w:tcPr>
          <w:p w14:paraId="0209035F">
            <w:pPr>
              <w:spacing w:line="240" w:lineRule="auto"/>
              <w:ind w:firstLine="480"/>
              <w:jc w:val="left"/>
              <w:rPr>
                <w:rFonts w:ascii="瀹嬩綋" w:hAnsi="瀹嬩綋" w:eastAsia="瀹嬩綋"/>
                <w:color w:val="000000"/>
                <w:sz w:val="21"/>
                <w:szCs w:val="21"/>
              </w:rPr>
            </w:pPr>
          </w:p>
        </w:tc>
      </w:tr>
      <w:tr w14:paraId="7D75E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4A99F616">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6E57EA2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投诉管理</w:t>
            </w:r>
          </w:p>
        </w:tc>
        <w:tc>
          <w:tcPr>
            <w:tcW w:w="939" w:type="pct"/>
            <w:vAlign w:val="center"/>
          </w:tcPr>
          <w:p w14:paraId="1982BF8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投诉建议</w:t>
            </w:r>
          </w:p>
        </w:tc>
        <w:tc>
          <w:tcPr>
            <w:tcW w:w="1577" w:type="pct"/>
            <w:vAlign w:val="center"/>
          </w:tcPr>
          <w:p w14:paraId="2506664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投诉建议</w:t>
            </w:r>
          </w:p>
        </w:tc>
        <w:tc>
          <w:tcPr>
            <w:tcW w:w="810" w:type="pct"/>
          </w:tcPr>
          <w:p w14:paraId="242CEF16">
            <w:pPr>
              <w:spacing w:line="240" w:lineRule="auto"/>
              <w:ind w:firstLine="480"/>
              <w:jc w:val="left"/>
              <w:rPr>
                <w:rFonts w:ascii="瀹嬩綋" w:hAnsi="瀹嬩綋" w:eastAsia="瀹嬩綋"/>
                <w:color w:val="000000"/>
                <w:sz w:val="21"/>
                <w:szCs w:val="21"/>
              </w:rPr>
            </w:pPr>
          </w:p>
        </w:tc>
      </w:tr>
      <w:tr w14:paraId="33A5A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1DCF4FB5">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12FA44C">
            <w:pPr>
              <w:spacing w:line="240" w:lineRule="auto"/>
              <w:jc w:val="left"/>
              <w:rPr>
                <w:rFonts w:ascii="仿宋" w:hAnsi="仿宋" w:eastAsia="仿宋" w:cs="仿宋"/>
                <w:color w:val="000000"/>
                <w:sz w:val="21"/>
                <w:szCs w:val="21"/>
              </w:rPr>
            </w:pPr>
          </w:p>
        </w:tc>
        <w:tc>
          <w:tcPr>
            <w:tcW w:w="939" w:type="pct"/>
            <w:vAlign w:val="center"/>
          </w:tcPr>
          <w:p w14:paraId="22DD091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投诉回复</w:t>
            </w:r>
          </w:p>
        </w:tc>
        <w:tc>
          <w:tcPr>
            <w:tcW w:w="1577" w:type="pct"/>
            <w:vAlign w:val="center"/>
          </w:tcPr>
          <w:p w14:paraId="125CCF8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投诉回复</w:t>
            </w:r>
          </w:p>
        </w:tc>
        <w:tc>
          <w:tcPr>
            <w:tcW w:w="810" w:type="pct"/>
          </w:tcPr>
          <w:p w14:paraId="265F3DDB">
            <w:pPr>
              <w:spacing w:line="240" w:lineRule="auto"/>
              <w:ind w:firstLine="480"/>
              <w:jc w:val="left"/>
              <w:rPr>
                <w:rFonts w:ascii="瀹嬩綋" w:hAnsi="瀹嬩綋" w:eastAsia="瀹嬩綋"/>
                <w:color w:val="000000"/>
                <w:sz w:val="21"/>
                <w:szCs w:val="21"/>
              </w:rPr>
            </w:pPr>
          </w:p>
        </w:tc>
      </w:tr>
      <w:tr w14:paraId="7AEAD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53327ACC">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966221E">
            <w:pPr>
              <w:spacing w:line="240" w:lineRule="auto"/>
              <w:jc w:val="left"/>
              <w:rPr>
                <w:rFonts w:ascii="仿宋" w:hAnsi="仿宋" w:eastAsia="仿宋" w:cs="仿宋"/>
                <w:color w:val="000000"/>
                <w:sz w:val="21"/>
                <w:szCs w:val="21"/>
              </w:rPr>
            </w:pPr>
          </w:p>
        </w:tc>
        <w:tc>
          <w:tcPr>
            <w:tcW w:w="939" w:type="pct"/>
            <w:vAlign w:val="center"/>
          </w:tcPr>
          <w:p w14:paraId="4230DD8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投诉管理</w:t>
            </w:r>
          </w:p>
        </w:tc>
        <w:tc>
          <w:tcPr>
            <w:tcW w:w="1577" w:type="pct"/>
            <w:vAlign w:val="center"/>
          </w:tcPr>
          <w:p w14:paraId="6192140B">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投诉管理</w:t>
            </w:r>
          </w:p>
        </w:tc>
        <w:tc>
          <w:tcPr>
            <w:tcW w:w="810" w:type="pct"/>
          </w:tcPr>
          <w:p w14:paraId="683599C7">
            <w:pPr>
              <w:spacing w:line="240" w:lineRule="auto"/>
              <w:ind w:firstLine="480"/>
              <w:jc w:val="left"/>
              <w:rPr>
                <w:rFonts w:ascii="瀹嬩綋" w:hAnsi="瀹嬩綋" w:eastAsia="瀹嬩綋"/>
                <w:color w:val="000000"/>
                <w:sz w:val="21"/>
                <w:szCs w:val="21"/>
              </w:rPr>
            </w:pPr>
          </w:p>
        </w:tc>
      </w:tr>
      <w:tr w14:paraId="5DC11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2F3A8018">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77D4F48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就医资讯</w:t>
            </w:r>
          </w:p>
        </w:tc>
        <w:tc>
          <w:tcPr>
            <w:tcW w:w="939" w:type="pct"/>
            <w:vAlign w:val="center"/>
          </w:tcPr>
          <w:p w14:paraId="0C05252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物价查询</w:t>
            </w:r>
          </w:p>
        </w:tc>
        <w:tc>
          <w:tcPr>
            <w:tcW w:w="1577" w:type="pct"/>
            <w:vAlign w:val="center"/>
          </w:tcPr>
          <w:p w14:paraId="56A8CFE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物价查询</w:t>
            </w:r>
          </w:p>
        </w:tc>
        <w:tc>
          <w:tcPr>
            <w:tcW w:w="810" w:type="pct"/>
          </w:tcPr>
          <w:p w14:paraId="4FEA24BF">
            <w:pPr>
              <w:spacing w:line="240" w:lineRule="auto"/>
              <w:ind w:firstLine="480"/>
              <w:jc w:val="left"/>
              <w:rPr>
                <w:rFonts w:ascii="瀹嬩綋" w:hAnsi="瀹嬩綋" w:eastAsia="瀹嬩綋"/>
                <w:color w:val="000000"/>
                <w:sz w:val="21"/>
                <w:szCs w:val="21"/>
              </w:rPr>
            </w:pPr>
          </w:p>
        </w:tc>
      </w:tr>
      <w:tr w14:paraId="4138F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469D99F6">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D8077B1">
            <w:pPr>
              <w:spacing w:line="240" w:lineRule="auto"/>
              <w:jc w:val="left"/>
              <w:rPr>
                <w:rFonts w:ascii="仿宋" w:hAnsi="仿宋" w:eastAsia="仿宋" w:cs="仿宋"/>
                <w:color w:val="000000"/>
                <w:sz w:val="21"/>
                <w:szCs w:val="21"/>
              </w:rPr>
            </w:pPr>
          </w:p>
        </w:tc>
        <w:tc>
          <w:tcPr>
            <w:tcW w:w="939" w:type="pct"/>
            <w:vAlign w:val="center"/>
          </w:tcPr>
          <w:p w14:paraId="693C1DE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健康资讯</w:t>
            </w:r>
          </w:p>
        </w:tc>
        <w:tc>
          <w:tcPr>
            <w:tcW w:w="1577" w:type="pct"/>
            <w:vAlign w:val="center"/>
          </w:tcPr>
          <w:p w14:paraId="383CBE1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健康资讯</w:t>
            </w:r>
          </w:p>
        </w:tc>
        <w:tc>
          <w:tcPr>
            <w:tcW w:w="810" w:type="pct"/>
          </w:tcPr>
          <w:p w14:paraId="3073E1E9">
            <w:pPr>
              <w:spacing w:line="240" w:lineRule="auto"/>
              <w:ind w:firstLine="480"/>
              <w:jc w:val="left"/>
              <w:rPr>
                <w:rFonts w:ascii="瀹嬩綋" w:hAnsi="瀹嬩綋" w:eastAsia="瀹嬩綋"/>
                <w:color w:val="000000"/>
                <w:sz w:val="21"/>
                <w:szCs w:val="21"/>
              </w:rPr>
            </w:pPr>
          </w:p>
        </w:tc>
      </w:tr>
      <w:tr w14:paraId="13BB7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01D8313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4FD5317">
            <w:pPr>
              <w:spacing w:line="240" w:lineRule="auto"/>
              <w:jc w:val="left"/>
              <w:rPr>
                <w:rFonts w:ascii="仿宋" w:hAnsi="仿宋" w:eastAsia="仿宋" w:cs="仿宋"/>
                <w:color w:val="000000"/>
                <w:sz w:val="21"/>
                <w:szCs w:val="21"/>
              </w:rPr>
            </w:pPr>
          </w:p>
        </w:tc>
        <w:tc>
          <w:tcPr>
            <w:tcW w:w="939" w:type="pct"/>
            <w:vAlign w:val="center"/>
          </w:tcPr>
          <w:p w14:paraId="0ABA547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医院简介</w:t>
            </w:r>
          </w:p>
        </w:tc>
        <w:tc>
          <w:tcPr>
            <w:tcW w:w="1577" w:type="pct"/>
            <w:vAlign w:val="center"/>
          </w:tcPr>
          <w:p w14:paraId="7F6C6F1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医院简介</w:t>
            </w:r>
          </w:p>
        </w:tc>
        <w:tc>
          <w:tcPr>
            <w:tcW w:w="810" w:type="pct"/>
          </w:tcPr>
          <w:p w14:paraId="5EC3127B">
            <w:pPr>
              <w:spacing w:line="240" w:lineRule="auto"/>
              <w:ind w:firstLine="480"/>
              <w:jc w:val="left"/>
              <w:rPr>
                <w:rFonts w:ascii="瀹嬩綋" w:hAnsi="瀹嬩綋" w:eastAsia="瀹嬩綋"/>
                <w:color w:val="000000"/>
                <w:sz w:val="21"/>
                <w:szCs w:val="21"/>
              </w:rPr>
            </w:pPr>
          </w:p>
        </w:tc>
      </w:tr>
      <w:tr w14:paraId="19F86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7E57C811">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25063C4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就医服务运营数据</w:t>
            </w:r>
          </w:p>
        </w:tc>
        <w:tc>
          <w:tcPr>
            <w:tcW w:w="939" w:type="pct"/>
            <w:vMerge w:val="restart"/>
            <w:vAlign w:val="center"/>
          </w:tcPr>
          <w:p w14:paraId="48B9E34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运营数据</w:t>
            </w:r>
          </w:p>
        </w:tc>
        <w:tc>
          <w:tcPr>
            <w:tcW w:w="1577" w:type="pct"/>
            <w:vAlign w:val="center"/>
          </w:tcPr>
          <w:p w14:paraId="0437B66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数据概况</w:t>
            </w:r>
          </w:p>
        </w:tc>
        <w:tc>
          <w:tcPr>
            <w:tcW w:w="810" w:type="pct"/>
          </w:tcPr>
          <w:p w14:paraId="2A6ADAAA">
            <w:pPr>
              <w:spacing w:line="240" w:lineRule="auto"/>
              <w:ind w:firstLine="480"/>
              <w:jc w:val="left"/>
              <w:rPr>
                <w:rFonts w:ascii="瀹嬩綋" w:hAnsi="瀹嬩綋" w:eastAsia="瀹嬩綋"/>
                <w:color w:val="000000"/>
                <w:sz w:val="21"/>
                <w:szCs w:val="21"/>
              </w:rPr>
            </w:pPr>
          </w:p>
        </w:tc>
      </w:tr>
      <w:tr w14:paraId="11D09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7E25910D">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380CC27">
            <w:pPr>
              <w:spacing w:line="240" w:lineRule="auto"/>
              <w:jc w:val="left"/>
              <w:rPr>
                <w:rFonts w:ascii="仿宋" w:hAnsi="仿宋" w:eastAsia="仿宋" w:cs="仿宋"/>
                <w:color w:val="000000"/>
                <w:sz w:val="21"/>
                <w:szCs w:val="21"/>
              </w:rPr>
            </w:pPr>
          </w:p>
        </w:tc>
        <w:tc>
          <w:tcPr>
            <w:tcW w:w="939" w:type="pct"/>
            <w:vMerge w:val="continue"/>
            <w:vAlign w:val="center"/>
          </w:tcPr>
          <w:p w14:paraId="21B19D4D">
            <w:pPr>
              <w:spacing w:line="240" w:lineRule="auto"/>
              <w:jc w:val="left"/>
              <w:rPr>
                <w:rFonts w:ascii="仿宋" w:hAnsi="仿宋" w:eastAsia="仿宋" w:cs="仿宋"/>
                <w:color w:val="000000"/>
                <w:sz w:val="21"/>
                <w:szCs w:val="21"/>
              </w:rPr>
            </w:pPr>
          </w:p>
        </w:tc>
        <w:tc>
          <w:tcPr>
            <w:tcW w:w="1577" w:type="pct"/>
            <w:vAlign w:val="center"/>
          </w:tcPr>
          <w:p w14:paraId="6E4D673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患者统计</w:t>
            </w:r>
          </w:p>
        </w:tc>
        <w:tc>
          <w:tcPr>
            <w:tcW w:w="810" w:type="pct"/>
          </w:tcPr>
          <w:p w14:paraId="3577CC89">
            <w:pPr>
              <w:spacing w:line="240" w:lineRule="auto"/>
              <w:ind w:firstLine="480"/>
              <w:jc w:val="left"/>
              <w:rPr>
                <w:rFonts w:ascii="瀹嬩綋" w:hAnsi="瀹嬩綋" w:eastAsia="瀹嬩綋"/>
                <w:color w:val="000000"/>
                <w:sz w:val="21"/>
                <w:szCs w:val="21"/>
              </w:rPr>
            </w:pPr>
          </w:p>
        </w:tc>
      </w:tr>
      <w:tr w14:paraId="47DEA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7" w:type="pct"/>
            <w:vAlign w:val="center"/>
          </w:tcPr>
          <w:p w14:paraId="0054BAFC">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39B67D9">
            <w:pPr>
              <w:spacing w:line="240" w:lineRule="auto"/>
              <w:jc w:val="left"/>
              <w:rPr>
                <w:rFonts w:ascii="仿宋" w:hAnsi="仿宋" w:eastAsia="仿宋" w:cs="仿宋"/>
                <w:color w:val="000000"/>
                <w:sz w:val="21"/>
                <w:szCs w:val="21"/>
              </w:rPr>
            </w:pPr>
          </w:p>
        </w:tc>
        <w:tc>
          <w:tcPr>
            <w:tcW w:w="939" w:type="pct"/>
            <w:vMerge w:val="continue"/>
            <w:vAlign w:val="center"/>
          </w:tcPr>
          <w:p w14:paraId="659E6976">
            <w:pPr>
              <w:spacing w:line="240" w:lineRule="auto"/>
              <w:jc w:val="left"/>
              <w:rPr>
                <w:rFonts w:ascii="仿宋" w:hAnsi="仿宋" w:eastAsia="仿宋" w:cs="仿宋"/>
                <w:color w:val="000000"/>
                <w:sz w:val="21"/>
                <w:szCs w:val="21"/>
              </w:rPr>
            </w:pPr>
          </w:p>
        </w:tc>
        <w:tc>
          <w:tcPr>
            <w:tcW w:w="1577" w:type="pct"/>
            <w:vAlign w:val="center"/>
          </w:tcPr>
          <w:p w14:paraId="169056AB">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交易统计</w:t>
            </w:r>
          </w:p>
        </w:tc>
        <w:tc>
          <w:tcPr>
            <w:tcW w:w="810" w:type="pct"/>
          </w:tcPr>
          <w:p w14:paraId="27AF3A63">
            <w:pPr>
              <w:spacing w:line="240" w:lineRule="auto"/>
              <w:ind w:firstLine="480"/>
              <w:jc w:val="left"/>
              <w:rPr>
                <w:rFonts w:ascii="瀹嬩綋" w:hAnsi="瀹嬩綋" w:eastAsia="瀹嬩綋"/>
                <w:color w:val="000000"/>
                <w:sz w:val="21"/>
                <w:szCs w:val="21"/>
              </w:rPr>
            </w:pPr>
          </w:p>
        </w:tc>
      </w:tr>
      <w:tr w14:paraId="76406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pct"/>
            <w:vAlign w:val="center"/>
          </w:tcPr>
          <w:p w14:paraId="1770FF1D">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74B0CF4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便民服务</w:t>
            </w:r>
          </w:p>
        </w:tc>
        <w:tc>
          <w:tcPr>
            <w:tcW w:w="939" w:type="pct"/>
            <w:vMerge w:val="restart"/>
            <w:vAlign w:val="center"/>
          </w:tcPr>
          <w:p w14:paraId="7E1021C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病案复印</w:t>
            </w:r>
          </w:p>
        </w:tc>
        <w:tc>
          <w:tcPr>
            <w:tcW w:w="1577" w:type="pct"/>
            <w:vAlign w:val="center"/>
          </w:tcPr>
          <w:p w14:paraId="7E526635">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病案申请</w:t>
            </w:r>
          </w:p>
        </w:tc>
        <w:tc>
          <w:tcPr>
            <w:tcW w:w="810" w:type="pct"/>
          </w:tcPr>
          <w:p w14:paraId="6551F0EA">
            <w:pPr>
              <w:spacing w:line="240" w:lineRule="auto"/>
              <w:ind w:firstLine="480"/>
              <w:jc w:val="left"/>
              <w:rPr>
                <w:rFonts w:ascii="瀹嬩綋" w:hAnsi="瀹嬩綋" w:eastAsia="瀹嬩綋"/>
                <w:color w:val="000000"/>
                <w:sz w:val="21"/>
                <w:szCs w:val="21"/>
              </w:rPr>
            </w:pPr>
          </w:p>
        </w:tc>
      </w:tr>
      <w:tr w14:paraId="0FD62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pct"/>
            <w:vAlign w:val="center"/>
          </w:tcPr>
          <w:p w14:paraId="24DA9C4C">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722C03D">
            <w:pPr>
              <w:spacing w:line="240" w:lineRule="auto"/>
              <w:jc w:val="left"/>
              <w:rPr>
                <w:rFonts w:ascii="仿宋" w:hAnsi="仿宋" w:eastAsia="仿宋" w:cs="仿宋"/>
                <w:color w:val="000000"/>
                <w:sz w:val="21"/>
                <w:szCs w:val="21"/>
              </w:rPr>
            </w:pPr>
          </w:p>
        </w:tc>
        <w:tc>
          <w:tcPr>
            <w:tcW w:w="939" w:type="pct"/>
            <w:vMerge w:val="continue"/>
            <w:vAlign w:val="center"/>
          </w:tcPr>
          <w:p w14:paraId="16F364F3">
            <w:pPr>
              <w:spacing w:line="240" w:lineRule="auto"/>
              <w:jc w:val="left"/>
              <w:rPr>
                <w:rFonts w:ascii="仿宋" w:hAnsi="仿宋" w:eastAsia="仿宋" w:cs="仿宋"/>
                <w:color w:val="000000"/>
                <w:sz w:val="21"/>
                <w:szCs w:val="21"/>
              </w:rPr>
            </w:pPr>
          </w:p>
        </w:tc>
        <w:tc>
          <w:tcPr>
            <w:tcW w:w="1577" w:type="pct"/>
            <w:vAlign w:val="center"/>
          </w:tcPr>
          <w:p w14:paraId="463CB3D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申请审核</w:t>
            </w:r>
          </w:p>
        </w:tc>
        <w:tc>
          <w:tcPr>
            <w:tcW w:w="810" w:type="pct"/>
          </w:tcPr>
          <w:p w14:paraId="38A5E54C">
            <w:pPr>
              <w:spacing w:line="240" w:lineRule="auto"/>
              <w:ind w:firstLine="480"/>
              <w:jc w:val="left"/>
              <w:rPr>
                <w:rFonts w:ascii="瀹嬩綋" w:hAnsi="瀹嬩綋" w:eastAsia="瀹嬩綋"/>
                <w:color w:val="000000"/>
                <w:sz w:val="21"/>
                <w:szCs w:val="21"/>
              </w:rPr>
            </w:pPr>
          </w:p>
        </w:tc>
      </w:tr>
      <w:tr w14:paraId="09F2A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pct"/>
            <w:vAlign w:val="center"/>
          </w:tcPr>
          <w:p w14:paraId="0D664C2C">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74AA5CE">
            <w:pPr>
              <w:spacing w:line="240" w:lineRule="auto"/>
              <w:jc w:val="left"/>
              <w:rPr>
                <w:rFonts w:ascii="仿宋" w:hAnsi="仿宋" w:eastAsia="仿宋" w:cs="仿宋"/>
                <w:color w:val="000000"/>
                <w:sz w:val="21"/>
                <w:szCs w:val="21"/>
              </w:rPr>
            </w:pPr>
          </w:p>
        </w:tc>
        <w:tc>
          <w:tcPr>
            <w:tcW w:w="939" w:type="pct"/>
            <w:vMerge w:val="continue"/>
            <w:vAlign w:val="center"/>
          </w:tcPr>
          <w:p w14:paraId="5682E665">
            <w:pPr>
              <w:spacing w:line="240" w:lineRule="auto"/>
              <w:jc w:val="left"/>
              <w:rPr>
                <w:rFonts w:ascii="仿宋" w:hAnsi="仿宋" w:eastAsia="仿宋" w:cs="仿宋"/>
                <w:color w:val="000000"/>
                <w:sz w:val="21"/>
                <w:szCs w:val="21"/>
              </w:rPr>
            </w:pPr>
          </w:p>
        </w:tc>
        <w:tc>
          <w:tcPr>
            <w:tcW w:w="1577" w:type="pct"/>
            <w:vAlign w:val="center"/>
          </w:tcPr>
          <w:p w14:paraId="7BFF706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病案费用</w:t>
            </w:r>
          </w:p>
        </w:tc>
        <w:tc>
          <w:tcPr>
            <w:tcW w:w="810" w:type="pct"/>
          </w:tcPr>
          <w:p w14:paraId="5E3D0375">
            <w:pPr>
              <w:spacing w:line="240" w:lineRule="auto"/>
              <w:ind w:firstLine="480"/>
              <w:jc w:val="left"/>
              <w:rPr>
                <w:rFonts w:ascii="瀹嬩綋" w:hAnsi="瀹嬩綋" w:eastAsia="瀹嬩綋"/>
                <w:color w:val="000000"/>
                <w:sz w:val="21"/>
                <w:szCs w:val="21"/>
              </w:rPr>
            </w:pPr>
          </w:p>
        </w:tc>
      </w:tr>
      <w:tr w14:paraId="74E4A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pct"/>
            <w:vAlign w:val="center"/>
          </w:tcPr>
          <w:p w14:paraId="628C6E14">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D35A34E">
            <w:pPr>
              <w:spacing w:line="240" w:lineRule="auto"/>
              <w:jc w:val="left"/>
              <w:rPr>
                <w:rFonts w:ascii="仿宋" w:hAnsi="仿宋" w:eastAsia="仿宋" w:cs="仿宋"/>
                <w:color w:val="000000"/>
                <w:sz w:val="21"/>
                <w:szCs w:val="21"/>
              </w:rPr>
            </w:pPr>
          </w:p>
        </w:tc>
        <w:tc>
          <w:tcPr>
            <w:tcW w:w="939" w:type="pct"/>
            <w:vMerge w:val="continue"/>
            <w:vAlign w:val="center"/>
          </w:tcPr>
          <w:p w14:paraId="2C826DBF">
            <w:pPr>
              <w:spacing w:line="240" w:lineRule="auto"/>
              <w:jc w:val="left"/>
              <w:rPr>
                <w:rFonts w:ascii="仿宋" w:hAnsi="仿宋" w:eastAsia="仿宋" w:cs="仿宋"/>
                <w:color w:val="000000"/>
                <w:sz w:val="21"/>
                <w:szCs w:val="21"/>
              </w:rPr>
            </w:pPr>
          </w:p>
        </w:tc>
        <w:tc>
          <w:tcPr>
            <w:tcW w:w="1577" w:type="pct"/>
            <w:vAlign w:val="center"/>
          </w:tcPr>
          <w:p w14:paraId="30677B4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病案快递</w:t>
            </w:r>
          </w:p>
        </w:tc>
        <w:tc>
          <w:tcPr>
            <w:tcW w:w="810" w:type="pct"/>
          </w:tcPr>
          <w:p w14:paraId="1E0E0A96">
            <w:pPr>
              <w:spacing w:line="240" w:lineRule="auto"/>
              <w:ind w:firstLine="480"/>
              <w:jc w:val="left"/>
              <w:rPr>
                <w:rFonts w:ascii="瀹嬩綋" w:hAnsi="瀹嬩綋" w:eastAsia="瀹嬩綋"/>
                <w:color w:val="000000"/>
                <w:sz w:val="21"/>
                <w:szCs w:val="21"/>
              </w:rPr>
            </w:pPr>
          </w:p>
        </w:tc>
      </w:tr>
      <w:tr w14:paraId="40B1E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jc w:val="center"/>
        </w:trPr>
        <w:tc>
          <w:tcPr>
            <w:tcW w:w="747" w:type="pct"/>
            <w:vAlign w:val="center"/>
          </w:tcPr>
          <w:p w14:paraId="6BC94EDA">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4A75840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对账管理平台</w:t>
            </w:r>
          </w:p>
        </w:tc>
        <w:tc>
          <w:tcPr>
            <w:tcW w:w="939" w:type="pct"/>
            <w:vMerge w:val="restart"/>
            <w:noWrap/>
            <w:vAlign w:val="center"/>
          </w:tcPr>
          <w:p w14:paraId="69F4393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对账管理平台</w:t>
            </w:r>
          </w:p>
        </w:tc>
        <w:tc>
          <w:tcPr>
            <w:tcW w:w="1577" w:type="pct"/>
            <w:vAlign w:val="center"/>
          </w:tcPr>
          <w:p w14:paraId="57C7112B">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对账总览</w:t>
            </w:r>
          </w:p>
        </w:tc>
        <w:tc>
          <w:tcPr>
            <w:tcW w:w="810" w:type="pct"/>
          </w:tcPr>
          <w:p w14:paraId="0818ABC4">
            <w:pPr>
              <w:spacing w:line="240" w:lineRule="auto"/>
              <w:ind w:firstLine="480"/>
              <w:jc w:val="left"/>
              <w:rPr>
                <w:rFonts w:ascii="瀹嬩綋" w:hAnsi="瀹嬩綋" w:eastAsia="瀹嬩綋"/>
                <w:color w:val="000000"/>
                <w:sz w:val="21"/>
                <w:szCs w:val="21"/>
              </w:rPr>
            </w:pPr>
          </w:p>
        </w:tc>
      </w:tr>
      <w:tr w14:paraId="7F20E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jc w:val="center"/>
        </w:trPr>
        <w:tc>
          <w:tcPr>
            <w:tcW w:w="747" w:type="pct"/>
            <w:vAlign w:val="center"/>
          </w:tcPr>
          <w:p w14:paraId="6BFE3C58">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250D078">
            <w:pPr>
              <w:spacing w:line="240" w:lineRule="auto"/>
              <w:jc w:val="left"/>
              <w:rPr>
                <w:rFonts w:ascii="仿宋" w:hAnsi="仿宋" w:eastAsia="仿宋" w:cs="仿宋"/>
                <w:color w:val="000000"/>
                <w:sz w:val="21"/>
                <w:szCs w:val="21"/>
              </w:rPr>
            </w:pPr>
          </w:p>
        </w:tc>
        <w:tc>
          <w:tcPr>
            <w:tcW w:w="939" w:type="pct"/>
            <w:vMerge w:val="continue"/>
            <w:noWrap/>
            <w:vAlign w:val="center"/>
          </w:tcPr>
          <w:p w14:paraId="009591BD">
            <w:pPr>
              <w:spacing w:line="240" w:lineRule="auto"/>
              <w:jc w:val="left"/>
              <w:rPr>
                <w:rFonts w:ascii="仿宋" w:hAnsi="仿宋" w:eastAsia="仿宋" w:cs="仿宋"/>
                <w:color w:val="000000"/>
                <w:sz w:val="21"/>
                <w:szCs w:val="21"/>
              </w:rPr>
            </w:pPr>
          </w:p>
        </w:tc>
        <w:tc>
          <w:tcPr>
            <w:tcW w:w="1577" w:type="pct"/>
            <w:vAlign w:val="center"/>
          </w:tcPr>
          <w:p w14:paraId="4D31D70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对账明细</w:t>
            </w:r>
          </w:p>
        </w:tc>
        <w:tc>
          <w:tcPr>
            <w:tcW w:w="810" w:type="pct"/>
          </w:tcPr>
          <w:p w14:paraId="54C8D321">
            <w:pPr>
              <w:spacing w:line="240" w:lineRule="auto"/>
              <w:ind w:firstLine="480"/>
              <w:jc w:val="left"/>
              <w:rPr>
                <w:rFonts w:ascii="瀹嬩綋" w:hAnsi="瀹嬩綋" w:eastAsia="瀹嬩綋"/>
                <w:color w:val="000000"/>
                <w:sz w:val="21"/>
                <w:szCs w:val="21"/>
              </w:rPr>
            </w:pPr>
          </w:p>
        </w:tc>
      </w:tr>
      <w:tr w14:paraId="0817C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jc w:val="center"/>
        </w:trPr>
        <w:tc>
          <w:tcPr>
            <w:tcW w:w="747" w:type="pct"/>
            <w:vAlign w:val="center"/>
          </w:tcPr>
          <w:p w14:paraId="00363842">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D0E5C35">
            <w:pPr>
              <w:spacing w:line="240" w:lineRule="auto"/>
              <w:jc w:val="left"/>
              <w:rPr>
                <w:rFonts w:ascii="仿宋" w:hAnsi="仿宋" w:eastAsia="仿宋" w:cs="仿宋"/>
                <w:color w:val="000000"/>
                <w:sz w:val="21"/>
                <w:szCs w:val="21"/>
              </w:rPr>
            </w:pPr>
          </w:p>
        </w:tc>
        <w:tc>
          <w:tcPr>
            <w:tcW w:w="939" w:type="pct"/>
            <w:vMerge w:val="continue"/>
            <w:noWrap/>
            <w:vAlign w:val="center"/>
          </w:tcPr>
          <w:p w14:paraId="02307483">
            <w:pPr>
              <w:spacing w:line="240" w:lineRule="auto"/>
              <w:jc w:val="left"/>
              <w:rPr>
                <w:rFonts w:ascii="仿宋" w:hAnsi="仿宋" w:eastAsia="仿宋" w:cs="仿宋"/>
                <w:color w:val="000000"/>
                <w:sz w:val="21"/>
                <w:szCs w:val="21"/>
              </w:rPr>
            </w:pPr>
          </w:p>
        </w:tc>
        <w:tc>
          <w:tcPr>
            <w:tcW w:w="1577" w:type="pct"/>
            <w:vAlign w:val="center"/>
          </w:tcPr>
          <w:p w14:paraId="3B6AEAF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订单查询</w:t>
            </w:r>
          </w:p>
        </w:tc>
        <w:tc>
          <w:tcPr>
            <w:tcW w:w="810" w:type="pct"/>
          </w:tcPr>
          <w:p w14:paraId="0C7DF274">
            <w:pPr>
              <w:spacing w:line="240" w:lineRule="auto"/>
              <w:ind w:firstLine="480"/>
              <w:jc w:val="left"/>
              <w:rPr>
                <w:rFonts w:ascii="瀹嬩綋" w:hAnsi="瀹嬩綋" w:eastAsia="瀹嬩綋"/>
                <w:color w:val="000000"/>
                <w:sz w:val="21"/>
                <w:szCs w:val="21"/>
              </w:rPr>
            </w:pPr>
          </w:p>
        </w:tc>
      </w:tr>
      <w:tr w14:paraId="4F217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1948138B">
            <w:pPr>
              <w:numPr>
                <w:ilvl w:val="0"/>
                <w:numId w:val="2"/>
              </w:numPr>
              <w:spacing w:line="240" w:lineRule="auto"/>
              <w:jc w:val="left"/>
              <w:rPr>
                <w:rFonts w:ascii="仿宋" w:hAnsi="仿宋" w:eastAsia="仿宋" w:cs="仿宋"/>
                <w:color w:val="000000"/>
                <w:sz w:val="21"/>
                <w:szCs w:val="21"/>
              </w:rPr>
            </w:pPr>
          </w:p>
        </w:tc>
        <w:tc>
          <w:tcPr>
            <w:tcW w:w="924" w:type="pct"/>
            <w:vAlign w:val="center"/>
          </w:tcPr>
          <w:p w14:paraId="631DE0D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管理后台</w:t>
            </w:r>
          </w:p>
        </w:tc>
        <w:tc>
          <w:tcPr>
            <w:tcW w:w="939" w:type="pct"/>
            <w:vAlign w:val="center"/>
          </w:tcPr>
          <w:p w14:paraId="30F7498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管理后台</w:t>
            </w:r>
          </w:p>
        </w:tc>
        <w:tc>
          <w:tcPr>
            <w:tcW w:w="1577" w:type="pct"/>
            <w:vAlign w:val="center"/>
          </w:tcPr>
          <w:p w14:paraId="09049D4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管理后台</w:t>
            </w:r>
          </w:p>
        </w:tc>
        <w:tc>
          <w:tcPr>
            <w:tcW w:w="810" w:type="pct"/>
          </w:tcPr>
          <w:p w14:paraId="2897E872">
            <w:pPr>
              <w:spacing w:line="240" w:lineRule="auto"/>
              <w:ind w:firstLine="480"/>
              <w:jc w:val="left"/>
              <w:rPr>
                <w:rFonts w:ascii="瀹嬩綋" w:hAnsi="瀹嬩綋" w:eastAsia="瀹嬩綋"/>
                <w:color w:val="000000"/>
                <w:sz w:val="21"/>
                <w:szCs w:val="21"/>
              </w:rPr>
            </w:pPr>
          </w:p>
        </w:tc>
      </w:tr>
      <w:tr w14:paraId="0FA1E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5000" w:type="pct"/>
            <w:gridSpan w:val="5"/>
            <w:shd w:val="clear" w:color="auto" w:fill="DAEEF3"/>
            <w:vAlign w:val="center"/>
          </w:tcPr>
          <w:p w14:paraId="57AE10FD">
            <w:pPr>
              <w:spacing w:line="240" w:lineRule="auto"/>
              <w:ind w:firstLine="482"/>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应用二、互联网中医诊疗服务平台</w:t>
            </w:r>
          </w:p>
        </w:tc>
      </w:tr>
      <w:tr w14:paraId="57F19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DAEEF3"/>
            <w:vAlign w:val="center"/>
          </w:tcPr>
          <w:p w14:paraId="45AAFE02">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序号</w:t>
            </w:r>
          </w:p>
        </w:tc>
        <w:tc>
          <w:tcPr>
            <w:tcW w:w="924" w:type="pct"/>
            <w:shd w:val="clear" w:color="auto" w:fill="DAEEF3"/>
            <w:vAlign w:val="center"/>
          </w:tcPr>
          <w:p w14:paraId="03749069">
            <w:pPr>
              <w:spacing w:line="240" w:lineRule="auto"/>
              <w:jc w:val="center"/>
              <w:rPr>
                <w:rFonts w:ascii="仿宋" w:hAnsi="仿宋" w:eastAsia="仿宋" w:cs="仿宋"/>
                <w:color w:val="000000"/>
                <w:sz w:val="21"/>
                <w:szCs w:val="21"/>
              </w:rPr>
            </w:pPr>
            <w:r>
              <w:rPr>
                <w:rFonts w:hint="eastAsia" w:ascii="仿宋" w:hAnsi="仿宋" w:eastAsia="仿宋" w:cs="仿宋"/>
                <w:b/>
                <w:bCs/>
                <w:color w:val="000000"/>
                <w:sz w:val="21"/>
                <w:szCs w:val="21"/>
              </w:rPr>
              <w:t>建设模块</w:t>
            </w:r>
          </w:p>
        </w:tc>
        <w:tc>
          <w:tcPr>
            <w:tcW w:w="939" w:type="pct"/>
            <w:shd w:val="clear" w:color="auto" w:fill="DAEEF3"/>
            <w:vAlign w:val="center"/>
          </w:tcPr>
          <w:p w14:paraId="0463CB35">
            <w:pPr>
              <w:spacing w:line="240" w:lineRule="auto"/>
              <w:jc w:val="center"/>
              <w:rPr>
                <w:rFonts w:ascii="仿宋" w:hAnsi="仿宋" w:eastAsia="仿宋" w:cs="仿宋"/>
                <w:color w:val="000000"/>
                <w:sz w:val="21"/>
                <w:szCs w:val="21"/>
              </w:rPr>
            </w:pPr>
            <w:r>
              <w:rPr>
                <w:rFonts w:hint="eastAsia" w:ascii="仿宋" w:hAnsi="仿宋" w:eastAsia="仿宋" w:cs="仿宋"/>
                <w:b/>
                <w:bCs/>
                <w:color w:val="000000"/>
                <w:sz w:val="21"/>
                <w:szCs w:val="21"/>
              </w:rPr>
              <w:t>一级功能</w:t>
            </w:r>
          </w:p>
        </w:tc>
        <w:tc>
          <w:tcPr>
            <w:tcW w:w="1577" w:type="pct"/>
            <w:shd w:val="clear" w:color="auto" w:fill="DAEEF3"/>
            <w:vAlign w:val="center"/>
          </w:tcPr>
          <w:p w14:paraId="15877E4C">
            <w:pPr>
              <w:spacing w:line="240" w:lineRule="auto"/>
              <w:ind w:firstLine="482"/>
              <w:jc w:val="center"/>
              <w:rPr>
                <w:rFonts w:ascii="仿宋" w:hAnsi="仿宋" w:eastAsia="仿宋" w:cs="仿宋"/>
                <w:color w:val="000000"/>
                <w:sz w:val="21"/>
                <w:szCs w:val="21"/>
              </w:rPr>
            </w:pPr>
            <w:r>
              <w:rPr>
                <w:rFonts w:hint="eastAsia" w:ascii="仿宋" w:hAnsi="仿宋" w:eastAsia="仿宋" w:cs="仿宋"/>
                <w:b/>
                <w:bCs/>
                <w:color w:val="000000"/>
                <w:sz w:val="21"/>
                <w:szCs w:val="21"/>
              </w:rPr>
              <w:t>二级功能</w:t>
            </w:r>
          </w:p>
        </w:tc>
        <w:tc>
          <w:tcPr>
            <w:tcW w:w="810" w:type="pct"/>
            <w:shd w:val="clear" w:color="auto" w:fill="DAEEF3"/>
            <w:vAlign w:val="center"/>
          </w:tcPr>
          <w:p w14:paraId="3680666D">
            <w:pPr>
              <w:spacing w:line="240" w:lineRule="auto"/>
              <w:jc w:val="center"/>
              <w:rPr>
                <w:rFonts w:ascii="仿宋" w:hAnsi="仿宋" w:eastAsia="仿宋" w:cs="仿宋"/>
                <w:color w:val="000000"/>
                <w:sz w:val="21"/>
                <w:szCs w:val="21"/>
              </w:rPr>
            </w:pPr>
            <w:r>
              <w:rPr>
                <w:rFonts w:hint="eastAsia" w:ascii="仿宋" w:hAnsi="仿宋" w:eastAsia="仿宋" w:cs="仿宋"/>
                <w:b/>
                <w:bCs/>
                <w:color w:val="000000"/>
                <w:sz w:val="21"/>
                <w:szCs w:val="21"/>
              </w:rPr>
              <w:t>备注</w:t>
            </w:r>
          </w:p>
        </w:tc>
      </w:tr>
      <w:tr w14:paraId="4045E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5C6BE85C">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2FE28D8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网络门诊</w:t>
            </w:r>
          </w:p>
        </w:tc>
        <w:tc>
          <w:tcPr>
            <w:tcW w:w="939" w:type="pct"/>
            <w:vMerge w:val="restart"/>
            <w:vAlign w:val="center"/>
          </w:tcPr>
          <w:p w14:paraId="47DBF5E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患者端</w:t>
            </w:r>
          </w:p>
        </w:tc>
        <w:tc>
          <w:tcPr>
            <w:tcW w:w="1577" w:type="pct"/>
            <w:vAlign w:val="center"/>
          </w:tcPr>
          <w:p w14:paraId="1EC4772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问诊预约</w:t>
            </w:r>
          </w:p>
        </w:tc>
        <w:tc>
          <w:tcPr>
            <w:tcW w:w="810" w:type="pct"/>
          </w:tcPr>
          <w:p w14:paraId="65F6FB67">
            <w:pPr>
              <w:spacing w:line="240" w:lineRule="auto"/>
              <w:ind w:firstLine="480"/>
              <w:jc w:val="left"/>
              <w:rPr>
                <w:rFonts w:ascii="瀹嬩綋" w:hAnsi="瀹嬩綋" w:eastAsia="瀹嬩綋"/>
                <w:color w:val="000000"/>
                <w:sz w:val="21"/>
                <w:szCs w:val="21"/>
              </w:rPr>
            </w:pPr>
          </w:p>
        </w:tc>
      </w:tr>
      <w:tr w14:paraId="10D13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2725374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4131CD3">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0F13AAB7">
            <w:pPr>
              <w:spacing w:line="240" w:lineRule="auto"/>
              <w:ind w:firstLine="480"/>
              <w:jc w:val="left"/>
              <w:rPr>
                <w:rFonts w:ascii="仿宋" w:hAnsi="仿宋" w:eastAsia="仿宋" w:cs="仿宋"/>
                <w:color w:val="000000"/>
                <w:sz w:val="21"/>
                <w:szCs w:val="21"/>
              </w:rPr>
            </w:pPr>
          </w:p>
        </w:tc>
        <w:tc>
          <w:tcPr>
            <w:tcW w:w="1577" w:type="pct"/>
            <w:vAlign w:val="center"/>
          </w:tcPr>
          <w:p w14:paraId="4A5DA27B">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病情填写</w:t>
            </w:r>
          </w:p>
        </w:tc>
        <w:tc>
          <w:tcPr>
            <w:tcW w:w="810" w:type="pct"/>
          </w:tcPr>
          <w:p w14:paraId="7B4C9F00">
            <w:pPr>
              <w:spacing w:line="240" w:lineRule="auto"/>
              <w:ind w:firstLine="480"/>
              <w:jc w:val="left"/>
              <w:rPr>
                <w:rFonts w:ascii="瀹嬩綋" w:hAnsi="瀹嬩綋" w:eastAsia="瀹嬩綋"/>
                <w:color w:val="000000"/>
                <w:sz w:val="21"/>
                <w:szCs w:val="21"/>
              </w:rPr>
            </w:pPr>
          </w:p>
        </w:tc>
      </w:tr>
      <w:tr w14:paraId="03E2C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7F6F709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7F54760">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55EF87CA">
            <w:pPr>
              <w:spacing w:line="240" w:lineRule="auto"/>
              <w:ind w:firstLine="480"/>
              <w:jc w:val="left"/>
              <w:rPr>
                <w:rFonts w:ascii="仿宋" w:hAnsi="仿宋" w:eastAsia="仿宋" w:cs="仿宋"/>
                <w:color w:val="000000"/>
                <w:sz w:val="21"/>
                <w:szCs w:val="21"/>
              </w:rPr>
            </w:pPr>
          </w:p>
        </w:tc>
        <w:tc>
          <w:tcPr>
            <w:tcW w:w="1577" w:type="pct"/>
            <w:vAlign w:val="center"/>
          </w:tcPr>
          <w:p w14:paraId="7E1FDED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问诊互动（文字、语音、视频）</w:t>
            </w:r>
          </w:p>
        </w:tc>
        <w:tc>
          <w:tcPr>
            <w:tcW w:w="810" w:type="pct"/>
          </w:tcPr>
          <w:p w14:paraId="6E706D9A">
            <w:pPr>
              <w:spacing w:line="240" w:lineRule="auto"/>
              <w:ind w:firstLine="480"/>
              <w:jc w:val="left"/>
              <w:rPr>
                <w:rFonts w:ascii="瀹嬩綋" w:hAnsi="瀹嬩綋" w:eastAsia="瀹嬩綋"/>
                <w:color w:val="000000"/>
                <w:sz w:val="21"/>
                <w:szCs w:val="21"/>
              </w:rPr>
            </w:pPr>
          </w:p>
        </w:tc>
      </w:tr>
      <w:tr w14:paraId="2E4D3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634823D6">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EE9328A">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0E8E99F0">
            <w:pPr>
              <w:spacing w:line="240" w:lineRule="auto"/>
              <w:ind w:firstLine="480"/>
              <w:jc w:val="left"/>
              <w:rPr>
                <w:rFonts w:ascii="仿宋" w:hAnsi="仿宋" w:eastAsia="仿宋" w:cs="仿宋"/>
                <w:color w:val="000000"/>
                <w:sz w:val="21"/>
                <w:szCs w:val="21"/>
              </w:rPr>
            </w:pPr>
          </w:p>
        </w:tc>
        <w:tc>
          <w:tcPr>
            <w:tcW w:w="1577" w:type="pct"/>
            <w:vAlign w:val="center"/>
          </w:tcPr>
          <w:p w14:paraId="5035FD8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线上处方查询</w:t>
            </w:r>
          </w:p>
        </w:tc>
        <w:tc>
          <w:tcPr>
            <w:tcW w:w="810" w:type="pct"/>
          </w:tcPr>
          <w:p w14:paraId="13E340B1">
            <w:pPr>
              <w:spacing w:line="240" w:lineRule="auto"/>
              <w:ind w:firstLine="480"/>
              <w:jc w:val="left"/>
              <w:rPr>
                <w:rFonts w:ascii="瀹嬩綋" w:hAnsi="瀹嬩綋" w:eastAsia="瀹嬩綋"/>
                <w:color w:val="000000"/>
                <w:sz w:val="21"/>
                <w:szCs w:val="21"/>
              </w:rPr>
            </w:pPr>
          </w:p>
        </w:tc>
      </w:tr>
      <w:tr w14:paraId="47A2D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auto"/>
            <w:vAlign w:val="center"/>
          </w:tcPr>
          <w:p w14:paraId="621F4BEE">
            <w:pPr>
              <w:numPr>
                <w:ilvl w:val="0"/>
                <w:numId w:val="2"/>
              </w:numPr>
              <w:spacing w:line="240" w:lineRule="auto"/>
              <w:jc w:val="left"/>
              <w:rPr>
                <w:rFonts w:ascii="仿宋" w:hAnsi="仿宋" w:eastAsia="仿宋" w:cs="仿宋"/>
                <w:color w:val="000000"/>
                <w:sz w:val="21"/>
                <w:szCs w:val="21"/>
              </w:rPr>
            </w:pPr>
          </w:p>
        </w:tc>
        <w:tc>
          <w:tcPr>
            <w:tcW w:w="924" w:type="pct"/>
            <w:vMerge w:val="continue"/>
            <w:shd w:val="clear" w:color="auto" w:fill="auto"/>
            <w:vAlign w:val="center"/>
          </w:tcPr>
          <w:p w14:paraId="2E59EB64">
            <w:pPr>
              <w:spacing w:line="240" w:lineRule="auto"/>
              <w:ind w:firstLine="480"/>
              <w:jc w:val="left"/>
              <w:rPr>
                <w:rFonts w:ascii="仿宋" w:hAnsi="仿宋" w:eastAsia="仿宋" w:cs="仿宋"/>
                <w:color w:val="000000"/>
                <w:sz w:val="21"/>
                <w:szCs w:val="21"/>
              </w:rPr>
            </w:pPr>
          </w:p>
        </w:tc>
        <w:tc>
          <w:tcPr>
            <w:tcW w:w="939" w:type="pct"/>
            <w:vMerge w:val="restart"/>
            <w:shd w:val="clear" w:color="auto" w:fill="auto"/>
            <w:vAlign w:val="center"/>
          </w:tcPr>
          <w:p w14:paraId="3AEA34F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医生端（包含PC端、App端）</w:t>
            </w:r>
          </w:p>
        </w:tc>
        <w:tc>
          <w:tcPr>
            <w:tcW w:w="1577" w:type="pct"/>
            <w:shd w:val="clear" w:color="auto" w:fill="FFFFFF"/>
            <w:vAlign w:val="center"/>
          </w:tcPr>
          <w:p w14:paraId="4D6C443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接诊互动（文字、语音、视频）</w:t>
            </w:r>
          </w:p>
        </w:tc>
        <w:tc>
          <w:tcPr>
            <w:tcW w:w="810" w:type="pct"/>
          </w:tcPr>
          <w:p w14:paraId="19E1B69C">
            <w:pPr>
              <w:spacing w:line="240" w:lineRule="auto"/>
              <w:ind w:firstLine="480"/>
              <w:jc w:val="left"/>
              <w:rPr>
                <w:rFonts w:ascii="瀹嬩綋" w:hAnsi="瀹嬩綋" w:eastAsia="瀹嬩綋"/>
                <w:color w:val="000000"/>
                <w:sz w:val="21"/>
                <w:szCs w:val="21"/>
              </w:rPr>
            </w:pPr>
          </w:p>
        </w:tc>
      </w:tr>
      <w:tr w14:paraId="5548C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auto"/>
            <w:vAlign w:val="center"/>
          </w:tcPr>
          <w:p w14:paraId="053F9BAD">
            <w:pPr>
              <w:numPr>
                <w:ilvl w:val="0"/>
                <w:numId w:val="2"/>
              </w:numPr>
              <w:spacing w:line="240" w:lineRule="auto"/>
              <w:jc w:val="left"/>
              <w:rPr>
                <w:rFonts w:ascii="仿宋" w:hAnsi="仿宋" w:eastAsia="仿宋" w:cs="仿宋"/>
                <w:color w:val="000000"/>
                <w:sz w:val="21"/>
                <w:szCs w:val="21"/>
              </w:rPr>
            </w:pPr>
          </w:p>
        </w:tc>
        <w:tc>
          <w:tcPr>
            <w:tcW w:w="924" w:type="pct"/>
            <w:vMerge w:val="continue"/>
            <w:shd w:val="clear" w:color="auto" w:fill="auto"/>
            <w:vAlign w:val="center"/>
          </w:tcPr>
          <w:p w14:paraId="1638C6C0">
            <w:pPr>
              <w:spacing w:line="240" w:lineRule="auto"/>
              <w:ind w:firstLine="480"/>
              <w:jc w:val="left"/>
              <w:rPr>
                <w:rFonts w:ascii="仿宋" w:hAnsi="仿宋" w:eastAsia="仿宋" w:cs="仿宋"/>
                <w:color w:val="000000"/>
                <w:sz w:val="21"/>
                <w:szCs w:val="21"/>
              </w:rPr>
            </w:pPr>
          </w:p>
        </w:tc>
        <w:tc>
          <w:tcPr>
            <w:tcW w:w="939" w:type="pct"/>
            <w:vMerge w:val="continue"/>
            <w:shd w:val="clear" w:color="auto" w:fill="auto"/>
            <w:vAlign w:val="center"/>
          </w:tcPr>
          <w:p w14:paraId="48A924F0">
            <w:pPr>
              <w:spacing w:line="240" w:lineRule="auto"/>
              <w:ind w:firstLine="480"/>
              <w:jc w:val="left"/>
              <w:rPr>
                <w:rFonts w:ascii="仿宋" w:hAnsi="仿宋" w:eastAsia="仿宋" w:cs="仿宋"/>
                <w:color w:val="000000"/>
                <w:sz w:val="21"/>
                <w:szCs w:val="21"/>
              </w:rPr>
            </w:pPr>
          </w:p>
        </w:tc>
        <w:tc>
          <w:tcPr>
            <w:tcW w:w="1577" w:type="pct"/>
            <w:shd w:val="clear" w:color="auto" w:fill="FFFFFF"/>
            <w:vAlign w:val="center"/>
          </w:tcPr>
          <w:p w14:paraId="483EC6F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诊断管理</w:t>
            </w:r>
          </w:p>
        </w:tc>
        <w:tc>
          <w:tcPr>
            <w:tcW w:w="810" w:type="pct"/>
          </w:tcPr>
          <w:p w14:paraId="448B2D90">
            <w:pPr>
              <w:spacing w:line="240" w:lineRule="auto"/>
              <w:ind w:firstLine="480"/>
              <w:jc w:val="left"/>
              <w:rPr>
                <w:rFonts w:ascii="瀹嬩綋" w:hAnsi="瀹嬩綋" w:eastAsia="瀹嬩綋"/>
                <w:color w:val="000000"/>
                <w:sz w:val="21"/>
                <w:szCs w:val="21"/>
              </w:rPr>
            </w:pPr>
          </w:p>
        </w:tc>
      </w:tr>
      <w:tr w14:paraId="630D4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auto"/>
            <w:vAlign w:val="center"/>
          </w:tcPr>
          <w:p w14:paraId="15CA4A97">
            <w:pPr>
              <w:numPr>
                <w:ilvl w:val="0"/>
                <w:numId w:val="2"/>
              </w:numPr>
              <w:spacing w:line="240" w:lineRule="auto"/>
              <w:jc w:val="left"/>
              <w:rPr>
                <w:rFonts w:ascii="仿宋" w:hAnsi="仿宋" w:eastAsia="仿宋" w:cs="仿宋"/>
                <w:color w:val="000000"/>
                <w:sz w:val="21"/>
                <w:szCs w:val="21"/>
              </w:rPr>
            </w:pPr>
          </w:p>
        </w:tc>
        <w:tc>
          <w:tcPr>
            <w:tcW w:w="924" w:type="pct"/>
            <w:vMerge w:val="continue"/>
            <w:shd w:val="clear" w:color="auto" w:fill="auto"/>
            <w:vAlign w:val="center"/>
          </w:tcPr>
          <w:p w14:paraId="61F478E1">
            <w:pPr>
              <w:spacing w:line="240" w:lineRule="auto"/>
              <w:ind w:firstLine="480"/>
              <w:jc w:val="left"/>
              <w:rPr>
                <w:rFonts w:ascii="仿宋" w:hAnsi="仿宋" w:eastAsia="仿宋" w:cs="仿宋"/>
                <w:color w:val="000000"/>
                <w:sz w:val="21"/>
                <w:szCs w:val="21"/>
              </w:rPr>
            </w:pPr>
          </w:p>
        </w:tc>
        <w:tc>
          <w:tcPr>
            <w:tcW w:w="939" w:type="pct"/>
            <w:vMerge w:val="continue"/>
            <w:shd w:val="clear" w:color="auto" w:fill="auto"/>
            <w:vAlign w:val="center"/>
          </w:tcPr>
          <w:p w14:paraId="31957602">
            <w:pPr>
              <w:spacing w:line="240" w:lineRule="auto"/>
              <w:ind w:firstLine="480"/>
              <w:jc w:val="left"/>
              <w:rPr>
                <w:rFonts w:ascii="仿宋" w:hAnsi="仿宋" w:eastAsia="仿宋" w:cs="仿宋"/>
                <w:color w:val="000000"/>
                <w:sz w:val="21"/>
                <w:szCs w:val="21"/>
              </w:rPr>
            </w:pPr>
          </w:p>
        </w:tc>
        <w:tc>
          <w:tcPr>
            <w:tcW w:w="1577" w:type="pct"/>
            <w:shd w:val="clear" w:color="auto" w:fill="FFFFFF"/>
            <w:vAlign w:val="center"/>
          </w:tcPr>
          <w:p w14:paraId="2B08D14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线上处方</w:t>
            </w:r>
          </w:p>
        </w:tc>
        <w:tc>
          <w:tcPr>
            <w:tcW w:w="810" w:type="pct"/>
          </w:tcPr>
          <w:p w14:paraId="51B763CE">
            <w:pPr>
              <w:spacing w:line="240" w:lineRule="auto"/>
              <w:ind w:firstLine="480"/>
              <w:jc w:val="left"/>
              <w:rPr>
                <w:rFonts w:ascii="瀹嬩綋" w:hAnsi="瀹嬩綋" w:eastAsia="瀹嬩綋"/>
                <w:color w:val="000000"/>
                <w:sz w:val="21"/>
                <w:szCs w:val="21"/>
              </w:rPr>
            </w:pPr>
          </w:p>
        </w:tc>
      </w:tr>
      <w:tr w14:paraId="62039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auto"/>
            <w:vAlign w:val="center"/>
          </w:tcPr>
          <w:p w14:paraId="25554B25">
            <w:pPr>
              <w:numPr>
                <w:ilvl w:val="0"/>
                <w:numId w:val="2"/>
              </w:numPr>
              <w:spacing w:line="240" w:lineRule="auto"/>
              <w:jc w:val="left"/>
              <w:rPr>
                <w:rFonts w:ascii="仿宋" w:hAnsi="仿宋" w:eastAsia="仿宋" w:cs="仿宋"/>
                <w:color w:val="000000"/>
                <w:sz w:val="21"/>
                <w:szCs w:val="21"/>
              </w:rPr>
            </w:pPr>
          </w:p>
        </w:tc>
        <w:tc>
          <w:tcPr>
            <w:tcW w:w="924" w:type="pct"/>
            <w:vMerge w:val="continue"/>
            <w:shd w:val="clear" w:color="auto" w:fill="auto"/>
            <w:vAlign w:val="center"/>
          </w:tcPr>
          <w:p w14:paraId="5A300E0B">
            <w:pPr>
              <w:spacing w:line="240" w:lineRule="auto"/>
              <w:ind w:firstLine="480"/>
              <w:jc w:val="left"/>
              <w:rPr>
                <w:rFonts w:ascii="仿宋" w:hAnsi="仿宋" w:eastAsia="仿宋" w:cs="仿宋"/>
                <w:color w:val="000000"/>
                <w:sz w:val="21"/>
                <w:szCs w:val="21"/>
              </w:rPr>
            </w:pPr>
          </w:p>
        </w:tc>
        <w:tc>
          <w:tcPr>
            <w:tcW w:w="939" w:type="pct"/>
            <w:vMerge w:val="continue"/>
            <w:shd w:val="clear" w:color="auto" w:fill="auto"/>
            <w:vAlign w:val="center"/>
          </w:tcPr>
          <w:p w14:paraId="1B30E479">
            <w:pPr>
              <w:spacing w:line="240" w:lineRule="auto"/>
              <w:ind w:firstLine="480"/>
              <w:jc w:val="left"/>
              <w:rPr>
                <w:rFonts w:ascii="仿宋" w:hAnsi="仿宋" w:eastAsia="仿宋" w:cs="仿宋"/>
                <w:color w:val="000000"/>
                <w:sz w:val="21"/>
                <w:szCs w:val="21"/>
              </w:rPr>
            </w:pPr>
          </w:p>
        </w:tc>
        <w:tc>
          <w:tcPr>
            <w:tcW w:w="1577" w:type="pct"/>
            <w:shd w:val="clear" w:color="auto" w:fill="FFFFFF"/>
            <w:vAlign w:val="center"/>
          </w:tcPr>
          <w:p w14:paraId="163BF1C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病历书写</w:t>
            </w:r>
          </w:p>
        </w:tc>
        <w:tc>
          <w:tcPr>
            <w:tcW w:w="810" w:type="pct"/>
          </w:tcPr>
          <w:p w14:paraId="503A90F4">
            <w:pPr>
              <w:spacing w:line="240" w:lineRule="auto"/>
              <w:ind w:firstLine="480"/>
              <w:jc w:val="left"/>
              <w:rPr>
                <w:rFonts w:ascii="瀹嬩綋" w:hAnsi="瀹嬩綋" w:eastAsia="瀹嬩綋"/>
                <w:color w:val="000000"/>
                <w:sz w:val="21"/>
                <w:szCs w:val="21"/>
              </w:rPr>
            </w:pPr>
          </w:p>
        </w:tc>
      </w:tr>
      <w:tr w14:paraId="71665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auto"/>
            <w:vAlign w:val="center"/>
          </w:tcPr>
          <w:p w14:paraId="26B9E319">
            <w:pPr>
              <w:numPr>
                <w:ilvl w:val="0"/>
                <w:numId w:val="2"/>
              </w:numPr>
              <w:spacing w:line="240" w:lineRule="auto"/>
              <w:jc w:val="left"/>
              <w:rPr>
                <w:rFonts w:ascii="仿宋" w:hAnsi="仿宋" w:eastAsia="仿宋" w:cs="仿宋"/>
                <w:color w:val="000000"/>
                <w:sz w:val="21"/>
                <w:szCs w:val="21"/>
              </w:rPr>
            </w:pPr>
          </w:p>
        </w:tc>
        <w:tc>
          <w:tcPr>
            <w:tcW w:w="924" w:type="pct"/>
            <w:vMerge w:val="continue"/>
            <w:shd w:val="clear" w:color="auto" w:fill="auto"/>
            <w:vAlign w:val="center"/>
          </w:tcPr>
          <w:p w14:paraId="55788F91">
            <w:pPr>
              <w:spacing w:line="240" w:lineRule="auto"/>
              <w:ind w:firstLine="480"/>
              <w:jc w:val="left"/>
              <w:rPr>
                <w:rFonts w:ascii="仿宋" w:hAnsi="仿宋" w:eastAsia="仿宋" w:cs="仿宋"/>
                <w:color w:val="000000"/>
                <w:sz w:val="21"/>
                <w:szCs w:val="21"/>
              </w:rPr>
            </w:pPr>
          </w:p>
        </w:tc>
        <w:tc>
          <w:tcPr>
            <w:tcW w:w="939" w:type="pct"/>
            <w:vMerge w:val="continue"/>
            <w:shd w:val="clear" w:color="auto" w:fill="auto"/>
            <w:vAlign w:val="center"/>
          </w:tcPr>
          <w:p w14:paraId="6FF7980A">
            <w:pPr>
              <w:spacing w:line="240" w:lineRule="auto"/>
              <w:ind w:firstLine="480"/>
              <w:jc w:val="left"/>
              <w:rPr>
                <w:rFonts w:ascii="仿宋" w:hAnsi="仿宋" w:eastAsia="仿宋" w:cs="仿宋"/>
                <w:color w:val="000000"/>
                <w:sz w:val="21"/>
                <w:szCs w:val="21"/>
              </w:rPr>
            </w:pPr>
          </w:p>
        </w:tc>
        <w:tc>
          <w:tcPr>
            <w:tcW w:w="1577" w:type="pct"/>
            <w:shd w:val="clear" w:color="auto" w:fill="FFFFFF"/>
            <w:vAlign w:val="center"/>
          </w:tcPr>
          <w:p w14:paraId="32F1D69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检查申请开单</w:t>
            </w:r>
          </w:p>
        </w:tc>
        <w:tc>
          <w:tcPr>
            <w:tcW w:w="810" w:type="pct"/>
          </w:tcPr>
          <w:p w14:paraId="255724CF">
            <w:pPr>
              <w:spacing w:line="240" w:lineRule="auto"/>
              <w:ind w:firstLine="480"/>
              <w:jc w:val="left"/>
              <w:rPr>
                <w:rFonts w:ascii="瀹嬩綋" w:hAnsi="瀹嬩綋" w:eastAsia="瀹嬩綋"/>
                <w:color w:val="000000"/>
                <w:sz w:val="21"/>
                <w:szCs w:val="21"/>
              </w:rPr>
            </w:pPr>
          </w:p>
        </w:tc>
      </w:tr>
      <w:tr w14:paraId="34259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auto"/>
            <w:vAlign w:val="center"/>
          </w:tcPr>
          <w:p w14:paraId="44C8C026">
            <w:pPr>
              <w:numPr>
                <w:ilvl w:val="0"/>
                <w:numId w:val="2"/>
              </w:numPr>
              <w:spacing w:line="240" w:lineRule="auto"/>
              <w:jc w:val="left"/>
              <w:rPr>
                <w:rFonts w:ascii="仿宋" w:hAnsi="仿宋" w:eastAsia="仿宋" w:cs="仿宋"/>
                <w:color w:val="000000"/>
                <w:sz w:val="21"/>
                <w:szCs w:val="21"/>
              </w:rPr>
            </w:pPr>
          </w:p>
        </w:tc>
        <w:tc>
          <w:tcPr>
            <w:tcW w:w="924" w:type="pct"/>
            <w:vMerge w:val="continue"/>
            <w:shd w:val="clear" w:color="auto" w:fill="auto"/>
            <w:vAlign w:val="center"/>
          </w:tcPr>
          <w:p w14:paraId="05FD9978">
            <w:pPr>
              <w:spacing w:line="240" w:lineRule="auto"/>
              <w:ind w:firstLine="480"/>
              <w:jc w:val="left"/>
              <w:rPr>
                <w:rFonts w:ascii="仿宋" w:hAnsi="仿宋" w:eastAsia="仿宋" w:cs="仿宋"/>
                <w:color w:val="000000"/>
                <w:sz w:val="21"/>
                <w:szCs w:val="21"/>
              </w:rPr>
            </w:pPr>
          </w:p>
        </w:tc>
        <w:tc>
          <w:tcPr>
            <w:tcW w:w="939" w:type="pct"/>
            <w:vMerge w:val="continue"/>
            <w:shd w:val="clear" w:color="auto" w:fill="auto"/>
            <w:vAlign w:val="center"/>
          </w:tcPr>
          <w:p w14:paraId="6BA3CF2A">
            <w:pPr>
              <w:spacing w:line="240" w:lineRule="auto"/>
              <w:ind w:firstLine="480"/>
              <w:jc w:val="left"/>
              <w:rPr>
                <w:rFonts w:ascii="仿宋" w:hAnsi="仿宋" w:eastAsia="仿宋" w:cs="仿宋"/>
                <w:color w:val="000000"/>
                <w:sz w:val="21"/>
                <w:szCs w:val="21"/>
              </w:rPr>
            </w:pPr>
          </w:p>
        </w:tc>
        <w:tc>
          <w:tcPr>
            <w:tcW w:w="1577" w:type="pct"/>
            <w:shd w:val="clear" w:color="auto" w:fill="FFFFFF"/>
            <w:vAlign w:val="center"/>
          </w:tcPr>
          <w:p w14:paraId="07D5431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检验申请开单</w:t>
            </w:r>
          </w:p>
        </w:tc>
        <w:tc>
          <w:tcPr>
            <w:tcW w:w="810" w:type="pct"/>
          </w:tcPr>
          <w:p w14:paraId="16A5C7C5">
            <w:pPr>
              <w:spacing w:line="240" w:lineRule="auto"/>
              <w:ind w:firstLine="480"/>
              <w:jc w:val="left"/>
              <w:rPr>
                <w:rFonts w:ascii="瀹嬩綋" w:hAnsi="瀹嬩綋" w:eastAsia="瀹嬩綋"/>
                <w:color w:val="000000"/>
                <w:sz w:val="21"/>
                <w:szCs w:val="21"/>
              </w:rPr>
            </w:pPr>
          </w:p>
        </w:tc>
      </w:tr>
      <w:tr w14:paraId="1B246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auto"/>
            <w:vAlign w:val="center"/>
          </w:tcPr>
          <w:p w14:paraId="7DC0E6BC">
            <w:pPr>
              <w:numPr>
                <w:ilvl w:val="0"/>
                <w:numId w:val="2"/>
              </w:numPr>
              <w:spacing w:line="240" w:lineRule="auto"/>
              <w:jc w:val="left"/>
              <w:rPr>
                <w:rFonts w:ascii="仿宋" w:hAnsi="仿宋" w:eastAsia="仿宋" w:cs="仿宋"/>
                <w:color w:val="000000"/>
                <w:sz w:val="21"/>
                <w:szCs w:val="21"/>
              </w:rPr>
            </w:pPr>
          </w:p>
        </w:tc>
        <w:tc>
          <w:tcPr>
            <w:tcW w:w="924" w:type="pct"/>
            <w:vMerge w:val="continue"/>
            <w:shd w:val="clear" w:color="auto" w:fill="auto"/>
            <w:vAlign w:val="center"/>
          </w:tcPr>
          <w:p w14:paraId="05E0D2AA">
            <w:pPr>
              <w:spacing w:line="240" w:lineRule="auto"/>
              <w:ind w:firstLine="480"/>
              <w:jc w:val="left"/>
              <w:rPr>
                <w:rFonts w:ascii="仿宋" w:hAnsi="仿宋" w:eastAsia="仿宋" w:cs="仿宋"/>
                <w:color w:val="000000"/>
                <w:sz w:val="21"/>
                <w:szCs w:val="21"/>
              </w:rPr>
            </w:pPr>
          </w:p>
        </w:tc>
        <w:tc>
          <w:tcPr>
            <w:tcW w:w="939" w:type="pct"/>
            <w:vMerge w:val="continue"/>
            <w:shd w:val="clear" w:color="auto" w:fill="auto"/>
            <w:vAlign w:val="center"/>
          </w:tcPr>
          <w:p w14:paraId="32CD42D6">
            <w:pPr>
              <w:spacing w:line="240" w:lineRule="auto"/>
              <w:ind w:firstLine="480"/>
              <w:jc w:val="left"/>
              <w:rPr>
                <w:rFonts w:ascii="仿宋" w:hAnsi="仿宋" w:eastAsia="仿宋" w:cs="仿宋"/>
                <w:color w:val="000000"/>
                <w:sz w:val="21"/>
                <w:szCs w:val="21"/>
              </w:rPr>
            </w:pPr>
          </w:p>
        </w:tc>
        <w:tc>
          <w:tcPr>
            <w:tcW w:w="1577" w:type="pct"/>
            <w:shd w:val="clear" w:color="auto" w:fill="FFFFFF"/>
            <w:vAlign w:val="center"/>
          </w:tcPr>
          <w:p w14:paraId="4CD54B7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住院通知开单</w:t>
            </w:r>
          </w:p>
        </w:tc>
        <w:tc>
          <w:tcPr>
            <w:tcW w:w="810" w:type="pct"/>
          </w:tcPr>
          <w:p w14:paraId="725AD12E">
            <w:pPr>
              <w:spacing w:line="240" w:lineRule="auto"/>
              <w:ind w:firstLine="480"/>
              <w:jc w:val="left"/>
              <w:rPr>
                <w:rFonts w:ascii="瀹嬩綋" w:hAnsi="瀹嬩綋" w:eastAsia="瀹嬩綋"/>
                <w:color w:val="000000"/>
                <w:sz w:val="21"/>
                <w:szCs w:val="21"/>
              </w:rPr>
            </w:pPr>
          </w:p>
        </w:tc>
      </w:tr>
      <w:tr w14:paraId="226DE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auto"/>
            <w:vAlign w:val="center"/>
          </w:tcPr>
          <w:p w14:paraId="5603C4C7">
            <w:pPr>
              <w:numPr>
                <w:ilvl w:val="0"/>
                <w:numId w:val="2"/>
              </w:numPr>
              <w:spacing w:line="240" w:lineRule="auto"/>
              <w:jc w:val="left"/>
              <w:rPr>
                <w:rFonts w:ascii="仿宋" w:hAnsi="仿宋" w:eastAsia="仿宋" w:cs="仿宋"/>
                <w:color w:val="000000"/>
                <w:sz w:val="21"/>
                <w:szCs w:val="21"/>
              </w:rPr>
            </w:pPr>
          </w:p>
        </w:tc>
        <w:tc>
          <w:tcPr>
            <w:tcW w:w="924" w:type="pct"/>
            <w:vMerge w:val="continue"/>
            <w:shd w:val="clear" w:color="auto" w:fill="auto"/>
            <w:vAlign w:val="center"/>
          </w:tcPr>
          <w:p w14:paraId="299E359D">
            <w:pPr>
              <w:spacing w:line="240" w:lineRule="auto"/>
              <w:ind w:firstLine="480"/>
              <w:jc w:val="left"/>
              <w:rPr>
                <w:rFonts w:ascii="仿宋" w:hAnsi="仿宋" w:eastAsia="仿宋" w:cs="仿宋"/>
                <w:color w:val="000000"/>
                <w:sz w:val="21"/>
                <w:szCs w:val="21"/>
              </w:rPr>
            </w:pPr>
          </w:p>
        </w:tc>
        <w:tc>
          <w:tcPr>
            <w:tcW w:w="939" w:type="pct"/>
            <w:vMerge w:val="continue"/>
            <w:shd w:val="clear" w:color="auto" w:fill="auto"/>
            <w:vAlign w:val="center"/>
          </w:tcPr>
          <w:p w14:paraId="47C30F43">
            <w:pPr>
              <w:spacing w:line="240" w:lineRule="auto"/>
              <w:ind w:firstLine="480"/>
              <w:jc w:val="left"/>
              <w:rPr>
                <w:rFonts w:ascii="仿宋" w:hAnsi="仿宋" w:eastAsia="仿宋" w:cs="仿宋"/>
                <w:color w:val="000000"/>
                <w:sz w:val="21"/>
                <w:szCs w:val="21"/>
              </w:rPr>
            </w:pPr>
          </w:p>
        </w:tc>
        <w:tc>
          <w:tcPr>
            <w:tcW w:w="1577" w:type="pct"/>
            <w:shd w:val="clear" w:color="auto" w:fill="FFFFFF"/>
            <w:vAlign w:val="center"/>
          </w:tcPr>
          <w:p w14:paraId="762C07A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线上会诊</w:t>
            </w:r>
          </w:p>
        </w:tc>
        <w:tc>
          <w:tcPr>
            <w:tcW w:w="810" w:type="pct"/>
          </w:tcPr>
          <w:p w14:paraId="458E0313">
            <w:pPr>
              <w:spacing w:line="240" w:lineRule="auto"/>
              <w:ind w:firstLine="480"/>
              <w:jc w:val="left"/>
              <w:rPr>
                <w:rFonts w:ascii="瀹嬩綋" w:hAnsi="瀹嬩綋" w:eastAsia="瀹嬩綋"/>
                <w:color w:val="000000"/>
                <w:sz w:val="21"/>
                <w:szCs w:val="21"/>
              </w:rPr>
            </w:pPr>
          </w:p>
        </w:tc>
      </w:tr>
      <w:tr w14:paraId="66D7C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auto"/>
            <w:vAlign w:val="center"/>
          </w:tcPr>
          <w:p w14:paraId="52CE0B95">
            <w:pPr>
              <w:numPr>
                <w:ilvl w:val="0"/>
                <w:numId w:val="2"/>
              </w:numPr>
              <w:spacing w:line="240" w:lineRule="auto"/>
              <w:jc w:val="left"/>
              <w:rPr>
                <w:rFonts w:ascii="仿宋" w:hAnsi="仿宋" w:eastAsia="仿宋" w:cs="仿宋"/>
                <w:color w:val="000000"/>
                <w:sz w:val="21"/>
                <w:szCs w:val="21"/>
              </w:rPr>
            </w:pPr>
          </w:p>
        </w:tc>
        <w:tc>
          <w:tcPr>
            <w:tcW w:w="924" w:type="pct"/>
            <w:vMerge w:val="continue"/>
            <w:shd w:val="clear" w:color="auto" w:fill="auto"/>
            <w:vAlign w:val="center"/>
          </w:tcPr>
          <w:p w14:paraId="1742411E">
            <w:pPr>
              <w:spacing w:line="240" w:lineRule="auto"/>
              <w:ind w:firstLine="480"/>
              <w:jc w:val="left"/>
              <w:rPr>
                <w:rFonts w:ascii="仿宋" w:hAnsi="仿宋" w:eastAsia="仿宋" w:cs="仿宋"/>
                <w:color w:val="000000"/>
                <w:sz w:val="21"/>
                <w:szCs w:val="21"/>
              </w:rPr>
            </w:pPr>
          </w:p>
        </w:tc>
        <w:tc>
          <w:tcPr>
            <w:tcW w:w="939" w:type="pct"/>
            <w:vMerge w:val="continue"/>
            <w:shd w:val="clear" w:color="auto" w:fill="auto"/>
            <w:vAlign w:val="center"/>
          </w:tcPr>
          <w:p w14:paraId="5E7E4642">
            <w:pPr>
              <w:spacing w:line="240" w:lineRule="auto"/>
              <w:ind w:firstLine="480"/>
              <w:jc w:val="left"/>
              <w:rPr>
                <w:rFonts w:ascii="仿宋" w:hAnsi="仿宋" w:eastAsia="仿宋" w:cs="仿宋"/>
                <w:color w:val="000000"/>
                <w:sz w:val="21"/>
                <w:szCs w:val="21"/>
              </w:rPr>
            </w:pPr>
          </w:p>
        </w:tc>
        <w:tc>
          <w:tcPr>
            <w:tcW w:w="1577" w:type="pct"/>
            <w:shd w:val="clear" w:color="auto" w:fill="FFFFFF"/>
            <w:vAlign w:val="center"/>
          </w:tcPr>
          <w:p w14:paraId="0C7A608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医嘱基础配置</w:t>
            </w:r>
          </w:p>
        </w:tc>
        <w:tc>
          <w:tcPr>
            <w:tcW w:w="810" w:type="pct"/>
          </w:tcPr>
          <w:p w14:paraId="39026E8D">
            <w:pPr>
              <w:spacing w:line="240" w:lineRule="auto"/>
              <w:ind w:firstLine="480"/>
              <w:jc w:val="left"/>
              <w:rPr>
                <w:rFonts w:ascii="瀹嬩綋" w:hAnsi="瀹嬩綋" w:eastAsia="瀹嬩綋"/>
                <w:color w:val="000000"/>
                <w:sz w:val="21"/>
                <w:szCs w:val="21"/>
              </w:rPr>
            </w:pPr>
          </w:p>
        </w:tc>
      </w:tr>
      <w:tr w14:paraId="1CF9E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auto"/>
            <w:vAlign w:val="center"/>
          </w:tcPr>
          <w:p w14:paraId="723FF9A4">
            <w:pPr>
              <w:numPr>
                <w:ilvl w:val="0"/>
                <w:numId w:val="2"/>
              </w:numPr>
              <w:spacing w:line="240" w:lineRule="auto"/>
              <w:jc w:val="left"/>
              <w:rPr>
                <w:rFonts w:ascii="仿宋" w:hAnsi="仿宋" w:eastAsia="仿宋" w:cs="仿宋"/>
                <w:color w:val="000000"/>
                <w:sz w:val="21"/>
                <w:szCs w:val="21"/>
              </w:rPr>
            </w:pPr>
          </w:p>
        </w:tc>
        <w:tc>
          <w:tcPr>
            <w:tcW w:w="924" w:type="pct"/>
            <w:vMerge w:val="continue"/>
            <w:shd w:val="clear" w:color="auto" w:fill="auto"/>
            <w:vAlign w:val="center"/>
          </w:tcPr>
          <w:p w14:paraId="155ADB48">
            <w:pPr>
              <w:spacing w:line="240" w:lineRule="auto"/>
              <w:ind w:firstLine="480"/>
              <w:jc w:val="left"/>
              <w:rPr>
                <w:rFonts w:ascii="仿宋" w:hAnsi="仿宋" w:eastAsia="仿宋" w:cs="仿宋"/>
                <w:color w:val="000000"/>
                <w:sz w:val="21"/>
                <w:szCs w:val="21"/>
              </w:rPr>
            </w:pPr>
          </w:p>
        </w:tc>
        <w:tc>
          <w:tcPr>
            <w:tcW w:w="939" w:type="pct"/>
            <w:vMerge w:val="continue"/>
            <w:shd w:val="clear" w:color="auto" w:fill="auto"/>
            <w:vAlign w:val="center"/>
          </w:tcPr>
          <w:p w14:paraId="64389BF7">
            <w:pPr>
              <w:spacing w:line="240" w:lineRule="auto"/>
              <w:ind w:firstLine="480"/>
              <w:jc w:val="left"/>
              <w:rPr>
                <w:rFonts w:ascii="仿宋" w:hAnsi="仿宋" w:eastAsia="仿宋" w:cs="仿宋"/>
                <w:color w:val="000000"/>
                <w:sz w:val="21"/>
                <w:szCs w:val="21"/>
              </w:rPr>
            </w:pPr>
          </w:p>
        </w:tc>
        <w:tc>
          <w:tcPr>
            <w:tcW w:w="1577" w:type="pct"/>
            <w:shd w:val="clear" w:color="auto" w:fill="FFFFFF"/>
            <w:vAlign w:val="center"/>
          </w:tcPr>
          <w:p w14:paraId="2941976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医嘱权限管理</w:t>
            </w:r>
          </w:p>
        </w:tc>
        <w:tc>
          <w:tcPr>
            <w:tcW w:w="810" w:type="pct"/>
          </w:tcPr>
          <w:p w14:paraId="423603EA">
            <w:pPr>
              <w:spacing w:line="240" w:lineRule="auto"/>
              <w:ind w:firstLine="480"/>
              <w:jc w:val="left"/>
              <w:rPr>
                <w:rFonts w:ascii="瀹嬩綋" w:hAnsi="瀹嬩綋" w:eastAsia="瀹嬩綋"/>
                <w:color w:val="000000"/>
                <w:sz w:val="21"/>
                <w:szCs w:val="21"/>
              </w:rPr>
            </w:pPr>
          </w:p>
        </w:tc>
      </w:tr>
      <w:tr w14:paraId="4040F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auto"/>
            <w:vAlign w:val="center"/>
          </w:tcPr>
          <w:p w14:paraId="34AAA6C8">
            <w:pPr>
              <w:numPr>
                <w:ilvl w:val="0"/>
                <w:numId w:val="2"/>
              </w:numPr>
              <w:spacing w:line="240" w:lineRule="auto"/>
              <w:jc w:val="left"/>
              <w:rPr>
                <w:rFonts w:ascii="仿宋" w:hAnsi="仿宋" w:eastAsia="仿宋" w:cs="仿宋"/>
                <w:color w:val="000000"/>
                <w:sz w:val="21"/>
                <w:szCs w:val="21"/>
              </w:rPr>
            </w:pPr>
          </w:p>
        </w:tc>
        <w:tc>
          <w:tcPr>
            <w:tcW w:w="924" w:type="pct"/>
            <w:vMerge w:val="continue"/>
            <w:shd w:val="clear" w:color="auto" w:fill="auto"/>
            <w:vAlign w:val="center"/>
          </w:tcPr>
          <w:p w14:paraId="787D0177">
            <w:pPr>
              <w:spacing w:line="240" w:lineRule="auto"/>
              <w:ind w:firstLine="480"/>
              <w:jc w:val="left"/>
              <w:rPr>
                <w:rFonts w:ascii="仿宋" w:hAnsi="仿宋" w:eastAsia="仿宋" w:cs="仿宋"/>
                <w:color w:val="000000"/>
                <w:sz w:val="21"/>
                <w:szCs w:val="21"/>
              </w:rPr>
            </w:pPr>
          </w:p>
        </w:tc>
        <w:tc>
          <w:tcPr>
            <w:tcW w:w="939" w:type="pct"/>
            <w:vMerge w:val="continue"/>
            <w:shd w:val="clear" w:color="auto" w:fill="auto"/>
            <w:vAlign w:val="center"/>
          </w:tcPr>
          <w:p w14:paraId="1D5208D6">
            <w:pPr>
              <w:spacing w:line="240" w:lineRule="auto"/>
              <w:ind w:firstLine="480"/>
              <w:jc w:val="left"/>
              <w:rPr>
                <w:rFonts w:ascii="仿宋" w:hAnsi="仿宋" w:eastAsia="仿宋" w:cs="仿宋"/>
                <w:color w:val="000000"/>
                <w:sz w:val="21"/>
                <w:szCs w:val="21"/>
              </w:rPr>
            </w:pPr>
          </w:p>
        </w:tc>
        <w:tc>
          <w:tcPr>
            <w:tcW w:w="1577" w:type="pct"/>
            <w:shd w:val="clear" w:color="auto" w:fill="FFFFFF"/>
            <w:vAlign w:val="center"/>
          </w:tcPr>
          <w:p w14:paraId="174A788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CA签名</w:t>
            </w:r>
          </w:p>
        </w:tc>
        <w:tc>
          <w:tcPr>
            <w:tcW w:w="810" w:type="pct"/>
          </w:tcPr>
          <w:p w14:paraId="6FD6E9AB">
            <w:pPr>
              <w:spacing w:line="240" w:lineRule="auto"/>
              <w:ind w:firstLine="480"/>
              <w:jc w:val="left"/>
              <w:rPr>
                <w:rFonts w:ascii="瀹嬩綋" w:hAnsi="瀹嬩綋" w:eastAsia="瀹嬩綋"/>
                <w:color w:val="000000"/>
                <w:sz w:val="21"/>
                <w:szCs w:val="21"/>
              </w:rPr>
            </w:pPr>
          </w:p>
        </w:tc>
      </w:tr>
      <w:tr w14:paraId="34596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1148F7B6">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5DFD734">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32C7B33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线上排班管理</w:t>
            </w:r>
          </w:p>
        </w:tc>
        <w:tc>
          <w:tcPr>
            <w:tcW w:w="1577" w:type="pct"/>
            <w:vAlign w:val="center"/>
          </w:tcPr>
          <w:p w14:paraId="47F47FD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排班计划</w:t>
            </w:r>
          </w:p>
        </w:tc>
        <w:tc>
          <w:tcPr>
            <w:tcW w:w="810" w:type="pct"/>
          </w:tcPr>
          <w:p w14:paraId="5EE0BD05">
            <w:pPr>
              <w:spacing w:line="240" w:lineRule="auto"/>
              <w:ind w:firstLine="480"/>
              <w:jc w:val="left"/>
              <w:rPr>
                <w:rFonts w:ascii="瀹嬩綋" w:hAnsi="瀹嬩綋" w:eastAsia="瀹嬩綋"/>
                <w:color w:val="000000"/>
                <w:sz w:val="21"/>
                <w:szCs w:val="21"/>
              </w:rPr>
            </w:pPr>
          </w:p>
        </w:tc>
      </w:tr>
      <w:tr w14:paraId="15F32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34EF5A8C">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6AC495A">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59860872">
            <w:pPr>
              <w:spacing w:line="240" w:lineRule="auto"/>
              <w:ind w:firstLine="480"/>
              <w:jc w:val="left"/>
              <w:rPr>
                <w:rFonts w:ascii="仿宋" w:hAnsi="仿宋" w:eastAsia="仿宋" w:cs="仿宋"/>
                <w:color w:val="000000"/>
                <w:sz w:val="21"/>
                <w:szCs w:val="21"/>
              </w:rPr>
            </w:pPr>
          </w:p>
        </w:tc>
        <w:tc>
          <w:tcPr>
            <w:tcW w:w="1577" w:type="pct"/>
            <w:vAlign w:val="center"/>
          </w:tcPr>
          <w:p w14:paraId="2D3B7A8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排班号源生成</w:t>
            </w:r>
          </w:p>
        </w:tc>
        <w:tc>
          <w:tcPr>
            <w:tcW w:w="810" w:type="pct"/>
          </w:tcPr>
          <w:p w14:paraId="7F0E2198">
            <w:pPr>
              <w:spacing w:line="240" w:lineRule="auto"/>
              <w:ind w:firstLine="480"/>
              <w:jc w:val="left"/>
              <w:rPr>
                <w:rFonts w:ascii="瀹嬩綋" w:hAnsi="瀹嬩綋" w:eastAsia="瀹嬩綋"/>
                <w:color w:val="000000"/>
                <w:sz w:val="21"/>
                <w:szCs w:val="21"/>
              </w:rPr>
            </w:pPr>
          </w:p>
        </w:tc>
      </w:tr>
      <w:tr w14:paraId="391C3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18DCB11C">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45C8A40">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316A4F6B">
            <w:pPr>
              <w:spacing w:line="240" w:lineRule="auto"/>
              <w:ind w:firstLine="480"/>
              <w:jc w:val="left"/>
              <w:rPr>
                <w:rFonts w:ascii="仿宋" w:hAnsi="仿宋" w:eastAsia="仿宋" w:cs="仿宋"/>
                <w:color w:val="000000"/>
                <w:sz w:val="21"/>
                <w:szCs w:val="21"/>
              </w:rPr>
            </w:pPr>
          </w:p>
        </w:tc>
        <w:tc>
          <w:tcPr>
            <w:tcW w:w="1577" w:type="pct"/>
            <w:vAlign w:val="center"/>
          </w:tcPr>
          <w:p w14:paraId="28EA8BC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挂号费用设置</w:t>
            </w:r>
          </w:p>
        </w:tc>
        <w:tc>
          <w:tcPr>
            <w:tcW w:w="810" w:type="pct"/>
          </w:tcPr>
          <w:p w14:paraId="5E8F6444">
            <w:pPr>
              <w:spacing w:line="240" w:lineRule="auto"/>
              <w:ind w:firstLine="480"/>
              <w:jc w:val="left"/>
              <w:rPr>
                <w:rFonts w:ascii="瀹嬩綋" w:hAnsi="瀹嬩綋" w:eastAsia="瀹嬩綋"/>
                <w:color w:val="000000"/>
                <w:sz w:val="21"/>
                <w:szCs w:val="21"/>
              </w:rPr>
            </w:pPr>
          </w:p>
        </w:tc>
      </w:tr>
      <w:tr w14:paraId="1CAC1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6689C8C5">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BD17A2B">
            <w:pPr>
              <w:spacing w:line="240" w:lineRule="auto"/>
              <w:ind w:firstLine="480"/>
              <w:jc w:val="left"/>
              <w:rPr>
                <w:rFonts w:ascii="仿宋" w:hAnsi="仿宋" w:eastAsia="仿宋" w:cs="仿宋"/>
                <w:color w:val="000000"/>
                <w:sz w:val="21"/>
                <w:szCs w:val="21"/>
              </w:rPr>
            </w:pPr>
          </w:p>
        </w:tc>
        <w:tc>
          <w:tcPr>
            <w:tcW w:w="939" w:type="pct"/>
            <w:vAlign w:val="center"/>
          </w:tcPr>
          <w:p w14:paraId="5B02C41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网络门诊HIS集成</w:t>
            </w:r>
          </w:p>
        </w:tc>
        <w:tc>
          <w:tcPr>
            <w:tcW w:w="1577" w:type="pct"/>
            <w:vAlign w:val="center"/>
          </w:tcPr>
          <w:p w14:paraId="343D65E3">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网络门诊HIS集成</w:t>
            </w:r>
          </w:p>
        </w:tc>
        <w:tc>
          <w:tcPr>
            <w:tcW w:w="810" w:type="pct"/>
          </w:tcPr>
          <w:p w14:paraId="38978000">
            <w:pPr>
              <w:spacing w:line="240" w:lineRule="auto"/>
              <w:ind w:firstLine="480"/>
              <w:jc w:val="left"/>
              <w:rPr>
                <w:rFonts w:ascii="瀹嬩綋" w:hAnsi="瀹嬩綋" w:eastAsia="瀹嬩綋"/>
                <w:color w:val="000000"/>
                <w:sz w:val="21"/>
                <w:szCs w:val="21"/>
              </w:rPr>
            </w:pPr>
          </w:p>
        </w:tc>
      </w:tr>
      <w:tr w14:paraId="1F508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0A7B670C">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5723BAD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处方流转</w:t>
            </w:r>
          </w:p>
        </w:tc>
        <w:tc>
          <w:tcPr>
            <w:tcW w:w="939" w:type="pct"/>
            <w:vAlign w:val="center"/>
          </w:tcPr>
          <w:p w14:paraId="783DBF1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门店管理</w:t>
            </w:r>
          </w:p>
        </w:tc>
        <w:tc>
          <w:tcPr>
            <w:tcW w:w="1577" w:type="pct"/>
            <w:vAlign w:val="center"/>
          </w:tcPr>
          <w:p w14:paraId="31DC5EB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门店管理</w:t>
            </w:r>
          </w:p>
        </w:tc>
        <w:tc>
          <w:tcPr>
            <w:tcW w:w="810" w:type="pct"/>
          </w:tcPr>
          <w:p w14:paraId="67AFD4A5">
            <w:pPr>
              <w:spacing w:line="240" w:lineRule="auto"/>
              <w:ind w:firstLine="480"/>
              <w:jc w:val="left"/>
              <w:rPr>
                <w:rFonts w:ascii="瀹嬩綋" w:hAnsi="瀹嬩綋" w:eastAsia="瀹嬩綋"/>
                <w:color w:val="000000"/>
                <w:sz w:val="21"/>
                <w:szCs w:val="21"/>
              </w:rPr>
            </w:pPr>
          </w:p>
        </w:tc>
      </w:tr>
      <w:tr w14:paraId="23062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66D1207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795C4DF">
            <w:pPr>
              <w:spacing w:line="240" w:lineRule="auto"/>
              <w:ind w:firstLine="480"/>
              <w:jc w:val="left"/>
              <w:rPr>
                <w:rFonts w:ascii="仿宋" w:hAnsi="仿宋" w:eastAsia="仿宋" w:cs="仿宋"/>
                <w:color w:val="000000"/>
                <w:sz w:val="21"/>
                <w:szCs w:val="21"/>
              </w:rPr>
            </w:pPr>
          </w:p>
        </w:tc>
        <w:tc>
          <w:tcPr>
            <w:tcW w:w="939" w:type="pct"/>
            <w:vAlign w:val="center"/>
          </w:tcPr>
          <w:p w14:paraId="566E8AC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流转设置</w:t>
            </w:r>
          </w:p>
        </w:tc>
        <w:tc>
          <w:tcPr>
            <w:tcW w:w="1577" w:type="pct"/>
            <w:vAlign w:val="center"/>
          </w:tcPr>
          <w:p w14:paraId="4483AC05">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流转设置</w:t>
            </w:r>
          </w:p>
        </w:tc>
        <w:tc>
          <w:tcPr>
            <w:tcW w:w="810" w:type="pct"/>
          </w:tcPr>
          <w:p w14:paraId="6BA8EEB8">
            <w:pPr>
              <w:spacing w:line="240" w:lineRule="auto"/>
              <w:ind w:firstLine="480"/>
              <w:jc w:val="left"/>
              <w:rPr>
                <w:rFonts w:ascii="瀹嬩綋" w:hAnsi="瀹嬩綋" w:eastAsia="瀹嬩綋"/>
                <w:color w:val="000000"/>
                <w:sz w:val="21"/>
                <w:szCs w:val="21"/>
              </w:rPr>
            </w:pPr>
          </w:p>
        </w:tc>
      </w:tr>
      <w:tr w14:paraId="10CF3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27B83C57">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3FD7358">
            <w:pPr>
              <w:spacing w:line="240" w:lineRule="auto"/>
              <w:ind w:firstLine="480"/>
              <w:jc w:val="left"/>
              <w:rPr>
                <w:rFonts w:ascii="仿宋" w:hAnsi="仿宋" w:eastAsia="仿宋" w:cs="仿宋"/>
                <w:color w:val="000000"/>
                <w:sz w:val="21"/>
                <w:szCs w:val="21"/>
              </w:rPr>
            </w:pPr>
          </w:p>
        </w:tc>
        <w:tc>
          <w:tcPr>
            <w:tcW w:w="939" w:type="pct"/>
            <w:vAlign w:val="center"/>
          </w:tcPr>
          <w:p w14:paraId="7EBB1E2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智能拆方</w:t>
            </w:r>
          </w:p>
        </w:tc>
        <w:tc>
          <w:tcPr>
            <w:tcW w:w="1577" w:type="pct"/>
            <w:vAlign w:val="center"/>
          </w:tcPr>
          <w:p w14:paraId="584D157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智能拆方</w:t>
            </w:r>
          </w:p>
        </w:tc>
        <w:tc>
          <w:tcPr>
            <w:tcW w:w="810" w:type="pct"/>
          </w:tcPr>
          <w:p w14:paraId="2C411ABB">
            <w:pPr>
              <w:spacing w:line="240" w:lineRule="auto"/>
              <w:ind w:firstLine="480"/>
              <w:jc w:val="left"/>
              <w:rPr>
                <w:rFonts w:ascii="瀹嬩綋" w:hAnsi="瀹嬩綋" w:eastAsia="瀹嬩綋"/>
                <w:color w:val="000000"/>
                <w:sz w:val="21"/>
                <w:szCs w:val="21"/>
              </w:rPr>
            </w:pPr>
          </w:p>
        </w:tc>
      </w:tr>
      <w:tr w14:paraId="54537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308AE2D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57BBBFA">
            <w:pPr>
              <w:spacing w:line="240" w:lineRule="auto"/>
              <w:ind w:firstLine="480"/>
              <w:jc w:val="left"/>
              <w:rPr>
                <w:rFonts w:ascii="仿宋" w:hAnsi="仿宋" w:eastAsia="仿宋" w:cs="仿宋"/>
                <w:color w:val="000000"/>
                <w:sz w:val="21"/>
                <w:szCs w:val="21"/>
              </w:rPr>
            </w:pPr>
          </w:p>
        </w:tc>
        <w:tc>
          <w:tcPr>
            <w:tcW w:w="939" w:type="pct"/>
            <w:vAlign w:val="center"/>
          </w:tcPr>
          <w:p w14:paraId="6EBA30A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处方管理</w:t>
            </w:r>
          </w:p>
        </w:tc>
        <w:tc>
          <w:tcPr>
            <w:tcW w:w="1577" w:type="pct"/>
            <w:vAlign w:val="center"/>
          </w:tcPr>
          <w:p w14:paraId="45ADCC8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处方管理</w:t>
            </w:r>
          </w:p>
        </w:tc>
        <w:tc>
          <w:tcPr>
            <w:tcW w:w="810" w:type="pct"/>
          </w:tcPr>
          <w:p w14:paraId="1E9BCFB7">
            <w:pPr>
              <w:spacing w:line="240" w:lineRule="auto"/>
              <w:ind w:firstLine="480"/>
              <w:jc w:val="left"/>
              <w:rPr>
                <w:rFonts w:ascii="瀹嬩綋" w:hAnsi="瀹嬩綋" w:eastAsia="瀹嬩綋"/>
                <w:color w:val="000000"/>
                <w:sz w:val="21"/>
                <w:szCs w:val="21"/>
              </w:rPr>
            </w:pPr>
          </w:p>
        </w:tc>
      </w:tr>
      <w:tr w14:paraId="53990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4974B2C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DFA1C1B">
            <w:pPr>
              <w:spacing w:line="240" w:lineRule="auto"/>
              <w:ind w:firstLine="480"/>
              <w:jc w:val="left"/>
              <w:rPr>
                <w:rFonts w:ascii="仿宋" w:hAnsi="仿宋" w:eastAsia="仿宋" w:cs="仿宋"/>
                <w:color w:val="000000"/>
                <w:sz w:val="21"/>
                <w:szCs w:val="21"/>
              </w:rPr>
            </w:pPr>
          </w:p>
        </w:tc>
        <w:tc>
          <w:tcPr>
            <w:tcW w:w="939" w:type="pct"/>
            <w:vAlign w:val="center"/>
          </w:tcPr>
          <w:p w14:paraId="080FF5F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门诊住院处方外流</w:t>
            </w:r>
          </w:p>
        </w:tc>
        <w:tc>
          <w:tcPr>
            <w:tcW w:w="1577" w:type="pct"/>
            <w:vAlign w:val="center"/>
          </w:tcPr>
          <w:p w14:paraId="0D39229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门诊住院处方外流</w:t>
            </w:r>
          </w:p>
        </w:tc>
        <w:tc>
          <w:tcPr>
            <w:tcW w:w="810" w:type="pct"/>
          </w:tcPr>
          <w:p w14:paraId="113EA040">
            <w:pPr>
              <w:spacing w:line="240" w:lineRule="auto"/>
              <w:ind w:firstLine="480"/>
              <w:jc w:val="left"/>
              <w:rPr>
                <w:rFonts w:ascii="瀹嬩綋" w:hAnsi="瀹嬩綋" w:eastAsia="瀹嬩綋"/>
                <w:color w:val="000000"/>
                <w:sz w:val="21"/>
                <w:szCs w:val="21"/>
              </w:rPr>
            </w:pPr>
          </w:p>
        </w:tc>
      </w:tr>
      <w:tr w14:paraId="42225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4A675703">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6D8F72F">
            <w:pPr>
              <w:spacing w:line="240" w:lineRule="auto"/>
              <w:ind w:firstLine="480"/>
              <w:jc w:val="left"/>
              <w:rPr>
                <w:rFonts w:ascii="仿宋" w:hAnsi="仿宋" w:eastAsia="仿宋" w:cs="仿宋"/>
                <w:color w:val="000000"/>
                <w:sz w:val="21"/>
                <w:szCs w:val="21"/>
              </w:rPr>
            </w:pPr>
          </w:p>
        </w:tc>
        <w:tc>
          <w:tcPr>
            <w:tcW w:w="939" w:type="pct"/>
            <w:vAlign w:val="center"/>
          </w:tcPr>
          <w:p w14:paraId="5D0D146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患者药品下单</w:t>
            </w:r>
          </w:p>
        </w:tc>
        <w:tc>
          <w:tcPr>
            <w:tcW w:w="1577" w:type="pct"/>
            <w:vAlign w:val="center"/>
          </w:tcPr>
          <w:p w14:paraId="77B20C6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患者药品下单</w:t>
            </w:r>
          </w:p>
        </w:tc>
        <w:tc>
          <w:tcPr>
            <w:tcW w:w="810" w:type="pct"/>
          </w:tcPr>
          <w:p w14:paraId="5FEAD4CD">
            <w:pPr>
              <w:spacing w:line="240" w:lineRule="auto"/>
              <w:ind w:firstLine="480"/>
              <w:jc w:val="left"/>
              <w:rPr>
                <w:rFonts w:ascii="瀹嬩綋" w:hAnsi="瀹嬩綋" w:eastAsia="瀹嬩綋"/>
                <w:color w:val="000000"/>
                <w:sz w:val="21"/>
                <w:szCs w:val="21"/>
              </w:rPr>
            </w:pPr>
          </w:p>
        </w:tc>
      </w:tr>
      <w:tr w14:paraId="3EBE7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4BC6210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978DF72">
            <w:pPr>
              <w:spacing w:line="240" w:lineRule="auto"/>
              <w:ind w:firstLine="480"/>
              <w:jc w:val="left"/>
              <w:rPr>
                <w:rFonts w:ascii="仿宋" w:hAnsi="仿宋" w:eastAsia="仿宋" w:cs="仿宋"/>
                <w:color w:val="000000"/>
                <w:sz w:val="21"/>
                <w:szCs w:val="21"/>
              </w:rPr>
            </w:pPr>
          </w:p>
        </w:tc>
        <w:tc>
          <w:tcPr>
            <w:tcW w:w="939" w:type="pct"/>
            <w:vAlign w:val="center"/>
          </w:tcPr>
          <w:p w14:paraId="780EB39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门店订单发货</w:t>
            </w:r>
          </w:p>
        </w:tc>
        <w:tc>
          <w:tcPr>
            <w:tcW w:w="1577" w:type="pct"/>
            <w:vAlign w:val="center"/>
          </w:tcPr>
          <w:p w14:paraId="43F8502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门店订单发货</w:t>
            </w:r>
          </w:p>
        </w:tc>
        <w:tc>
          <w:tcPr>
            <w:tcW w:w="810" w:type="pct"/>
          </w:tcPr>
          <w:p w14:paraId="648AC034">
            <w:pPr>
              <w:spacing w:line="240" w:lineRule="auto"/>
              <w:ind w:firstLine="480"/>
              <w:jc w:val="left"/>
              <w:rPr>
                <w:rFonts w:ascii="瀹嬩綋" w:hAnsi="瀹嬩綋" w:eastAsia="瀹嬩綋"/>
                <w:color w:val="000000"/>
                <w:sz w:val="21"/>
                <w:szCs w:val="21"/>
              </w:rPr>
            </w:pPr>
          </w:p>
        </w:tc>
      </w:tr>
      <w:tr w14:paraId="12577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568104E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17F3077">
            <w:pPr>
              <w:spacing w:line="240" w:lineRule="auto"/>
              <w:ind w:firstLine="480"/>
              <w:jc w:val="left"/>
              <w:rPr>
                <w:rFonts w:ascii="仿宋" w:hAnsi="仿宋" w:eastAsia="仿宋" w:cs="仿宋"/>
                <w:color w:val="000000"/>
                <w:sz w:val="21"/>
                <w:szCs w:val="21"/>
              </w:rPr>
            </w:pPr>
          </w:p>
        </w:tc>
        <w:tc>
          <w:tcPr>
            <w:tcW w:w="939" w:type="pct"/>
            <w:vAlign w:val="center"/>
          </w:tcPr>
          <w:p w14:paraId="19DE8A53">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发药报表</w:t>
            </w:r>
          </w:p>
        </w:tc>
        <w:tc>
          <w:tcPr>
            <w:tcW w:w="1577" w:type="pct"/>
            <w:vAlign w:val="center"/>
          </w:tcPr>
          <w:p w14:paraId="6F379F8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发药报表</w:t>
            </w:r>
          </w:p>
        </w:tc>
        <w:tc>
          <w:tcPr>
            <w:tcW w:w="810" w:type="pct"/>
          </w:tcPr>
          <w:p w14:paraId="40EBF17B">
            <w:pPr>
              <w:spacing w:line="240" w:lineRule="auto"/>
              <w:ind w:firstLine="480"/>
              <w:jc w:val="left"/>
              <w:rPr>
                <w:rFonts w:ascii="瀹嬩綋" w:hAnsi="瀹嬩綋" w:eastAsia="瀹嬩綋"/>
                <w:color w:val="000000"/>
                <w:sz w:val="21"/>
                <w:szCs w:val="21"/>
              </w:rPr>
            </w:pPr>
          </w:p>
        </w:tc>
      </w:tr>
      <w:tr w14:paraId="5515C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02073114">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074D4D3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慢病续方</w:t>
            </w:r>
          </w:p>
        </w:tc>
        <w:tc>
          <w:tcPr>
            <w:tcW w:w="939" w:type="pct"/>
            <w:vMerge w:val="restart"/>
            <w:vAlign w:val="center"/>
          </w:tcPr>
          <w:p w14:paraId="13290E3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慢病续方</w:t>
            </w:r>
          </w:p>
        </w:tc>
        <w:tc>
          <w:tcPr>
            <w:tcW w:w="1577" w:type="pct"/>
            <w:vAlign w:val="center"/>
          </w:tcPr>
          <w:p w14:paraId="7B29549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药品设置</w:t>
            </w:r>
          </w:p>
        </w:tc>
        <w:tc>
          <w:tcPr>
            <w:tcW w:w="810" w:type="pct"/>
          </w:tcPr>
          <w:p w14:paraId="107C2986">
            <w:pPr>
              <w:spacing w:line="240" w:lineRule="auto"/>
              <w:ind w:firstLine="480"/>
              <w:jc w:val="left"/>
              <w:rPr>
                <w:rFonts w:ascii="瀹嬩綋" w:hAnsi="瀹嬩綋" w:eastAsia="瀹嬩綋"/>
                <w:color w:val="000000"/>
                <w:sz w:val="21"/>
                <w:szCs w:val="21"/>
              </w:rPr>
            </w:pPr>
          </w:p>
        </w:tc>
      </w:tr>
      <w:tr w14:paraId="32CFB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4D865D0A">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7BF4322">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6E29C295">
            <w:pPr>
              <w:spacing w:line="240" w:lineRule="auto"/>
              <w:ind w:firstLine="480"/>
              <w:jc w:val="left"/>
              <w:rPr>
                <w:rFonts w:ascii="仿宋" w:hAnsi="仿宋" w:eastAsia="仿宋" w:cs="仿宋"/>
                <w:color w:val="000000"/>
                <w:sz w:val="21"/>
                <w:szCs w:val="21"/>
              </w:rPr>
            </w:pPr>
          </w:p>
        </w:tc>
        <w:tc>
          <w:tcPr>
            <w:tcW w:w="1577" w:type="pct"/>
            <w:vAlign w:val="center"/>
          </w:tcPr>
          <w:p w14:paraId="1433F83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续方申请</w:t>
            </w:r>
          </w:p>
        </w:tc>
        <w:tc>
          <w:tcPr>
            <w:tcW w:w="810" w:type="pct"/>
          </w:tcPr>
          <w:p w14:paraId="6E596B80">
            <w:pPr>
              <w:spacing w:line="240" w:lineRule="auto"/>
              <w:ind w:firstLine="480"/>
              <w:jc w:val="left"/>
              <w:rPr>
                <w:rFonts w:ascii="瀹嬩綋" w:hAnsi="瀹嬩綋" w:eastAsia="瀹嬩綋"/>
                <w:color w:val="000000"/>
                <w:sz w:val="21"/>
                <w:szCs w:val="21"/>
              </w:rPr>
            </w:pPr>
          </w:p>
        </w:tc>
      </w:tr>
      <w:tr w14:paraId="68025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2A157D02">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3E37054">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6435F229">
            <w:pPr>
              <w:spacing w:line="240" w:lineRule="auto"/>
              <w:ind w:firstLine="480"/>
              <w:jc w:val="left"/>
              <w:rPr>
                <w:rFonts w:ascii="仿宋" w:hAnsi="仿宋" w:eastAsia="仿宋" w:cs="仿宋"/>
                <w:color w:val="000000"/>
                <w:sz w:val="21"/>
                <w:szCs w:val="21"/>
              </w:rPr>
            </w:pPr>
          </w:p>
        </w:tc>
        <w:tc>
          <w:tcPr>
            <w:tcW w:w="1577" w:type="pct"/>
            <w:vAlign w:val="center"/>
          </w:tcPr>
          <w:p w14:paraId="0BC98CF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续方审核</w:t>
            </w:r>
          </w:p>
        </w:tc>
        <w:tc>
          <w:tcPr>
            <w:tcW w:w="810" w:type="pct"/>
          </w:tcPr>
          <w:p w14:paraId="3B7B4B62">
            <w:pPr>
              <w:spacing w:line="240" w:lineRule="auto"/>
              <w:ind w:firstLine="480"/>
              <w:jc w:val="left"/>
              <w:rPr>
                <w:rFonts w:ascii="瀹嬩綋" w:hAnsi="瀹嬩綋" w:eastAsia="瀹嬩綋"/>
                <w:color w:val="000000"/>
                <w:sz w:val="21"/>
                <w:szCs w:val="21"/>
              </w:rPr>
            </w:pPr>
          </w:p>
        </w:tc>
      </w:tr>
      <w:tr w14:paraId="7E24A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3BDA776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F4DBAE0">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30CA6C8E">
            <w:pPr>
              <w:spacing w:line="240" w:lineRule="auto"/>
              <w:ind w:firstLine="480"/>
              <w:jc w:val="left"/>
              <w:rPr>
                <w:rFonts w:ascii="仿宋" w:hAnsi="仿宋" w:eastAsia="仿宋" w:cs="仿宋"/>
                <w:color w:val="000000"/>
                <w:sz w:val="21"/>
                <w:szCs w:val="21"/>
              </w:rPr>
            </w:pPr>
          </w:p>
        </w:tc>
        <w:tc>
          <w:tcPr>
            <w:tcW w:w="1577" w:type="pct"/>
            <w:vAlign w:val="center"/>
          </w:tcPr>
          <w:p w14:paraId="75E1CBE3">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药品配送</w:t>
            </w:r>
          </w:p>
        </w:tc>
        <w:tc>
          <w:tcPr>
            <w:tcW w:w="810" w:type="pct"/>
          </w:tcPr>
          <w:p w14:paraId="55D561F8">
            <w:pPr>
              <w:spacing w:line="240" w:lineRule="auto"/>
              <w:ind w:firstLine="480"/>
              <w:jc w:val="left"/>
              <w:rPr>
                <w:rFonts w:ascii="瀹嬩綋" w:hAnsi="瀹嬩綋" w:eastAsia="瀹嬩綋"/>
                <w:color w:val="000000"/>
                <w:sz w:val="21"/>
                <w:szCs w:val="21"/>
              </w:rPr>
            </w:pPr>
          </w:p>
        </w:tc>
      </w:tr>
      <w:tr w14:paraId="3B001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13F5DCDB">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18A7BF85">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在线支付</w:t>
            </w:r>
          </w:p>
        </w:tc>
        <w:tc>
          <w:tcPr>
            <w:tcW w:w="939" w:type="pct"/>
            <w:vAlign w:val="center"/>
          </w:tcPr>
          <w:p w14:paraId="18BB0E9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挂号支付</w:t>
            </w:r>
          </w:p>
        </w:tc>
        <w:tc>
          <w:tcPr>
            <w:tcW w:w="1577" w:type="pct"/>
            <w:vAlign w:val="center"/>
          </w:tcPr>
          <w:p w14:paraId="38FFC67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挂号支付</w:t>
            </w:r>
          </w:p>
        </w:tc>
        <w:tc>
          <w:tcPr>
            <w:tcW w:w="810" w:type="pct"/>
          </w:tcPr>
          <w:p w14:paraId="341C39C6">
            <w:pPr>
              <w:spacing w:line="240" w:lineRule="auto"/>
              <w:ind w:firstLine="480"/>
              <w:jc w:val="left"/>
              <w:rPr>
                <w:rFonts w:ascii="瀹嬩綋" w:hAnsi="瀹嬩綋" w:eastAsia="瀹嬩綋"/>
                <w:color w:val="000000"/>
                <w:sz w:val="21"/>
                <w:szCs w:val="21"/>
              </w:rPr>
            </w:pPr>
          </w:p>
        </w:tc>
      </w:tr>
      <w:tr w14:paraId="56C56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407E9EA3">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2EFE867">
            <w:pPr>
              <w:spacing w:line="240" w:lineRule="auto"/>
              <w:ind w:firstLine="480"/>
              <w:jc w:val="left"/>
              <w:rPr>
                <w:rFonts w:ascii="仿宋" w:hAnsi="仿宋" w:eastAsia="仿宋" w:cs="仿宋"/>
                <w:color w:val="000000"/>
                <w:sz w:val="21"/>
                <w:szCs w:val="21"/>
              </w:rPr>
            </w:pPr>
          </w:p>
        </w:tc>
        <w:tc>
          <w:tcPr>
            <w:tcW w:w="939" w:type="pct"/>
            <w:vAlign w:val="center"/>
          </w:tcPr>
          <w:p w14:paraId="1E03420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诊疗支付</w:t>
            </w:r>
          </w:p>
        </w:tc>
        <w:tc>
          <w:tcPr>
            <w:tcW w:w="1577" w:type="pct"/>
            <w:vAlign w:val="center"/>
          </w:tcPr>
          <w:p w14:paraId="1F4F424B">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诊疗支付</w:t>
            </w:r>
          </w:p>
        </w:tc>
        <w:tc>
          <w:tcPr>
            <w:tcW w:w="810" w:type="pct"/>
          </w:tcPr>
          <w:p w14:paraId="7269A6BF">
            <w:pPr>
              <w:spacing w:line="240" w:lineRule="auto"/>
              <w:ind w:firstLine="480"/>
              <w:jc w:val="left"/>
              <w:rPr>
                <w:rFonts w:ascii="瀹嬩綋" w:hAnsi="瀹嬩綋" w:eastAsia="瀹嬩綋"/>
                <w:color w:val="000000"/>
                <w:sz w:val="21"/>
                <w:szCs w:val="21"/>
              </w:rPr>
            </w:pPr>
          </w:p>
        </w:tc>
      </w:tr>
      <w:tr w14:paraId="62235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7D17ADD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6E5564A">
            <w:pPr>
              <w:spacing w:line="240" w:lineRule="auto"/>
              <w:ind w:firstLine="480"/>
              <w:jc w:val="left"/>
              <w:rPr>
                <w:rFonts w:ascii="仿宋" w:hAnsi="仿宋" w:eastAsia="仿宋" w:cs="仿宋"/>
                <w:color w:val="000000"/>
                <w:sz w:val="21"/>
                <w:szCs w:val="21"/>
              </w:rPr>
            </w:pPr>
          </w:p>
        </w:tc>
        <w:tc>
          <w:tcPr>
            <w:tcW w:w="939" w:type="pct"/>
            <w:vAlign w:val="center"/>
          </w:tcPr>
          <w:p w14:paraId="734A1F9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续方支付</w:t>
            </w:r>
          </w:p>
        </w:tc>
        <w:tc>
          <w:tcPr>
            <w:tcW w:w="1577" w:type="pct"/>
            <w:vAlign w:val="center"/>
          </w:tcPr>
          <w:p w14:paraId="2018753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续方支付</w:t>
            </w:r>
          </w:p>
        </w:tc>
        <w:tc>
          <w:tcPr>
            <w:tcW w:w="810" w:type="pct"/>
          </w:tcPr>
          <w:p w14:paraId="5EC1CEE8">
            <w:pPr>
              <w:spacing w:line="240" w:lineRule="auto"/>
              <w:ind w:firstLine="480"/>
              <w:jc w:val="left"/>
              <w:rPr>
                <w:rFonts w:ascii="瀹嬩綋" w:hAnsi="瀹嬩綋" w:eastAsia="瀹嬩綋"/>
                <w:color w:val="000000"/>
                <w:sz w:val="21"/>
                <w:szCs w:val="21"/>
              </w:rPr>
            </w:pPr>
          </w:p>
        </w:tc>
      </w:tr>
      <w:tr w14:paraId="1D899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15764E0F">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BCBE0AB">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2CEFE30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医保在线结算</w:t>
            </w:r>
          </w:p>
        </w:tc>
        <w:tc>
          <w:tcPr>
            <w:tcW w:w="1577" w:type="pct"/>
            <w:vAlign w:val="center"/>
          </w:tcPr>
          <w:p w14:paraId="7E2F5A23">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线上挂号医保结算</w:t>
            </w:r>
          </w:p>
        </w:tc>
        <w:tc>
          <w:tcPr>
            <w:tcW w:w="810" w:type="pct"/>
          </w:tcPr>
          <w:p w14:paraId="64EFAE01">
            <w:pPr>
              <w:spacing w:line="240" w:lineRule="auto"/>
              <w:ind w:firstLine="480"/>
              <w:jc w:val="left"/>
              <w:rPr>
                <w:rFonts w:ascii="瀹嬩綋" w:hAnsi="瀹嬩綋" w:eastAsia="瀹嬩綋"/>
                <w:color w:val="000000"/>
                <w:sz w:val="21"/>
                <w:szCs w:val="21"/>
              </w:rPr>
            </w:pPr>
          </w:p>
        </w:tc>
      </w:tr>
      <w:tr w14:paraId="760F2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1D0BBC73">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3C1B00D">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3A60AF41">
            <w:pPr>
              <w:spacing w:line="240" w:lineRule="auto"/>
              <w:ind w:firstLine="480"/>
              <w:jc w:val="left"/>
              <w:rPr>
                <w:rFonts w:ascii="仿宋" w:hAnsi="仿宋" w:eastAsia="仿宋" w:cs="仿宋"/>
                <w:color w:val="000000"/>
                <w:sz w:val="21"/>
                <w:szCs w:val="21"/>
              </w:rPr>
            </w:pPr>
          </w:p>
        </w:tc>
        <w:tc>
          <w:tcPr>
            <w:tcW w:w="1577" w:type="pct"/>
            <w:vAlign w:val="center"/>
          </w:tcPr>
          <w:p w14:paraId="50EA44FB">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线上处方医保结算</w:t>
            </w:r>
          </w:p>
        </w:tc>
        <w:tc>
          <w:tcPr>
            <w:tcW w:w="810" w:type="pct"/>
          </w:tcPr>
          <w:p w14:paraId="49B81962">
            <w:pPr>
              <w:spacing w:line="240" w:lineRule="auto"/>
              <w:ind w:firstLine="480"/>
              <w:jc w:val="left"/>
              <w:rPr>
                <w:rFonts w:ascii="瀹嬩綋" w:hAnsi="瀹嬩綋" w:eastAsia="瀹嬩綋"/>
                <w:color w:val="000000"/>
                <w:sz w:val="21"/>
                <w:szCs w:val="21"/>
              </w:rPr>
            </w:pPr>
          </w:p>
        </w:tc>
      </w:tr>
      <w:tr w14:paraId="7D7AF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137F1FE6">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3F7FDC4B">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智慧药师</w:t>
            </w:r>
          </w:p>
        </w:tc>
        <w:tc>
          <w:tcPr>
            <w:tcW w:w="939" w:type="pct"/>
            <w:vAlign w:val="center"/>
          </w:tcPr>
          <w:p w14:paraId="0CBD4EA3">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用药提醒</w:t>
            </w:r>
          </w:p>
        </w:tc>
        <w:tc>
          <w:tcPr>
            <w:tcW w:w="1577" w:type="pct"/>
            <w:vAlign w:val="center"/>
          </w:tcPr>
          <w:p w14:paraId="6FB4C0C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用药提醒</w:t>
            </w:r>
          </w:p>
        </w:tc>
        <w:tc>
          <w:tcPr>
            <w:tcW w:w="810" w:type="pct"/>
          </w:tcPr>
          <w:p w14:paraId="744E9679">
            <w:pPr>
              <w:spacing w:line="240" w:lineRule="auto"/>
              <w:ind w:firstLine="480"/>
              <w:jc w:val="left"/>
              <w:rPr>
                <w:rFonts w:ascii="瀹嬩綋" w:hAnsi="瀹嬩綋" w:eastAsia="瀹嬩綋"/>
                <w:color w:val="000000"/>
                <w:sz w:val="21"/>
                <w:szCs w:val="21"/>
              </w:rPr>
            </w:pPr>
          </w:p>
        </w:tc>
      </w:tr>
      <w:tr w14:paraId="304E8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0F49FA0F">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BC30517">
            <w:pPr>
              <w:spacing w:line="240" w:lineRule="auto"/>
              <w:ind w:firstLine="480"/>
              <w:jc w:val="left"/>
              <w:rPr>
                <w:rFonts w:ascii="仿宋" w:hAnsi="仿宋" w:eastAsia="仿宋" w:cs="仿宋"/>
                <w:color w:val="000000"/>
                <w:sz w:val="21"/>
                <w:szCs w:val="21"/>
              </w:rPr>
            </w:pPr>
          </w:p>
        </w:tc>
        <w:tc>
          <w:tcPr>
            <w:tcW w:w="939" w:type="pct"/>
            <w:vAlign w:val="center"/>
          </w:tcPr>
          <w:p w14:paraId="33E2AFB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用药确认</w:t>
            </w:r>
          </w:p>
        </w:tc>
        <w:tc>
          <w:tcPr>
            <w:tcW w:w="1577" w:type="pct"/>
            <w:vAlign w:val="center"/>
          </w:tcPr>
          <w:p w14:paraId="747EC7C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用药确认</w:t>
            </w:r>
          </w:p>
        </w:tc>
        <w:tc>
          <w:tcPr>
            <w:tcW w:w="810" w:type="pct"/>
          </w:tcPr>
          <w:p w14:paraId="7825C0D1">
            <w:pPr>
              <w:spacing w:line="240" w:lineRule="auto"/>
              <w:ind w:firstLine="480"/>
              <w:jc w:val="left"/>
              <w:rPr>
                <w:rFonts w:ascii="瀹嬩綋" w:hAnsi="瀹嬩綋" w:eastAsia="瀹嬩綋"/>
                <w:color w:val="000000"/>
                <w:sz w:val="21"/>
                <w:szCs w:val="21"/>
              </w:rPr>
            </w:pPr>
          </w:p>
        </w:tc>
      </w:tr>
      <w:tr w14:paraId="45990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28721AE1">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BFC4EE9">
            <w:pPr>
              <w:spacing w:line="240" w:lineRule="auto"/>
              <w:ind w:firstLine="480"/>
              <w:jc w:val="left"/>
              <w:rPr>
                <w:rFonts w:ascii="仿宋" w:hAnsi="仿宋" w:eastAsia="仿宋" w:cs="仿宋"/>
                <w:color w:val="000000"/>
                <w:sz w:val="21"/>
                <w:szCs w:val="21"/>
              </w:rPr>
            </w:pPr>
          </w:p>
        </w:tc>
        <w:tc>
          <w:tcPr>
            <w:tcW w:w="939" w:type="pct"/>
            <w:vAlign w:val="center"/>
          </w:tcPr>
          <w:p w14:paraId="77FE9EE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处方查询</w:t>
            </w:r>
          </w:p>
        </w:tc>
        <w:tc>
          <w:tcPr>
            <w:tcW w:w="1577" w:type="pct"/>
            <w:vAlign w:val="center"/>
          </w:tcPr>
          <w:p w14:paraId="3B50B62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处方查询</w:t>
            </w:r>
          </w:p>
        </w:tc>
        <w:tc>
          <w:tcPr>
            <w:tcW w:w="810" w:type="pct"/>
          </w:tcPr>
          <w:p w14:paraId="48378C62">
            <w:pPr>
              <w:spacing w:line="240" w:lineRule="auto"/>
              <w:ind w:firstLine="480"/>
              <w:jc w:val="left"/>
              <w:rPr>
                <w:rFonts w:ascii="瀹嬩綋" w:hAnsi="瀹嬩綋" w:eastAsia="瀹嬩綋"/>
                <w:color w:val="000000"/>
                <w:sz w:val="21"/>
                <w:szCs w:val="21"/>
              </w:rPr>
            </w:pPr>
          </w:p>
        </w:tc>
      </w:tr>
      <w:tr w14:paraId="3CAA0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3761E954">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3E970BE">
            <w:pPr>
              <w:spacing w:line="240" w:lineRule="auto"/>
              <w:ind w:firstLine="480"/>
              <w:jc w:val="left"/>
              <w:rPr>
                <w:rFonts w:ascii="仿宋" w:hAnsi="仿宋" w:eastAsia="仿宋" w:cs="仿宋"/>
                <w:color w:val="000000"/>
                <w:sz w:val="21"/>
                <w:szCs w:val="21"/>
              </w:rPr>
            </w:pPr>
          </w:p>
        </w:tc>
        <w:tc>
          <w:tcPr>
            <w:tcW w:w="939" w:type="pct"/>
            <w:vAlign w:val="center"/>
          </w:tcPr>
          <w:p w14:paraId="10CA9E1B">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药品说明书</w:t>
            </w:r>
          </w:p>
        </w:tc>
        <w:tc>
          <w:tcPr>
            <w:tcW w:w="1577" w:type="pct"/>
            <w:vAlign w:val="center"/>
          </w:tcPr>
          <w:p w14:paraId="236FD0B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药品说明书</w:t>
            </w:r>
          </w:p>
        </w:tc>
        <w:tc>
          <w:tcPr>
            <w:tcW w:w="810" w:type="pct"/>
          </w:tcPr>
          <w:p w14:paraId="160BD6B0">
            <w:pPr>
              <w:spacing w:line="240" w:lineRule="auto"/>
              <w:ind w:firstLine="480"/>
              <w:jc w:val="left"/>
              <w:rPr>
                <w:rFonts w:ascii="瀹嬩綋" w:hAnsi="瀹嬩綋" w:eastAsia="瀹嬩綋"/>
                <w:color w:val="000000"/>
                <w:sz w:val="21"/>
                <w:szCs w:val="21"/>
              </w:rPr>
            </w:pPr>
          </w:p>
        </w:tc>
      </w:tr>
      <w:tr w14:paraId="197D5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5CBE5C8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3DF5F81">
            <w:pPr>
              <w:spacing w:line="240" w:lineRule="auto"/>
              <w:ind w:firstLine="480"/>
              <w:jc w:val="left"/>
              <w:rPr>
                <w:rFonts w:ascii="仿宋" w:hAnsi="仿宋" w:eastAsia="仿宋" w:cs="仿宋"/>
                <w:color w:val="000000"/>
                <w:sz w:val="21"/>
                <w:szCs w:val="21"/>
              </w:rPr>
            </w:pPr>
          </w:p>
        </w:tc>
        <w:tc>
          <w:tcPr>
            <w:tcW w:w="939" w:type="pct"/>
            <w:vAlign w:val="center"/>
          </w:tcPr>
          <w:p w14:paraId="493E7FB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语音播报</w:t>
            </w:r>
          </w:p>
        </w:tc>
        <w:tc>
          <w:tcPr>
            <w:tcW w:w="1577" w:type="pct"/>
            <w:vAlign w:val="center"/>
          </w:tcPr>
          <w:p w14:paraId="7A0E29A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语音播报</w:t>
            </w:r>
          </w:p>
        </w:tc>
        <w:tc>
          <w:tcPr>
            <w:tcW w:w="810" w:type="pct"/>
          </w:tcPr>
          <w:p w14:paraId="51549AEC">
            <w:pPr>
              <w:spacing w:line="240" w:lineRule="auto"/>
              <w:ind w:firstLine="480"/>
              <w:jc w:val="left"/>
              <w:rPr>
                <w:rFonts w:ascii="瀹嬩綋" w:hAnsi="瀹嬩綋" w:eastAsia="瀹嬩綋"/>
                <w:color w:val="000000"/>
                <w:sz w:val="21"/>
                <w:szCs w:val="21"/>
              </w:rPr>
            </w:pPr>
          </w:p>
        </w:tc>
      </w:tr>
      <w:tr w14:paraId="1F20A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2FBBB8BA">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F3D9C88">
            <w:pPr>
              <w:spacing w:line="240" w:lineRule="auto"/>
              <w:ind w:firstLine="480"/>
              <w:jc w:val="left"/>
              <w:rPr>
                <w:rFonts w:ascii="仿宋" w:hAnsi="仿宋" w:eastAsia="仿宋" w:cs="仿宋"/>
                <w:color w:val="000000"/>
                <w:sz w:val="21"/>
                <w:szCs w:val="21"/>
              </w:rPr>
            </w:pPr>
          </w:p>
        </w:tc>
        <w:tc>
          <w:tcPr>
            <w:tcW w:w="939" w:type="pct"/>
            <w:vAlign w:val="center"/>
          </w:tcPr>
          <w:p w14:paraId="43589C0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用药咨询</w:t>
            </w:r>
          </w:p>
        </w:tc>
        <w:tc>
          <w:tcPr>
            <w:tcW w:w="1577" w:type="pct"/>
            <w:vAlign w:val="center"/>
          </w:tcPr>
          <w:p w14:paraId="32437B8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用药咨询</w:t>
            </w:r>
          </w:p>
        </w:tc>
        <w:tc>
          <w:tcPr>
            <w:tcW w:w="810" w:type="pct"/>
          </w:tcPr>
          <w:p w14:paraId="223091AA">
            <w:pPr>
              <w:spacing w:line="240" w:lineRule="auto"/>
              <w:ind w:firstLine="480"/>
              <w:jc w:val="left"/>
              <w:rPr>
                <w:rFonts w:ascii="瀹嬩綋" w:hAnsi="瀹嬩綋" w:eastAsia="瀹嬩綋"/>
                <w:color w:val="000000"/>
                <w:sz w:val="21"/>
                <w:szCs w:val="21"/>
              </w:rPr>
            </w:pPr>
          </w:p>
        </w:tc>
      </w:tr>
      <w:tr w14:paraId="79532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vAlign w:val="center"/>
          </w:tcPr>
          <w:p w14:paraId="5BD2423E">
            <w:pPr>
              <w:numPr>
                <w:ilvl w:val="0"/>
                <w:numId w:val="2"/>
              </w:numPr>
              <w:spacing w:line="240" w:lineRule="auto"/>
              <w:jc w:val="left"/>
              <w:rPr>
                <w:rFonts w:ascii="仿宋" w:hAnsi="仿宋" w:eastAsia="仿宋" w:cs="仿宋"/>
                <w:color w:val="000000"/>
                <w:sz w:val="21"/>
                <w:szCs w:val="21"/>
              </w:rPr>
            </w:pPr>
          </w:p>
        </w:tc>
        <w:tc>
          <w:tcPr>
            <w:tcW w:w="924" w:type="pct"/>
            <w:vAlign w:val="center"/>
          </w:tcPr>
          <w:p w14:paraId="3D8C93F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诊疗服务管理端</w:t>
            </w:r>
          </w:p>
        </w:tc>
        <w:tc>
          <w:tcPr>
            <w:tcW w:w="939" w:type="pct"/>
            <w:vAlign w:val="center"/>
          </w:tcPr>
          <w:p w14:paraId="01CC4CA5">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诊疗服务管理端</w:t>
            </w:r>
          </w:p>
        </w:tc>
        <w:tc>
          <w:tcPr>
            <w:tcW w:w="1577" w:type="pct"/>
            <w:vAlign w:val="center"/>
          </w:tcPr>
          <w:p w14:paraId="0FDCB8C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诊疗服务管理端</w:t>
            </w:r>
          </w:p>
        </w:tc>
        <w:tc>
          <w:tcPr>
            <w:tcW w:w="810" w:type="pct"/>
          </w:tcPr>
          <w:p w14:paraId="10BB2139">
            <w:pPr>
              <w:spacing w:line="240" w:lineRule="auto"/>
              <w:ind w:firstLine="480"/>
              <w:jc w:val="left"/>
              <w:rPr>
                <w:rFonts w:ascii="瀹嬩綋" w:hAnsi="瀹嬩綋" w:eastAsia="瀹嬩綋"/>
                <w:color w:val="000000"/>
                <w:sz w:val="21"/>
                <w:szCs w:val="21"/>
              </w:rPr>
            </w:pPr>
          </w:p>
        </w:tc>
      </w:tr>
      <w:tr w14:paraId="52B38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5000" w:type="pct"/>
            <w:gridSpan w:val="5"/>
            <w:shd w:val="clear" w:color="auto" w:fill="DAEEF3"/>
            <w:vAlign w:val="center"/>
          </w:tcPr>
          <w:p w14:paraId="23694A8E">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应用三、互联网中医线上名医工作室</w:t>
            </w:r>
          </w:p>
        </w:tc>
      </w:tr>
      <w:tr w14:paraId="1034B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47" w:type="pct"/>
            <w:shd w:val="clear" w:color="auto" w:fill="DAEEF3"/>
            <w:vAlign w:val="center"/>
          </w:tcPr>
          <w:p w14:paraId="7BF9E2B9">
            <w:pPr>
              <w:spacing w:line="240" w:lineRule="auto"/>
              <w:rPr>
                <w:rFonts w:ascii="仿宋" w:hAnsi="仿宋" w:eastAsia="仿宋" w:cs="仿宋"/>
                <w:b/>
                <w:bCs/>
                <w:color w:val="000000"/>
                <w:sz w:val="21"/>
                <w:szCs w:val="21"/>
              </w:rPr>
            </w:pPr>
            <w:r>
              <w:rPr>
                <w:rFonts w:hint="eastAsia" w:ascii="仿宋" w:hAnsi="仿宋" w:eastAsia="仿宋" w:cs="仿宋"/>
                <w:b/>
                <w:bCs/>
                <w:color w:val="000000"/>
                <w:sz w:val="21"/>
                <w:szCs w:val="21"/>
              </w:rPr>
              <w:t>序号</w:t>
            </w:r>
          </w:p>
        </w:tc>
        <w:tc>
          <w:tcPr>
            <w:tcW w:w="924" w:type="pct"/>
            <w:shd w:val="clear" w:color="auto" w:fill="DAEEF3"/>
            <w:vAlign w:val="center"/>
          </w:tcPr>
          <w:p w14:paraId="55E77B4E">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建设模块</w:t>
            </w:r>
          </w:p>
        </w:tc>
        <w:tc>
          <w:tcPr>
            <w:tcW w:w="939" w:type="pct"/>
            <w:shd w:val="clear" w:color="auto" w:fill="DAEEF3"/>
            <w:vAlign w:val="center"/>
          </w:tcPr>
          <w:p w14:paraId="2E65ED55">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一级功能</w:t>
            </w:r>
          </w:p>
        </w:tc>
        <w:tc>
          <w:tcPr>
            <w:tcW w:w="1577" w:type="pct"/>
            <w:shd w:val="clear" w:color="auto" w:fill="DAEEF3"/>
            <w:vAlign w:val="center"/>
          </w:tcPr>
          <w:p w14:paraId="2B8FE7A2">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二级功能</w:t>
            </w:r>
          </w:p>
        </w:tc>
        <w:tc>
          <w:tcPr>
            <w:tcW w:w="810" w:type="pct"/>
            <w:shd w:val="clear" w:color="auto" w:fill="DAEEF3"/>
            <w:vAlign w:val="center"/>
          </w:tcPr>
          <w:p w14:paraId="34CCF01D">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备注</w:t>
            </w:r>
          </w:p>
        </w:tc>
      </w:tr>
      <w:tr w14:paraId="42DF3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7" w:type="pct"/>
            <w:vAlign w:val="center"/>
          </w:tcPr>
          <w:p w14:paraId="0FAA8EBA">
            <w:pPr>
              <w:numPr>
                <w:ilvl w:val="0"/>
                <w:numId w:val="2"/>
              </w:numPr>
              <w:spacing w:line="240" w:lineRule="auto"/>
              <w:jc w:val="left"/>
              <w:rPr>
                <w:rFonts w:ascii="仿宋" w:hAnsi="仿宋" w:eastAsia="仿宋" w:cs="仿宋"/>
                <w:color w:val="000000"/>
                <w:sz w:val="21"/>
                <w:szCs w:val="21"/>
              </w:rPr>
            </w:pPr>
            <w:bookmarkStart w:id="56" w:name="_Hlk144135887"/>
          </w:p>
        </w:tc>
        <w:tc>
          <w:tcPr>
            <w:tcW w:w="924" w:type="pct"/>
            <w:vMerge w:val="restart"/>
            <w:vAlign w:val="center"/>
          </w:tcPr>
          <w:p w14:paraId="67D0872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在线咨询</w:t>
            </w:r>
          </w:p>
        </w:tc>
        <w:tc>
          <w:tcPr>
            <w:tcW w:w="939" w:type="pct"/>
            <w:vMerge w:val="restart"/>
            <w:vAlign w:val="center"/>
          </w:tcPr>
          <w:p w14:paraId="22E7EE75">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患者端</w:t>
            </w:r>
          </w:p>
        </w:tc>
        <w:tc>
          <w:tcPr>
            <w:tcW w:w="1577" w:type="pct"/>
            <w:vAlign w:val="center"/>
          </w:tcPr>
          <w:p w14:paraId="0D0429C3">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扫码关注</w:t>
            </w:r>
          </w:p>
        </w:tc>
        <w:tc>
          <w:tcPr>
            <w:tcW w:w="810" w:type="pct"/>
          </w:tcPr>
          <w:p w14:paraId="3E2DAD6B">
            <w:pPr>
              <w:spacing w:line="240" w:lineRule="auto"/>
              <w:ind w:firstLine="480"/>
              <w:jc w:val="left"/>
              <w:rPr>
                <w:rFonts w:ascii="瀹嬩綋" w:hAnsi="瀹嬩綋" w:eastAsia="瀹嬩綋"/>
                <w:color w:val="000000"/>
                <w:sz w:val="21"/>
                <w:szCs w:val="21"/>
              </w:rPr>
            </w:pPr>
          </w:p>
        </w:tc>
      </w:tr>
      <w:tr w14:paraId="0C877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5B0E693">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E7EBFCC">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370F58CD">
            <w:pPr>
              <w:spacing w:line="240" w:lineRule="auto"/>
              <w:ind w:firstLine="480"/>
              <w:jc w:val="left"/>
              <w:rPr>
                <w:rFonts w:ascii="仿宋" w:hAnsi="仿宋" w:eastAsia="仿宋" w:cs="仿宋"/>
                <w:color w:val="000000"/>
                <w:sz w:val="21"/>
                <w:szCs w:val="21"/>
              </w:rPr>
            </w:pPr>
          </w:p>
        </w:tc>
        <w:tc>
          <w:tcPr>
            <w:tcW w:w="1577" w:type="pct"/>
            <w:vAlign w:val="center"/>
          </w:tcPr>
          <w:p w14:paraId="7551D1D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咨询首页</w:t>
            </w:r>
          </w:p>
        </w:tc>
        <w:tc>
          <w:tcPr>
            <w:tcW w:w="810" w:type="pct"/>
          </w:tcPr>
          <w:p w14:paraId="5D31B2DE">
            <w:pPr>
              <w:spacing w:line="240" w:lineRule="auto"/>
              <w:ind w:firstLine="480"/>
              <w:jc w:val="left"/>
              <w:rPr>
                <w:rFonts w:ascii="瀹嬩綋" w:hAnsi="瀹嬩綋" w:eastAsia="瀹嬩綋"/>
                <w:color w:val="000000"/>
                <w:sz w:val="21"/>
                <w:szCs w:val="21"/>
              </w:rPr>
            </w:pPr>
          </w:p>
        </w:tc>
      </w:tr>
      <w:tr w14:paraId="1B2D8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FE95BF6">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6812312">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12032892">
            <w:pPr>
              <w:spacing w:line="240" w:lineRule="auto"/>
              <w:ind w:firstLine="480"/>
              <w:jc w:val="left"/>
              <w:rPr>
                <w:rFonts w:ascii="仿宋" w:hAnsi="仿宋" w:eastAsia="仿宋" w:cs="仿宋"/>
                <w:color w:val="000000"/>
                <w:sz w:val="21"/>
                <w:szCs w:val="21"/>
              </w:rPr>
            </w:pPr>
          </w:p>
        </w:tc>
        <w:tc>
          <w:tcPr>
            <w:tcW w:w="1577" w:type="pct"/>
            <w:vAlign w:val="center"/>
          </w:tcPr>
          <w:p w14:paraId="51F245C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医生首页</w:t>
            </w:r>
          </w:p>
        </w:tc>
        <w:tc>
          <w:tcPr>
            <w:tcW w:w="810" w:type="pct"/>
          </w:tcPr>
          <w:p w14:paraId="147D56AB">
            <w:pPr>
              <w:spacing w:line="240" w:lineRule="auto"/>
              <w:ind w:firstLine="480"/>
              <w:jc w:val="left"/>
              <w:rPr>
                <w:rFonts w:ascii="瀹嬩綋" w:hAnsi="瀹嬩綋" w:eastAsia="瀹嬩綋"/>
                <w:color w:val="000000"/>
                <w:sz w:val="21"/>
                <w:szCs w:val="21"/>
              </w:rPr>
            </w:pPr>
          </w:p>
        </w:tc>
      </w:tr>
      <w:tr w14:paraId="33505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A234E91">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0BB88DA">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0883BA80">
            <w:pPr>
              <w:spacing w:line="240" w:lineRule="auto"/>
              <w:ind w:firstLine="480"/>
              <w:jc w:val="left"/>
              <w:rPr>
                <w:rFonts w:ascii="仿宋" w:hAnsi="仿宋" w:eastAsia="仿宋" w:cs="仿宋"/>
                <w:color w:val="000000"/>
                <w:sz w:val="21"/>
                <w:szCs w:val="21"/>
              </w:rPr>
            </w:pPr>
          </w:p>
        </w:tc>
        <w:tc>
          <w:tcPr>
            <w:tcW w:w="1577" w:type="pct"/>
            <w:vAlign w:val="center"/>
          </w:tcPr>
          <w:p w14:paraId="53064F9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预约挂号</w:t>
            </w:r>
          </w:p>
        </w:tc>
        <w:tc>
          <w:tcPr>
            <w:tcW w:w="810" w:type="pct"/>
          </w:tcPr>
          <w:p w14:paraId="635A3E17">
            <w:pPr>
              <w:spacing w:line="240" w:lineRule="auto"/>
              <w:ind w:firstLine="480"/>
              <w:jc w:val="left"/>
              <w:rPr>
                <w:rFonts w:ascii="瀹嬩綋" w:hAnsi="瀹嬩綋" w:eastAsia="瀹嬩綋"/>
                <w:color w:val="000000"/>
                <w:sz w:val="21"/>
                <w:szCs w:val="21"/>
              </w:rPr>
            </w:pPr>
          </w:p>
        </w:tc>
      </w:tr>
      <w:tr w14:paraId="01C5F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EB1720C">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677C136">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681B4A66">
            <w:pPr>
              <w:spacing w:line="240" w:lineRule="auto"/>
              <w:ind w:firstLine="480"/>
              <w:jc w:val="left"/>
              <w:rPr>
                <w:rFonts w:ascii="仿宋" w:hAnsi="仿宋" w:eastAsia="仿宋" w:cs="仿宋"/>
                <w:color w:val="000000"/>
                <w:sz w:val="21"/>
                <w:szCs w:val="21"/>
              </w:rPr>
            </w:pPr>
          </w:p>
        </w:tc>
        <w:tc>
          <w:tcPr>
            <w:tcW w:w="1577" w:type="pct"/>
            <w:vAlign w:val="center"/>
          </w:tcPr>
          <w:p w14:paraId="35EB452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图文咨询</w:t>
            </w:r>
          </w:p>
        </w:tc>
        <w:tc>
          <w:tcPr>
            <w:tcW w:w="810" w:type="pct"/>
          </w:tcPr>
          <w:p w14:paraId="697CF15C">
            <w:pPr>
              <w:spacing w:line="240" w:lineRule="auto"/>
              <w:ind w:firstLine="480"/>
              <w:jc w:val="left"/>
              <w:rPr>
                <w:rFonts w:ascii="瀹嬩綋" w:hAnsi="瀹嬩綋" w:eastAsia="瀹嬩綋"/>
                <w:color w:val="000000"/>
                <w:sz w:val="21"/>
                <w:szCs w:val="21"/>
              </w:rPr>
            </w:pPr>
          </w:p>
        </w:tc>
      </w:tr>
      <w:tr w14:paraId="4BE6C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7522CB8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C0E9C0A">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21DA9115">
            <w:pPr>
              <w:spacing w:line="240" w:lineRule="auto"/>
              <w:ind w:firstLine="480"/>
              <w:jc w:val="left"/>
              <w:rPr>
                <w:rFonts w:ascii="仿宋" w:hAnsi="仿宋" w:eastAsia="仿宋" w:cs="仿宋"/>
                <w:color w:val="000000"/>
                <w:sz w:val="21"/>
                <w:szCs w:val="21"/>
              </w:rPr>
            </w:pPr>
          </w:p>
        </w:tc>
        <w:tc>
          <w:tcPr>
            <w:tcW w:w="1577" w:type="pct"/>
            <w:vAlign w:val="center"/>
          </w:tcPr>
          <w:p w14:paraId="65EFC46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电话咨询</w:t>
            </w:r>
          </w:p>
        </w:tc>
        <w:tc>
          <w:tcPr>
            <w:tcW w:w="810" w:type="pct"/>
          </w:tcPr>
          <w:p w14:paraId="72C14278">
            <w:pPr>
              <w:spacing w:line="240" w:lineRule="auto"/>
              <w:ind w:firstLine="480"/>
              <w:jc w:val="left"/>
              <w:rPr>
                <w:rFonts w:ascii="瀹嬩綋" w:hAnsi="瀹嬩綋" w:eastAsia="瀹嬩綋"/>
                <w:color w:val="000000"/>
                <w:sz w:val="21"/>
                <w:szCs w:val="21"/>
              </w:rPr>
            </w:pPr>
          </w:p>
        </w:tc>
      </w:tr>
      <w:tr w14:paraId="2CEAA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34B0F97">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558E415">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1B70FA4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AI预问诊</w:t>
            </w:r>
          </w:p>
        </w:tc>
        <w:tc>
          <w:tcPr>
            <w:tcW w:w="1577" w:type="pct"/>
            <w:vAlign w:val="center"/>
          </w:tcPr>
          <w:p w14:paraId="04EBF3C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患者主诉</w:t>
            </w:r>
          </w:p>
        </w:tc>
        <w:tc>
          <w:tcPr>
            <w:tcW w:w="810" w:type="pct"/>
          </w:tcPr>
          <w:p w14:paraId="6F30AF04">
            <w:pPr>
              <w:spacing w:line="240" w:lineRule="auto"/>
              <w:ind w:firstLine="480"/>
              <w:jc w:val="left"/>
              <w:rPr>
                <w:rFonts w:ascii="瀹嬩綋" w:hAnsi="瀹嬩綋" w:eastAsia="瀹嬩綋"/>
                <w:color w:val="000000"/>
                <w:sz w:val="21"/>
                <w:szCs w:val="21"/>
              </w:rPr>
            </w:pPr>
          </w:p>
        </w:tc>
      </w:tr>
      <w:tr w14:paraId="58BD1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A74D668">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2393768">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31EF0072">
            <w:pPr>
              <w:spacing w:line="240" w:lineRule="auto"/>
              <w:ind w:firstLine="480"/>
              <w:jc w:val="left"/>
              <w:rPr>
                <w:rFonts w:ascii="仿宋" w:hAnsi="仿宋" w:eastAsia="仿宋" w:cs="仿宋"/>
                <w:color w:val="000000"/>
                <w:sz w:val="21"/>
                <w:szCs w:val="21"/>
              </w:rPr>
            </w:pPr>
          </w:p>
        </w:tc>
        <w:tc>
          <w:tcPr>
            <w:tcW w:w="1577" w:type="pct"/>
            <w:vAlign w:val="center"/>
          </w:tcPr>
          <w:p w14:paraId="3A53D22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AI智能化提问</w:t>
            </w:r>
          </w:p>
        </w:tc>
        <w:tc>
          <w:tcPr>
            <w:tcW w:w="810" w:type="pct"/>
          </w:tcPr>
          <w:p w14:paraId="02CB2BC5">
            <w:pPr>
              <w:spacing w:line="240" w:lineRule="auto"/>
              <w:ind w:firstLine="480"/>
              <w:jc w:val="left"/>
              <w:rPr>
                <w:rFonts w:ascii="瀹嬩綋" w:hAnsi="瀹嬩綋" w:eastAsia="瀹嬩綋"/>
                <w:color w:val="000000"/>
                <w:sz w:val="21"/>
                <w:szCs w:val="21"/>
              </w:rPr>
            </w:pPr>
          </w:p>
        </w:tc>
      </w:tr>
      <w:tr w14:paraId="445A4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2FAA6DB1">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6E58ABB">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2B6A0428">
            <w:pPr>
              <w:spacing w:line="240" w:lineRule="auto"/>
              <w:ind w:firstLine="480"/>
              <w:jc w:val="left"/>
              <w:rPr>
                <w:rFonts w:ascii="仿宋" w:hAnsi="仿宋" w:eastAsia="仿宋" w:cs="仿宋"/>
                <w:color w:val="000000"/>
                <w:sz w:val="21"/>
                <w:szCs w:val="21"/>
              </w:rPr>
            </w:pPr>
          </w:p>
        </w:tc>
        <w:tc>
          <w:tcPr>
            <w:tcW w:w="1577" w:type="pct"/>
            <w:vAlign w:val="center"/>
          </w:tcPr>
          <w:p w14:paraId="202FCF3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结构化病历文书生成</w:t>
            </w:r>
          </w:p>
        </w:tc>
        <w:tc>
          <w:tcPr>
            <w:tcW w:w="810" w:type="pct"/>
          </w:tcPr>
          <w:p w14:paraId="12D61E2E">
            <w:pPr>
              <w:spacing w:line="240" w:lineRule="auto"/>
              <w:ind w:firstLine="480"/>
              <w:jc w:val="left"/>
              <w:rPr>
                <w:rFonts w:ascii="瀹嬩綋" w:hAnsi="瀹嬩綋" w:eastAsia="瀹嬩綋"/>
                <w:color w:val="000000"/>
                <w:sz w:val="21"/>
                <w:szCs w:val="21"/>
              </w:rPr>
            </w:pPr>
          </w:p>
        </w:tc>
      </w:tr>
      <w:tr w14:paraId="314FE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5067DCB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9E5016B">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21813CF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医务端（医生、护士、药师）</w:t>
            </w:r>
          </w:p>
        </w:tc>
        <w:tc>
          <w:tcPr>
            <w:tcW w:w="1577" w:type="pct"/>
            <w:vAlign w:val="center"/>
          </w:tcPr>
          <w:p w14:paraId="45525C4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待办消息</w:t>
            </w:r>
          </w:p>
        </w:tc>
        <w:tc>
          <w:tcPr>
            <w:tcW w:w="810" w:type="pct"/>
          </w:tcPr>
          <w:p w14:paraId="25B9D152">
            <w:pPr>
              <w:spacing w:line="240" w:lineRule="auto"/>
              <w:ind w:firstLine="480"/>
              <w:jc w:val="left"/>
              <w:rPr>
                <w:rFonts w:ascii="瀹嬩綋" w:hAnsi="瀹嬩綋" w:eastAsia="瀹嬩綋"/>
                <w:color w:val="000000"/>
                <w:sz w:val="21"/>
                <w:szCs w:val="21"/>
              </w:rPr>
            </w:pPr>
          </w:p>
        </w:tc>
      </w:tr>
      <w:tr w14:paraId="16B32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D30C342">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803D569">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70E3B8B5">
            <w:pPr>
              <w:spacing w:line="240" w:lineRule="auto"/>
              <w:ind w:firstLine="480"/>
              <w:jc w:val="left"/>
              <w:rPr>
                <w:rFonts w:ascii="仿宋" w:hAnsi="仿宋" w:eastAsia="仿宋" w:cs="仿宋"/>
                <w:color w:val="000000"/>
                <w:sz w:val="21"/>
                <w:szCs w:val="21"/>
              </w:rPr>
            </w:pPr>
          </w:p>
        </w:tc>
        <w:tc>
          <w:tcPr>
            <w:tcW w:w="1577" w:type="pct"/>
            <w:vAlign w:val="center"/>
          </w:tcPr>
          <w:p w14:paraId="7443396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咨询回复</w:t>
            </w:r>
          </w:p>
        </w:tc>
        <w:tc>
          <w:tcPr>
            <w:tcW w:w="810" w:type="pct"/>
          </w:tcPr>
          <w:p w14:paraId="3966DACC">
            <w:pPr>
              <w:spacing w:line="240" w:lineRule="auto"/>
              <w:ind w:firstLine="480"/>
              <w:jc w:val="left"/>
              <w:rPr>
                <w:rFonts w:ascii="瀹嬩綋" w:hAnsi="瀹嬩綋" w:eastAsia="瀹嬩綋"/>
                <w:color w:val="000000"/>
                <w:sz w:val="21"/>
                <w:szCs w:val="21"/>
              </w:rPr>
            </w:pPr>
          </w:p>
        </w:tc>
      </w:tr>
      <w:tr w14:paraId="46C11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769FE80C">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12E208F">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083C6F5B">
            <w:pPr>
              <w:spacing w:line="240" w:lineRule="auto"/>
              <w:ind w:firstLine="480"/>
              <w:jc w:val="left"/>
              <w:rPr>
                <w:rFonts w:ascii="仿宋" w:hAnsi="仿宋" w:eastAsia="仿宋" w:cs="仿宋"/>
                <w:color w:val="000000"/>
                <w:sz w:val="21"/>
                <w:szCs w:val="21"/>
              </w:rPr>
            </w:pPr>
          </w:p>
        </w:tc>
        <w:tc>
          <w:tcPr>
            <w:tcW w:w="1577" w:type="pct"/>
            <w:vAlign w:val="center"/>
          </w:tcPr>
          <w:p w14:paraId="77D56235">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聊天会话应用</w:t>
            </w:r>
          </w:p>
        </w:tc>
        <w:tc>
          <w:tcPr>
            <w:tcW w:w="810" w:type="pct"/>
          </w:tcPr>
          <w:p w14:paraId="0CAC594B">
            <w:pPr>
              <w:spacing w:line="240" w:lineRule="auto"/>
              <w:ind w:firstLine="480"/>
              <w:jc w:val="left"/>
              <w:rPr>
                <w:rFonts w:ascii="瀹嬩綋" w:hAnsi="瀹嬩綋" w:eastAsia="瀹嬩綋"/>
                <w:color w:val="000000"/>
                <w:sz w:val="21"/>
                <w:szCs w:val="21"/>
              </w:rPr>
            </w:pPr>
          </w:p>
        </w:tc>
      </w:tr>
      <w:bookmarkEnd w:id="56"/>
      <w:tr w14:paraId="428E3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7930614">
            <w:pPr>
              <w:numPr>
                <w:ilvl w:val="0"/>
                <w:numId w:val="2"/>
              </w:numPr>
              <w:spacing w:line="240" w:lineRule="auto"/>
              <w:jc w:val="left"/>
              <w:rPr>
                <w:rFonts w:ascii="仿宋" w:hAnsi="仿宋" w:eastAsia="仿宋" w:cs="仿宋"/>
                <w:color w:val="000000"/>
                <w:sz w:val="21"/>
                <w:szCs w:val="21"/>
              </w:rPr>
            </w:pPr>
            <w:bookmarkStart w:id="57" w:name="_Hlk146270540"/>
          </w:p>
        </w:tc>
        <w:tc>
          <w:tcPr>
            <w:tcW w:w="924" w:type="pct"/>
            <w:vMerge w:val="restart"/>
            <w:vAlign w:val="center"/>
          </w:tcPr>
          <w:p w14:paraId="1E83A12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多人会诊</w:t>
            </w:r>
          </w:p>
        </w:tc>
        <w:tc>
          <w:tcPr>
            <w:tcW w:w="939" w:type="pct"/>
            <w:vAlign w:val="center"/>
          </w:tcPr>
          <w:p w14:paraId="5AE3AB3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会诊邀请</w:t>
            </w:r>
          </w:p>
        </w:tc>
        <w:tc>
          <w:tcPr>
            <w:tcW w:w="1577" w:type="pct"/>
            <w:vAlign w:val="center"/>
          </w:tcPr>
          <w:p w14:paraId="5C899CD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会诊邀请</w:t>
            </w:r>
          </w:p>
        </w:tc>
        <w:tc>
          <w:tcPr>
            <w:tcW w:w="810" w:type="pct"/>
          </w:tcPr>
          <w:p w14:paraId="01FC7B21">
            <w:pPr>
              <w:spacing w:line="240" w:lineRule="auto"/>
              <w:ind w:firstLine="480"/>
              <w:jc w:val="left"/>
              <w:rPr>
                <w:rFonts w:ascii="瀹嬩綋" w:hAnsi="瀹嬩綋" w:eastAsia="瀹嬩綋"/>
                <w:color w:val="000000"/>
                <w:sz w:val="21"/>
                <w:szCs w:val="21"/>
              </w:rPr>
            </w:pPr>
          </w:p>
        </w:tc>
      </w:tr>
      <w:tr w14:paraId="283C3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5B09B4A">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F3C59B2">
            <w:pPr>
              <w:spacing w:line="240" w:lineRule="auto"/>
              <w:ind w:firstLine="480"/>
              <w:jc w:val="left"/>
              <w:rPr>
                <w:rFonts w:ascii="仿宋" w:hAnsi="仿宋" w:eastAsia="仿宋" w:cs="仿宋"/>
                <w:color w:val="000000"/>
                <w:sz w:val="21"/>
                <w:szCs w:val="21"/>
              </w:rPr>
            </w:pPr>
          </w:p>
        </w:tc>
        <w:tc>
          <w:tcPr>
            <w:tcW w:w="939" w:type="pct"/>
            <w:vAlign w:val="center"/>
          </w:tcPr>
          <w:p w14:paraId="2B4A7C6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会诊会话</w:t>
            </w:r>
          </w:p>
        </w:tc>
        <w:tc>
          <w:tcPr>
            <w:tcW w:w="1577" w:type="pct"/>
            <w:vAlign w:val="center"/>
          </w:tcPr>
          <w:p w14:paraId="3B04842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会诊会话</w:t>
            </w:r>
          </w:p>
        </w:tc>
        <w:tc>
          <w:tcPr>
            <w:tcW w:w="810" w:type="pct"/>
          </w:tcPr>
          <w:p w14:paraId="1FD130D1">
            <w:pPr>
              <w:spacing w:line="240" w:lineRule="auto"/>
              <w:ind w:firstLine="480"/>
              <w:jc w:val="left"/>
              <w:rPr>
                <w:rFonts w:ascii="瀹嬩綋" w:hAnsi="瀹嬩綋" w:eastAsia="瀹嬩綋"/>
                <w:color w:val="000000"/>
                <w:sz w:val="21"/>
                <w:szCs w:val="21"/>
              </w:rPr>
            </w:pPr>
          </w:p>
        </w:tc>
      </w:tr>
      <w:tr w14:paraId="2E259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4615FA6">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E3223BC">
            <w:pPr>
              <w:spacing w:line="240" w:lineRule="auto"/>
              <w:ind w:firstLine="480"/>
              <w:jc w:val="left"/>
              <w:rPr>
                <w:rFonts w:ascii="仿宋" w:hAnsi="仿宋" w:eastAsia="仿宋" w:cs="仿宋"/>
                <w:color w:val="000000"/>
                <w:sz w:val="21"/>
                <w:szCs w:val="21"/>
              </w:rPr>
            </w:pPr>
          </w:p>
        </w:tc>
        <w:tc>
          <w:tcPr>
            <w:tcW w:w="939" w:type="pct"/>
            <w:vAlign w:val="center"/>
          </w:tcPr>
          <w:p w14:paraId="17D0802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会诊报告</w:t>
            </w:r>
          </w:p>
        </w:tc>
        <w:tc>
          <w:tcPr>
            <w:tcW w:w="1577" w:type="pct"/>
            <w:vAlign w:val="center"/>
          </w:tcPr>
          <w:p w14:paraId="09AEDB4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会诊报告</w:t>
            </w:r>
          </w:p>
        </w:tc>
        <w:tc>
          <w:tcPr>
            <w:tcW w:w="810" w:type="pct"/>
          </w:tcPr>
          <w:p w14:paraId="36FC0871">
            <w:pPr>
              <w:spacing w:line="240" w:lineRule="auto"/>
              <w:ind w:firstLine="480"/>
              <w:jc w:val="left"/>
              <w:rPr>
                <w:rFonts w:ascii="瀹嬩綋" w:hAnsi="瀹嬩綋" w:eastAsia="瀹嬩綋"/>
                <w:color w:val="000000"/>
                <w:sz w:val="21"/>
                <w:szCs w:val="21"/>
              </w:rPr>
            </w:pPr>
          </w:p>
        </w:tc>
      </w:tr>
      <w:bookmarkEnd w:id="57"/>
      <w:tr w14:paraId="32D47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B20940F">
            <w:pPr>
              <w:numPr>
                <w:ilvl w:val="0"/>
                <w:numId w:val="2"/>
              </w:numPr>
              <w:spacing w:line="240" w:lineRule="auto"/>
              <w:jc w:val="left"/>
              <w:rPr>
                <w:rFonts w:ascii="仿宋" w:hAnsi="仿宋" w:eastAsia="仿宋" w:cs="仿宋"/>
                <w:color w:val="000000"/>
                <w:sz w:val="21"/>
                <w:szCs w:val="21"/>
              </w:rPr>
            </w:pPr>
            <w:bookmarkStart w:id="58" w:name="_Hlk146271773"/>
          </w:p>
        </w:tc>
        <w:tc>
          <w:tcPr>
            <w:tcW w:w="924" w:type="pct"/>
            <w:vMerge w:val="restart"/>
            <w:vAlign w:val="center"/>
          </w:tcPr>
          <w:p w14:paraId="5D05BFB3">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远程评估</w:t>
            </w:r>
          </w:p>
        </w:tc>
        <w:tc>
          <w:tcPr>
            <w:tcW w:w="939" w:type="pct"/>
            <w:vMerge w:val="restart"/>
            <w:vAlign w:val="center"/>
          </w:tcPr>
          <w:p w14:paraId="0830A4C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远程评估</w:t>
            </w:r>
          </w:p>
        </w:tc>
        <w:tc>
          <w:tcPr>
            <w:tcW w:w="1577" w:type="pct"/>
            <w:vAlign w:val="center"/>
          </w:tcPr>
          <w:p w14:paraId="37BAF96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患者信息共享</w:t>
            </w:r>
          </w:p>
        </w:tc>
        <w:tc>
          <w:tcPr>
            <w:tcW w:w="810" w:type="pct"/>
          </w:tcPr>
          <w:p w14:paraId="4987ED94">
            <w:pPr>
              <w:spacing w:line="240" w:lineRule="auto"/>
              <w:ind w:firstLine="480"/>
              <w:jc w:val="left"/>
              <w:rPr>
                <w:rFonts w:ascii="瀹嬩綋" w:hAnsi="瀹嬩綋" w:eastAsia="瀹嬩綋"/>
                <w:color w:val="000000"/>
                <w:sz w:val="21"/>
                <w:szCs w:val="21"/>
              </w:rPr>
            </w:pPr>
          </w:p>
        </w:tc>
      </w:tr>
      <w:tr w14:paraId="5968E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DDBB571">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552A49C">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32E9B7B8">
            <w:pPr>
              <w:spacing w:line="240" w:lineRule="auto"/>
              <w:ind w:firstLine="480"/>
              <w:jc w:val="left"/>
              <w:rPr>
                <w:rFonts w:ascii="仿宋" w:hAnsi="仿宋" w:eastAsia="仿宋" w:cs="仿宋"/>
                <w:color w:val="000000"/>
                <w:sz w:val="21"/>
                <w:szCs w:val="21"/>
              </w:rPr>
            </w:pPr>
          </w:p>
        </w:tc>
        <w:tc>
          <w:tcPr>
            <w:tcW w:w="1577" w:type="pct"/>
            <w:vAlign w:val="center"/>
          </w:tcPr>
          <w:p w14:paraId="265FA4E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患者病历共享</w:t>
            </w:r>
          </w:p>
        </w:tc>
        <w:tc>
          <w:tcPr>
            <w:tcW w:w="810" w:type="pct"/>
          </w:tcPr>
          <w:p w14:paraId="22719EAC">
            <w:pPr>
              <w:spacing w:line="240" w:lineRule="auto"/>
              <w:ind w:firstLine="480"/>
              <w:jc w:val="left"/>
              <w:rPr>
                <w:rFonts w:ascii="瀹嬩綋" w:hAnsi="瀹嬩綋" w:eastAsia="瀹嬩綋"/>
                <w:color w:val="000000"/>
                <w:sz w:val="21"/>
                <w:szCs w:val="21"/>
              </w:rPr>
            </w:pPr>
          </w:p>
        </w:tc>
      </w:tr>
      <w:tr w14:paraId="367BE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1D2F9D2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0C50225">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4A5D1278">
            <w:pPr>
              <w:spacing w:line="240" w:lineRule="auto"/>
              <w:ind w:firstLine="480"/>
              <w:jc w:val="left"/>
              <w:rPr>
                <w:rFonts w:ascii="仿宋" w:hAnsi="仿宋" w:eastAsia="仿宋" w:cs="仿宋"/>
                <w:color w:val="000000"/>
                <w:sz w:val="21"/>
                <w:szCs w:val="21"/>
              </w:rPr>
            </w:pPr>
          </w:p>
        </w:tc>
        <w:tc>
          <w:tcPr>
            <w:tcW w:w="1577" w:type="pct"/>
            <w:vAlign w:val="center"/>
          </w:tcPr>
          <w:p w14:paraId="12C0C8C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评估意见</w:t>
            </w:r>
          </w:p>
        </w:tc>
        <w:tc>
          <w:tcPr>
            <w:tcW w:w="810" w:type="pct"/>
          </w:tcPr>
          <w:p w14:paraId="1B7B27B8">
            <w:pPr>
              <w:spacing w:line="240" w:lineRule="auto"/>
              <w:ind w:firstLine="480"/>
              <w:jc w:val="left"/>
              <w:rPr>
                <w:rFonts w:ascii="瀹嬩綋" w:hAnsi="瀹嬩綋" w:eastAsia="瀹嬩綋"/>
                <w:color w:val="000000"/>
                <w:sz w:val="21"/>
                <w:szCs w:val="21"/>
              </w:rPr>
            </w:pPr>
          </w:p>
        </w:tc>
      </w:tr>
      <w:bookmarkEnd w:id="58"/>
      <w:tr w14:paraId="4FF79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0DF8B84">
            <w:pPr>
              <w:numPr>
                <w:ilvl w:val="0"/>
                <w:numId w:val="2"/>
              </w:numPr>
              <w:spacing w:line="240" w:lineRule="auto"/>
              <w:jc w:val="left"/>
              <w:rPr>
                <w:rFonts w:ascii="仿宋" w:hAnsi="仿宋" w:eastAsia="仿宋" w:cs="仿宋"/>
                <w:color w:val="000000"/>
                <w:sz w:val="21"/>
                <w:szCs w:val="21"/>
              </w:rPr>
            </w:pPr>
            <w:bookmarkStart w:id="59" w:name="_Hlk146272552"/>
            <w:bookmarkStart w:id="60" w:name="_Hlk146272444"/>
          </w:p>
        </w:tc>
        <w:tc>
          <w:tcPr>
            <w:tcW w:w="924" w:type="pct"/>
            <w:vMerge w:val="restart"/>
            <w:vAlign w:val="center"/>
          </w:tcPr>
          <w:p w14:paraId="3D54D7D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名医讲堂</w:t>
            </w:r>
          </w:p>
        </w:tc>
        <w:tc>
          <w:tcPr>
            <w:tcW w:w="939" w:type="pct"/>
            <w:vMerge w:val="restart"/>
            <w:vAlign w:val="center"/>
          </w:tcPr>
          <w:p w14:paraId="0612D9F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患者端</w:t>
            </w:r>
          </w:p>
        </w:tc>
        <w:tc>
          <w:tcPr>
            <w:tcW w:w="1577" w:type="pct"/>
            <w:vAlign w:val="center"/>
          </w:tcPr>
          <w:p w14:paraId="14E5A215">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名医关注</w:t>
            </w:r>
          </w:p>
        </w:tc>
        <w:tc>
          <w:tcPr>
            <w:tcW w:w="810" w:type="pct"/>
          </w:tcPr>
          <w:p w14:paraId="444200DA">
            <w:pPr>
              <w:spacing w:line="240" w:lineRule="auto"/>
              <w:ind w:firstLine="480"/>
              <w:jc w:val="left"/>
              <w:rPr>
                <w:rFonts w:ascii="瀹嬩綋" w:hAnsi="瀹嬩綋" w:eastAsia="瀹嬩綋"/>
                <w:color w:val="000000"/>
                <w:sz w:val="21"/>
                <w:szCs w:val="21"/>
              </w:rPr>
            </w:pPr>
          </w:p>
        </w:tc>
      </w:tr>
      <w:tr w14:paraId="4B18A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8744E74">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BD88C5F">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773D4D1C">
            <w:pPr>
              <w:spacing w:line="240" w:lineRule="auto"/>
              <w:ind w:firstLine="480"/>
              <w:jc w:val="left"/>
              <w:rPr>
                <w:rFonts w:ascii="仿宋" w:hAnsi="仿宋" w:eastAsia="仿宋" w:cs="仿宋"/>
                <w:color w:val="000000"/>
                <w:sz w:val="21"/>
                <w:szCs w:val="21"/>
              </w:rPr>
            </w:pPr>
          </w:p>
        </w:tc>
        <w:tc>
          <w:tcPr>
            <w:tcW w:w="1577" w:type="pct"/>
            <w:vAlign w:val="center"/>
          </w:tcPr>
          <w:p w14:paraId="7D83CB1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课程查看</w:t>
            </w:r>
          </w:p>
        </w:tc>
        <w:tc>
          <w:tcPr>
            <w:tcW w:w="810" w:type="pct"/>
          </w:tcPr>
          <w:p w14:paraId="1C312AA6">
            <w:pPr>
              <w:spacing w:line="240" w:lineRule="auto"/>
              <w:ind w:firstLine="480"/>
              <w:jc w:val="left"/>
              <w:rPr>
                <w:rFonts w:ascii="瀹嬩綋" w:hAnsi="瀹嬩綋" w:eastAsia="瀹嬩綋"/>
                <w:color w:val="000000"/>
                <w:sz w:val="21"/>
                <w:szCs w:val="21"/>
              </w:rPr>
            </w:pPr>
          </w:p>
        </w:tc>
      </w:tr>
      <w:tr w14:paraId="77913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774EB46A">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E12761B">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388627A4">
            <w:pPr>
              <w:spacing w:line="240" w:lineRule="auto"/>
              <w:ind w:firstLine="480"/>
              <w:jc w:val="left"/>
              <w:rPr>
                <w:rFonts w:ascii="仿宋" w:hAnsi="仿宋" w:eastAsia="仿宋" w:cs="仿宋"/>
                <w:color w:val="000000"/>
                <w:sz w:val="21"/>
                <w:szCs w:val="21"/>
              </w:rPr>
            </w:pPr>
          </w:p>
        </w:tc>
        <w:tc>
          <w:tcPr>
            <w:tcW w:w="1577" w:type="pct"/>
            <w:vAlign w:val="center"/>
          </w:tcPr>
          <w:p w14:paraId="7FD137DB">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课程评价</w:t>
            </w:r>
          </w:p>
        </w:tc>
        <w:tc>
          <w:tcPr>
            <w:tcW w:w="810" w:type="pct"/>
          </w:tcPr>
          <w:p w14:paraId="0EDC2E7C">
            <w:pPr>
              <w:spacing w:line="240" w:lineRule="auto"/>
              <w:ind w:firstLine="480"/>
              <w:jc w:val="left"/>
              <w:rPr>
                <w:rFonts w:ascii="瀹嬩綋" w:hAnsi="瀹嬩綋" w:eastAsia="瀹嬩綋"/>
                <w:color w:val="000000"/>
                <w:sz w:val="21"/>
                <w:szCs w:val="21"/>
              </w:rPr>
            </w:pPr>
          </w:p>
        </w:tc>
      </w:tr>
      <w:bookmarkEnd w:id="59"/>
      <w:tr w14:paraId="33240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B8FE349">
            <w:pPr>
              <w:numPr>
                <w:ilvl w:val="0"/>
                <w:numId w:val="2"/>
              </w:numPr>
              <w:spacing w:line="240" w:lineRule="auto"/>
              <w:jc w:val="left"/>
              <w:rPr>
                <w:rFonts w:ascii="仿宋" w:hAnsi="仿宋" w:eastAsia="仿宋" w:cs="仿宋"/>
                <w:color w:val="000000"/>
                <w:sz w:val="21"/>
                <w:szCs w:val="21"/>
              </w:rPr>
            </w:pPr>
            <w:bookmarkStart w:id="61" w:name="_Hlk146273159"/>
          </w:p>
        </w:tc>
        <w:tc>
          <w:tcPr>
            <w:tcW w:w="924" w:type="pct"/>
            <w:vMerge w:val="continue"/>
            <w:vAlign w:val="center"/>
          </w:tcPr>
          <w:p w14:paraId="2287360A">
            <w:pPr>
              <w:spacing w:line="240" w:lineRule="auto"/>
              <w:ind w:firstLine="480"/>
              <w:jc w:val="left"/>
              <w:rPr>
                <w:rFonts w:ascii="仿宋" w:hAnsi="仿宋" w:eastAsia="仿宋" w:cs="仿宋"/>
                <w:color w:val="000000"/>
                <w:sz w:val="21"/>
                <w:szCs w:val="21"/>
              </w:rPr>
            </w:pPr>
          </w:p>
        </w:tc>
        <w:tc>
          <w:tcPr>
            <w:tcW w:w="939" w:type="pct"/>
            <w:vMerge w:val="restart"/>
            <w:vAlign w:val="center"/>
          </w:tcPr>
          <w:p w14:paraId="2B1961D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医院端</w:t>
            </w:r>
          </w:p>
        </w:tc>
        <w:tc>
          <w:tcPr>
            <w:tcW w:w="1577" w:type="pct"/>
            <w:vAlign w:val="center"/>
          </w:tcPr>
          <w:p w14:paraId="2E0B9E7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课程发布</w:t>
            </w:r>
          </w:p>
        </w:tc>
        <w:tc>
          <w:tcPr>
            <w:tcW w:w="810" w:type="pct"/>
          </w:tcPr>
          <w:p w14:paraId="1F90FD09">
            <w:pPr>
              <w:spacing w:line="240" w:lineRule="auto"/>
              <w:ind w:firstLine="480"/>
              <w:jc w:val="left"/>
              <w:rPr>
                <w:rFonts w:ascii="瀹嬩綋" w:hAnsi="瀹嬩綋" w:eastAsia="瀹嬩綋"/>
                <w:color w:val="000000"/>
                <w:sz w:val="21"/>
                <w:szCs w:val="21"/>
              </w:rPr>
            </w:pPr>
          </w:p>
        </w:tc>
      </w:tr>
      <w:bookmarkEnd w:id="60"/>
      <w:tr w14:paraId="52714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2A9645E8">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AB38DCC">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2E25C066">
            <w:pPr>
              <w:spacing w:line="240" w:lineRule="auto"/>
              <w:ind w:firstLine="480"/>
              <w:jc w:val="left"/>
              <w:rPr>
                <w:rFonts w:ascii="仿宋" w:hAnsi="仿宋" w:eastAsia="仿宋" w:cs="仿宋"/>
                <w:color w:val="000000"/>
                <w:sz w:val="21"/>
                <w:szCs w:val="21"/>
              </w:rPr>
            </w:pPr>
          </w:p>
        </w:tc>
        <w:tc>
          <w:tcPr>
            <w:tcW w:w="1577" w:type="pct"/>
            <w:vAlign w:val="center"/>
          </w:tcPr>
          <w:p w14:paraId="491ECFA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课程管理</w:t>
            </w:r>
          </w:p>
        </w:tc>
        <w:tc>
          <w:tcPr>
            <w:tcW w:w="810" w:type="pct"/>
          </w:tcPr>
          <w:p w14:paraId="65C62626">
            <w:pPr>
              <w:spacing w:line="240" w:lineRule="auto"/>
              <w:ind w:firstLine="480"/>
              <w:jc w:val="left"/>
              <w:rPr>
                <w:rFonts w:ascii="瀹嬩綋" w:hAnsi="瀹嬩綋" w:eastAsia="瀹嬩綋"/>
                <w:color w:val="000000"/>
                <w:sz w:val="21"/>
                <w:szCs w:val="21"/>
              </w:rPr>
            </w:pPr>
          </w:p>
        </w:tc>
      </w:tr>
      <w:bookmarkEnd w:id="61"/>
      <w:tr w14:paraId="0DEB1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5D52E8AF">
            <w:pPr>
              <w:numPr>
                <w:ilvl w:val="0"/>
                <w:numId w:val="2"/>
              </w:numPr>
              <w:spacing w:line="240" w:lineRule="auto"/>
              <w:jc w:val="left"/>
              <w:rPr>
                <w:rFonts w:ascii="仿宋" w:hAnsi="仿宋" w:eastAsia="仿宋" w:cs="仿宋"/>
                <w:color w:val="000000"/>
                <w:sz w:val="21"/>
                <w:szCs w:val="21"/>
              </w:rPr>
            </w:pPr>
            <w:bookmarkStart w:id="62" w:name="_Hlk146274553"/>
            <w:bookmarkStart w:id="63" w:name="_Hlk146273545"/>
          </w:p>
        </w:tc>
        <w:tc>
          <w:tcPr>
            <w:tcW w:w="924" w:type="pct"/>
            <w:vMerge w:val="restart"/>
            <w:vAlign w:val="center"/>
          </w:tcPr>
          <w:p w14:paraId="3D9DA13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随访管理</w:t>
            </w:r>
          </w:p>
        </w:tc>
        <w:tc>
          <w:tcPr>
            <w:tcW w:w="939" w:type="pct"/>
            <w:vMerge w:val="restart"/>
            <w:vAlign w:val="center"/>
          </w:tcPr>
          <w:p w14:paraId="5D62A6B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患者端</w:t>
            </w:r>
          </w:p>
        </w:tc>
        <w:tc>
          <w:tcPr>
            <w:tcW w:w="1577" w:type="pct"/>
            <w:vAlign w:val="center"/>
          </w:tcPr>
          <w:p w14:paraId="56C5F1D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随访计划加入</w:t>
            </w:r>
          </w:p>
        </w:tc>
        <w:tc>
          <w:tcPr>
            <w:tcW w:w="810" w:type="pct"/>
          </w:tcPr>
          <w:p w14:paraId="4340BA92">
            <w:pPr>
              <w:spacing w:line="240" w:lineRule="auto"/>
              <w:ind w:firstLine="480"/>
              <w:jc w:val="left"/>
              <w:rPr>
                <w:rFonts w:ascii="瀹嬩綋" w:hAnsi="瀹嬩綋" w:eastAsia="瀹嬩綋"/>
                <w:color w:val="000000"/>
                <w:sz w:val="21"/>
                <w:szCs w:val="21"/>
              </w:rPr>
            </w:pPr>
          </w:p>
        </w:tc>
      </w:tr>
      <w:tr w14:paraId="70D54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E7A4422">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8F6F432">
            <w:pPr>
              <w:spacing w:line="240" w:lineRule="auto"/>
              <w:jc w:val="left"/>
              <w:rPr>
                <w:rFonts w:ascii="仿宋" w:hAnsi="仿宋" w:eastAsia="仿宋" w:cs="仿宋"/>
                <w:color w:val="000000"/>
                <w:sz w:val="21"/>
                <w:szCs w:val="21"/>
              </w:rPr>
            </w:pPr>
          </w:p>
        </w:tc>
        <w:tc>
          <w:tcPr>
            <w:tcW w:w="939" w:type="pct"/>
            <w:vMerge w:val="continue"/>
            <w:vAlign w:val="center"/>
          </w:tcPr>
          <w:p w14:paraId="1E0C90A5">
            <w:pPr>
              <w:spacing w:line="240" w:lineRule="auto"/>
              <w:jc w:val="left"/>
              <w:rPr>
                <w:rFonts w:ascii="仿宋" w:hAnsi="仿宋" w:eastAsia="仿宋" w:cs="仿宋"/>
                <w:color w:val="000000"/>
                <w:sz w:val="21"/>
                <w:szCs w:val="21"/>
              </w:rPr>
            </w:pPr>
          </w:p>
        </w:tc>
        <w:tc>
          <w:tcPr>
            <w:tcW w:w="1577" w:type="pct"/>
            <w:vAlign w:val="center"/>
          </w:tcPr>
          <w:p w14:paraId="51CD4CD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随访计划退出</w:t>
            </w:r>
          </w:p>
        </w:tc>
        <w:tc>
          <w:tcPr>
            <w:tcW w:w="810" w:type="pct"/>
          </w:tcPr>
          <w:p w14:paraId="20CCE4DC">
            <w:pPr>
              <w:spacing w:line="240" w:lineRule="auto"/>
              <w:ind w:firstLine="480"/>
              <w:jc w:val="left"/>
              <w:rPr>
                <w:rFonts w:ascii="瀹嬩綋" w:hAnsi="瀹嬩綋" w:eastAsia="瀹嬩綋"/>
                <w:color w:val="000000"/>
                <w:sz w:val="21"/>
                <w:szCs w:val="21"/>
              </w:rPr>
            </w:pPr>
          </w:p>
        </w:tc>
      </w:tr>
      <w:tr w14:paraId="7032B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2527C91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672AF10">
            <w:pPr>
              <w:spacing w:line="240" w:lineRule="auto"/>
              <w:jc w:val="left"/>
              <w:rPr>
                <w:rFonts w:ascii="仿宋" w:hAnsi="仿宋" w:eastAsia="仿宋" w:cs="仿宋"/>
                <w:color w:val="000000"/>
                <w:sz w:val="21"/>
                <w:szCs w:val="21"/>
              </w:rPr>
            </w:pPr>
          </w:p>
        </w:tc>
        <w:tc>
          <w:tcPr>
            <w:tcW w:w="939" w:type="pct"/>
            <w:vMerge w:val="continue"/>
            <w:vAlign w:val="center"/>
          </w:tcPr>
          <w:p w14:paraId="3A6ECCF2">
            <w:pPr>
              <w:spacing w:line="240" w:lineRule="auto"/>
              <w:jc w:val="left"/>
              <w:rPr>
                <w:rFonts w:ascii="仿宋" w:hAnsi="仿宋" w:eastAsia="仿宋" w:cs="仿宋"/>
                <w:color w:val="000000"/>
                <w:sz w:val="21"/>
                <w:szCs w:val="21"/>
              </w:rPr>
            </w:pPr>
          </w:p>
        </w:tc>
        <w:tc>
          <w:tcPr>
            <w:tcW w:w="1577" w:type="pct"/>
            <w:vAlign w:val="center"/>
          </w:tcPr>
          <w:p w14:paraId="00943E8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查看随访计划</w:t>
            </w:r>
          </w:p>
        </w:tc>
        <w:tc>
          <w:tcPr>
            <w:tcW w:w="810" w:type="pct"/>
          </w:tcPr>
          <w:p w14:paraId="7B071B26">
            <w:pPr>
              <w:spacing w:line="240" w:lineRule="auto"/>
              <w:ind w:firstLine="480"/>
              <w:jc w:val="left"/>
              <w:rPr>
                <w:rFonts w:ascii="瀹嬩綋" w:hAnsi="瀹嬩綋" w:eastAsia="瀹嬩綋"/>
                <w:color w:val="000000"/>
                <w:sz w:val="21"/>
                <w:szCs w:val="21"/>
              </w:rPr>
            </w:pPr>
          </w:p>
        </w:tc>
      </w:tr>
      <w:tr w14:paraId="7BA0C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7BB93A8C">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FF2AE48">
            <w:pPr>
              <w:spacing w:line="240" w:lineRule="auto"/>
              <w:jc w:val="left"/>
              <w:rPr>
                <w:rFonts w:ascii="仿宋" w:hAnsi="仿宋" w:eastAsia="仿宋" w:cs="仿宋"/>
                <w:color w:val="000000"/>
                <w:sz w:val="21"/>
                <w:szCs w:val="21"/>
              </w:rPr>
            </w:pPr>
          </w:p>
        </w:tc>
        <w:tc>
          <w:tcPr>
            <w:tcW w:w="939" w:type="pct"/>
            <w:vMerge w:val="continue"/>
            <w:vAlign w:val="center"/>
          </w:tcPr>
          <w:p w14:paraId="3A157A10">
            <w:pPr>
              <w:spacing w:line="240" w:lineRule="auto"/>
              <w:jc w:val="left"/>
              <w:rPr>
                <w:rFonts w:ascii="仿宋" w:hAnsi="仿宋" w:eastAsia="仿宋" w:cs="仿宋"/>
                <w:color w:val="000000"/>
                <w:sz w:val="21"/>
                <w:szCs w:val="21"/>
              </w:rPr>
            </w:pPr>
          </w:p>
        </w:tc>
        <w:tc>
          <w:tcPr>
            <w:tcW w:w="1577" w:type="pct"/>
            <w:vAlign w:val="center"/>
          </w:tcPr>
          <w:p w14:paraId="0ECBE2A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患者日程</w:t>
            </w:r>
          </w:p>
        </w:tc>
        <w:tc>
          <w:tcPr>
            <w:tcW w:w="810" w:type="pct"/>
          </w:tcPr>
          <w:p w14:paraId="296E6BCA">
            <w:pPr>
              <w:spacing w:line="240" w:lineRule="auto"/>
              <w:ind w:firstLine="480"/>
              <w:jc w:val="left"/>
              <w:rPr>
                <w:rFonts w:ascii="瀹嬩綋" w:hAnsi="瀹嬩綋" w:eastAsia="瀹嬩綋"/>
                <w:color w:val="000000"/>
                <w:sz w:val="21"/>
                <w:szCs w:val="21"/>
              </w:rPr>
            </w:pPr>
          </w:p>
        </w:tc>
      </w:tr>
      <w:tr w14:paraId="2DBC0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4121E11">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DC36B65">
            <w:pPr>
              <w:spacing w:line="240" w:lineRule="auto"/>
              <w:jc w:val="left"/>
              <w:rPr>
                <w:rFonts w:ascii="仿宋" w:hAnsi="仿宋" w:eastAsia="仿宋" w:cs="仿宋"/>
                <w:color w:val="000000"/>
                <w:sz w:val="21"/>
                <w:szCs w:val="21"/>
              </w:rPr>
            </w:pPr>
          </w:p>
        </w:tc>
        <w:tc>
          <w:tcPr>
            <w:tcW w:w="939" w:type="pct"/>
            <w:vMerge w:val="continue"/>
            <w:vAlign w:val="center"/>
          </w:tcPr>
          <w:p w14:paraId="3695C3DA">
            <w:pPr>
              <w:spacing w:line="240" w:lineRule="auto"/>
              <w:jc w:val="left"/>
              <w:rPr>
                <w:rFonts w:ascii="仿宋" w:hAnsi="仿宋" w:eastAsia="仿宋" w:cs="仿宋"/>
                <w:color w:val="000000"/>
                <w:sz w:val="21"/>
                <w:szCs w:val="21"/>
              </w:rPr>
            </w:pPr>
          </w:p>
        </w:tc>
        <w:tc>
          <w:tcPr>
            <w:tcW w:w="1577" w:type="pct"/>
            <w:vAlign w:val="center"/>
          </w:tcPr>
          <w:p w14:paraId="0758B29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随访消息</w:t>
            </w:r>
          </w:p>
        </w:tc>
        <w:tc>
          <w:tcPr>
            <w:tcW w:w="810" w:type="pct"/>
          </w:tcPr>
          <w:p w14:paraId="6162B5F0">
            <w:pPr>
              <w:spacing w:line="240" w:lineRule="auto"/>
              <w:ind w:firstLine="480"/>
              <w:jc w:val="left"/>
              <w:rPr>
                <w:rFonts w:ascii="瀹嬩綋" w:hAnsi="瀹嬩綋" w:eastAsia="瀹嬩綋"/>
                <w:color w:val="000000"/>
                <w:sz w:val="21"/>
                <w:szCs w:val="21"/>
              </w:rPr>
            </w:pPr>
          </w:p>
        </w:tc>
      </w:tr>
      <w:bookmarkEnd w:id="62"/>
      <w:tr w14:paraId="255D7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19B1B5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74A6E4E">
            <w:pPr>
              <w:spacing w:line="240" w:lineRule="auto"/>
              <w:jc w:val="left"/>
              <w:rPr>
                <w:rFonts w:ascii="仿宋" w:hAnsi="仿宋" w:eastAsia="仿宋" w:cs="仿宋"/>
                <w:color w:val="000000"/>
                <w:sz w:val="21"/>
                <w:szCs w:val="21"/>
              </w:rPr>
            </w:pPr>
          </w:p>
        </w:tc>
        <w:tc>
          <w:tcPr>
            <w:tcW w:w="939" w:type="pct"/>
            <w:vMerge w:val="restart"/>
            <w:vAlign w:val="center"/>
          </w:tcPr>
          <w:p w14:paraId="39DFD503">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医生端</w:t>
            </w:r>
          </w:p>
        </w:tc>
        <w:tc>
          <w:tcPr>
            <w:tcW w:w="1577" w:type="pct"/>
            <w:vAlign w:val="center"/>
          </w:tcPr>
          <w:p w14:paraId="24DBC49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随访计划管理</w:t>
            </w:r>
          </w:p>
        </w:tc>
        <w:tc>
          <w:tcPr>
            <w:tcW w:w="810" w:type="pct"/>
          </w:tcPr>
          <w:p w14:paraId="00FDA1A7">
            <w:pPr>
              <w:spacing w:line="240" w:lineRule="auto"/>
              <w:ind w:firstLine="480"/>
              <w:jc w:val="left"/>
              <w:rPr>
                <w:rFonts w:ascii="瀹嬩綋" w:hAnsi="瀹嬩綋" w:eastAsia="瀹嬩綋"/>
                <w:color w:val="000000"/>
                <w:sz w:val="21"/>
                <w:szCs w:val="21"/>
              </w:rPr>
            </w:pPr>
          </w:p>
        </w:tc>
      </w:tr>
      <w:bookmarkEnd w:id="63"/>
      <w:tr w14:paraId="694B1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18FD3806">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FC01DA8">
            <w:pPr>
              <w:spacing w:line="240" w:lineRule="auto"/>
              <w:jc w:val="left"/>
              <w:rPr>
                <w:rFonts w:ascii="仿宋" w:hAnsi="仿宋" w:eastAsia="仿宋" w:cs="仿宋"/>
                <w:color w:val="000000"/>
                <w:sz w:val="21"/>
                <w:szCs w:val="21"/>
              </w:rPr>
            </w:pPr>
          </w:p>
        </w:tc>
        <w:tc>
          <w:tcPr>
            <w:tcW w:w="939" w:type="pct"/>
            <w:vMerge w:val="continue"/>
            <w:vAlign w:val="center"/>
          </w:tcPr>
          <w:p w14:paraId="20BCBD23">
            <w:pPr>
              <w:spacing w:line="240" w:lineRule="auto"/>
              <w:jc w:val="left"/>
              <w:rPr>
                <w:rFonts w:ascii="仿宋" w:hAnsi="仿宋" w:eastAsia="仿宋" w:cs="仿宋"/>
                <w:color w:val="000000"/>
                <w:sz w:val="21"/>
                <w:szCs w:val="21"/>
              </w:rPr>
            </w:pPr>
          </w:p>
        </w:tc>
        <w:tc>
          <w:tcPr>
            <w:tcW w:w="1577" w:type="pct"/>
            <w:vAlign w:val="center"/>
          </w:tcPr>
          <w:p w14:paraId="2C71B78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邀请患者</w:t>
            </w:r>
          </w:p>
        </w:tc>
        <w:tc>
          <w:tcPr>
            <w:tcW w:w="810" w:type="pct"/>
          </w:tcPr>
          <w:p w14:paraId="20715D13">
            <w:pPr>
              <w:spacing w:line="240" w:lineRule="auto"/>
              <w:ind w:firstLine="480"/>
              <w:jc w:val="left"/>
              <w:rPr>
                <w:rFonts w:ascii="瀹嬩綋" w:hAnsi="瀹嬩綋" w:eastAsia="瀹嬩綋"/>
                <w:color w:val="000000"/>
                <w:sz w:val="21"/>
                <w:szCs w:val="21"/>
              </w:rPr>
            </w:pPr>
          </w:p>
        </w:tc>
      </w:tr>
      <w:tr w14:paraId="4A732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568E08D8">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730162A">
            <w:pPr>
              <w:spacing w:line="240" w:lineRule="auto"/>
              <w:jc w:val="left"/>
              <w:rPr>
                <w:rFonts w:ascii="仿宋" w:hAnsi="仿宋" w:eastAsia="仿宋" w:cs="仿宋"/>
                <w:color w:val="000000"/>
                <w:sz w:val="21"/>
                <w:szCs w:val="21"/>
              </w:rPr>
            </w:pPr>
          </w:p>
        </w:tc>
        <w:tc>
          <w:tcPr>
            <w:tcW w:w="939" w:type="pct"/>
            <w:vMerge w:val="continue"/>
            <w:vAlign w:val="center"/>
          </w:tcPr>
          <w:p w14:paraId="04F21AD6">
            <w:pPr>
              <w:spacing w:line="240" w:lineRule="auto"/>
              <w:jc w:val="left"/>
              <w:rPr>
                <w:rFonts w:ascii="仿宋" w:hAnsi="仿宋" w:eastAsia="仿宋" w:cs="仿宋"/>
                <w:color w:val="000000"/>
                <w:sz w:val="21"/>
                <w:szCs w:val="21"/>
              </w:rPr>
            </w:pPr>
          </w:p>
        </w:tc>
        <w:tc>
          <w:tcPr>
            <w:tcW w:w="1577" w:type="pct"/>
            <w:vAlign w:val="center"/>
          </w:tcPr>
          <w:p w14:paraId="34433BB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患者随访日程</w:t>
            </w:r>
          </w:p>
        </w:tc>
        <w:tc>
          <w:tcPr>
            <w:tcW w:w="810" w:type="pct"/>
          </w:tcPr>
          <w:p w14:paraId="579E21DC">
            <w:pPr>
              <w:spacing w:line="240" w:lineRule="auto"/>
              <w:ind w:firstLine="480"/>
              <w:jc w:val="left"/>
              <w:rPr>
                <w:rFonts w:ascii="瀹嬩綋" w:hAnsi="瀹嬩綋" w:eastAsia="瀹嬩綋"/>
                <w:color w:val="000000"/>
                <w:sz w:val="21"/>
                <w:szCs w:val="21"/>
              </w:rPr>
            </w:pPr>
          </w:p>
        </w:tc>
      </w:tr>
      <w:tr w14:paraId="6A36E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2A8D40A5">
            <w:pPr>
              <w:numPr>
                <w:ilvl w:val="0"/>
                <w:numId w:val="2"/>
              </w:numPr>
              <w:spacing w:line="240" w:lineRule="auto"/>
              <w:jc w:val="left"/>
              <w:rPr>
                <w:rFonts w:ascii="仿宋" w:hAnsi="仿宋" w:eastAsia="仿宋" w:cs="仿宋"/>
                <w:color w:val="000000"/>
                <w:sz w:val="21"/>
                <w:szCs w:val="21"/>
              </w:rPr>
            </w:pPr>
            <w:bookmarkStart w:id="64" w:name="_Hlk146275253"/>
          </w:p>
        </w:tc>
        <w:tc>
          <w:tcPr>
            <w:tcW w:w="924" w:type="pct"/>
            <w:vMerge w:val="restart"/>
            <w:vAlign w:val="center"/>
          </w:tcPr>
          <w:p w14:paraId="15A62C13">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个人中心</w:t>
            </w:r>
          </w:p>
        </w:tc>
        <w:tc>
          <w:tcPr>
            <w:tcW w:w="939" w:type="pct"/>
            <w:vMerge w:val="restart"/>
            <w:vAlign w:val="center"/>
          </w:tcPr>
          <w:p w14:paraId="51E8B8E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患者健康中心</w:t>
            </w:r>
          </w:p>
        </w:tc>
        <w:tc>
          <w:tcPr>
            <w:tcW w:w="1577" w:type="pct"/>
            <w:vAlign w:val="center"/>
          </w:tcPr>
          <w:p w14:paraId="3B90564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健康信息</w:t>
            </w:r>
          </w:p>
        </w:tc>
        <w:tc>
          <w:tcPr>
            <w:tcW w:w="810" w:type="pct"/>
          </w:tcPr>
          <w:p w14:paraId="7E7EFD15">
            <w:pPr>
              <w:spacing w:line="240" w:lineRule="auto"/>
              <w:ind w:firstLine="480"/>
              <w:jc w:val="left"/>
              <w:rPr>
                <w:rFonts w:ascii="瀹嬩綋" w:hAnsi="瀹嬩綋" w:eastAsia="瀹嬩綋"/>
                <w:color w:val="000000"/>
                <w:sz w:val="21"/>
                <w:szCs w:val="21"/>
              </w:rPr>
            </w:pPr>
          </w:p>
        </w:tc>
      </w:tr>
      <w:tr w14:paraId="02D0B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FD97BB2">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24AC37D">
            <w:pPr>
              <w:spacing w:line="240" w:lineRule="auto"/>
              <w:jc w:val="left"/>
              <w:rPr>
                <w:rFonts w:ascii="仿宋" w:hAnsi="仿宋" w:eastAsia="仿宋" w:cs="仿宋"/>
                <w:color w:val="000000"/>
                <w:sz w:val="21"/>
                <w:szCs w:val="21"/>
              </w:rPr>
            </w:pPr>
          </w:p>
        </w:tc>
        <w:tc>
          <w:tcPr>
            <w:tcW w:w="939" w:type="pct"/>
            <w:vMerge w:val="continue"/>
            <w:vAlign w:val="center"/>
          </w:tcPr>
          <w:p w14:paraId="11F9047D">
            <w:pPr>
              <w:spacing w:line="240" w:lineRule="auto"/>
              <w:jc w:val="left"/>
              <w:rPr>
                <w:rFonts w:ascii="仿宋" w:hAnsi="仿宋" w:eastAsia="仿宋" w:cs="仿宋"/>
                <w:color w:val="000000"/>
                <w:sz w:val="21"/>
                <w:szCs w:val="21"/>
              </w:rPr>
            </w:pPr>
          </w:p>
        </w:tc>
        <w:tc>
          <w:tcPr>
            <w:tcW w:w="1577" w:type="pct"/>
            <w:vAlign w:val="center"/>
          </w:tcPr>
          <w:p w14:paraId="0221545B">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在线医嘱</w:t>
            </w:r>
          </w:p>
        </w:tc>
        <w:tc>
          <w:tcPr>
            <w:tcW w:w="810" w:type="pct"/>
          </w:tcPr>
          <w:p w14:paraId="7D3D77B3">
            <w:pPr>
              <w:spacing w:line="240" w:lineRule="auto"/>
              <w:ind w:firstLine="480"/>
              <w:jc w:val="left"/>
              <w:rPr>
                <w:rFonts w:ascii="瀹嬩綋" w:hAnsi="瀹嬩綋" w:eastAsia="瀹嬩綋"/>
                <w:color w:val="000000"/>
                <w:sz w:val="21"/>
                <w:szCs w:val="21"/>
              </w:rPr>
            </w:pPr>
          </w:p>
        </w:tc>
      </w:tr>
      <w:tr w14:paraId="6BFD1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1D261CCB">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387FD77">
            <w:pPr>
              <w:spacing w:line="240" w:lineRule="auto"/>
              <w:jc w:val="left"/>
              <w:rPr>
                <w:rFonts w:ascii="仿宋" w:hAnsi="仿宋" w:eastAsia="仿宋" w:cs="仿宋"/>
                <w:color w:val="000000"/>
                <w:sz w:val="21"/>
                <w:szCs w:val="21"/>
              </w:rPr>
            </w:pPr>
          </w:p>
        </w:tc>
        <w:tc>
          <w:tcPr>
            <w:tcW w:w="939" w:type="pct"/>
            <w:vMerge w:val="continue"/>
            <w:vAlign w:val="center"/>
          </w:tcPr>
          <w:p w14:paraId="53A80176">
            <w:pPr>
              <w:spacing w:line="240" w:lineRule="auto"/>
              <w:jc w:val="left"/>
              <w:rPr>
                <w:rFonts w:ascii="仿宋" w:hAnsi="仿宋" w:eastAsia="仿宋" w:cs="仿宋"/>
                <w:color w:val="000000"/>
                <w:sz w:val="21"/>
                <w:szCs w:val="21"/>
              </w:rPr>
            </w:pPr>
          </w:p>
        </w:tc>
        <w:tc>
          <w:tcPr>
            <w:tcW w:w="1577" w:type="pct"/>
            <w:vAlign w:val="center"/>
          </w:tcPr>
          <w:p w14:paraId="668894D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检验检查</w:t>
            </w:r>
          </w:p>
        </w:tc>
        <w:tc>
          <w:tcPr>
            <w:tcW w:w="810" w:type="pct"/>
          </w:tcPr>
          <w:p w14:paraId="32228C80">
            <w:pPr>
              <w:spacing w:line="240" w:lineRule="auto"/>
              <w:ind w:firstLine="480"/>
              <w:jc w:val="left"/>
              <w:rPr>
                <w:rFonts w:ascii="瀹嬩綋" w:hAnsi="瀹嬩綋" w:eastAsia="瀹嬩綋"/>
                <w:color w:val="000000"/>
                <w:sz w:val="21"/>
                <w:szCs w:val="21"/>
              </w:rPr>
            </w:pPr>
          </w:p>
        </w:tc>
      </w:tr>
      <w:tr w14:paraId="76002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D301A9B">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FE762B5">
            <w:pPr>
              <w:spacing w:line="240" w:lineRule="auto"/>
              <w:jc w:val="left"/>
              <w:rPr>
                <w:rFonts w:ascii="仿宋" w:hAnsi="仿宋" w:eastAsia="仿宋" w:cs="仿宋"/>
                <w:color w:val="000000"/>
                <w:sz w:val="21"/>
                <w:szCs w:val="21"/>
              </w:rPr>
            </w:pPr>
          </w:p>
        </w:tc>
        <w:tc>
          <w:tcPr>
            <w:tcW w:w="939" w:type="pct"/>
            <w:vMerge w:val="continue"/>
            <w:vAlign w:val="center"/>
          </w:tcPr>
          <w:p w14:paraId="4F96F1F5">
            <w:pPr>
              <w:spacing w:line="240" w:lineRule="auto"/>
              <w:jc w:val="left"/>
              <w:rPr>
                <w:rFonts w:ascii="仿宋" w:hAnsi="仿宋" w:eastAsia="仿宋" w:cs="仿宋"/>
                <w:color w:val="000000"/>
                <w:sz w:val="21"/>
                <w:szCs w:val="21"/>
              </w:rPr>
            </w:pPr>
          </w:p>
        </w:tc>
        <w:tc>
          <w:tcPr>
            <w:tcW w:w="1577" w:type="pct"/>
            <w:vAlign w:val="center"/>
          </w:tcPr>
          <w:p w14:paraId="56E5A967">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个人设置</w:t>
            </w:r>
          </w:p>
        </w:tc>
        <w:tc>
          <w:tcPr>
            <w:tcW w:w="810" w:type="pct"/>
          </w:tcPr>
          <w:p w14:paraId="6FC415C1">
            <w:pPr>
              <w:spacing w:line="240" w:lineRule="auto"/>
              <w:ind w:firstLine="480"/>
              <w:jc w:val="left"/>
              <w:rPr>
                <w:rFonts w:ascii="瀹嬩綋" w:hAnsi="瀹嬩綋" w:eastAsia="瀹嬩綋"/>
                <w:color w:val="000000"/>
                <w:sz w:val="21"/>
                <w:szCs w:val="21"/>
              </w:rPr>
            </w:pPr>
          </w:p>
        </w:tc>
      </w:tr>
      <w:tr w14:paraId="0ED1B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C6AA021">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503AB7C">
            <w:pPr>
              <w:spacing w:line="240" w:lineRule="auto"/>
              <w:jc w:val="left"/>
              <w:rPr>
                <w:rFonts w:ascii="仿宋" w:hAnsi="仿宋" w:eastAsia="仿宋" w:cs="仿宋"/>
                <w:color w:val="000000"/>
                <w:sz w:val="21"/>
                <w:szCs w:val="21"/>
              </w:rPr>
            </w:pPr>
          </w:p>
        </w:tc>
        <w:tc>
          <w:tcPr>
            <w:tcW w:w="939" w:type="pct"/>
            <w:vMerge w:val="continue"/>
            <w:vAlign w:val="center"/>
          </w:tcPr>
          <w:p w14:paraId="082AC21E">
            <w:pPr>
              <w:spacing w:line="240" w:lineRule="auto"/>
              <w:jc w:val="left"/>
              <w:rPr>
                <w:rFonts w:ascii="仿宋" w:hAnsi="仿宋" w:eastAsia="仿宋" w:cs="仿宋"/>
                <w:color w:val="000000"/>
                <w:sz w:val="21"/>
                <w:szCs w:val="21"/>
              </w:rPr>
            </w:pPr>
          </w:p>
        </w:tc>
        <w:tc>
          <w:tcPr>
            <w:tcW w:w="1577" w:type="pct"/>
            <w:vAlign w:val="center"/>
          </w:tcPr>
          <w:p w14:paraId="245AF59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我的咨询</w:t>
            </w:r>
          </w:p>
        </w:tc>
        <w:tc>
          <w:tcPr>
            <w:tcW w:w="810" w:type="pct"/>
          </w:tcPr>
          <w:p w14:paraId="71FE8BB4">
            <w:pPr>
              <w:spacing w:line="240" w:lineRule="auto"/>
              <w:ind w:firstLine="480"/>
              <w:jc w:val="left"/>
              <w:rPr>
                <w:rFonts w:ascii="瀹嬩綋" w:hAnsi="瀹嬩綋" w:eastAsia="瀹嬩綋"/>
                <w:color w:val="000000"/>
                <w:sz w:val="21"/>
                <w:szCs w:val="21"/>
              </w:rPr>
            </w:pPr>
          </w:p>
        </w:tc>
      </w:tr>
      <w:tr w14:paraId="6F0B1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2E170842">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1575198">
            <w:pPr>
              <w:spacing w:line="240" w:lineRule="auto"/>
              <w:jc w:val="left"/>
              <w:rPr>
                <w:rFonts w:ascii="仿宋" w:hAnsi="仿宋" w:eastAsia="仿宋" w:cs="仿宋"/>
                <w:color w:val="000000"/>
                <w:sz w:val="21"/>
                <w:szCs w:val="21"/>
              </w:rPr>
            </w:pPr>
          </w:p>
        </w:tc>
        <w:tc>
          <w:tcPr>
            <w:tcW w:w="939" w:type="pct"/>
            <w:vMerge w:val="continue"/>
            <w:vAlign w:val="center"/>
          </w:tcPr>
          <w:p w14:paraId="41C9E8FE">
            <w:pPr>
              <w:spacing w:line="240" w:lineRule="auto"/>
              <w:jc w:val="left"/>
              <w:rPr>
                <w:rFonts w:ascii="仿宋" w:hAnsi="仿宋" w:eastAsia="仿宋" w:cs="仿宋"/>
                <w:color w:val="000000"/>
                <w:sz w:val="21"/>
                <w:szCs w:val="21"/>
              </w:rPr>
            </w:pPr>
          </w:p>
        </w:tc>
        <w:tc>
          <w:tcPr>
            <w:tcW w:w="1577" w:type="pct"/>
            <w:vAlign w:val="center"/>
          </w:tcPr>
          <w:p w14:paraId="1B3CEF0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商品订单</w:t>
            </w:r>
          </w:p>
        </w:tc>
        <w:tc>
          <w:tcPr>
            <w:tcW w:w="810" w:type="pct"/>
          </w:tcPr>
          <w:p w14:paraId="2919A3D2">
            <w:pPr>
              <w:spacing w:line="240" w:lineRule="auto"/>
              <w:ind w:firstLine="480"/>
              <w:jc w:val="left"/>
              <w:rPr>
                <w:rFonts w:ascii="瀹嬩綋" w:hAnsi="瀹嬩綋" w:eastAsia="瀹嬩綋"/>
                <w:color w:val="000000"/>
                <w:sz w:val="21"/>
                <w:szCs w:val="21"/>
              </w:rPr>
            </w:pPr>
          </w:p>
        </w:tc>
      </w:tr>
      <w:tr w14:paraId="3E7F1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F27C238">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A62CE2F">
            <w:pPr>
              <w:spacing w:line="240" w:lineRule="auto"/>
              <w:jc w:val="left"/>
              <w:rPr>
                <w:rFonts w:ascii="仿宋" w:hAnsi="仿宋" w:eastAsia="仿宋" w:cs="仿宋"/>
                <w:color w:val="000000"/>
                <w:sz w:val="21"/>
                <w:szCs w:val="21"/>
              </w:rPr>
            </w:pPr>
          </w:p>
        </w:tc>
        <w:tc>
          <w:tcPr>
            <w:tcW w:w="939" w:type="pct"/>
            <w:vMerge w:val="continue"/>
            <w:vAlign w:val="center"/>
          </w:tcPr>
          <w:p w14:paraId="33E58A38">
            <w:pPr>
              <w:spacing w:line="240" w:lineRule="auto"/>
              <w:jc w:val="left"/>
              <w:rPr>
                <w:rFonts w:ascii="仿宋" w:hAnsi="仿宋" w:eastAsia="仿宋" w:cs="仿宋"/>
                <w:color w:val="000000"/>
                <w:sz w:val="21"/>
                <w:szCs w:val="21"/>
              </w:rPr>
            </w:pPr>
          </w:p>
        </w:tc>
        <w:tc>
          <w:tcPr>
            <w:tcW w:w="1577" w:type="pct"/>
            <w:vAlign w:val="center"/>
          </w:tcPr>
          <w:p w14:paraId="2DD43F5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服务订单</w:t>
            </w:r>
          </w:p>
        </w:tc>
        <w:tc>
          <w:tcPr>
            <w:tcW w:w="810" w:type="pct"/>
          </w:tcPr>
          <w:p w14:paraId="3B264F64">
            <w:pPr>
              <w:spacing w:line="240" w:lineRule="auto"/>
              <w:ind w:firstLine="480"/>
              <w:jc w:val="left"/>
              <w:rPr>
                <w:rFonts w:ascii="瀹嬩綋" w:hAnsi="瀹嬩綋" w:eastAsia="瀹嬩綋"/>
                <w:color w:val="000000"/>
                <w:sz w:val="21"/>
                <w:szCs w:val="21"/>
              </w:rPr>
            </w:pPr>
          </w:p>
        </w:tc>
      </w:tr>
      <w:tr w14:paraId="5A720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89EB84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722D9DB">
            <w:pPr>
              <w:spacing w:line="240" w:lineRule="auto"/>
              <w:jc w:val="left"/>
              <w:rPr>
                <w:rFonts w:ascii="仿宋" w:hAnsi="仿宋" w:eastAsia="仿宋" w:cs="仿宋"/>
                <w:color w:val="000000"/>
                <w:sz w:val="21"/>
                <w:szCs w:val="21"/>
              </w:rPr>
            </w:pPr>
          </w:p>
        </w:tc>
        <w:tc>
          <w:tcPr>
            <w:tcW w:w="939" w:type="pct"/>
            <w:vMerge w:val="continue"/>
            <w:vAlign w:val="center"/>
          </w:tcPr>
          <w:p w14:paraId="023BA547">
            <w:pPr>
              <w:spacing w:line="240" w:lineRule="auto"/>
              <w:jc w:val="left"/>
              <w:rPr>
                <w:rFonts w:ascii="仿宋" w:hAnsi="仿宋" w:eastAsia="仿宋" w:cs="仿宋"/>
                <w:color w:val="000000"/>
                <w:sz w:val="21"/>
                <w:szCs w:val="21"/>
              </w:rPr>
            </w:pPr>
          </w:p>
        </w:tc>
        <w:tc>
          <w:tcPr>
            <w:tcW w:w="1577" w:type="pct"/>
            <w:vAlign w:val="center"/>
          </w:tcPr>
          <w:p w14:paraId="2859A61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我的课程</w:t>
            </w:r>
          </w:p>
        </w:tc>
        <w:tc>
          <w:tcPr>
            <w:tcW w:w="810" w:type="pct"/>
          </w:tcPr>
          <w:p w14:paraId="72806EC8">
            <w:pPr>
              <w:spacing w:line="240" w:lineRule="auto"/>
              <w:ind w:firstLine="480"/>
              <w:jc w:val="left"/>
              <w:rPr>
                <w:rFonts w:ascii="瀹嬩綋" w:hAnsi="瀹嬩綋" w:eastAsia="瀹嬩綋"/>
                <w:color w:val="000000"/>
                <w:sz w:val="21"/>
                <w:szCs w:val="21"/>
              </w:rPr>
            </w:pPr>
          </w:p>
        </w:tc>
      </w:tr>
      <w:tr w14:paraId="35021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8320F98">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4DDB96B">
            <w:pPr>
              <w:spacing w:line="240" w:lineRule="auto"/>
              <w:jc w:val="left"/>
              <w:rPr>
                <w:rFonts w:ascii="仿宋" w:hAnsi="仿宋" w:eastAsia="仿宋" w:cs="仿宋"/>
                <w:color w:val="000000"/>
                <w:sz w:val="21"/>
                <w:szCs w:val="21"/>
              </w:rPr>
            </w:pPr>
          </w:p>
        </w:tc>
        <w:tc>
          <w:tcPr>
            <w:tcW w:w="939" w:type="pct"/>
            <w:vMerge w:val="restart"/>
            <w:vAlign w:val="center"/>
          </w:tcPr>
          <w:p w14:paraId="36DC72E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医生个人管理</w:t>
            </w:r>
          </w:p>
        </w:tc>
        <w:tc>
          <w:tcPr>
            <w:tcW w:w="1577" w:type="pct"/>
            <w:vAlign w:val="center"/>
          </w:tcPr>
          <w:p w14:paraId="1A95BAF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医生信息维护</w:t>
            </w:r>
          </w:p>
        </w:tc>
        <w:tc>
          <w:tcPr>
            <w:tcW w:w="810" w:type="pct"/>
          </w:tcPr>
          <w:p w14:paraId="6F7C103B">
            <w:pPr>
              <w:spacing w:line="240" w:lineRule="auto"/>
              <w:ind w:firstLine="480"/>
              <w:jc w:val="left"/>
              <w:rPr>
                <w:rFonts w:ascii="瀹嬩綋" w:hAnsi="瀹嬩綋" w:eastAsia="瀹嬩綋"/>
                <w:color w:val="000000"/>
                <w:sz w:val="21"/>
                <w:szCs w:val="21"/>
              </w:rPr>
            </w:pPr>
          </w:p>
        </w:tc>
      </w:tr>
      <w:bookmarkEnd w:id="64"/>
      <w:tr w14:paraId="5B574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1DC076C7">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04B8C0E">
            <w:pPr>
              <w:spacing w:line="240" w:lineRule="auto"/>
              <w:jc w:val="left"/>
              <w:rPr>
                <w:rFonts w:ascii="仿宋" w:hAnsi="仿宋" w:eastAsia="仿宋" w:cs="仿宋"/>
                <w:color w:val="000000"/>
                <w:sz w:val="21"/>
                <w:szCs w:val="21"/>
              </w:rPr>
            </w:pPr>
          </w:p>
        </w:tc>
        <w:tc>
          <w:tcPr>
            <w:tcW w:w="939" w:type="pct"/>
            <w:vMerge w:val="continue"/>
            <w:vAlign w:val="center"/>
          </w:tcPr>
          <w:p w14:paraId="256F0A83">
            <w:pPr>
              <w:spacing w:line="240" w:lineRule="auto"/>
              <w:jc w:val="left"/>
              <w:rPr>
                <w:rFonts w:ascii="仿宋" w:hAnsi="仿宋" w:eastAsia="仿宋" w:cs="仿宋"/>
                <w:color w:val="000000"/>
                <w:sz w:val="21"/>
                <w:szCs w:val="21"/>
              </w:rPr>
            </w:pPr>
          </w:p>
        </w:tc>
        <w:tc>
          <w:tcPr>
            <w:tcW w:w="1577" w:type="pct"/>
            <w:vAlign w:val="center"/>
          </w:tcPr>
          <w:p w14:paraId="2916FCB2">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常用语管理</w:t>
            </w:r>
          </w:p>
        </w:tc>
        <w:tc>
          <w:tcPr>
            <w:tcW w:w="810" w:type="pct"/>
          </w:tcPr>
          <w:p w14:paraId="6AFB213B">
            <w:pPr>
              <w:spacing w:line="240" w:lineRule="auto"/>
              <w:ind w:firstLine="480"/>
              <w:jc w:val="left"/>
              <w:rPr>
                <w:rFonts w:ascii="瀹嬩綋" w:hAnsi="瀹嬩綋" w:eastAsia="瀹嬩綋"/>
                <w:color w:val="000000"/>
                <w:sz w:val="21"/>
                <w:szCs w:val="21"/>
              </w:rPr>
            </w:pPr>
          </w:p>
        </w:tc>
      </w:tr>
      <w:tr w14:paraId="3DE79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5A3CF72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D57FD59">
            <w:pPr>
              <w:spacing w:line="240" w:lineRule="auto"/>
              <w:jc w:val="left"/>
              <w:rPr>
                <w:rFonts w:ascii="仿宋" w:hAnsi="仿宋" w:eastAsia="仿宋" w:cs="仿宋"/>
                <w:color w:val="000000"/>
                <w:sz w:val="21"/>
                <w:szCs w:val="21"/>
              </w:rPr>
            </w:pPr>
          </w:p>
        </w:tc>
        <w:tc>
          <w:tcPr>
            <w:tcW w:w="939" w:type="pct"/>
            <w:vMerge w:val="continue"/>
            <w:vAlign w:val="center"/>
          </w:tcPr>
          <w:p w14:paraId="7E0F1FCB">
            <w:pPr>
              <w:spacing w:line="240" w:lineRule="auto"/>
              <w:jc w:val="left"/>
              <w:rPr>
                <w:rFonts w:ascii="仿宋" w:hAnsi="仿宋" w:eastAsia="仿宋" w:cs="仿宋"/>
                <w:color w:val="000000"/>
                <w:sz w:val="21"/>
                <w:szCs w:val="21"/>
              </w:rPr>
            </w:pPr>
          </w:p>
        </w:tc>
        <w:tc>
          <w:tcPr>
            <w:tcW w:w="1577" w:type="pct"/>
            <w:vAlign w:val="center"/>
          </w:tcPr>
          <w:p w14:paraId="7395E9C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我的订单</w:t>
            </w:r>
          </w:p>
        </w:tc>
        <w:tc>
          <w:tcPr>
            <w:tcW w:w="810" w:type="pct"/>
          </w:tcPr>
          <w:p w14:paraId="13E61EDE">
            <w:pPr>
              <w:spacing w:line="240" w:lineRule="auto"/>
              <w:ind w:firstLine="480"/>
              <w:jc w:val="left"/>
              <w:rPr>
                <w:rFonts w:ascii="瀹嬩綋" w:hAnsi="瀹嬩綋" w:eastAsia="瀹嬩綋"/>
                <w:color w:val="000000"/>
                <w:sz w:val="21"/>
                <w:szCs w:val="21"/>
              </w:rPr>
            </w:pPr>
          </w:p>
        </w:tc>
      </w:tr>
      <w:tr w14:paraId="4FA39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14F9FD45">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E9CF378">
            <w:pPr>
              <w:spacing w:line="240" w:lineRule="auto"/>
              <w:jc w:val="left"/>
              <w:rPr>
                <w:rFonts w:ascii="仿宋" w:hAnsi="仿宋" w:eastAsia="仿宋" w:cs="仿宋"/>
                <w:color w:val="000000"/>
                <w:sz w:val="21"/>
                <w:szCs w:val="21"/>
              </w:rPr>
            </w:pPr>
          </w:p>
        </w:tc>
        <w:tc>
          <w:tcPr>
            <w:tcW w:w="939" w:type="pct"/>
            <w:vMerge w:val="continue"/>
            <w:vAlign w:val="center"/>
          </w:tcPr>
          <w:p w14:paraId="4F4A8389">
            <w:pPr>
              <w:spacing w:line="240" w:lineRule="auto"/>
              <w:jc w:val="left"/>
              <w:rPr>
                <w:rFonts w:ascii="仿宋" w:hAnsi="仿宋" w:eastAsia="仿宋" w:cs="仿宋"/>
                <w:color w:val="000000"/>
                <w:sz w:val="21"/>
                <w:szCs w:val="21"/>
              </w:rPr>
            </w:pPr>
          </w:p>
        </w:tc>
        <w:tc>
          <w:tcPr>
            <w:tcW w:w="1577" w:type="pct"/>
            <w:vAlign w:val="center"/>
          </w:tcPr>
          <w:p w14:paraId="0F58C47C">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我的患者</w:t>
            </w:r>
          </w:p>
        </w:tc>
        <w:tc>
          <w:tcPr>
            <w:tcW w:w="810" w:type="pct"/>
          </w:tcPr>
          <w:p w14:paraId="1E9416C0">
            <w:pPr>
              <w:spacing w:line="240" w:lineRule="auto"/>
              <w:ind w:firstLine="480"/>
              <w:jc w:val="left"/>
              <w:rPr>
                <w:rFonts w:ascii="瀹嬩綋" w:hAnsi="瀹嬩綋" w:eastAsia="瀹嬩綋"/>
                <w:color w:val="000000"/>
                <w:sz w:val="21"/>
                <w:szCs w:val="21"/>
              </w:rPr>
            </w:pPr>
          </w:p>
        </w:tc>
      </w:tr>
      <w:tr w14:paraId="7A29B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78EB61C">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6BEA75D">
            <w:pPr>
              <w:spacing w:line="240" w:lineRule="auto"/>
              <w:jc w:val="left"/>
              <w:rPr>
                <w:rFonts w:ascii="仿宋" w:hAnsi="仿宋" w:eastAsia="仿宋" w:cs="仿宋"/>
                <w:color w:val="000000"/>
                <w:sz w:val="21"/>
                <w:szCs w:val="21"/>
              </w:rPr>
            </w:pPr>
          </w:p>
        </w:tc>
        <w:tc>
          <w:tcPr>
            <w:tcW w:w="939" w:type="pct"/>
            <w:vMerge w:val="continue"/>
            <w:vAlign w:val="center"/>
          </w:tcPr>
          <w:p w14:paraId="7E2AC73B">
            <w:pPr>
              <w:spacing w:line="240" w:lineRule="auto"/>
              <w:jc w:val="left"/>
              <w:rPr>
                <w:rFonts w:ascii="仿宋" w:hAnsi="仿宋" w:eastAsia="仿宋" w:cs="仿宋"/>
                <w:color w:val="000000"/>
                <w:sz w:val="21"/>
                <w:szCs w:val="21"/>
              </w:rPr>
            </w:pPr>
          </w:p>
        </w:tc>
        <w:tc>
          <w:tcPr>
            <w:tcW w:w="1577" w:type="pct"/>
            <w:vAlign w:val="center"/>
          </w:tcPr>
          <w:p w14:paraId="0D0787E5">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服务管理</w:t>
            </w:r>
          </w:p>
        </w:tc>
        <w:tc>
          <w:tcPr>
            <w:tcW w:w="810" w:type="pct"/>
          </w:tcPr>
          <w:p w14:paraId="2B7119C5">
            <w:pPr>
              <w:spacing w:line="240" w:lineRule="auto"/>
              <w:ind w:firstLine="480"/>
              <w:jc w:val="left"/>
              <w:rPr>
                <w:rFonts w:ascii="瀹嬩綋" w:hAnsi="瀹嬩綋" w:eastAsia="瀹嬩綋"/>
                <w:color w:val="000000"/>
                <w:sz w:val="21"/>
                <w:szCs w:val="21"/>
              </w:rPr>
            </w:pPr>
          </w:p>
        </w:tc>
      </w:tr>
      <w:tr w14:paraId="1305C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79FF2837">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22C32CE">
            <w:pPr>
              <w:spacing w:line="240" w:lineRule="auto"/>
              <w:jc w:val="left"/>
              <w:rPr>
                <w:rFonts w:ascii="仿宋" w:hAnsi="仿宋" w:eastAsia="仿宋" w:cs="仿宋"/>
                <w:color w:val="000000"/>
                <w:sz w:val="21"/>
                <w:szCs w:val="21"/>
              </w:rPr>
            </w:pPr>
          </w:p>
        </w:tc>
        <w:tc>
          <w:tcPr>
            <w:tcW w:w="939" w:type="pct"/>
            <w:vMerge w:val="continue"/>
            <w:vAlign w:val="center"/>
          </w:tcPr>
          <w:p w14:paraId="6FC0BA26">
            <w:pPr>
              <w:spacing w:line="240" w:lineRule="auto"/>
              <w:jc w:val="left"/>
              <w:rPr>
                <w:rFonts w:ascii="仿宋" w:hAnsi="仿宋" w:eastAsia="仿宋" w:cs="仿宋"/>
                <w:color w:val="000000"/>
                <w:sz w:val="21"/>
                <w:szCs w:val="21"/>
              </w:rPr>
            </w:pPr>
          </w:p>
        </w:tc>
        <w:tc>
          <w:tcPr>
            <w:tcW w:w="1577" w:type="pct"/>
            <w:vAlign w:val="center"/>
          </w:tcPr>
          <w:p w14:paraId="72F0411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患者评价</w:t>
            </w:r>
          </w:p>
        </w:tc>
        <w:tc>
          <w:tcPr>
            <w:tcW w:w="810" w:type="pct"/>
          </w:tcPr>
          <w:p w14:paraId="76065DF9">
            <w:pPr>
              <w:spacing w:line="240" w:lineRule="auto"/>
              <w:ind w:firstLine="480"/>
              <w:jc w:val="left"/>
              <w:rPr>
                <w:rFonts w:ascii="瀹嬩綋" w:hAnsi="瀹嬩綋" w:eastAsia="瀹嬩綋"/>
                <w:color w:val="000000"/>
                <w:sz w:val="21"/>
                <w:szCs w:val="21"/>
              </w:rPr>
            </w:pPr>
          </w:p>
        </w:tc>
      </w:tr>
      <w:tr w14:paraId="71DB3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275F7659">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281884E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后台管理</w:t>
            </w:r>
          </w:p>
        </w:tc>
        <w:tc>
          <w:tcPr>
            <w:tcW w:w="939" w:type="pct"/>
            <w:vMerge w:val="restart"/>
            <w:vAlign w:val="center"/>
          </w:tcPr>
          <w:p w14:paraId="03806D66">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后台管理</w:t>
            </w:r>
          </w:p>
        </w:tc>
        <w:tc>
          <w:tcPr>
            <w:tcW w:w="1577" w:type="pct"/>
            <w:vAlign w:val="center"/>
          </w:tcPr>
          <w:p w14:paraId="7A01788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签约管理</w:t>
            </w:r>
          </w:p>
        </w:tc>
        <w:tc>
          <w:tcPr>
            <w:tcW w:w="810" w:type="pct"/>
          </w:tcPr>
          <w:p w14:paraId="79C37F64">
            <w:pPr>
              <w:spacing w:line="240" w:lineRule="auto"/>
              <w:ind w:firstLine="480"/>
              <w:jc w:val="left"/>
              <w:rPr>
                <w:rFonts w:ascii="瀹嬩綋" w:hAnsi="瀹嬩綋" w:eastAsia="瀹嬩綋"/>
                <w:color w:val="000000"/>
                <w:sz w:val="21"/>
                <w:szCs w:val="21"/>
              </w:rPr>
            </w:pPr>
          </w:p>
        </w:tc>
      </w:tr>
      <w:tr w14:paraId="41ECF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25F570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44FBA9C">
            <w:pPr>
              <w:spacing w:line="240" w:lineRule="auto"/>
              <w:jc w:val="left"/>
              <w:rPr>
                <w:rFonts w:ascii="仿宋" w:hAnsi="仿宋" w:eastAsia="仿宋" w:cs="仿宋"/>
                <w:color w:val="000000"/>
                <w:sz w:val="21"/>
                <w:szCs w:val="21"/>
              </w:rPr>
            </w:pPr>
          </w:p>
        </w:tc>
        <w:tc>
          <w:tcPr>
            <w:tcW w:w="939" w:type="pct"/>
            <w:vMerge w:val="continue"/>
            <w:vAlign w:val="center"/>
          </w:tcPr>
          <w:p w14:paraId="4F18BBFB">
            <w:pPr>
              <w:spacing w:line="240" w:lineRule="auto"/>
              <w:jc w:val="left"/>
              <w:rPr>
                <w:rFonts w:ascii="仿宋" w:hAnsi="仿宋" w:eastAsia="仿宋" w:cs="仿宋"/>
                <w:color w:val="000000"/>
                <w:sz w:val="21"/>
                <w:szCs w:val="21"/>
              </w:rPr>
            </w:pPr>
          </w:p>
        </w:tc>
        <w:tc>
          <w:tcPr>
            <w:tcW w:w="1577" w:type="pct"/>
            <w:vAlign w:val="center"/>
          </w:tcPr>
          <w:p w14:paraId="0D69070B">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服务管理</w:t>
            </w:r>
          </w:p>
        </w:tc>
        <w:tc>
          <w:tcPr>
            <w:tcW w:w="810" w:type="pct"/>
          </w:tcPr>
          <w:p w14:paraId="4B716C20">
            <w:pPr>
              <w:spacing w:line="240" w:lineRule="auto"/>
              <w:ind w:firstLine="480"/>
              <w:jc w:val="left"/>
              <w:rPr>
                <w:rFonts w:ascii="瀹嬩綋" w:hAnsi="瀹嬩綋" w:eastAsia="瀹嬩綋"/>
                <w:color w:val="000000"/>
                <w:sz w:val="21"/>
                <w:szCs w:val="21"/>
              </w:rPr>
            </w:pPr>
          </w:p>
        </w:tc>
      </w:tr>
      <w:tr w14:paraId="76EE2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640953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D236375">
            <w:pPr>
              <w:spacing w:line="240" w:lineRule="auto"/>
              <w:jc w:val="left"/>
              <w:rPr>
                <w:rFonts w:ascii="仿宋" w:hAnsi="仿宋" w:eastAsia="仿宋" w:cs="仿宋"/>
                <w:color w:val="000000"/>
                <w:sz w:val="21"/>
                <w:szCs w:val="21"/>
              </w:rPr>
            </w:pPr>
          </w:p>
        </w:tc>
        <w:tc>
          <w:tcPr>
            <w:tcW w:w="939" w:type="pct"/>
            <w:vMerge w:val="continue"/>
            <w:vAlign w:val="center"/>
          </w:tcPr>
          <w:p w14:paraId="59638640">
            <w:pPr>
              <w:spacing w:line="240" w:lineRule="auto"/>
              <w:jc w:val="left"/>
              <w:rPr>
                <w:rFonts w:ascii="仿宋" w:hAnsi="仿宋" w:eastAsia="仿宋" w:cs="仿宋"/>
                <w:color w:val="000000"/>
                <w:sz w:val="21"/>
                <w:szCs w:val="21"/>
              </w:rPr>
            </w:pPr>
          </w:p>
        </w:tc>
        <w:tc>
          <w:tcPr>
            <w:tcW w:w="1577" w:type="pct"/>
            <w:vAlign w:val="center"/>
          </w:tcPr>
          <w:p w14:paraId="203E369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订单收益</w:t>
            </w:r>
          </w:p>
        </w:tc>
        <w:tc>
          <w:tcPr>
            <w:tcW w:w="810" w:type="pct"/>
          </w:tcPr>
          <w:p w14:paraId="54C81DC0">
            <w:pPr>
              <w:spacing w:line="240" w:lineRule="auto"/>
              <w:ind w:firstLine="480"/>
              <w:jc w:val="left"/>
              <w:rPr>
                <w:rFonts w:ascii="瀹嬩綋" w:hAnsi="瀹嬩綋" w:eastAsia="瀹嬩綋"/>
                <w:color w:val="000000"/>
                <w:sz w:val="21"/>
                <w:szCs w:val="21"/>
              </w:rPr>
            </w:pPr>
          </w:p>
        </w:tc>
      </w:tr>
      <w:tr w14:paraId="697CE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042DEE7">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805CE72">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1B67DC59">
            <w:pPr>
              <w:spacing w:line="240" w:lineRule="auto"/>
              <w:ind w:firstLine="480"/>
              <w:jc w:val="left"/>
              <w:rPr>
                <w:rFonts w:ascii="仿宋" w:hAnsi="仿宋" w:eastAsia="仿宋" w:cs="仿宋"/>
                <w:color w:val="000000"/>
                <w:sz w:val="21"/>
                <w:szCs w:val="21"/>
              </w:rPr>
            </w:pPr>
          </w:p>
        </w:tc>
        <w:tc>
          <w:tcPr>
            <w:tcW w:w="1577" w:type="pct"/>
            <w:vAlign w:val="center"/>
          </w:tcPr>
          <w:p w14:paraId="7637D92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评价管理</w:t>
            </w:r>
          </w:p>
        </w:tc>
        <w:tc>
          <w:tcPr>
            <w:tcW w:w="810" w:type="pct"/>
          </w:tcPr>
          <w:p w14:paraId="01905D41">
            <w:pPr>
              <w:spacing w:line="240" w:lineRule="auto"/>
              <w:ind w:firstLine="480"/>
              <w:jc w:val="left"/>
              <w:rPr>
                <w:rFonts w:ascii="瀹嬩綋" w:hAnsi="瀹嬩綋" w:eastAsia="瀹嬩綋"/>
                <w:color w:val="000000"/>
                <w:sz w:val="21"/>
                <w:szCs w:val="21"/>
              </w:rPr>
            </w:pPr>
          </w:p>
        </w:tc>
      </w:tr>
      <w:tr w14:paraId="143E2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25F82D6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3720EE4">
            <w:pPr>
              <w:spacing w:line="240" w:lineRule="auto"/>
              <w:ind w:firstLine="480"/>
              <w:jc w:val="left"/>
              <w:rPr>
                <w:rFonts w:ascii="仿宋" w:hAnsi="仿宋" w:eastAsia="仿宋" w:cs="仿宋"/>
                <w:color w:val="000000"/>
                <w:sz w:val="21"/>
                <w:szCs w:val="21"/>
              </w:rPr>
            </w:pPr>
          </w:p>
        </w:tc>
        <w:tc>
          <w:tcPr>
            <w:tcW w:w="939" w:type="pct"/>
            <w:vMerge w:val="continue"/>
            <w:vAlign w:val="center"/>
          </w:tcPr>
          <w:p w14:paraId="22266732">
            <w:pPr>
              <w:spacing w:line="240" w:lineRule="auto"/>
              <w:ind w:firstLine="480"/>
              <w:jc w:val="left"/>
              <w:rPr>
                <w:rFonts w:ascii="仿宋" w:hAnsi="仿宋" w:eastAsia="仿宋" w:cs="仿宋"/>
                <w:color w:val="000000"/>
                <w:sz w:val="21"/>
                <w:szCs w:val="21"/>
              </w:rPr>
            </w:pPr>
          </w:p>
        </w:tc>
        <w:tc>
          <w:tcPr>
            <w:tcW w:w="1577" w:type="pct"/>
            <w:vAlign w:val="center"/>
          </w:tcPr>
          <w:p w14:paraId="10DB085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统计分析</w:t>
            </w:r>
          </w:p>
        </w:tc>
        <w:tc>
          <w:tcPr>
            <w:tcW w:w="810" w:type="pct"/>
          </w:tcPr>
          <w:p w14:paraId="61041BD0">
            <w:pPr>
              <w:spacing w:line="240" w:lineRule="auto"/>
              <w:ind w:firstLine="480"/>
              <w:jc w:val="left"/>
              <w:rPr>
                <w:rFonts w:ascii="瀹嬩綋" w:hAnsi="瀹嬩綋" w:eastAsia="瀹嬩綋"/>
                <w:color w:val="000000"/>
                <w:sz w:val="21"/>
                <w:szCs w:val="21"/>
              </w:rPr>
            </w:pPr>
          </w:p>
        </w:tc>
      </w:tr>
      <w:tr w14:paraId="707DC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5000" w:type="pct"/>
            <w:gridSpan w:val="5"/>
            <w:shd w:val="clear" w:color="auto" w:fill="DAEEF3"/>
            <w:vAlign w:val="center"/>
          </w:tcPr>
          <w:p w14:paraId="4D5B2298">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应用四、互联网中医健康管理平台</w:t>
            </w:r>
          </w:p>
        </w:tc>
      </w:tr>
      <w:tr w14:paraId="5C064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shd w:val="clear" w:color="auto" w:fill="DAEEF3"/>
            <w:vAlign w:val="center"/>
          </w:tcPr>
          <w:p w14:paraId="0D99ED0F">
            <w:pPr>
              <w:spacing w:line="240" w:lineRule="auto"/>
              <w:jc w:val="center"/>
              <w:rPr>
                <w:rFonts w:ascii="仿宋" w:hAnsi="仿宋" w:eastAsia="仿宋" w:cs="仿宋"/>
                <w:color w:val="000000"/>
                <w:sz w:val="21"/>
                <w:szCs w:val="21"/>
              </w:rPr>
            </w:pPr>
            <w:r>
              <w:rPr>
                <w:rFonts w:hint="eastAsia" w:ascii="仿宋" w:hAnsi="仿宋" w:eastAsia="仿宋" w:cs="仿宋"/>
                <w:b/>
                <w:bCs/>
                <w:color w:val="000000"/>
                <w:sz w:val="21"/>
                <w:szCs w:val="21"/>
              </w:rPr>
              <w:t>序号</w:t>
            </w:r>
          </w:p>
        </w:tc>
        <w:tc>
          <w:tcPr>
            <w:tcW w:w="924" w:type="pct"/>
            <w:shd w:val="clear" w:color="auto" w:fill="DAEEF3"/>
            <w:vAlign w:val="center"/>
          </w:tcPr>
          <w:p w14:paraId="0AF5EA7D">
            <w:pPr>
              <w:spacing w:line="240" w:lineRule="auto"/>
              <w:jc w:val="center"/>
              <w:rPr>
                <w:rFonts w:ascii="仿宋" w:hAnsi="仿宋" w:eastAsia="仿宋" w:cs="仿宋"/>
                <w:color w:val="000000"/>
                <w:sz w:val="21"/>
                <w:szCs w:val="21"/>
              </w:rPr>
            </w:pPr>
            <w:r>
              <w:rPr>
                <w:rFonts w:hint="eastAsia" w:ascii="仿宋" w:hAnsi="仿宋" w:eastAsia="仿宋" w:cs="仿宋"/>
                <w:b/>
                <w:bCs/>
                <w:color w:val="000000"/>
                <w:sz w:val="21"/>
                <w:szCs w:val="21"/>
              </w:rPr>
              <w:t>建设模块</w:t>
            </w:r>
          </w:p>
        </w:tc>
        <w:tc>
          <w:tcPr>
            <w:tcW w:w="939" w:type="pct"/>
            <w:shd w:val="clear" w:color="auto" w:fill="DAEEF3"/>
            <w:vAlign w:val="center"/>
          </w:tcPr>
          <w:p w14:paraId="0B3D8DA2">
            <w:pPr>
              <w:spacing w:line="240" w:lineRule="auto"/>
              <w:jc w:val="center"/>
              <w:rPr>
                <w:rFonts w:ascii="仿宋" w:hAnsi="仿宋" w:eastAsia="仿宋" w:cs="仿宋"/>
                <w:color w:val="000000"/>
                <w:sz w:val="21"/>
                <w:szCs w:val="21"/>
              </w:rPr>
            </w:pPr>
            <w:r>
              <w:rPr>
                <w:rFonts w:hint="eastAsia" w:ascii="仿宋" w:hAnsi="仿宋" w:eastAsia="仿宋" w:cs="仿宋"/>
                <w:b/>
                <w:bCs/>
                <w:color w:val="000000"/>
                <w:sz w:val="21"/>
                <w:szCs w:val="21"/>
              </w:rPr>
              <w:t>一级功能</w:t>
            </w:r>
          </w:p>
        </w:tc>
        <w:tc>
          <w:tcPr>
            <w:tcW w:w="1577" w:type="pct"/>
            <w:shd w:val="clear" w:color="auto" w:fill="DAEEF3"/>
            <w:vAlign w:val="center"/>
          </w:tcPr>
          <w:p w14:paraId="4FB66D5B">
            <w:pPr>
              <w:spacing w:line="240" w:lineRule="auto"/>
              <w:jc w:val="center"/>
              <w:rPr>
                <w:rFonts w:ascii="仿宋" w:hAnsi="仿宋" w:eastAsia="仿宋" w:cs="仿宋"/>
                <w:color w:val="000000"/>
                <w:sz w:val="21"/>
                <w:szCs w:val="21"/>
              </w:rPr>
            </w:pPr>
            <w:r>
              <w:rPr>
                <w:rFonts w:hint="eastAsia" w:ascii="仿宋" w:hAnsi="仿宋" w:eastAsia="仿宋" w:cs="仿宋"/>
                <w:b/>
                <w:bCs/>
                <w:color w:val="000000"/>
                <w:sz w:val="21"/>
                <w:szCs w:val="21"/>
              </w:rPr>
              <w:t>二级功能</w:t>
            </w:r>
          </w:p>
        </w:tc>
        <w:tc>
          <w:tcPr>
            <w:tcW w:w="810" w:type="pct"/>
            <w:shd w:val="clear" w:color="auto" w:fill="DAEEF3"/>
            <w:vAlign w:val="center"/>
          </w:tcPr>
          <w:p w14:paraId="646BF1E5">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备注</w:t>
            </w:r>
          </w:p>
        </w:tc>
      </w:tr>
      <w:tr w14:paraId="32810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1E10D87">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4D0DC391">
            <w:pPr>
              <w:spacing w:line="240" w:lineRule="auto"/>
              <w:jc w:val="left"/>
              <w:rPr>
                <w:rFonts w:ascii="仿宋" w:hAnsi="仿宋" w:eastAsia="仿宋" w:cs="仿宋"/>
                <w:color w:val="000000"/>
                <w:sz w:val="21"/>
                <w:szCs w:val="21"/>
                <w:lang w:eastAsia="zh-Hans"/>
              </w:rPr>
            </w:pPr>
            <w:r>
              <w:rPr>
                <w:rFonts w:hint="eastAsia" w:ascii="仿宋" w:hAnsi="仿宋" w:eastAsia="仿宋" w:cs="仿宋"/>
                <w:color w:val="000000"/>
                <w:sz w:val="21"/>
                <w:szCs w:val="21"/>
              </w:rPr>
              <w:t>互联网中医健康管理平台</w:t>
            </w:r>
          </w:p>
        </w:tc>
        <w:tc>
          <w:tcPr>
            <w:tcW w:w="939" w:type="pct"/>
            <w:vMerge w:val="restart"/>
            <w:vAlign w:val="center"/>
          </w:tcPr>
          <w:p w14:paraId="29828CB8">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lang w:eastAsia="zh-Hans"/>
              </w:rPr>
              <w:t>健康评估</w:t>
            </w:r>
          </w:p>
        </w:tc>
        <w:tc>
          <w:tcPr>
            <w:tcW w:w="1577" w:type="pct"/>
          </w:tcPr>
          <w:p w14:paraId="363094C5">
            <w:pPr>
              <w:spacing w:line="240" w:lineRule="auto"/>
              <w:jc w:val="left"/>
              <w:rPr>
                <w:rFonts w:hAnsi="宋体"/>
                <w:color w:val="000000"/>
                <w:sz w:val="21"/>
                <w:szCs w:val="21"/>
              </w:rPr>
            </w:pPr>
            <w:r>
              <w:rPr>
                <w:rFonts w:hint="eastAsia" w:hAnsi="宋体"/>
                <w:color w:val="000000"/>
                <w:sz w:val="21"/>
                <w:szCs w:val="21"/>
              </w:rPr>
              <w:t>体质评估</w:t>
            </w:r>
          </w:p>
        </w:tc>
        <w:tc>
          <w:tcPr>
            <w:tcW w:w="810" w:type="pct"/>
          </w:tcPr>
          <w:p w14:paraId="46884592">
            <w:pPr>
              <w:spacing w:line="240" w:lineRule="auto"/>
              <w:ind w:firstLine="480"/>
              <w:jc w:val="left"/>
              <w:rPr>
                <w:rFonts w:ascii="鐎瑰╃秼" w:hAnsi="鐎瑰╃秼" w:eastAsia="鐎瑰╃秼"/>
                <w:color w:val="000000"/>
                <w:sz w:val="21"/>
                <w:szCs w:val="21"/>
              </w:rPr>
            </w:pPr>
          </w:p>
        </w:tc>
      </w:tr>
      <w:tr w14:paraId="5AAD3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3CE138D">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A4E5578">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1A360D24">
            <w:pPr>
              <w:spacing w:line="240" w:lineRule="auto"/>
              <w:jc w:val="left"/>
              <w:rPr>
                <w:rFonts w:ascii="仿宋" w:hAnsi="仿宋" w:eastAsia="仿宋" w:cs="仿宋"/>
                <w:color w:val="000000"/>
                <w:sz w:val="21"/>
                <w:szCs w:val="21"/>
                <w:lang w:eastAsia="zh-Hans"/>
              </w:rPr>
            </w:pPr>
          </w:p>
        </w:tc>
        <w:tc>
          <w:tcPr>
            <w:tcW w:w="1577" w:type="pct"/>
          </w:tcPr>
          <w:p w14:paraId="0D2272FC">
            <w:pPr>
              <w:spacing w:line="240" w:lineRule="auto"/>
              <w:jc w:val="left"/>
              <w:rPr>
                <w:rFonts w:hAnsi="宋体"/>
                <w:color w:val="000000"/>
                <w:sz w:val="21"/>
                <w:szCs w:val="21"/>
                <w:lang w:eastAsia="zh-Hans"/>
              </w:rPr>
            </w:pPr>
            <w:r>
              <w:rPr>
                <w:rFonts w:hint="eastAsia" w:hAnsi="宋体"/>
                <w:color w:val="000000"/>
                <w:sz w:val="21"/>
                <w:szCs w:val="21"/>
              </w:rPr>
              <w:t>症状评估</w:t>
            </w:r>
          </w:p>
        </w:tc>
        <w:tc>
          <w:tcPr>
            <w:tcW w:w="810" w:type="pct"/>
          </w:tcPr>
          <w:p w14:paraId="632FC03D">
            <w:pPr>
              <w:spacing w:line="240" w:lineRule="auto"/>
              <w:ind w:firstLine="480"/>
              <w:jc w:val="left"/>
              <w:rPr>
                <w:rFonts w:ascii="鐎瑰╃秼" w:hAnsi="鐎瑰╃秼" w:eastAsia="鐎瑰╃秼"/>
                <w:color w:val="000000"/>
                <w:sz w:val="21"/>
                <w:szCs w:val="21"/>
              </w:rPr>
            </w:pPr>
          </w:p>
        </w:tc>
      </w:tr>
      <w:tr w14:paraId="3ED9E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2ED63107">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4550B77">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5494693B">
            <w:pPr>
              <w:spacing w:line="240" w:lineRule="auto"/>
              <w:jc w:val="left"/>
              <w:rPr>
                <w:rFonts w:ascii="仿宋" w:hAnsi="仿宋" w:eastAsia="仿宋" w:cs="仿宋"/>
                <w:color w:val="000000"/>
                <w:sz w:val="21"/>
                <w:szCs w:val="21"/>
                <w:lang w:eastAsia="zh-Hans"/>
              </w:rPr>
            </w:pPr>
          </w:p>
        </w:tc>
        <w:tc>
          <w:tcPr>
            <w:tcW w:w="1577" w:type="pct"/>
          </w:tcPr>
          <w:p w14:paraId="67950740">
            <w:pPr>
              <w:spacing w:line="240" w:lineRule="auto"/>
              <w:jc w:val="left"/>
              <w:rPr>
                <w:rFonts w:hAnsi="宋体"/>
                <w:color w:val="000000"/>
                <w:sz w:val="21"/>
                <w:szCs w:val="21"/>
                <w:lang w:eastAsia="zh-Hans"/>
              </w:rPr>
            </w:pPr>
            <w:r>
              <w:rPr>
                <w:rFonts w:hint="eastAsia" w:hAnsi="宋体"/>
                <w:color w:val="000000"/>
                <w:sz w:val="21"/>
                <w:szCs w:val="21"/>
              </w:rPr>
              <w:t>问卷评估</w:t>
            </w:r>
          </w:p>
        </w:tc>
        <w:tc>
          <w:tcPr>
            <w:tcW w:w="810" w:type="pct"/>
          </w:tcPr>
          <w:p w14:paraId="10DABA72">
            <w:pPr>
              <w:spacing w:line="240" w:lineRule="auto"/>
              <w:ind w:firstLine="480"/>
              <w:jc w:val="left"/>
              <w:rPr>
                <w:rFonts w:ascii="鐎瑰╃秼" w:hAnsi="鐎瑰╃秼" w:eastAsia="鐎瑰╃秼"/>
                <w:color w:val="000000"/>
                <w:sz w:val="21"/>
                <w:szCs w:val="21"/>
              </w:rPr>
            </w:pPr>
          </w:p>
        </w:tc>
      </w:tr>
      <w:tr w14:paraId="1C7EB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576EF2C1">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E4AE8D7">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5FF7EDB5">
            <w:pPr>
              <w:spacing w:line="240" w:lineRule="auto"/>
              <w:jc w:val="left"/>
              <w:rPr>
                <w:rFonts w:ascii="仿宋" w:hAnsi="仿宋" w:eastAsia="仿宋" w:cs="仿宋"/>
                <w:color w:val="000000"/>
                <w:sz w:val="21"/>
                <w:szCs w:val="21"/>
                <w:lang w:eastAsia="zh-Hans"/>
              </w:rPr>
            </w:pPr>
          </w:p>
        </w:tc>
        <w:tc>
          <w:tcPr>
            <w:tcW w:w="1577" w:type="pct"/>
          </w:tcPr>
          <w:p w14:paraId="1189C13C">
            <w:pPr>
              <w:spacing w:line="240" w:lineRule="auto"/>
              <w:jc w:val="left"/>
              <w:rPr>
                <w:rFonts w:hAnsi="宋体"/>
                <w:color w:val="000000"/>
                <w:sz w:val="21"/>
                <w:szCs w:val="21"/>
                <w:lang w:eastAsia="zh-Hans"/>
              </w:rPr>
            </w:pPr>
            <w:r>
              <w:rPr>
                <w:rFonts w:hint="eastAsia" w:hAnsi="宋体"/>
                <w:color w:val="000000"/>
                <w:sz w:val="21"/>
                <w:szCs w:val="21"/>
              </w:rPr>
              <w:t>报告解读</w:t>
            </w:r>
          </w:p>
        </w:tc>
        <w:tc>
          <w:tcPr>
            <w:tcW w:w="810" w:type="pct"/>
          </w:tcPr>
          <w:p w14:paraId="3EFDF1DE">
            <w:pPr>
              <w:spacing w:line="240" w:lineRule="auto"/>
              <w:ind w:firstLine="480"/>
              <w:jc w:val="left"/>
              <w:rPr>
                <w:rFonts w:ascii="鐎瑰╃秼" w:hAnsi="鐎瑰╃秼" w:eastAsia="鐎瑰╃秼"/>
                <w:color w:val="000000"/>
                <w:sz w:val="21"/>
                <w:szCs w:val="21"/>
              </w:rPr>
            </w:pPr>
          </w:p>
        </w:tc>
      </w:tr>
      <w:tr w14:paraId="235EB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5A638A3A">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A0D5944">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4C3810E5">
            <w:pPr>
              <w:spacing w:line="240" w:lineRule="auto"/>
              <w:jc w:val="left"/>
              <w:rPr>
                <w:rFonts w:ascii="仿宋" w:hAnsi="仿宋" w:eastAsia="仿宋" w:cs="仿宋"/>
                <w:color w:val="000000"/>
                <w:sz w:val="21"/>
                <w:szCs w:val="21"/>
              </w:rPr>
            </w:pPr>
          </w:p>
        </w:tc>
        <w:tc>
          <w:tcPr>
            <w:tcW w:w="1577" w:type="pct"/>
          </w:tcPr>
          <w:p w14:paraId="61332F5A">
            <w:pPr>
              <w:spacing w:line="240" w:lineRule="auto"/>
              <w:jc w:val="left"/>
              <w:rPr>
                <w:rFonts w:hAnsi="宋体"/>
                <w:color w:val="000000"/>
                <w:sz w:val="21"/>
                <w:szCs w:val="21"/>
                <w:lang w:eastAsia="zh-Hans"/>
              </w:rPr>
            </w:pPr>
            <w:r>
              <w:rPr>
                <w:rFonts w:hint="eastAsia" w:hAnsi="宋体"/>
                <w:color w:val="000000"/>
                <w:sz w:val="21"/>
                <w:szCs w:val="21"/>
              </w:rPr>
              <w:t>医生咨询</w:t>
            </w:r>
          </w:p>
        </w:tc>
        <w:tc>
          <w:tcPr>
            <w:tcW w:w="810" w:type="pct"/>
          </w:tcPr>
          <w:p w14:paraId="6A198F29">
            <w:pPr>
              <w:spacing w:line="240" w:lineRule="auto"/>
              <w:ind w:firstLine="480"/>
              <w:jc w:val="left"/>
              <w:rPr>
                <w:rFonts w:ascii="鐎瑰╃秼" w:hAnsi="鐎瑰╃秼" w:eastAsia="鐎瑰╃秼"/>
                <w:color w:val="000000"/>
                <w:sz w:val="21"/>
                <w:szCs w:val="21"/>
              </w:rPr>
            </w:pPr>
          </w:p>
        </w:tc>
      </w:tr>
      <w:tr w14:paraId="12E1E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00D84C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1B30FB4">
            <w:pPr>
              <w:spacing w:line="240" w:lineRule="auto"/>
              <w:ind w:firstLine="480"/>
              <w:jc w:val="left"/>
              <w:rPr>
                <w:rFonts w:ascii="仿宋" w:hAnsi="仿宋" w:eastAsia="仿宋" w:cs="仿宋"/>
                <w:color w:val="000000"/>
                <w:sz w:val="21"/>
                <w:szCs w:val="21"/>
                <w:lang w:eastAsia="zh-Hans"/>
              </w:rPr>
            </w:pPr>
          </w:p>
        </w:tc>
        <w:tc>
          <w:tcPr>
            <w:tcW w:w="939" w:type="pct"/>
            <w:vMerge w:val="restart"/>
            <w:vAlign w:val="center"/>
          </w:tcPr>
          <w:p w14:paraId="05D8A804">
            <w:pPr>
              <w:spacing w:line="240" w:lineRule="auto"/>
              <w:jc w:val="left"/>
              <w:rPr>
                <w:rFonts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健康管理</w:t>
            </w:r>
          </w:p>
        </w:tc>
        <w:tc>
          <w:tcPr>
            <w:tcW w:w="1577" w:type="pct"/>
          </w:tcPr>
          <w:p w14:paraId="0F8A4B37">
            <w:pPr>
              <w:spacing w:line="240" w:lineRule="auto"/>
              <w:jc w:val="left"/>
              <w:rPr>
                <w:rFonts w:hAnsi="宋体"/>
                <w:color w:val="000000"/>
                <w:sz w:val="21"/>
                <w:szCs w:val="21"/>
                <w:lang w:eastAsia="zh-Hans"/>
              </w:rPr>
            </w:pPr>
            <w:r>
              <w:rPr>
                <w:rFonts w:hint="eastAsia" w:hAnsi="宋体"/>
                <w:color w:val="000000"/>
                <w:sz w:val="21"/>
                <w:szCs w:val="21"/>
              </w:rPr>
              <w:t>节气调理</w:t>
            </w:r>
          </w:p>
        </w:tc>
        <w:tc>
          <w:tcPr>
            <w:tcW w:w="810" w:type="pct"/>
          </w:tcPr>
          <w:p w14:paraId="2DCE9E06">
            <w:pPr>
              <w:spacing w:line="240" w:lineRule="auto"/>
              <w:ind w:firstLine="480"/>
              <w:jc w:val="left"/>
              <w:rPr>
                <w:rFonts w:ascii="鐎瑰╃秼" w:hAnsi="鐎瑰╃秼" w:eastAsia="鐎瑰╃秼"/>
                <w:color w:val="000000"/>
                <w:sz w:val="21"/>
                <w:szCs w:val="21"/>
              </w:rPr>
            </w:pPr>
          </w:p>
        </w:tc>
      </w:tr>
      <w:tr w14:paraId="4880F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261A61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CB7B7E9">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7DED4B18">
            <w:pPr>
              <w:spacing w:line="240" w:lineRule="auto"/>
              <w:jc w:val="left"/>
              <w:rPr>
                <w:rFonts w:ascii="仿宋" w:hAnsi="仿宋" w:eastAsia="仿宋" w:cs="仿宋"/>
                <w:color w:val="000000"/>
                <w:sz w:val="21"/>
                <w:szCs w:val="21"/>
              </w:rPr>
            </w:pPr>
          </w:p>
        </w:tc>
        <w:tc>
          <w:tcPr>
            <w:tcW w:w="1577" w:type="pct"/>
          </w:tcPr>
          <w:p w14:paraId="08A2524D">
            <w:pPr>
              <w:spacing w:line="240" w:lineRule="auto"/>
              <w:jc w:val="left"/>
              <w:rPr>
                <w:rFonts w:hAnsi="宋体"/>
                <w:color w:val="000000"/>
                <w:sz w:val="21"/>
                <w:szCs w:val="21"/>
                <w:lang w:eastAsia="zh-Hans"/>
              </w:rPr>
            </w:pPr>
            <w:r>
              <w:rPr>
                <w:rFonts w:hint="eastAsia" w:hAnsi="宋体"/>
                <w:color w:val="000000"/>
                <w:sz w:val="21"/>
                <w:szCs w:val="21"/>
              </w:rPr>
              <w:t>体质调理</w:t>
            </w:r>
          </w:p>
        </w:tc>
        <w:tc>
          <w:tcPr>
            <w:tcW w:w="810" w:type="pct"/>
          </w:tcPr>
          <w:p w14:paraId="5E2F02A0">
            <w:pPr>
              <w:spacing w:line="240" w:lineRule="auto"/>
              <w:ind w:firstLine="480"/>
              <w:jc w:val="left"/>
              <w:rPr>
                <w:rFonts w:ascii="鐎瑰╃秼" w:hAnsi="鐎瑰╃秼" w:eastAsia="鐎瑰╃秼"/>
                <w:color w:val="000000"/>
                <w:sz w:val="21"/>
                <w:szCs w:val="21"/>
              </w:rPr>
            </w:pPr>
          </w:p>
        </w:tc>
      </w:tr>
      <w:tr w14:paraId="24445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454E5C4">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E14F5B8">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0154A4C4">
            <w:pPr>
              <w:spacing w:line="240" w:lineRule="auto"/>
              <w:jc w:val="left"/>
              <w:rPr>
                <w:rFonts w:ascii="仿宋" w:hAnsi="仿宋" w:eastAsia="仿宋" w:cs="仿宋"/>
                <w:color w:val="000000"/>
                <w:sz w:val="21"/>
                <w:szCs w:val="21"/>
              </w:rPr>
            </w:pPr>
          </w:p>
        </w:tc>
        <w:tc>
          <w:tcPr>
            <w:tcW w:w="1577" w:type="pct"/>
          </w:tcPr>
          <w:p w14:paraId="2E49A11F">
            <w:pPr>
              <w:spacing w:line="240" w:lineRule="auto"/>
              <w:jc w:val="left"/>
              <w:rPr>
                <w:rFonts w:hAnsi="宋体"/>
                <w:color w:val="000000"/>
                <w:sz w:val="21"/>
                <w:szCs w:val="21"/>
                <w:lang w:eastAsia="zh-Hans"/>
              </w:rPr>
            </w:pPr>
            <w:r>
              <w:rPr>
                <w:rFonts w:hint="eastAsia" w:hAnsi="宋体"/>
                <w:color w:val="000000"/>
                <w:sz w:val="21"/>
                <w:szCs w:val="21"/>
              </w:rPr>
              <w:t>亚健康调理</w:t>
            </w:r>
          </w:p>
        </w:tc>
        <w:tc>
          <w:tcPr>
            <w:tcW w:w="810" w:type="pct"/>
          </w:tcPr>
          <w:p w14:paraId="3A9910F0">
            <w:pPr>
              <w:spacing w:line="240" w:lineRule="auto"/>
              <w:ind w:firstLine="480"/>
              <w:jc w:val="left"/>
              <w:rPr>
                <w:rFonts w:ascii="鐎瑰╃秼" w:hAnsi="鐎瑰╃秼" w:eastAsia="鐎瑰╃秼"/>
                <w:color w:val="000000"/>
                <w:sz w:val="21"/>
                <w:szCs w:val="21"/>
              </w:rPr>
            </w:pPr>
          </w:p>
        </w:tc>
      </w:tr>
      <w:tr w14:paraId="1D79B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27F562A0">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147C2C6">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02FEA5EF">
            <w:pPr>
              <w:spacing w:line="240" w:lineRule="auto"/>
              <w:jc w:val="left"/>
              <w:rPr>
                <w:rFonts w:ascii="仿宋" w:hAnsi="仿宋" w:eastAsia="仿宋" w:cs="仿宋"/>
                <w:color w:val="000000"/>
                <w:sz w:val="21"/>
                <w:szCs w:val="21"/>
              </w:rPr>
            </w:pPr>
          </w:p>
        </w:tc>
        <w:tc>
          <w:tcPr>
            <w:tcW w:w="1577" w:type="pct"/>
          </w:tcPr>
          <w:p w14:paraId="056CF69B">
            <w:pPr>
              <w:spacing w:line="240" w:lineRule="auto"/>
              <w:jc w:val="left"/>
              <w:rPr>
                <w:rFonts w:hAnsi="宋体"/>
                <w:color w:val="000000"/>
                <w:sz w:val="21"/>
                <w:szCs w:val="21"/>
                <w:lang w:eastAsia="zh-Hans"/>
              </w:rPr>
            </w:pPr>
            <w:r>
              <w:rPr>
                <w:rFonts w:hint="eastAsia" w:hAnsi="宋体"/>
                <w:color w:val="000000"/>
                <w:sz w:val="21"/>
                <w:szCs w:val="21"/>
              </w:rPr>
              <w:t>缓解不适症状</w:t>
            </w:r>
          </w:p>
        </w:tc>
        <w:tc>
          <w:tcPr>
            <w:tcW w:w="810" w:type="pct"/>
          </w:tcPr>
          <w:p w14:paraId="3198FC75">
            <w:pPr>
              <w:spacing w:line="240" w:lineRule="auto"/>
              <w:ind w:firstLine="480"/>
              <w:jc w:val="left"/>
              <w:rPr>
                <w:rFonts w:ascii="鐎瑰╃秼" w:hAnsi="鐎瑰╃秼" w:eastAsia="鐎瑰╃秼"/>
                <w:color w:val="000000"/>
                <w:sz w:val="21"/>
                <w:szCs w:val="21"/>
              </w:rPr>
            </w:pPr>
          </w:p>
        </w:tc>
      </w:tr>
      <w:tr w14:paraId="19E3D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14413FF">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E553CFF">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2AE45108">
            <w:pPr>
              <w:spacing w:line="240" w:lineRule="auto"/>
              <w:jc w:val="left"/>
              <w:rPr>
                <w:rFonts w:ascii="仿宋" w:hAnsi="仿宋" w:eastAsia="仿宋" w:cs="仿宋"/>
                <w:color w:val="000000"/>
                <w:sz w:val="21"/>
                <w:szCs w:val="21"/>
              </w:rPr>
            </w:pPr>
          </w:p>
        </w:tc>
        <w:tc>
          <w:tcPr>
            <w:tcW w:w="1577" w:type="pct"/>
          </w:tcPr>
          <w:p w14:paraId="1E9D3B26">
            <w:pPr>
              <w:spacing w:line="240" w:lineRule="auto"/>
              <w:jc w:val="left"/>
              <w:rPr>
                <w:rFonts w:hAnsi="宋体"/>
                <w:color w:val="000000"/>
                <w:sz w:val="21"/>
                <w:szCs w:val="21"/>
                <w:lang w:eastAsia="zh-Hans"/>
              </w:rPr>
            </w:pPr>
            <w:r>
              <w:rPr>
                <w:rFonts w:hint="eastAsia" w:hAnsi="宋体"/>
                <w:color w:val="000000"/>
                <w:sz w:val="21"/>
                <w:szCs w:val="21"/>
              </w:rPr>
              <w:t>疾病康复</w:t>
            </w:r>
          </w:p>
        </w:tc>
        <w:tc>
          <w:tcPr>
            <w:tcW w:w="810" w:type="pct"/>
          </w:tcPr>
          <w:p w14:paraId="28B360BA">
            <w:pPr>
              <w:spacing w:line="240" w:lineRule="auto"/>
              <w:ind w:firstLine="480"/>
              <w:jc w:val="left"/>
              <w:rPr>
                <w:rFonts w:ascii="鐎瑰╃秼" w:hAnsi="鐎瑰╃秼" w:eastAsia="鐎瑰╃秼"/>
                <w:color w:val="000000"/>
                <w:sz w:val="21"/>
                <w:szCs w:val="21"/>
              </w:rPr>
            </w:pPr>
          </w:p>
        </w:tc>
      </w:tr>
      <w:tr w14:paraId="44293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0D93F22">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EA67F9E">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78E7ED8F">
            <w:pPr>
              <w:spacing w:line="240" w:lineRule="auto"/>
              <w:jc w:val="left"/>
              <w:rPr>
                <w:rFonts w:ascii="仿宋" w:hAnsi="仿宋" w:eastAsia="仿宋" w:cs="仿宋"/>
                <w:color w:val="000000"/>
                <w:sz w:val="21"/>
                <w:szCs w:val="21"/>
              </w:rPr>
            </w:pPr>
          </w:p>
        </w:tc>
        <w:tc>
          <w:tcPr>
            <w:tcW w:w="1577" w:type="pct"/>
          </w:tcPr>
          <w:p w14:paraId="2F0AF356">
            <w:pPr>
              <w:spacing w:line="240" w:lineRule="auto"/>
              <w:jc w:val="left"/>
              <w:rPr>
                <w:rFonts w:hAnsi="宋体"/>
                <w:color w:val="000000"/>
                <w:sz w:val="21"/>
                <w:szCs w:val="21"/>
                <w:lang w:eastAsia="zh-Hans"/>
              </w:rPr>
            </w:pPr>
            <w:r>
              <w:rPr>
                <w:rFonts w:hint="eastAsia" w:hAnsi="宋体"/>
                <w:color w:val="000000"/>
                <w:sz w:val="21"/>
                <w:szCs w:val="21"/>
              </w:rPr>
              <w:t>健康方案打卡</w:t>
            </w:r>
          </w:p>
        </w:tc>
        <w:tc>
          <w:tcPr>
            <w:tcW w:w="810" w:type="pct"/>
          </w:tcPr>
          <w:p w14:paraId="73159CF2">
            <w:pPr>
              <w:spacing w:line="240" w:lineRule="auto"/>
              <w:ind w:firstLine="480"/>
              <w:jc w:val="left"/>
              <w:rPr>
                <w:rFonts w:ascii="鐎瑰╃秼" w:hAnsi="鐎瑰╃秼" w:eastAsia="鐎瑰╃秼"/>
                <w:color w:val="000000"/>
                <w:sz w:val="21"/>
                <w:szCs w:val="21"/>
              </w:rPr>
            </w:pPr>
          </w:p>
        </w:tc>
      </w:tr>
      <w:tr w14:paraId="53AF3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1A7DD757">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F3CD6A4">
            <w:pPr>
              <w:spacing w:line="240" w:lineRule="auto"/>
              <w:ind w:firstLine="480"/>
              <w:jc w:val="left"/>
              <w:rPr>
                <w:rFonts w:ascii="仿宋" w:hAnsi="仿宋" w:eastAsia="仿宋" w:cs="仿宋"/>
                <w:color w:val="000000"/>
                <w:sz w:val="21"/>
                <w:szCs w:val="21"/>
                <w:lang w:eastAsia="zh-Hans"/>
              </w:rPr>
            </w:pPr>
          </w:p>
        </w:tc>
        <w:tc>
          <w:tcPr>
            <w:tcW w:w="939" w:type="pct"/>
            <w:vAlign w:val="center"/>
          </w:tcPr>
          <w:p w14:paraId="40519CE1">
            <w:pPr>
              <w:spacing w:line="240" w:lineRule="auto"/>
              <w:jc w:val="left"/>
              <w:rPr>
                <w:rFonts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健康档案</w:t>
            </w:r>
          </w:p>
        </w:tc>
        <w:tc>
          <w:tcPr>
            <w:tcW w:w="1577" w:type="pct"/>
            <w:vAlign w:val="center"/>
          </w:tcPr>
          <w:p w14:paraId="301823BB">
            <w:pPr>
              <w:spacing w:line="240" w:lineRule="auto"/>
              <w:jc w:val="left"/>
              <w:rPr>
                <w:rFonts w:hAnsi="宋体" w:cs="仿宋"/>
                <w:color w:val="000000"/>
                <w:sz w:val="21"/>
                <w:szCs w:val="21"/>
                <w:lang w:eastAsia="zh-Hans"/>
              </w:rPr>
            </w:pPr>
            <w:r>
              <w:rPr>
                <w:rFonts w:hint="eastAsia" w:hAnsi="宋体" w:cs="仿宋"/>
                <w:color w:val="000000"/>
                <w:sz w:val="21"/>
                <w:szCs w:val="21"/>
              </w:rPr>
              <w:t>电子健康档案</w:t>
            </w:r>
          </w:p>
        </w:tc>
        <w:tc>
          <w:tcPr>
            <w:tcW w:w="810" w:type="pct"/>
          </w:tcPr>
          <w:p w14:paraId="52ECB098">
            <w:pPr>
              <w:spacing w:line="240" w:lineRule="auto"/>
              <w:ind w:firstLine="480"/>
              <w:jc w:val="left"/>
              <w:rPr>
                <w:rFonts w:ascii="鐎瑰╃秼" w:hAnsi="鐎瑰╃秼" w:eastAsia="鐎瑰╃秼"/>
                <w:color w:val="000000"/>
                <w:sz w:val="21"/>
                <w:szCs w:val="21"/>
              </w:rPr>
            </w:pPr>
          </w:p>
        </w:tc>
      </w:tr>
      <w:tr w14:paraId="0A8FF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180AE8F6">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D3DD057">
            <w:pPr>
              <w:spacing w:line="240" w:lineRule="auto"/>
              <w:ind w:firstLine="480"/>
              <w:jc w:val="left"/>
              <w:rPr>
                <w:rFonts w:ascii="仿宋" w:hAnsi="仿宋" w:eastAsia="仿宋" w:cs="仿宋"/>
                <w:color w:val="000000"/>
                <w:sz w:val="21"/>
                <w:szCs w:val="21"/>
                <w:lang w:eastAsia="zh-Hans"/>
              </w:rPr>
            </w:pPr>
          </w:p>
        </w:tc>
        <w:tc>
          <w:tcPr>
            <w:tcW w:w="939" w:type="pct"/>
            <w:vMerge w:val="restart"/>
            <w:vAlign w:val="center"/>
          </w:tcPr>
          <w:p w14:paraId="528AEA2F">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健康教育</w:t>
            </w:r>
          </w:p>
        </w:tc>
        <w:tc>
          <w:tcPr>
            <w:tcW w:w="1577" w:type="pct"/>
          </w:tcPr>
          <w:p w14:paraId="6F55E512">
            <w:pPr>
              <w:spacing w:line="240" w:lineRule="auto"/>
              <w:jc w:val="left"/>
              <w:rPr>
                <w:rFonts w:hAnsi="宋体"/>
                <w:color w:val="000000"/>
                <w:sz w:val="21"/>
                <w:szCs w:val="21"/>
              </w:rPr>
            </w:pPr>
            <w:r>
              <w:rPr>
                <w:rFonts w:hint="eastAsia" w:hAnsi="宋体"/>
                <w:color w:val="000000"/>
                <w:sz w:val="21"/>
                <w:szCs w:val="21"/>
              </w:rPr>
              <w:t>图文宣教</w:t>
            </w:r>
          </w:p>
        </w:tc>
        <w:tc>
          <w:tcPr>
            <w:tcW w:w="810" w:type="pct"/>
          </w:tcPr>
          <w:p w14:paraId="60148EA5">
            <w:pPr>
              <w:spacing w:line="240" w:lineRule="auto"/>
              <w:ind w:firstLine="480"/>
              <w:jc w:val="left"/>
              <w:rPr>
                <w:rFonts w:ascii="鐎瑰╃秼" w:hAnsi="鐎瑰╃秼" w:eastAsia="鐎瑰╃秼"/>
                <w:color w:val="000000"/>
                <w:sz w:val="21"/>
                <w:szCs w:val="21"/>
              </w:rPr>
            </w:pPr>
          </w:p>
        </w:tc>
      </w:tr>
      <w:tr w14:paraId="3DE38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156F45F8">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B28ACC9">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179FAD53">
            <w:pPr>
              <w:spacing w:line="240" w:lineRule="auto"/>
              <w:jc w:val="left"/>
              <w:rPr>
                <w:rFonts w:ascii="仿宋" w:hAnsi="仿宋" w:eastAsia="仿宋" w:cs="仿宋"/>
                <w:color w:val="000000"/>
                <w:sz w:val="21"/>
                <w:szCs w:val="21"/>
                <w:lang w:eastAsia="zh-Hans"/>
              </w:rPr>
            </w:pPr>
          </w:p>
        </w:tc>
        <w:tc>
          <w:tcPr>
            <w:tcW w:w="1577" w:type="pct"/>
          </w:tcPr>
          <w:p w14:paraId="5AF2A7D2">
            <w:pPr>
              <w:spacing w:line="240" w:lineRule="auto"/>
              <w:jc w:val="left"/>
              <w:rPr>
                <w:rFonts w:hAnsi="宋体"/>
                <w:color w:val="000000"/>
                <w:sz w:val="21"/>
                <w:szCs w:val="21"/>
                <w:lang w:eastAsia="zh-Hans"/>
              </w:rPr>
            </w:pPr>
            <w:r>
              <w:rPr>
                <w:rFonts w:hint="eastAsia" w:hAnsi="宋体"/>
                <w:color w:val="000000"/>
                <w:sz w:val="21"/>
                <w:szCs w:val="21"/>
              </w:rPr>
              <w:t>健康讲堂</w:t>
            </w:r>
          </w:p>
        </w:tc>
        <w:tc>
          <w:tcPr>
            <w:tcW w:w="810" w:type="pct"/>
          </w:tcPr>
          <w:p w14:paraId="4BDBE78A">
            <w:pPr>
              <w:spacing w:line="240" w:lineRule="auto"/>
              <w:ind w:firstLine="480"/>
              <w:jc w:val="left"/>
              <w:rPr>
                <w:rFonts w:ascii="鐎瑰╃秼" w:hAnsi="鐎瑰╃秼" w:eastAsia="鐎瑰╃秼"/>
                <w:color w:val="000000"/>
                <w:sz w:val="21"/>
                <w:szCs w:val="21"/>
              </w:rPr>
            </w:pPr>
          </w:p>
        </w:tc>
      </w:tr>
      <w:tr w14:paraId="586A9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548F367D">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B3D5AEA">
            <w:pPr>
              <w:spacing w:line="240" w:lineRule="auto"/>
              <w:ind w:firstLine="480"/>
              <w:jc w:val="left"/>
              <w:rPr>
                <w:rFonts w:ascii="仿宋" w:hAnsi="仿宋" w:eastAsia="仿宋" w:cs="仿宋"/>
                <w:color w:val="000000"/>
                <w:sz w:val="21"/>
                <w:szCs w:val="21"/>
                <w:lang w:eastAsia="zh-Hans"/>
              </w:rPr>
            </w:pPr>
          </w:p>
        </w:tc>
        <w:tc>
          <w:tcPr>
            <w:tcW w:w="939" w:type="pct"/>
            <w:vMerge w:val="restart"/>
            <w:vAlign w:val="center"/>
          </w:tcPr>
          <w:p w14:paraId="22E7E9CC">
            <w:pPr>
              <w:spacing w:line="240" w:lineRule="auto"/>
              <w:jc w:val="left"/>
              <w:rPr>
                <w:rFonts w:ascii="仿宋" w:hAnsi="仿宋" w:eastAsia="仿宋" w:cs="仿宋"/>
                <w:color w:val="000000"/>
                <w:sz w:val="21"/>
                <w:szCs w:val="21"/>
                <w:lang w:eastAsia="zh-Hans"/>
              </w:rPr>
            </w:pPr>
            <w:r>
              <w:rPr>
                <w:rFonts w:hint="eastAsia" w:ascii="仿宋" w:hAnsi="仿宋" w:eastAsia="仿宋" w:cs="仿宋"/>
                <w:color w:val="000000"/>
                <w:sz w:val="21"/>
                <w:szCs w:val="21"/>
              </w:rPr>
              <w:t>中医药方案库</w:t>
            </w:r>
          </w:p>
        </w:tc>
        <w:tc>
          <w:tcPr>
            <w:tcW w:w="1577" w:type="pct"/>
          </w:tcPr>
          <w:p w14:paraId="58811E77">
            <w:pPr>
              <w:spacing w:line="240" w:lineRule="auto"/>
              <w:jc w:val="left"/>
              <w:rPr>
                <w:rFonts w:hAnsi="宋体"/>
                <w:color w:val="000000"/>
                <w:sz w:val="21"/>
                <w:szCs w:val="21"/>
                <w:lang w:eastAsia="zh-Hans"/>
              </w:rPr>
            </w:pPr>
            <w:r>
              <w:rPr>
                <w:rFonts w:hint="eastAsia" w:hAnsi="宋体"/>
                <w:color w:val="000000"/>
                <w:sz w:val="21"/>
                <w:szCs w:val="21"/>
              </w:rPr>
              <w:t>药食同源及常用中药材</w:t>
            </w:r>
          </w:p>
        </w:tc>
        <w:tc>
          <w:tcPr>
            <w:tcW w:w="810" w:type="pct"/>
          </w:tcPr>
          <w:p w14:paraId="5B28B932">
            <w:pPr>
              <w:spacing w:line="240" w:lineRule="auto"/>
              <w:ind w:firstLine="480"/>
              <w:jc w:val="left"/>
              <w:rPr>
                <w:rFonts w:ascii="鐎瑰╃秼" w:hAnsi="鐎瑰╃秼" w:eastAsia="鐎瑰╃秼"/>
                <w:color w:val="000000"/>
                <w:sz w:val="21"/>
                <w:szCs w:val="21"/>
              </w:rPr>
            </w:pPr>
          </w:p>
        </w:tc>
      </w:tr>
      <w:tr w14:paraId="52CE3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8F9D3C5">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9F618A9">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493E1AA7">
            <w:pPr>
              <w:spacing w:line="240" w:lineRule="auto"/>
              <w:jc w:val="left"/>
              <w:rPr>
                <w:rFonts w:ascii="仿宋" w:hAnsi="仿宋" w:eastAsia="仿宋" w:cs="仿宋"/>
                <w:color w:val="000000"/>
                <w:sz w:val="21"/>
                <w:szCs w:val="21"/>
                <w:lang w:eastAsia="zh-Hans"/>
              </w:rPr>
            </w:pPr>
          </w:p>
        </w:tc>
        <w:tc>
          <w:tcPr>
            <w:tcW w:w="1577" w:type="pct"/>
          </w:tcPr>
          <w:p w14:paraId="7D10468C">
            <w:pPr>
              <w:spacing w:line="240" w:lineRule="auto"/>
              <w:jc w:val="left"/>
              <w:rPr>
                <w:rFonts w:hAnsi="宋体"/>
                <w:color w:val="000000"/>
                <w:sz w:val="21"/>
                <w:szCs w:val="21"/>
                <w:lang w:eastAsia="zh-Hans"/>
              </w:rPr>
            </w:pPr>
            <w:r>
              <w:rPr>
                <w:rFonts w:hint="eastAsia" w:hAnsi="宋体"/>
                <w:color w:val="000000"/>
                <w:sz w:val="21"/>
                <w:szCs w:val="21"/>
              </w:rPr>
              <w:t>常用穴位保健</w:t>
            </w:r>
          </w:p>
        </w:tc>
        <w:tc>
          <w:tcPr>
            <w:tcW w:w="810" w:type="pct"/>
          </w:tcPr>
          <w:p w14:paraId="007ED947">
            <w:pPr>
              <w:spacing w:line="240" w:lineRule="auto"/>
              <w:ind w:firstLine="480"/>
              <w:jc w:val="left"/>
              <w:rPr>
                <w:rFonts w:ascii="鐎瑰╃秼" w:hAnsi="鐎瑰╃秼" w:eastAsia="鐎瑰╃秼"/>
                <w:color w:val="000000"/>
                <w:sz w:val="21"/>
                <w:szCs w:val="21"/>
              </w:rPr>
            </w:pPr>
          </w:p>
        </w:tc>
      </w:tr>
      <w:tr w14:paraId="56B71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8CFAD3A">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25A4EBC">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2A230939">
            <w:pPr>
              <w:spacing w:line="240" w:lineRule="auto"/>
              <w:jc w:val="left"/>
              <w:rPr>
                <w:rFonts w:ascii="仿宋" w:hAnsi="仿宋" w:eastAsia="仿宋" w:cs="仿宋"/>
                <w:color w:val="000000"/>
                <w:sz w:val="21"/>
                <w:szCs w:val="21"/>
                <w:lang w:eastAsia="zh-Hans"/>
              </w:rPr>
            </w:pPr>
          </w:p>
        </w:tc>
        <w:tc>
          <w:tcPr>
            <w:tcW w:w="1577" w:type="pct"/>
          </w:tcPr>
          <w:p w14:paraId="6E9FBF81">
            <w:pPr>
              <w:spacing w:line="240" w:lineRule="auto"/>
              <w:jc w:val="left"/>
              <w:rPr>
                <w:rFonts w:hAnsi="宋体"/>
                <w:color w:val="000000"/>
                <w:sz w:val="21"/>
                <w:szCs w:val="21"/>
                <w:lang w:eastAsia="zh-Hans"/>
              </w:rPr>
            </w:pPr>
            <w:r>
              <w:rPr>
                <w:rFonts w:hint="eastAsia" w:hAnsi="宋体"/>
                <w:color w:val="000000"/>
                <w:sz w:val="21"/>
                <w:szCs w:val="21"/>
              </w:rPr>
              <w:t>中医导引运动</w:t>
            </w:r>
          </w:p>
        </w:tc>
        <w:tc>
          <w:tcPr>
            <w:tcW w:w="810" w:type="pct"/>
          </w:tcPr>
          <w:p w14:paraId="2231E018">
            <w:pPr>
              <w:spacing w:line="240" w:lineRule="auto"/>
              <w:ind w:firstLine="480"/>
              <w:jc w:val="left"/>
              <w:rPr>
                <w:rFonts w:ascii="鐎瑰╃秼" w:hAnsi="鐎瑰╃秼" w:eastAsia="鐎瑰╃秼"/>
                <w:color w:val="000000"/>
                <w:sz w:val="21"/>
                <w:szCs w:val="21"/>
              </w:rPr>
            </w:pPr>
          </w:p>
        </w:tc>
      </w:tr>
      <w:tr w14:paraId="7B945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50061F83">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376B1E3">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6D62B9C6">
            <w:pPr>
              <w:spacing w:line="240" w:lineRule="auto"/>
              <w:jc w:val="left"/>
              <w:rPr>
                <w:rFonts w:ascii="仿宋" w:hAnsi="仿宋" w:eastAsia="仿宋" w:cs="仿宋"/>
                <w:color w:val="000000"/>
                <w:sz w:val="21"/>
                <w:szCs w:val="21"/>
                <w:lang w:eastAsia="zh-Hans"/>
              </w:rPr>
            </w:pPr>
          </w:p>
        </w:tc>
        <w:tc>
          <w:tcPr>
            <w:tcW w:w="1577" w:type="pct"/>
          </w:tcPr>
          <w:p w14:paraId="4B70D265">
            <w:pPr>
              <w:spacing w:line="240" w:lineRule="auto"/>
              <w:jc w:val="left"/>
              <w:rPr>
                <w:rFonts w:hAnsi="宋体"/>
                <w:color w:val="000000"/>
                <w:sz w:val="21"/>
                <w:szCs w:val="21"/>
                <w:lang w:eastAsia="zh-Hans"/>
              </w:rPr>
            </w:pPr>
            <w:r>
              <w:rPr>
                <w:rFonts w:hint="eastAsia" w:hAnsi="宋体"/>
                <w:color w:val="000000"/>
                <w:sz w:val="21"/>
                <w:szCs w:val="21"/>
              </w:rPr>
              <w:t>家庭药膳制作</w:t>
            </w:r>
          </w:p>
        </w:tc>
        <w:tc>
          <w:tcPr>
            <w:tcW w:w="810" w:type="pct"/>
          </w:tcPr>
          <w:p w14:paraId="6A49D1EB">
            <w:pPr>
              <w:spacing w:line="240" w:lineRule="auto"/>
              <w:ind w:firstLine="480"/>
              <w:jc w:val="left"/>
              <w:rPr>
                <w:rFonts w:ascii="鐎瑰╃秼" w:hAnsi="鐎瑰╃秼" w:eastAsia="鐎瑰╃秼"/>
                <w:color w:val="000000"/>
                <w:sz w:val="21"/>
                <w:szCs w:val="21"/>
              </w:rPr>
            </w:pPr>
          </w:p>
        </w:tc>
      </w:tr>
      <w:tr w14:paraId="28907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5000" w:type="pct"/>
            <w:gridSpan w:val="5"/>
            <w:shd w:val="clear" w:color="auto" w:fill="DAEEF3"/>
            <w:vAlign w:val="center"/>
          </w:tcPr>
          <w:p w14:paraId="640036BB">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应用五、互联网智慧共享中药房</w:t>
            </w:r>
          </w:p>
        </w:tc>
      </w:tr>
      <w:tr w14:paraId="088BC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shd w:val="clear" w:color="auto" w:fill="DAEEF3"/>
            <w:vAlign w:val="center"/>
          </w:tcPr>
          <w:p w14:paraId="51223B76">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序号</w:t>
            </w:r>
          </w:p>
        </w:tc>
        <w:tc>
          <w:tcPr>
            <w:tcW w:w="924" w:type="pct"/>
            <w:shd w:val="clear" w:color="auto" w:fill="DAEEF3"/>
            <w:vAlign w:val="center"/>
          </w:tcPr>
          <w:p w14:paraId="570BF2C5">
            <w:pPr>
              <w:spacing w:line="240" w:lineRule="auto"/>
              <w:jc w:val="center"/>
              <w:rPr>
                <w:rFonts w:ascii="仿宋" w:hAnsi="仿宋" w:eastAsia="仿宋" w:cs="仿宋"/>
                <w:color w:val="000000"/>
                <w:sz w:val="21"/>
                <w:szCs w:val="21"/>
                <w:lang w:eastAsia="zh-Hans"/>
              </w:rPr>
            </w:pPr>
            <w:r>
              <w:rPr>
                <w:rFonts w:hint="eastAsia" w:ascii="仿宋" w:hAnsi="仿宋" w:eastAsia="仿宋" w:cs="仿宋"/>
                <w:b/>
                <w:bCs/>
                <w:color w:val="000000"/>
                <w:sz w:val="21"/>
                <w:szCs w:val="21"/>
              </w:rPr>
              <w:t>建设模块</w:t>
            </w:r>
          </w:p>
        </w:tc>
        <w:tc>
          <w:tcPr>
            <w:tcW w:w="939" w:type="pct"/>
            <w:shd w:val="clear" w:color="auto" w:fill="DAEEF3"/>
            <w:vAlign w:val="center"/>
          </w:tcPr>
          <w:p w14:paraId="555C0712">
            <w:pPr>
              <w:spacing w:line="240" w:lineRule="auto"/>
              <w:jc w:val="center"/>
              <w:rPr>
                <w:rFonts w:ascii="仿宋" w:hAnsi="仿宋" w:eastAsia="仿宋" w:cs="仿宋"/>
                <w:color w:val="000000"/>
                <w:sz w:val="21"/>
                <w:szCs w:val="21"/>
              </w:rPr>
            </w:pPr>
            <w:r>
              <w:rPr>
                <w:rFonts w:hint="eastAsia" w:ascii="仿宋" w:hAnsi="仿宋" w:eastAsia="仿宋" w:cs="仿宋"/>
                <w:b/>
                <w:bCs/>
                <w:color w:val="000000"/>
                <w:sz w:val="21"/>
                <w:szCs w:val="21"/>
              </w:rPr>
              <w:t>一级功能</w:t>
            </w:r>
          </w:p>
        </w:tc>
        <w:tc>
          <w:tcPr>
            <w:tcW w:w="1577" w:type="pct"/>
            <w:shd w:val="clear" w:color="auto" w:fill="DAEEF3"/>
            <w:vAlign w:val="center"/>
          </w:tcPr>
          <w:p w14:paraId="15B37BBD">
            <w:pPr>
              <w:spacing w:line="240" w:lineRule="auto"/>
              <w:jc w:val="center"/>
              <w:rPr>
                <w:rFonts w:ascii="仿宋" w:hAnsi="仿宋" w:eastAsia="仿宋" w:cs="仿宋"/>
                <w:color w:val="000000"/>
                <w:sz w:val="21"/>
                <w:szCs w:val="21"/>
              </w:rPr>
            </w:pPr>
            <w:r>
              <w:rPr>
                <w:rFonts w:hint="eastAsia" w:ascii="仿宋" w:hAnsi="仿宋" w:eastAsia="仿宋" w:cs="仿宋"/>
                <w:b/>
                <w:bCs/>
                <w:color w:val="000000"/>
                <w:sz w:val="21"/>
                <w:szCs w:val="21"/>
              </w:rPr>
              <w:t>二级功能</w:t>
            </w:r>
          </w:p>
        </w:tc>
        <w:tc>
          <w:tcPr>
            <w:tcW w:w="810" w:type="pct"/>
            <w:shd w:val="clear" w:color="auto" w:fill="DAEEF3"/>
            <w:vAlign w:val="center"/>
          </w:tcPr>
          <w:p w14:paraId="3356C9CE">
            <w:pPr>
              <w:spacing w:line="240" w:lineRule="auto"/>
              <w:jc w:val="center"/>
              <w:rPr>
                <w:rFonts w:ascii="仿宋" w:hAnsi="仿宋" w:eastAsia="仿宋" w:cs="仿宋"/>
                <w:color w:val="000000"/>
                <w:sz w:val="21"/>
                <w:szCs w:val="21"/>
              </w:rPr>
            </w:pPr>
            <w:r>
              <w:rPr>
                <w:rFonts w:hint="eastAsia" w:ascii="仿宋" w:hAnsi="仿宋" w:eastAsia="仿宋" w:cs="仿宋"/>
                <w:b/>
                <w:bCs/>
                <w:color w:val="000000"/>
                <w:sz w:val="21"/>
                <w:szCs w:val="21"/>
              </w:rPr>
              <w:t>备注</w:t>
            </w:r>
          </w:p>
        </w:tc>
      </w:tr>
      <w:tr w14:paraId="22788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CA21207">
            <w:pPr>
              <w:numPr>
                <w:ilvl w:val="0"/>
                <w:numId w:val="2"/>
              </w:numPr>
              <w:spacing w:line="240" w:lineRule="auto"/>
              <w:jc w:val="left"/>
              <w:rPr>
                <w:rFonts w:ascii="仿宋" w:hAnsi="仿宋" w:eastAsia="仿宋" w:cs="仿宋"/>
                <w:color w:val="000000"/>
                <w:sz w:val="21"/>
                <w:szCs w:val="21"/>
              </w:rPr>
            </w:pPr>
            <w:bookmarkStart w:id="65" w:name="_Hlk146282764"/>
            <w:bookmarkStart w:id="66" w:name="_Hlk146282626"/>
          </w:p>
        </w:tc>
        <w:tc>
          <w:tcPr>
            <w:tcW w:w="924" w:type="pct"/>
            <w:vMerge w:val="restart"/>
            <w:vAlign w:val="center"/>
          </w:tcPr>
          <w:p w14:paraId="3006213C">
            <w:pPr>
              <w:spacing w:line="240" w:lineRule="auto"/>
              <w:jc w:val="left"/>
              <w:rPr>
                <w:rFonts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智慧共享中药房服务平台</w:t>
            </w:r>
          </w:p>
        </w:tc>
        <w:tc>
          <w:tcPr>
            <w:tcW w:w="939" w:type="pct"/>
            <w:vMerge w:val="restart"/>
            <w:vAlign w:val="center"/>
          </w:tcPr>
          <w:p w14:paraId="70CA41B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lang w:eastAsia="zh-Hans"/>
              </w:rPr>
              <w:t>软件部分：本地部署的共享中药房系统</w:t>
            </w:r>
          </w:p>
        </w:tc>
        <w:tc>
          <w:tcPr>
            <w:tcW w:w="1577" w:type="pct"/>
            <w:vAlign w:val="center"/>
          </w:tcPr>
          <w:p w14:paraId="6E139F2C">
            <w:pPr>
              <w:spacing w:line="240" w:lineRule="auto"/>
              <w:jc w:val="left"/>
              <w:rPr>
                <w:rFonts w:hint="eastAsia"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电子处方对接</w:t>
            </w:r>
          </w:p>
        </w:tc>
        <w:tc>
          <w:tcPr>
            <w:tcW w:w="810" w:type="pct"/>
          </w:tcPr>
          <w:p w14:paraId="2BED9701">
            <w:pPr>
              <w:spacing w:line="240" w:lineRule="auto"/>
              <w:ind w:firstLine="480"/>
              <w:jc w:val="left"/>
              <w:rPr>
                <w:rFonts w:ascii="瀹嬩綋" w:hAnsi="瀹嬩綋" w:eastAsia="瀹嬩綋"/>
                <w:color w:val="000000"/>
                <w:sz w:val="21"/>
                <w:szCs w:val="21"/>
              </w:rPr>
            </w:pPr>
          </w:p>
        </w:tc>
      </w:tr>
      <w:tr w14:paraId="4448C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76E154E1">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C20C839">
            <w:pPr>
              <w:spacing w:line="240" w:lineRule="auto"/>
              <w:jc w:val="left"/>
              <w:rPr>
                <w:rFonts w:ascii="仿宋" w:hAnsi="仿宋" w:eastAsia="仿宋" w:cs="仿宋"/>
                <w:color w:val="000000"/>
                <w:sz w:val="21"/>
                <w:szCs w:val="21"/>
                <w:lang w:eastAsia="zh-Hans"/>
              </w:rPr>
            </w:pPr>
          </w:p>
        </w:tc>
        <w:tc>
          <w:tcPr>
            <w:tcW w:w="939" w:type="pct"/>
            <w:vMerge w:val="continue"/>
            <w:vAlign w:val="center"/>
          </w:tcPr>
          <w:p w14:paraId="5239F764">
            <w:pPr>
              <w:spacing w:line="240" w:lineRule="auto"/>
              <w:jc w:val="left"/>
              <w:rPr>
                <w:rFonts w:ascii="仿宋" w:hAnsi="仿宋" w:eastAsia="仿宋" w:cs="仿宋"/>
                <w:color w:val="000000"/>
                <w:sz w:val="21"/>
                <w:szCs w:val="21"/>
              </w:rPr>
            </w:pPr>
          </w:p>
        </w:tc>
        <w:tc>
          <w:tcPr>
            <w:tcW w:w="1577" w:type="pct"/>
            <w:vAlign w:val="center"/>
          </w:tcPr>
          <w:p w14:paraId="7776AF67">
            <w:pPr>
              <w:spacing w:line="240" w:lineRule="auto"/>
              <w:jc w:val="left"/>
              <w:rPr>
                <w:rFonts w:hint="eastAsia"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配方煎药管理</w:t>
            </w:r>
          </w:p>
        </w:tc>
        <w:tc>
          <w:tcPr>
            <w:tcW w:w="810" w:type="pct"/>
          </w:tcPr>
          <w:p w14:paraId="61D2B4B7">
            <w:pPr>
              <w:spacing w:line="240" w:lineRule="auto"/>
              <w:ind w:firstLine="480"/>
              <w:jc w:val="left"/>
              <w:rPr>
                <w:rFonts w:ascii="瀹嬩綋" w:hAnsi="瀹嬩綋" w:eastAsia="瀹嬩綋"/>
                <w:color w:val="000000"/>
                <w:sz w:val="21"/>
                <w:szCs w:val="21"/>
              </w:rPr>
            </w:pPr>
          </w:p>
        </w:tc>
      </w:tr>
      <w:tr w14:paraId="152B0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55994CB2">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BD70EC7">
            <w:pPr>
              <w:spacing w:line="240" w:lineRule="auto"/>
              <w:jc w:val="left"/>
              <w:rPr>
                <w:rFonts w:ascii="仿宋" w:hAnsi="仿宋" w:eastAsia="仿宋" w:cs="仿宋"/>
                <w:color w:val="000000"/>
                <w:sz w:val="21"/>
                <w:szCs w:val="21"/>
                <w:lang w:eastAsia="zh-Hans"/>
              </w:rPr>
            </w:pPr>
          </w:p>
        </w:tc>
        <w:tc>
          <w:tcPr>
            <w:tcW w:w="939" w:type="pct"/>
            <w:vMerge w:val="continue"/>
            <w:vAlign w:val="center"/>
          </w:tcPr>
          <w:p w14:paraId="2BD9A704">
            <w:pPr>
              <w:spacing w:line="240" w:lineRule="auto"/>
              <w:jc w:val="left"/>
              <w:rPr>
                <w:rFonts w:ascii="仿宋" w:hAnsi="仿宋" w:eastAsia="仿宋" w:cs="仿宋"/>
                <w:color w:val="000000"/>
                <w:sz w:val="21"/>
                <w:szCs w:val="21"/>
              </w:rPr>
            </w:pPr>
          </w:p>
        </w:tc>
        <w:tc>
          <w:tcPr>
            <w:tcW w:w="1577" w:type="pct"/>
            <w:vAlign w:val="center"/>
          </w:tcPr>
          <w:p w14:paraId="0F4F2CA4">
            <w:pPr>
              <w:spacing w:line="240" w:lineRule="auto"/>
              <w:jc w:val="left"/>
              <w:rPr>
                <w:rFonts w:hint="eastAsia"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微信查询</w:t>
            </w:r>
          </w:p>
        </w:tc>
        <w:tc>
          <w:tcPr>
            <w:tcW w:w="810" w:type="pct"/>
          </w:tcPr>
          <w:p w14:paraId="441F31B6">
            <w:pPr>
              <w:spacing w:line="240" w:lineRule="auto"/>
              <w:ind w:firstLine="480"/>
              <w:jc w:val="left"/>
              <w:rPr>
                <w:rFonts w:ascii="瀹嬩綋" w:hAnsi="瀹嬩綋" w:eastAsia="瀹嬩綋"/>
                <w:color w:val="000000"/>
                <w:sz w:val="21"/>
                <w:szCs w:val="21"/>
              </w:rPr>
            </w:pPr>
          </w:p>
        </w:tc>
      </w:tr>
      <w:tr w14:paraId="16846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2826D28">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C16E777">
            <w:pPr>
              <w:spacing w:line="240" w:lineRule="auto"/>
              <w:jc w:val="left"/>
              <w:rPr>
                <w:rFonts w:ascii="仿宋" w:hAnsi="仿宋" w:eastAsia="仿宋" w:cs="仿宋"/>
                <w:color w:val="000000"/>
                <w:sz w:val="21"/>
                <w:szCs w:val="21"/>
                <w:lang w:eastAsia="zh-Hans"/>
              </w:rPr>
            </w:pPr>
          </w:p>
        </w:tc>
        <w:tc>
          <w:tcPr>
            <w:tcW w:w="939" w:type="pct"/>
            <w:vMerge w:val="continue"/>
            <w:vAlign w:val="center"/>
          </w:tcPr>
          <w:p w14:paraId="6A0FEA15">
            <w:pPr>
              <w:spacing w:line="240" w:lineRule="auto"/>
              <w:jc w:val="left"/>
              <w:rPr>
                <w:rFonts w:ascii="仿宋" w:hAnsi="仿宋" w:eastAsia="仿宋" w:cs="仿宋"/>
                <w:color w:val="000000"/>
                <w:sz w:val="21"/>
                <w:szCs w:val="21"/>
              </w:rPr>
            </w:pPr>
          </w:p>
        </w:tc>
        <w:tc>
          <w:tcPr>
            <w:tcW w:w="1577" w:type="pct"/>
            <w:vAlign w:val="center"/>
          </w:tcPr>
          <w:p w14:paraId="138E19A1">
            <w:pPr>
              <w:spacing w:line="240" w:lineRule="auto"/>
              <w:jc w:val="left"/>
              <w:rPr>
                <w:rFonts w:hint="eastAsia"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快递对接</w:t>
            </w:r>
          </w:p>
        </w:tc>
        <w:tc>
          <w:tcPr>
            <w:tcW w:w="810" w:type="pct"/>
          </w:tcPr>
          <w:p w14:paraId="415F147F">
            <w:pPr>
              <w:spacing w:line="240" w:lineRule="auto"/>
              <w:ind w:firstLine="480"/>
              <w:jc w:val="left"/>
              <w:rPr>
                <w:rFonts w:ascii="瀹嬩綋" w:hAnsi="瀹嬩綋" w:eastAsia="瀹嬩綋"/>
                <w:color w:val="000000"/>
                <w:sz w:val="21"/>
                <w:szCs w:val="21"/>
              </w:rPr>
            </w:pPr>
          </w:p>
        </w:tc>
      </w:tr>
      <w:tr w14:paraId="4BD4F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96AF5AF">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B719B4C">
            <w:pPr>
              <w:spacing w:line="240" w:lineRule="auto"/>
              <w:jc w:val="left"/>
              <w:rPr>
                <w:rFonts w:ascii="仿宋" w:hAnsi="仿宋" w:eastAsia="仿宋" w:cs="仿宋"/>
                <w:color w:val="000000"/>
                <w:sz w:val="21"/>
                <w:szCs w:val="21"/>
                <w:lang w:eastAsia="zh-Hans"/>
              </w:rPr>
            </w:pPr>
          </w:p>
        </w:tc>
        <w:tc>
          <w:tcPr>
            <w:tcW w:w="939" w:type="pct"/>
            <w:vMerge w:val="continue"/>
            <w:vAlign w:val="center"/>
          </w:tcPr>
          <w:p w14:paraId="3332334C">
            <w:pPr>
              <w:spacing w:line="240" w:lineRule="auto"/>
              <w:jc w:val="left"/>
              <w:rPr>
                <w:rFonts w:ascii="仿宋" w:hAnsi="仿宋" w:eastAsia="仿宋" w:cs="仿宋"/>
                <w:color w:val="000000"/>
                <w:sz w:val="21"/>
                <w:szCs w:val="21"/>
              </w:rPr>
            </w:pPr>
          </w:p>
        </w:tc>
        <w:tc>
          <w:tcPr>
            <w:tcW w:w="1577" w:type="pct"/>
            <w:vAlign w:val="center"/>
          </w:tcPr>
          <w:p w14:paraId="25D5756B">
            <w:pPr>
              <w:spacing w:line="240" w:lineRule="auto"/>
              <w:jc w:val="left"/>
              <w:rPr>
                <w:rFonts w:hint="eastAsia"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药房管家</w:t>
            </w:r>
          </w:p>
        </w:tc>
        <w:tc>
          <w:tcPr>
            <w:tcW w:w="810" w:type="pct"/>
          </w:tcPr>
          <w:p w14:paraId="1AC147CA">
            <w:pPr>
              <w:spacing w:line="240" w:lineRule="auto"/>
              <w:ind w:firstLine="480"/>
              <w:jc w:val="left"/>
              <w:rPr>
                <w:rFonts w:ascii="瀹嬩綋" w:hAnsi="瀹嬩綋" w:eastAsia="瀹嬩綋"/>
                <w:color w:val="000000"/>
                <w:sz w:val="21"/>
                <w:szCs w:val="21"/>
              </w:rPr>
            </w:pPr>
          </w:p>
        </w:tc>
      </w:tr>
      <w:tr w14:paraId="5F573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1594228C">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50A3974">
            <w:pPr>
              <w:spacing w:line="240" w:lineRule="auto"/>
              <w:jc w:val="left"/>
              <w:rPr>
                <w:rFonts w:ascii="仿宋" w:hAnsi="仿宋" w:eastAsia="仿宋" w:cs="仿宋"/>
                <w:color w:val="000000"/>
                <w:sz w:val="21"/>
                <w:szCs w:val="21"/>
                <w:lang w:eastAsia="zh-Hans"/>
              </w:rPr>
            </w:pPr>
          </w:p>
        </w:tc>
        <w:tc>
          <w:tcPr>
            <w:tcW w:w="939" w:type="pct"/>
            <w:vMerge w:val="continue"/>
            <w:vAlign w:val="center"/>
          </w:tcPr>
          <w:p w14:paraId="5EB40B7E">
            <w:pPr>
              <w:spacing w:line="240" w:lineRule="auto"/>
              <w:jc w:val="left"/>
              <w:rPr>
                <w:rFonts w:ascii="仿宋" w:hAnsi="仿宋" w:eastAsia="仿宋" w:cs="仿宋"/>
                <w:color w:val="000000"/>
                <w:sz w:val="21"/>
                <w:szCs w:val="21"/>
              </w:rPr>
            </w:pPr>
          </w:p>
        </w:tc>
        <w:tc>
          <w:tcPr>
            <w:tcW w:w="1577" w:type="pct"/>
            <w:vAlign w:val="center"/>
          </w:tcPr>
          <w:p w14:paraId="3DEFDB89">
            <w:pPr>
              <w:spacing w:line="240" w:lineRule="auto"/>
              <w:jc w:val="left"/>
              <w:rPr>
                <w:rFonts w:hint="eastAsia"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仓储管理</w:t>
            </w:r>
          </w:p>
        </w:tc>
        <w:tc>
          <w:tcPr>
            <w:tcW w:w="810" w:type="pct"/>
          </w:tcPr>
          <w:p w14:paraId="582B7C74">
            <w:pPr>
              <w:spacing w:line="240" w:lineRule="auto"/>
              <w:ind w:firstLine="480"/>
              <w:jc w:val="left"/>
              <w:rPr>
                <w:rFonts w:ascii="瀹嬩綋" w:hAnsi="瀹嬩綋" w:eastAsia="瀹嬩綋"/>
                <w:color w:val="000000"/>
                <w:sz w:val="21"/>
                <w:szCs w:val="21"/>
              </w:rPr>
            </w:pPr>
          </w:p>
        </w:tc>
      </w:tr>
      <w:tr w14:paraId="360EB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E0832BA">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A085D94">
            <w:pPr>
              <w:spacing w:line="240" w:lineRule="auto"/>
              <w:jc w:val="left"/>
              <w:rPr>
                <w:rFonts w:ascii="仿宋" w:hAnsi="仿宋" w:eastAsia="仿宋" w:cs="仿宋"/>
                <w:color w:val="000000"/>
                <w:sz w:val="21"/>
                <w:szCs w:val="21"/>
                <w:lang w:eastAsia="zh-Hans"/>
              </w:rPr>
            </w:pPr>
          </w:p>
        </w:tc>
        <w:tc>
          <w:tcPr>
            <w:tcW w:w="939" w:type="pct"/>
            <w:vMerge w:val="continue"/>
            <w:vAlign w:val="center"/>
          </w:tcPr>
          <w:p w14:paraId="1763759B">
            <w:pPr>
              <w:spacing w:line="240" w:lineRule="auto"/>
              <w:jc w:val="left"/>
              <w:rPr>
                <w:rFonts w:ascii="仿宋" w:hAnsi="仿宋" w:eastAsia="仿宋" w:cs="仿宋"/>
                <w:color w:val="000000"/>
                <w:sz w:val="21"/>
                <w:szCs w:val="21"/>
              </w:rPr>
            </w:pPr>
          </w:p>
        </w:tc>
        <w:tc>
          <w:tcPr>
            <w:tcW w:w="1577" w:type="pct"/>
            <w:vAlign w:val="center"/>
          </w:tcPr>
          <w:p w14:paraId="1942DA4F">
            <w:pPr>
              <w:spacing w:line="240" w:lineRule="auto"/>
              <w:jc w:val="left"/>
              <w:rPr>
                <w:rFonts w:hint="eastAsia"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财务管理</w:t>
            </w:r>
          </w:p>
        </w:tc>
        <w:tc>
          <w:tcPr>
            <w:tcW w:w="810" w:type="pct"/>
          </w:tcPr>
          <w:p w14:paraId="6953F016">
            <w:pPr>
              <w:spacing w:line="240" w:lineRule="auto"/>
              <w:ind w:firstLine="480"/>
              <w:jc w:val="left"/>
              <w:rPr>
                <w:rFonts w:ascii="瀹嬩綋" w:hAnsi="瀹嬩綋" w:eastAsia="瀹嬩綋"/>
                <w:color w:val="000000"/>
                <w:sz w:val="21"/>
                <w:szCs w:val="21"/>
              </w:rPr>
            </w:pPr>
          </w:p>
        </w:tc>
      </w:tr>
      <w:tr w14:paraId="62959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373D1C5">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4B126AC">
            <w:pPr>
              <w:spacing w:line="240" w:lineRule="auto"/>
              <w:jc w:val="left"/>
              <w:rPr>
                <w:rFonts w:ascii="仿宋" w:hAnsi="仿宋" w:eastAsia="仿宋" w:cs="仿宋"/>
                <w:color w:val="000000"/>
                <w:sz w:val="21"/>
                <w:szCs w:val="21"/>
                <w:lang w:eastAsia="zh-Hans"/>
              </w:rPr>
            </w:pPr>
          </w:p>
        </w:tc>
        <w:tc>
          <w:tcPr>
            <w:tcW w:w="939" w:type="pct"/>
            <w:vMerge w:val="continue"/>
            <w:vAlign w:val="center"/>
          </w:tcPr>
          <w:p w14:paraId="779B879D">
            <w:pPr>
              <w:spacing w:line="240" w:lineRule="auto"/>
              <w:jc w:val="left"/>
              <w:rPr>
                <w:rFonts w:ascii="仿宋" w:hAnsi="仿宋" w:eastAsia="仿宋" w:cs="仿宋"/>
                <w:color w:val="000000"/>
                <w:sz w:val="21"/>
                <w:szCs w:val="21"/>
              </w:rPr>
            </w:pPr>
          </w:p>
        </w:tc>
        <w:tc>
          <w:tcPr>
            <w:tcW w:w="1577" w:type="pct"/>
            <w:vAlign w:val="center"/>
          </w:tcPr>
          <w:p w14:paraId="301193B8">
            <w:pPr>
              <w:spacing w:line="240" w:lineRule="auto"/>
              <w:jc w:val="left"/>
              <w:rPr>
                <w:rFonts w:hint="eastAsia"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基础管理</w:t>
            </w:r>
          </w:p>
        </w:tc>
        <w:tc>
          <w:tcPr>
            <w:tcW w:w="810" w:type="pct"/>
          </w:tcPr>
          <w:p w14:paraId="74BD989B">
            <w:pPr>
              <w:spacing w:line="240" w:lineRule="auto"/>
              <w:ind w:firstLine="480"/>
              <w:jc w:val="left"/>
              <w:rPr>
                <w:rFonts w:ascii="瀹嬩綋" w:hAnsi="瀹嬩綋" w:eastAsia="瀹嬩綋"/>
                <w:color w:val="000000"/>
                <w:sz w:val="21"/>
                <w:szCs w:val="21"/>
              </w:rPr>
            </w:pPr>
          </w:p>
        </w:tc>
      </w:tr>
      <w:tr w14:paraId="30F91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145B4637">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4D8DA1D">
            <w:pPr>
              <w:spacing w:line="240" w:lineRule="auto"/>
              <w:jc w:val="left"/>
              <w:rPr>
                <w:rFonts w:ascii="仿宋" w:hAnsi="仿宋" w:eastAsia="仿宋" w:cs="仿宋"/>
                <w:color w:val="000000"/>
                <w:sz w:val="21"/>
                <w:szCs w:val="21"/>
                <w:lang w:eastAsia="zh-Hans"/>
              </w:rPr>
            </w:pPr>
          </w:p>
        </w:tc>
        <w:tc>
          <w:tcPr>
            <w:tcW w:w="939" w:type="pct"/>
            <w:vMerge w:val="continue"/>
            <w:vAlign w:val="center"/>
          </w:tcPr>
          <w:p w14:paraId="6884E528">
            <w:pPr>
              <w:spacing w:line="240" w:lineRule="auto"/>
              <w:jc w:val="left"/>
              <w:rPr>
                <w:rFonts w:ascii="仿宋" w:hAnsi="仿宋" w:eastAsia="仿宋" w:cs="仿宋"/>
                <w:color w:val="000000"/>
                <w:sz w:val="21"/>
                <w:szCs w:val="21"/>
              </w:rPr>
            </w:pPr>
          </w:p>
        </w:tc>
        <w:tc>
          <w:tcPr>
            <w:tcW w:w="1577" w:type="pct"/>
            <w:vAlign w:val="center"/>
          </w:tcPr>
          <w:p w14:paraId="4C8BE8DA">
            <w:pPr>
              <w:spacing w:line="240" w:lineRule="auto"/>
              <w:jc w:val="left"/>
              <w:rPr>
                <w:rFonts w:hint="eastAsia"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上架发药</w:t>
            </w:r>
          </w:p>
        </w:tc>
        <w:tc>
          <w:tcPr>
            <w:tcW w:w="810" w:type="pct"/>
          </w:tcPr>
          <w:p w14:paraId="528D73FE">
            <w:pPr>
              <w:spacing w:line="240" w:lineRule="auto"/>
              <w:ind w:firstLine="480"/>
              <w:jc w:val="left"/>
              <w:rPr>
                <w:rFonts w:ascii="瀹嬩綋" w:hAnsi="瀹嬩綋" w:eastAsia="瀹嬩綋"/>
                <w:color w:val="000000"/>
                <w:sz w:val="21"/>
                <w:szCs w:val="21"/>
              </w:rPr>
            </w:pPr>
          </w:p>
        </w:tc>
      </w:tr>
      <w:tr w14:paraId="137F4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7996850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AEA57F8">
            <w:pPr>
              <w:spacing w:line="240" w:lineRule="auto"/>
              <w:jc w:val="left"/>
              <w:rPr>
                <w:rFonts w:ascii="仿宋" w:hAnsi="仿宋" w:eastAsia="仿宋" w:cs="仿宋"/>
                <w:color w:val="000000"/>
                <w:sz w:val="21"/>
                <w:szCs w:val="21"/>
                <w:lang w:eastAsia="zh-Hans"/>
              </w:rPr>
            </w:pPr>
          </w:p>
        </w:tc>
        <w:tc>
          <w:tcPr>
            <w:tcW w:w="939" w:type="pct"/>
            <w:vMerge w:val="continue"/>
            <w:vAlign w:val="center"/>
          </w:tcPr>
          <w:p w14:paraId="6F115FB5">
            <w:pPr>
              <w:spacing w:line="240" w:lineRule="auto"/>
              <w:jc w:val="left"/>
              <w:rPr>
                <w:rFonts w:ascii="仿宋" w:hAnsi="仿宋" w:eastAsia="仿宋" w:cs="仿宋"/>
                <w:color w:val="000000"/>
                <w:sz w:val="21"/>
                <w:szCs w:val="21"/>
              </w:rPr>
            </w:pPr>
          </w:p>
        </w:tc>
        <w:tc>
          <w:tcPr>
            <w:tcW w:w="1577" w:type="pct"/>
            <w:vAlign w:val="center"/>
          </w:tcPr>
          <w:p w14:paraId="18650FD2">
            <w:pPr>
              <w:spacing w:line="240" w:lineRule="auto"/>
              <w:jc w:val="left"/>
              <w:rPr>
                <w:rFonts w:hint="eastAsia"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报表统计</w:t>
            </w:r>
          </w:p>
        </w:tc>
        <w:tc>
          <w:tcPr>
            <w:tcW w:w="810" w:type="pct"/>
          </w:tcPr>
          <w:p w14:paraId="57E3C1C4">
            <w:pPr>
              <w:spacing w:line="240" w:lineRule="auto"/>
              <w:ind w:firstLine="480"/>
              <w:jc w:val="left"/>
              <w:rPr>
                <w:rFonts w:ascii="瀹嬩綋" w:hAnsi="瀹嬩綋" w:eastAsia="瀹嬩綋"/>
                <w:color w:val="000000"/>
                <w:sz w:val="21"/>
                <w:szCs w:val="21"/>
              </w:rPr>
            </w:pPr>
          </w:p>
        </w:tc>
      </w:tr>
      <w:tr w14:paraId="22D40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795A6A44">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C4A3B44">
            <w:pPr>
              <w:spacing w:line="240" w:lineRule="auto"/>
              <w:jc w:val="left"/>
              <w:rPr>
                <w:rFonts w:ascii="仿宋" w:hAnsi="仿宋" w:eastAsia="仿宋" w:cs="仿宋"/>
                <w:color w:val="000000"/>
                <w:sz w:val="21"/>
                <w:szCs w:val="21"/>
                <w:lang w:eastAsia="zh-Hans"/>
              </w:rPr>
            </w:pPr>
          </w:p>
        </w:tc>
        <w:tc>
          <w:tcPr>
            <w:tcW w:w="939" w:type="pct"/>
            <w:vMerge w:val="continue"/>
            <w:vAlign w:val="center"/>
          </w:tcPr>
          <w:p w14:paraId="3CD09550">
            <w:pPr>
              <w:spacing w:line="240" w:lineRule="auto"/>
              <w:jc w:val="left"/>
              <w:rPr>
                <w:rFonts w:ascii="仿宋" w:hAnsi="仿宋" w:eastAsia="仿宋" w:cs="仿宋"/>
                <w:color w:val="000000"/>
                <w:sz w:val="21"/>
                <w:szCs w:val="21"/>
              </w:rPr>
            </w:pPr>
          </w:p>
        </w:tc>
        <w:tc>
          <w:tcPr>
            <w:tcW w:w="1577" w:type="pct"/>
            <w:vAlign w:val="center"/>
          </w:tcPr>
          <w:p w14:paraId="1C8ACDB7">
            <w:pPr>
              <w:spacing w:line="240" w:lineRule="auto"/>
              <w:jc w:val="left"/>
              <w:rPr>
                <w:rFonts w:hint="eastAsia"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大屏展示</w:t>
            </w:r>
          </w:p>
        </w:tc>
        <w:tc>
          <w:tcPr>
            <w:tcW w:w="810" w:type="pct"/>
          </w:tcPr>
          <w:p w14:paraId="00964BBF">
            <w:pPr>
              <w:spacing w:line="240" w:lineRule="auto"/>
              <w:ind w:firstLine="480"/>
              <w:jc w:val="left"/>
              <w:rPr>
                <w:rFonts w:ascii="瀹嬩綋" w:hAnsi="瀹嬩綋" w:eastAsia="瀹嬩綋"/>
                <w:color w:val="000000"/>
                <w:sz w:val="21"/>
                <w:szCs w:val="21"/>
              </w:rPr>
            </w:pPr>
          </w:p>
        </w:tc>
      </w:tr>
      <w:tr w14:paraId="2C3EA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73CC443B">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9DC8004">
            <w:pPr>
              <w:spacing w:line="240" w:lineRule="auto"/>
              <w:jc w:val="left"/>
              <w:rPr>
                <w:rFonts w:ascii="仿宋" w:hAnsi="仿宋" w:eastAsia="仿宋" w:cs="仿宋"/>
                <w:color w:val="000000"/>
                <w:sz w:val="21"/>
                <w:szCs w:val="21"/>
                <w:lang w:eastAsia="zh-Hans"/>
              </w:rPr>
            </w:pPr>
          </w:p>
        </w:tc>
        <w:tc>
          <w:tcPr>
            <w:tcW w:w="939" w:type="pct"/>
            <w:vMerge w:val="continue"/>
            <w:vAlign w:val="center"/>
          </w:tcPr>
          <w:p w14:paraId="1BED691F">
            <w:pPr>
              <w:spacing w:line="240" w:lineRule="auto"/>
              <w:jc w:val="left"/>
              <w:rPr>
                <w:rFonts w:ascii="仿宋" w:hAnsi="仿宋" w:eastAsia="仿宋" w:cs="仿宋"/>
                <w:color w:val="000000"/>
                <w:sz w:val="21"/>
                <w:szCs w:val="21"/>
              </w:rPr>
            </w:pPr>
          </w:p>
        </w:tc>
        <w:tc>
          <w:tcPr>
            <w:tcW w:w="1577" w:type="pct"/>
            <w:vAlign w:val="center"/>
          </w:tcPr>
          <w:p w14:paraId="53673152">
            <w:pPr>
              <w:spacing w:line="240" w:lineRule="auto"/>
              <w:jc w:val="left"/>
              <w:rPr>
                <w:rFonts w:hint="eastAsia"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手持管理</w:t>
            </w:r>
          </w:p>
        </w:tc>
        <w:tc>
          <w:tcPr>
            <w:tcW w:w="810" w:type="pct"/>
          </w:tcPr>
          <w:p w14:paraId="31408D0A">
            <w:pPr>
              <w:spacing w:line="240" w:lineRule="auto"/>
              <w:ind w:firstLine="480"/>
              <w:jc w:val="left"/>
              <w:rPr>
                <w:rFonts w:ascii="瀹嬩綋" w:hAnsi="瀹嬩綋" w:eastAsia="瀹嬩綋"/>
                <w:color w:val="000000"/>
                <w:sz w:val="21"/>
                <w:szCs w:val="21"/>
              </w:rPr>
            </w:pPr>
          </w:p>
        </w:tc>
      </w:tr>
      <w:tr w14:paraId="741C5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F4ECF9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10D4553">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2F88AAB3">
            <w:pPr>
              <w:spacing w:line="240" w:lineRule="auto"/>
              <w:ind w:firstLine="480"/>
              <w:jc w:val="left"/>
              <w:rPr>
                <w:rFonts w:ascii="仿宋" w:hAnsi="仿宋" w:eastAsia="仿宋" w:cs="仿宋"/>
                <w:color w:val="000000"/>
                <w:sz w:val="21"/>
                <w:szCs w:val="21"/>
              </w:rPr>
            </w:pPr>
          </w:p>
        </w:tc>
        <w:tc>
          <w:tcPr>
            <w:tcW w:w="1577" w:type="pct"/>
            <w:vAlign w:val="center"/>
          </w:tcPr>
          <w:p w14:paraId="2AA7209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lang w:eastAsia="zh-Hans"/>
              </w:rPr>
              <w:t>对接浙江中药在线平台</w:t>
            </w:r>
          </w:p>
        </w:tc>
        <w:tc>
          <w:tcPr>
            <w:tcW w:w="810" w:type="pct"/>
          </w:tcPr>
          <w:p w14:paraId="08306A36">
            <w:pPr>
              <w:spacing w:line="240" w:lineRule="auto"/>
              <w:ind w:firstLine="480"/>
              <w:jc w:val="left"/>
              <w:rPr>
                <w:rFonts w:ascii="瀹嬩綋" w:hAnsi="瀹嬩綋" w:eastAsia="瀹嬩綋"/>
                <w:color w:val="000000"/>
                <w:sz w:val="21"/>
                <w:szCs w:val="21"/>
              </w:rPr>
            </w:pPr>
          </w:p>
        </w:tc>
      </w:tr>
      <w:bookmarkEnd w:id="65"/>
      <w:bookmarkEnd w:id="66"/>
      <w:tr w14:paraId="154ED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5000" w:type="pct"/>
            <w:gridSpan w:val="5"/>
            <w:shd w:val="clear" w:color="auto" w:fill="DAEEF3"/>
            <w:vAlign w:val="center"/>
          </w:tcPr>
          <w:p w14:paraId="751A85BB">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应用六、互联网中医健康商城</w:t>
            </w:r>
          </w:p>
        </w:tc>
      </w:tr>
      <w:tr w14:paraId="7E98C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shd w:val="clear" w:color="auto" w:fill="DAEEF3"/>
            <w:vAlign w:val="center"/>
          </w:tcPr>
          <w:p w14:paraId="4F373C30">
            <w:pPr>
              <w:spacing w:line="240" w:lineRule="auto"/>
              <w:jc w:val="left"/>
              <w:rPr>
                <w:rFonts w:ascii="仿宋" w:hAnsi="仿宋" w:eastAsia="仿宋" w:cs="仿宋"/>
                <w:b/>
                <w:bCs/>
                <w:color w:val="000000"/>
                <w:sz w:val="21"/>
                <w:szCs w:val="21"/>
              </w:rPr>
            </w:pPr>
            <w:r>
              <w:rPr>
                <w:rFonts w:hint="eastAsia" w:ascii="仿宋" w:hAnsi="仿宋" w:eastAsia="仿宋" w:cs="仿宋"/>
                <w:b/>
                <w:bCs/>
                <w:color w:val="000000"/>
                <w:sz w:val="21"/>
                <w:szCs w:val="21"/>
              </w:rPr>
              <w:t>序号</w:t>
            </w:r>
          </w:p>
        </w:tc>
        <w:tc>
          <w:tcPr>
            <w:tcW w:w="924" w:type="pct"/>
            <w:shd w:val="clear" w:color="auto" w:fill="DAEEF3"/>
            <w:vAlign w:val="center"/>
          </w:tcPr>
          <w:p w14:paraId="0B9154BF">
            <w:pPr>
              <w:spacing w:line="240" w:lineRule="auto"/>
              <w:jc w:val="left"/>
              <w:rPr>
                <w:rFonts w:ascii="仿宋" w:hAnsi="仿宋" w:eastAsia="仿宋" w:cs="仿宋"/>
                <w:color w:val="000000"/>
                <w:sz w:val="21"/>
                <w:szCs w:val="21"/>
                <w:lang w:eastAsia="zh-Hans"/>
              </w:rPr>
            </w:pPr>
            <w:r>
              <w:rPr>
                <w:rFonts w:hint="eastAsia" w:ascii="仿宋" w:hAnsi="仿宋" w:eastAsia="仿宋" w:cs="仿宋"/>
                <w:b/>
                <w:bCs/>
                <w:color w:val="000000"/>
                <w:sz w:val="21"/>
                <w:szCs w:val="21"/>
              </w:rPr>
              <w:t>建设模块</w:t>
            </w:r>
          </w:p>
        </w:tc>
        <w:tc>
          <w:tcPr>
            <w:tcW w:w="939" w:type="pct"/>
            <w:shd w:val="clear" w:color="auto" w:fill="DAEEF3"/>
            <w:vAlign w:val="center"/>
          </w:tcPr>
          <w:p w14:paraId="747BADF9">
            <w:pPr>
              <w:spacing w:line="240" w:lineRule="auto"/>
              <w:jc w:val="left"/>
              <w:rPr>
                <w:rFonts w:ascii="仿宋" w:hAnsi="仿宋" w:eastAsia="仿宋" w:cs="仿宋"/>
                <w:color w:val="000000"/>
                <w:sz w:val="21"/>
                <w:szCs w:val="21"/>
              </w:rPr>
            </w:pPr>
            <w:r>
              <w:rPr>
                <w:rFonts w:hint="eastAsia" w:ascii="仿宋" w:hAnsi="仿宋" w:eastAsia="仿宋" w:cs="仿宋"/>
                <w:b/>
                <w:bCs/>
                <w:color w:val="000000"/>
                <w:sz w:val="21"/>
                <w:szCs w:val="21"/>
              </w:rPr>
              <w:t>一级功能</w:t>
            </w:r>
          </w:p>
        </w:tc>
        <w:tc>
          <w:tcPr>
            <w:tcW w:w="1577" w:type="pct"/>
            <w:shd w:val="clear" w:color="auto" w:fill="DAEEF3"/>
            <w:vAlign w:val="center"/>
          </w:tcPr>
          <w:p w14:paraId="3236AD68">
            <w:pPr>
              <w:spacing w:line="240" w:lineRule="auto"/>
              <w:jc w:val="left"/>
              <w:rPr>
                <w:rFonts w:ascii="仿宋" w:hAnsi="仿宋" w:eastAsia="仿宋" w:cs="仿宋"/>
                <w:color w:val="000000"/>
                <w:sz w:val="21"/>
                <w:szCs w:val="21"/>
              </w:rPr>
            </w:pPr>
            <w:r>
              <w:rPr>
                <w:rFonts w:hint="eastAsia" w:ascii="仿宋" w:hAnsi="仿宋" w:eastAsia="仿宋" w:cs="仿宋"/>
                <w:b/>
                <w:bCs/>
                <w:color w:val="000000"/>
                <w:sz w:val="21"/>
                <w:szCs w:val="21"/>
              </w:rPr>
              <w:t>二级功能</w:t>
            </w:r>
          </w:p>
        </w:tc>
        <w:tc>
          <w:tcPr>
            <w:tcW w:w="810" w:type="pct"/>
            <w:shd w:val="clear" w:color="auto" w:fill="DAEEF3"/>
            <w:vAlign w:val="center"/>
          </w:tcPr>
          <w:p w14:paraId="0759CDF4">
            <w:pPr>
              <w:spacing w:line="240" w:lineRule="auto"/>
              <w:jc w:val="left"/>
              <w:rPr>
                <w:rFonts w:ascii="仿宋" w:hAnsi="仿宋" w:eastAsia="仿宋" w:cs="仿宋"/>
                <w:color w:val="000000"/>
                <w:sz w:val="21"/>
                <w:szCs w:val="21"/>
              </w:rPr>
            </w:pPr>
            <w:r>
              <w:rPr>
                <w:rFonts w:hint="eastAsia" w:ascii="仿宋" w:hAnsi="仿宋" w:eastAsia="仿宋" w:cs="仿宋"/>
                <w:b/>
                <w:bCs/>
                <w:color w:val="000000"/>
                <w:sz w:val="21"/>
                <w:szCs w:val="21"/>
              </w:rPr>
              <w:t>备注</w:t>
            </w:r>
          </w:p>
        </w:tc>
      </w:tr>
      <w:tr w14:paraId="5FD86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E4359BA">
            <w:pPr>
              <w:numPr>
                <w:ilvl w:val="0"/>
                <w:numId w:val="2"/>
              </w:numPr>
              <w:spacing w:line="240" w:lineRule="auto"/>
              <w:jc w:val="left"/>
              <w:rPr>
                <w:rFonts w:ascii="仿宋" w:hAnsi="仿宋" w:eastAsia="仿宋" w:cs="仿宋"/>
                <w:color w:val="000000"/>
                <w:sz w:val="21"/>
                <w:szCs w:val="21"/>
              </w:rPr>
            </w:pPr>
            <w:bookmarkStart w:id="67" w:name="_Hlk146283099"/>
            <w:bookmarkStart w:id="68" w:name="_Hlk146283024"/>
          </w:p>
        </w:tc>
        <w:tc>
          <w:tcPr>
            <w:tcW w:w="924" w:type="pct"/>
            <w:vMerge w:val="restart"/>
            <w:vAlign w:val="center"/>
          </w:tcPr>
          <w:p w14:paraId="099AD7FF">
            <w:pPr>
              <w:spacing w:line="240" w:lineRule="auto"/>
              <w:jc w:val="left"/>
              <w:rPr>
                <w:rFonts w:ascii="仿宋" w:hAnsi="仿宋" w:eastAsia="仿宋" w:cs="仿宋"/>
                <w:color w:val="000000"/>
                <w:sz w:val="21"/>
                <w:szCs w:val="21"/>
                <w:lang w:eastAsia="zh-Hans"/>
              </w:rPr>
            </w:pPr>
            <w:r>
              <w:rPr>
                <w:rFonts w:hint="eastAsia" w:ascii="仿宋" w:hAnsi="仿宋" w:eastAsia="仿宋" w:cs="仿宋"/>
                <w:color w:val="000000"/>
                <w:sz w:val="21"/>
                <w:szCs w:val="21"/>
                <w:lang w:eastAsia="zh-Hans"/>
              </w:rPr>
              <w:t>互联网中医健康商城</w:t>
            </w:r>
          </w:p>
        </w:tc>
        <w:tc>
          <w:tcPr>
            <w:tcW w:w="939" w:type="pct"/>
            <w:vMerge w:val="restart"/>
            <w:vAlign w:val="center"/>
          </w:tcPr>
          <w:p w14:paraId="2A2A839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患者端</w:t>
            </w:r>
          </w:p>
        </w:tc>
        <w:tc>
          <w:tcPr>
            <w:tcW w:w="1577" w:type="pct"/>
            <w:vAlign w:val="center"/>
          </w:tcPr>
          <w:p w14:paraId="11C40AA5">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商城首页</w:t>
            </w:r>
          </w:p>
        </w:tc>
        <w:tc>
          <w:tcPr>
            <w:tcW w:w="810" w:type="pct"/>
          </w:tcPr>
          <w:p w14:paraId="42A00550">
            <w:pPr>
              <w:spacing w:line="240" w:lineRule="auto"/>
              <w:ind w:firstLine="480"/>
              <w:jc w:val="left"/>
              <w:rPr>
                <w:rFonts w:ascii="鐎瑰╃秼" w:hAnsi="鐎瑰╃秼" w:eastAsia="鐎瑰╃秼"/>
                <w:color w:val="000000"/>
                <w:sz w:val="21"/>
                <w:szCs w:val="21"/>
              </w:rPr>
            </w:pPr>
          </w:p>
        </w:tc>
      </w:tr>
      <w:tr w14:paraId="024D5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7D2BC9DC">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5139BCA">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1DE5F797">
            <w:pPr>
              <w:spacing w:line="240" w:lineRule="auto"/>
              <w:ind w:firstLine="480"/>
              <w:jc w:val="left"/>
              <w:rPr>
                <w:rFonts w:ascii="仿宋" w:hAnsi="仿宋" w:eastAsia="仿宋" w:cs="仿宋"/>
                <w:color w:val="000000"/>
                <w:sz w:val="21"/>
                <w:szCs w:val="21"/>
              </w:rPr>
            </w:pPr>
          </w:p>
        </w:tc>
        <w:tc>
          <w:tcPr>
            <w:tcW w:w="1577" w:type="pct"/>
            <w:vAlign w:val="center"/>
          </w:tcPr>
          <w:p w14:paraId="63C41B6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商品详情</w:t>
            </w:r>
          </w:p>
        </w:tc>
        <w:tc>
          <w:tcPr>
            <w:tcW w:w="810" w:type="pct"/>
          </w:tcPr>
          <w:p w14:paraId="6256D824">
            <w:pPr>
              <w:spacing w:line="240" w:lineRule="auto"/>
              <w:ind w:firstLine="480"/>
              <w:jc w:val="left"/>
              <w:rPr>
                <w:rFonts w:ascii="鐎瑰╃秼" w:hAnsi="鐎瑰╃秼" w:eastAsia="鐎瑰╃秼"/>
                <w:color w:val="000000"/>
                <w:sz w:val="21"/>
                <w:szCs w:val="21"/>
              </w:rPr>
            </w:pPr>
          </w:p>
        </w:tc>
      </w:tr>
      <w:tr w14:paraId="02B1E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2F9807DA">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FA2194A">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74CF2EF1">
            <w:pPr>
              <w:spacing w:line="240" w:lineRule="auto"/>
              <w:ind w:firstLine="480"/>
              <w:jc w:val="left"/>
              <w:rPr>
                <w:rFonts w:ascii="仿宋" w:hAnsi="仿宋" w:eastAsia="仿宋" w:cs="仿宋"/>
                <w:color w:val="000000"/>
                <w:sz w:val="21"/>
                <w:szCs w:val="21"/>
              </w:rPr>
            </w:pPr>
          </w:p>
        </w:tc>
        <w:tc>
          <w:tcPr>
            <w:tcW w:w="1577" w:type="pct"/>
            <w:vAlign w:val="center"/>
          </w:tcPr>
          <w:p w14:paraId="192A8CBD">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商品下单</w:t>
            </w:r>
          </w:p>
        </w:tc>
        <w:tc>
          <w:tcPr>
            <w:tcW w:w="810" w:type="pct"/>
          </w:tcPr>
          <w:p w14:paraId="1C3FB5F8">
            <w:pPr>
              <w:spacing w:line="240" w:lineRule="auto"/>
              <w:ind w:firstLine="480"/>
              <w:jc w:val="left"/>
              <w:rPr>
                <w:rFonts w:ascii="鐎瑰╃秼" w:hAnsi="鐎瑰╃秼" w:eastAsia="鐎瑰╃秼"/>
                <w:color w:val="000000"/>
                <w:sz w:val="21"/>
                <w:szCs w:val="21"/>
              </w:rPr>
            </w:pPr>
          </w:p>
        </w:tc>
      </w:tr>
      <w:tr w14:paraId="76C4B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451E23B">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0CBBC0C7">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7C501AF0">
            <w:pPr>
              <w:spacing w:line="240" w:lineRule="auto"/>
              <w:ind w:firstLine="480"/>
              <w:jc w:val="left"/>
              <w:rPr>
                <w:rFonts w:ascii="仿宋" w:hAnsi="仿宋" w:eastAsia="仿宋" w:cs="仿宋"/>
                <w:color w:val="000000"/>
                <w:sz w:val="21"/>
                <w:szCs w:val="21"/>
              </w:rPr>
            </w:pPr>
          </w:p>
        </w:tc>
        <w:tc>
          <w:tcPr>
            <w:tcW w:w="1577" w:type="pct"/>
            <w:vAlign w:val="center"/>
          </w:tcPr>
          <w:p w14:paraId="28228A1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购买支付</w:t>
            </w:r>
          </w:p>
        </w:tc>
        <w:tc>
          <w:tcPr>
            <w:tcW w:w="810" w:type="pct"/>
          </w:tcPr>
          <w:p w14:paraId="0967B3F8">
            <w:pPr>
              <w:spacing w:line="240" w:lineRule="auto"/>
              <w:ind w:firstLine="480"/>
              <w:jc w:val="left"/>
              <w:rPr>
                <w:rFonts w:ascii="鐎瑰╃秼" w:hAnsi="鐎瑰╃秼" w:eastAsia="鐎瑰╃秼"/>
                <w:color w:val="000000"/>
                <w:sz w:val="21"/>
                <w:szCs w:val="21"/>
              </w:rPr>
            </w:pPr>
          </w:p>
        </w:tc>
      </w:tr>
      <w:tr w14:paraId="55D6A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FF67916">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D94ED22">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3608BE43">
            <w:pPr>
              <w:spacing w:line="240" w:lineRule="auto"/>
              <w:ind w:firstLine="480"/>
              <w:jc w:val="left"/>
              <w:rPr>
                <w:rFonts w:ascii="仿宋" w:hAnsi="仿宋" w:eastAsia="仿宋" w:cs="仿宋"/>
                <w:color w:val="000000"/>
                <w:sz w:val="21"/>
                <w:szCs w:val="21"/>
              </w:rPr>
            </w:pPr>
          </w:p>
        </w:tc>
        <w:tc>
          <w:tcPr>
            <w:tcW w:w="1577" w:type="pct"/>
            <w:vAlign w:val="center"/>
          </w:tcPr>
          <w:p w14:paraId="61BE16C9">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商品配送</w:t>
            </w:r>
          </w:p>
        </w:tc>
        <w:tc>
          <w:tcPr>
            <w:tcW w:w="810" w:type="pct"/>
          </w:tcPr>
          <w:p w14:paraId="1FC7B2E1">
            <w:pPr>
              <w:spacing w:line="240" w:lineRule="auto"/>
              <w:ind w:firstLine="480"/>
              <w:jc w:val="left"/>
              <w:rPr>
                <w:rFonts w:ascii="鐎瑰╃秼" w:hAnsi="鐎瑰╃秼" w:eastAsia="鐎瑰╃秼"/>
                <w:color w:val="000000"/>
                <w:sz w:val="21"/>
                <w:szCs w:val="21"/>
              </w:rPr>
            </w:pPr>
          </w:p>
        </w:tc>
      </w:tr>
      <w:bookmarkEnd w:id="67"/>
      <w:tr w14:paraId="48BF7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67B390E">
            <w:pPr>
              <w:numPr>
                <w:ilvl w:val="0"/>
                <w:numId w:val="2"/>
              </w:numPr>
              <w:spacing w:line="240" w:lineRule="auto"/>
              <w:jc w:val="left"/>
              <w:rPr>
                <w:rFonts w:ascii="仿宋" w:hAnsi="仿宋" w:eastAsia="仿宋" w:cs="仿宋"/>
                <w:color w:val="000000"/>
                <w:sz w:val="21"/>
                <w:szCs w:val="21"/>
              </w:rPr>
            </w:pPr>
            <w:bookmarkStart w:id="69" w:name="_Hlk146283144"/>
          </w:p>
        </w:tc>
        <w:tc>
          <w:tcPr>
            <w:tcW w:w="924" w:type="pct"/>
            <w:vMerge w:val="continue"/>
            <w:vAlign w:val="center"/>
          </w:tcPr>
          <w:p w14:paraId="08B8D16D">
            <w:pPr>
              <w:spacing w:line="240" w:lineRule="auto"/>
              <w:ind w:firstLine="480"/>
              <w:jc w:val="left"/>
              <w:rPr>
                <w:rFonts w:ascii="仿宋" w:hAnsi="仿宋" w:eastAsia="仿宋" w:cs="仿宋"/>
                <w:color w:val="000000"/>
                <w:sz w:val="21"/>
                <w:szCs w:val="21"/>
                <w:lang w:eastAsia="zh-Hans"/>
              </w:rPr>
            </w:pPr>
          </w:p>
        </w:tc>
        <w:tc>
          <w:tcPr>
            <w:tcW w:w="939" w:type="pct"/>
            <w:vMerge w:val="restart"/>
            <w:vAlign w:val="center"/>
          </w:tcPr>
          <w:p w14:paraId="4698AAF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管理端</w:t>
            </w:r>
          </w:p>
        </w:tc>
        <w:tc>
          <w:tcPr>
            <w:tcW w:w="1577" w:type="pct"/>
            <w:vAlign w:val="center"/>
          </w:tcPr>
          <w:p w14:paraId="098D0F3A">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商城概况</w:t>
            </w:r>
          </w:p>
        </w:tc>
        <w:tc>
          <w:tcPr>
            <w:tcW w:w="810" w:type="pct"/>
          </w:tcPr>
          <w:p w14:paraId="6EE5DA30">
            <w:pPr>
              <w:spacing w:line="240" w:lineRule="auto"/>
              <w:ind w:firstLine="480"/>
              <w:jc w:val="left"/>
              <w:rPr>
                <w:rFonts w:ascii="鐎瑰╃秼" w:hAnsi="鐎瑰╃秼" w:eastAsia="鐎瑰╃秼"/>
                <w:color w:val="000000"/>
                <w:sz w:val="21"/>
                <w:szCs w:val="21"/>
              </w:rPr>
            </w:pPr>
          </w:p>
        </w:tc>
      </w:tr>
      <w:bookmarkEnd w:id="68"/>
      <w:tr w14:paraId="27512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D145531">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96B8B2B">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7EBA3320">
            <w:pPr>
              <w:spacing w:line="240" w:lineRule="auto"/>
              <w:ind w:firstLine="480"/>
              <w:jc w:val="left"/>
              <w:rPr>
                <w:rFonts w:ascii="仿宋" w:hAnsi="仿宋" w:eastAsia="仿宋" w:cs="仿宋"/>
                <w:color w:val="000000"/>
                <w:sz w:val="21"/>
                <w:szCs w:val="21"/>
              </w:rPr>
            </w:pPr>
          </w:p>
        </w:tc>
        <w:tc>
          <w:tcPr>
            <w:tcW w:w="1577" w:type="pct"/>
            <w:vAlign w:val="center"/>
          </w:tcPr>
          <w:p w14:paraId="366C0F50">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商城设计</w:t>
            </w:r>
          </w:p>
        </w:tc>
        <w:tc>
          <w:tcPr>
            <w:tcW w:w="810" w:type="pct"/>
          </w:tcPr>
          <w:p w14:paraId="5059F1B1">
            <w:pPr>
              <w:spacing w:line="240" w:lineRule="auto"/>
              <w:ind w:firstLine="480"/>
              <w:jc w:val="left"/>
              <w:rPr>
                <w:rFonts w:ascii="鐎瑰╃秼" w:hAnsi="鐎瑰╃秼" w:eastAsia="鐎瑰╃秼"/>
                <w:color w:val="000000"/>
                <w:sz w:val="21"/>
                <w:szCs w:val="21"/>
              </w:rPr>
            </w:pPr>
          </w:p>
        </w:tc>
      </w:tr>
      <w:tr w14:paraId="05937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1A8C4F7D">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7FFF13A9">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22BE812F">
            <w:pPr>
              <w:spacing w:line="240" w:lineRule="auto"/>
              <w:ind w:firstLine="480"/>
              <w:jc w:val="left"/>
              <w:rPr>
                <w:rFonts w:ascii="仿宋" w:hAnsi="仿宋" w:eastAsia="仿宋" w:cs="仿宋"/>
                <w:color w:val="000000"/>
                <w:sz w:val="21"/>
                <w:szCs w:val="21"/>
              </w:rPr>
            </w:pPr>
          </w:p>
        </w:tc>
        <w:tc>
          <w:tcPr>
            <w:tcW w:w="1577" w:type="pct"/>
            <w:vAlign w:val="center"/>
          </w:tcPr>
          <w:p w14:paraId="7EA159B1">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商品配置</w:t>
            </w:r>
          </w:p>
        </w:tc>
        <w:tc>
          <w:tcPr>
            <w:tcW w:w="810" w:type="pct"/>
          </w:tcPr>
          <w:p w14:paraId="5A347A96">
            <w:pPr>
              <w:spacing w:line="240" w:lineRule="auto"/>
              <w:ind w:firstLine="480"/>
              <w:jc w:val="left"/>
              <w:rPr>
                <w:rFonts w:ascii="鐎瑰╃秼" w:hAnsi="鐎瑰╃秼" w:eastAsia="鐎瑰╃秼"/>
                <w:color w:val="000000"/>
                <w:sz w:val="21"/>
                <w:szCs w:val="21"/>
              </w:rPr>
            </w:pPr>
          </w:p>
        </w:tc>
      </w:tr>
      <w:tr w14:paraId="6EF29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93832D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4BF08AEB">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3E23B018">
            <w:pPr>
              <w:spacing w:line="240" w:lineRule="auto"/>
              <w:ind w:firstLine="480"/>
              <w:jc w:val="left"/>
              <w:rPr>
                <w:rFonts w:ascii="仿宋" w:hAnsi="仿宋" w:eastAsia="仿宋" w:cs="仿宋"/>
                <w:color w:val="000000"/>
                <w:sz w:val="21"/>
                <w:szCs w:val="21"/>
              </w:rPr>
            </w:pPr>
          </w:p>
        </w:tc>
        <w:tc>
          <w:tcPr>
            <w:tcW w:w="1577" w:type="pct"/>
            <w:vAlign w:val="center"/>
          </w:tcPr>
          <w:p w14:paraId="572BFF24">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订单管理</w:t>
            </w:r>
          </w:p>
        </w:tc>
        <w:tc>
          <w:tcPr>
            <w:tcW w:w="810" w:type="pct"/>
          </w:tcPr>
          <w:p w14:paraId="3198CBD0">
            <w:pPr>
              <w:spacing w:line="240" w:lineRule="auto"/>
              <w:ind w:firstLine="480"/>
              <w:jc w:val="left"/>
              <w:rPr>
                <w:rFonts w:ascii="鐎瑰╃秼" w:hAnsi="鐎瑰╃秼" w:eastAsia="鐎瑰╃秼"/>
                <w:color w:val="000000"/>
                <w:sz w:val="21"/>
                <w:szCs w:val="21"/>
              </w:rPr>
            </w:pPr>
          </w:p>
        </w:tc>
      </w:tr>
      <w:tr w14:paraId="2D196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1DF67829">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5001185">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264E40E7">
            <w:pPr>
              <w:spacing w:line="240" w:lineRule="auto"/>
              <w:ind w:firstLine="480"/>
              <w:jc w:val="left"/>
              <w:rPr>
                <w:rFonts w:ascii="仿宋" w:hAnsi="仿宋" w:eastAsia="仿宋" w:cs="仿宋"/>
                <w:color w:val="000000"/>
                <w:sz w:val="21"/>
                <w:szCs w:val="21"/>
              </w:rPr>
            </w:pPr>
          </w:p>
        </w:tc>
        <w:tc>
          <w:tcPr>
            <w:tcW w:w="1577" w:type="pct"/>
            <w:vAlign w:val="center"/>
          </w:tcPr>
          <w:p w14:paraId="631A872E">
            <w:pPr>
              <w:spacing w:line="240" w:lineRule="auto"/>
              <w:jc w:val="left"/>
              <w:rPr>
                <w:rFonts w:ascii="仿宋" w:hAnsi="仿宋" w:eastAsia="仿宋" w:cs="仿宋"/>
                <w:color w:val="000000"/>
                <w:sz w:val="21"/>
                <w:szCs w:val="21"/>
              </w:rPr>
            </w:pPr>
            <w:r>
              <w:rPr>
                <w:rFonts w:hint="eastAsia" w:ascii="仿宋" w:hAnsi="仿宋" w:eastAsia="仿宋" w:cs="仿宋"/>
                <w:color w:val="000000"/>
                <w:sz w:val="21"/>
                <w:szCs w:val="21"/>
              </w:rPr>
              <w:t>数据展现</w:t>
            </w:r>
          </w:p>
        </w:tc>
        <w:tc>
          <w:tcPr>
            <w:tcW w:w="810" w:type="pct"/>
          </w:tcPr>
          <w:p w14:paraId="352FCE96">
            <w:pPr>
              <w:spacing w:line="240" w:lineRule="auto"/>
              <w:ind w:firstLine="480"/>
              <w:jc w:val="left"/>
              <w:rPr>
                <w:rFonts w:ascii="鐎瑰╃秼" w:hAnsi="鐎瑰╃秼" w:eastAsia="鐎瑰╃秼"/>
                <w:color w:val="000000"/>
                <w:sz w:val="21"/>
                <w:szCs w:val="21"/>
              </w:rPr>
            </w:pPr>
          </w:p>
        </w:tc>
      </w:tr>
      <w:tr w14:paraId="28037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5000" w:type="pct"/>
            <w:gridSpan w:val="5"/>
            <w:shd w:val="clear" w:color="auto" w:fill="DAEEF3"/>
            <w:vAlign w:val="center"/>
          </w:tcPr>
          <w:p w14:paraId="59198DAC">
            <w:pPr>
              <w:spacing w:line="240" w:lineRule="auto"/>
              <w:jc w:val="center"/>
              <w:rPr>
                <w:rFonts w:ascii="仿宋" w:hAnsi="仿宋" w:eastAsia="仿宋" w:cs="仿宋"/>
                <w:b/>
                <w:bCs/>
                <w:color w:val="000000"/>
                <w:sz w:val="21"/>
                <w:szCs w:val="21"/>
                <w:lang w:eastAsia="zh-Hans"/>
              </w:rPr>
            </w:pPr>
            <w:r>
              <w:rPr>
                <w:rFonts w:hint="eastAsia" w:ascii="仿宋" w:hAnsi="仿宋" w:eastAsia="仿宋" w:cs="仿宋"/>
                <w:b/>
                <w:bCs/>
                <w:color w:val="000000"/>
                <w:sz w:val="21"/>
                <w:szCs w:val="21"/>
              </w:rPr>
              <w:t>应用七、分级诊疗平台</w:t>
            </w:r>
          </w:p>
        </w:tc>
      </w:tr>
      <w:tr w14:paraId="3BEF6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shd w:val="clear" w:color="auto" w:fill="DAEEF3"/>
            <w:vAlign w:val="center"/>
          </w:tcPr>
          <w:p w14:paraId="6CCC584F">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序号</w:t>
            </w:r>
          </w:p>
        </w:tc>
        <w:tc>
          <w:tcPr>
            <w:tcW w:w="924" w:type="pct"/>
            <w:shd w:val="clear" w:color="auto" w:fill="DAEEF3"/>
            <w:vAlign w:val="center"/>
          </w:tcPr>
          <w:p w14:paraId="2ACD5A55">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建设内容</w:t>
            </w:r>
          </w:p>
        </w:tc>
        <w:tc>
          <w:tcPr>
            <w:tcW w:w="939" w:type="pct"/>
            <w:shd w:val="clear" w:color="auto" w:fill="DAEEF3"/>
            <w:vAlign w:val="center"/>
          </w:tcPr>
          <w:p w14:paraId="79543B35">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子系统</w:t>
            </w:r>
          </w:p>
        </w:tc>
        <w:tc>
          <w:tcPr>
            <w:tcW w:w="1577" w:type="pct"/>
            <w:shd w:val="clear" w:color="auto" w:fill="DAEEF3"/>
            <w:vAlign w:val="center"/>
          </w:tcPr>
          <w:p w14:paraId="30E5A2FF">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功能模块</w:t>
            </w:r>
          </w:p>
        </w:tc>
        <w:tc>
          <w:tcPr>
            <w:tcW w:w="810" w:type="pct"/>
            <w:shd w:val="clear" w:color="auto" w:fill="DAEEF3"/>
            <w:vAlign w:val="center"/>
          </w:tcPr>
          <w:p w14:paraId="6FAFDBD2">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备注</w:t>
            </w:r>
          </w:p>
        </w:tc>
      </w:tr>
      <w:tr w14:paraId="3B1A4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71E26D7E">
            <w:pPr>
              <w:numPr>
                <w:ilvl w:val="0"/>
                <w:numId w:val="2"/>
              </w:numPr>
              <w:spacing w:line="240" w:lineRule="auto"/>
              <w:jc w:val="left"/>
              <w:rPr>
                <w:rFonts w:ascii="仿宋" w:hAnsi="仿宋" w:eastAsia="仿宋" w:cs="仿宋"/>
                <w:color w:val="000000"/>
                <w:sz w:val="21"/>
                <w:szCs w:val="21"/>
              </w:rPr>
            </w:pPr>
          </w:p>
        </w:tc>
        <w:tc>
          <w:tcPr>
            <w:tcW w:w="924" w:type="pct"/>
            <w:vMerge w:val="restart"/>
            <w:vAlign w:val="center"/>
          </w:tcPr>
          <w:p w14:paraId="43585A76">
            <w:pPr>
              <w:spacing w:line="240" w:lineRule="auto"/>
              <w:jc w:val="left"/>
              <w:rPr>
                <w:rFonts w:ascii="仿宋" w:hAnsi="仿宋" w:eastAsia="仿宋" w:cs="仿宋"/>
                <w:color w:val="000000"/>
                <w:sz w:val="21"/>
                <w:szCs w:val="21"/>
                <w:lang w:eastAsia="zh-Hans"/>
              </w:rPr>
            </w:pPr>
            <w:r>
              <w:rPr>
                <w:rFonts w:hint="eastAsia" w:ascii="仿宋" w:hAnsi="仿宋" w:eastAsia="仿宋" w:cs="仿宋"/>
                <w:sz w:val="21"/>
                <w:szCs w:val="21"/>
              </w:rPr>
              <w:t>分级诊疗平台</w:t>
            </w:r>
          </w:p>
        </w:tc>
        <w:tc>
          <w:tcPr>
            <w:tcW w:w="939" w:type="pct"/>
            <w:vMerge w:val="restart"/>
            <w:vAlign w:val="center"/>
          </w:tcPr>
          <w:p w14:paraId="4CA1B098">
            <w:pPr>
              <w:spacing w:line="240" w:lineRule="auto"/>
              <w:jc w:val="left"/>
              <w:rPr>
                <w:rFonts w:hint="eastAsia" w:ascii="仿宋" w:hAnsi="仿宋" w:eastAsia="仿宋" w:cs="仿宋"/>
                <w:sz w:val="21"/>
                <w:szCs w:val="21"/>
              </w:rPr>
            </w:pPr>
            <w:r>
              <w:rPr>
                <w:rFonts w:hint="eastAsia" w:ascii="仿宋" w:hAnsi="仿宋" w:eastAsia="仿宋" w:cs="仿宋"/>
                <w:sz w:val="21"/>
                <w:szCs w:val="21"/>
              </w:rPr>
              <w:t>转诊服务中心</w:t>
            </w:r>
          </w:p>
        </w:tc>
        <w:tc>
          <w:tcPr>
            <w:tcW w:w="1577" w:type="pct"/>
            <w:vAlign w:val="center"/>
          </w:tcPr>
          <w:p w14:paraId="6AE78565">
            <w:pPr>
              <w:spacing w:line="240" w:lineRule="auto"/>
              <w:jc w:val="left"/>
              <w:rPr>
                <w:rFonts w:hint="eastAsia" w:ascii="仿宋" w:hAnsi="仿宋" w:eastAsia="仿宋" w:cs="仿宋"/>
                <w:sz w:val="21"/>
                <w:szCs w:val="21"/>
              </w:rPr>
            </w:pPr>
            <w:r>
              <w:rPr>
                <w:rFonts w:hint="eastAsia" w:ascii="仿宋" w:hAnsi="仿宋" w:eastAsia="仿宋" w:cs="仿宋"/>
                <w:sz w:val="21"/>
                <w:szCs w:val="21"/>
              </w:rPr>
              <w:t>门诊转诊服务</w:t>
            </w:r>
          </w:p>
        </w:tc>
        <w:tc>
          <w:tcPr>
            <w:tcW w:w="810" w:type="pct"/>
          </w:tcPr>
          <w:p w14:paraId="504C5BF3">
            <w:pPr>
              <w:spacing w:line="240" w:lineRule="auto"/>
              <w:ind w:firstLine="480"/>
              <w:jc w:val="left"/>
              <w:rPr>
                <w:rFonts w:ascii="瀹嬩綋" w:hAnsi="瀹嬩綋" w:eastAsia="瀹嬩綋"/>
                <w:color w:val="000000"/>
                <w:sz w:val="21"/>
                <w:szCs w:val="21"/>
              </w:rPr>
            </w:pPr>
          </w:p>
        </w:tc>
      </w:tr>
      <w:tr w14:paraId="59BF5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5B5B2D8F">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4259A0D">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3A3FA8C8">
            <w:pPr>
              <w:spacing w:line="240" w:lineRule="auto"/>
              <w:jc w:val="left"/>
              <w:rPr>
                <w:rFonts w:hint="eastAsia" w:ascii="仿宋" w:hAnsi="仿宋" w:eastAsia="仿宋" w:cs="仿宋"/>
                <w:sz w:val="21"/>
                <w:szCs w:val="21"/>
              </w:rPr>
            </w:pPr>
          </w:p>
        </w:tc>
        <w:tc>
          <w:tcPr>
            <w:tcW w:w="1577" w:type="pct"/>
            <w:vAlign w:val="center"/>
          </w:tcPr>
          <w:p w14:paraId="69097704">
            <w:pPr>
              <w:spacing w:line="240" w:lineRule="auto"/>
              <w:jc w:val="left"/>
              <w:rPr>
                <w:rFonts w:hint="eastAsia" w:ascii="仿宋" w:hAnsi="仿宋" w:eastAsia="仿宋" w:cs="仿宋"/>
                <w:sz w:val="21"/>
                <w:szCs w:val="21"/>
              </w:rPr>
            </w:pPr>
            <w:r>
              <w:rPr>
                <w:rFonts w:hint="eastAsia" w:ascii="仿宋" w:hAnsi="仿宋" w:eastAsia="仿宋" w:cs="仿宋"/>
                <w:sz w:val="21"/>
                <w:szCs w:val="21"/>
              </w:rPr>
              <w:t>住院转诊服务</w:t>
            </w:r>
          </w:p>
        </w:tc>
        <w:tc>
          <w:tcPr>
            <w:tcW w:w="810" w:type="pct"/>
          </w:tcPr>
          <w:p w14:paraId="667CBC76">
            <w:pPr>
              <w:spacing w:line="240" w:lineRule="auto"/>
              <w:ind w:firstLine="480"/>
              <w:jc w:val="left"/>
              <w:rPr>
                <w:rFonts w:ascii="瀹嬩綋" w:hAnsi="瀹嬩綋" w:eastAsia="瀹嬩綋"/>
                <w:color w:val="000000"/>
                <w:sz w:val="21"/>
                <w:szCs w:val="21"/>
              </w:rPr>
            </w:pPr>
          </w:p>
        </w:tc>
      </w:tr>
      <w:tr w14:paraId="7B16C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E359F14">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53505093">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0B344D5A">
            <w:pPr>
              <w:spacing w:line="240" w:lineRule="auto"/>
              <w:jc w:val="left"/>
              <w:rPr>
                <w:rFonts w:hint="eastAsia" w:ascii="仿宋" w:hAnsi="仿宋" w:eastAsia="仿宋" w:cs="仿宋"/>
                <w:sz w:val="21"/>
                <w:szCs w:val="21"/>
              </w:rPr>
            </w:pPr>
          </w:p>
        </w:tc>
        <w:tc>
          <w:tcPr>
            <w:tcW w:w="1577" w:type="pct"/>
            <w:vAlign w:val="center"/>
          </w:tcPr>
          <w:p w14:paraId="1B59EA17">
            <w:pPr>
              <w:spacing w:line="240" w:lineRule="auto"/>
              <w:jc w:val="left"/>
              <w:rPr>
                <w:rFonts w:hint="eastAsia" w:ascii="仿宋" w:hAnsi="仿宋" w:eastAsia="仿宋" w:cs="仿宋"/>
                <w:sz w:val="21"/>
                <w:szCs w:val="21"/>
              </w:rPr>
            </w:pPr>
            <w:r>
              <w:rPr>
                <w:rFonts w:hint="eastAsia" w:ascii="仿宋" w:hAnsi="仿宋" w:eastAsia="仿宋" w:cs="仿宋"/>
                <w:sz w:val="21"/>
                <w:szCs w:val="21"/>
              </w:rPr>
              <w:t>下转服务</w:t>
            </w:r>
          </w:p>
        </w:tc>
        <w:tc>
          <w:tcPr>
            <w:tcW w:w="810" w:type="pct"/>
          </w:tcPr>
          <w:p w14:paraId="285200D2">
            <w:pPr>
              <w:spacing w:line="240" w:lineRule="auto"/>
              <w:ind w:firstLine="480"/>
              <w:jc w:val="left"/>
              <w:rPr>
                <w:rFonts w:ascii="瀹嬩綋" w:hAnsi="瀹嬩綋" w:eastAsia="瀹嬩綋"/>
                <w:color w:val="000000"/>
                <w:sz w:val="21"/>
                <w:szCs w:val="21"/>
              </w:rPr>
            </w:pPr>
          </w:p>
        </w:tc>
      </w:tr>
      <w:tr w14:paraId="68A38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2150A95">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5C6E7F3">
            <w:pPr>
              <w:spacing w:line="240" w:lineRule="auto"/>
              <w:ind w:firstLine="480"/>
              <w:jc w:val="left"/>
              <w:rPr>
                <w:rFonts w:ascii="仿宋" w:hAnsi="仿宋" w:eastAsia="仿宋" w:cs="仿宋"/>
                <w:color w:val="000000"/>
                <w:sz w:val="21"/>
                <w:szCs w:val="21"/>
                <w:lang w:eastAsia="zh-Hans"/>
              </w:rPr>
            </w:pPr>
          </w:p>
        </w:tc>
        <w:tc>
          <w:tcPr>
            <w:tcW w:w="939" w:type="pct"/>
            <w:vMerge w:val="restart"/>
            <w:vAlign w:val="center"/>
          </w:tcPr>
          <w:p w14:paraId="5E88C425">
            <w:pPr>
              <w:spacing w:line="240" w:lineRule="auto"/>
              <w:jc w:val="left"/>
              <w:rPr>
                <w:rFonts w:hint="eastAsia" w:ascii="仿宋" w:hAnsi="仿宋" w:eastAsia="仿宋" w:cs="仿宋"/>
                <w:sz w:val="21"/>
                <w:szCs w:val="21"/>
              </w:rPr>
            </w:pPr>
            <w:r>
              <w:rPr>
                <w:rFonts w:hint="eastAsia" w:ascii="仿宋" w:hAnsi="仿宋" w:eastAsia="仿宋" w:cs="仿宋"/>
                <w:sz w:val="21"/>
                <w:szCs w:val="21"/>
              </w:rPr>
              <w:t>会诊服务中心</w:t>
            </w:r>
          </w:p>
        </w:tc>
        <w:tc>
          <w:tcPr>
            <w:tcW w:w="1577" w:type="pct"/>
            <w:vAlign w:val="center"/>
          </w:tcPr>
          <w:p w14:paraId="4A6903A8">
            <w:pPr>
              <w:spacing w:line="240" w:lineRule="auto"/>
              <w:jc w:val="left"/>
              <w:rPr>
                <w:rFonts w:hint="eastAsia" w:ascii="仿宋" w:hAnsi="仿宋" w:eastAsia="仿宋" w:cs="仿宋"/>
                <w:sz w:val="21"/>
                <w:szCs w:val="21"/>
              </w:rPr>
            </w:pPr>
            <w:r>
              <w:rPr>
                <w:rFonts w:hint="eastAsia" w:ascii="仿宋" w:hAnsi="仿宋" w:eastAsia="仿宋" w:cs="仿宋"/>
                <w:sz w:val="21"/>
                <w:szCs w:val="21"/>
              </w:rPr>
              <w:t>远程门诊服务</w:t>
            </w:r>
          </w:p>
        </w:tc>
        <w:tc>
          <w:tcPr>
            <w:tcW w:w="810" w:type="pct"/>
          </w:tcPr>
          <w:p w14:paraId="0867C35E">
            <w:pPr>
              <w:spacing w:line="240" w:lineRule="auto"/>
              <w:ind w:firstLine="480"/>
              <w:jc w:val="left"/>
              <w:rPr>
                <w:rFonts w:ascii="瀹嬩綋" w:hAnsi="瀹嬩綋" w:eastAsia="瀹嬩綋"/>
                <w:color w:val="000000"/>
                <w:sz w:val="21"/>
                <w:szCs w:val="21"/>
              </w:rPr>
            </w:pPr>
          </w:p>
        </w:tc>
      </w:tr>
      <w:tr w14:paraId="326BF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1440317">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10866269">
            <w:pPr>
              <w:spacing w:line="240" w:lineRule="auto"/>
              <w:ind w:firstLine="480"/>
              <w:jc w:val="left"/>
              <w:rPr>
                <w:rFonts w:ascii="仿宋" w:hAnsi="仿宋" w:eastAsia="仿宋" w:cs="仿宋"/>
                <w:color w:val="000000"/>
                <w:sz w:val="21"/>
                <w:szCs w:val="21"/>
                <w:lang w:eastAsia="zh-Hans"/>
              </w:rPr>
            </w:pPr>
          </w:p>
        </w:tc>
        <w:tc>
          <w:tcPr>
            <w:tcW w:w="939" w:type="pct"/>
            <w:vMerge w:val="continue"/>
            <w:vAlign w:val="center"/>
          </w:tcPr>
          <w:p w14:paraId="51A4E5F1">
            <w:pPr>
              <w:spacing w:line="240" w:lineRule="auto"/>
              <w:jc w:val="left"/>
              <w:rPr>
                <w:rFonts w:hint="eastAsia" w:ascii="仿宋" w:hAnsi="仿宋" w:eastAsia="仿宋" w:cs="仿宋"/>
                <w:sz w:val="21"/>
                <w:szCs w:val="21"/>
              </w:rPr>
            </w:pPr>
          </w:p>
        </w:tc>
        <w:tc>
          <w:tcPr>
            <w:tcW w:w="1577" w:type="pct"/>
            <w:vAlign w:val="center"/>
          </w:tcPr>
          <w:p w14:paraId="31A8A3E5">
            <w:pPr>
              <w:spacing w:line="240" w:lineRule="auto"/>
              <w:jc w:val="left"/>
              <w:rPr>
                <w:rFonts w:hint="eastAsia" w:ascii="仿宋" w:hAnsi="仿宋" w:eastAsia="仿宋" w:cs="仿宋"/>
                <w:sz w:val="21"/>
                <w:szCs w:val="21"/>
              </w:rPr>
            </w:pPr>
            <w:r>
              <w:rPr>
                <w:rFonts w:hint="eastAsia" w:ascii="仿宋" w:hAnsi="仿宋" w:eastAsia="仿宋" w:cs="仿宋"/>
                <w:sz w:val="21"/>
                <w:szCs w:val="21"/>
              </w:rPr>
              <w:t>远程会诊服务</w:t>
            </w:r>
          </w:p>
        </w:tc>
        <w:tc>
          <w:tcPr>
            <w:tcW w:w="810" w:type="pct"/>
          </w:tcPr>
          <w:p w14:paraId="3F5CD3D3">
            <w:pPr>
              <w:spacing w:line="240" w:lineRule="auto"/>
              <w:ind w:firstLine="480"/>
              <w:jc w:val="left"/>
              <w:rPr>
                <w:rFonts w:ascii="瀹嬩綋" w:hAnsi="瀹嬩綋" w:eastAsia="瀹嬩綋"/>
                <w:color w:val="000000"/>
                <w:sz w:val="21"/>
                <w:szCs w:val="21"/>
              </w:rPr>
            </w:pPr>
          </w:p>
        </w:tc>
      </w:tr>
      <w:tr w14:paraId="5E939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E3989F4">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3A59306E">
            <w:pPr>
              <w:spacing w:line="240" w:lineRule="auto"/>
              <w:ind w:firstLine="480"/>
              <w:jc w:val="left"/>
              <w:rPr>
                <w:rFonts w:ascii="仿宋" w:hAnsi="仿宋" w:eastAsia="仿宋" w:cs="仿宋"/>
                <w:color w:val="000000"/>
                <w:sz w:val="21"/>
                <w:szCs w:val="21"/>
                <w:lang w:eastAsia="zh-Hans"/>
              </w:rPr>
            </w:pPr>
          </w:p>
        </w:tc>
        <w:tc>
          <w:tcPr>
            <w:tcW w:w="1708" w:type="dxa"/>
            <w:vAlign w:val="center"/>
          </w:tcPr>
          <w:p w14:paraId="3F1AAE9D">
            <w:pPr>
              <w:spacing w:line="240" w:lineRule="auto"/>
              <w:jc w:val="left"/>
              <w:rPr>
                <w:rFonts w:hint="eastAsia" w:ascii="仿宋" w:hAnsi="仿宋" w:eastAsia="仿宋" w:cs="仿宋"/>
                <w:sz w:val="21"/>
                <w:szCs w:val="21"/>
              </w:rPr>
            </w:pPr>
            <w:r>
              <w:rPr>
                <w:rFonts w:hint="eastAsia" w:ascii="仿宋" w:hAnsi="仿宋" w:eastAsia="仿宋" w:cs="仿宋"/>
                <w:sz w:val="21"/>
                <w:szCs w:val="21"/>
              </w:rPr>
              <w:t>多媒体通信服务</w:t>
            </w:r>
          </w:p>
        </w:tc>
        <w:tc>
          <w:tcPr>
            <w:tcW w:w="2866" w:type="dxa"/>
            <w:vAlign w:val="center"/>
          </w:tcPr>
          <w:p w14:paraId="4BFB40CC">
            <w:pPr>
              <w:spacing w:line="240" w:lineRule="auto"/>
              <w:jc w:val="left"/>
              <w:rPr>
                <w:rFonts w:hint="eastAsia" w:ascii="仿宋" w:hAnsi="仿宋" w:eastAsia="仿宋" w:cs="仿宋"/>
                <w:sz w:val="21"/>
                <w:szCs w:val="21"/>
              </w:rPr>
            </w:pPr>
            <w:r>
              <w:rPr>
                <w:rFonts w:hint="eastAsia" w:ascii="仿宋" w:hAnsi="仿宋" w:eastAsia="仿宋" w:cs="仿宋"/>
                <w:sz w:val="21"/>
                <w:szCs w:val="21"/>
              </w:rPr>
              <w:t>多媒体通信服务</w:t>
            </w:r>
          </w:p>
        </w:tc>
        <w:tc>
          <w:tcPr>
            <w:tcW w:w="810" w:type="pct"/>
          </w:tcPr>
          <w:p w14:paraId="5D68F27E">
            <w:pPr>
              <w:spacing w:line="240" w:lineRule="auto"/>
              <w:ind w:firstLine="480"/>
              <w:jc w:val="left"/>
              <w:rPr>
                <w:rFonts w:ascii="瀹嬩綋" w:hAnsi="瀹嬩綋" w:eastAsia="瀹嬩綋"/>
                <w:color w:val="000000"/>
                <w:sz w:val="21"/>
                <w:szCs w:val="21"/>
              </w:rPr>
            </w:pPr>
          </w:p>
        </w:tc>
      </w:tr>
      <w:tr w14:paraId="13653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BFFE186">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65F4FB96">
            <w:pPr>
              <w:spacing w:line="240" w:lineRule="auto"/>
              <w:ind w:firstLine="480"/>
              <w:jc w:val="left"/>
              <w:rPr>
                <w:rFonts w:ascii="仿宋" w:hAnsi="仿宋" w:eastAsia="仿宋" w:cs="仿宋"/>
                <w:color w:val="000000"/>
                <w:sz w:val="21"/>
                <w:szCs w:val="21"/>
                <w:lang w:eastAsia="zh-Hans"/>
              </w:rPr>
            </w:pPr>
          </w:p>
        </w:tc>
        <w:tc>
          <w:tcPr>
            <w:tcW w:w="1708" w:type="dxa"/>
            <w:vAlign w:val="center"/>
          </w:tcPr>
          <w:p w14:paraId="55434A70">
            <w:pPr>
              <w:spacing w:line="240" w:lineRule="auto"/>
              <w:jc w:val="left"/>
              <w:rPr>
                <w:rFonts w:hint="eastAsia" w:ascii="仿宋" w:hAnsi="仿宋" w:eastAsia="仿宋" w:cs="仿宋"/>
                <w:sz w:val="21"/>
                <w:szCs w:val="21"/>
              </w:rPr>
            </w:pPr>
            <w:r>
              <w:rPr>
                <w:rFonts w:hint="eastAsia" w:ascii="仿宋" w:hAnsi="仿宋" w:eastAsia="仿宋" w:cs="仿宋"/>
                <w:sz w:val="21"/>
                <w:szCs w:val="21"/>
              </w:rPr>
              <w:t>基层医院系统对接服务</w:t>
            </w:r>
          </w:p>
        </w:tc>
        <w:tc>
          <w:tcPr>
            <w:tcW w:w="2866" w:type="dxa"/>
            <w:vAlign w:val="center"/>
          </w:tcPr>
          <w:p w14:paraId="4B5FBE4C">
            <w:pPr>
              <w:spacing w:line="240" w:lineRule="auto"/>
              <w:jc w:val="left"/>
              <w:rPr>
                <w:rFonts w:hint="eastAsia" w:ascii="仿宋" w:hAnsi="仿宋" w:eastAsia="仿宋" w:cs="仿宋"/>
                <w:sz w:val="21"/>
                <w:szCs w:val="21"/>
              </w:rPr>
            </w:pPr>
            <w:r>
              <w:rPr>
                <w:rFonts w:hint="eastAsia" w:ascii="仿宋" w:hAnsi="仿宋" w:eastAsia="仿宋" w:cs="仿宋"/>
                <w:sz w:val="21"/>
                <w:szCs w:val="21"/>
              </w:rPr>
              <w:t>基层医院系统对接服务</w:t>
            </w:r>
          </w:p>
        </w:tc>
        <w:tc>
          <w:tcPr>
            <w:tcW w:w="810" w:type="pct"/>
          </w:tcPr>
          <w:p w14:paraId="0A3E99D4">
            <w:pPr>
              <w:spacing w:line="240" w:lineRule="auto"/>
              <w:ind w:firstLine="480"/>
              <w:jc w:val="left"/>
              <w:rPr>
                <w:rFonts w:ascii="瀹嬩綋" w:hAnsi="瀹嬩綋" w:eastAsia="瀹嬩綋"/>
                <w:color w:val="000000"/>
                <w:sz w:val="21"/>
                <w:szCs w:val="21"/>
              </w:rPr>
            </w:pPr>
          </w:p>
        </w:tc>
      </w:tr>
      <w:tr w14:paraId="2C799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544BC2EE">
            <w:pPr>
              <w:numPr>
                <w:ilvl w:val="0"/>
                <w:numId w:val="2"/>
              </w:numPr>
              <w:spacing w:line="240" w:lineRule="auto"/>
              <w:jc w:val="left"/>
              <w:rPr>
                <w:rFonts w:ascii="仿宋" w:hAnsi="仿宋" w:eastAsia="仿宋" w:cs="仿宋"/>
                <w:color w:val="000000"/>
                <w:sz w:val="21"/>
                <w:szCs w:val="21"/>
              </w:rPr>
            </w:pPr>
          </w:p>
        </w:tc>
        <w:tc>
          <w:tcPr>
            <w:tcW w:w="924" w:type="pct"/>
            <w:vMerge w:val="continue"/>
            <w:vAlign w:val="center"/>
          </w:tcPr>
          <w:p w14:paraId="23DB555C">
            <w:pPr>
              <w:spacing w:line="240" w:lineRule="auto"/>
              <w:ind w:firstLine="480"/>
              <w:jc w:val="left"/>
              <w:rPr>
                <w:rFonts w:ascii="仿宋" w:hAnsi="仿宋" w:eastAsia="仿宋" w:cs="仿宋"/>
                <w:color w:val="000000"/>
                <w:sz w:val="21"/>
                <w:szCs w:val="21"/>
                <w:lang w:eastAsia="zh-Hans"/>
              </w:rPr>
            </w:pPr>
          </w:p>
        </w:tc>
        <w:tc>
          <w:tcPr>
            <w:tcW w:w="1708" w:type="dxa"/>
            <w:vAlign w:val="center"/>
          </w:tcPr>
          <w:p w14:paraId="6195B4A3">
            <w:pPr>
              <w:spacing w:line="240" w:lineRule="auto"/>
              <w:jc w:val="left"/>
              <w:rPr>
                <w:rFonts w:hint="eastAsia" w:ascii="仿宋" w:hAnsi="仿宋" w:eastAsia="仿宋" w:cs="仿宋"/>
                <w:sz w:val="21"/>
                <w:szCs w:val="21"/>
              </w:rPr>
            </w:pPr>
            <w:r>
              <w:rPr>
                <w:rFonts w:hint="eastAsia" w:ascii="仿宋" w:hAnsi="仿宋" w:eastAsia="仿宋" w:cs="仿宋"/>
                <w:sz w:val="21"/>
                <w:szCs w:val="21"/>
              </w:rPr>
              <w:t>县级医院系统对接服务</w:t>
            </w:r>
          </w:p>
        </w:tc>
        <w:tc>
          <w:tcPr>
            <w:tcW w:w="2866" w:type="dxa"/>
            <w:vAlign w:val="center"/>
          </w:tcPr>
          <w:p w14:paraId="7F40B8C1">
            <w:pPr>
              <w:spacing w:line="240" w:lineRule="auto"/>
              <w:jc w:val="left"/>
              <w:rPr>
                <w:rFonts w:hint="eastAsia" w:ascii="仿宋" w:hAnsi="仿宋" w:eastAsia="仿宋" w:cs="仿宋"/>
                <w:sz w:val="21"/>
                <w:szCs w:val="21"/>
              </w:rPr>
            </w:pPr>
            <w:r>
              <w:rPr>
                <w:rFonts w:hint="eastAsia" w:ascii="仿宋" w:hAnsi="仿宋" w:eastAsia="仿宋" w:cs="仿宋"/>
                <w:sz w:val="21"/>
                <w:szCs w:val="21"/>
              </w:rPr>
              <w:t>县级医院系统对接服务</w:t>
            </w:r>
          </w:p>
        </w:tc>
        <w:tc>
          <w:tcPr>
            <w:tcW w:w="810" w:type="pct"/>
          </w:tcPr>
          <w:p w14:paraId="32063405">
            <w:pPr>
              <w:spacing w:line="240" w:lineRule="auto"/>
              <w:ind w:firstLine="480"/>
              <w:jc w:val="left"/>
              <w:rPr>
                <w:rFonts w:ascii="瀹嬩綋" w:hAnsi="瀹嬩綋" w:eastAsia="瀹嬩綋"/>
                <w:color w:val="000000"/>
                <w:sz w:val="21"/>
                <w:szCs w:val="21"/>
              </w:rPr>
            </w:pPr>
          </w:p>
        </w:tc>
      </w:tr>
      <w:tr w14:paraId="044EA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68F9BE3E">
            <w:pPr>
              <w:numPr>
                <w:ilvl w:val="0"/>
                <w:numId w:val="2"/>
              </w:numPr>
              <w:spacing w:line="240" w:lineRule="auto"/>
              <w:jc w:val="left"/>
              <w:rPr>
                <w:rFonts w:ascii="仿宋" w:hAnsi="仿宋" w:eastAsia="仿宋" w:cs="仿宋"/>
                <w:color w:val="000000"/>
                <w:sz w:val="21"/>
                <w:szCs w:val="21"/>
              </w:rPr>
            </w:pPr>
          </w:p>
        </w:tc>
        <w:tc>
          <w:tcPr>
            <w:tcW w:w="924" w:type="pct"/>
            <w:vAlign w:val="center"/>
          </w:tcPr>
          <w:p w14:paraId="57DB2A27">
            <w:pPr>
              <w:spacing w:line="240" w:lineRule="auto"/>
              <w:ind w:firstLine="480"/>
              <w:jc w:val="left"/>
              <w:rPr>
                <w:rFonts w:ascii="仿宋" w:hAnsi="仿宋" w:eastAsia="仿宋" w:cs="仿宋"/>
                <w:color w:val="000000"/>
                <w:sz w:val="21"/>
                <w:szCs w:val="21"/>
                <w:lang w:eastAsia="zh-Hans"/>
              </w:rPr>
            </w:pPr>
          </w:p>
        </w:tc>
        <w:tc>
          <w:tcPr>
            <w:tcW w:w="1708" w:type="dxa"/>
            <w:vAlign w:val="center"/>
          </w:tcPr>
          <w:p w14:paraId="559649D1">
            <w:pPr>
              <w:spacing w:line="240" w:lineRule="auto"/>
              <w:jc w:val="left"/>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双向转诊与省市平台对接</w:t>
            </w:r>
          </w:p>
        </w:tc>
        <w:tc>
          <w:tcPr>
            <w:tcW w:w="2866" w:type="dxa"/>
            <w:vAlign w:val="center"/>
          </w:tcPr>
          <w:p w14:paraId="29DF100E">
            <w:pPr>
              <w:spacing w:line="240" w:lineRule="auto"/>
              <w:jc w:val="left"/>
              <w:rPr>
                <w:rFonts w:hint="eastAsia" w:ascii="仿宋" w:hAnsi="仿宋" w:eastAsia="仿宋" w:cs="仿宋"/>
                <w:sz w:val="21"/>
                <w:szCs w:val="21"/>
              </w:rPr>
            </w:pPr>
            <w:r>
              <w:rPr>
                <w:rFonts w:hint="eastAsia" w:ascii="仿宋" w:hAnsi="仿宋" w:eastAsia="仿宋" w:cs="仿宋"/>
                <w:sz w:val="21"/>
                <w:szCs w:val="21"/>
                <w:lang w:val="en-US" w:eastAsia="zh-CN"/>
              </w:rPr>
              <w:t>双向转诊与省市平台对接</w:t>
            </w:r>
          </w:p>
        </w:tc>
        <w:tc>
          <w:tcPr>
            <w:tcW w:w="810" w:type="pct"/>
          </w:tcPr>
          <w:p w14:paraId="79A324E7">
            <w:pPr>
              <w:spacing w:line="240" w:lineRule="auto"/>
              <w:ind w:firstLine="480"/>
              <w:jc w:val="left"/>
              <w:rPr>
                <w:rFonts w:ascii="瀹嬩綋" w:hAnsi="瀹嬩綋" w:eastAsia="瀹嬩綋"/>
                <w:color w:val="000000"/>
                <w:sz w:val="21"/>
                <w:szCs w:val="21"/>
              </w:rPr>
            </w:pPr>
          </w:p>
        </w:tc>
      </w:tr>
      <w:bookmarkEnd w:id="69"/>
      <w:tr w14:paraId="47259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5000" w:type="pct"/>
            <w:gridSpan w:val="5"/>
            <w:shd w:val="clear" w:color="auto" w:fill="DAEEF3"/>
            <w:vAlign w:val="center"/>
          </w:tcPr>
          <w:p w14:paraId="7BDEB762">
            <w:pPr>
              <w:spacing w:line="240" w:lineRule="auto"/>
              <w:jc w:val="center"/>
              <w:rPr>
                <w:rFonts w:ascii="仿宋" w:hAnsi="仿宋" w:eastAsia="仿宋" w:cs="仿宋"/>
                <w:b/>
                <w:bCs/>
                <w:color w:val="000000"/>
                <w:sz w:val="21"/>
                <w:szCs w:val="21"/>
                <w:lang w:eastAsia="zh-Hans"/>
              </w:rPr>
            </w:pPr>
            <w:r>
              <w:rPr>
                <w:rFonts w:hint="eastAsia" w:ascii="仿宋" w:hAnsi="仿宋" w:eastAsia="仿宋" w:cs="仿宋"/>
                <w:b/>
                <w:bCs/>
                <w:color w:val="000000"/>
                <w:sz w:val="21"/>
                <w:szCs w:val="21"/>
                <w:lang w:eastAsia="zh-Hans"/>
              </w:rPr>
              <w:t>系统改造与对接</w:t>
            </w:r>
          </w:p>
        </w:tc>
      </w:tr>
      <w:tr w14:paraId="5F403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shd w:val="clear" w:color="auto" w:fill="DAEEF3"/>
            <w:vAlign w:val="center"/>
          </w:tcPr>
          <w:p w14:paraId="0A6210AE">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序号</w:t>
            </w:r>
          </w:p>
        </w:tc>
        <w:tc>
          <w:tcPr>
            <w:tcW w:w="924" w:type="pct"/>
            <w:shd w:val="clear" w:color="auto" w:fill="DAEEF3"/>
            <w:vAlign w:val="center"/>
          </w:tcPr>
          <w:p w14:paraId="35D0469F">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建设模块</w:t>
            </w:r>
          </w:p>
        </w:tc>
        <w:tc>
          <w:tcPr>
            <w:tcW w:w="939" w:type="pct"/>
            <w:shd w:val="clear" w:color="auto" w:fill="DAEEF3"/>
            <w:vAlign w:val="center"/>
          </w:tcPr>
          <w:p w14:paraId="1D59795E">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一级功能</w:t>
            </w:r>
          </w:p>
        </w:tc>
        <w:tc>
          <w:tcPr>
            <w:tcW w:w="1577" w:type="pct"/>
            <w:shd w:val="clear" w:color="auto" w:fill="DAEEF3"/>
            <w:vAlign w:val="center"/>
          </w:tcPr>
          <w:p w14:paraId="741EE100">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二级功能</w:t>
            </w:r>
          </w:p>
        </w:tc>
        <w:tc>
          <w:tcPr>
            <w:tcW w:w="810" w:type="pct"/>
            <w:shd w:val="clear" w:color="auto" w:fill="DAEEF3"/>
            <w:vAlign w:val="center"/>
          </w:tcPr>
          <w:p w14:paraId="5FF02737">
            <w:pPr>
              <w:spacing w:line="240" w:lineRule="auto"/>
              <w:jc w:val="center"/>
              <w:rPr>
                <w:rFonts w:ascii="仿宋" w:hAnsi="仿宋" w:eastAsia="仿宋" w:cs="仿宋"/>
                <w:b/>
                <w:bCs/>
                <w:color w:val="000000"/>
                <w:sz w:val="21"/>
                <w:szCs w:val="21"/>
              </w:rPr>
            </w:pPr>
            <w:r>
              <w:rPr>
                <w:rFonts w:hint="eastAsia" w:ascii="仿宋" w:hAnsi="仿宋" w:eastAsia="仿宋" w:cs="仿宋"/>
                <w:b/>
                <w:bCs/>
                <w:color w:val="000000"/>
                <w:sz w:val="21"/>
                <w:szCs w:val="21"/>
              </w:rPr>
              <w:t>备注</w:t>
            </w:r>
          </w:p>
        </w:tc>
      </w:tr>
      <w:tr w14:paraId="66EFE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755BDD89">
            <w:pPr>
              <w:numPr>
                <w:ilvl w:val="0"/>
                <w:numId w:val="2"/>
              </w:numPr>
              <w:spacing w:line="240" w:lineRule="auto"/>
              <w:jc w:val="left"/>
              <w:rPr>
                <w:rFonts w:ascii="仿宋" w:hAnsi="仿宋" w:eastAsia="仿宋" w:cs="仿宋"/>
                <w:color w:val="000000"/>
                <w:sz w:val="21"/>
                <w:szCs w:val="21"/>
              </w:rPr>
            </w:pPr>
            <w:bookmarkStart w:id="70" w:name="_Hlk146284288"/>
          </w:p>
        </w:tc>
        <w:tc>
          <w:tcPr>
            <w:tcW w:w="924" w:type="pct"/>
            <w:vAlign w:val="center"/>
          </w:tcPr>
          <w:p w14:paraId="6B3869DA">
            <w:pPr>
              <w:spacing w:line="240" w:lineRule="auto"/>
              <w:jc w:val="left"/>
              <w:rPr>
                <w:rFonts w:ascii="仿宋" w:hAnsi="仿宋" w:eastAsia="仿宋" w:cs="仿宋"/>
                <w:sz w:val="21"/>
                <w:szCs w:val="21"/>
                <w:lang w:eastAsia="zh-Hans"/>
              </w:rPr>
            </w:pPr>
            <w:r>
              <w:rPr>
                <w:rFonts w:hint="eastAsia" w:ascii="仿宋" w:hAnsi="仿宋" w:eastAsia="仿宋" w:cs="仿宋"/>
                <w:sz w:val="21"/>
                <w:szCs w:val="21"/>
              </w:rPr>
              <w:t>数据接口服务</w:t>
            </w:r>
          </w:p>
        </w:tc>
        <w:tc>
          <w:tcPr>
            <w:tcW w:w="939" w:type="pct"/>
            <w:vAlign w:val="center"/>
          </w:tcPr>
          <w:p w14:paraId="47396423">
            <w:pPr>
              <w:spacing w:line="240" w:lineRule="auto"/>
              <w:jc w:val="left"/>
              <w:rPr>
                <w:rFonts w:ascii="仿宋" w:hAnsi="仿宋" w:eastAsia="仿宋" w:cs="仿宋"/>
                <w:sz w:val="21"/>
                <w:szCs w:val="21"/>
              </w:rPr>
            </w:pPr>
            <w:r>
              <w:rPr>
                <w:rFonts w:hint="eastAsia" w:ascii="仿宋" w:hAnsi="仿宋" w:eastAsia="仿宋" w:cs="仿宋"/>
                <w:sz w:val="21"/>
                <w:szCs w:val="21"/>
              </w:rPr>
              <w:t>数据接口服务</w:t>
            </w:r>
          </w:p>
        </w:tc>
        <w:tc>
          <w:tcPr>
            <w:tcW w:w="1577" w:type="pct"/>
            <w:vAlign w:val="center"/>
          </w:tcPr>
          <w:p w14:paraId="490141C1">
            <w:pPr>
              <w:spacing w:line="240" w:lineRule="auto"/>
              <w:jc w:val="left"/>
              <w:rPr>
                <w:rFonts w:ascii="仿宋" w:hAnsi="仿宋" w:eastAsia="仿宋" w:cs="仿宋"/>
                <w:sz w:val="21"/>
                <w:szCs w:val="21"/>
              </w:rPr>
            </w:pPr>
            <w:r>
              <w:rPr>
                <w:rFonts w:hint="eastAsia" w:ascii="仿宋" w:hAnsi="仿宋" w:eastAsia="仿宋" w:cs="仿宋"/>
                <w:color w:val="000000"/>
                <w:sz w:val="21"/>
                <w:szCs w:val="21"/>
              </w:rPr>
              <w:t>HIS、lis、电子病历等数据接口服务</w:t>
            </w:r>
          </w:p>
        </w:tc>
        <w:tc>
          <w:tcPr>
            <w:tcW w:w="810" w:type="pct"/>
          </w:tcPr>
          <w:p w14:paraId="33380899">
            <w:pPr>
              <w:spacing w:line="240" w:lineRule="auto"/>
              <w:jc w:val="left"/>
              <w:rPr>
                <w:rFonts w:ascii="瀹嬩綋" w:hAnsi="瀹嬩綋" w:eastAsia="瀹嬩綋"/>
                <w:color w:val="000000"/>
                <w:sz w:val="21"/>
                <w:szCs w:val="21"/>
              </w:rPr>
            </w:pPr>
          </w:p>
        </w:tc>
      </w:tr>
      <w:tr w14:paraId="09F1E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55E31D4">
            <w:pPr>
              <w:numPr>
                <w:ilvl w:val="0"/>
                <w:numId w:val="2"/>
              </w:numPr>
              <w:spacing w:line="240" w:lineRule="auto"/>
              <w:jc w:val="left"/>
              <w:rPr>
                <w:rFonts w:ascii="仿宋" w:hAnsi="仿宋" w:eastAsia="仿宋" w:cs="仿宋"/>
                <w:color w:val="000000"/>
                <w:sz w:val="21"/>
                <w:szCs w:val="21"/>
              </w:rPr>
            </w:pPr>
          </w:p>
        </w:tc>
        <w:tc>
          <w:tcPr>
            <w:tcW w:w="924" w:type="pct"/>
            <w:vAlign w:val="center"/>
          </w:tcPr>
          <w:p w14:paraId="3623C484">
            <w:pPr>
              <w:spacing w:line="240" w:lineRule="auto"/>
              <w:jc w:val="left"/>
              <w:rPr>
                <w:rFonts w:hint="eastAsia" w:ascii="仿宋" w:hAnsi="仿宋" w:eastAsia="仿宋" w:cs="仿宋"/>
                <w:sz w:val="21"/>
                <w:szCs w:val="21"/>
              </w:rPr>
            </w:pPr>
            <w:r>
              <w:rPr>
                <w:rFonts w:hint="eastAsia" w:ascii="仿宋" w:hAnsi="仿宋" w:eastAsia="仿宋" w:cs="仿宋"/>
                <w:sz w:val="21"/>
                <w:szCs w:val="21"/>
              </w:rPr>
              <w:t>数据接口服务</w:t>
            </w:r>
          </w:p>
        </w:tc>
        <w:tc>
          <w:tcPr>
            <w:tcW w:w="939" w:type="pct"/>
            <w:vAlign w:val="center"/>
          </w:tcPr>
          <w:p w14:paraId="7307447D">
            <w:pPr>
              <w:spacing w:line="240" w:lineRule="auto"/>
              <w:jc w:val="left"/>
              <w:rPr>
                <w:rFonts w:hint="eastAsia" w:ascii="仿宋" w:hAnsi="仿宋" w:eastAsia="仿宋" w:cs="仿宋"/>
                <w:sz w:val="21"/>
                <w:szCs w:val="21"/>
              </w:rPr>
            </w:pPr>
            <w:r>
              <w:rPr>
                <w:rFonts w:hint="eastAsia" w:ascii="仿宋" w:hAnsi="仿宋" w:eastAsia="仿宋" w:cs="仿宋"/>
                <w:sz w:val="21"/>
                <w:szCs w:val="21"/>
              </w:rPr>
              <w:t>数据接口服务</w:t>
            </w:r>
          </w:p>
        </w:tc>
        <w:tc>
          <w:tcPr>
            <w:tcW w:w="1577" w:type="pct"/>
            <w:vAlign w:val="center"/>
          </w:tcPr>
          <w:p w14:paraId="004BAD58">
            <w:pPr>
              <w:spacing w:line="240" w:lineRule="auto"/>
              <w:jc w:val="left"/>
              <w:rPr>
                <w:rFonts w:hint="eastAsia" w:ascii="仿宋" w:hAnsi="仿宋" w:eastAsia="仿宋" w:cs="仿宋"/>
                <w:sz w:val="21"/>
                <w:szCs w:val="21"/>
              </w:rPr>
            </w:pPr>
            <w:r>
              <w:rPr>
                <w:rFonts w:hint="eastAsia" w:ascii="仿宋" w:hAnsi="仿宋" w:eastAsia="仿宋" w:cs="仿宋"/>
                <w:color w:val="000000"/>
                <w:sz w:val="21"/>
                <w:szCs w:val="21"/>
              </w:rPr>
              <w:t>Pacs数据接口服务</w:t>
            </w:r>
          </w:p>
        </w:tc>
        <w:tc>
          <w:tcPr>
            <w:tcW w:w="810" w:type="pct"/>
          </w:tcPr>
          <w:p w14:paraId="0C7D7D64">
            <w:pPr>
              <w:spacing w:line="240" w:lineRule="auto"/>
              <w:ind w:firstLine="480"/>
              <w:jc w:val="left"/>
              <w:rPr>
                <w:rFonts w:ascii="瀹嬩綋" w:hAnsi="瀹嬩綋" w:eastAsia="瀹嬩綋"/>
                <w:color w:val="000000"/>
                <w:sz w:val="21"/>
                <w:szCs w:val="21"/>
              </w:rPr>
            </w:pPr>
          </w:p>
        </w:tc>
      </w:tr>
      <w:tr w14:paraId="69FE6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3823AC1">
            <w:pPr>
              <w:numPr>
                <w:ilvl w:val="0"/>
                <w:numId w:val="2"/>
              </w:numPr>
              <w:spacing w:line="240" w:lineRule="auto"/>
              <w:jc w:val="left"/>
              <w:rPr>
                <w:rFonts w:ascii="仿宋" w:hAnsi="仿宋" w:eastAsia="仿宋" w:cs="仿宋"/>
                <w:color w:val="000000"/>
                <w:sz w:val="21"/>
                <w:szCs w:val="21"/>
              </w:rPr>
            </w:pPr>
          </w:p>
        </w:tc>
        <w:tc>
          <w:tcPr>
            <w:tcW w:w="924" w:type="pct"/>
            <w:vAlign w:val="center"/>
          </w:tcPr>
          <w:p w14:paraId="6881E7E6">
            <w:pPr>
              <w:spacing w:line="240" w:lineRule="auto"/>
              <w:jc w:val="left"/>
              <w:rPr>
                <w:rFonts w:ascii="仿宋" w:hAnsi="仿宋" w:eastAsia="仿宋" w:cs="仿宋"/>
                <w:sz w:val="21"/>
                <w:szCs w:val="21"/>
              </w:rPr>
            </w:pPr>
            <w:r>
              <w:rPr>
                <w:rFonts w:hint="eastAsia" w:ascii="仿宋" w:hAnsi="仿宋" w:eastAsia="仿宋" w:cs="仿宋"/>
                <w:sz w:val="21"/>
                <w:szCs w:val="21"/>
              </w:rPr>
              <w:t>对接电子签名</w:t>
            </w:r>
          </w:p>
        </w:tc>
        <w:tc>
          <w:tcPr>
            <w:tcW w:w="939" w:type="pct"/>
            <w:vAlign w:val="center"/>
          </w:tcPr>
          <w:p w14:paraId="3373D478">
            <w:pPr>
              <w:spacing w:line="240" w:lineRule="auto"/>
              <w:jc w:val="left"/>
              <w:rPr>
                <w:rFonts w:ascii="仿宋" w:hAnsi="仿宋" w:eastAsia="仿宋" w:cs="仿宋"/>
                <w:sz w:val="21"/>
                <w:szCs w:val="21"/>
              </w:rPr>
            </w:pPr>
            <w:r>
              <w:rPr>
                <w:rFonts w:hint="eastAsia" w:ascii="仿宋" w:hAnsi="仿宋" w:eastAsia="仿宋" w:cs="仿宋"/>
                <w:sz w:val="21"/>
                <w:szCs w:val="21"/>
              </w:rPr>
              <w:t>对接电子签名</w:t>
            </w:r>
          </w:p>
        </w:tc>
        <w:tc>
          <w:tcPr>
            <w:tcW w:w="1577" w:type="pct"/>
            <w:vAlign w:val="center"/>
          </w:tcPr>
          <w:p w14:paraId="148241E8">
            <w:pPr>
              <w:spacing w:line="240" w:lineRule="auto"/>
              <w:jc w:val="left"/>
              <w:rPr>
                <w:rFonts w:ascii="仿宋" w:hAnsi="仿宋" w:eastAsia="仿宋" w:cs="仿宋"/>
                <w:sz w:val="21"/>
                <w:szCs w:val="21"/>
              </w:rPr>
            </w:pPr>
            <w:r>
              <w:rPr>
                <w:rFonts w:hint="eastAsia" w:ascii="仿宋" w:hAnsi="仿宋" w:eastAsia="仿宋" w:cs="仿宋"/>
                <w:sz w:val="21"/>
                <w:szCs w:val="21"/>
              </w:rPr>
              <w:t>对接电子签名</w:t>
            </w:r>
          </w:p>
        </w:tc>
        <w:tc>
          <w:tcPr>
            <w:tcW w:w="810" w:type="pct"/>
          </w:tcPr>
          <w:p w14:paraId="2EC1C61E">
            <w:pPr>
              <w:spacing w:line="240" w:lineRule="auto"/>
              <w:ind w:firstLine="480"/>
              <w:jc w:val="left"/>
              <w:rPr>
                <w:rFonts w:ascii="瀹嬩綋" w:hAnsi="瀹嬩綋" w:eastAsia="瀹嬩綋"/>
                <w:color w:val="000000"/>
                <w:sz w:val="21"/>
                <w:szCs w:val="21"/>
              </w:rPr>
            </w:pPr>
          </w:p>
        </w:tc>
      </w:tr>
      <w:bookmarkEnd w:id="70"/>
      <w:tr w14:paraId="3A100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5FE0C9D3">
            <w:pPr>
              <w:numPr>
                <w:ilvl w:val="0"/>
                <w:numId w:val="2"/>
              </w:numPr>
              <w:spacing w:line="240" w:lineRule="auto"/>
              <w:jc w:val="left"/>
              <w:rPr>
                <w:rFonts w:ascii="仿宋" w:hAnsi="仿宋" w:eastAsia="仿宋" w:cs="仿宋"/>
                <w:color w:val="000000"/>
                <w:sz w:val="21"/>
                <w:szCs w:val="21"/>
              </w:rPr>
            </w:pPr>
          </w:p>
        </w:tc>
        <w:tc>
          <w:tcPr>
            <w:tcW w:w="924" w:type="pct"/>
            <w:vAlign w:val="center"/>
          </w:tcPr>
          <w:p w14:paraId="0BEB96EB">
            <w:pPr>
              <w:spacing w:line="240" w:lineRule="auto"/>
              <w:jc w:val="left"/>
              <w:rPr>
                <w:rFonts w:ascii="仿宋" w:hAnsi="仿宋" w:eastAsia="仿宋" w:cs="仿宋"/>
                <w:sz w:val="21"/>
                <w:szCs w:val="21"/>
              </w:rPr>
            </w:pPr>
            <w:r>
              <w:rPr>
                <w:rFonts w:hint="eastAsia" w:ascii="仿宋" w:hAnsi="仿宋" w:eastAsia="仿宋" w:cs="仿宋"/>
                <w:sz w:val="21"/>
                <w:szCs w:val="21"/>
              </w:rPr>
              <w:t>对接浙江省互联网医院监管平台</w:t>
            </w:r>
          </w:p>
        </w:tc>
        <w:tc>
          <w:tcPr>
            <w:tcW w:w="939" w:type="pct"/>
            <w:vAlign w:val="center"/>
          </w:tcPr>
          <w:p w14:paraId="373D5157">
            <w:pPr>
              <w:spacing w:line="240" w:lineRule="auto"/>
              <w:jc w:val="left"/>
              <w:rPr>
                <w:rFonts w:ascii="仿宋" w:hAnsi="仿宋" w:eastAsia="仿宋" w:cs="仿宋"/>
                <w:sz w:val="21"/>
                <w:szCs w:val="21"/>
              </w:rPr>
            </w:pPr>
            <w:r>
              <w:rPr>
                <w:rFonts w:hint="eastAsia" w:ascii="仿宋" w:hAnsi="仿宋" w:eastAsia="仿宋" w:cs="仿宋"/>
                <w:sz w:val="21"/>
                <w:szCs w:val="21"/>
              </w:rPr>
              <w:t>对接浙江省互联网医院监管平台</w:t>
            </w:r>
          </w:p>
        </w:tc>
        <w:tc>
          <w:tcPr>
            <w:tcW w:w="1577" w:type="pct"/>
            <w:vAlign w:val="center"/>
          </w:tcPr>
          <w:p w14:paraId="4C50560E">
            <w:pPr>
              <w:spacing w:line="240" w:lineRule="auto"/>
              <w:jc w:val="left"/>
              <w:rPr>
                <w:rFonts w:ascii="仿宋" w:hAnsi="仿宋" w:eastAsia="仿宋" w:cs="仿宋"/>
                <w:sz w:val="21"/>
                <w:szCs w:val="21"/>
              </w:rPr>
            </w:pPr>
            <w:r>
              <w:rPr>
                <w:rFonts w:hint="eastAsia" w:ascii="仿宋" w:hAnsi="仿宋" w:eastAsia="仿宋" w:cs="仿宋"/>
                <w:sz w:val="21"/>
                <w:szCs w:val="21"/>
              </w:rPr>
              <w:t>对接浙江省互联网医院监管平台</w:t>
            </w:r>
          </w:p>
        </w:tc>
        <w:tc>
          <w:tcPr>
            <w:tcW w:w="810" w:type="pct"/>
          </w:tcPr>
          <w:p w14:paraId="252442BF">
            <w:pPr>
              <w:spacing w:line="240" w:lineRule="auto"/>
              <w:ind w:firstLine="480"/>
              <w:jc w:val="left"/>
              <w:rPr>
                <w:rFonts w:ascii="瀹嬩綋" w:hAnsi="瀹嬩綋" w:eastAsia="瀹嬩綋"/>
                <w:color w:val="000000"/>
                <w:sz w:val="21"/>
                <w:szCs w:val="21"/>
              </w:rPr>
            </w:pPr>
          </w:p>
        </w:tc>
      </w:tr>
      <w:tr w14:paraId="63C48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83E6C0D">
            <w:pPr>
              <w:numPr>
                <w:ilvl w:val="0"/>
                <w:numId w:val="2"/>
              </w:numPr>
              <w:spacing w:line="240" w:lineRule="auto"/>
              <w:jc w:val="left"/>
              <w:rPr>
                <w:rFonts w:ascii="仿宋" w:hAnsi="仿宋" w:eastAsia="仿宋" w:cs="仿宋"/>
                <w:color w:val="000000"/>
                <w:sz w:val="21"/>
                <w:szCs w:val="21"/>
              </w:rPr>
            </w:pPr>
          </w:p>
        </w:tc>
        <w:tc>
          <w:tcPr>
            <w:tcW w:w="924" w:type="pct"/>
            <w:vAlign w:val="center"/>
          </w:tcPr>
          <w:p w14:paraId="3855471F">
            <w:pPr>
              <w:spacing w:line="240" w:lineRule="auto"/>
              <w:jc w:val="left"/>
              <w:rPr>
                <w:rFonts w:ascii="仿宋" w:hAnsi="仿宋" w:eastAsia="仿宋" w:cs="仿宋"/>
                <w:sz w:val="21"/>
                <w:szCs w:val="21"/>
              </w:rPr>
            </w:pPr>
            <w:r>
              <w:rPr>
                <w:rFonts w:hint="eastAsia" w:ascii="仿宋" w:hAnsi="仿宋" w:eastAsia="仿宋" w:cs="仿宋"/>
                <w:sz w:val="21"/>
                <w:szCs w:val="21"/>
              </w:rPr>
              <w:t>对接浙江中药在线平台</w:t>
            </w:r>
          </w:p>
        </w:tc>
        <w:tc>
          <w:tcPr>
            <w:tcW w:w="939" w:type="pct"/>
            <w:vAlign w:val="center"/>
          </w:tcPr>
          <w:p w14:paraId="3D6D1F4D">
            <w:pPr>
              <w:spacing w:line="240" w:lineRule="auto"/>
              <w:jc w:val="left"/>
              <w:rPr>
                <w:rFonts w:ascii="仿宋" w:hAnsi="仿宋" w:eastAsia="仿宋" w:cs="仿宋"/>
                <w:sz w:val="21"/>
                <w:szCs w:val="21"/>
              </w:rPr>
            </w:pPr>
            <w:r>
              <w:rPr>
                <w:rFonts w:hint="eastAsia" w:ascii="仿宋" w:hAnsi="仿宋" w:eastAsia="仿宋" w:cs="仿宋"/>
                <w:sz w:val="21"/>
                <w:szCs w:val="21"/>
              </w:rPr>
              <w:t>对接浙江中药在线平台</w:t>
            </w:r>
          </w:p>
        </w:tc>
        <w:tc>
          <w:tcPr>
            <w:tcW w:w="1577" w:type="pct"/>
            <w:vAlign w:val="center"/>
          </w:tcPr>
          <w:p w14:paraId="5EA2A6A2">
            <w:pPr>
              <w:spacing w:line="240" w:lineRule="auto"/>
              <w:jc w:val="left"/>
              <w:rPr>
                <w:rFonts w:ascii="仿宋" w:hAnsi="仿宋" w:eastAsia="仿宋" w:cs="仿宋"/>
                <w:sz w:val="21"/>
                <w:szCs w:val="21"/>
              </w:rPr>
            </w:pPr>
            <w:r>
              <w:rPr>
                <w:rFonts w:hint="eastAsia" w:ascii="仿宋" w:hAnsi="仿宋" w:eastAsia="仿宋" w:cs="仿宋"/>
                <w:sz w:val="21"/>
                <w:szCs w:val="21"/>
              </w:rPr>
              <w:t>对接浙江中药在线平台</w:t>
            </w:r>
          </w:p>
        </w:tc>
        <w:tc>
          <w:tcPr>
            <w:tcW w:w="810" w:type="pct"/>
          </w:tcPr>
          <w:p w14:paraId="1A3C6152">
            <w:pPr>
              <w:spacing w:line="240" w:lineRule="auto"/>
              <w:ind w:firstLine="480"/>
              <w:jc w:val="left"/>
              <w:rPr>
                <w:rFonts w:ascii="瀹嬩綋" w:hAnsi="瀹嬩綋" w:eastAsia="瀹嬩綋"/>
                <w:color w:val="000000"/>
                <w:sz w:val="21"/>
                <w:szCs w:val="21"/>
              </w:rPr>
            </w:pPr>
          </w:p>
        </w:tc>
      </w:tr>
      <w:tr w14:paraId="76B7D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D0A330B">
            <w:pPr>
              <w:numPr>
                <w:ilvl w:val="0"/>
                <w:numId w:val="2"/>
              </w:numPr>
              <w:spacing w:line="240" w:lineRule="auto"/>
              <w:jc w:val="left"/>
              <w:rPr>
                <w:rFonts w:ascii="仿宋" w:hAnsi="仿宋" w:eastAsia="仿宋" w:cs="仿宋"/>
                <w:color w:val="000000"/>
                <w:sz w:val="21"/>
                <w:szCs w:val="21"/>
              </w:rPr>
            </w:pPr>
          </w:p>
        </w:tc>
        <w:tc>
          <w:tcPr>
            <w:tcW w:w="924" w:type="pct"/>
            <w:vAlign w:val="center"/>
          </w:tcPr>
          <w:p w14:paraId="66978204">
            <w:pPr>
              <w:spacing w:line="240" w:lineRule="auto"/>
              <w:jc w:val="left"/>
              <w:rPr>
                <w:rFonts w:ascii="仿宋" w:hAnsi="仿宋" w:eastAsia="仿宋" w:cs="仿宋"/>
                <w:sz w:val="21"/>
                <w:szCs w:val="21"/>
              </w:rPr>
            </w:pPr>
            <w:r>
              <w:rPr>
                <w:rFonts w:hint="eastAsia" w:ascii="仿宋" w:hAnsi="仿宋" w:eastAsia="仿宋" w:cs="仿宋"/>
                <w:sz w:val="21"/>
                <w:szCs w:val="21"/>
              </w:rPr>
              <w:t>互联网＋中医健康平台对接健康磐安</w:t>
            </w:r>
          </w:p>
        </w:tc>
        <w:tc>
          <w:tcPr>
            <w:tcW w:w="939" w:type="pct"/>
            <w:vAlign w:val="center"/>
          </w:tcPr>
          <w:p w14:paraId="16840201">
            <w:pPr>
              <w:spacing w:line="240" w:lineRule="auto"/>
              <w:jc w:val="left"/>
              <w:rPr>
                <w:rFonts w:ascii="仿宋" w:hAnsi="仿宋" w:eastAsia="仿宋" w:cs="仿宋"/>
                <w:sz w:val="21"/>
                <w:szCs w:val="21"/>
              </w:rPr>
            </w:pPr>
            <w:r>
              <w:rPr>
                <w:rFonts w:hint="eastAsia" w:ascii="仿宋" w:hAnsi="仿宋" w:eastAsia="仿宋" w:cs="仿宋"/>
                <w:sz w:val="21"/>
                <w:szCs w:val="21"/>
              </w:rPr>
              <w:t>互联网＋中医健康平台对接健康磐安</w:t>
            </w:r>
          </w:p>
        </w:tc>
        <w:tc>
          <w:tcPr>
            <w:tcW w:w="1577" w:type="pct"/>
            <w:vAlign w:val="center"/>
          </w:tcPr>
          <w:p w14:paraId="694A32F5">
            <w:pPr>
              <w:spacing w:line="240" w:lineRule="auto"/>
              <w:jc w:val="left"/>
              <w:rPr>
                <w:rFonts w:ascii="仿宋" w:hAnsi="仿宋" w:eastAsia="仿宋" w:cs="仿宋"/>
                <w:sz w:val="21"/>
                <w:szCs w:val="21"/>
              </w:rPr>
            </w:pPr>
            <w:r>
              <w:rPr>
                <w:rFonts w:hint="eastAsia" w:ascii="仿宋" w:hAnsi="仿宋" w:eastAsia="仿宋" w:cs="仿宋"/>
                <w:sz w:val="21"/>
                <w:szCs w:val="21"/>
              </w:rPr>
              <w:t>互联网＋中医健康平台对接健康磐安</w:t>
            </w:r>
          </w:p>
        </w:tc>
        <w:tc>
          <w:tcPr>
            <w:tcW w:w="810" w:type="pct"/>
          </w:tcPr>
          <w:p w14:paraId="1BBC7702">
            <w:pPr>
              <w:spacing w:line="240" w:lineRule="auto"/>
              <w:ind w:firstLine="480"/>
              <w:jc w:val="left"/>
              <w:rPr>
                <w:rFonts w:ascii="瀹嬩綋" w:hAnsi="瀹嬩綋" w:eastAsia="瀹嬩綋"/>
                <w:color w:val="000000"/>
                <w:sz w:val="21"/>
                <w:szCs w:val="21"/>
              </w:rPr>
            </w:pPr>
          </w:p>
        </w:tc>
      </w:tr>
      <w:tr w14:paraId="35437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4B769994">
            <w:pPr>
              <w:numPr>
                <w:ilvl w:val="0"/>
                <w:numId w:val="2"/>
              </w:numPr>
              <w:spacing w:line="240" w:lineRule="auto"/>
              <w:jc w:val="left"/>
              <w:rPr>
                <w:rFonts w:ascii="仿宋" w:hAnsi="仿宋" w:eastAsia="仿宋" w:cs="仿宋"/>
                <w:color w:val="000000"/>
                <w:sz w:val="21"/>
                <w:szCs w:val="21"/>
              </w:rPr>
            </w:pPr>
          </w:p>
        </w:tc>
        <w:tc>
          <w:tcPr>
            <w:tcW w:w="924" w:type="pct"/>
            <w:vAlign w:val="center"/>
          </w:tcPr>
          <w:p w14:paraId="1A3B11AF">
            <w:pPr>
              <w:spacing w:line="240" w:lineRule="auto"/>
              <w:jc w:val="left"/>
              <w:rPr>
                <w:rFonts w:ascii="仿宋" w:hAnsi="仿宋" w:eastAsia="仿宋" w:cs="仿宋"/>
                <w:sz w:val="21"/>
                <w:szCs w:val="21"/>
              </w:rPr>
            </w:pPr>
            <w:r>
              <w:rPr>
                <w:rFonts w:hint="eastAsia" w:ascii="仿宋" w:hAnsi="仿宋" w:eastAsia="仿宋" w:cs="仿宋"/>
                <w:sz w:val="21"/>
                <w:szCs w:val="21"/>
              </w:rPr>
              <w:t>互联网＋中医健康平台对接健康金华</w:t>
            </w:r>
          </w:p>
        </w:tc>
        <w:tc>
          <w:tcPr>
            <w:tcW w:w="939" w:type="pct"/>
            <w:vAlign w:val="center"/>
          </w:tcPr>
          <w:p w14:paraId="6F27C989">
            <w:pPr>
              <w:spacing w:line="240" w:lineRule="auto"/>
              <w:jc w:val="left"/>
              <w:rPr>
                <w:rFonts w:ascii="仿宋" w:hAnsi="仿宋" w:eastAsia="仿宋" w:cs="仿宋"/>
                <w:sz w:val="21"/>
                <w:szCs w:val="21"/>
              </w:rPr>
            </w:pPr>
            <w:r>
              <w:rPr>
                <w:rFonts w:hint="eastAsia" w:ascii="仿宋" w:hAnsi="仿宋" w:eastAsia="仿宋" w:cs="仿宋"/>
                <w:sz w:val="21"/>
                <w:szCs w:val="21"/>
              </w:rPr>
              <w:t>互联网＋中医健康平台对接健康金华</w:t>
            </w:r>
          </w:p>
        </w:tc>
        <w:tc>
          <w:tcPr>
            <w:tcW w:w="1577" w:type="pct"/>
            <w:vAlign w:val="center"/>
          </w:tcPr>
          <w:p w14:paraId="33E81FF0">
            <w:pPr>
              <w:spacing w:line="240" w:lineRule="auto"/>
              <w:jc w:val="left"/>
              <w:rPr>
                <w:rFonts w:ascii="仿宋" w:hAnsi="仿宋" w:eastAsia="仿宋" w:cs="仿宋"/>
                <w:sz w:val="21"/>
                <w:szCs w:val="21"/>
              </w:rPr>
            </w:pPr>
            <w:r>
              <w:rPr>
                <w:rFonts w:hint="eastAsia" w:ascii="仿宋" w:hAnsi="仿宋" w:eastAsia="仿宋" w:cs="仿宋"/>
                <w:sz w:val="21"/>
                <w:szCs w:val="21"/>
              </w:rPr>
              <w:t>互联网＋中医健康平台对接健康金华</w:t>
            </w:r>
          </w:p>
        </w:tc>
        <w:tc>
          <w:tcPr>
            <w:tcW w:w="810" w:type="pct"/>
            <w:vAlign w:val="center"/>
          </w:tcPr>
          <w:p w14:paraId="121E1F6A">
            <w:pPr>
              <w:spacing w:line="240" w:lineRule="auto"/>
              <w:ind w:firstLine="480"/>
              <w:jc w:val="left"/>
              <w:rPr>
                <w:rFonts w:ascii="瀹嬩綋" w:hAnsi="瀹嬩綋" w:eastAsia="瀹嬩綋"/>
                <w:color w:val="000000"/>
                <w:sz w:val="21"/>
                <w:szCs w:val="21"/>
              </w:rPr>
            </w:pPr>
          </w:p>
        </w:tc>
      </w:tr>
      <w:tr w14:paraId="20F87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5000" w:type="pct"/>
            <w:gridSpan w:val="5"/>
            <w:shd w:val="clear" w:color="auto" w:fill="DAEEF3"/>
            <w:vAlign w:val="center"/>
          </w:tcPr>
          <w:p w14:paraId="30AFB520">
            <w:pPr>
              <w:spacing w:line="240" w:lineRule="auto"/>
              <w:jc w:val="center"/>
              <w:rPr>
                <w:rFonts w:ascii="仿宋" w:hAnsi="仿宋" w:eastAsia="仿宋" w:cs="仿宋"/>
                <w:color w:val="000000"/>
                <w:sz w:val="21"/>
                <w:szCs w:val="21"/>
              </w:rPr>
            </w:pPr>
            <w:r>
              <w:rPr>
                <w:rFonts w:hint="eastAsia" w:ascii="仿宋" w:hAnsi="仿宋" w:eastAsia="仿宋" w:cs="仿宋"/>
                <w:b/>
                <w:bCs/>
                <w:color w:val="000000"/>
                <w:sz w:val="21"/>
                <w:szCs w:val="21"/>
                <w:lang w:eastAsia="zh-Hans"/>
              </w:rPr>
              <w:t>网络安全服务</w:t>
            </w:r>
          </w:p>
        </w:tc>
      </w:tr>
      <w:tr w14:paraId="20D01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shd w:val="clear" w:color="auto" w:fill="DAEEF3"/>
            <w:vAlign w:val="center"/>
          </w:tcPr>
          <w:p w14:paraId="47103D5A">
            <w:pPr>
              <w:spacing w:line="240" w:lineRule="auto"/>
              <w:jc w:val="left"/>
              <w:rPr>
                <w:rFonts w:ascii="仿宋" w:hAnsi="仿宋" w:eastAsia="仿宋" w:cs="仿宋"/>
                <w:b/>
                <w:bCs/>
                <w:color w:val="000000"/>
                <w:sz w:val="21"/>
                <w:szCs w:val="21"/>
              </w:rPr>
            </w:pPr>
            <w:r>
              <w:rPr>
                <w:rFonts w:hint="eastAsia" w:ascii="仿宋" w:hAnsi="仿宋" w:eastAsia="仿宋" w:cs="仿宋"/>
                <w:b/>
                <w:bCs/>
                <w:color w:val="000000"/>
                <w:sz w:val="21"/>
                <w:szCs w:val="21"/>
              </w:rPr>
              <w:t>序号</w:t>
            </w:r>
          </w:p>
        </w:tc>
        <w:tc>
          <w:tcPr>
            <w:tcW w:w="924" w:type="pct"/>
            <w:shd w:val="clear" w:color="auto" w:fill="DAEEF3"/>
            <w:vAlign w:val="center"/>
          </w:tcPr>
          <w:p w14:paraId="7794E6C4">
            <w:pPr>
              <w:spacing w:line="240" w:lineRule="auto"/>
              <w:jc w:val="left"/>
              <w:rPr>
                <w:rFonts w:ascii="仿宋" w:hAnsi="仿宋" w:eastAsia="仿宋" w:cs="仿宋"/>
                <w:b/>
                <w:bCs/>
                <w:color w:val="000000"/>
                <w:sz w:val="21"/>
                <w:szCs w:val="21"/>
              </w:rPr>
            </w:pPr>
            <w:r>
              <w:rPr>
                <w:rFonts w:hint="eastAsia" w:ascii="仿宋" w:hAnsi="仿宋" w:eastAsia="仿宋" w:cs="仿宋"/>
                <w:b/>
                <w:bCs/>
                <w:color w:val="000000"/>
                <w:sz w:val="21"/>
                <w:szCs w:val="21"/>
              </w:rPr>
              <w:t>建设模块</w:t>
            </w:r>
          </w:p>
        </w:tc>
        <w:tc>
          <w:tcPr>
            <w:tcW w:w="939" w:type="pct"/>
            <w:shd w:val="clear" w:color="auto" w:fill="DAEEF3"/>
            <w:vAlign w:val="center"/>
          </w:tcPr>
          <w:p w14:paraId="698D6F81">
            <w:pPr>
              <w:spacing w:line="240" w:lineRule="auto"/>
              <w:jc w:val="left"/>
              <w:rPr>
                <w:rFonts w:ascii="仿宋" w:hAnsi="仿宋" w:eastAsia="仿宋" w:cs="仿宋"/>
                <w:b/>
                <w:bCs/>
                <w:color w:val="000000"/>
                <w:sz w:val="21"/>
                <w:szCs w:val="21"/>
              </w:rPr>
            </w:pPr>
            <w:r>
              <w:rPr>
                <w:rFonts w:hint="eastAsia" w:ascii="仿宋" w:hAnsi="仿宋" w:eastAsia="仿宋" w:cs="仿宋"/>
                <w:b/>
                <w:bCs/>
                <w:color w:val="000000"/>
                <w:sz w:val="21"/>
                <w:szCs w:val="21"/>
              </w:rPr>
              <w:t>一级功能</w:t>
            </w:r>
          </w:p>
        </w:tc>
        <w:tc>
          <w:tcPr>
            <w:tcW w:w="1577" w:type="pct"/>
            <w:shd w:val="clear" w:color="auto" w:fill="DAEEF3"/>
            <w:vAlign w:val="center"/>
          </w:tcPr>
          <w:p w14:paraId="707372E7">
            <w:pPr>
              <w:spacing w:line="240" w:lineRule="auto"/>
              <w:jc w:val="left"/>
              <w:rPr>
                <w:rFonts w:ascii="仿宋" w:hAnsi="仿宋" w:eastAsia="仿宋" w:cs="仿宋"/>
                <w:b/>
                <w:bCs/>
                <w:color w:val="000000"/>
                <w:sz w:val="21"/>
                <w:szCs w:val="21"/>
              </w:rPr>
            </w:pPr>
            <w:r>
              <w:rPr>
                <w:rFonts w:hint="eastAsia" w:ascii="仿宋" w:hAnsi="仿宋" w:eastAsia="仿宋" w:cs="仿宋"/>
                <w:b/>
                <w:bCs/>
                <w:color w:val="000000"/>
                <w:sz w:val="21"/>
                <w:szCs w:val="21"/>
              </w:rPr>
              <w:t>二级功能</w:t>
            </w:r>
          </w:p>
        </w:tc>
        <w:tc>
          <w:tcPr>
            <w:tcW w:w="810" w:type="pct"/>
            <w:shd w:val="clear" w:color="auto" w:fill="DAEEF3"/>
            <w:vAlign w:val="center"/>
          </w:tcPr>
          <w:p w14:paraId="43764204">
            <w:pPr>
              <w:spacing w:line="240" w:lineRule="auto"/>
              <w:jc w:val="left"/>
              <w:rPr>
                <w:rFonts w:ascii="仿宋" w:hAnsi="仿宋" w:eastAsia="仿宋" w:cs="仿宋"/>
                <w:b/>
                <w:bCs/>
                <w:color w:val="000000"/>
                <w:sz w:val="21"/>
                <w:szCs w:val="21"/>
              </w:rPr>
            </w:pPr>
            <w:r>
              <w:rPr>
                <w:rFonts w:hint="eastAsia" w:ascii="仿宋" w:hAnsi="仿宋" w:eastAsia="仿宋" w:cs="仿宋"/>
                <w:b/>
                <w:bCs/>
                <w:color w:val="000000"/>
                <w:sz w:val="21"/>
                <w:szCs w:val="21"/>
              </w:rPr>
              <w:t>备注</w:t>
            </w:r>
          </w:p>
        </w:tc>
      </w:tr>
      <w:tr w14:paraId="73728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361D674E">
            <w:pPr>
              <w:numPr>
                <w:ilvl w:val="0"/>
                <w:numId w:val="2"/>
              </w:numPr>
              <w:spacing w:line="240" w:lineRule="auto"/>
              <w:jc w:val="left"/>
              <w:rPr>
                <w:rFonts w:ascii="仿宋" w:hAnsi="仿宋" w:eastAsia="仿宋" w:cs="仿宋"/>
                <w:color w:val="000000"/>
                <w:sz w:val="21"/>
                <w:szCs w:val="21"/>
              </w:rPr>
            </w:pPr>
          </w:p>
        </w:tc>
        <w:tc>
          <w:tcPr>
            <w:tcW w:w="924" w:type="pct"/>
            <w:vAlign w:val="center"/>
          </w:tcPr>
          <w:p w14:paraId="3A70B336">
            <w:pPr>
              <w:spacing w:line="240" w:lineRule="auto"/>
              <w:jc w:val="left"/>
              <w:rPr>
                <w:rFonts w:ascii="仿宋" w:hAnsi="仿宋" w:eastAsia="仿宋" w:cs="仿宋"/>
                <w:sz w:val="21"/>
                <w:szCs w:val="21"/>
              </w:rPr>
            </w:pPr>
            <w:r>
              <w:rPr>
                <w:rFonts w:hint="eastAsia" w:ascii="仿宋" w:hAnsi="仿宋" w:eastAsia="仿宋" w:cs="仿宋"/>
                <w:sz w:val="21"/>
                <w:szCs w:val="21"/>
              </w:rPr>
              <w:t>安全中间件</w:t>
            </w:r>
          </w:p>
        </w:tc>
        <w:tc>
          <w:tcPr>
            <w:tcW w:w="939" w:type="pct"/>
            <w:vAlign w:val="center"/>
          </w:tcPr>
          <w:p w14:paraId="464A2EA5">
            <w:pPr>
              <w:spacing w:line="240" w:lineRule="auto"/>
              <w:jc w:val="left"/>
              <w:rPr>
                <w:rFonts w:ascii="仿宋" w:hAnsi="仿宋" w:eastAsia="仿宋" w:cs="仿宋"/>
                <w:sz w:val="21"/>
                <w:szCs w:val="21"/>
              </w:rPr>
            </w:pPr>
            <w:r>
              <w:rPr>
                <w:rFonts w:hint="eastAsia" w:ascii="仿宋" w:hAnsi="仿宋" w:eastAsia="仿宋" w:cs="仿宋"/>
                <w:sz w:val="21"/>
                <w:szCs w:val="21"/>
              </w:rPr>
              <w:t>国产安全中间件</w:t>
            </w:r>
          </w:p>
        </w:tc>
        <w:tc>
          <w:tcPr>
            <w:tcW w:w="1577" w:type="pct"/>
            <w:vAlign w:val="center"/>
          </w:tcPr>
          <w:p w14:paraId="48A80330">
            <w:pPr>
              <w:spacing w:line="240" w:lineRule="auto"/>
              <w:jc w:val="left"/>
              <w:rPr>
                <w:rFonts w:ascii="仿宋" w:hAnsi="仿宋" w:eastAsia="仿宋" w:cs="仿宋"/>
                <w:sz w:val="21"/>
                <w:szCs w:val="21"/>
              </w:rPr>
            </w:pPr>
            <w:r>
              <w:rPr>
                <w:rFonts w:hint="eastAsia" w:ascii="仿宋" w:hAnsi="仿宋" w:eastAsia="仿宋" w:cs="仿宋"/>
                <w:sz w:val="21"/>
                <w:szCs w:val="21"/>
              </w:rPr>
              <w:t>国产安全中间件</w:t>
            </w:r>
          </w:p>
        </w:tc>
        <w:tc>
          <w:tcPr>
            <w:tcW w:w="810" w:type="pct"/>
          </w:tcPr>
          <w:p w14:paraId="08F686BC">
            <w:pPr>
              <w:spacing w:line="240" w:lineRule="auto"/>
              <w:ind w:firstLine="480"/>
              <w:jc w:val="left"/>
              <w:rPr>
                <w:rFonts w:ascii="瀹嬩綋" w:hAnsi="瀹嬩綋" w:eastAsia="瀹嬩綋"/>
                <w:color w:val="000000"/>
                <w:sz w:val="21"/>
                <w:szCs w:val="21"/>
              </w:rPr>
            </w:pPr>
          </w:p>
        </w:tc>
      </w:tr>
      <w:tr w14:paraId="5E0F5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D6D1F65">
            <w:pPr>
              <w:numPr>
                <w:ilvl w:val="0"/>
                <w:numId w:val="2"/>
              </w:numPr>
              <w:spacing w:line="240" w:lineRule="auto"/>
              <w:jc w:val="left"/>
              <w:rPr>
                <w:rFonts w:ascii="仿宋" w:hAnsi="仿宋" w:eastAsia="仿宋" w:cs="仿宋"/>
                <w:color w:val="000000"/>
                <w:sz w:val="21"/>
                <w:szCs w:val="21"/>
              </w:rPr>
            </w:pPr>
          </w:p>
        </w:tc>
        <w:tc>
          <w:tcPr>
            <w:tcW w:w="924" w:type="pct"/>
            <w:vAlign w:val="center"/>
          </w:tcPr>
          <w:p w14:paraId="19E20CFB">
            <w:pPr>
              <w:spacing w:line="240" w:lineRule="auto"/>
              <w:jc w:val="left"/>
              <w:rPr>
                <w:rFonts w:hint="default" w:ascii="仿宋" w:hAnsi="仿宋" w:eastAsia="仿宋" w:cs="仿宋"/>
                <w:sz w:val="21"/>
                <w:szCs w:val="21"/>
                <w:lang w:val="en-US" w:eastAsia="zh-CN"/>
              </w:rPr>
            </w:pPr>
            <w:r>
              <w:rPr>
                <w:rFonts w:hint="eastAsia" w:ascii="仿宋" w:hAnsi="仿宋" w:eastAsia="仿宋" w:cs="仿宋"/>
                <w:sz w:val="21"/>
                <w:szCs w:val="21"/>
              </w:rPr>
              <w:t>三级信息</w:t>
            </w:r>
            <w:r>
              <w:rPr>
                <w:rFonts w:hint="eastAsia" w:ascii="仿宋" w:hAnsi="仿宋" w:eastAsia="仿宋" w:cs="仿宋"/>
                <w:sz w:val="21"/>
                <w:szCs w:val="21"/>
                <w:lang w:val="en-US" w:eastAsia="zh-CN"/>
              </w:rPr>
              <w:t>等级保护安全建设服务</w:t>
            </w:r>
          </w:p>
        </w:tc>
        <w:tc>
          <w:tcPr>
            <w:tcW w:w="939" w:type="pct"/>
            <w:vAlign w:val="center"/>
          </w:tcPr>
          <w:p w14:paraId="6BA71315">
            <w:pPr>
              <w:spacing w:line="240" w:lineRule="auto"/>
              <w:jc w:val="left"/>
              <w:rPr>
                <w:rFonts w:ascii="仿宋" w:hAnsi="仿宋" w:eastAsia="仿宋" w:cs="仿宋"/>
                <w:sz w:val="21"/>
                <w:szCs w:val="21"/>
              </w:rPr>
            </w:pPr>
            <w:r>
              <w:rPr>
                <w:rFonts w:hint="eastAsia" w:ascii="仿宋" w:hAnsi="仿宋" w:eastAsia="仿宋" w:cs="仿宋"/>
                <w:sz w:val="21"/>
                <w:szCs w:val="21"/>
              </w:rPr>
              <w:t>三级信息</w:t>
            </w:r>
            <w:r>
              <w:rPr>
                <w:rFonts w:hint="eastAsia" w:ascii="仿宋" w:hAnsi="仿宋" w:eastAsia="仿宋" w:cs="仿宋"/>
                <w:sz w:val="21"/>
                <w:szCs w:val="21"/>
                <w:lang w:val="en-US" w:eastAsia="zh-CN"/>
              </w:rPr>
              <w:t>等级保护安全建设服务</w:t>
            </w:r>
          </w:p>
        </w:tc>
        <w:tc>
          <w:tcPr>
            <w:tcW w:w="1577" w:type="pct"/>
            <w:vAlign w:val="center"/>
          </w:tcPr>
          <w:p w14:paraId="39DA486F">
            <w:pPr>
              <w:spacing w:line="240" w:lineRule="auto"/>
              <w:jc w:val="left"/>
              <w:rPr>
                <w:rFonts w:ascii="仿宋" w:hAnsi="仿宋" w:eastAsia="仿宋" w:cs="仿宋"/>
                <w:sz w:val="21"/>
                <w:szCs w:val="21"/>
              </w:rPr>
            </w:pPr>
            <w:r>
              <w:rPr>
                <w:rFonts w:hint="eastAsia" w:ascii="仿宋" w:hAnsi="仿宋" w:eastAsia="仿宋" w:cs="仿宋"/>
                <w:sz w:val="21"/>
                <w:szCs w:val="21"/>
              </w:rPr>
              <w:t>三级信息</w:t>
            </w:r>
            <w:r>
              <w:rPr>
                <w:rFonts w:hint="eastAsia" w:ascii="仿宋" w:hAnsi="仿宋" w:eastAsia="仿宋" w:cs="仿宋"/>
                <w:sz w:val="21"/>
                <w:szCs w:val="21"/>
                <w:lang w:val="en-US" w:eastAsia="zh-CN"/>
              </w:rPr>
              <w:t>等级保护安全建设服务</w:t>
            </w:r>
          </w:p>
        </w:tc>
        <w:tc>
          <w:tcPr>
            <w:tcW w:w="810" w:type="pct"/>
            <w:vAlign w:val="center"/>
          </w:tcPr>
          <w:p w14:paraId="12AF5ECB">
            <w:pPr>
              <w:spacing w:line="240" w:lineRule="auto"/>
              <w:ind w:firstLine="480"/>
              <w:jc w:val="left"/>
              <w:rPr>
                <w:rFonts w:ascii="瀹嬩綋" w:hAnsi="瀹嬩綋" w:eastAsia="瀹嬩綋"/>
                <w:color w:val="000000"/>
                <w:sz w:val="21"/>
                <w:szCs w:val="21"/>
              </w:rPr>
            </w:pPr>
          </w:p>
        </w:tc>
      </w:tr>
      <w:tr w14:paraId="417DF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5000" w:type="pct"/>
            <w:gridSpan w:val="5"/>
            <w:shd w:val="clear" w:color="auto" w:fill="DAEEF3"/>
            <w:vAlign w:val="center"/>
          </w:tcPr>
          <w:p w14:paraId="7049E0DC">
            <w:pPr>
              <w:spacing w:line="240" w:lineRule="auto"/>
              <w:jc w:val="center"/>
              <w:rPr>
                <w:rFonts w:ascii="仿宋" w:hAnsi="仿宋" w:eastAsia="仿宋" w:cs="仿宋"/>
                <w:color w:val="000000"/>
                <w:sz w:val="21"/>
                <w:szCs w:val="21"/>
              </w:rPr>
            </w:pPr>
            <w:r>
              <w:rPr>
                <w:rFonts w:hint="eastAsia" w:ascii="仿宋" w:hAnsi="仿宋" w:eastAsia="仿宋" w:cs="仿宋"/>
                <w:b/>
                <w:bCs/>
                <w:color w:val="000000"/>
                <w:sz w:val="21"/>
                <w:szCs w:val="21"/>
                <w:lang w:eastAsia="zh-Hans"/>
              </w:rPr>
              <w:t>互联网运营服务</w:t>
            </w:r>
          </w:p>
        </w:tc>
      </w:tr>
      <w:tr w14:paraId="3C9D1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shd w:val="clear" w:color="auto" w:fill="DAEEF3"/>
            <w:vAlign w:val="center"/>
          </w:tcPr>
          <w:p w14:paraId="5D4E7137">
            <w:pPr>
              <w:spacing w:line="240" w:lineRule="auto"/>
              <w:jc w:val="left"/>
              <w:rPr>
                <w:rFonts w:ascii="仿宋" w:hAnsi="仿宋" w:eastAsia="仿宋" w:cs="仿宋"/>
                <w:color w:val="000000"/>
                <w:sz w:val="21"/>
                <w:szCs w:val="21"/>
              </w:rPr>
            </w:pPr>
            <w:r>
              <w:rPr>
                <w:rFonts w:hint="eastAsia" w:ascii="仿宋" w:hAnsi="仿宋" w:eastAsia="仿宋" w:cs="仿宋"/>
                <w:b/>
                <w:bCs/>
                <w:color w:val="000000"/>
                <w:sz w:val="21"/>
                <w:szCs w:val="21"/>
              </w:rPr>
              <w:t>序号</w:t>
            </w:r>
          </w:p>
        </w:tc>
        <w:tc>
          <w:tcPr>
            <w:tcW w:w="924" w:type="pct"/>
            <w:shd w:val="clear" w:color="auto" w:fill="DAEEF3"/>
            <w:vAlign w:val="center"/>
          </w:tcPr>
          <w:p w14:paraId="0C03E25C">
            <w:pPr>
              <w:spacing w:line="240" w:lineRule="auto"/>
              <w:jc w:val="left"/>
              <w:rPr>
                <w:rFonts w:ascii="仿宋" w:hAnsi="仿宋" w:eastAsia="仿宋" w:cs="仿宋"/>
                <w:color w:val="000000"/>
                <w:sz w:val="21"/>
                <w:szCs w:val="21"/>
              </w:rPr>
            </w:pPr>
            <w:r>
              <w:rPr>
                <w:rFonts w:hint="eastAsia" w:ascii="仿宋" w:hAnsi="仿宋" w:eastAsia="仿宋" w:cs="仿宋"/>
                <w:b/>
                <w:bCs/>
                <w:color w:val="000000"/>
                <w:sz w:val="21"/>
                <w:szCs w:val="21"/>
              </w:rPr>
              <w:t>建设模块</w:t>
            </w:r>
          </w:p>
        </w:tc>
        <w:tc>
          <w:tcPr>
            <w:tcW w:w="939" w:type="pct"/>
            <w:shd w:val="clear" w:color="auto" w:fill="DAEEF3"/>
            <w:vAlign w:val="center"/>
          </w:tcPr>
          <w:p w14:paraId="1EE566B1">
            <w:pPr>
              <w:spacing w:line="240" w:lineRule="auto"/>
              <w:jc w:val="left"/>
              <w:rPr>
                <w:rFonts w:ascii="仿宋" w:hAnsi="仿宋" w:eastAsia="仿宋" w:cs="仿宋"/>
                <w:color w:val="000000"/>
                <w:sz w:val="21"/>
                <w:szCs w:val="21"/>
              </w:rPr>
            </w:pPr>
            <w:r>
              <w:rPr>
                <w:rFonts w:hint="eastAsia" w:ascii="仿宋" w:hAnsi="仿宋" w:eastAsia="仿宋" w:cs="仿宋"/>
                <w:b/>
                <w:bCs/>
                <w:color w:val="000000"/>
                <w:sz w:val="21"/>
                <w:szCs w:val="21"/>
              </w:rPr>
              <w:t>一级功能</w:t>
            </w:r>
          </w:p>
        </w:tc>
        <w:tc>
          <w:tcPr>
            <w:tcW w:w="1577" w:type="pct"/>
            <w:shd w:val="clear" w:color="auto" w:fill="DAEEF3"/>
            <w:vAlign w:val="center"/>
          </w:tcPr>
          <w:p w14:paraId="3C51E579">
            <w:pPr>
              <w:spacing w:line="240" w:lineRule="auto"/>
              <w:jc w:val="left"/>
              <w:rPr>
                <w:rFonts w:ascii="仿宋" w:hAnsi="仿宋" w:eastAsia="仿宋" w:cs="仿宋"/>
                <w:color w:val="000000"/>
                <w:sz w:val="21"/>
                <w:szCs w:val="21"/>
              </w:rPr>
            </w:pPr>
            <w:r>
              <w:rPr>
                <w:rFonts w:hint="eastAsia" w:ascii="仿宋" w:hAnsi="仿宋" w:eastAsia="仿宋" w:cs="仿宋"/>
                <w:b/>
                <w:bCs/>
                <w:color w:val="000000"/>
                <w:sz w:val="21"/>
                <w:szCs w:val="21"/>
              </w:rPr>
              <w:t>二级功能</w:t>
            </w:r>
          </w:p>
        </w:tc>
        <w:tc>
          <w:tcPr>
            <w:tcW w:w="810" w:type="pct"/>
            <w:shd w:val="clear" w:color="auto" w:fill="DAEEF3"/>
            <w:vAlign w:val="center"/>
          </w:tcPr>
          <w:p w14:paraId="2C23C57E">
            <w:pPr>
              <w:spacing w:line="240" w:lineRule="auto"/>
              <w:jc w:val="left"/>
              <w:rPr>
                <w:rFonts w:ascii="仿宋" w:hAnsi="仿宋" w:eastAsia="仿宋" w:cs="仿宋"/>
                <w:b/>
                <w:bCs/>
                <w:color w:val="000000"/>
                <w:sz w:val="21"/>
                <w:szCs w:val="21"/>
              </w:rPr>
            </w:pPr>
            <w:r>
              <w:rPr>
                <w:rFonts w:hint="eastAsia" w:ascii="仿宋" w:hAnsi="仿宋" w:eastAsia="仿宋" w:cs="仿宋"/>
                <w:b/>
                <w:bCs/>
                <w:color w:val="000000"/>
                <w:sz w:val="21"/>
                <w:szCs w:val="21"/>
              </w:rPr>
              <w:t>备注</w:t>
            </w:r>
          </w:p>
        </w:tc>
      </w:tr>
      <w:tr w14:paraId="2668E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47" w:type="pct"/>
            <w:vAlign w:val="center"/>
          </w:tcPr>
          <w:p w14:paraId="0E1CEB32">
            <w:pPr>
              <w:numPr>
                <w:ilvl w:val="0"/>
                <w:numId w:val="2"/>
              </w:numPr>
              <w:spacing w:line="240" w:lineRule="auto"/>
              <w:jc w:val="left"/>
              <w:rPr>
                <w:rFonts w:ascii="仿宋" w:hAnsi="仿宋" w:eastAsia="仿宋" w:cs="仿宋"/>
                <w:color w:val="000000"/>
                <w:sz w:val="21"/>
                <w:szCs w:val="21"/>
                <w:highlight w:val="none"/>
              </w:rPr>
            </w:pPr>
          </w:p>
        </w:tc>
        <w:tc>
          <w:tcPr>
            <w:tcW w:w="924" w:type="pct"/>
            <w:vAlign w:val="center"/>
          </w:tcPr>
          <w:p w14:paraId="243ABF73">
            <w:pPr>
              <w:spacing w:line="240" w:lineRule="auto"/>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互联网运营服务</w:t>
            </w:r>
          </w:p>
        </w:tc>
        <w:tc>
          <w:tcPr>
            <w:tcW w:w="939" w:type="pct"/>
            <w:vAlign w:val="center"/>
          </w:tcPr>
          <w:p w14:paraId="34337B9F">
            <w:pPr>
              <w:spacing w:line="240" w:lineRule="auto"/>
              <w:jc w:val="left"/>
              <w:rPr>
                <w:rFonts w:hint="eastAsia" w:ascii="仿宋" w:hAnsi="仿宋" w:eastAsia="仿宋" w:cs="仿宋"/>
                <w:sz w:val="21"/>
                <w:szCs w:val="21"/>
              </w:rPr>
            </w:pPr>
            <w:r>
              <w:rPr>
                <w:rFonts w:hint="eastAsia" w:ascii="仿宋" w:hAnsi="仿宋" w:eastAsia="仿宋" w:cs="仿宋"/>
                <w:sz w:val="21"/>
                <w:szCs w:val="21"/>
              </w:rPr>
              <w:t>互联网运营服务</w:t>
            </w:r>
          </w:p>
        </w:tc>
        <w:tc>
          <w:tcPr>
            <w:tcW w:w="1577" w:type="pct"/>
            <w:vAlign w:val="center"/>
          </w:tcPr>
          <w:p w14:paraId="5F51629C">
            <w:pPr>
              <w:spacing w:line="240" w:lineRule="auto"/>
              <w:jc w:val="left"/>
              <w:rPr>
                <w:rFonts w:hint="eastAsia" w:ascii="仿宋" w:hAnsi="仿宋" w:eastAsia="仿宋" w:cs="仿宋"/>
                <w:sz w:val="21"/>
                <w:szCs w:val="21"/>
              </w:rPr>
            </w:pPr>
            <w:r>
              <w:rPr>
                <w:rFonts w:hint="eastAsia" w:ascii="仿宋" w:hAnsi="仿宋" w:eastAsia="仿宋" w:cs="仿宋"/>
                <w:sz w:val="21"/>
                <w:szCs w:val="21"/>
              </w:rPr>
              <w:t>互联网运营服务互联网运营服务（详见</w:t>
            </w:r>
            <w:r>
              <w:rPr>
                <w:rFonts w:hint="eastAsia" w:ascii="仿宋" w:hAnsi="仿宋" w:eastAsia="仿宋" w:cs="仿宋"/>
                <w:sz w:val="21"/>
                <w:szCs w:val="21"/>
                <w:lang w:val="en-US" w:eastAsia="zh-CN"/>
              </w:rPr>
              <w:t>1</w:t>
            </w:r>
            <w:r>
              <w:rPr>
                <w:rFonts w:hint="eastAsia" w:ascii="仿宋" w:hAnsi="仿宋" w:eastAsia="仿宋" w:cs="仿宋"/>
                <w:sz w:val="21"/>
                <w:szCs w:val="21"/>
              </w:rPr>
              <w:t>.10互联网运营服务）</w:t>
            </w:r>
          </w:p>
        </w:tc>
        <w:tc>
          <w:tcPr>
            <w:tcW w:w="810" w:type="pct"/>
            <w:vAlign w:val="center"/>
          </w:tcPr>
          <w:p w14:paraId="363D32FB">
            <w:pPr>
              <w:spacing w:line="240" w:lineRule="auto"/>
              <w:jc w:val="left"/>
              <w:rPr>
                <w:rFonts w:ascii="仿宋" w:hAnsi="仿宋" w:eastAsia="仿宋" w:cs="仿宋"/>
                <w:color w:val="000000"/>
                <w:sz w:val="21"/>
                <w:szCs w:val="21"/>
              </w:rPr>
            </w:pPr>
          </w:p>
        </w:tc>
      </w:tr>
    </w:tbl>
    <w:p w14:paraId="4FFE2B84">
      <w:pPr>
        <w:pStyle w:val="542"/>
      </w:pPr>
    </w:p>
    <w:p w14:paraId="548297F0">
      <w:pPr>
        <w:spacing w:line="400" w:lineRule="exact"/>
        <w:ind w:firstLine="369" w:firstLineChars="175"/>
        <w:outlineLvl w:val="1"/>
        <w:rPr>
          <w:rFonts w:hAnsi="宋体" w:cs="宋体"/>
          <w:b/>
          <w:bCs/>
        </w:rPr>
      </w:pPr>
      <w:bookmarkStart w:id="71" w:name="_Toc17914"/>
      <w:r>
        <w:rPr>
          <w:rFonts w:hint="eastAsia" w:hAnsi="宋体" w:cs="宋体"/>
          <w:b/>
          <w:bCs/>
        </w:rPr>
        <w:t>二、建设原则</w:t>
      </w:r>
      <w:bookmarkEnd w:id="71"/>
    </w:p>
    <w:p w14:paraId="30779594">
      <w:pPr>
        <w:snapToGrid w:val="0"/>
        <w:spacing w:line="400" w:lineRule="exact"/>
        <w:ind w:right="218" w:rightChars="104" w:firstLine="420" w:firstLineChars="200"/>
        <w:rPr>
          <w:rFonts w:hAnsi="宋体" w:cs="Arial"/>
          <w:bCs/>
          <w:szCs w:val="24"/>
        </w:rPr>
      </w:pPr>
      <w:bookmarkStart w:id="72" w:name="_Toc23990"/>
      <w:bookmarkStart w:id="73" w:name="_Toc75448000"/>
      <w:bookmarkStart w:id="74" w:name="_Toc108513597"/>
      <w:bookmarkStart w:id="75" w:name="_Toc26529"/>
      <w:r>
        <w:rPr>
          <w:rFonts w:hint="eastAsia" w:hAnsi="宋体" w:cs="Arial"/>
          <w:bCs/>
          <w:szCs w:val="24"/>
        </w:rPr>
        <w:t>1.标准化与开放性</w:t>
      </w:r>
      <w:bookmarkEnd w:id="72"/>
      <w:bookmarkEnd w:id="73"/>
      <w:bookmarkEnd w:id="74"/>
      <w:bookmarkEnd w:id="75"/>
    </w:p>
    <w:p w14:paraId="09E5457A">
      <w:pPr>
        <w:snapToGrid w:val="0"/>
        <w:spacing w:line="400" w:lineRule="exact"/>
        <w:ind w:right="218" w:rightChars="104" w:firstLine="420" w:firstLineChars="200"/>
        <w:rPr>
          <w:rFonts w:hAnsi="宋体" w:cs="Arial"/>
          <w:bCs/>
          <w:szCs w:val="24"/>
        </w:rPr>
      </w:pPr>
      <w:r>
        <w:rPr>
          <w:rFonts w:hint="eastAsia" w:hAnsi="宋体" w:cs="Arial"/>
          <w:bCs/>
          <w:szCs w:val="24"/>
        </w:rPr>
        <w:t>本项目所采用的产品需遵循国家卫健委信息标准最新研究成果以及功能和业务标准、规范，参考国际标准的最新研究成果，从所涉及业务的国际标准、国家标准及规范各项技术规定，做好系统的标准化设计与管理工作，符合国家及医疗卫生行业相关信息化规范。同时，产品在结构上需实现开放性，基于国际开放式标准，包括各种局域网、计算机及数据库协议，符合国家和信息产业部的规范。软件数据字典应分为国家数据字典、省部委数据字典、地区和用户数据字典。</w:t>
      </w:r>
    </w:p>
    <w:p w14:paraId="37AB4015">
      <w:pPr>
        <w:snapToGrid w:val="0"/>
        <w:spacing w:line="400" w:lineRule="exact"/>
        <w:ind w:right="218" w:rightChars="104" w:firstLine="420" w:firstLineChars="200"/>
        <w:rPr>
          <w:rFonts w:hAnsi="宋体" w:cs="Arial"/>
          <w:bCs/>
          <w:szCs w:val="24"/>
        </w:rPr>
      </w:pPr>
      <w:bookmarkStart w:id="76" w:name="_Toc23177"/>
      <w:bookmarkStart w:id="77" w:name="_Toc108513598"/>
      <w:bookmarkStart w:id="78" w:name="_Toc75448001"/>
      <w:r>
        <w:rPr>
          <w:rFonts w:hint="eastAsia" w:hAnsi="宋体" w:cs="Arial"/>
          <w:bCs/>
          <w:szCs w:val="24"/>
        </w:rPr>
        <w:t>2.可扩展性</w:t>
      </w:r>
      <w:bookmarkEnd w:id="76"/>
      <w:bookmarkEnd w:id="77"/>
      <w:bookmarkEnd w:id="78"/>
    </w:p>
    <w:p w14:paraId="0418C067">
      <w:pPr>
        <w:snapToGrid w:val="0"/>
        <w:spacing w:line="400" w:lineRule="exact"/>
        <w:ind w:right="218" w:rightChars="104" w:firstLine="420" w:firstLineChars="200"/>
        <w:rPr>
          <w:rFonts w:hAnsi="宋体" w:cs="Arial"/>
          <w:bCs/>
          <w:szCs w:val="24"/>
        </w:rPr>
      </w:pPr>
      <w:r>
        <w:rPr>
          <w:rFonts w:hint="eastAsia" w:hAnsi="宋体" w:cs="Arial"/>
          <w:bCs/>
          <w:szCs w:val="24"/>
        </w:rPr>
        <w:t>在系统设计中，不仅要考虑到目前各种业务的实际需求，更应充分考虑将来业务种类增长的需求，从实用性出发，解决实际问题。方案的制定和产品的选型在保证其先进与成熟的基础上，力求降低成本。为了确保系统可灵活地扩充其业务功能，并可与其它业务系统进行无缝互连，同时满足业务发展中的个性化需求。</w:t>
      </w:r>
    </w:p>
    <w:p w14:paraId="6108D927">
      <w:pPr>
        <w:snapToGrid w:val="0"/>
        <w:spacing w:line="400" w:lineRule="exact"/>
        <w:ind w:right="218" w:rightChars="104" w:firstLine="420" w:firstLineChars="200"/>
        <w:rPr>
          <w:rFonts w:hAnsi="宋体" w:cs="Arial"/>
          <w:bCs/>
          <w:szCs w:val="24"/>
        </w:rPr>
      </w:pPr>
      <w:bookmarkStart w:id="79" w:name="_Toc75448002"/>
      <w:bookmarkStart w:id="80" w:name="_Toc5517"/>
      <w:bookmarkStart w:id="81" w:name="_Toc14820"/>
      <w:bookmarkStart w:id="82" w:name="_Toc108513599"/>
      <w:r>
        <w:rPr>
          <w:rFonts w:hint="eastAsia" w:hAnsi="宋体" w:cs="Arial"/>
          <w:bCs/>
          <w:szCs w:val="24"/>
        </w:rPr>
        <w:t>3.安全与自主可控性</w:t>
      </w:r>
      <w:bookmarkEnd w:id="79"/>
      <w:bookmarkEnd w:id="80"/>
      <w:bookmarkEnd w:id="81"/>
      <w:bookmarkEnd w:id="82"/>
    </w:p>
    <w:p w14:paraId="378BD5E6">
      <w:pPr>
        <w:snapToGrid w:val="0"/>
        <w:spacing w:line="400" w:lineRule="exact"/>
        <w:ind w:right="218" w:rightChars="104" w:firstLine="420" w:firstLineChars="200"/>
        <w:rPr>
          <w:rFonts w:hAnsi="宋体" w:cs="Arial"/>
          <w:bCs/>
          <w:szCs w:val="24"/>
        </w:rPr>
      </w:pPr>
      <w:r>
        <w:rPr>
          <w:rFonts w:hint="eastAsia" w:hAnsi="宋体" w:cs="Arial"/>
          <w:bCs/>
          <w:szCs w:val="24"/>
        </w:rPr>
        <w:t>安全性、是信息系统建设的重要基础。 为了保证系统可靠性使用，系统需采用多种手段防止各种形式与途径的非法破坏，建立健全各种保证措施，使系统处于正常运行。并在应用层面提供对数据的保护，保护数据的完整性、保密性、抗抵赖性。</w:t>
      </w:r>
    </w:p>
    <w:p w14:paraId="2A039784">
      <w:pPr>
        <w:snapToGrid w:val="0"/>
        <w:spacing w:line="400" w:lineRule="exact"/>
        <w:ind w:right="218" w:rightChars="104" w:firstLine="420" w:firstLineChars="200"/>
        <w:rPr>
          <w:rFonts w:hAnsi="宋体" w:cs="Arial"/>
          <w:bCs/>
          <w:szCs w:val="24"/>
        </w:rPr>
      </w:pPr>
      <w:bookmarkStart w:id="83" w:name="_Toc75448003"/>
      <w:bookmarkStart w:id="84" w:name="_Toc108513600"/>
      <w:bookmarkStart w:id="85" w:name="_Toc12238"/>
      <w:bookmarkStart w:id="86" w:name="_Toc13751"/>
      <w:r>
        <w:rPr>
          <w:rFonts w:hint="eastAsia" w:hAnsi="宋体" w:cs="Arial"/>
          <w:bCs/>
          <w:szCs w:val="24"/>
        </w:rPr>
        <w:t>4.可靠性与稳定性</w:t>
      </w:r>
      <w:bookmarkEnd w:id="83"/>
      <w:bookmarkEnd w:id="84"/>
      <w:bookmarkEnd w:id="85"/>
      <w:bookmarkEnd w:id="86"/>
    </w:p>
    <w:p w14:paraId="4C184796">
      <w:pPr>
        <w:snapToGrid w:val="0"/>
        <w:spacing w:line="400" w:lineRule="exact"/>
        <w:ind w:right="218" w:rightChars="104" w:firstLine="420" w:firstLineChars="200"/>
        <w:rPr>
          <w:rFonts w:hAnsi="宋体" w:cs="Arial"/>
          <w:bCs/>
          <w:szCs w:val="24"/>
        </w:rPr>
      </w:pPr>
      <w:r>
        <w:rPr>
          <w:rFonts w:hint="eastAsia" w:hAnsi="宋体" w:cs="Arial"/>
          <w:bCs/>
          <w:szCs w:val="24"/>
        </w:rPr>
        <w:t>系统应可靠、稳定，信息系统各环节需具备故障分析与恢复、容错能力，并在安全体系建设、复杂环节解决方案和信息系统切换等方面考虑周到、切实可行，简称的信息系统将安全可靠、稳定性强，把各种可能的风险降至最低。</w:t>
      </w:r>
    </w:p>
    <w:p w14:paraId="5B73F8E2">
      <w:pPr>
        <w:snapToGrid w:val="0"/>
        <w:spacing w:line="400" w:lineRule="exact"/>
        <w:ind w:right="218" w:rightChars="104" w:firstLine="420" w:firstLineChars="200"/>
        <w:rPr>
          <w:rFonts w:hAnsi="宋体" w:cs="Arial"/>
          <w:bCs/>
          <w:szCs w:val="24"/>
        </w:rPr>
      </w:pPr>
      <w:bookmarkStart w:id="87" w:name="_Toc28806"/>
      <w:bookmarkStart w:id="88" w:name="_Toc7552"/>
      <w:bookmarkStart w:id="89" w:name="_Toc108513601"/>
      <w:bookmarkStart w:id="90" w:name="_Toc75448004"/>
      <w:r>
        <w:rPr>
          <w:rFonts w:hint="eastAsia" w:hAnsi="宋体" w:cs="Arial"/>
          <w:bCs/>
          <w:szCs w:val="24"/>
        </w:rPr>
        <w:t>5.易维护性</w:t>
      </w:r>
      <w:bookmarkEnd w:id="87"/>
      <w:bookmarkEnd w:id="88"/>
      <w:bookmarkEnd w:id="89"/>
      <w:bookmarkEnd w:id="90"/>
    </w:p>
    <w:p w14:paraId="74A15792">
      <w:pPr>
        <w:snapToGrid w:val="0"/>
        <w:spacing w:line="400" w:lineRule="exact"/>
        <w:ind w:right="218" w:rightChars="104" w:firstLine="420" w:firstLineChars="200"/>
        <w:rPr>
          <w:rFonts w:hAnsi="宋体" w:cs="Arial"/>
          <w:bCs/>
          <w:szCs w:val="24"/>
        </w:rPr>
      </w:pPr>
      <w:r>
        <w:rPr>
          <w:rFonts w:hint="eastAsia" w:hAnsi="宋体" w:cs="Arial"/>
          <w:bCs/>
          <w:szCs w:val="24"/>
        </w:rPr>
        <w:t>为了降低医院信息化的维护成本，提高运维效率。本项目交付的系统需实现安装卸载简单方便、可管理性与可维护性强，软件设计模块化、组件化，支持应用的独立部署与互相隔离，服务之间可通过轻量级 API 进行通信，并提供配置模块和客户化工具。</w:t>
      </w:r>
      <w:bookmarkStart w:id="91" w:name="_Toc360"/>
      <w:bookmarkStart w:id="92" w:name="_Toc108513602"/>
      <w:bookmarkStart w:id="93" w:name="_Toc75448005"/>
    </w:p>
    <w:p w14:paraId="01815478">
      <w:pPr>
        <w:snapToGrid w:val="0"/>
        <w:spacing w:line="400" w:lineRule="exact"/>
        <w:ind w:right="218" w:rightChars="104" w:firstLine="420" w:firstLineChars="200"/>
        <w:rPr>
          <w:rFonts w:hAnsi="宋体" w:cs="Arial"/>
          <w:bCs/>
          <w:szCs w:val="24"/>
        </w:rPr>
      </w:pPr>
      <w:r>
        <w:rPr>
          <w:rFonts w:hint="eastAsia" w:hAnsi="宋体" w:cs="Arial"/>
          <w:bCs/>
          <w:szCs w:val="24"/>
        </w:rPr>
        <w:t>6.经济性和实用性</w:t>
      </w:r>
      <w:bookmarkEnd w:id="91"/>
      <w:bookmarkEnd w:id="92"/>
      <w:bookmarkEnd w:id="93"/>
    </w:p>
    <w:p w14:paraId="731B8A39">
      <w:pPr>
        <w:snapToGrid w:val="0"/>
        <w:spacing w:line="400" w:lineRule="exact"/>
        <w:ind w:right="218" w:rightChars="104" w:firstLine="420" w:firstLineChars="200"/>
        <w:rPr>
          <w:rFonts w:hAnsi="宋体" w:cs="Arial"/>
          <w:bCs/>
          <w:szCs w:val="24"/>
        </w:rPr>
      </w:pPr>
      <w:r>
        <w:rPr>
          <w:rFonts w:hint="eastAsia" w:hAnsi="宋体" w:cs="Arial"/>
          <w:bCs/>
          <w:szCs w:val="24"/>
        </w:rPr>
        <w:t>信息系统的选型、实施应尽最大可能节省项目投入，系统性能优良、价格合理，具有较好的性能价格比，设计面向实际，注重实效，坚持实用、经济的原则，充分合理利用现有信息资源。</w:t>
      </w:r>
    </w:p>
    <w:p w14:paraId="6B914F05">
      <w:pPr>
        <w:spacing w:line="400" w:lineRule="exact"/>
        <w:ind w:firstLine="422" w:firstLineChars="200"/>
        <w:outlineLvl w:val="1"/>
        <w:rPr>
          <w:rFonts w:hAnsi="宋体"/>
        </w:rPr>
      </w:pPr>
      <w:bookmarkStart w:id="94" w:name="_Toc25718"/>
      <w:bookmarkStart w:id="95" w:name="_Toc117101187"/>
      <w:r>
        <w:rPr>
          <w:rFonts w:hint="eastAsia" w:hAnsi="宋体" w:cs="宋体"/>
          <w:b/>
          <w:bCs/>
        </w:rPr>
        <w:t>三、</w:t>
      </w:r>
      <w:bookmarkEnd w:id="94"/>
      <w:bookmarkEnd w:id="95"/>
      <w:r>
        <w:rPr>
          <w:rFonts w:hint="eastAsia" w:hAnsi="宋体" w:cs="Arial"/>
          <w:b/>
        </w:rPr>
        <w:t>系统功能要求</w:t>
      </w:r>
    </w:p>
    <w:p w14:paraId="5ED7BD19">
      <w:pPr>
        <w:pStyle w:val="3"/>
        <w:numPr>
          <w:ilvl w:val="1"/>
          <w:numId w:val="3"/>
        </w:numPr>
        <w:spacing w:before="0" w:after="0" w:line="360" w:lineRule="auto"/>
        <w:jc w:val="left"/>
        <w:rPr>
          <w:rFonts w:ascii="宋体" w:hAnsi="宋体" w:cs="宋体"/>
          <w:sz w:val="21"/>
          <w:szCs w:val="21"/>
        </w:rPr>
      </w:pPr>
      <w:bookmarkStart w:id="96" w:name="_Toc150537706"/>
      <w:bookmarkStart w:id="97" w:name="_Toc117101188"/>
      <w:bookmarkStart w:id="98" w:name="_Toc20732"/>
      <w:r>
        <w:rPr>
          <w:rFonts w:hint="eastAsia" w:ascii="宋体" w:hAnsi="宋体" w:cs="宋体"/>
          <w:sz w:val="21"/>
          <w:szCs w:val="21"/>
        </w:rPr>
        <w:t>互联网中医就医服务平台</w:t>
      </w:r>
      <w:bookmarkEnd w:id="96"/>
    </w:p>
    <w:p w14:paraId="47291C28">
      <w:pPr>
        <w:pStyle w:val="4"/>
        <w:numPr>
          <w:ilvl w:val="2"/>
          <w:numId w:val="3"/>
        </w:numPr>
        <w:spacing w:before="240" w:after="120"/>
        <w:rPr>
          <w:rFonts w:hAnsi="宋体" w:cs="宋体"/>
          <w:kern w:val="44"/>
          <w:sz w:val="21"/>
          <w:szCs w:val="21"/>
        </w:rPr>
      </w:pPr>
      <w:bookmarkStart w:id="99" w:name="_Toc150537707"/>
      <w:r>
        <w:rPr>
          <w:rFonts w:hAnsi="宋体" w:cs="宋体"/>
          <w:kern w:val="44"/>
          <w:sz w:val="21"/>
          <w:szCs w:val="21"/>
        </w:rPr>
        <w:t>医院首页</w:t>
      </w:r>
      <w:bookmarkEnd w:id="99"/>
    </w:p>
    <w:p w14:paraId="335E95C6">
      <w:pPr>
        <w:spacing w:line="360" w:lineRule="auto"/>
        <w:ind w:firstLine="480"/>
        <w:rPr>
          <w:rFonts w:hAnsi="宋体" w:cs="仿宋"/>
          <w:color w:val="000000"/>
          <w:szCs w:val="21"/>
        </w:rPr>
      </w:pPr>
      <w:r>
        <w:rPr>
          <w:rFonts w:hint="eastAsia" w:hAnsi="宋体" w:cs="仿宋"/>
          <w:color w:val="000000"/>
          <w:szCs w:val="21"/>
        </w:rPr>
        <w:t>医院首页将院内服务形成就医闭环，</w:t>
      </w:r>
      <w:r>
        <w:rPr>
          <w:rFonts w:hint="eastAsia" w:hAnsi="宋体" w:cs="仿宋"/>
          <w:szCs w:val="21"/>
        </w:rPr>
        <w:t>是医院互联网服务的门户，聚合医院提供的各个线上服务，</w:t>
      </w:r>
      <w:r>
        <w:rPr>
          <w:rFonts w:hint="eastAsia" w:hAnsi="宋体" w:cs="仿宋"/>
          <w:color w:val="000000"/>
          <w:szCs w:val="21"/>
        </w:rPr>
        <w:t>患者可基于首页完成所有的就医流程，缩小医院与患者的距离，达成一站式就医体验，节省患者时间，提高患者满意度，进一步改善医患关系与医疗服务质量。</w:t>
      </w:r>
    </w:p>
    <w:p w14:paraId="0BD5368C">
      <w:pPr>
        <w:pStyle w:val="544"/>
        <w:numPr>
          <w:ilvl w:val="0"/>
          <w:numId w:val="4"/>
        </w:numPr>
        <w:spacing w:line="360" w:lineRule="auto"/>
        <w:rPr>
          <w:rFonts w:ascii="宋体" w:hAnsi="宋体" w:cs="仿宋"/>
          <w:b/>
          <w:bCs/>
          <w:sz w:val="21"/>
          <w:szCs w:val="21"/>
        </w:rPr>
      </w:pPr>
      <w:r>
        <w:rPr>
          <w:rFonts w:hint="eastAsia" w:ascii="宋体" w:hAnsi="宋体" w:cs="仿宋"/>
          <w:b/>
          <w:bCs/>
          <w:sz w:val="21"/>
          <w:szCs w:val="21"/>
        </w:rPr>
        <w:t>页面自定义菜单</w:t>
      </w:r>
    </w:p>
    <w:p w14:paraId="06909B22">
      <w:pPr>
        <w:pStyle w:val="43"/>
        <w:spacing w:line="360" w:lineRule="auto"/>
        <w:ind w:left="0" w:firstLine="360" w:firstLineChars="200"/>
        <w:rPr>
          <w:rFonts w:ascii="宋体" w:hAnsi="宋体" w:cs="仿宋"/>
          <w:szCs w:val="21"/>
        </w:rPr>
      </w:pPr>
      <w:r>
        <w:rPr>
          <w:rFonts w:hint="eastAsia" w:ascii="宋体" w:hAnsi="宋体" w:cs="仿宋"/>
          <w:color w:val="000000"/>
          <w:szCs w:val="21"/>
        </w:rPr>
        <w:t>系统需支持医院自定义医院首页展现的内容、形式及样式，</w:t>
      </w:r>
      <w:r>
        <w:rPr>
          <w:rFonts w:hint="eastAsia" w:ascii="宋体" w:hAnsi="宋体" w:cs="仿宋"/>
          <w:szCs w:val="21"/>
        </w:rPr>
        <w:t>医院可自行配置首页页面元素及功能，打造个性化门户，实现医院服务统一入口。</w:t>
      </w:r>
    </w:p>
    <w:p w14:paraId="7F98ECD7">
      <w:pPr>
        <w:spacing w:line="360" w:lineRule="auto"/>
        <w:ind w:firstLine="173" w:firstLineChars="82"/>
        <w:rPr>
          <w:rFonts w:hAnsi="宋体" w:cs="仿宋"/>
          <w:b/>
          <w:bCs/>
          <w:szCs w:val="21"/>
        </w:rPr>
      </w:pPr>
      <w:r>
        <w:rPr>
          <w:rFonts w:hint="eastAsia" w:hAnsi="宋体" w:cs="仿宋"/>
          <w:b/>
          <w:bCs/>
          <w:szCs w:val="21"/>
        </w:rPr>
        <w:t>（2）应用集成与分类展现</w:t>
      </w:r>
    </w:p>
    <w:p w14:paraId="3BDDA65E">
      <w:pPr>
        <w:spacing w:line="360" w:lineRule="auto"/>
        <w:ind w:firstLine="480"/>
        <w:rPr>
          <w:rFonts w:hAnsi="宋体" w:cs="仿宋"/>
          <w:color w:val="000000"/>
          <w:szCs w:val="21"/>
        </w:rPr>
      </w:pPr>
      <w:r>
        <w:rPr>
          <w:rFonts w:hint="eastAsia" w:hAnsi="宋体" w:cs="仿宋"/>
          <w:color w:val="000000"/>
          <w:szCs w:val="21"/>
        </w:rPr>
        <w:t>系统需支持根据当前医院的就诊业务流程，菜单按门诊、住院、便民等分类展现，确保患者查找清晰快捷，同时支持医院自定义菜单，丰富医院就医场景的多样性。</w:t>
      </w:r>
    </w:p>
    <w:p w14:paraId="41200B02">
      <w:pPr>
        <w:spacing w:line="360" w:lineRule="auto"/>
        <w:rPr>
          <w:rFonts w:hAnsi="宋体" w:cs="仿宋"/>
          <w:b/>
          <w:bCs/>
          <w:szCs w:val="21"/>
        </w:rPr>
      </w:pPr>
      <w:r>
        <w:rPr>
          <w:rFonts w:hint="eastAsia" w:hAnsi="宋体" w:cs="仿宋"/>
          <w:b/>
          <w:bCs/>
          <w:szCs w:val="21"/>
        </w:rPr>
        <w:t>（3）应用搜索</w:t>
      </w:r>
    </w:p>
    <w:p w14:paraId="0809571A">
      <w:pPr>
        <w:pStyle w:val="43"/>
        <w:spacing w:line="360" w:lineRule="auto"/>
        <w:ind w:left="0" w:firstLine="360" w:firstLineChars="200"/>
        <w:rPr>
          <w:rFonts w:ascii="宋体" w:hAnsi="宋体" w:cs="仿宋"/>
          <w:b/>
          <w:bCs/>
          <w:color w:val="000000"/>
          <w:szCs w:val="21"/>
        </w:rPr>
      </w:pPr>
      <w:r>
        <w:rPr>
          <w:rFonts w:hint="eastAsia" w:ascii="宋体" w:hAnsi="宋体" w:cs="仿宋"/>
          <w:color w:val="000000"/>
          <w:szCs w:val="21"/>
        </w:rPr>
        <w:t>患者可基于医院首页搜索所需的应用，快速触达完成所需的业务应用，方便的完成就诊需要，就医更便捷。</w:t>
      </w:r>
    </w:p>
    <w:p w14:paraId="0E93D79D">
      <w:pPr>
        <w:pStyle w:val="4"/>
        <w:numPr>
          <w:ilvl w:val="2"/>
          <w:numId w:val="3"/>
        </w:numPr>
        <w:spacing w:before="240" w:after="120"/>
        <w:rPr>
          <w:rFonts w:hAnsi="宋体" w:cs="宋体"/>
          <w:kern w:val="44"/>
          <w:sz w:val="21"/>
          <w:szCs w:val="21"/>
        </w:rPr>
      </w:pPr>
      <w:bookmarkStart w:id="100" w:name="_Toc150537708"/>
      <w:r>
        <w:rPr>
          <w:rFonts w:hAnsi="宋体" w:cs="宋体"/>
          <w:kern w:val="44"/>
          <w:sz w:val="21"/>
          <w:szCs w:val="21"/>
        </w:rPr>
        <w:t>就诊人管理</w:t>
      </w:r>
      <w:bookmarkEnd w:id="100"/>
    </w:p>
    <w:p w14:paraId="0EB9F854">
      <w:pPr>
        <w:spacing w:line="360" w:lineRule="auto"/>
        <w:ind w:firstLine="480"/>
        <w:rPr>
          <w:rFonts w:hAnsi="宋体" w:cs="仿宋"/>
          <w:szCs w:val="21"/>
        </w:rPr>
      </w:pPr>
      <w:r>
        <w:rPr>
          <w:rFonts w:hint="eastAsia" w:hAnsi="宋体" w:cs="仿宋"/>
          <w:szCs w:val="21"/>
        </w:rPr>
        <w:t>就诊人管理包括电子健康卡、在线建卡电子功能患者只有先完成线上身份登记，才能够在手机端使用挂号、缴费、查看报告、住院押金等门诊、住院线上就医服务。</w:t>
      </w:r>
    </w:p>
    <w:p w14:paraId="38804E3F">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电子健康卡</w:t>
      </w:r>
    </w:p>
    <w:p w14:paraId="6A4F32DD">
      <w:pPr>
        <w:spacing w:line="360" w:lineRule="auto"/>
        <w:ind w:firstLine="480"/>
        <w:rPr>
          <w:rFonts w:hAnsi="宋体" w:cs="仿宋"/>
          <w:szCs w:val="21"/>
        </w:rPr>
      </w:pPr>
      <w:r>
        <w:rPr>
          <w:rFonts w:hint="eastAsia" w:hAnsi="宋体" w:cs="仿宋"/>
          <w:szCs w:val="21"/>
        </w:rPr>
        <w:t>电子健康卡是根据国家卫健委电子健康规范而开发的身份识别应用。它包括在线注册电子健康卡、历史就诊卡升级电子健康卡、电子健康卡二维码查询功能。患者在医院微信公众号注册电子健康卡后，即可凭电子健康卡二维码无卡就医。</w:t>
      </w:r>
    </w:p>
    <w:p w14:paraId="6996E8A0">
      <w:pPr>
        <w:spacing w:line="360" w:lineRule="auto"/>
        <w:ind w:firstLine="480"/>
        <w:rPr>
          <w:rFonts w:hAnsi="宋体" w:cs="仿宋"/>
          <w:color w:val="000000"/>
          <w:szCs w:val="21"/>
        </w:rPr>
      </w:pPr>
      <w:r>
        <w:rPr>
          <w:rFonts w:hint="eastAsia" w:hAnsi="宋体" w:cs="仿宋"/>
          <w:color w:val="000000"/>
          <w:szCs w:val="21"/>
        </w:rPr>
        <w:t>电子健康卡是以居民健康跨域主索引为核心的居民健康统一身份认证体系，电子健康卡的应用可以实现对医院院内患者主索引在区域范围与健康全程两个层面的延伸扩展。</w:t>
      </w:r>
    </w:p>
    <w:p w14:paraId="6D539E5E">
      <w:pPr>
        <w:spacing w:line="360" w:lineRule="auto"/>
        <w:ind w:firstLine="480"/>
        <w:rPr>
          <w:rFonts w:hAnsi="宋体" w:cs="仿宋"/>
          <w:szCs w:val="21"/>
        </w:rPr>
      </w:pPr>
      <w:r>
        <w:rPr>
          <w:rFonts w:hint="eastAsia" w:hAnsi="宋体" w:cs="仿宋"/>
          <w:color w:val="000000"/>
          <w:szCs w:val="21"/>
        </w:rPr>
        <w:t>支持患者在微信公众号上进行电子健康卡的申领和绑定，后续患者在院内就诊过程中，可通过展示电子就诊卡二维码，由医生、护士通过扫描手机二维码实现无卡就诊。</w:t>
      </w:r>
    </w:p>
    <w:p w14:paraId="05D1E723">
      <w:pPr>
        <w:spacing w:line="360" w:lineRule="auto"/>
        <w:ind w:firstLine="175" w:firstLineChars="83"/>
        <w:rPr>
          <w:rFonts w:hAnsi="宋体" w:cs="仿宋"/>
          <w:b/>
          <w:bCs/>
          <w:szCs w:val="21"/>
        </w:rPr>
      </w:pPr>
      <w:r>
        <w:rPr>
          <w:rFonts w:hint="eastAsia" w:hAnsi="宋体" w:cs="仿宋"/>
          <w:b/>
          <w:bCs/>
          <w:szCs w:val="21"/>
        </w:rPr>
        <w:t>（1）电子健康卡注册</w:t>
      </w:r>
    </w:p>
    <w:p w14:paraId="21E0BBCA">
      <w:pPr>
        <w:spacing w:line="360" w:lineRule="auto"/>
        <w:ind w:firstLine="480"/>
        <w:rPr>
          <w:rFonts w:hAnsi="宋体" w:cs="仿宋"/>
          <w:color w:val="000000"/>
          <w:szCs w:val="21"/>
        </w:rPr>
      </w:pPr>
      <w:r>
        <w:rPr>
          <w:rFonts w:hint="eastAsia" w:hAnsi="宋体" w:cs="仿宋"/>
          <w:color w:val="000000"/>
          <w:szCs w:val="21"/>
        </w:rPr>
        <w:t>从未申领过健康卡的用户，可在医疗机构公众号上，通过填写身份证件信息（或上传身份证件）、联系方式等，经实名验证后注册健康卡，同时绑定院内就诊卡ID。</w:t>
      </w:r>
    </w:p>
    <w:p w14:paraId="7272966B">
      <w:pPr>
        <w:spacing w:line="360" w:lineRule="auto"/>
        <w:ind w:firstLine="480"/>
        <w:rPr>
          <w:rFonts w:hAnsi="宋体" w:cs="仿宋"/>
          <w:color w:val="000000"/>
          <w:szCs w:val="21"/>
        </w:rPr>
      </w:pPr>
      <w:r>
        <w:rPr>
          <w:rFonts w:hint="eastAsia" w:hAnsi="宋体" w:cs="仿宋"/>
          <w:color w:val="000000"/>
          <w:szCs w:val="21"/>
        </w:rPr>
        <w:t>患者在医院就诊时，可出示电子健康卡二维码，由医院工作人员使用扫码枪扫描患者电子健康卡二维码。电子健康卡与身份证一 一对应。</w:t>
      </w:r>
    </w:p>
    <w:p w14:paraId="5AEF3A27">
      <w:pPr>
        <w:pStyle w:val="544"/>
        <w:numPr>
          <w:ilvl w:val="0"/>
          <w:numId w:val="4"/>
        </w:numPr>
        <w:spacing w:line="360" w:lineRule="auto"/>
        <w:rPr>
          <w:rFonts w:ascii="宋体" w:hAnsi="宋体" w:cs="仿宋"/>
          <w:b/>
          <w:bCs/>
          <w:sz w:val="21"/>
          <w:szCs w:val="21"/>
          <w:lang w:eastAsia="zh-CN"/>
        </w:rPr>
      </w:pPr>
      <w:r>
        <w:rPr>
          <w:rFonts w:hint="eastAsia" w:ascii="宋体" w:hAnsi="宋体" w:cs="仿宋"/>
          <w:b/>
          <w:bCs/>
          <w:sz w:val="21"/>
          <w:szCs w:val="21"/>
          <w:lang w:eastAsia="zh-CN"/>
        </w:rPr>
        <w:t>历史就诊卡升级电子健康卡</w:t>
      </w:r>
    </w:p>
    <w:p w14:paraId="04E00034">
      <w:pPr>
        <w:pStyle w:val="466"/>
        <w:spacing w:line="360" w:lineRule="auto"/>
        <w:ind w:firstLine="480"/>
        <w:rPr>
          <w:rFonts w:ascii="宋体" w:hAnsi="宋体" w:cs="仿宋"/>
          <w:szCs w:val="21"/>
        </w:rPr>
      </w:pPr>
      <w:r>
        <w:rPr>
          <w:rFonts w:hint="eastAsia" w:ascii="宋体" w:hAnsi="宋体" w:cs="仿宋"/>
          <w:szCs w:val="21"/>
        </w:rPr>
        <w:t>针对已办理过院内就诊卡的历史患者数据，可通过批量核身、批量注册健康卡、批量通知用户领卡，实现就诊卡快速升级改造。</w:t>
      </w:r>
    </w:p>
    <w:p w14:paraId="673331A1">
      <w:pPr>
        <w:pStyle w:val="544"/>
        <w:numPr>
          <w:ilvl w:val="0"/>
          <w:numId w:val="4"/>
        </w:numPr>
        <w:spacing w:line="360" w:lineRule="auto"/>
        <w:rPr>
          <w:rFonts w:ascii="宋体" w:hAnsi="宋体" w:cs="仿宋"/>
          <w:b/>
          <w:bCs/>
          <w:sz w:val="21"/>
          <w:szCs w:val="21"/>
          <w:lang w:eastAsia="zh-CN"/>
        </w:rPr>
      </w:pPr>
      <w:r>
        <w:rPr>
          <w:rFonts w:hint="eastAsia" w:ascii="宋体" w:hAnsi="宋体" w:cs="仿宋"/>
          <w:b/>
          <w:bCs/>
          <w:sz w:val="21"/>
          <w:szCs w:val="21"/>
          <w:lang w:eastAsia="zh-CN"/>
        </w:rPr>
        <w:t>电子健康卡二维码查询功能</w:t>
      </w:r>
    </w:p>
    <w:p w14:paraId="32BBEFB0">
      <w:pPr>
        <w:spacing w:line="360" w:lineRule="auto"/>
        <w:ind w:left="198" w:firstLine="480"/>
        <w:rPr>
          <w:rFonts w:hAnsi="宋体" w:cs="仿宋"/>
          <w:color w:val="000000"/>
          <w:szCs w:val="21"/>
        </w:rPr>
      </w:pPr>
      <w:r>
        <w:rPr>
          <w:rFonts w:hint="eastAsia" w:hAnsi="宋体" w:cs="仿宋"/>
          <w:color w:val="000000"/>
          <w:szCs w:val="21"/>
        </w:rPr>
        <w:t>用户点击就诊卡列表中某张就诊卡，进入到就诊卡详情页面，就诊卡详情页包括静态码和动态码，默认展示静态码。</w:t>
      </w:r>
    </w:p>
    <w:p w14:paraId="17D8FE8E">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在线建卡</w:t>
      </w:r>
    </w:p>
    <w:p w14:paraId="10705B54">
      <w:pPr>
        <w:spacing w:line="360" w:lineRule="auto"/>
        <w:ind w:firstLine="175" w:firstLineChars="83"/>
        <w:rPr>
          <w:rFonts w:hAnsi="宋体" w:cs="仿宋"/>
          <w:b/>
          <w:bCs/>
          <w:szCs w:val="21"/>
        </w:rPr>
      </w:pPr>
      <w:r>
        <w:rPr>
          <w:rFonts w:hint="eastAsia" w:hAnsi="宋体" w:cs="仿宋"/>
          <w:b/>
          <w:bCs/>
          <w:szCs w:val="21"/>
        </w:rPr>
        <w:t>（1）在线注册建卡</w:t>
      </w:r>
    </w:p>
    <w:p w14:paraId="422A8AB5">
      <w:pPr>
        <w:spacing w:line="360" w:lineRule="auto"/>
        <w:ind w:firstLine="480"/>
        <w:rPr>
          <w:rFonts w:hAnsi="宋体" w:cs="仿宋"/>
          <w:szCs w:val="21"/>
        </w:rPr>
      </w:pPr>
      <w:r>
        <w:rPr>
          <w:rFonts w:hint="eastAsia" w:hAnsi="宋体" w:cs="仿宋"/>
          <w:color w:val="000000"/>
          <w:szCs w:val="21"/>
        </w:rPr>
        <w:t>患者首次来院就医，可通过微信使用身份证在线注册建卡。医院可自定义患者需要填写的个人信息，如姓名、证件号、电话号码、家庭住址等。</w:t>
      </w:r>
    </w:p>
    <w:p w14:paraId="317A9320">
      <w:pPr>
        <w:spacing w:line="360" w:lineRule="auto"/>
        <w:ind w:firstLine="175" w:firstLineChars="83"/>
        <w:rPr>
          <w:rFonts w:hAnsi="宋体" w:cs="仿宋"/>
          <w:b/>
          <w:bCs/>
          <w:szCs w:val="21"/>
        </w:rPr>
      </w:pPr>
      <w:r>
        <w:rPr>
          <w:rFonts w:hint="eastAsia" w:hAnsi="宋体" w:cs="仿宋"/>
          <w:b/>
          <w:bCs/>
          <w:szCs w:val="21"/>
        </w:rPr>
        <w:t>（2）在线绑卡</w:t>
      </w:r>
    </w:p>
    <w:p w14:paraId="479770AB">
      <w:pPr>
        <w:spacing w:line="360" w:lineRule="auto"/>
        <w:ind w:firstLine="480"/>
        <w:rPr>
          <w:rFonts w:hAnsi="宋体" w:cs="仿宋"/>
          <w:szCs w:val="21"/>
        </w:rPr>
      </w:pPr>
      <w:r>
        <w:rPr>
          <w:rFonts w:hint="eastAsia" w:hAnsi="宋体" w:cs="仿宋"/>
          <w:color w:val="000000"/>
          <w:szCs w:val="21"/>
        </w:rPr>
        <w:t>患者在线建卡后，支持绑定对应医院的实体就诊卡，每个微信号/支付宝账号可绑定5个就诊卡。</w:t>
      </w:r>
    </w:p>
    <w:p w14:paraId="66710AD9">
      <w:pPr>
        <w:pStyle w:val="544"/>
        <w:numPr>
          <w:ilvl w:val="0"/>
          <w:numId w:val="0"/>
        </w:numPr>
        <w:spacing w:line="360" w:lineRule="auto"/>
        <w:ind w:left="198" w:leftChars="0"/>
        <w:rPr>
          <w:rFonts w:ascii="宋体" w:hAnsi="宋体" w:cs="仿宋"/>
          <w:b/>
          <w:bCs/>
          <w:sz w:val="21"/>
          <w:szCs w:val="21"/>
        </w:rPr>
      </w:pPr>
      <w:r>
        <w:rPr>
          <w:rFonts w:hint="eastAsia" w:ascii="宋体" w:hAnsi="宋体" w:cs="仿宋"/>
          <w:b/>
          <w:bCs/>
          <w:sz w:val="21"/>
          <w:szCs w:val="21"/>
          <w:lang w:val="en-US" w:eastAsia="zh-CN"/>
        </w:rPr>
        <w:t>（3）</w:t>
      </w:r>
      <w:r>
        <w:rPr>
          <w:rFonts w:hint="eastAsia" w:ascii="宋体" w:hAnsi="宋体" w:cs="仿宋"/>
          <w:b/>
          <w:bCs/>
          <w:sz w:val="21"/>
          <w:szCs w:val="21"/>
        </w:rPr>
        <w:t>建卡模式自定义</w:t>
      </w:r>
    </w:p>
    <w:p w14:paraId="5B611B12">
      <w:pPr>
        <w:spacing w:line="360" w:lineRule="auto"/>
        <w:ind w:firstLine="480"/>
        <w:rPr>
          <w:rFonts w:hAnsi="宋体" w:cs="仿宋"/>
          <w:color w:val="000000"/>
          <w:szCs w:val="21"/>
        </w:rPr>
      </w:pPr>
      <w:r>
        <w:rPr>
          <w:rFonts w:hint="eastAsia" w:hAnsi="宋体" w:cs="仿宋"/>
          <w:color w:val="000000"/>
          <w:szCs w:val="21"/>
        </w:rPr>
        <w:t>系统需支持医院自定义建卡模式，支持儿童建卡和成人建卡等种模式。</w:t>
      </w:r>
    </w:p>
    <w:p w14:paraId="09E8675E">
      <w:pPr>
        <w:pStyle w:val="544"/>
        <w:numPr>
          <w:ilvl w:val="0"/>
          <w:numId w:val="4"/>
        </w:numPr>
        <w:spacing w:line="360" w:lineRule="auto"/>
        <w:rPr>
          <w:rFonts w:ascii="宋体" w:hAnsi="宋体" w:cs="仿宋"/>
          <w:b/>
          <w:bCs/>
          <w:sz w:val="21"/>
          <w:szCs w:val="21"/>
        </w:rPr>
      </w:pPr>
      <w:r>
        <w:rPr>
          <w:rFonts w:hint="eastAsia" w:ascii="宋体" w:hAnsi="宋体" w:cs="仿宋"/>
          <w:b/>
          <w:bCs/>
          <w:sz w:val="21"/>
          <w:szCs w:val="21"/>
        </w:rPr>
        <w:t>建卡信息必填项目设置</w:t>
      </w:r>
    </w:p>
    <w:p w14:paraId="50185600">
      <w:pPr>
        <w:spacing w:line="360" w:lineRule="auto"/>
        <w:ind w:firstLine="480"/>
        <w:rPr>
          <w:rFonts w:hAnsi="宋体" w:cs="仿宋"/>
          <w:color w:val="000000"/>
          <w:szCs w:val="21"/>
        </w:rPr>
      </w:pPr>
      <w:r>
        <w:rPr>
          <w:rFonts w:hint="eastAsia" w:hAnsi="宋体" w:cs="仿宋"/>
          <w:color w:val="000000"/>
          <w:szCs w:val="21"/>
        </w:rPr>
        <w:t>系统支持医院自定义在线建卡的信息，设置必填项目（*）。设置完成后，患者在线建卡如有必填项未填写时，系统将提醒患者补充。</w:t>
      </w:r>
    </w:p>
    <w:p w14:paraId="7AD09B9D">
      <w:pPr>
        <w:pStyle w:val="53"/>
        <w:spacing w:line="360" w:lineRule="auto"/>
        <w:ind w:left="0" w:leftChars="0" w:firstLine="202" w:firstLineChars="100"/>
        <w:rPr>
          <w:rFonts w:hAnsi="宋体" w:cs="仿宋"/>
        </w:rPr>
      </w:pPr>
      <w:r>
        <w:rPr>
          <w:rFonts w:hint="eastAsia" w:hAnsi="宋体" w:cs="宋体"/>
          <w:u w:val="single"/>
        </w:rPr>
        <w:t>★</w:t>
      </w:r>
      <w:r>
        <w:rPr>
          <w:rFonts w:hint="eastAsia"/>
        </w:rPr>
        <w:t>（</w:t>
      </w:r>
      <w:r>
        <w:rPr>
          <w:rFonts w:hint="eastAsia"/>
          <w:lang w:val="en-US" w:eastAsia="zh-CN"/>
        </w:rPr>
        <w:t>5</w:t>
      </w:r>
      <w:r>
        <w:rPr>
          <w:rFonts w:hint="eastAsia"/>
        </w:rPr>
        <w:t>）支持查看已绑定的就诊卡详情，并可设置隐私保护，防止他人使用个人手机查看敏感报告、病历信息；</w:t>
      </w:r>
    </w:p>
    <w:p w14:paraId="5479A681">
      <w:pPr>
        <w:pStyle w:val="4"/>
        <w:numPr>
          <w:ilvl w:val="2"/>
          <w:numId w:val="3"/>
        </w:numPr>
        <w:spacing w:before="240" w:after="120"/>
        <w:rPr>
          <w:rFonts w:hAnsi="宋体" w:cs="宋体"/>
          <w:kern w:val="44"/>
          <w:sz w:val="21"/>
          <w:szCs w:val="21"/>
        </w:rPr>
      </w:pPr>
      <w:bookmarkStart w:id="101" w:name="_Toc150537709"/>
      <w:r>
        <w:rPr>
          <w:rFonts w:hAnsi="宋体" w:cs="宋体"/>
          <w:kern w:val="44"/>
          <w:sz w:val="21"/>
          <w:szCs w:val="21"/>
        </w:rPr>
        <w:t>一站式门诊服务</w:t>
      </w:r>
      <w:bookmarkEnd w:id="101"/>
    </w:p>
    <w:p w14:paraId="570A9659">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智能导诊</w:t>
      </w:r>
    </w:p>
    <w:p w14:paraId="37B9801F">
      <w:pPr>
        <w:spacing w:line="360" w:lineRule="auto"/>
        <w:ind w:firstLine="480"/>
        <w:rPr>
          <w:rFonts w:hAnsi="宋体" w:cs="仿宋"/>
          <w:color w:val="000000"/>
          <w:szCs w:val="21"/>
        </w:rPr>
      </w:pPr>
      <w:r>
        <w:rPr>
          <w:rFonts w:hint="eastAsia" w:hAnsi="宋体" w:cs="仿宋"/>
          <w:color w:val="000000"/>
          <w:szCs w:val="21"/>
        </w:rPr>
        <w:t>患者在医院就诊时，因自身缺乏足够的医学知识及对医院的了解等，普遍存在患者不知道挂哪个科室和医生的号最合适。导致患者退号频繁，投诉率高等问题。系统需支持智能导诊功能，通过人体地图等方式实现智能导诊，方便患者精准选择就诊科室，提高医院患者服务满意度。</w:t>
      </w:r>
    </w:p>
    <w:p w14:paraId="2CA83B32">
      <w:pPr>
        <w:pStyle w:val="5"/>
        <w:numPr>
          <w:ilvl w:val="3"/>
          <w:numId w:val="3"/>
        </w:numPr>
        <w:spacing w:before="120" w:after="120"/>
        <w:rPr>
          <w:rFonts w:hint="eastAsia" w:ascii="宋体" w:hAnsi="宋体" w:eastAsia="宋体"/>
          <w:kern w:val="44"/>
          <w:sz w:val="21"/>
          <w:szCs w:val="21"/>
        </w:rPr>
      </w:pPr>
      <w:r>
        <w:rPr>
          <w:rFonts w:hint="eastAsia" w:ascii="宋体" w:hAnsi="宋体" w:eastAsia="宋体"/>
          <w:kern w:val="44"/>
          <w:sz w:val="21"/>
          <w:szCs w:val="21"/>
        </w:rPr>
        <w:t>挂号服务</w:t>
      </w:r>
    </w:p>
    <w:p w14:paraId="2F23B052">
      <w:pPr>
        <w:spacing w:before="120" w:after="120"/>
        <w:ind w:firstLine="211" w:firstLineChars="100"/>
        <w:jc w:val="left"/>
        <w:rPr>
          <w:rFonts w:hAnsi="宋体" w:cs="仿宋"/>
          <w:b/>
          <w:bCs/>
          <w:szCs w:val="21"/>
        </w:rPr>
      </w:pPr>
      <w:r>
        <w:rPr>
          <w:rFonts w:hint="eastAsia" w:hAnsi="宋体" w:cs="仿宋"/>
          <w:b/>
          <w:bCs/>
          <w:szCs w:val="21"/>
        </w:rPr>
        <w:t>（1）预约挂号</w:t>
      </w:r>
    </w:p>
    <w:p w14:paraId="20D065FC">
      <w:pPr>
        <w:spacing w:line="360" w:lineRule="auto"/>
        <w:ind w:firstLine="480"/>
        <w:rPr>
          <w:rFonts w:hAnsi="宋体" w:cs="仿宋"/>
          <w:color w:val="000000"/>
          <w:szCs w:val="21"/>
        </w:rPr>
      </w:pPr>
      <w:r>
        <w:rPr>
          <w:rFonts w:hint="eastAsia" w:hAnsi="宋体" w:cs="仿宋"/>
          <w:color w:val="000000"/>
          <w:szCs w:val="21"/>
        </w:rPr>
        <w:t>在就医资源稀缺的情况下，专家医生跟病人之间出现供不应求，大多患者都是在与时间赛跑，但经常因为窗口排队浪费时间，花上一天时间也无法预约就诊。</w:t>
      </w:r>
    </w:p>
    <w:p w14:paraId="348E6AE3">
      <w:pPr>
        <w:spacing w:line="360" w:lineRule="auto"/>
        <w:ind w:firstLine="480"/>
        <w:rPr>
          <w:rFonts w:hAnsi="宋体" w:cs="仿宋"/>
          <w:color w:val="000000"/>
          <w:szCs w:val="21"/>
        </w:rPr>
      </w:pPr>
      <w:r>
        <w:rPr>
          <w:rFonts w:hint="eastAsia" w:hAnsi="宋体" w:cs="仿宋"/>
          <w:color w:val="000000"/>
          <w:szCs w:val="21"/>
        </w:rPr>
        <w:t>线上预约挂号功能有针对性、有目的性地引导患者去医院就诊，无需排队，帮助患者合理安排个人时间，提升患者满意度。有利于改善就医环境，缓解医患关系，促进“实名制”的推行，使医院的门诊流量更合理，资源配置更科学。患者能通过医院微信公众号，在线进行多种方式的预约挂号。</w:t>
      </w:r>
    </w:p>
    <w:p w14:paraId="3EB0E881">
      <w:pPr>
        <w:spacing w:line="360" w:lineRule="auto"/>
        <w:ind w:firstLine="480"/>
        <w:rPr>
          <w:rFonts w:hAnsi="宋体" w:cs="仿宋"/>
          <w:color w:val="000000"/>
          <w:szCs w:val="21"/>
        </w:rPr>
      </w:pPr>
      <w:r>
        <w:rPr>
          <w:rFonts w:hint="eastAsia" w:hAnsi="宋体" w:cs="仿宋"/>
          <w:color w:val="000000"/>
          <w:szCs w:val="21"/>
        </w:rPr>
        <w:t>患者可以选择院区、科室、医生、就诊日期，进行预约挂号，预约挂号需支付挂号费（在医保政策及技术可以对接的情况下，可以实现医保支付），挂号成功后自动推送挂号成功提醒消息；</w:t>
      </w:r>
    </w:p>
    <w:p w14:paraId="4E7B9F41">
      <w:pPr>
        <w:spacing w:line="360" w:lineRule="auto"/>
        <w:ind w:firstLine="480"/>
        <w:rPr>
          <w:rFonts w:hAnsi="宋体" w:cs="仿宋"/>
          <w:color w:val="000000"/>
          <w:szCs w:val="21"/>
        </w:rPr>
      </w:pPr>
      <w:r>
        <w:rPr>
          <w:rFonts w:hint="eastAsia" w:hAnsi="宋体" w:cs="仿宋"/>
          <w:color w:val="000000"/>
          <w:szCs w:val="21"/>
        </w:rPr>
        <w:t>就诊提醒：就诊前一天通过微信/支付宝自动推送就诊提醒消息；</w:t>
      </w:r>
    </w:p>
    <w:p w14:paraId="4317884D">
      <w:pPr>
        <w:spacing w:line="360" w:lineRule="auto"/>
        <w:ind w:firstLine="480"/>
        <w:rPr>
          <w:rFonts w:hAnsi="宋体" w:cs="仿宋"/>
          <w:color w:val="000000"/>
          <w:szCs w:val="21"/>
        </w:rPr>
      </w:pPr>
      <w:r>
        <w:rPr>
          <w:rFonts w:hint="eastAsia" w:hAnsi="宋体" w:cs="仿宋"/>
          <w:color w:val="000000"/>
          <w:szCs w:val="21"/>
        </w:rPr>
        <w:t>停诊通知：医生停诊时，自动通过微信/支付宝/短信推送停诊通知；（短信通知使用医院短信网关）</w:t>
      </w:r>
    </w:p>
    <w:p w14:paraId="1488AF25">
      <w:pPr>
        <w:spacing w:line="360" w:lineRule="auto"/>
        <w:ind w:firstLine="480"/>
        <w:rPr>
          <w:rFonts w:hAnsi="宋体" w:cs="仿宋"/>
          <w:color w:val="000000"/>
          <w:szCs w:val="21"/>
        </w:rPr>
      </w:pPr>
      <w:r>
        <w:rPr>
          <w:rFonts w:hint="eastAsia" w:hAnsi="宋体" w:cs="仿宋"/>
          <w:color w:val="000000"/>
          <w:szCs w:val="21"/>
        </w:rPr>
        <w:t>防黄牛机制：锁号前增加滑动式验证码，减少黄牛锁号；可自动拦截、自动拉黑“黄牛”，自动查找分析可疑人员；</w:t>
      </w:r>
    </w:p>
    <w:p w14:paraId="1814E84C">
      <w:pPr>
        <w:pStyle w:val="53"/>
        <w:spacing w:line="360" w:lineRule="auto"/>
        <w:ind w:left="0" w:leftChars="0" w:firstLine="480"/>
        <w:rPr>
          <w:rFonts w:hAnsi="宋体" w:cs="仿宋"/>
          <w:color w:val="000000"/>
        </w:rPr>
      </w:pPr>
      <w:r>
        <w:rPr>
          <w:rFonts w:hint="eastAsia"/>
        </w:rPr>
        <w:t>候补挂号：针对紧俏专家号源，支持候补挂号。</w:t>
      </w:r>
    </w:p>
    <w:p w14:paraId="18AC644E">
      <w:pPr>
        <w:spacing w:line="360" w:lineRule="auto"/>
        <w:ind w:firstLine="480"/>
        <w:rPr>
          <w:rFonts w:hAnsi="宋体" w:cs="仿宋"/>
          <w:szCs w:val="21"/>
        </w:rPr>
      </w:pPr>
      <w:r>
        <w:rPr>
          <w:rFonts w:hint="eastAsia" w:hAnsi="宋体" w:cs="仿宋"/>
          <w:color w:val="000000"/>
          <w:szCs w:val="21"/>
        </w:rPr>
        <w:t>就诊医生收藏：能查看我的收藏与最近就诊的医生，查看医生主页详情并分享医生二维码。</w:t>
      </w:r>
    </w:p>
    <w:p w14:paraId="3B4FDDF3">
      <w:pPr>
        <w:spacing w:line="360" w:lineRule="auto"/>
        <w:ind w:firstLine="173" w:firstLineChars="82"/>
        <w:rPr>
          <w:rFonts w:hAnsi="宋体" w:cs="仿宋"/>
          <w:b/>
          <w:bCs/>
          <w:szCs w:val="21"/>
        </w:rPr>
      </w:pPr>
      <w:r>
        <w:rPr>
          <w:rFonts w:hint="eastAsia" w:hAnsi="宋体" w:cs="仿宋"/>
          <w:b/>
          <w:bCs/>
          <w:szCs w:val="21"/>
        </w:rPr>
        <w:t>（2）当天挂号</w:t>
      </w:r>
    </w:p>
    <w:p w14:paraId="614594B1">
      <w:pPr>
        <w:spacing w:line="360" w:lineRule="auto"/>
        <w:ind w:firstLine="480"/>
        <w:rPr>
          <w:rFonts w:hAnsi="宋体" w:cs="仿宋"/>
          <w:color w:val="000000"/>
          <w:szCs w:val="21"/>
        </w:rPr>
      </w:pPr>
      <w:r>
        <w:rPr>
          <w:rFonts w:hint="eastAsia" w:hAnsi="宋体" w:cs="仿宋"/>
          <w:color w:val="000000"/>
          <w:szCs w:val="21"/>
        </w:rPr>
        <w:t>为了更方便患者快速的完成当天挂号，系统需支持患者通过当天挂号查询到医院当天的号源情况，并可以快速选择科室、医生、就诊班次，进行当天挂号，挂号需支付挂号费，挂号成功后自动推送提醒消息给患者，患者凭借当天挂号信息即可实现便捷就医。</w:t>
      </w:r>
    </w:p>
    <w:p w14:paraId="0133914A">
      <w:pPr>
        <w:spacing w:line="360" w:lineRule="auto"/>
        <w:ind w:firstLine="173" w:firstLineChars="82"/>
        <w:rPr>
          <w:rFonts w:hAnsi="宋体" w:cs="仿宋"/>
          <w:b/>
          <w:bCs/>
          <w:szCs w:val="21"/>
        </w:rPr>
      </w:pPr>
      <w:r>
        <w:rPr>
          <w:rFonts w:hint="eastAsia" w:hAnsi="宋体" w:cs="仿宋"/>
          <w:b/>
          <w:bCs/>
          <w:szCs w:val="21"/>
        </w:rPr>
        <w:t>（3）我的挂号</w:t>
      </w:r>
    </w:p>
    <w:p w14:paraId="200A3682">
      <w:pPr>
        <w:spacing w:line="360" w:lineRule="auto"/>
        <w:ind w:firstLine="480"/>
        <w:rPr>
          <w:rFonts w:hAnsi="宋体" w:cs="仿宋"/>
          <w:szCs w:val="21"/>
        </w:rPr>
      </w:pPr>
      <w:r>
        <w:rPr>
          <w:rFonts w:hint="eastAsia" w:hAnsi="宋体" w:cs="仿宋"/>
          <w:color w:val="000000"/>
          <w:szCs w:val="21"/>
        </w:rPr>
        <w:t>患者挂号完成后，可在移动端可以查看历史、当前的预约及挂号的详细信息，并可在线取消预约挂号。医院可设置挂号取消相关规则，针对频繁取消者会被拉入黑名单管理。挂号取消成功后，系统自动退号、退还挂号费。</w:t>
      </w:r>
    </w:p>
    <w:p w14:paraId="3D86CC54">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就诊指引</w:t>
      </w:r>
    </w:p>
    <w:p w14:paraId="1C384B89">
      <w:pPr>
        <w:spacing w:line="360" w:lineRule="auto"/>
        <w:ind w:firstLine="173" w:firstLineChars="82"/>
        <w:rPr>
          <w:rFonts w:hAnsi="宋体" w:cs="仿宋"/>
          <w:b/>
          <w:bCs/>
          <w:szCs w:val="21"/>
        </w:rPr>
      </w:pPr>
      <w:r>
        <w:rPr>
          <w:rFonts w:hint="eastAsia" w:hAnsi="宋体" w:cs="仿宋"/>
          <w:b/>
          <w:bCs/>
          <w:szCs w:val="21"/>
        </w:rPr>
        <w:t>（1）就诊指引信息自定义</w:t>
      </w:r>
    </w:p>
    <w:p w14:paraId="5D4090E9">
      <w:pPr>
        <w:spacing w:line="360" w:lineRule="auto"/>
        <w:ind w:firstLine="480"/>
        <w:rPr>
          <w:rFonts w:hAnsi="宋体" w:cs="仿宋"/>
          <w:color w:val="000000"/>
          <w:szCs w:val="21"/>
        </w:rPr>
      </w:pPr>
      <w:r>
        <w:rPr>
          <w:rFonts w:hint="eastAsia" w:hAnsi="宋体" w:cs="仿宋"/>
          <w:color w:val="000000"/>
          <w:szCs w:val="21"/>
        </w:rPr>
        <w:t>系统需支持医院自定义在患者就诊流程中推送的就诊消息类型、消息格式等内容，如门诊提醒、检查检验提醒、互动提醒等。</w:t>
      </w:r>
    </w:p>
    <w:p w14:paraId="11E10F98">
      <w:pPr>
        <w:spacing w:line="360" w:lineRule="auto"/>
        <w:ind w:firstLine="173" w:firstLineChars="82"/>
        <w:rPr>
          <w:rFonts w:hAnsi="宋体" w:cs="仿宋"/>
          <w:b/>
          <w:bCs/>
          <w:szCs w:val="21"/>
        </w:rPr>
      </w:pPr>
      <w:r>
        <w:rPr>
          <w:rFonts w:hint="eastAsia" w:hAnsi="宋体" w:cs="仿宋"/>
          <w:b/>
          <w:bCs/>
          <w:szCs w:val="21"/>
        </w:rPr>
        <w:t>（2）就诊消息推送</w:t>
      </w:r>
    </w:p>
    <w:p w14:paraId="61AE13C4">
      <w:pPr>
        <w:spacing w:line="360" w:lineRule="auto"/>
        <w:ind w:firstLine="480"/>
        <w:rPr>
          <w:rFonts w:hAnsi="宋体" w:cs="仿宋"/>
          <w:szCs w:val="21"/>
        </w:rPr>
      </w:pPr>
      <w:r>
        <w:rPr>
          <w:rFonts w:hint="eastAsia" w:hAnsi="宋体" w:cs="仿宋"/>
          <w:color w:val="000000"/>
          <w:szCs w:val="21"/>
        </w:rPr>
        <w:t>系统支持患者在就诊过程中，根据患者所处的就诊节点，自动推送相关的就诊指引信息至患者手机端，包括取药、治疗、检验等项目地点，方便患者在就诊过程中更清晰便捷。</w:t>
      </w:r>
    </w:p>
    <w:p w14:paraId="7F8F9012">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排队查询</w:t>
      </w:r>
    </w:p>
    <w:p w14:paraId="36FE990B">
      <w:pPr>
        <w:pStyle w:val="43"/>
        <w:spacing w:line="360" w:lineRule="auto"/>
        <w:ind w:left="0" w:firstLine="480" w:firstLineChars="200"/>
        <w:rPr>
          <w:rFonts w:hint="eastAsia" w:ascii="宋体" w:hAnsi="宋体" w:eastAsia="宋体" w:cs="仿宋"/>
          <w:color w:val="000000"/>
          <w:sz w:val="24"/>
          <w:szCs w:val="21"/>
          <w:lang w:val="en-US" w:eastAsia="zh-CN" w:bidi="ar-SA"/>
        </w:rPr>
      </w:pPr>
      <w:r>
        <w:rPr>
          <w:rFonts w:hint="eastAsia" w:ascii="宋体" w:hAnsi="宋体" w:eastAsia="宋体" w:cs="仿宋"/>
          <w:color w:val="000000"/>
          <w:sz w:val="24"/>
          <w:szCs w:val="21"/>
          <w:lang w:val="en-US" w:eastAsia="zh-CN" w:bidi="ar-SA"/>
        </w:rPr>
        <w:t>为提升患者就医效率，减少患者无效排队和等待时间，提供线上排队查询，患者可以查看个人候诊、检查排队信息，并可查询全院候诊排队情况。</w:t>
      </w:r>
    </w:p>
    <w:p w14:paraId="7B87BC96">
      <w:pPr>
        <w:pStyle w:val="544"/>
        <w:numPr>
          <w:ilvl w:val="0"/>
          <w:numId w:val="5"/>
        </w:numPr>
        <w:spacing w:line="360" w:lineRule="auto"/>
        <w:rPr>
          <w:rFonts w:ascii="宋体" w:hAnsi="宋体" w:cs="仿宋"/>
          <w:b/>
          <w:bCs/>
          <w:sz w:val="21"/>
          <w:szCs w:val="21"/>
          <w:lang w:eastAsia="zh-CN"/>
        </w:rPr>
      </w:pPr>
      <w:r>
        <w:rPr>
          <w:rFonts w:hint="eastAsia" w:ascii="宋体" w:hAnsi="宋体" w:cs="仿宋"/>
          <w:b/>
          <w:bCs/>
          <w:sz w:val="21"/>
          <w:szCs w:val="21"/>
          <w:lang w:eastAsia="zh-CN"/>
        </w:rPr>
        <w:t>个人候诊排队信息查询</w:t>
      </w:r>
    </w:p>
    <w:p w14:paraId="1183511F">
      <w:pPr>
        <w:pStyle w:val="43"/>
        <w:spacing w:line="360" w:lineRule="auto"/>
        <w:ind w:left="0" w:firstLine="480" w:firstLineChars="200"/>
        <w:rPr>
          <w:rFonts w:hint="eastAsia" w:ascii="宋体" w:hAnsi="宋体" w:eastAsia="宋体" w:cs="仿宋"/>
          <w:color w:val="000000"/>
          <w:sz w:val="24"/>
          <w:szCs w:val="21"/>
          <w:lang w:val="en-US" w:eastAsia="zh-CN" w:bidi="ar-SA"/>
        </w:rPr>
      </w:pPr>
      <w:r>
        <w:rPr>
          <w:rFonts w:hint="eastAsia" w:ascii="宋体" w:hAnsi="宋体" w:eastAsia="宋体" w:cs="仿宋"/>
          <w:color w:val="000000"/>
          <w:sz w:val="24"/>
          <w:szCs w:val="21"/>
          <w:lang w:val="en-US" w:eastAsia="zh-CN" w:bidi="ar-SA"/>
        </w:rPr>
        <w:t>患者可基于手机端查看当前就诊的排队情况，如候诊、治疗、检查、检验等环节，查看排队信息，如当前就诊号、前方人数、预计等待时间，以及排队的医生、诊室、院区。</w:t>
      </w:r>
    </w:p>
    <w:p w14:paraId="076CD55C">
      <w:pPr>
        <w:pStyle w:val="544"/>
        <w:numPr>
          <w:ilvl w:val="0"/>
          <w:numId w:val="5"/>
        </w:numPr>
        <w:spacing w:line="360" w:lineRule="auto"/>
        <w:rPr>
          <w:rFonts w:ascii="宋体" w:hAnsi="宋体" w:cs="仿宋"/>
          <w:b/>
          <w:bCs/>
          <w:sz w:val="21"/>
          <w:szCs w:val="21"/>
          <w:lang w:eastAsia="zh-CN"/>
        </w:rPr>
      </w:pPr>
      <w:r>
        <w:rPr>
          <w:rFonts w:hint="eastAsia" w:ascii="宋体" w:hAnsi="宋体" w:cs="仿宋"/>
          <w:b/>
          <w:bCs/>
          <w:sz w:val="21"/>
          <w:szCs w:val="21"/>
          <w:lang w:eastAsia="zh-CN"/>
        </w:rPr>
        <w:t>全院候诊排队信息查询</w:t>
      </w:r>
    </w:p>
    <w:p w14:paraId="6CBD441B">
      <w:pPr>
        <w:pStyle w:val="43"/>
        <w:spacing w:line="360" w:lineRule="auto"/>
        <w:ind w:left="0" w:firstLine="480" w:firstLineChars="200"/>
        <w:rPr>
          <w:rFonts w:hint="eastAsia" w:ascii="宋体" w:hAnsi="宋体" w:eastAsia="宋体" w:cs="仿宋"/>
          <w:color w:val="000000"/>
          <w:sz w:val="24"/>
          <w:szCs w:val="21"/>
          <w:lang w:val="en-US" w:eastAsia="zh-CN" w:bidi="ar-SA"/>
        </w:rPr>
      </w:pPr>
      <w:r>
        <w:rPr>
          <w:rFonts w:hint="eastAsia" w:ascii="宋体" w:hAnsi="宋体" w:eastAsia="宋体" w:cs="仿宋"/>
          <w:color w:val="000000"/>
          <w:sz w:val="24"/>
          <w:szCs w:val="21"/>
          <w:lang w:val="en-US" w:eastAsia="zh-CN" w:bidi="ar-SA"/>
        </w:rPr>
        <w:t>患者可基于手机端查看当前全院就诊的排队情况，如候诊、治疗、检查、检验等环节，查看排队信息，如当前就诊号、前方人数、预计等待时间，以及排队的医生、诊室、院区。</w:t>
      </w:r>
    </w:p>
    <w:p w14:paraId="4D0A58B3">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扫码签到</w:t>
      </w:r>
    </w:p>
    <w:p w14:paraId="197E0A5B">
      <w:pPr>
        <w:spacing w:line="360" w:lineRule="auto"/>
        <w:ind w:firstLine="173" w:firstLineChars="82"/>
        <w:rPr>
          <w:rFonts w:hAnsi="宋体" w:cs="仿宋"/>
          <w:b/>
          <w:bCs/>
          <w:szCs w:val="21"/>
        </w:rPr>
      </w:pPr>
      <w:r>
        <w:rPr>
          <w:rFonts w:hint="eastAsia" w:hAnsi="宋体" w:cs="仿宋"/>
          <w:b/>
          <w:bCs/>
          <w:szCs w:val="21"/>
        </w:rPr>
        <w:t>（1）挂号签到</w:t>
      </w:r>
    </w:p>
    <w:p w14:paraId="340043DA">
      <w:pPr>
        <w:pStyle w:val="43"/>
        <w:spacing w:line="360" w:lineRule="auto"/>
        <w:ind w:left="0" w:firstLine="480" w:firstLineChars="200"/>
        <w:rPr>
          <w:rFonts w:hint="eastAsia" w:ascii="宋体" w:hAnsi="宋体" w:eastAsia="宋体" w:cs="仿宋"/>
          <w:color w:val="000000"/>
          <w:sz w:val="24"/>
          <w:szCs w:val="21"/>
          <w:lang w:val="en-US" w:eastAsia="zh-CN" w:bidi="ar-SA"/>
        </w:rPr>
      </w:pPr>
      <w:r>
        <w:rPr>
          <w:rFonts w:hint="eastAsia" w:ascii="宋体" w:hAnsi="宋体" w:eastAsia="宋体" w:cs="仿宋"/>
          <w:color w:val="000000"/>
          <w:sz w:val="24"/>
          <w:szCs w:val="21"/>
          <w:lang w:val="en-US" w:eastAsia="zh-CN" w:bidi="ar-SA"/>
        </w:rPr>
        <w:t>就诊当天，患者到达距离医院规定的物理距离范围内（例如以医院为中心，半径1公里范围内，具体范围可由医院自定义），可在线签到，签到后签到状态由“未签到”变更为“已签到”，患者手机端签到后自动进入候诊排队队列。</w:t>
      </w:r>
    </w:p>
    <w:p w14:paraId="0DA28A82">
      <w:pPr>
        <w:spacing w:line="360" w:lineRule="auto"/>
        <w:rPr>
          <w:rFonts w:hAnsi="宋体" w:cs="仿宋"/>
          <w:b/>
          <w:bCs/>
          <w:szCs w:val="21"/>
        </w:rPr>
      </w:pPr>
      <w:r>
        <w:rPr>
          <w:rFonts w:hint="eastAsia" w:hAnsi="宋体" w:cs="宋体"/>
          <w:u w:val="single"/>
        </w:rPr>
        <w:t>★</w:t>
      </w:r>
      <w:r>
        <w:rPr>
          <w:rFonts w:hint="eastAsia" w:hAnsi="宋体" w:cs="仿宋"/>
          <w:b/>
          <w:bCs/>
          <w:szCs w:val="21"/>
        </w:rPr>
        <w:t>（2）二次签到</w:t>
      </w:r>
    </w:p>
    <w:p w14:paraId="53569979">
      <w:pPr>
        <w:pStyle w:val="466"/>
        <w:spacing w:line="360" w:lineRule="auto"/>
        <w:ind w:firstLine="480"/>
        <w:rPr>
          <w:rFonts w:ascii="宋体" w:hAnsi="宋体" w:cs="仿宋"/>
          <w:szCs w:val="21"/>
        </w:rPr>
      </w:pPr>
      <w:r>
        <w:rPr>
          <w:rFonts w:hint="eastAsia" w:ascii="宋体" w:hAnsi="宋体" w:cs="仿宋"/>
          <w:color w:val="000000"/>
          <w:szCs w:val="21"/>
        </w:rPr>
        <w:t>医生接诊患者后，当患者需进行检验检查时，患者完成相关检查检验后，返诊时，可用手机二次签到，签到后再次进入排队队列。</w:t>
      </w:r>
    </w:p>
    <w:p w14:paraId="6EB5356C">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就诊全流程</w:t>
      </w:r>
    </w:p>
    <w:p w14:paraId="76A0CDCA">
      <w:pPr>
        <w:spacing w:line="360" w:lineRule="auto"/>
        <w:ind w:firstLine="480"/>
        <w:rPr>
          <w:rFonts w:hAnsi="宋体" w:cs="仿宋"/>
          <w:szCs w:val="21"/>
        </w:rPr>
      </w:pPr>
      <w:r>
        <w:rPr>
          <w:rFonts w:hint="eastAsia" w:hAnsi="宋体" w:cs="仿宋"/>
          <w:szCs w:val="21"/>
        </w:rPr>
        <w:t>门诊就医全流程是实现患者门诊移动就医全流程可视化的应用。门诊就医全流程包括挂号、候诊、缴费、指引、取药、检验、检查、治疗环节功能，以时间轴在患者手机端展现各环节就医信息及待办事项，解决当前线上服务信息多、难以寻找、使用不便的问题。</w:t>
      </w:r>
    </w:p>
    <w:p w14:paraId="47878933">
      <w:pPr>
        <w:pStyle w:val="544"/>
        <w:numPr>
          <w:ilvl w:val="0"/>
          <w:numId w:val="6"/>
        </w:numPr>
        <w:spacing w:line="360" w:lineRule="auto"/>
        <w:rPr>
          <w:rFonts w:ascii="宋体" w:hAnsi="宋体" w:cs="仿宋"/>
          <w:b/>
          <w:bCs/>
          <w:sz w:val="21"/>
          <w:szCs w:val="21"/>
        </w:rPr>
      </w:pPr>
      <w:r>
        <w:rPr>
          <w:rFonts w:hint="eastAsia" w:ascii="宋体" w:hAnsi="宋体" w:cs="仿宋"/>
          <w:b/>
          <w:bCs/>
          <w:sz w:val="21"/>
          <w:szCs w:val="21"/>
        </w:rPr>
        <w:t>就诊全流程设置</w:t>
      </w:r>
    </w:p>
    <w:p w14:paraId="6AE082A6">
      <w:pPr>
        <w:pStyle w:val="466"/>
        <w:spacing w:line="360" w:lineRule="auto"/>
        <w:ind w:firstLine="480"/>
        <w:rPr>
          <w:rFonts w:ascii="宋体" w:hAnsi="宋体" w:cs="仿宋"/>
          <w:szCs w:val="21"/>
        </w:rPr>
      </w:pPr>
      <w:r>
        <w:rPr>
          <w:rFonts w:hint="eastAsia" w:ascii="宋体" w:hAnsi="宋体" w:cs="仿宋"/>
          <w:szCs w:val="21"/>
        </w:rPr>
        <w:t>系统支持医院管理员在管理端设置启用的就诊全流程环节及页面跳转等信息。</w:t>
      </w:r>
    </w:p>
    <w:p w14:paraId="00AB93F5">
      <w:pPr>
        <w:pStyle w:val="544"/>
        <w:numPr>
          <w:ilvl w:val="0"/>
          <w:numId w:val="6"/>
        </w:numPr>
        <w:spacing w:line="360" w:lineRule="auto"/>
        <w:rPr>
          <w:rFonts w:ascii="宋体" w:hAnsi="宋体" w:cs="仿宋"/>
          <w:b/>
          <w:bCs/>
          <w:sz w:val="21"/>
          <w:szCs w:val="21"/>
        </w:rPr>
      </w:pPr>
      <w:r>
        <w:rPr>
          <w:rFonts w:hint="eastAsia" w:hAnsi="宋体" w:cs="宋体"/>
          <w:u w:val="single"/>
        </w:rPr>
        <w:t>★</w:t>
      </w:r>
      <w:r>
        <w:rPr>
          <w:rFonts w:hint="eastAsia" w:ascii="宋体" w:hAnsi="宋体" w:cs="仿宋"/>
          <w:b/>
          <w:bCs/>
          <w:sz w:val="21"/>
          <w:szCs w:val="21"/>
        </w:rPr>
        <w:t>就诊全流程展示</w:t>
      </w:r>
    </w:p>
    <w:p w14:paraId="651F0D17">
      <w:pPr>
        <w:pStyle w:val="43"/>
        <w:spacing w:line="360" w:lineRule="auto"/>
        <w:ind w:left="0" w:firstLine="480" w:firstLineChars="200"/>
        <w:rPr>
          <w:rFonts w:ascii="宋体" w:hAnsi="宋体" w:cs="仿宋"/>
          <w:szCs w:val="21"/>
        </w:rPr>
      </w:pPr>
      <w:r>
        <w:rPr>
          <w:rFonts w:hint="eastAsia" w:ascii="宋体" w:hAnsi="宋体" w:eastAsia="宋体" w:cs="仿宋"/>
          <w:sz w:val="24"/>
          <w:szCs w:val="21"/>
          <w:lang w:val="en-US" w:eastAsia="zh-CN" w:bidi="ar-SA"/>
        </w:rPr>
        <w:t>患者进入互联网就医平台后，可在就诊过程中看到就诊节点，就诊全流程可视化，支持患者查看当前挂号、候诊、缴费、指引、取药、检验、检查、治疗环节的相关信息。</w:t>
      </w:r>
    </w:p>
    <w:p w14:paraId="6A4B47FF">
      <w:pPr>
        <w:pStyle w:val="544"/>
        <w:numPr>
          <w:ilvl w:val="0"/>
          <w:numId w:val="6"/>
        </w:numPr>
        <w:spacing w:line="360" w:lineRule="auto"/>
        <w:rPr>
          <w:rFonts w:ascii="宋体" w:hAnsi="宋体" w:cs="仿宋"/>
          <w:b/>
          <w:bCs/>
          <w:sz w:val="21"/>
          <w:szCs w:val="21"/>
        </w:rPr>
      </w:pPr>
      <w:r>
        <w:rPr>
          <w:rFonts w:hint="eastAsia" w:ascii="宋体" w:hAnsi="宋体" w:cs="仿宋"/>
          <w:b/>
          <w:bCs/>
          <w:sz w:val="21"/>
          <w:szCs w:val="21"/>
        </w:rPr>
        <w:t>就诊流程查询</w:t>
      </w:r>
    </w:p>
    <w:p w14:paraId="66CE0092">
      <w:pPr>
        <w:pStyle w:val="544"/>
        <w:spacing w:line="360" w:lineRule="auto"/>
        <w:ind w:left="920"/>
        <w:rPr>
          <w:rFonts w:hint="eastAsia" w:ascii="宋体" w:hAnsi="宋体" w:eastAsia="宋体" w:cs="仿宋"/>
          <w:sz w:val="24"/>
          <w:szCs w:val="21"/>
          <w:lang w:val="en-US" w:eastAsia="zh-CN" w:bidi="ar-SA"/>
        </w:rPr>
      </w:pPr>
      <w:r>
        <w:rPr>
          <w:rFonts w:hint="eastAsia" w:ascii="宋体" w:hAnsi="宋体" w:eastAsia="宋体" w:cs="仿宋"/>
          <w:sz w:val="24"/>
          <w:szCs w:val="21"/>
          <w:lang w:val="en-US" w:eastAsia="zh-CN" w:bidi="ar-SA"/>
        </w:rPr>
        <w:t>患者可基于手机端自助查询就诊流程。</w:t>
      </w:r>
    </w:p>
    <w:p w14:paraId="1F518069">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关键词回复</w:t>
      </w:r>
    </w:p>
    <w:p w14:paraId="64A5257C">
      <w:pPr>
        <w:spacing w:line="360" w:lineRule="auto"/>
        <w:ind w:firstLine="175" w:firstLineChars="83"/>
        <w:rPr>
          <w:rFonts w:hAnsi="宋体" w:cs="仿宋"/>
          <w:b/>
          <w:bCs/>
          <w:szCs w:val="21"/>
        </w:rPr>
      </w:pPr>
      <w:r>
        <w:rPr>
          <w:rFonts w:hint="eastAsia" w:hAnsi="宋体" w:cs="仿宋"/>
          <w:b/>
          <w:bCs/>
          <w:szCs w:val="21"/>
        </w:rPr>
        <w:t>（1）回复设置</w:t>
      </w:r>
    </w:p>
    <w:p w14:paraId="6FCAAA88">
      <w:pPr>
        <w:pStyle w:val="544"/>
        <w:spacing w:line="360" w:lineRule="auto"/>
        <w:ind w:left="920"/>
        <w:rPr>
          <w:rFonts w:hint="eastAsia" w:ascii="宋体" w:hAnsi="宋体" w:eastAsia="宋体" w:cs="仿宋"/>
          <w:sz w:val="24"/>
          <w:szCs w:val="21"/>
          <w:lang w:val="en-US" w:eastAsia="zh-CN" w:bidi="ar-SA"/>
        </w:rPr>
      </w:pPr>
      <w:r>
        <w:rPr>
          <w:rFonts w:hint="eastAsia" w:ascii="宋体" w:hAnsi="宋体" w:eastAsia="宋体" w:cs="仿宋"/>
          <w:sz w:val="24"/>
          <w:szCs w:val="21"/>
          <w:lang w:val="en-US" w:eastAsia="zh-CN" w:bidi="ar-SA"/>
        </w:rPr>
        <w:t>系统支持医院维护关键词回复的内容、触发机制等。</w:t>
      </w:r>
    </w:p>
    <w:p w14:paraId="06691556">
      <w:pPr>
        <w:spacing w:line="360" w:lineRule="auto"/>
        <w:ind w:firstLine="175" w:firstLineChars="83"/>
        <w:rPr>
          <w:rFonts w:hAnsi="宋体" w:cs="仿宋"/>
          <w:b/>
          <w:bCs/>
          <w:szCs w:val="21"/>
        </w:rPr>
      </w:pPr>
      <w:r>
        <w:rPr>
          <w:rFonts w:hint="eastAsia" w:hAnsi="宋体" w:cs="仿宋"/>
          <w:b/>
          <w:bCs/>
          <w:szCs w:val="21"/>
        </w:rPr>
        <w:t>（2）回复信息推送</w:t>
      </w:r>
    </w:p>
    <w:p w14:paraId="58304A01">
      <w:pPr>
        <w:pStyle w:val="43"/>
        <w:spacing w:line="360" w:lineRule="auto"/>
        <w:ind w:left="0" w:firstLine="480" w:firstLineChars="200"/>
        <w:rPr>
          <w:rFonts w:hint="eastAsia" w:ascii="宋体" w:hAnsi="宋体" w:eastAsia="宋体" w:cs="仿宋"/>
          <w:sz w:val="24"/>
          <w:szCs w:val="21"/>
          <w:lang w:val="en-US" w:eastAsia="zh-CN" w:bidi="ar-SA"/>
        </w:rPr>
      </w:pPr>
      <w:r>
        <w:rPr>
          <w:rFonts w:hint="eastAsia" w:ascii="宋体" w:hAnsi="宋体" w:eastAsia="宋体" w:cs="仿宋"/>
          <w:sz w:val="24"/>
          <w:szCs w:val="21"/>
          <w:lang w:val="en-US" w:eastAsia="zh-CN" w:bidi="ar-SA"/>
        </w:rPr>
        <w:t>患者可基于系统发送消息人机互动，支持通过文字、语音关键词自动回复患者挂号、缴费、查看报告。</w:t>
      </w:r>
    </w:p>
    <w:p w14:paraId="2057D4B8">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消息中心</w:t>
      </w:r>
    </w:p>
    <w:p w14:paraId="5A9EFA4E">
      <w:pPr>
        <w:pStyle w:val="544"/>
        <w:numPr>
          <w:ilvl w:val="0"/>
          <w:numId w:val="7"/>
        </w:numPr>
        <w:spacing w:line="360" w:lineRule="auto"/>
        <w:rPr>
          <w:rFonts w:ascii="宋体" w:hAnsi="宋体" w:cs="仿宋"/>
          <w:b/>
          <w:bCs/>
          <w:sz w:val="21"/>
          <w:szCs w:val="21"/>
        </w:rPr>
      </w:pPr>
      <w:r>
        <w:rPr>
          <w:rFonts w:hint="eastAsia" w:ascii="宋体" w:hAnsi="宋体" w:cs="仿宋"/>
          <w:b/>
          <w:bCs/>
          <w:sz w:val="21"/>
          <w:szCs w:val="21"/>
        </w:rPr>
        <w:t>消息定义</w:t>
      </w:r>
    </w:p>
    <w:p w14:paraId="7BF4E577">
      <w:pPr>
        <w:spacing w:line="360" w:lineRule="auto"/>
        <w:ind w:firstLine="480"/>
        <w:rPr>
          <w:rFonts w:hAnsi="宋体" w:cs="仿宋"/>
          <w:color w:val="000000"/>
          <w:szCs w:val="21"/>
        </w:rPr>
      </w:pPr>
      <w:r>
        <w:rPr>
          <w:rFonts w:hint="eastAsia" w:hAnsi="宋体" w:cs="仿宋"/>
          <w:color w:val="000000"/>
          <w:szCs w:val="21"/>
        </w:rPr>
        <w:t>系统支持医院维护推送的消息类型与推送时间、推送方式，如停诊消息、就诊提醒、支付提醒等。</w:t>
      </w:r>
    </w:p>
    <w:p w14:paraId="2DFAC420">
      <w:pPr>
        <w:spacing w:line="360" w:lineRule="auto"/>
        <w:ind w:firstLine="480"/>
        <w:rPr>
          <w:rFonts w:hAnsi="宋体" w:cs="仿宋"/>
          <w:color w:val="000000"/>
          <w:szCs w:val="21"/>
        </w:rPr>
      </w:pPr>
      <w:r>
        <w:rPr>
          <w:rFonts w:hint="eastAsia" w:hAnsi="宋体" w:cs="仿宋"/>
          <w:color w:val="000000"/>
          <w:szCs w:val="21"/>
        </w:rPr>
        <w:t>停诊消息通知：医生停诊后，系统自动向预约该医生、该班次的患者推送停诊通知消息，并自动退号、退费；</w:t>
      </w:r>
    </w:p>
    <w:p w14:paraId="3DFB1BD1">
      <w:pPr>
        <w:spacing w:line="360" w:lineRule="auto"/>
        <w:ind w:firstLine="480"/>
        <w:rPr>
          <w:rFonts w:hAnsi="宋体" w:cs="仿宋"/>
          <w:color w:val="000000"/>
          <w:szCs w:val="21"/>
        </w:rPr>
      </w:pPr>
      <w:r>
        <w:rPr>
          <w:rFonts w:hint="eastAsia" w:hAnsi="宋体" w:cs="仿宋"/>
          <w:color w:val="000000"/>
          <w:szCs w:val="21"/>
        </w:rPr>
        <w:t>就诊提醒：就诊前一天自动推送提醒消息，提醒消息模板医院可自行维护；</w:t>
      </w:r>
    </w:p>
    <w:p w14:paraId="0041041C">
      <w:pPr>
        <w:spacing w:line="360" w:lineRule="auto"/>
        <w:ind w:firstLine="480"/>
        <w:rPr>
          <w:rFonts w:hAnsi="宋体" w:cs="仿宋"/>
          <w:szCs w:val="21"/>
        </w:rPr>
      </w:pPr>
      <w:r>
        <w:rPr>
          <w:rFonts w:hint="eastAsia" w:hAnsi="宋体" w:cs="仿宋"/>
          <w:color w:val="000000"/>
          <w:szCs w:val="21"/>
        </w:rPr>
        <w:t>支付提醒：门诊医生开具处方或检验检查申请单后，系统自动向患者推送诊间支付消息提醒，提醒患者在线支付费用；</w:t>
      </w:r>
    </w:p>
    <w:p w14:paraId="4C923E0C">
      <w:pPr>
        <w:pStyle w:val="544"/>
        <w:numPr>
          <w:ilvl w:val="0"/>
          <w:numId w:val="7"/>
        </w:numPr>
        <w:spacing w:line="360" w:lineRule="auto"/>
        <w:rPr>
          <w:rFonts w:ascii="宋体" w:hAnsi="宋体" w:cs="仿宋"/>
          <w:b/>
          <w:bCs/>
          <w:sz w:val="21"/>
          <w:szCs w:val="21"/>
        </w:rPr>
      </w:pPr>
      <w:r>
        <w:rPr>
          <w:rFonts w:hint="eastAsia" w:ascii="宋体" w:hAnsi="宋体" w:cs="仿宋"/>
          <w:b/>
          <w:bCs/>
          <w:sz w:val="21"/>
          <w:szCs w:val="21"/>
        </w:rPr>
        <w:t>消息模板维护</w:t>
      </w:r>
    </w:p>
    <w:p w14:paraId="08111252">
      <w:pPr>
        <w:pStyle w:val="43"/>
        <w:spacing w:line="360" w:lineRule="auto"/>
        <w:ind w:left="0" w:firstLine="360" w:firstLineChars="200"/>
        <w:rPr>
          <w:rFonts w:ascii="宋体" w:hAnsi="宋体" w:cs="仿宋"/>
          <w:szCs w:val="21"/>
        </w:rPr>
      </w:pPr>
      <w:r>
        <w:rPr>
          <w:rFonts w:hint="eastAsia" w:ascii="宋体" w:hAnsi="宋体" w:cs="仿宋"/>
          <w:szCs w:val="21"/>
        </w:rPr>
        <w:t>系统支持医院维护推送消息的模板，自定义消息的内容、模板。</w:t>
      </w:r>
    </w:p>
    <w:p w14:paraId="16E089B8">
      <w:pPr>
        <w:pStyle w:val="544"/>
        <w:numPr>
          <w:ilvl w:val="0"/>
          <w:numId w:val="7"/>
        </w:numPr>
        <w:spacing w:line="360" w:lineRule="auto"/>
        <w:rPr>
          <w:rFonts w:ascii="宋体" w:hAnsi="宋体" w:cs="仿宋"/>
          <w:b/>
          <w:bCs/>
          <w:sz w:val="21"/>
          <w:szCs w:val="21"/>
        </w:rPr>
      </w:pPr>
      <w:r>
        <w:rPr>
          <w:rFonts w:hint="eastAsia" w:ascii="宋体" w:hAnsi="宋体" w:cs="仿宋"/>
          <w:b/>
          <w:bCs/>
          <w:sz w:val="21"/>
          <w:szCs w:val="21"/>
        </w:rPr>
        <w:t>消息推送</w:t>
      </w:r>
    </w:p>
    <w:p w14:paraId="3E6F2F8E">
      <w:pPr>
        <w:spacing w:line="360" w:lineRule="auto"/>
        <w:ind w:firstLine="480"/>
        <w:rPr>
          <w:rFonts w:hAnsi="宋体" w:cs="仿宋"/>
          <w:szCs w:val="21"/>
        </w:rPr>
      </w:pPr>
      <w:r>
        <w:rPr>
          <w:rFonts w:hint="eastAsia" w:hAnsi="宋体" w:cs="仿宋"/>
          <w:color w:val="000000"/>
          <w:szCs w:val="21"/>
        </w:rPr>
        <w:t>系统支持将医院消息推送至患者手机端：患者可查看系统推送的消息记录；同时，患者可以设置接收的消息类型。</w:t>
      </w:r>
    </w:p>
    <w:p w14:paraId="3C873AF8">
      <w:pPr>
        <w:pStyle w:val="4"/>
        <w:numPr>
          <w:ilvl w:val="2"/>
          <w:numId w:val="3"/>
        </w:numPr>
        <w:spacing w:before="240" w:after="120"/>
        <w:rPr>
          <w:rFonts w:hAnsi="宋体" w:cs="宋体"/>
          <w:kern w:val="44"/>
          <w:sz w:val="21"/>
          <w:szCs w:val="21"/>
        </w:rPr>
      </w:pPr>
      <w:bookmarkStart w:id="102" w:name="_Toc150537710"/>
      <w:r>
        <w:rPr>
          <w:rFonts w:hAnsi="宋体" w:cs="宋体"/>
          <w:kern w:val="44"/>
          <w:sz w:val="21"/>
          <w:szCs w:val="21"/>
        </w:rPr>
        <w:t>一站式住院服务</w:t>
      </w:r>
      <w:bookmarkEnd w:id="102"/>
    </w:p>
    <w:p w14:paraId="1D00B5F0">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入院登记</w:t>
      </w:r>
    </w:p>
    <w:p w14:paraId="6E62770F">
      <w:pPr>
        <w:spacing w:line="360" w:lineRule="auto"/>
        <w:ind w:firstLine="480"/>
        <w:rPr>
          <w:rFonts w:hAnsi="宋体" w:cs="仿宋"/>
          <w:szCs w:val="21"/>
        </w:rPr>
      </w:pPr>
      <w:r>
        <w:rPr>
          <w:rFonts w:hint="eastAsia" w:hAnsi="宋体" w:cs="仿宋"/>
          <w:szCs w:val="21"/>
        </w:rPr>
        <w:t>门诊医生开具入院申请单后，患者可在手机端填写个人基本信息、联系人信息等信息，完成入院登记，解决人工窗口办理入院登记填写纸质记录的繁杂、长时间排队等待、效率低下的问题。</w:t>
      </w:r>
    </w:p>
    <w:p w14:paraId="685500B1">
      <w:pPr>
        <w:spacing w:line="360" w:lineRule="auto"/>
        <w:ind w:firstLine="210" w:firstLineChars="100"/>
        <w:rPr>
          <w:rFonts w:hAnsi="宋体" w:cs="仿宋"/>
          <w:szCs w:val="21"/>
        </w:rPr>
      </w:pPr>
      <w:r>
        <w:rPr>
          <w:rFonts w:hint="eastAsia" w:hAnsi="宋体" w:cs="仿宋"/>
          <w:szCs w:val="21"/>
        </w:rPr>
        <w:t>（1）入院登记设置：支持已开具住院证的患者使用手机填写入院信息，完成入院登记；</w:t>
      </w:r>
    </w:p>
    <w:p w14:paraId="58086662">
      <w:pPr>
        <w:spacing w:line="360" w:lineRule="auto"/>
        <w:ind w:firstLine="480"/>
        <w:rPr>
          <w:rFonts w:hAnsi="宋体" w:cs="仿宋"/>
          <w:szCs w:val="21"/>
        </w:rPr>
      </w:pPr>
      <w:r>
        <w:rPr>
          <w:rFonts w:hint="eastAsia" w:hAnsi="宋体" w:cs="仿宋"/>
          <w:szCs w:val="21"/>
        </w:rPr>
        <w:t xml:space="preserve"> (2)</w:t>
      </w:r>
      <w:r>
        <w:rPr>
          <w:rFonts w:hint="eastAsia" w:hAnsi="宋体" w:cs="仿宋"/>
          <w:szCs w:val="21"/>
        </w:rPr>
        <w:tab/>
      </w:r>
      <w:r>
        <w:rPr>
          <w:rFonts w:hint="eastAsia" w:hAnsi="宋体" w:cs="仿宋"/>
          <w:szCs w:val="21"/>
        </w:rPr>
        <w:t>入院登记表单设置：支持医院自定义入院登记填写表单项，表单项设置实时在移动端生效。</w:t>
      </w:r>
    </w:p>
    <w:p w14:paraId="31F27458">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入院须知</w:t>
      </w:r>
    </w:p>
    <w:p w14:paraId="1EC0053E">
      <w:pPr>
        <w:spacing w:line="360" w:lineRule="auto"/>
        <w:ind w:firstLine="480"/>
        <w:rPr>
          <w:rFonts w:hAnsi="宋体" w:cs="仿宋"/>
          <w:color w:val="000000"/>
          <w:szCs w:val="21"/>
        </w:rPr>
      </w:pPr>
      <w:r>
        <w:rPr>
          <w:rFonts w:hint="eastAsia" w:hAnsi="宋体" w:cs="仿宋"/>
          <w:color w:val="000000"/>
          <w:szCs w:val="21"/>
        </w:rPr>
        <w:t>办理入院后，患者可基于手机端可查看医院入院须知指引信息，系统指引用户办理入院手续，后台可自定义须知模板。</w:t>
      </w:r>
    </w:p>
    <w:p w14:paraId="64833FEE">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住院预交金</w:t>
      </w:r>
    </w:p>
    <w:p w14:paraId="618EE677">
      <w:pPr>
        <w:spacing w:line="360" w:lineRule="auto"/>
        <w:ind w:firstLine="480"/>
        <w:rPr>
          <w:rFonts w:hAnsi="宋体" w:cs="仿宋"/>
          <w:color w:val="000000"/>
          <w:szCs w:val="21"/>
        </w:rPr>
      </w:pPr>
      <w:r>
        <w:rPr>
          <w:rFonts w:hint="eastAsia" w:hAnsi="宋体" w:cs="仿宋"/>
          <w:color w:val="000000"/>
          <w:szCs w:val="21"/>
        </w:rPr>
        <w:t>门诊医生根据患者的病情状况，给患者开具了住院凭证，但入院流程、手续、等待床位都需要时间，患者在即将入院的预住院状态下，需要做些检查等需缴纳预住院押金，也支持预住院押金进行在线退费申请。</w:t>
      </w:r>
    </w:p>
    <w:p w14:paraId="72572F0B">
      <w:pPr>
        <w:snapToGrid w:val="0"/>
        <w:spacing w:line="360" w:lineRule="auto"/>
        <w:ind w:firstLine="480"/>
        <w:rPr>
          <w:rFonts w:hAnsi="宋体" w:cs="仿宋"/>
          <w:szCs w:val="21"/>
        </w:rPr>
      </w:pPr>
      <w:r>
        <w:rPr>
          <w:rFonts w:hint="eastAsia" w:hAnsi="宋体" w:cs="仿宋"/>
          <w:szCs w:val="21"/>
        </w:rPr>
        <w:t>在住院的患者，可在线缴纳住院押金用于住院期间的费用支出，支持查看押金缴纳记录。</w:t>
      </w:r>
    </w:p>
    <w:p w14:paraId="106EDC39">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住院费用</w:t>
      </w:r>
    </w:p>
    <w:p w14:paraId="7458F47E">
      <w:pPr>
        <w:spacing w:line="360" w:lineRule="auto"/>
        <w:ind w:firstLine="480"/>
        <w:rPr>
          <w:rFonts w:hAnsi="宋体" w:cs="仿宋"/>
          <w:szCs w:val="21"/>
        </w:rPr>
      </w:pPr>
      <w:r>
        <w:rPr>
          <w:rFonts w:hint="eastAsia" w:hAnsi="宋体" w:cs="仿宋"/>
          <w:color w:val="000000"/>
          <w:szCs w:val="21"/>
        </w:rPr>
        <w:t>患者可以基于移动端查看住院期间所产生的总费用情况及费用明细。</w:t>
      </w:r>
    </w:p>
    <w:p w14:paraId="7D231229">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每日清单</w:t>
      </w:r>
    </w:p>
    <w:p w14:paraId="330B5571">
      <w:pPr>
        <w:spacing w:line="360" w:lineRule="auto"/>
        <w:ind w:firstLine="480"/>
        <w:rPr>
          <w:rFonts w:hAnsi="宋体" w:cs="仿宋"/>
          <w:color w:val="000000"/>
          <w:szCs w:val="21"/>
        </w:rPr>
      </w:pPr>
      <w:r>
        <w:rPr>
          <w:rFonts w:hint="eastAsia" w:hAnsi="宋体" w:cs="仿宋"/>
          <w:color w:val="000000"/>
          <w:szCs w:val="21"/>
        </w:rPr>
        <w:t>住院期间，系统可每日自动向用户发送每日清单提醒消息，并支持用户查看每日清单费用明细信息。</w:t>
      </w:r>
    </w:p>
    <w:p w14:paraId="1D106318">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出院小结</w:t>
      </w:r>
    </w:p>
    <w:p w14:paraId="45B1ECB5">
      <w:pPr>
        <w:spacing w:line="360" w:lineRule="auto"/>
        <w:ind w:firstLine="480"/>
        <w:rPr>
          <w:rFonts w:hAnsi="宋体" w:cs="仿宋"/>
          <w:color w:val="000000"/>
          <w:szCs w:val="21"/>
        </w:rPr>
      </w:pPr>
      <w:r>
        <w:rPr>
          <w:rFonts w:hint="eastAsia" w:hAnsi="宋体" w:cs="仿宋"/>
          <w:color w:val="000000"/>
          <w:szCs w:val="21"/>
        </w:rPr>
        <w:t>支持患者出院后查看出院小结记录详情。</w:t>
      </w:r>
    </w:p>
    <w:p w14:paraId="57ACF4A3">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出院须知</w:t>
      </w:r>
    </w:p>
    <w:p w14:paraId="16FC5865">
      <w:pPr>
        <w:spacing w:line="360" w:lineRule="auto"/>
        <w:ind w:firstLine="480"/>
        <w:rPr>
          <w:rFonts w:hAnsi="宋体" w:cs="仿宋"/>
          <w:color w:val="000000"/>
          <w:szCs w:val="21"/>
        </w:rPr>
      </w:pPr>
      <w:r>
        <w:rPr>
          <w:rFonts w:hint="eastAsia" w:hAnsi="宋体" w:cs="仿宋"/>
          <w:color w:val="000000"/>
          <w:szCs w:val="21"/>
        </w:rPr>
        <w:t>系统支持患者出院后基于移动端查看出院须知。</w:t>
      </w:r>
    </w:p>
    <w:p w14:paraId="30087BEB">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出院带药</w:t>
      </w:r>
    </w:p>
    <w:p w14:paraId="585EAF0B">
      <w:pPr>
        <w:spacing w:line="360" w:lineRule="auto"/>
        <w:ind w:firstLine="480"/>
        <w:rPr>
          <w:rFonts w:hAnsi="宋体" w:cs="仿宋"/>
          <w:szCs w:val="21"/>
        </w:rPr>
      </w:pPr>
      <w:r>
        <w:rPr>
          <w:rFonts w:hint="eastAsia" w:hAnsi="宋体" w:cs="仿宋"/>
          <w:szCs w:val="21"/>
        </w:rPr>
        <w:t>系统支持患者可以基于移动端查看住院带药的药品明细及用法、注意事项。</w:t>
      </w:r>
    </w:p>
    <w:p w14:paraId="3DC9EDF5">
      <w:pPr>
        <w:pStyle w:val="5"/>
        <w:numPr>
          <w:ilvl w:val="3"/>
          <w:numId w:val="3"/>
        </w:numPr>
        <w:spacing w:before="120" w:after="120"/>
        <w:rPr>
          <w:rFonts w:ascii="宋体" w:hAnsi="宋体" w:eastAsia="宋体"/>
          <w:kern w:val="44"/>
          <w:sz w:val="21"/>
          <w:szCs w:val="21"/>
        </w:rPr>
      </w:pPr>
      <w:bookmarkStart w:id="103" w:name="_Toc150537711"/>
      <w:r>
        <w:rPr>
          <w:rFonts w:hint="eastAsia" w:ascii="宋体" w:hAnsi="宋体" w:eastAsia="宋体"/>
          <w:kern w:val="44"/>
          <w:sz w:val="21"/>
          <w:szCs w:val="21"/>
        </w:rPr>
        <w:t>就医费用支付</w:t>
      </w:r>
      <w:bookmarkEnd w:id="103"/>
    </w:p>
    <w:p w14:paraId="7BCD2EA7">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挂号支付</w:t>
      </w:r>
    </w:p>
    <w:p w14:paraId="47E31556">
      <w:pPr>
        <w:spacing w:line="360" w:lineRule="auto"/>
        <w:ind w:firstLine="480"/>
        <w:rPr>
          <w:rFonts w:hAnsi="宋体" w:cs="仿宋"/>
          <w:szCs w:val="21"/>
        </w:rPr>
      </w:pPr>
      <w:r>
        <w:rPr>
          <w:rFonts w:hint="eastAsia" w:hAnsi="宋体" w:cs="仿宋"/>
          <w:szCs w:val="21"/>
        </w:rPr>
        <w:t>门诊移动挂号支付是提供门诊挂号业务的移动支付应用。它支持通过对接第三方支付平台，来实现门诊挂号业务下的在线支付需求。</w:t>
      </w:r>
    </w:p>
    <w:p w14:paraId="662FDAE1">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诊间支付</w:t>
      </w:r>
    </w:p>
    <w:p w14:paraId="32FC84AD">
      <w:pPr>
        <w:spacing w:line="360" w:lineRule="auto"/>
        <w:ind w:firstLine="480"/>
        <w:rPr>
          <w:rFonts w:hAnsi="宋体" w:cs="仿宋"/>
          <w:szCs w:val="21"/>
        </w:rPr>
      </w:pPr>
      <w:r>
        <w:rPr>
          <w:rFonts w:hint="eastAsia" w:hAnsi="宋体" w:cs="仿宋"/>
          <w:szCs w:val="21"/>
        </w:rPr>
        <w:t>门诊医生开单后，系统自动向已绑卡患者推送诊间支付提醒消息，患者点击诊间支付提醒即可进行在线支付。如医保政策开放，系统需支持医保在线结算支付。</w:t>
      </w:r>
    </w:p>
    <w:p w14:paraId="7C02A184">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扫处方单二维码支付</w:t>
      </w:r>
    </w:p>
    <w:p w14:paraId="0EFF4723">
      <w:pPr>
        <w:spacing w:line="360" w:lineRule="auto"/>
        <w:ind w:firstLine="480"/>
        <w:rPr>
          <w:rFonts w:hAnsi="宋体" w:cs="仿宋"/>
          <w:color w:val="000000"/>
          <w:szCs w:val="21"/>
        </w:rPr>
      </w:pPr>
      <w:r>
        <w:rPr>
          <w:rFonts w:hint="eastAsia" w:hAnsi="宋体" w:cs="仿宋"/>
          <w:color w:val="000000"/>
          <w:szCs w:val="21"/>
        </w:rPr>
        <w:t>患者扫处方上的二维码支付：用户可以微信、支付宝扫描处方单上的同一个二维码，会直接跳转到诊间支付界面，直接进行线上支付，免除去线下窗口排队烦恼。</w:t>
      </w:r>
    </w:p>
    <w:p w14:paraId="07E36854">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窗口扫付款码支付</w:t>
      </w:r>
    </w:p>
    <w:p w14:paraId="302364E8">
      <w:pPr>
        <w:spacing w:line="360" w:lineRule="auto"/>
        <w:ind w:firstLine="480"/>
        <w:rPr>
          <w:rFonts w:hAnsi="宋体" w:cs="仿宋"/>
          <w:szCs w:val="21"/>
        </w:rPr>
      </w:pPr>
      <w:r>
        <w:rPr>
          <w:rFonts w:hint="eastAsia" w:hAnsi="宋体" w:cs="仿宋"/>
          <w:color w:val="000000"/>
          <w:szCs w:val="21"/>
        </w:rPr>
        <w:t>收费窗口扫描患者手机付款码支付：支持与HIS系统对接，实现收费窗口使用扫码枪或扫码盒子扫描用户微信/支付宝付款码收费。</w:t>
      </w:r>
    </w:p>
    <w:p w14:paraId="2D81D6F0">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账单查询</w:t>
      </w:r>
    </w:p>
    <w:p w14:paraId="5903C464">
      <w:pPr>
        <w:spacing w:line="360" w:lineRule="auto"/>
        <w:ind w:firstLine="480"/>
        <w:rPr>
          <w:rFonts w:hAnsi="宋体" w:cs="仿宋"/>
          <w:szCs w:val="21"/>
        </w:rPr>
      </w:pPr>
      <w:r>
        <w:rPr>
          <w:rFonts w:hint="eastAsia" w:hAnsi="宋体" w:cs="仿宋"/>
          <w:szCs w:val="21"/>
        </w:rPr>
        <w:t>患者可以通过账单查看支付记录，待支付账单可以点击直接进行缴费，缴费完成后，可以查看已完成记录及缴费详情。</w:t>
      </w:r>
    </w:p>
    <w:p w14:paraId="0DCDCB5D">
      <w:pPr>
        <w:pStyle w:val="5"/>
        <w:numPr>
          <w:ilvl w:val="3"/>
          <w:numId w:val="3"/>
        </w:numPr>
        <w:spacing w:before="120" w:after="120"/>
        <w:rPr>
          <w:rFonts w:ascii="宋体" w:hAnsi="宋体" w:eastAsia="宋体"/>
          <w:kern w:val="44"/>
          <w:sz w:val="21"/>
          <w:szCs w:val="21"/>
        </w:rPr>
      </w:pPr>
      <w:bookmarkStart w:id="104" w:name="_Toc150537712"/>
      <w:r>
        <w:rPr>
          <w:rFonts w:hint="eastAsia" w:ascii="宋体" w:hAnsi="宋体" w:eastAsia="宋体"/>
          <w:kern w:val="44"/>
          <w:sz w:val="21"/>
          <w:szCs w:val="21"/>
        </w:rPr>
        <w:t>就医记录查询及推送</w:t>
      </w:r>
      <w:bookmarkEnd w:id="104"/>
    </w:p>
    <w:p w14:paraId="096B2CEC">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门诊病历</w:t>
      </w:r>
    </w:p>
    <w:p w14:paraId="3183343B">
      <w:pPr>
        <w:spacing w:line="360" w:lineRule="auto"/>
        <w:ind w:firstLine="480"/>
        <w:rPr>
          <w:rFonts w:hAnsi="宋体" w:cs="仿宋"/>
          <w:szCs w:val="21"/>
        </w:rPr>
      </w:pPr>
      <w:r>
        <w:rPr>
          <w:rFonts w:hint="eastAsia" w:hAnsi="宋体" w:cs="仿宋"/>
          <w:szCs w:val="21"/>
        </w:rPr>
        <w:t>患者就诊结束后，系统支持查看个人门诊病历记录与病历详情，病历的开放时间支持医院自定义。</w:t>
      </w:r>
    </w:p>
    <w:p w14:paraId="2E1B8D88">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检验报告</w:t>
      </w:r>
    </w:p>
    <w:p w14:paraId="6CA930A0">
      <w:pPr>
        <w:pStyle w:val="101"/>
        <w:numPr>
          <w:ilvl w:val="0"/>
          <w:numId w:val="8"/>
        </w:numPr>
        <w:spacing w:line="360" w:lineRule="auto"/>
        <w:ind w:firstLine="480" w:firstLineChars="0"/>
        <w:rPr>
          <w:rFonts w:hAnsi="宋体" w:cs="仿宋"/>
          <w:szCs w:val="21"/>
        </w:rPr>
      </w:pPr>
      <w:r>
        <w:rPr>
          <w:rFonts w:hint="eastAsia" w:hAnsi="宋体" w:cs="仿宋"/>
          <w:color w:val="000000"/>
          <w:szCs w:val="21"/>
        </w:rPr>
        <w:t>患者在微信端会及时接收到检验报告推送信息，可在线直接查看电子报告。检验报告支持显示项目异常值提醒(偏高或偏低)；检查支持文字和图像报告（jpg/</w:t>
      </w:r>
      <w:r>
        <w:rPr>
          <w:rFonts w:hAnsi="宋体" w:cs="仿宋"/>
          <w:color w:val="000000"/>
          <w:szCs w:val="21"/>
        </w:rPr>
        <w:t>png</w:t>
      </w:r>
      <w:r>
        <w:rPr>
          <w:rFonts w:hint="eastAsia" w:hAnsi="宋体" w:cs="仿宋"/>
          <w:color w:val="000000"/>
          <w:szCs w:val="21"/>
        </w:rPr>
        <w:t>格式）</w:t>
      </w:r>
      <w:r>
        <w:rPr>
          <w:rFonts w:hAnsi="宋体" w:cs="仿宋"/>
          <w:szCs w:val="21"/>
        </w:rPr>
        <w:t xml:space="preserve"> </w:t>
      </w:r>
      <w:r>
        <w:rPr>
          <w:rFonts w:hint="eastAsia" w:hAnsi="宋体" w:cs="仿宋"/>
          <w:szCs w:val="21"/>
        </w:rPr>
        <w:t>。</w:t>
      </w:r>
    </w:p>
    <w:p w14:paraId="52BCDF41">
      <w:pPr>
        <w:pStyle w:val="101"/>
        <w:numPr>
          <w:ilvl w:val="0"/>
          <w:numId w:val="8"/>
        </w:numPr>
        <w:spacing w:line="360" w:lineRule="auto"/>
        <w:ind w:firstLine="480" w:firstLineChars="0"/>
        <w:rPr>
          <w:rFonts w:hAnsi="宋体" w:cs="仿宋"/>
          <w:szCs w:val="21"/>
        </w:rPr>
      </w:pPr>
      <w:r>
        <w:rPr>
          <w:rFonts w:hint="eastAsia" w:hAnsi="宋体" w:cs="仿宋"/>
          <w:szCs w:val="21"/>
        </w:rPr>
        <w:t>在开启隐私保护时，需输入隐私保护密码才能查看报告。</w:t>
      </w:r>
    </w:p>
    <w:p w14:paraId="15CCC04B">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检查报告</w:t>
      </w:r>
    </w:p>
    <w:p w14:paraId="5968A45A">
      <w:pPr>
        <w:pStyle w:val="101"/>
        <w:numPr>
          <w:ilvl w:val="0"/>
          <w:numId w:val="9"/>
        </w:numPr>
        <w:spacing w:line="360" w:lineRule="auto"/>
        <w:ind w:firstLine="480" w:firstLineChars="0"/>
        <w:rPr>
          <w:rFonts w:hAnsi="宋体" w:cs="仿宋"/>
          <w:color w:val="000000"/>
          <w:szCs w:val="21"/>
        </w:rPr>
      </w:pPr>
      <w:r>
        <w:rPr>
          <w:rFonts w:hint="eastAsia" w:hAnsi="宋体" w:cs="仿宋"/>
          <w:color w:val="000000"/>
          <w:szCs w:val="21"/>
        </w:rPr>
        <w:t>患者在微信端会及时接收到检查报告推送信息，可在线直接查看电子报告。检验报告支持显示项目异常值提醒(偏高或偏低)；检查支持文字和图像报告（jpg/</w:t>
      </w:r>
      <w:r>
        <w:rPr>
          <w:rFonts w:hAnsi="宋体" w:cs="仿宋"/>
          <w:color w:val="000000"/>
          <w:szCs w:val="21"/>
        </w:rPr>
        <w:t>png</w:t>
      </w:r>
      <w:r>
        <w:rPr>
          <w:rFonts w:hint="eastAsia" w:hAnsi="宋体" w:cs="仿宋"/>
          <w:color w:val="000000"/>
          <w:szCs w:val="21"/>
        </w:rPr>
        <w:t>格式）。</w:t>
      </w:r>
    </w:p>
    <w:p w14:paraId="26EBD451">
      <w:pPr>
        <w:pStyle w:val="101"/>
        <w:numPr>
          <w:ilvl w:val="0"/>
          <w:numId w:val="9"/>
        </w:numPr>
        <w:spacing w:line="360" w:lineRule="auto"/>
        <w:ind w:firstLine="480" w:firstLineChars="0"/>
        <w:rPr>
          <w:rFonts w:hAnsi="宋体" w:cs="仿宋"/>
          <w:szCs w:val="21"/>
        </w:rPr>
      </w:pPr>
      <w:r>
        <w:rPr>
          <w:rFonts w:hint="eastAsia" w:hAnsi="宋体" w:cs="仿宋"/>
          <w:szCs w:val="21"/>
        </w:rPr>
        <w:t>在开启隐私保护时，需输入隐私保护密码才能查看报告。</w:t>
      </w:r>
    </w:p>
    <w:p w14:paraId="1AC5E307">
      <w:pPr>
        <w:pStyle w:val="5"/>
        <w:numPr>
          <w:ilvl w:val="3"/>
          <w:numId w:val="3"/>
        </w:numPr>
        <w:spacing w:before="120" w:after="120"/>
        <w:rPr>
          <w:rFonts w:ascii="宋体" w:hAnsi="宋体" w:eastAsia="宋体"/>
          <w:kern w:val="44"/>
          <w:sz w:val="21"/>
          <w:szCs w:val="21"/>
        </w:rPr>
      </w:pPr>
      <w:bookmarkStart w:id="105" w:name="_Toc150537713"/>
      <w:r>
        <w:rPr>
          <w:rFonts w:hint="eastAsia" w:ascii="宋体" w:hAnsi="宋体" w:eastAsia="宋体"/>
          <w:kern w:val="44"/>
          <w:sz w:val="21"/>
          <w:szCs w:val="21"/>
        </w:rPr>
        <w:t>就医满意度评价</w:t>
      </w:r>
      <w:bookmarkEnd w:id="105"/>
    </w:p>
    <w:p w14:paraId="3EE48814">
      <w:pPr>
        <w:spacing w:line="360" w:lineRule="auto"/>
        <w:ind w:firstLine="480"/>
        <w:rPr>
          <w:rFonts w:hAnsi="宋体" w:cs="仿宋"/>
          <w:szCs w:val="21"/>
        </w:rPr>
      </w:pPr>
      <w:r>
        <w:rPr>
          <w:rFonts w:hint="eastAsia" w:hAnsi="宋体" w:cs="仿宋"/>
          <w:szCs w:val="21"/>
        </w:rPr>
        <w:t>满意度评价是面向患者对医院、门诊服务、住院服务评价的应用。患者就医后，可对医院或医生评价，医院工作人员可以查看并回复患者评价记录，助力医院进一步改善、提升医疗服务水平与就医环境。</w:t>
      </w:r>
    </w:p>
    <w:p w14:paraId="59389C18">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医院评价</w:t>
      </w:r>
    </w:p>
    <w:p w14:paraId="51BE699F">
      <w:pPr>
        <w:spacing w:line="360" w:lineRule="auto"/>
        <w:ind w:firstLine="480"/>
        <w:rPr>
          <w:rFonts w:hAnsi="宋体" w:cs="仿宋"/>
          <w:szCs w:val="21"/>
        </w:rPr>
      </w:pPr>
      <w:r>
        <w:rPr>
          <w:rFonts w:hint="eastAsia" w:hAnsi="宋体" w:cs="仿宋"/>
          <w:szCs w:val="21"/>
        </w:rPr>
        <w:t>支持患者对医院进行评价，医院可自行禁用或启用评价项。</w:t>
      </w:r>
    </w:p>
    <w:p w14:paraId="43F42898"/>
    <w:p w14:paraId="0409A7C2">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门诊就医评价</w:t>
      </w:r>
    </w:p>
    <w:p w14:paraId="22CDC54B">
      <w:pPr>
        <w:spacing w:line="360" w:lineRule="auto"/>
        <w:ind w:firstLine="480"/>
        <w:rPr>
          <w:rFonts w:hAnsi="宋体" w:cs="仿宋"/>
          <w:szCs w:val="21"/>
        </w:rPr>
      </w:pPr>
      <w:r>
        <w:rPr>
          <w:rFonts w:hint="eastAsia" w:hAnsi="宋体" w:cs="仿宋"/>
          <w:szCs w:val="21"/>
        </w:rPr>
        <w:t>支持患者对个人已就诊的医生进行评价，医院可自行设置评价项。</w:t>
      </w:r>
    </w:p>
    <w:p w14:paraId="13E565B9">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住院评价</w:t>
      </w:r>
    </w:p>
    <w:p w14:paraId="2623A5B6">
      <w:pPr>
        <w:spacing w:line="360" w:lineRule="auto"/>
        <w:ind w:firstLine="480"/>
        <w:rPr>
          <w:rFonts w:hAnsi="宋体" w:cs="仿宋"/>
          <w:szCs w:val="21"/>
        </w:rPr>
      </w:pPr>
      <w:r>
        <w:rPr>
          <w:rFonts w:hint="eastAsia" w:hAnsi="宋体" w:cs="仿宋"/>
          <w:szCs w:val="21"/>
        </w:rPr>
        <w:t>住院患者可以对住院病区的医生、护士等进行评价，医院设置评价项。</w:t>
      </w:r>
    </w:p>
    <w:p w14:paraId="297BFBC4">
      <w:pPr>
        <w:pStyle w:val="4"/>
        <w:numPr>
          <w:ilvl w:val="2"/>
          <w:numId w:val="3"/>
        </w:numPr>
        <w:spacing w:before="240" w:after="120"/>
        <w:rPr>
          <w:rFonts w:hAnsi="宋体" w:cs="宋体"/>
          <w:kern w:val="44"/>
          <w:sz w:val="21"/>
          <w:szCs w:val="21"/>
        </w:rPr>
      </w:pPr>
      <w:bookmarkStart w:id="106" w:name="_Toc150537714"/>
      <w:r>
        <w:rPr>
          <w:rFonts w:hAnsi="宋体" w:cs="宋体"/>
          <w:kern w:val="44"/>
          <w:sz w:val="21"/>
          <w:szCs w:val="21"/>
        </w:rPr>
        <w:t>投诉管理</w:t>
      </w:r>
      <w:bookmarkEnd w:id="106"/>
    </w:p>
    <w:p w14:paraId="02D9B5ED">
      <w:pPr>
        <w:spacing w:line="360" w:lineRule="auto"/>
        <w:ind w:firstLine="480"/>
        <w:rPr>
          <w:rFonts w:hAnsi="宋体" w:cs="仿宋"/>
          <w:szCs w:val="21"/>
        </w:rPr>
      </w:pPr>
      <w:r>
        <w:rPr>
          <w:rFonts w:hint="eastAsia" w:hAnsi="宋体" w:cs="仿宋"/>
          <w:szCs w:val="21"/>
        </w:rPr>
        <w:t>投诉管理是面向患者向医院存在的问题发起投诉的应用服务。患者可向医院发起投诉，医院工作人员可查看投诉、回复、导出投诉，及时解决患者的投诉问题。</w:t>
      </w:r>
    </w:p>
    <w:p w14:paraId="7556D169">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投诉建议</w:t>
      </w:r>
    </w:p>
    <w:p w14:paraId="56DE801A">
      <w:pPr>
        <w:spacing w:line="360" w:lineRule="auto"/>
        <w:ind w:firstLine="480"/>
        <w:rPr>
          <w:rFonts w:hAnsi="宋体" w:cs="仿宋"/>
          <w:szCs w:val="21"/>
        </w:rPr>
      </w:pPr>
      <w:r>
        <w:rPr>
          <w:rFonts w:hint="eastAsia" w:hAnsi="宋体" w:cs="仿宋"/>
          <w:szCs w:val="21"/>
        </w:rPr>
        <w:t>支持患者通过手机端向医院发起投诉，投诉时需填写个人信息、投诉科室、投诉类型、投诉内容等信息</w:t>
      </w:r>
    </w:p>
    <w:p w14:paraId="62AB3924">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投诉回复</w:t>
      </w:r>
    </w:p>
    <w:p w14:paraId="1185E2F5">
      <w:pPr>
        <w:spacing w:line="360" w:lineRule="auto"/>
        <w:ind w:firstLine="480"/>
        <w:rPr>
          <w:rFonts w:hAnsi="宋体" w:cs="仿宋"/>
          <w:szCs w:val="21"/>
        </w:rPr>
      </w:pPr>
      <w:r>
        <w:rPr>
          <w:rFonts w:hint="eastAsia" w:hAnsi="宋体" w:cs="仿宋"/>
          <w:szCs w:val="21"/>
        </w:rPr>
        <w:t>支持医院工作人员在管理端查看患者投诉的具体内容，并可以向患者回复，回复后患者可在手机端收到消息提醒；</w:t>
      </w:r>
    </w:p>
    <w:p w14:paraId="07171DB3">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投诉管理</w:t>
      </w:r>
    </w:p>
    <w:p w14:paraId="25838785">
      <w:pPr>
        <w:spacing w:line="360" w:lineRule="auto"/>
        <w:ind w:firstLine="480"/>
        <w:rPr>
          <w:rFonts w:hAnsi="宋体" w:cs="仿宋"/>
          <w:szCs w:val="21"/>
        </w:rPr>
      </w:pPr>
      <w:r>
        <w:rPr>
          <w:rFonts w:hint="eastAsia" w:hAnsi="宋体" w:cs="仿宋"/>
          <w:szCs w:val="21"/>
        </w:rPr>
        <w:t>支持医院对患者投诉的建议进行统一管理，并且根据条件进行筛选、处理，同时支持查看投诉及处理详情。</w:t>
      </w:r>
    </w:p>
    <w:p w14:paraId="734E9C49">
      <w:pPr>
        <w:pStyle w:val="4"/>
        <w:numPr>
          <w:ilvl w:val="2"/>
          <w:numId w:val="3"/>
        </w:numPr>
        <w:spacing w:before="240" w:after="120"/>
        <w:rPr>
          <w:rFonts w:hAnsi="宋体" w:cs="宋体"/>
          <w:kern w:val="44"/>
          <w:sz w:val="21"/>
          <w:szCs w:val="21"/>
        </w:rPr>
      </w:pPr>
      <w:bookmarkStart w:id="107" w:name="_Toc150537715"/>
      <w:r>
        <w:rPr>
          <w:rFonts w:hAnsi="宋体" w:cs="宋体"/>
          <w:kern w:val="44"/>
          <w:sz w:val="21"/>
          <w:szCs w:val="21"/>
        </w:rPr>
        <w:t>就医资讯</w:t>
      </w:r>
      <w:bookmarkEnd w:id="107"/>
    </w:p>
    <w:p w14:paraId="02B4239C">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物价查询</w:t>
      </w:r>
    </w:p>
    <w:p w14:paraId="1B9B83A2">
      <w:pPr>
        <w:spacing w:line="360" w:lineRule="auto"/>
        <w:ind w:firstLine="480"/>
        <w:rPr>
          <w:rFonts w:hAnsi="宋体" w:cs="仿宋"/>
          <w:szCs w:val="21"/>
        </w:rPr>
      </w:pPr>
      <w:r>
        <w:rPr>
          <w:rFonts w:hint="eastAsia" w:hAnsi="宋体" w:cs="仿宋"/>
          <w:color w:val="000000"/>
          <w:szCs w:val="21"/>
        </w:rPr>
        <w:t>患者可在微信号上查询到医院内药品、治疗、检查等价格，贯彻药品价格公示政策，确保价格清晰、公正、透明</w:t>
      </w:r>
    </w:p>
    <w:p w14:paraId="42A67BBB">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健康资讯</w:t>
      </w:r>
    </w:p>
    <w:p w14:paraId="4C225E84">
      <w:pPr>
        <w:spacing w:line="360" w:lineRule="auto"/>
        <w:ind w:firstLine="480"/>
        <w:rPr>
          <w:rFonts w:hAnsi="宋体" w:cs="仿宋"/>
          <w:color w:val="000000"/>
          <w:szCs w:val="21"/>
        </w:rPr>
      </w:pPr>
      <w:r>
        <w:rPr>
          <w:rFonts w:hint="eastAsia" w:hAnsi="宋体" w:cs="仿宋"/>
          <w:color w:val="000000"/>
          <w:szCs w:val="21"/>
        </w:rPr>
        <w:t>医院可自行发布健康资讯文章，患者可以在手机上查看医院发布的健康资讯内容。</w:t>
      </w:r>
    </w:p>
    <w:p w14:paraId="64865BF2">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医院简介</w:t>
      </w:r>
    </w:p>
    <w:p w14:paraId="3262ECFE">
      <w:pPr>
        <w:spacing w:line="360" w:lineRule="auto"/>
        <w:ind w:firstLine="480"/>
        <w:rPr>
          <w:rFonts w:hAnsi="宋体" w:cs="仿宋"/>
          <w:szCs w:val="21"/>
        </w:rPr>
      </w:pPr>
      <w:r>
        <w:rPr>
          <w:rFonts w:hint="eastAsia" w:hAnsi="宋体" w:cs="仿宋"/>
          <w:color w:val="000000"/>
          <w:szCs w:val="21"/>
        </w:rPr>
        <w:t>对医院的整体情况、优势、科室情况、先进技术、知名医生等进行介绍，以便让居民更好了解医院。</w:t>
      </w:r>
    </w:p>
    <w:p w14:paraId="24B710F0">
      <w:pPr>
        <w:pStyle w:val="4"/>
        <w:numPr>
          <w:ilvl w:val="2"/>
          <w:numId w:val="3"/>
        </w:numPr>
        <w:spacing w:before="240" w:after="120"/>
        <w:rPr>
          <w:rFonts w:hAnsi="宋体" w:cs="宋体"/>
          <w:kern w:val="44"/>
          <w:sz w:val="21"/>
          <w:szCs w:val="21"/>
        </w:rPr>
      </w:pPr>
      <w:bookmarkStart w:id="108" w:name="_Toc150537716"/>
      <w:r>
        <w:rPr>
          <w:rFonts w:hAnsi="宋体" w:cs="宋体"/>
          <w:kern w:val="44"/>
          <w:sz w:val="21"/>
          <w:szCs w:val="21"/>
        </w:rPr>
        <w:t>就医服务运营数据</w:t>
      </w:r>
      <w:bookmarkEnd w:id="108"/>
    </w:p>
    <w:p w14:paraId="63EF8837">
      <w:pPr>
        <w:spacing w:line="360" w:lineRule="auto"/>
        <w:ind w:firstLine="480"/>
        <w:rPr>
          <w:rFonts w:hAnsi="宋体" w:cs="仿宋"/>
          <w:color w:val="000000"/>
          <w:szCs w:val="21"/>
        </w:rPr>
      </w:pPr>
      <w:r>
        <w:rPr>
          <w:rFonts w:hint="eastAsia" w:hAnsi="宋体" w:cs="仿宋"/>
          <w:color w:val="000000"/>
          <w:szCs w:val="21"/>
        </w:rPr>
        <w:t>医院线上互联网中医就医服务平台的数据统计分析应用，支持概况、患者统计、交易统计、评价分析等方面进行业务数据查询和图形展示，支持明细数据报表下载。</w:t>
      </w:r>
    </w:p>
    <w:p w14:paraId="65AB91DE">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数据概况</w:t>
      </w:r>
    </w:p>
    <w:p w14:paraId="73B83BC8">
      <w:pPr>
        <w:spacing w:line="360" w:lineRule="auto"/>
        <w:ind w:firstLine="480"/>
        <w:rPr>
          <w:rFonts w:hAnsi="宋体" w:cs="仿宋"/>
          <w:szCs w:val="21"/>
        </w:rPr>
      </w:pPr>
      <w:r>
        <w:rPr>
          <w:rFonts w:hint="eastAsia" w:hAnsi="宋体" w:cs="仿宋"/>
          <w:szCs w:val="21"/>
        </w:rPr>
        <w:t>提供互联网就医运营数据的统计分析。包括交易金额与交易次数统计、趋势分析，用户分析、就医评价统计，挂号统计、预约统计等。</w:t>
      </w:r>
    </w:p>
    <w:p w14:paraId="579298C5">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患者统计</w:t>
      </w:r>
    </w:p>
    <w:p w14:paraId="13A51CC9">
      <w:pPr>
        <w:spacing w:line="360" w:lineRule="auto"/>
        <w:ind w:firstLine="480"/>
        <w:rPr>
          <w:rFonts w:hAnsi="宋体" w:cs="仿宋"/>
          <w:szCs w:val="21"/>
        </w:rPr>
      </w:pPr>
      <w:r>
        <w:rPr>
          <w:rFonts w:hint="eastAsia" w:hAnsi="宋体" w:cs="仿宋"/>
          <w:szCs w:val="21"/>
        </w:rPr>
        <w:t>支持统计关注用户数、建卡绑卡数等业务数据查询，以及支持图表呈现、数据报表导出。</w:t>
      </w:r>
    </w:p>
    <w:p w14:paraId="3D49B435">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交易统计</w:t>
      </w:r>
    </w:p>
    <w:p w14:paraId="3E7E58AF">
      <w:pPr>
        <w:spacing w:line="360" w:lineRule="auto"/>
        <w:ind w:firstLine="480"/>
        <w:rPr>
          <w:rFonts w:hAnsi="宋体" w:cs="仿宋"/>
          <w:szCs w:val="21"/>
        </w:rPr>
      </w:pPr>
      <w:r>
        <w:rPr>
          <w:rFonts w:hint="eastAsia" w:hAnsi="宋体" w:cs="仿宋"/>
          <w:szCs w:val="21"/>
        </w:rPr>
        <w:t>支持统计关注业务交易数与金额、挂号数、接诊数等业务数据查询，以及支持图表呈现、数据报表导出。</w:t>
      </w:r>
    </w:p>
    <w:p w14:paraId="72228042">
      <w:pPr>
        <w:pStyle w:val="4"/>
        <w:numPr>
          <w:ilvl w:val="2"/>
          <w:numId w:val="3"/>
        </w:numPr>
        <w:spacing w:before="240" w:after="120"/>
        <w:rPr>
          <w:rFonts w:hAnsi="宋体" w:cs="宋体"/>
          <w:kern w:val="44"/>
          <w:sz w:val="21"/>
          <w:szCs w:val="21"/>
        </w:rPr>
      </w:pPr>
      <w:bookmarkStart w:id="109" w:name="_Toc150537717"/>
      <w:r>
        <w:rPr>
          <w:rFonts w:hAnsi="宋体" w:cs="宋体"/>
          <w:kern w:val="44"/>
          <w:sz w:val="21"/>
          <w:szCs w:val="21"/>
        </w:rPr>
        <w:t>便民服务</w:t>
      </w:r>
      <w:bookmarkEnd w:id="109"/>
    </w:p>
    <w:p w14:paraId="0BEC6003">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病案复印</w:t>
      </w:r>
    </w:p>
    <w:p w14:paraId="76A67F69">
      <w:pPr>
        <w:spacing w:line="360" w:lineRule="auto"/>
        <w:ind w:firstLine="480"/>
        <w:rPr>
          <w:rFonts w:hAnsi="宋体" w:cs="仿宋"/>
          <w:color w:val="000000"/>
          <w:szCs w:val="21"/>
        </w:rPr>
      </w:pPr>
      <w:r>
        <w:rPr>
          <w:rFonts w:hint="eastAsia" w:hAnsi="宋体" w:cs="仿宋"/>
          <w:color w:val="000000"/>
          <w:szCs w:val="21"/>
        </w:rPr>
        <w:t xml:space="preserve">为更好地做好患者服务工作，根据出院患者需要，医务科为出院患者提供病历复印件快递服务： </w:t>
      </w:r>
    </w:p>
    <w:p w14:paraId="1967DAE1">
      <w:pPr>
        <w:pStyle w:val="544"/>
        <w:numPr>
          <w:ilvl w:val="0"/>
          <w:numId w:val="10"/>
        </w:numPr>
        <w:spacing w:line="360" w:lineRule="auto"/>
        <w:rPr>
          <w:rFonts w:ascii="宋体" w:hAnsi="宋体" w:cs="仿宋"/>
          <w:b/>
          <w:bCs/>
          <w:color w:val="000000"/>
          <w:sz w:val="21"/>
          <w:szCs w:val="21"/>
        </w:rPr>
      </w:pPr>
      <w:r>
        <w:rPr>
          <w:rFonts w:hint="eastAsia" w:ascii="宋体" w:hAnsi="宋体" w:cs="仿宋"/>
          <w:b/>
          <w:bCs/>
          <w:color w:val="000000"/>
          <w:sz w:val="21"/>
          <w:szCs w:val="21"/>
        </w:rPr>
        <w:t>病案申请</w:t>
      </w:r>
    </w:p>
    <w:p w14:paraId="0811DC10">
      <w:pPr>
        <w:spacing w:line="360" w:lineRule="auto"/>
        <w:ind w:firstLine="480"/>
        <w:rPr>
          <w:rFonts w:hAnsi="宋体" w:cs="仿宋"/>
          <w:color w:val="000000"/>
          <w:szCs w:val="21"/>
        </w:rPr>
      </w:pPr>
      <w:r>
        <w:rPr>
          <w:rFonts w:hint="eastAsia" w:hAnsi="宋体" w:cs="仿宋"/>
          <w:color w:val="000000"/>
          <w:szCs w:val="21"/>
        </w:rPr>
        <w:t>各科室出院患者有提出需要病历复印件时，可直接在医院微信公众号上申请病历复印；患者可直接手机端填写申请病历复印需要的相关材料及相关快递地址</w:t>
      </w:r>
    </w:p>
    <w:p w14:paraId="089FDFD0">
      <w:pPr>
        <w:pStyle w:val="544"/>
        <w:numPr>
          <w:ilvl w:val="0"/>
          <w:numId w:val="10"/>
        </w:numPr>
        <w:spacing w:line="360" w:lineRule="auto"/>
        <w:rPr>
          <w:rFonts w:ascii="宋体" w:hAnsi="宋体" w:cs="仿宋"/>
          <w:b/>
          <w:bCs/>
          <w:color w:val="000000"/>
          <w:sz w:val="21"/>
          <w:szCs w:val="21"/>
        </w:rPr>
      </w:pPr>
      <w:r>
        <w:rPr>
          <w:rFonts w:hint="eastAsia" w:ascii="宋体" w:hAnsi="宋体" w:cs="仿宋"/>
          <w:b/>
          <w:bCs/>
          <w:color w:val="000000"/>
          <w:sz w:val="21"/>
          <w:szCs w:val="21"/>
        </w:rPr>
        <w:t>申请审核</w:t>
      </w:r>
    </w:p>
    <w:p w14:paraId="6B9EF5B0">
      <w:pPr>
        <w:spacing w:line="360" w:lineRule="auto"/>
        <w:ind w:firstLine="480"/>
        <w:rPr>
          <w:rFonts w:hAnsi="宋体" w:cs="仿宋"/>
          <w:color w:val="000000"/>
          <w:szCs w:val="21"/>
        </w:rPr>
      </w:pPr>
      <w:r>
        <w:rPr>
          <w:rFonts w:hint="eastAsia" w:hAnsi="宋体" w:cs="仿宋"/>
          <w:color w:val="000000"/>
          <w:szCs w:val="21"/>
        </w:rPr>
        <w:t>病案科审核患者基本信息或联系人基本信息 （详细的通讯地址、 邮政编码、联系电话等）</w:t>
      </w:r>
    </w:p>
    <w:p w14:paraId="69DF4B84">
      <w:pPr>
        <w:pStyle w:val="544"/>
        <w:numPr>
          <w:ilvl w:val="0"/>
          <w:numId w:val="10"/>
        </w:numPr>
        <w:spacing w:line="360" w:lineRule="auto"/>
        <w:rPr>
          <w:rFonts w:ascii="宋体" w:hAnsi="宋体" w:cs="仿宋"/>
          <w:b/>
          <w:bCs/>
          <w:color w:val="000000"/>
          <w:sz w:val="21"/>
          <w:szCs w:val="21"/>
        </w:rPr>
      </w:pPr>
      <w:r>
        <w:rPr>
          <w:rFonts w:hint="eastAsia" w:ascii="宋体" w:hAnsi="宋体" w:cs="仿宋"/>
          <w:b/>
          <w:bCs/>
          <w:color w:val="000000"/>
          <w:sz w:val="21"/>
          <w:szCs w:val="21"/>
        </w:rPr>
        <w:t>病案费用</w:t>
      </w:r>
    </w:p>
    <w:p w14:paraId="772BB664">
      <w:pPr>
        <w:spacing w:line="360" w:lineRule="auto"/>
        <w:ind w:firstLine="480"/>
        <w:rPr>
          <w:rFonts w:hAnsi="宋体" w:cs="仿宋"/>
          <w:color w:val="000000"/>
          <w:szCs w:val="21"/>
        </w:rPr>
      </w:pPr>
      <w:r>
        <w:rPr>
          <w:rFonts w:hint="eastAsia" w:hAnsi="宋体" w:cs="仿宋"/>
          <w:color w:val="000000"/>
          <w:szCs w:val="21"/>
        </w:rPr>
        <w:t>病案管理人员待患者出院病历移交至病案室后及时予以复印；复印完成后病案管理人员直接在病历复印快递平台上下单告知快递公司，并将自动生成的快递单号推送给患者</w:t>
      </w:r>
    </w:p>
    <w:p w14:paraId="0A03FAD8">
      <w:pPr>
        <w:spacing w:line="360" w:lineRule="auto"/>
        <w:ind w:firstLine="482"/>
        <w:rPr>
          <w:rFonts w:hAnsi="宋体" w:cs="仿宋"/>
          <w:b/>
          <w:bCs/>
          <w:color w:val="000000"/>
          <w:szCs w:val="21"/>
        </w:rPr>
      </w:pPr>
      <w:r>
        <w:rPr>
          <w:rFonts w:hint="eastAsia" w:hAnsi="宋体" w:cs="仿宋"/>
          <w:b/>
          <w:bCs/>
          <w:color w:val="000000"/>
          <w:szCs w:val="21"/>
        </w:rPr>
        <w:t>（4）病案快递</w:t>
      </w:r>
    </w:p>
    <w:p w14:paraId="69A91D88">
      <w:pPr>
        <w:numPr>
          <w:ilvl w:val="2"/>
          <w:numId w:val="3"/>
        </w:numPr>
        <w:spacing w:before="240" w:after="120"/>
        <w:ind w:left="1418" w:firstLine="480"/>
        <w:rPr>
          <w:rFonts w:hAnsi="宋体" w:cs="仿宋"/>
          <w:color w:val="000000"/>
          <w:szCs w:val="21"/>
        </w:rPr>
      </w:pPr>
      <w:r>
        <w:rPr>
          <w:rFonts w:hint="eastAsia" w:hAnsi="宋体" w:cs="仿宋"/>
          <w:color w:val="000000"/>
          <w:szCs w:val="21"/>
        </w:rPr>
        <w:t>病案复印完成后，快递公司按照下单通知及时到医院收件；1同时，患者可在手机端查询快递信息并进行病历复印费支付。</w:t>
      </w:r>
      <w:bookmarkStart w:id="110" w:name="_Toc150537718"/>
    </w:p>
    <w:p w14:paraId="61709104">
      <w:pPr>
        <w:pStyle w:val="4"/>
        <w:numPr>
          <w:ilvl w:val="2"/>
          <w:numId w:val="3"/>
        </w:numPr>
        <w:spacing w:before="240" w:after="120"/>
        <w:rPr>
          <w:rFonts w:hAnsi="宋体" w:cs="宋体"/>
          <w:kern w:val="44"/>
          <w:sz w:val="21"/>
          <w:szCs w:val="21"/>
        </w:rPr>
      </w:pPr>
      <w:r>
        <w:rPr>
          <w:rFonts w:hAnsi="宋体" w:cs="宋体"/>
          <w:kern w:val="44"/>
          <w:sz w:val="21"/>
          <w:szCs w:val="21"/>
        </w:rPr>
        <w:t>对账管理平台</w:t>
      </w:r>
      <w:bookmarkEnd w:id="110"/>
    </w:p>
    <w:p w14:paraId="129CFB52">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对账总览</w:t>
      </w:r>
    </w:p>
    <w:p w14:paraId="1A91B648">
      <w:pPr>
        <w:spacing w:line="360" w:lineRule="auto"/>
        <w:ind w:firstLine="480"/>
        <w:rPr>
          <w:rFonts w:hAnsi="宋体" w:cs="仿宋"/>
          <w:szCs w:val="21"/>
        </w:rPr>
      </w:pPr>
      <w:r>
        <w:rPr>
          <w:rFonts w:hint="eastAsia" w:hAnsi="宋体" w:cs="仿宋"/>
          <w:szCs w:val="21"/>
        </w:rPr>
        <w:t>医院工作人员可基于管理端</w:t>
      </w:r>
    </w:p>
    <w:p w14:paraId="4E881995">
      <w:pPr>
        <w:spacing w:line="360" w:lineRule="auto"/>
        <w:ind w:firstLine="480"/>
        <w:rPr>
          <w:rFonts w:hAnsi="宋体" w:cs="仿宋"/>
          <w:color w:val="000000"/>
          <w:szCs w:val="21"/>
        </w:rPr>
      </w:pPr>
      <w:r>
        <w:rPr>
          <w:rFonts w:hint="eastAsia" w:hAnsi="宋体" w:cs="仿宋"/>
          <w:color w:val="000000"/>
          <w:szCs w:val="21"/>
        </w:rPr>
        <w:t>1、可查看各支付方式对账总览</w:t>
      </w:r>
    </w:p>
    <w:p w14:paraId="0C7505AA">
      <w:pPr>
        <w:spacing w:line="360" w:lineRule="auto"/>
        <w:ind w:firstLine="480"/>
        <w:rPr>
          <w:rFonts w:hAnsi="宋体" w:cs="仿宋"/>
          <w:color w:val="000000"/>
          <w:szCs w:val="21"/>
        </w:rPr>
      </w:pPr>
      <w:r>
        <w:rPr>
          <w:rFonts w:hint="eastAsia" w:hAnsi="宋体" w:cs="仿宋"/>
          <w:color w:val="000000"/>
          <w:szCs w:val="21"/>
        </w:rPr>
        <w:t>2、可查看各支付方式日结差异；</w:t>
      </w:r>
    </w:p>
    <w:p w14:paraId="371054EC">
      <w:pPr>
        <w:spacing w:line="360" w:lineRule="auto"/>
        <w:ind w:firstLine="480"/>
        <w:rPr>
          <w:rFonts w:hAnsi="宋体" w:cs="仿宋"/>
          <w:szCs w:val="21"/>
        </w:rPr>
      </w:pPr>
      <w:r>
        <w:rPr>
          <w:rFonts w:hint="eastAsia" w:hAnsi="宋体" w:cs="仿宋"/>
          <w:color w:val="000000"/>
          <w:szCs w:val="21"/>
        </w:rPr>
        <w:t>3、可导出各支付方式对账总览、日结差异excel"</w:t>
      </w:r>
    </w:p>
    <w:p w14:paraId="1156A3E3">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对账明细</w:t>
      </w:r>
    </w:p>
    <w:p w14:paraId="34BAF407">
      <w:pPr>
        <w:spacing w:line="360" w:lineRule="auto"/>
        <w:ind w:firstLine="480"/>
        <w:rPr>
          <w:rFonts w:hAnsi="宋体" w:cs="仿宋"/>
          <w:color w:val="000000"/>
          <w:szCs w:val="21"/>
        </w:rPr>
      </w:pPr>
      <w:r>
        <w:rPr>
          <w:rFonts w:hint="eastAsia" w:hAnsi="宋体" w:cs="仿宋"/>
          <w:color w:val="000000"/>
          <w:szCs w:val="21"/>
        </w:rPr>
        <w:t>1、可对各支付方式对账，并查看对账明细</w:t>
      </w:r>
    </w:p>
    <w:p w14:paraId="61265B64">
      <w:pPr>
        <w:spacing w:line="360" w:lineRule="auto"/>
        <w:ind w:firstLine="480"/>
        <w:rPr>
          <w:rFonts w:hAnsi="宋体" w:cs="仿宋"/>
          <w:color w:val="000000"/>
          <w:szCs w:val="21"/>
        </w:rPr>
      </w:pPr>
      <w:r>
        <w:rPr>
          <w:rFonts w:hint="eastAsia" w:hAnsi="宋体" w:cs="仿宋"/>
          <w:color w:val="000000"/>
          <w:szCs w:val="21"/>
        </w:rPr>
        <w:t>2、可对待处理的差异订单处理；"</w:t>
      </w:r>
    </w:p>
    <w:p w14:paraId="72306A07">
      <w:pPr>
        <w:spacing w:line="360" w:lineRule="auto"/>
        <w:ind w:firstLine="480"/>
        <w:rPr>
          <w:rFonts w:hAnsi="宋体" w:cs="仿宋"/>
          <w:szCs w:val="21"/>
        </w:rPr>
      </w:pPr>
      <w:r>
        <w:rPr>
          <w:rFonts w:hint="eastAsia" w:hAnsi="宋体" w:cs="仿宋"/>
          <w:color w:val="000000"/>
          <w:szCs w:val="21"/>
        </w:rPr>
        <w:t>已处理订单：可查看已处理的订单及订单明细</w:t>
      </w:r>
    </w:p>
    <w:p w14:paraId="39657C48">
      <w:pPr>
        <w:pStyle w:val="6"/>
        <w:numPr>
          <w:ilvl w:val="4"/>
          <w:numId w:val="3"/>
        </w:numPr>
        <w:spacing w:before="167"/>
        <w:rPr>
          <w:rFonts w:ascii="宋体" w:hAnsi="宋体" w:eastAsia="宋体"/>
          <w:b/>
          <w:kern w:val="44"/>
          <w:sz w:val="21"/>
          <w:szCs w:val="21"/>
        </w:rPr>
      </w:pPr>
      <w:r>
        <w:rPr>
          <w:rFonts w:hint="eastAsia" w:ascii="宋体" w:hAnsi="宋体" w:eastAsia="宋体"/>
          <w:b/>
          <w:kern w:val="44"/>
          <w:sz w:val="21"/>
          <w:szCs w:val="21"/>
        </w:rPr>
        <w:t>订单查询</w:t>
      </w:r>
    </w:p>
    <w:p w14:paraId="6D284D61">
      <w:pPr>
        <w:spacing w:line="360" w:lineRule="auto"/>
        <w:ind w:firstLine="480"/>
        <w:rPr>
          <w:rFonts w:hAnsi="宋体" w:cs="仿宋"/>
          <w:color w:val="000000"/>
          <w:szCs w:val="21"/>
        </w:rPr>
      </w:pPr>
      <w:r>
        <w:rPr>
          <w:rFonts w:hint="eastAsia" w:hAnsi="宋体" w:cs="仿宋"/>
          <w:color w:val="000000"/>
          <w:szCs w:val="21"/>
        </w:rPr>
        <w:t>可根据支付方式、订单号查询订单及订单明细</w:t>
      </w:r>
    </w:p>
    <w:p w14:paraId="2D92F4DB">
      <w:pPr>
        <w:pStyle w:val="4"/>
        <w:numPr>
          <w:ilvl w:val="2"/>
          <w:numId w:val="3"/>
        </w:numPr>
        <w:spacing w:before="240" w:after="120"/>
        <w:rPr>
          <w:rFonts w:hAnsi="宋体" w:cs="宋体"/>
          <w:kern w:val="44"/>
          <w:sz w:val="21"/>
          <w:szCs w:val="21"/>
        </w:rPr>
      </w:pPr>
      <w:bookmarkStart w:id="111" w:name="_Toc150537719"/>
      <w:r>
        <w:rPr>
          <w:rFonts w:hAnsi="宋体" w:cs="宋体"/>
          <w:kern w:val="44"/>
          <w:sz w:val="21"/>
          <w:szCs w:val="21"/>
        </w:rPr>
        <w:t>管理后台</w:t>
      </w:r>
      <w:bookmarkEnd w:id="111"/>
    </w:p>
    <w:p w14:paraId="419B1895">
      <w:pPr>
        <w:spacing w:line="360" w:lineRule="auto"/>
        <w:ind w:firstLine="480"/>
        <w:rPr>
          <w:rFonts w:hAnsi="宋体" w:cs="仿宋"/>
          <w:color w:val="000000"/>
          <w:szCs w:val="21"/>
        </w:rPr>
      </w:pPr>
      <w:r>
        <w:rPr>
          <w:rFonts w:hint="eastAsia" w:hAnsi="宋体" w:cs="仿宋"/>
          <w:color w:val="000000"/>
          <w:szCs w:val="21"/>
        </w:rPr>
        <w:t>提供组织架构、人员基础信息API连接、权限控制、安全管理等基础服务。</w:t>
      </w:r>
    </w:p>
    <w:p w14:paraId="5D16F0B8">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1.1.10.1.1院区设置</w:t>
      </w:r>
    </w:p>
    <w:p w14:paraId="170A95E3">
      <w:pPr>
        <w:pStyle w:val="71"/>
        <w:spacing w:before="167"/>
        <w:rPr>
          <w:rFonts w:ascii="宋体" w:hAnsi="宋体" w:cs="仿宋"/>
          <w:szCs w:val="21"/>
        </w:rPr>
      </w:pPr>
      <w:r>
        <w:rPr>
          <w:rFonts w:hint="eastAsia" w:ascii="宋体" w:hAnsi="宋体" w:cs="仿宋"/>
          <w:szCs w:val="21"/>
        </w:rPr>
        <w:t>可以添加、编辑、删除院区及院区信息</w:t>
      </w:r>
    </w:p>
    <w:p w14:paraId="6A4DF7FE">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1.1.10.1.2用户管理</w:t>
      </w:r>
    </w:p>
    <w:p w14:paraId="55C15734">
      <w:pPr>
        <w:pStyle w:val="71"/>
        <w:spacing w:before="167"/>
        <w:rPr>
          <w:rFonts w:ascii="宋体" w:hAnsi="宋体" w:cs="仿宋"/>
          <w:szCs w:val="21"/>
        </w:rPr>
      </w:pPr>
      <w:r>
        <w:rPr>
          <w:rFonts w:hint="eastAsia" w:ascii="宋体" w:hAnsi="宋体" w:cs="仿宋"/>
          <w:szCs w:val="21"/>
        </w:rPr>
        <w:t>可以添加、编辑、删除用户及用户所属角色</w:t>
      </w:r>
    </w:p>
    <w:p w14:paraId="4E5AA7FA">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1.1.10.1.3角色管理</w:t>
      </w:r>
    </w:p>
    <w:p w14:paraId="0BD6E052">
      <w:pPr>
        <w:pStyle w:val="71"/>
        <w:spacing w:before="167"/>
        <w:rPr>
          <w:rFonts w:ascii="宋体" w:hAnsi="宋体" w:cs="仿宋"/>
          <w:szCs w:val="21"/>
        </w:rPr>
      </w:pPr>
      <w:r>
        <w:rPr>
          <w:rFonts w:hint="eastAsia" w:ascii="宋体" w:hAnsi="宋体" w:cs="仿宋"/>
          <w:szCs w:val="21"/>
        </w:rPr>
        <w:t>可以添加、编辑、删除角色以及设置角色权限</w:t>
      </w:r>
    </w:p>
    <w:p w14:paraId="3BAF33FC">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1.1.10.1.4消息管理</w:t>
      </w:r>
    </w:p>
    <w:p w14:paraId="709D721D">
      <w:pPr>
        <w:pStyle w:val="71"/>
        <w:numPr>
          <w:ilvl w:val="0"/>
          <w:numId w:val="11"/>
        </w:numPr>
        <w:spacing w:before="167"/>
        <w:ind w:left="420" w:leftChars="200" w:firstLine="0"/>
        <w:jc w:val="left"/>
        <w:rPr>
          <w:rFonts w:ascii="宋体" w:hAnsi="宋体" w:cs="仿宋"/>
          <w:szCs w:val="21"/>
        </w:rPr>
      </w:pPr>
      <w:r>
        <w:rPr>
          <w:rFonts w:hint="eastAsia" w:ascii="宋体" w:hAnsi="宋体" w:cs="仿宋"/>
          <w:szCs w:val="21"/>
        </w:rPr>
        <w:t>支持向微信公众平台发送单图文消息，发送的图文消息自动添加至健康资讯中；</w:t>
      </w:r>
    </w:p>
    <w:p w14:paraId="6AFB2C2C">
      <w:pPr>
        <w:pStyle w:val="71"/>
        <w:numPr>
          <w:ilvl w:val="0"/>
          <w:numId w:val="11"/>
        </w:numPr>
        <w:spacing w:before="167"/>
        <w:ind w:left="420" w:leftChars="200" w:firstLine="0"/>
        <w:jc w:val="left"/>
        <w:rPr>
          <w:rFonts w:ascii="宋体" w:hAnsi="宋体" w:cs="仿宋"/>
          <w:szCs w:val="21"/>
        </w:rPr>
      </w:pPr>
      <w:r>
        <w:rPr>
          <w:rFonts w:hint="eastAsia" w:ascii="宋体" w:hAnsi="宋体" w:cs="仿宋"/>
          <w:szCs w:val="21"/>
        </w:rPr>
        <w:t>2、支持向微信公众平台发送多图文消息，发送的图文消息可自动添加至健康资讯中；</w:t>
      </w:r>
    </w:p>
    <w:p w14:paraId="4F525F7E">
      <w:pPr>
        <w:pStyle w:val="71"/>
        <w:numPr>
          <w:ilvl w:val="0"/>
          <w:numId w:val="11"/>
        </w:numPr>
        <w:spacing w:before="167"/>
        <w:ind w:left="420" w:leftChars="200" w:firstLine="0"/>
        <w:jc w:val="left"/>
        <w:rPr>
          <w:rFonts w:ascii="宋体" w:hAnsi="宋体" w:cs="仿宋"/>
          <w:szCs w:val="21"/>
        </w:rPr>
      </w:pPr>
      <w:r>
        <w:rPr>
          <w:rFonts w:hint="eastAsia" w:ascii="宋体" w:hAnsi="宋体" w:cs="仿宋"/>
          <w:szCs w:val="21"/>
        </w:rPr>
        <w:t>3、支持查看微信公众号/支付宝生活号向用户发送的消息记录及详情；</w:t>
      </w:r>
    </w:p>
    <w:p w14:paraId="7767BFFD">
      <w:pPr>
        <w:pStyle w:val="71"/>
        <w:numPr>
          <w:ilvl w:val="0"/>
          <w:numId w:val="11"/>
        </w:numPr>
        <w:spacing w:before="167"/>
        <w:ind w:left="420" w:leftChars="200" w:firstLine="0"/>
        <w:jc w:val="left"/>
        <w:rPr>
          <w:rFonts w:ascii="宋体" w:hAnsi="宋体" w:cs="仿宋"/>
          <w:szCs w:val="21"/>
        </w:rPr>
      </w:pPr>
      <w:r>
        <w:rPr>
          <w:rFonts w:hint="eastAsia" w:ascii="宋体" w:hAnsi="宋体" w:cs="仿宋"/>
          <w:szCs w:val="21"/>
        </w:rPr>
        <w:t>4、支持查看已发送的短信内容；</w:t>
      </w:r>
    </w:p>
    <w:p w14:paraId="7A76CEEC">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1.1.10.1.5健康卡管理</w:t>
      </w:r>
    </w:p>
    <w:p w14:paraId="420B9AF1">
      <w:pPr>
        <w:pStyle w:val="71"/>
        <w:numPr>
          <w:ilvl w:val="0"/>
          <w:numId w:val="12"/>
        </w:numPr>
        <w:spacing w:before="167"/>
        <w:ind w:left="420" w:leftChars="200" w:firstLine="0"/>
        <w:rPr>
          <w:rFonts w:ascii="宋体" w:hAnsi="宋体" w:cs="仿宋"/>
          <w:szCs w:val="21"/>
        </w:rPr>
      </w:pPr>
      <w:r>
        <w:rPr>
          <w:rFonts w:hint="eastAsia" w:ascii="宋体" w:hAnsi="宋体" w:cs="仿宋"/>
          <w:szCs w:val="21"/>
        </w:rPr>
        <w:t>支持查看患者的绑卡记录详情；</w:t>
      </w:r>
    </w:p>
    <w:p w14:paraId="7ACEB460">
      <w:pPr>
        <w:pStyle w:val="71"/>
        <w:numPr>
          <w:ilvl w:val="0"/>
          <w:numId w:val="12"/>
        </w:numPr>
        <w:spacing w:before="167"/>
        <w:ind w:left="420" w:leftChars="200" w:firstLine="0"/>
        <w:rPr>
          <w:rFonts w:ascii="宋体" w:hAnsi="宋体" w:cs="仿宋"/>
          <w:szCs w:val="21"/>
        </w:rPr>
      </w:pPr>
      <w:r>
        <w:rPr>
          <w:rFonts w:hint="eastAsia" w:ascii="宋体" w:hAnsi="宋体" w:cs="仿宋"/>
          <w:szCs w:val="21"/>
        </w:rPr>
        <w:t>2、支持将对应健康卡拉黑；</w:t>
      </w:r>
    </w:p>
    <w:p w14:paraId="6DA6EFF0">
      <w:pPr>
        <w:pStyle w:val="71"/>
        <w:numPr>
          <w:ilvl w:val="0"/>
          <w:numId w:val="12"/>
        </w:numPr>
        <w:spacing w:before="167"/>
        <w:ind w:left="420" w:leftChars="200" w:firstLine="0"/>
        <w:rPr>
          <w:rFonts w:ascii="宋体" w:hAnsi="宋体" w:cs="仿宋"/>
          <w:szCs w:val="21"/>
        </w:rPr>
      </w:pPr>
      <w:r>
        <w:rPr>
          <w:rFonts w:hint="eastAsia" w:ascii="宋体" w:hAnsi="宋体" w:cs="仿宋"/>
          <w:szCs w:val="21"/>
        </w:rPr>
        <w:t>3、支持重置对应健康卡隐私保护密码；</w:t>
      </w:r>
    </w:p>
    <w:p w14:paraId="46978896">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1.1.10.1.6黑名单管理</w:t>
      </w:r>
    </w:p>
    <w:p w14:paraId="523E5D97">
      <w:pPr>
        <w:pStyle w:val="71"/>
        <w:spacing w:before="167"/>
        <w:ind w:left="420" w:leftChars="200" w:firstLine="0"/>
        <w:rPr>
          <w:rFonts w:hint="eastAsia" w:ascii="宋体" w:hAnsi="宋体" w:eastAsia="宋体" w:cs="仿宋"/>
          <w:szCs w:val="21"/>
          <w:lang w:eastAsia="zh-CN"/>
        </w:rPr>
      </w:pPr>
      <w:r>
        <w:rPr>
          <w:rFonts w:hint="eastAsia" w:ascii="宋体" w:hAnsi="宋体" w:cs="仿宋"/>
          <w:szCs w:val="21"/>
        </w:rPr>
        <w:t>1、支持设置黑名单规则，符合规则的人员将被自动拉黑；</w:t>
      </w:r>
    </w:p>
    <w:p w14:paraId="6FFE0244">
      <w:pPr>
        <w:pStyle w:val="71"/>
        <w:spacing w:before="167"/>
        <w:ind w:left="420" w:leftChars="200" w:firstLine="0"/>
        <w:rPr>
          <w:rFonts w:hint="eastAsia" w:ascii="宋体" w:hAnsi="宋体" w:eastAsia="宋体" w:cs="仿宋"/>
          <w:szCs w:val="21"/>
          <w:lang w:eastAsia="zh-CN"/>
        </w:rPr>
      </w:pPr>
      <w:r>
        <w:rPr>
          <w:rFonts w:hint="eastAsia" w:ascii="宋体" w:hAnsi="宋体" w:cs="仿宋"/>
          <w:szCs w:val="21"/>
        </w:rPr>
        <w:t>2、支持查看已进入黑名单中的人员，并可移除黑名单；</w:t>
      </w:r>
    </w:p>
    <w:p w14:paraId="4CD924E2">
      <w:pPr>
        <w:pStyle w:val="71"/>
        <w:spacing w:before="167"/>
        <w:ind w:left="420" w:leftChars="200" w:firstLine="0"/>
        <w:rPr>
          <w:rFonts w:ascii="宋体" w:hAnsi="宋体" w:cs="仿宋"/>
          <w:szCs w:val="21"/>
        </w:rPr>
      </w:pPr>
      <w:r>
        <w:rPr>
          <w:rFonts w:hint="eastAsia" w:ascii="宋体" w:hAnsi="宋体" w:cs="仿宋"/>
          <w:szCs w:val="21"/>
        </w:rPr>
        <w:t>3、支持按条件查找分析可疑挂号人员，并支持将对应可疑人员拉黑；</w:t>
      </w:r>
    </w:p>
    <w:p w14:paraId="445AC927">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1.1.10.17二维码管理</w:t>
      </w:r>
    </w:p>
    <w:p w14:paraId="57E42AE9">
      <w:pPr>
        <w:pStyle w:val="71"/>
        <w:spacing w:before="167"/>
        <w:ind w:left="420" w:leftChars="200" w:firstLine="0"/>
        <w:rPr>
          <w:rFonts w:hint="eastAsia" w:ascii="宋体" w:hAnsi="宋体" w:eastAsia="宋体" w:cs="仿宋"/>
          <w:szCs w:val="21"/>
          <w:lang w:eastAsia="zh-CN"/>
        </w:rPr>
      </w:pPr>
      <w:r>
        <w:rPr>
          <w:rFonts w:hint="eastAsia" w:ascii="宋体" w:hAnsi="宋体" w:cs="仿宋"/>
          <w:szCs w:val="21"/>
        </w:rPr>
        <w:t>1、支持查看下载医生二维码；</w:t>
      </w:r>
    </w:p>
    <w:p w14:paraId="0B62F38E">
      <w:pPr>
        <w:pStyle w:val="71"/>
        <w:spacing w:before="167"/>
        <w:ind w:left="420" w:leftChars="200" w:firstLine="0"/>
        <w:rPr>
          <w:rFonts w:ascii="宋体" w:hAnsi="宋体" w:cs="仿宋"/>
          <w:szCs w:val="21"/>
        </w:rPr>
      </w:pPr>
      <w:r>
        <w:rPr>
          <w:rFonts w:hint="eastAsia" w:ascii="宋体" w:hAnsi="宋体" w:cs="仿宋"/>
          <w:szCs w:val="21"/>
        </w:rPr>
        <w:t>2、支持查看下载预约挂号、诊间缴费、检验检查报告等场景二维码；</w:t>
      </w:r>
    </w:p>
    <w:p w14:paraId="6182F3E7">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1.1.10.18订单管理</w:t>
      </w:r>
    </w:p>
    <w:p w14:paraId="5627A413">
      <w:pPr>
        <w:pStyle w:val="71"/>
        <w:spacing w:before="167"/>
        <w:ind w:left="420" w:leftChars="200" w:firstLine="0"/>
        <w:rPr>
          <w:rFonts w:hint="eastAsia" w:ascii="宋体" w:hAnsi="宋体" w:eastAsia="宋体" w:cs="仿宋"/>
          <w:szCs w:val="21"/>
          <w:lang w:eastAsia="zh-CN"/>
        </w:rPr>
      </w:pPr>
      <w:r>
        <w:rPr>
          <w:rFonts w:hint="eastAsia" w:ascii="宋体" w:hAnsi="宋体" w:cs="仿宋"/>
          <w:szCs w:val="21"/>
        </w:rPr>
        <w:t>1、支持按订单号查询订单；</w:t>
      </w:r>
    </w:p>
    <w:p w14:paraId="0A093883">
      <w:pPr>
        <w:pStyle w:val="71"/>
        <w:spacing w:before="167"/>
        <w:ind w:left="420" w:leftChars="200" w:firstLine="0"/>
        <w:rPr>
          <w:rFonts w:hint="eastAsia" w:ascii="宋体" w:hAnsi="宋体" w:eastAsia="宋体" w:cs="仿宋"/>
          <w:szCs w:val="21"/>
          <w:lang w:eastAsia="zh-CN"/>
        </w:rPr>
      </w:pPr>
      <w:r>
        <w:rPr>
          <w:rFonts w:hint="eastAsia" w:ascii="宋体" w:hAnsi="宋体" w:cs="仿宋"/>
          <w:szCs w:val="21"/>
        </w:rPr>
        <w:t>2、支持按条件批量查询订单；</w:t>
      </w:r>
    </w:p>
    <w:p w14:paraId="521E5985">
      <w:pPr>
        <w:pStyle w:val="71"/>
        <w:spacing w:before="167"/>
        <w:ind w:left="420" w:leftChars="200" w:firstLine="0"/>
        <w:rPr>
          <w:rFonts w:ascii="宋体" w:hAnsi="宋体" w:cs="仿宋"/>
          <w:szCs w:val="21"/>
        </w:rPr>
      </w:pPr>
      <w:r>
        <w:rPr>
          <w:rFonts w:hint="eastAsia" w:ascii="宋体" w:hAnsi="宋体" w:cs="仿宋"/>
          <w:szCs w:val="21"/>
        </w:rPr>
        <w:t>3、支持查看、处理待确认订单；</w:t>
      </w:r>
    </w:p>
    <w:p w14:paraId="39A7CF4F">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1.1.10.19健康资讯管理</w:t>
      </w:r>
    </w:p>
    <w:p w14:paraId="47B3AD07">
      <w:pPr>
        <w:pStyle w:val="71"/>
        <w:spacing w:before="167"/>
        <w:ind w:left="420" w:leftChars="200" w:firstLine="0"/>
        <w:rPr>
          <w:rFonts w:hint="eastAsia" w:ascii="宋体" w:hAnsi="宋体" w:eastAsia="宋体" w:cs="仿宋"/>
          <w:szCs w:val="21"/>
          <w:lang w:eastAsia="zh-CN"/>
        </w:rPr>
      </w:pPr>
      <w:r>
        <w:rPr>
          <w:rFonts w:hint="eastAsia" w:ascii="宋体" w:hAnsi="宋体" w:cs="仿宋"/>
          <w:szCs w:val="21"/>
        </w:rPr>
        <w:t>2、支持设置健康资讯栏目；</w:t>
      </w:r>
    </w:p>
    <w:p w14:paraId="663F5A8C">
      <w:pPr>
        <w:pStyle w:val="71"/>
        <w:spacing w:before="167"/>
        <w:ind w:left="420" w:leftChars="200" w:firstLine="0"/>
        <w:rPr>
          <w:rFonts w:ascii="宋体" w:hAnsi="宋体" w:cs="仿宋"/>
          <w:szCs w:val="21"/>
        </w:rPr>
      </w:pPr>
      <w:r>
        <w:rPr>
          <w:rFonts w:hint="eastAsia" w:ascii="宋体" w:hAnsi="宋体" w:cs="仿宋"/>
          <w:szCs w:val="21"/>
        </w:rPr>
        <w:t>3、支持添加、删除、编辑健康资讯文章；</w:t>
      </w:r>
    </w:p>
    <w:p w14:paraId="67F018EE">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1.1.10.2.0账单管理</w:t>
      </w:r>
    </w:p>
    <w:p w14:paraId="2A599829">
      <w:pPr>
        <w:pStyle w:val="71"/>
        <w:spacing w:before="167"/>
        <w:ind w:left="420" w:leftChars="200" w:firstLine="0"/>
        <w:jc w:val="left"/>
        <w:rPr>
          <w:rFonts w:hint="eastAsia" w:ascii="宋体" w:hAnsi="宋体" w:eastAsia="宋体" w:cs="仿宋"/>
          <w:szCs w:val="21"/>
          <w:lang w:eastAsia="zh-CN"/>
        </w:rPr>
      </w:pPr>
      <w:r>
        <w:rPr>
          <w:rFonts w:hint="eastAsia" w:ascii="宋体" w:hAnsi="宋体" w:cs="仿宋"/>
          <w:szCs w:val="21"/>
        </w:rPr>
        <w:t>1、支持查看、下载微信、支付宝等不同支付方式的账单文件；</w:t>
      </w:r>
    </w:p>
    <w:p w14:paraId="540FCA00">
      <w:pPr>
        <w:pStyle w:val="71"/>
        <w:spacing w:before="167"/>
        <w:ind w:left="420" w:leftChars="200" w:firstLine="0"/>
        <w:jc w:val="left"/>
        <w:rPr>
          <w:rFonts w:hint="eastAsia" w:ascii="宋体" w:hAnsi="宋体" w:eastAsia="宋体" w:cs="仿宋"/>
          <w:szCs w:val="21"/>
          <w:lang w:eastAsia="zh-CN"/>
        </w:rPr>
      </w:pPr>
      <w:r>
        <w:rPr>
          <w:rFonts w:hint="eastAsia" w:ascii="宋体" w:hAnsi="宋体" w:cs="仿宋"/>
          <w:szCs w:val="21"/>
        </w:rPr>
        <w:t>2、支持在线自动对账，并查看总账差异、差异明细及订单明细；</w:t>
      </w:r>
    </w:p>
    <w:p w14:paraId="254EDD00">
      <w:pPr>
        <w:pStyle w:val="71"/>
        <w:spacing w:before="167"/>
        <w:ind w:left="420" w:leftChars="200" w:firstLine="0"/>
        <w:jc w:val="left"/>
        <w:rPr>
          <w:rFonts w:ascii="宋体" w:hAnsi="宋体" w:cs="仿宋"/>
          <w:szCs w:val="21"/>
        </w:rPr>
      </w:pPr>
      <w:r>
        <w:rPr>
          <w:rFonts w:hint="eastAsia" w:ascii="宋体" w:hAnsi="宋体" w:cs="仿宋"/>
          <w:szCs w:val="21"/>
        </w:rPr>
        <w:t>3、支持查看病案复印账单；</w:t>
      </w:r>
    </w:p>
    <w:p w14:paraId="10569232">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1.1.10.2.1病案复印管理</w:t>
      </w:r>
    </w:p>
    <w:p w14:paraId="70FD361F">
      <w:pPr>
        <w:pStyle w:val="71"/>
        <w:spacing w:before="167"/>
        <w:ind w:left="420" w:leftChars="200" w:firstLine="0"/>
        <w:jc w:val="left"/>
        <w:rPr>
          <w:rFonts w:hint="eastAsia" w:ascii="宋体" w:hAnsi="宋体" w:eastAsia="宋体" w:cs="仿宋"/>
          <w:szCs w:val="21"/>
          <w:lang w:eastAsia="zh-CN"/>
        </w:rPr>
      </w:pPr>
      <w:r>
        <w:rPr>
          <w:rFonts w:hint="eastAsia" w:ascii="宋体" w:hAnsi="宋体" w:cs="仿宋"/>
          <w:szCs w:val="21"/>
        </w:rPr>
        <w:t>1、支持查看已申请待审核的病案复印订单，并可进行审核；</w:t>
      </w:r>
    </w:p>
    <w:p w14:paraId="0F9AA38F">
      <w:pPr>
        <w:pStyle w:val="71"/>
        <w:spacing w:before="167"/>
        <w:ind w:left="420" w:leftChars="200" w:firstLine="0"/>
        <w:jc w:val="left"/>
        <w:rPr>
          <w:rFonts w:hint="eastAsia" w:ascii="宋体" w:hAnsi="宋体" w:eastAsia="宋体" w:cs="仿宋"/>
          <w:szCs w:val="21"/>
          <w:lang w:eastAsia="zh-CN"/>
        </w:rPr>
      </w:pPr>
      <w:r>
        <w:rPr>
          <w:rFonts w:hint="eastAsia" w:ascii="宋体" w:hAnsi="宋体" w:cs="仿宋"/>
          <w:szCs w:val="21"/>
        </w:rPr>
        <w:t>2、支持查看待复印的病案复印申请单，并可补收、确认或退还部分复印费；</w:t>
      </w:r>
    </w:p>
    <w:p w14:paraId="0FB460B4">
      <w:pPr>
        <w:pStyle w:val="71"/>
        <w:spacing w:before="167"/>
        <w:ind w:left="420" w:leftChars="200" w:firstLine="0"/>
        <w:jc w:val="left"/>
        <w:rPr>
          <w:rFonts w:hint="eastAsia" w:ascii="宋体" w:hAnsi="宋体" w:eastAsia="宋体" w:cs="仿宋"/>
          <w:szCs w:val="21"/>
          <w:lang w:eastAsia="zh-CN"/>
        </w:rPr>
      </w:pPr>
      <w:r>
        <w:rPr>
          <w:rFonts w:hint="eastAsia" w:ascii="宋体" w:hAnsi="宋体" w:cs="仿宋"/>
          <w:szCs w:val="21"/>
        </w:rPr>
        <w:t>3、支持对接顺丰、EMS自动打印快递面单投递；</w:t>
      </w:r>
    </w:p>
    <w:p w14:paraId="4356E6D8">
      <w:pPr>
        <w:pStyle w:val="71"/>
        <w:spacing w:before="167"/>
        <w:ind w:left="420" w:leftChars="200" w:firstLine="0"/>
        <w:jc w:val="left"/>
        <w:rPr>
          <w:rFonts w:hint="eastAsia" w:ascii="宋体" w:hAnsi="宋体" w:eastAsia="宋体" w:cs="仿宋"/>
          <w:szCs w:val="21"/>
          <w:lang w:eastAsia="zh-CN"/>
        </w:rPr>
      </w:pPr>
      <w:r>
        <w:rPr>
          <w:rFonts w:hint="eastAsia" w:ascii="宋体" w:hAnsi="宋体" w:cs="仿宋"/>
          <w:szCs w:val="21"/>
        </w:rPr>
        <w:t>4、支持查看患者收件情况及物流明细；</w:t>
      </w:r>
    </w:p>
    <w:p w14:paraId="0B061C4F">
      <w:pPr>
        <w:pStyle w:val="71"/>
        <w:spacing w:before="167"/>
        <w:ind w:left="420" w:leftChars="200" w:firstLine="0"/>
        <w:jc w:val="left"/>
        <w:rPr>
          <w:rFonts w:ascii="宋体" w:hAnsi="宋体" w:cs="仿宋"/>
          <w:szCs w:val="21"/>
        </w:rPr>
      </w:pPr>
      <w:r>
        <w:rPr>
          <w:rFonts w:hint="eastAsia" w:ascii="宋体" w:hAnsi="宋体" w:cs="仿宋"/>
          <w:szCs w:val="21"/>
        </w:rPr>
        <w:t>5、支持查看全部的病案复印申请单及明细；</w:t>
      </w:r>
    </w:p>
    <w:p w14:paraId="092F0A79">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1.1.10.2.2药品配送管理</w:t>
      </w:r>
    </w:p>
    <w:p w14:paraId="5504F72D">
      <w:pPr>
        <w:pStyle w:val="71"/>
        <w:spacing w:before="167"/>
        <w:ind w:left="420" w:leftChars="200" w:firstLine="0"/>
        <w:jc w:val="left"/>
        <w:rPr>
          <w:rFonts w:hint="eastAsia" w:ascii="宋体" w:hAnsi="宋体" w:eastAsia="宋体" w:cs="仿宋"/>
          <w:szCs w:val="21"/>
          <w:lang w:eastAsia="zh-CN"/>
        </w:rPr>
      </w:pPr>
      <w:r>
        <w:rPr>
          <w:rFonts w:hint="eastAsia" w:ascii="宋体" w:hAnsi="宋体" w:cs="仿宋"/>
          <w:szCs w:val="21"/>
        </w:rPr>
        <w:t>1、支持查看待打印快递面单的药品配送申请单，并可打印快递面单，并投递；</w:t>
      </w:r>
    </w:p>
    <w:p w14:paraId="558F4995">
      <w:pPr>
        <w:pStyle w:val="71"/>
        <w:spacing w:before="167"/>
        <w:ind w:left="420" w:leftChars="200" w:firstLine="0"/>
        <w:jc w:val="left"/>
        <w:rPr>
          <w:rFonts w:ascii="宋体" w:hAnsi="宋体" w:cs="仿宋"/>
          <w:szCs w:val="21"/>
        </w:rPr>
      </w:pPr>
      <w:r>
        <w:rPr>
          <w:rFonts w:hint="eastAsia" w:ascii="宋体" w:hAnsi="宋体" w:cs="仿宋"/>
          <w:szCs w:val="21"/>
        </w:rPr>
        <w:t>2、支持查看全部的药品配送申请单及明细；</w:t>
      </w:r>
    </w:p>
    <w:p w14:paraId="18544F68">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1.1.10.2.3挂号管理</w:t>
      </w:r>
    </w:p>
    <w:p w14:paraId="2BC2847F">
      <w:pPr>
        <w:pStyle w:val="71"/>
        <w:spacing w:before="167"/>
        <w:ind w:left="420" w:leftChars="200" w:firstLine="0"/>
        <w:jc w:val="left"/>
        <w:rPr>
          <w:rFonts w:ascii="宋体" w:hAnsi="宋体" w:cs="仿宋"/>
          <w:szCs w:val="21"/>
        </w:rPr>
      </w:pPr>
      <w:r>
        <w:rPr>
          <w:rFonts w:hint="eastAsia" w:ascii="宋体" w:hAnsi="宋体" w:cs="仿宋"/>
          <w:szCs w:val="21"/>
        </w:rPr>
        <w:t>1、支持查询挂号记录，并可导出挂号记录列表</w:t>
      </w:r>
    </w:p>
    <w:p w14:paraId="67B9A323">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1.1.10.2.4流行病调查管理</w:t>
      </w:r>
    </w:p>
    <w:p w14:paraId="29D55445">
      <w:pPr>
        <w:pStyle w:val="71"/>
        <w:spacing w:before="167"/>
        <w:ind w:left="420" w:leftChars="200" w:firstLine="0"/>
        <w:jc w:val="left"/>
        <w:rPr>
          <w:rFonts w:hint="eastAsia" w:ascii="宋体" w:hAnsi="宋体" w:eastAsia="宋体" w:cs="仿宋"/>
          <w:szCs w:val="21"/>
          <w:lang w:eastAsia="zh-CN"/>
        </w:rPr>
      </w:pPr>
      <w:r>
        <w:rPr>
          <w:rFonts w:hint="eastAsia" w:ascii="宋体" w:hAnsi="宋体" w:cs="仿宋"/>
          <w:szCs w:val="21"/>
        </w:rPr>
        <w:t>1、支持设置流行病调查页面文案提示；</w:t>
      </w:r>
    </w:p>
    <w:p w14:paraId="1D82FC22">
      <w:pPr>
        <w:pStyle w:val="71"/>
        <w:spacing w:before="167"/>
        <w:ind w:left="420" w:leftChars="200" w:firstLine="0"/>
        <w:jc w:val="left"/>
        <w:rPr>
          <w:rFonts w:hint="eastAsia" w:ascii="宋体" w:hAnsi="宋体" w:eastAsia="宋体" w:cs="仿宋"/>
          <w:szCs w:val="21"/>
          <w:lang w:eastAsia="zh-CN"/>
        </w:rPr>
      </w:pPr>
      <w:r>
        <w:rPr>
          <w:rFonts w:hint="eastAsia" w:ascii="宋体" w:hAnsi="宋体" w:cs="仿宋"/>
          <w:szCs w:val="21"/>
        </w:rPr>
        <w:t>2、支持设置流行病调查基本信息、接触史、临床症状内容项，内容项包括填空题、单选题、多选题；</w:t>
      </w:r>
    </w:p>
    <w:p w14:paraId="3B19D0CC">
      <w:pPr>
        <w:pStyle w:val="71"/>
        <w:spacing w:before="167"/>
        <w:ind w:left="420" w:leftChars="200" w:firstLine="0"/>
        <w:jc w:val="left"/>
        <w:rPr>
          <w:rFonts w:ascii="宋体" w:hAnsi="宋体" w:cs="仿宋"/>
          <w:szCs w:val="21"/>
        </w:rPr>
      </w:pPr>
      <w:r>
        <w:rPr>
          <w:rFonts w:hint="eastAsia" w:ascii="宋体" w:hAnsi="宋体" w:cs="仿宋"/>
          <w:szCs w:val="21"/>
        </w:rPr>
        <w:t>3、支持查看用户已提交的流行病调查填写内容；</w:t>
      </w:r>
    </w:p>
    <w:p w14:paraId="543A970E">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1.1.10.2.6住院指南</w:t>
      </w:r>
    </w:p>
    <w:p w14:paraId="12FBB644">
      <w:pPr>
        <w:pStyle w:val="71"/>
        <w:spacing w:before="167"/>
        <w:ind w:left="420" w:leftChars="200" w:firstLine="0"/>
        <w:jc w:val="left"/>
        <w:rPr>
          <w:rFonts w:ascii="宋体" w:hAnsi="宋体" w:cs="仿宋"/>
          <w:szCs w:val="21"/>
        </w:rPr>
      </w:pPr>
      <w:r>
        <w:rPr>
          <w:rFonts w:hint="eastAsia" w:ascii="宋体" w:hAnsi="宋体" w:cs="仿宋"/>
          <w:szCs w:val="21"/>
        </w:rPr>
        <w:t>1、支持新增、编辑、删除住院指南图文内容；</w:t>
      </w:r>
    </w:p>
    <w:p w14:paraId="66B00322">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1.1.10.2.8接口入口</w:t>
      </w:r>
    </w:p>
    <w:p w14:paraId="7F906798">
      <w:pPr>
        <w:pStyle w:val="71"/>
        <w:spacing w:before="167"/>
        <w:ind w:left="420" w:leftChars="200" w:firstLine="0"/>
        <w:jc w:val="left"/>
        <w:rPr>
          <w:rFonts w:ascii="宋体" w:hAnsi="宋体" w:cs="仿宋"/>
          <w:szCs w:val="21"/>
        </w:rPr>
      </w:pPr>
      <w:r>
        <w:rPr>
          <w:rFonts w:hint="eastAsia" w:ascii="宋体" w:hAnsi="宋体" w:cs="仿宋"/>
          <w:szCs w:val="21"/>
        </w:rPr>
        <w:t>1、支持设置医院微信公众号、支付宝生活号入口相关信息；</w:t>
      </w:r>
    </w:p>
    <w:p w14:paraId="121599EF">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1.1.10.2.9支付设置</w:t>
      </w:r>
    </w:p>
    <w:p w14:paraId="7C7E5724">
      <w:pPr>
        <w:pStyle w:val="71"/>
        <w:spacing w:before="167"/>
        <w:ind w:left="420" w:leftChars="200" w:firstLine="0"/>
        <w:jc w:val="left"/>
        <w:rPr>
          <w:rFonts w:ascii="宋体" w:hAnsi="宋体" w:cs="仿宋"/>
          <w:szCs w:val="21"/>
        </w:rPr>
      </w:pPr>
      <w:r>
        <w:rPr>
          <w:rFonts w:hint="eastAsia" w:ascii="宋体" w:hAnsi="宋体" w:cs="仿宋"/>
          <w:szCs w:val="21"/>
        </w:rPr>
        <w:t>1、支持设置医院的支付方式，包括但不限于微信支付、支付宝支付等支付方式</w:t>
      </w:r>
    </w:p>
    <w:p w14:paraId="01AD0E68">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1.1.10.3.0消息模板</w:t>
      </w:r>
    </w:p>
    <w:p w14:paraId="00360FFC">
      <w:pPr>
        <w:pStyle w:val="71"/>
        <w:spacing w:before="167"/>
        <w:ind w:left="420" w:leftChars="200" w:firstLine="0"/>
        <w:jc w:val="left"/>
        <w:rPr>
          <w:rFonts w:ascii="宋体" w:hAnsi="宋体" w:cs="仿宋"/>
          <w:szCs w:val="21"/>
        </w:rPr>
      </w:pPr>
      <w:r>
        <w:rPr>
          <w:rFonts w:hint="eastAsia" w:ascii="宋体" w:hAnsi="宋体" w:cs="仿宋"/>
          <w:szCs w:val="21"/>
        </w:rPr>
        <w:t>1、支持设置不同业务模块的推送消息的消息模板格式，包含但不限于挂号消息、诊间支付消息、检验报告提醒消息、在线注册消息等</w:t>
      </w:r>
    </w:p>
    <w:p w14:paraId="2C58D42F">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1.1.10.3.1菜单设置</w:t>
      </w:r>
    </w:p>
    <w:p w14:paraId="586E1750">
      <w:pPr>
        <w:pStyle w:val="71"/>
        <w:spacing w:before="167"/>
        <w:ind w:left="420" w:leftChars="200" w:firstLine="0"/>
        <w:jc w:val="left"/>
        <w:rPr>
          <w:rFonts w:ascii="宋体" w:hAnsi="宋体" w:cs="仿宋"/>
          <w:szCs w:val="21"/>
        </w:rPr>
      </w:pPr>
      <w:r>
        <w:rPr>
          <w:rFonts w:hint="eastAsia" w:ascii="宋体" w:hAnsi="宋体" w:cs="仿宋"/>
          <w:szCs w:val="21"/>
        </w:rPr>
        <w:t>1、支持设置、发布医院微信公众号、支付宝生活号一级菜单、二级菜单</w:t>
      </w:r>
    </w:p>
    <w:p w14:paraId="2820CCFE">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1.1.10.3.2挂号设置</w:t>
      </w:r>
    </w:p>
    <w:p w14:paraId="5CCD2B53">
      <w:pPr>
        <w:pStyle w:val="71"/>
        <w:spacing w:before="167"/>
        <w:ind w:left="420" w:leftChars="200" w:firstLine="0"/>
        <w:jc w:val="left"/>
        <w:rPr>
          <w:rFonts w:hint="eastAsia" w:ascii="宋体" w:hAnsi="宋体" w:eastAsia="宋体" w:cs="仿宋"/>
          <w:szCs w:val="21"/>
          <w:lang w:eastAsia="zh-CN"/>
        </w:rPr>
      </w:pPr>
      <w:r>
        <w:rPr>
          <w:rFonts w:hint="eastAsia" w:ascii="宋体" w:hAnsi="宋体" w:cs="仿宋"/>
          <w:szCs w:val="21"/>
        </w:rPr>
        <w:t>1、支持设置挂号模块不同科室、医生、就诊卡可挂号数量限制；</w:t>
      </w:r>
    </w:p>
    <w:p w14:paraId="01513FA5">
      <w:pPr>
        <w:pStyle w:val="71"/>
        <w:spacing w:before="167"/>
        <w:ind w:left="420" w:leftChars="200" w:firstLine="0"/>
        <w:jc w:val="left"/>
        <w:rPr>
          <w:rFonts w:hint="eastAsia" w:ascii="宋体" w:hAnsi="宋体" w:eastAsia="宋体" w:cs="仿宋"/>
          <w:szCs w:val="21"/>
          <w:lang w:eastAsia="zh-CN"/>
        </w:rPr>
      </w:pPr>
      <w:r>
        <w:rPr>
          <w:rFonts w:hint="eastAsia" w:ascii="宋体" w:hAnsi="宋体" w:cs="仿宋"/>
          <w:szCs w:val="21"/>
        </w:rPr>
        <w:t>2、支持设置挂号模块不同页面提示性文字；</w:t>
      </w:r>
    </w:p>
    <w:p w14:paraId="640EEAD4">
      <w:pPr>
        <w:pStyle w:val="71"/>
        <w:spacing w:before="167"/>
        <w:ind w:left="420" w:leftChars="200" w:firstLine="0"/>
        <w:jc w:val="left"/>
        <w:rPr>
          <w:rFonts w:hint="eastAsia" w:ascii="宋体" w:hAnsi="宋体" w:eastAsia="宋体" w:cs="仿宋"/>
          <w:szCs w:val="21"/>
          <w:lang w:eastAsia="zh-CN"/>
        </w:rPr>
      </w:pPr>
      <w:r>
        <w:rPr>
          <w:rFonts w:hint="eastAsia" w:ascii="宋体" w:hAnsi="宋体" w:cs="仿宋"/>
          <w:szCs w:val="21"/>
        </w:rPr>
        <w:t>3、可以设置挂号模块各子功能的开启与停用；</w:t>
      </w:r>
    </w:p>
    <w:p w14:paraId="5549AD59">
      <w:pPr>
        <w:pStyle w:val="71"/>
        <w:spacing w:before="167"/>
        <w:ind w:left="420" w:leftChars="200" w:firstLine="0"/>
        <w:jc w:val="left"/>
        <w:rPr>
          <w:rFonts w:ascii="宋体" w:hAnsi="宋体" w:cs="仿宋"/>
          <w:szCs w:val="21"/>
        </w:rPr>
      </w:pPr>
      <w:r>
        <w:rPr>
          <w:rFonts w:hint="eastAsia" w:ascii="宋体" w:hAnsi="宋体" w:cs="仿宋"/>
          <w:szCs w:val="21"/>
        </w:rPr>
        <w:t>4、可以设置不同科室挂号须知、挂号限制要求；</w:t>
      </w:r>
    </w:p>
    <w:p w14:paraId="27BB5D44">
      <w:pPr>
        <w:pStyle w:val="71"/>
        <w:spacing w:before="167"/>
        <w:ind w:firstLine="0"/>
        <w:jc w:val="left"/>
        <w:rPr>
          <w:rFonts w:ascii="宋体" w:hAnsi="宋体" w:cs="仿宋"/>
          <w:szCs w:val="21"/>
        </w:rPr>
      </w:pPr>
      <w:r>
        <w:rPr>
          <w:rFonts w:hint="eastAsia" w:ascii="宋体" w:hAnsi="宋体" w:cs="仿宋"/>
          <w:szCs w:val="21"/>
        </w:rPr>
        <w:t xml:space="preserve"> </w:t>
      </w:r>
      <w:r>
        <w:rPr>
          <w:rFonts w:hint="eastAsia" w:ascii="宋体" w:hAnsi="宋体" w:cs="宋体"/>
          <w:b/>
          <w:bCs/>
          <w:kern w:val="44"/>
          <w:sz w:val="21"/>
          <w:szCs w:val="21"/>
        </w:rPr>
        <w:t xml:space="preserve">               </w:t>
      </w:r>
      <w:r>
        <w:rPr>
          <w:rFonts w:hint="eastAsia" w:ascii="宋体" w:hAnsi="宋体" w:cs="宋体"/>
          <w:b/>
          <w:kern w:val="44"/>
          <w:sz w:val="21"/>
          <w:szCs w:val="21"/>
        </w:rPr>
        <w:t>1.1.10.3.3</w:t>
      </w:r>
      <w:r>
        <w:rPr>
          <w:rFonts w:hint="eastAsia" w:ascii="宋体" w:hAnsi="宋体" w:cs="宋体"/>
          <w:b/>
          <w:bCs/>
          <w:kern w:val="44"/>
          <w:sz w:val="21"/>
          <w:szCs w:val="21"/>
        </w:rPr>
        <w:t>业务设置</w:t>
      </w:r>
    </w:p>
    <w:p w14:paraId="31FFEB6D">
      <w:pPr>
        <w:pStyle w:val="71"/>
        <w:spacing w:before="167"/>
        <w:ind w:firstLine="0"/>
        <w:jc w:val="left"/>
        <w:rPr>
          <w:rFonts w:ascii="宋体" w:hAnsi="宋体" w:cs="仿宋"/>
          <w:szCs w:val="21"/>
        </w:rPr>
      </w:pPr>
      <w:r>
        <w:rPr>
          <w:rFonts w:hint="eastAsia" w:ascii="宋体" w:hAnsi="宋体" w:cs="仿宋"/>
          <w:szCs w:val="21"/>
        </w:rPr>
        <w:t>1、可以对门诊、住院、建卡/绑卡等功能模块的功能进行设置</w:t>
      </w:r>
    </w:p>
    <w:p w14:paraId="17E8CE4A">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1.1.10.3.4素材管理</w:t>
      </w:r>
    </w:p>
    <w:p w14:paraId="267E124F">
      <w:pPr>
        <w:pStyle w:val="71"/>
        <w:spacing w:before="167"/>
        <w:ind w:firstLine="0"/>
        <w:jc w:val="left"/>
        <w:rPr>
          <w:rFonts w:hint="eastAsia" w:ascii="宋体" w:hAnsi="宋体" w:eastAsia="宋体" w:cs="仿宋"/>
          <w:szCs w:val="21"/>
          <w:lang w:eastAsia="zh-CN"/>
        </w:rPr>
      </w:pPr>
      <w:r>
        <w:rPr>
          <w:rFonts w:hint="eastAsia" w:ascii="宋体" w:hAnsi="宋体" w:cs="仿宋"/>
          <w:szCs w:val="21"/>
        </w:rPr>
        <w:t>1、可以设置首次关注医院公众号、支付宝生活号的推送消息；</w:t>
      </w:r>
    </w:p>
    <w:p w14:paraId="540494E9">
      <w:pPr>
        <w:pStyle w:val="71"/>
        <w:spacing w:before="167"/>
        <w:ind w:firstLine="0"/>
        <w:jc w:val="left"/>
        <w:rPr>
          <w:rFonts w:hint="eastAsia" w:ascii="宋体" w:hAnsi="宋体" w:eastAsia="宋体" w:cs="仿宋"/>
          <w:szCs w:val="21"/>
          <w:lang w:eastAsia="zh-CN"/>
        </w:rPr>
      </w:pPr>
      <w:r>
        <w:rPr>
          <w:rFonts w:hint="eastAsia" w:ascii="宋体" w:hAnsi="宋体" w:cs="仿宋"/>
          <w:szCs w:val="21"/>
        </w:rPr>
        <w:t>2、可以维护医院简介内容；</w:t>
      </w:r>
    </w:p>
    <w:p w14:paraId="3A803AD9">
      <w:pPr>
        <w:pStyle w:val="71"/>
        <w:spacing w:before="167"/>
        <w:ind w:firstLine="0"/>
        <w:jc w:val="left"/>
        <w:rPr>
          <w:rFonts w:hint="eastAsia" w:ascii="宋体" w:hAnsi="宋体" w:eastAsia="宋体" w:cs="仿宋"/>
          <w:szCs w:val="21"/>
          <w:lang w:eastAsia="zh-CN"/>
        </w:rPr>
      </w:pPr>
      <w:r>
        <w:rPr>
          <w:rFonts w:hint="eastAsia" w:ascii="宋体" w:hAnsi="宋体" w:cs="仿宋"/>
          <w:szCs w:val="21"/>
        </w:rPr>
        <w:t>3、可以维护医生头像、医生简介；</w:t>
      </w:r>
    </w:p>
    <w:p w14:paraId="5CEF6146">
      <w:pPr>
        <w:pStyle w:val="71"/>
        <w:spacing w:before="167"/>
        <w:ind w:firstLine="0"/>
        <w:jc w:val="left"/>
        <w:rPr>
          <w:rFonts w:ascii="宋体" w:hAnsi="宋体" w:cs="仿宋"/>
          <w:szCs w:val="21"/>
        </w:rPr>
      </w:pPr>
      <w:r>
        <w:rPr>
          <w:rFonts w:hint="eastAsia" w:ascii="宋体" w:hAnsi="宋体" w:cs="仿宋"/>
          <w:szCs w:val="21"/>
        </w:rPr>
        <w:t>3、可以维护挂号须知、就诊指引文字提示；</w:t>
      </w:r>
    </w:p>
    <w:p w14:paraId="34DA19D8">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1.1.10.3.5智能导诊设置</w:t>
      </w:r>
    </w:p>
    <w:p w14:paraId="71E16CF6">
      <w:pPr>
        <w:pStyle w:val="71"/>
        <w:spacing w:before="167"/>
        <w:ind w:firstLine="0"/>
        <w:jc w:val="left"/>
        <w:rPr>
          <w:rFonts w:ascii="宋体" w:hAnsi="宋体" w:cs="仿宋"/>
          <w:szCs w:val="21"/>
        </w:rPr>
      </w:pPr>
      <w:r>
        <w:rPr>
          <w:rFonts w:hint="eastAsia" w:ascii="宋体" w:hAnsi="宋体" w:cs="仿宋"/>
          <w:szCs w:val="21"/>
        </w:rPr>
        <w:t>1、可以维护人体图导诊的知识库；</w:t>
      </w:r>
    </w:p>
    <w:p w14:paraId="49AB1C5F">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1.1.10.3.6界面自定义设置</w:t>
      </w:r>
    </w:p>
    <w:p w14:paraId="2F5AC948">
      <w:pPr>
        <w:pStyle w:val="71"/>
        <w:spacing w:before="167"/>
        <w:ind w:firstLine="0"/>
        <w:jc w:val="left"/>
        <w:rPr>
          <w:rFonts w:ascii="宋体" w:hAnsi="宋体" w:cs="仿宋"/>
          <w:szCs w:val="21"/>
        </w:rPr>
      </w:pPr>
      <w:r>
        <w:rPr>
          <w:rFonts w:hint="eastAsia" w:ascii="宋体" w:hAnsi="宋体" w:cs="仿宋"/>
          <w:szCs w:val="21"/>
        </w:rPr>
        <w:t>1、可以维护绑卡建卡、诊间支付、住院等不同模块提示性文字；</w:t>
      </w:r>
    </w:p>
    <w:p w14:paraId="44990C29">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1.1.10.3.7病案复印设置</w:t>
      </w:r>
    </w:p>
    <w:p w14:paraId="723CED10">
      <w:pPr>
        <w:pStyle w:val="71"/>
        <w:spacing w:before="167"/>
        <w:ind w:firstLine="0"/>
        <w:jc w:val="left"/>
        <w:rPr>
          <w:rFonts w:hint="eastAsia" w:ascii="宋体" w:hAnsi="宋体" w:eastAsia="宋体" w:cs="仿宋"/>
          <w:szCs w:val="21"/>
          <w:lang w:eastAsia="zh-CN"/>
        </w:rPr>
      </w:pPr>
      <w:r>
        <w:rPr>
          <w:rFonts w:hint="eastAsia" w:ascii="宋体" w:hAnsi="宋体" w:cs="仿宋"/>
          <w:szCs w:val="21"/>
        </w:rPr>
        <w:t>1、可以设置病案复印领取方式、快递商、费用计算规则等具体功能；</w:t>
      </w:r>
    </w:p>
    <w:p w14:paraId="04231431">
      <w:pPr>
        <w:pStyle w:val="71"/>
        <w:spacing w:before="167"/>
        <w:ind w:firstLine="0"/>
        <w:jc w:val="left"/>
        <w:rPr>
          <w:rFonts w:ascii="宋体" w:hAnsi="宋体" w:cs="仿宋"/>
          <w:szCs w:val="21"/>
        </w:rPr>
      </w:pPr>
      <w:r>
        <w:rPr>
          <w:rFonts w:hint="eastAsia" w:ascii="宋体" w:hAnsi="宋体" w:cs="仿宋"/>
          <w:szCs w:val="21"/>
        </w:rPr>
        <w:t>2、可以维护项目与用途对应关系；</w:t>
      </w:r>
    </w:p>
    <w:p w14:paraId="269A8EB0">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1.1.10.3.8就医评价设置</w:t>
      </w:r>
    </w:p>
    <w:p w14:paraId="64FE5E3E">
      <w:pPr>
        <w:pStyle w:val="71"/>
        <w:spacing w:before="167"/>
        <w:ind w:firstLine="0"/>
        <w:jc w:val="left"/>
        <w:rPr>
          <w:rFonts w:hint="eastAsia" w:ascii="宋体" w:hAnsi="宋体" w:eastAsia="宋体" w:cs="仿宋"/>
          <w:szCs w:val="21"/>
          <w:lang w:eastAsia="zh-CN"/>
        </w:rPr>
      </w:pPr>
      <w:r>
        <w:rPr>
          <w:rFonts w:hint="eastAsia" w:ascii="宋体" w:hAnsi="宋体" w:cs="仿宋"/>
          <w:szCs w:val="21"/>
        </w:rPr>
        <w:t>1、可以设置就医评价自动回复内容；</w:t>
      </w:r>
    </w:p>
    <w:p w14:paraId="04D650C5">
      <w:pPr>
        <w:pStyle w:val="71"/>
        <w:spacing w:before="167"/>
        <w:ind w:firstLine="0"/>
        <w:jc w:val="left"/>
        <w:rPr>
          <w:rFonts w:ascii="宋体" w:hAnsi="宋体" w:cs="仿宋"/>
          <w:szCs w:val="21"/>
        </w:rPr>
      </w:pPr>
      <w:r>
        <w:rPr>
          <w:rFonts w:hint="eastAsia" w:ascii="宋体" w:hAnsi="宋体" w:cs="仿宋"/>
          <w:szCs w:val="21"/>
        </w:rPr>
        <w:t>2、可以设置就医评价是否自动好评、仅挂号是否推送就医评价提醒消息等</w:t>
      </w:r>
    </w:p>
    <w:p w14:paraId="635A7549">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1.1.10.4.0微首页</w:t>
      </w:r>
    </w:p>
    <w:p w14:paraId="092BFB9E">
      <w:pPr>
        <w:pStyle w:val="71"/>
        <w:spacing w:before="167"/>
        <w:ind w:firstLine="0"/>
        <w:jc w:val="left"/>
        <w:rPr>
          <w:rFonts w:ascii="宋体" w:hAnsi="宋体" w:cs="仿宋"/>
          <w:szCs w:val="21"/>
        </w:rPr>
      </w:pPr>
      <w:r>
        <w:rPr>
          <w:rFonts w:hint="eastAsia" w:ascii="宋体" w:hAnsi="宋体" w:cs="仿宋"/>
          <w:szCs w:val="21"/>
        </w:rPr>
        <w:t>1、可以按渠道设置微首页公告、门诊/住院功能模块等功能</w:t>
      </w:r>
    </w:p>
    <w:p w14:paraId="20FC3DCF">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1.1.10.4.1自动回复设置</w:t>
      </w:r>
    </w:p>
    <w:p w14:paraId="49138080">
      <w:pPr>
        <w:pStyle w:val="71"/>
        <w:spacing w:before="167"/>
        <w:ind w:firstLine="0"/>
        <w:jc w:val="left"/>
        <w:rPr>
          <w:rFonts w:ascii="宋体" w:hAnsi="宋体" w:cs="仿宋"/>
          <w:szCs w:val="21"/>
        </w:rPr>
      </w:pPr>
      <w:r>
        <w:rPr>
          <w:rFonts w:hint="eastAsia" w:ascii="宋体" w:hAnsi="宋体" w:cs="仿宋"/>
          <w:szCs w:val="21"/>
        </w:rPr>
        <w:t>1、可以按关键字设置自动回复内容</w:t>
      </w:r>
    </w:p>
    <w:p w14:paraId="40E4F688">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1.1.10.4.2动态表单管理</w:t>
      </w:r>
    </w:p>
    <w:p w14:paraId="72621355">
      <w:pPr>
        <w:pStyle w:val="71"/>
        <w:spacing w:before="167"/>
        <w:ind w:firstLine="0"/>
        <w:jc w:val="left"/>
        <w:rPr>
          <w:rFonts w:ascii="宋体" w:hAnsi="宋体" w:cs="仿宋"/>
          <w:szCs w:val="21"/>
        </w:rPr>
      </w:pPr>
      <w:r>
        <w:rPr>
          <w:rFonts w:hint="eastAsia" w:ascii="宋体" w:hAnsi="宋体" w:cs="仿宋"/>
          <w:szCs w:val="21"/>
        </w:rPr>
        <w:t>1、可以设置绑卡建卡、就医评价、住院登记等模块动态填写项目，设置后立即生效</w:t>
      </w:r>
    </w:p>
    <w:p w14:paraId="79D075AE">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1.1.10.4.3全局码查看</w:t>
      </w:r>
    </w:p>
    <w:p w14:paraId="524B6AF3">
      <w:pPr>
        <w:pStyle w:val="71"/>
        <w:spacing w:before="167"/>
        <w:ind w:firstLine="0"/>
        <w:jc w:val="left"/>
        <w:rPr>
          <w:rFonts w:ascii="宋体" w:hAnsi="宋体" w:cs="仿宋"/>
          <w:szCs w:val="21"/>
        </w:rPr>
      </w:pPr>
      <w:r>
        <w:rPr>
          <w:rFonts w:hint="eastAsia" w:ascii="宋体" w:hAnsi="宋体" w:cs="仿宋"/>
          <w:szCs w:val="21"/>
        </w:rPr>
        <w:t>1、可以查看HIS接口所需的全局码</w:t>
      </w:r>
    </w:p>
    <w:p w14:paraId="3A758314">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1.1.10.4.4操作日志</w:t>
      </w:r>
    </w:p>
    <w:p w14:paraId="590BDA92">
      <w:pPr>
        <w:pStyle w:val="71"/>
        <w:spacing w:before="167"/>
        <w:ind w:firstLine="0"/>
        <w:jc w:val="left"/>
        <w:rPr>
          <w:rFonts w:ascii="宋体" w:hAnsi="宋体" w:cs="仿宋"/>
          <w:szCs w:val="21"/>
        </w:rPr>
      </w:pPr>
      <w:r>
        <w:rPr>
          <w:rFonts w:hint="eastAsia" w:ascii="宋体" w:hAnsi="宋体" w:cs="仿宋"/>
          <w:szCs w:val="21"/>
        </w:rPr>
        <w:t>1、可以查看管理后台的操作日志</w:t>
      </w:r>
    </w:p>
    <w:p w14:paraId="3AF8BE45">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1.1.10.4.5汇总统计</w:t>
      </w:r>
    </w:p>
    <w:p w14:paraId="7132B218">
      <w:pPr>
        <w:pStyle w:val="71"/>
        <w:spacing w:before="167"/>
        <w:ind w:firstLine="0"/>
        <w:jc w:val="left"/>
        <w:rPr>
          <w:rFonts w:ascii="宋体" w:hAnsi="宋体" w:cs="仿宋"/>
          <w:szCs w:val="21"/>
        </w:rPr>
      </w:pPr>
      <w:r>
        <w:rPr>
          <w:rFonts w:hint="eastAsia" w:ascii="宋体" w:hAnsi="宋体" w:cs="仿宋"/>
          <w:szCs w:val="21"/>
        </w:rPr>
        <w:t>1、可以按用户、交易、医务分别查询不同时间段、不同渠道的用户数、交易情况、挂号情况等统计数据及变化趋势</w:t>
      </w:r>
    </w:p>
    <w:p w14:paraId="42651B78">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1.1.10.4.6用户分析</w:t>
      </w:r>
    </w:p>
    <w:p w14:paraId="3D821C5A">
      <w:pPr>
        <w:pStyle w:val="71"/>
        <w:spacing w:before="167"/>
        <w:ind w:firstLine="0"/>
        <w:jc w:val="left"/>
        <w:rPr>
          <w:rFonts w:ascii="宋体" w:hAnsi="宋体" w:cs="仿宋"/>
          <w:szCs w:val="21"/>
        </w:rPr>
      </w:pPr>
      <w:r>
        <w:rPr>
          <w:rFonts w:hint="eastAsia" w:ascii="宋体" w:hAnsi="宋体" w:cs="仿宋"/>
          <w:szCs w:val="21"/>
        </w:rPr>
        <w:t>1、可以查询用户绑卡建卡情况、关注数情况的变化趋势</w:t>
      </w:r>
    </w:p>
    <w:p w14:paraId="5963727E">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1.1.10.4.8用户评价分析</w:t>
      </w:r>
    </w:p>
    <w:p w14:paraId="470207DE">
      <w:pPr>
        <w:pStyle w:val="71"/>
        <w:spacing w:before="167"/>
        <w:ind w:firstLine="0"/>
        <w:jc w:val="left"/>
        <w:rPr>
          <w:rFonts w:ascii="宋体" w:hAnsi="宋体" w:cs="仿宋"/>
          <w:szCs w:val="21"/>
        </w:rPr>
      </w:pPr>
      <w:r>
        <w:rPr>
          <w:rFonts w:hint="eastAsia" w:ascii="宋体" w:hAnsi="宋体" w:cs="仿宋"/>
          <w:szCs w:val="21"/>
        </w:rPr>
        <w:t>1、可以查询患者的就医评价具体内容，并可对患者进行回复</w:t>
      </w:r>
    </w:p>
    <w:p w14:paraId="7885D7D8">
      <w:pPr>
        <w:pStyle w:val="6"/>
        <w:spacing w:before="167"/>
        <w:ind w:left="1701"/>
        <w:rPr>
          <w:rFonts w:ascii="宋体" w:hAnsi="宋体" w:eastAsia="宋体"/>
          <w:b/>
          <w:kern w:val="44"/>
          <w:sz w:val="21"/>
          <w:szCs w:val="21"/>
        </w:rPr>
      </w:pPr>
      <w:r>
        <w:rPr>
          <w:rFonts w:hint="eastAsia" w:ascii="宋体" w:hAnsi="宋体" w:eastAsia="宋体"/>
          <w:b/>
          <w:kern w:val="44"/>
          <w:sz w:val="21"/>
          <w:szCs w:val="21"/>
        </w:rPr>
        <w:t>1.1.10.4.9医务行为分析</w:t>
      </w:r>
    </w:p>
    <w:p w14:paraId="0D5C7B2D">
      <w:pPr>
        <w:pStyle w:val="71"/>
        <w:spacing w:before="167"/>
        <w:ind w:firstLine="0"/>
        <w:jc w:val="left"/>
        <w:rPr>
          <w:rFonts w:ascii="宋体" w:hAnsi="宋体" w:cs="仿宋"/>
          <w:szCs w:val="21"/>
        </w:rPr>
      </w:pPr>
      <w:r>
        <w:rPr>
          <w:rFonts w:hint="eastAsia" w:ascii="宋体" w:hAnsi="宋体" w:cs="仿宋"/>
          <w:szCs w:val="21"/>
        </w:rPr>
        <w:t>1、可以查询患者挂号、病案复印各项数据指标变化趋势</w:t>
      </w:r>
    </w:p>
    <w:p w14:paraId="607F9A8B">
      <w:pPr>
        <w:pStyle w:val="3"/>
        <w:numPr>
          <w:ilvl w:val="1"/>
          <w:numId w:val="3"/>
        </w:numPr>
        <w:spacing w:before="0" w:after="0" w:line="360" w:lineRule="auto"/>
        <w:jc w:val="left"/>
        <w:rPr>
          <w:rFonts w:ascii="宋体" w:hAnsi="宋体" w:cs="宋体"/>
          <w:sz w:val="21"/>
          <w:szCs w:val="21"/>
        </w:rPr>
      </w:pPr>
      <w:bookmarkStart w:id="112" w:name="_Toc150537720"/>
      <w:r>
        <w:rPr>
          <w:rFonts w:hint="eastAsia" w:ascii="宋体" w:hAnsi="宋体" w:cs="宋体"/>
          <w:sz w:val="21"/>
          <w:szCs w:val="21"/>
        </w:rPr>
        <w:t>互联网中医诊疗服务平台</w:t>
      </w:r>
      <w:bookmarkEnd w:id="112"/>
    </w:p>
    <w:p w14:paraId="7E38F62D">
      <w:pPr>
        <w:pStyle w:val="4"/>
        <w:numPr>
          <w:ilvl w:val="2"/>
          <w:numId w:val="3"/>
        </w:numPr>
        <w:spacing w:before="240" w:after="120"/>
        <w:rPr>
          <w:rFonts w:hAnsi="宋体" w:cs="宋体"/>
          <w:kern w:val="44"/>
          <w:sz w:val="21"/>
          <w:szCs w:val="21"/>
        </w:rPr>
      </w:pPr>
      <w:bookmarkStart w:id="113" w:name="_Toc150537721"/>
      <w:r>
        <w:rPr>
          <w:rFonts w:hAnsi="宋体" w:cs="宋体"/>
          <w:kern w:val="44"/>
          <w:sz w:val="21"/>
          <w:szCs w:val="21"/>
        </w:rPr>
        <w:t>网络门诊</w:t>
      </w:r>
      <w:bookmarkEnd w:id="113"/>
    </w:p>
    <w:p w14:paraId="3B7436CF">
      <w:pPr>
        <w:spacing w:line="360" w:lineRule="auto"/>
        <w:ind w:firstLine="480"/>
        <w:rPr>
          <w:rFonts w:hAnsi="宋体" w:cs="仿宋"/>
          <w:szCs w:val="21"/>
        </w:rPr>
      </w:pPr>
      <w:r>
        <w:rPr>
          <w:rFonts w:hint="eastAsia" w:hAnsi="宋体" w:cs="仿宋"/>
          <w:szCs w:val="21"/>
        </w:rPr>
        <w:t>网络门诊医生是医生在线上复诊的操作工作站，需支持APP端和网页端。患者向医生发起网络门诊预约后，医护人员接诊并与患者进行线上互动沟通，支持在线书写病历，开具西药处方、中药处方、检验申请、检查申请等医嘱，医嘱提交支持CA签名。此模块属于互联网诊疗的核心应用，要求对接线下HIS系统满足线上线下一体化诊疗业务模式。</w:t>
      </w:r>
    </w:p>
    <w:p w14:paraId="7DEBD8D2">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患者端</w:t>
      </w:r>
    </w:p>
    <w:p w14:paraId="784D7770">
      <w:pPr>
        <w:spacing w:line="360" w:lineRule="auto"/>
        <w:ind w:firstLine="482"/>
        <w:rPr>
          <w:rFonts w:hAnsi="宋体" w:cs="仿宋"/>
          <w:b/>
          <w:bCs/>
          <w:szCs w:val="21"/>
        </w:rPr>
      </w:pPr>
      <w:r>
        <w:rPr>
          <w:rFonts w:hint="eastAsia" w:hAnsi="宋体" w:cs="仿宋"/>
          <w:b/>
          <w:bCs/>
          <w:szCs w:val="21"/>
        </w:rPr>
        <w:t>（1）问诊预约</w:t>
      </w:r>
    </w:p>
    <w:p w14:paraId="384180E0">
      <w:pPr>
        <w:spacing w:line="360" w:lineRule="auto"/>
        <w:ind w:firstLine="480"/>
        <w:rPr>
          <w:rFonts w:hAnsi="宋体" w:cs="仿宋"/>
          <w:color w:val="000000"/>
          <w:szCs w:val="21"/>
        </w:rPr>
      </w:pPr>
      <w:r>
        <w:rPr>
          <w:rFonts w:hint="eastAsia" w:hAnsi="宋体" w:cs="仿宋"/>
          <w:color w:val="000000"/>
          <w:szCs w:val="21"/>
        </w:rPr>
        <w:t>患者选择有号源的医生进行预约下单。等到预约时段，与医生进行实时视频互动，医生接诊后开具处方/病历完成线上复诊过程。</w:t>
      </w:r>
    </w:p>
    <w:p w14:paraId="775C22D4">
      <w:pPr>
        <w:spacing w:line="360" w:lineRule="auto"/>
        <w:ind w:firstLine="482"/>
        <w:rPr>
          <w:rFonts w:hAnsi="宋体" w:cs="仿宋"/>
          <w:b/>
          <w:bCs/>
          <w:szCs w:val="21"/>
        </w:rPr>
      </w:pPr>
      <w:r>
        <w:rPr>
          <w:rFonts w:hint="eastAsia" w:hAnsi="宋体" w:cs="仿宋"/>
          <w:b/>
          <w:bCs/>
          <w:szCs w:val="21"/>
        </w:rPr>
        <w:t>（2）病情填写</w:t>
      </w:r>
    </w:p>
    <w:p w14:paraId="539FEB2D">
      <w:pPr>
        <w:spacing w:line="360" w:lineRule="auto"/>
        <w:ind w:firstLine="480"/>
        <w:rPr>
          <w:rFonts w:hAnsi="宋体" w:cs="仿宋"/>
          <w:color w:val="000000"/>
          <w:szCs w:val="21"/>
        </w:rPr>
      </w:pPr>
      <w:r>
        <w:rPr>
          <w:rFonts w:hint="eastAsia" w:hAnsi="宋体" w:cs="仿宋"/>
          <w:color w:val="000000"/>
          <w:szCs w:val="21"/>
        </w:rPr>
        <w:t>系统支持患者选择医生后，进行病情填写，选择预约时间、复诊诊断、病情描述，支持图片附件上传。</w:t>
      </w:r>
    </w:p>
    <w:p w14:paraId="2CD2359E">
      <w:pPr>
        <w:spacing w:line="360" w:lineRule="auto"/>
        <w:ind w:firstLine="482"/>
        <w:rPr>
          <w:rFonts w:hAnsi="宋体" w:cs="仿宋"/>
          <w:b/>
          <w:bCs/>
          <w:szCs w:val="21"/>
        </w:rPr>
      </w:pPr>
      <w:r>
        <w:rPr>
          <w:rFonts w:hint="eastAsia" w:hAnsi="宋体" w:cs="仿宋"/>
          <w:b/>
          <w:bCs/>
          <w:szCs w:val="21"/>
        </w:rPr>
        <w:t>（3）问诊互动（图文、语音、视频）</w:t>
      </w:r>
    </w:p>
    <w:p w14:paraId="20554BDC">
      <w:pPr>
        <w:spacing w:line="360" w:lineRule="auto"/>
        <w:ind w:firstLine="480"/>
        <w:rPr>
          <w:rFonts w:hAnsi="宋体" w:cs="仿宋"/>
          <w:color w:val="000000"/>
          <w:szCs w:val="21"/>
        </w:rPr>
      </w:pPr>
      <w:r>
        <w:rPr>
          <w:rFonts w:hint="eastAsia" w:hAnsi="宋体" w:cs="仿宋"/>
          <w:color w:val="000000"/>
          <w:szCs w:val="21"/>
        </w:rPr>
        <w:t>系统需支持患者与医生实现多种形式的问诊模式，含图文、语音、视频。</w:t>
      </w:r>
    </w:p>
    <w:p w14:paraId="44D4B4C0">
      <w:pPr>
        <w:pStyle w:val="544"/>
        <w:numPr>
          <w:ilvl w:val="0"/>
          <w:numId w:val="10"/>
        </w:numPr>
        <w:spacing w:line="360" w:lineRule="auto"/>
        <w:rPr>
          <w:rFonts w:ascii="宋体" w:hAnsi="宋体" w:cs="仿宋"/>
          <w:b/>
          <w:bCs/>
          <w:sz w:val="21"/>
          <w:szCs w:val="21"/>
        </w:rPr>
      </w:pPr>
      <w:r>
        <w:rPr>
          <w:rFonts w:hint="eastAsia" w:ascii="宋体" w:hAnsi="宋体" w:cs="仿宋"/>
          <w:b/>
          <w:bCs/>
          <w:sz w:val="21"/>
          <w:szCs w:val="21"/>
        </w:rPr>
        <w:t>线上处方查询</w:t>
      </w:r>
    </w:p>
    <w:p w14:paraId="27D0C441">
      <w:pPr>
        <w:spacing w:line="360" w:lineRule="auto"/>
        <w:ind w:firstLine="482"/>
        <w:rPr>
          <w:rFonts w:hAnsi="宋体" w:cs="仿宋"/>
          <w:color w:val="000000"/>
          <w:szCs w:val="21"/>
        </w:rPr>
      </w:pPr>
      <w:r>
        <w:rPr>
          <w:rFonts w:hint="eastAsia" w:hAnsi="宋体" w:cs="仿宋"/>
          <w:b/>
          <w:bCs/>
          <w:szCs w:val="21"/>
        </w:rPr>
        <w:t xml:space="preserve">  </w:t>
      </w:r>
      <w:r>
        <w:rPr>
          <w:rFonts w:hint="eastAsia" w:hAnsi="宋体" w:cs="仿宋"/>
          <w:color w:val="000000"/>
          <w:szCs w:val="21"/>
        </w:rPr>
        <w:t>系统支持患者在线查询医生开具的线上处方。</w:t>
      </w:r>
    </w:p>
    <w:p w14:paraId="3D08C7CA">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医生端</w:t>
      </w:r>
    </w:p>
    <w:p w14:paraId="1A4B8F14">
      <w:pPr>
        <w:pStyle w:val="544"/>
        <w:numPr>
          <w:ilvl w:val="0"/>
          <w:numId w:val="13"/>
        </w:numPr>
        <w:spacing w:line="360" w:lineRule="auto"/>
        <w:rPr>
          <w:rFonts w:ascii="宋体" w:hAnsi="宋体" w:cs="仿宋"/>
          <w:b/>
          <w:bCs/>
          <w:sz w:val="21"/>
          <w:szCs w:val="21"/>
          <w:lang w:eastAsia="zh-CN"/>
        </w:rPr>
      </w:pPr>
      <w:r>
        <w:rPr>
          <w:rFonts w:hint="eastAsia" w:ascii="宋体" w:hAnsi="宋体" w:cs="仿宋"/>
          <w:b/>
          <w:bCs/>
          <w:sz w:val="21"/>
          <w:szCs w:val="21"/>
          <w:lang w:eastAsia="zh-CN"/>
        </w:rPr>
        <w:t>接诊互动（文字、语音、视频）</w:t>
      </w:r>
    </w:p>
    <w:p w14:paraId="02913F1C">
      <w:pPr>
        <w:spacing w:line="360" w:lineRule="auto"/>
        <w:ind w:left="480"/>
        <w:rPr>
          <w:rFonts w:hAnsi="宋体" w:cs="仿宋"/>
          <w:color w:val="000000"/>
          <w:szCs w:val="21"/>
        </w:rPr>
      </w:pPr>
      <w:r>
        <w:rPr>
          <w:rFonts w:hint="eastAsia" w:hAnsi="宋体"/>
          <w:u w:val="single"/>
        </w:rPr>
        <w:t>★</w:t>
      </w:r>
      <w:r>
        <w:rPr>
          <w:rFonts w:hint="eastAsia" w:hAnsi="宋体" w:cs="仿宋"/>
          <w:color w:val="000000"/>
          <w:szCs w:val="21"/>
        </w:rPr>
        <w:t>医生接诊支持网页端和移动端APP两种形式：</w:t>
      </w:r>
    </w:p>
    <w:p w14:paraId="6847B432">
      <w:pPr>
        <w:pStyle w:val="544"/>
        <w:numPr>
          <w:ilvl w:val="0"/>
          <w:numId w:val="13"/>
        </w:numPr>
        <w:spacing w:line="360" w:lineRule="auto"/>
        <w:rPr>
          <w:rFonts w:ascii="宋体" w:hAnsi="宋体" w:cs="仿宋"/>
          <w:b/>
          <w:bCs/>
          <w:sz w:val="21"/>
          <w:szCs w:val="21"/>
        </w:rPr>
      </w:pPr>
      <w:r>
        <w:rPr>
          <w:rFonts w:hint="eastAsia" w:ascii="宋体" w:hAnsi="宋体" w:cs="仿宋"/>
          <w:b/>
          <w:bCs/>
          <w:sz w:val="21"/>
          <w:szCs w:val="21"/>
        </w:rPr>
        <w:t>诊断管理</w:t>
      </w:r>
    </w:p>
    <w:p w14:paraId="0518FAB8">
      <w:pPr>
        <w:pStyle w:val="466"/>
        <w:spacing w:line="360" w:lineRule="auto"/>
        <w:ind w:left="480" w:firstLine="420" w:firstLineChars="200"/>
        <w:rPr>
          <w:rFonts w:ascii="宋体" w:hAnsi="宋体" w:cs="仿宋"/>
          <w:szCs w:val="21"/>
        </w:rPr>
      </w:pPr>
      <w:r>
        <w:rPr>
          <w:rFonts w:hint="eastAsia" w:ascii="宋体" w:hAnsi="宋体" w:cs="仿宋"/>
          <w:szCs w:val="21"/>
        </w:rPr>
        <w:t>系统支持医院维护诊断库，医生可以通过模糊检索查询并选择标准诊断。</w:t>
      </w:r>
      <w:r>
        <w:rPr>
          <w:rFonts w:hint="eastAsia" w:hAnsi="宋体" w:cs="仿宋"/>
          <w:color w:val="000000"/>
          <w:szCs w:val="21"/>
          <w:lang w:eastAsia="zh-CN"/>
        </w:rPr>
        <w:t>医院医生通过电脑端浏览器WEB网页登录线上门诊工作台，接诊互联网医院的患者，系统支持医生通过医生端系统实现多形式的接诊互动，含图文、语音、视频。</w:t>
      </w:r>
    </w:p>
    <w:p w14:paraId="7985947A">
      <w:pPr>
        <w:pStyle w:val="544"/>
        <w:numPr>
          <w:ilvl w:val="0"/>
          <w:numId w:val="13"/>
        </w:numPr>
        <w:spacing w:line="360" w:lineRule="auto"/>
        <w:rPr>
          <w:rFonts w:ascii="宋体" w:hAnsi="宋体" w:cs="仿宋"/>
          <w:b/>
          <w:bCs/>
          <w:sz w:val="21"/>
          <w:szCs w:val="21"/>
        </w:rPr>
      </w:pPr>
      <w:r>
        <w:rPr>
          <w:rFonts w:hint="eastAsia" w:ascii="宋体" w:hAnsi="宋体" w:cs="仿宋"/>
          <w:b/>
          <w:bCs/>
          <w:sz w:val="21"/>
          <w:szCs w:val="21"/>
        </w:rPr>
        <w:t>线上处方</w:t>
      </w:r>
    </w:p>
    <w:p w14:paraId="13071FDC">
      <w:pPr>
        <w:spacing w:line="360" w:lineRule="auto"/>
        <w:ind w:firstLine="480"/>
        <w:rPr>
          <w:rFonts w:hAnsi="宋体" w:cs="仿宋"/>
          <w:color w:val="000000"/>
          <w:szCs w:val="21"/>
        </w:rPr>
      </w:pPr>
      <w:r>
        <w:rPr>
          <w:rFonts w:hint="eastAsia" w:hAnsi="宋体" w:cs="仿宋"/>
          <w:color w:val="000000"/>
          <w:szCs w:val="21"/>
        </w:rPr>
        <w:t>医生可在线查看患者健康档案、历史病历档案。</w:t>
      </w:r>
    </w:p>
    <w:p w14:paraId="6F617F02">
      <w:pPr>
        <w:spacing w:line="360" w:lineRule="auto"/>
        <w:ind w:firstLine="480"/>
        <w:rPr>
          <w:rFonts w:hAnsi="宋体" w:cs="仿宋"/>
          <w:color w:val="000000"/>
          <w:szCs w:val="21"/>
        </w:rPr>
      </w:pPr>
      <w:r>
        <w:rPr>
          <w:rFonts w:hint="eastAsia" w:hAnsi="宋体" w:cs="仿宋"/>
          <w:color w:val="000000"/>
          <w:szCs w:val="21"/>
        </w:rPr>
        <w:t>系统支持医生基于网络门诊开具在线处方等。</w:t>
      </w:r>
    </w:p>
    <w:p w14:paraId="3A2ACE0F">
      <w:pPr>
        <w:spacing w:line="360" w:lineRule="auto"/>
        <w:ind w:firstLine="480"/>
        <w:rPr>
          <w:rFonts w:hAnsi="宋体" w:cs="仿宋"/>
          <w:color w:val="000000"/>
          <w:szCs w:val="21"/>
        </w:rPr>
      </w:pPr>
      <w:r>
        <w:rPr>
          <w:rFonts w:hint="eastAsia" w:hAnsi="宋体" w:cs="仿宋"/>
          <w:color w:val="000000"/>
          <w:szCs w:val="21"/>
        </w:rPr>
        <w:t>系统支持维护病历模板、处方模板、快捷用语，提高医生接诊效率。</w:t>
      </w:r>
    </w:p>
    <w:p w14:paraId="562D4D3B">
      <w:pPr>
        <w:pStyle w:val="544"/>
        <w:numPr>
          <w:ilvl w:val="0"/>
          <w:numId w:val="13"/>
        </w:numPr>
        <w:spacing w:line="360" w:lineRule="auto"/>
        <w:rPr>
          <w:rFonts w:ascii="宋体" w:hAnsi="宋体" w:cs="仿宋"/>
          <w:b/>
          <w:bCs/>
          <w:sz w:val="21"/>
          <w:szCs w:val="21"/>
        </w:rPr>
      </w:pPr>
      <w:r>
        <w:rPr>
          <w:rFonts w:hint="eastAsia" w:ascii="宋体" w:hAnsi="宋体" w:cs="仿宋"/>
          <w:b/>
          <w:bCs/>
          <w:sz w:val="21"/>
          <w:szCs w:val="21"/>
        </w:rPr>
        <w:t>病历书写</w:t>
      </w:r>
    </w:p>
    <w:p w14:paraId="3EF3DE1A">
      <w:pPr>
        <w:pStyle w:val="544"/>
        <w:numPr>
          <w:ilvl w:val="0"/>
          <w:numId w:val="13"/>
        </w:numPr>
        <w:spacing w:line="360" w:lineRule="auto"/>
        <w:rPr>
          <w:rFonts w:ascii="宋体" w:hAnsi="宋体" w:cs="仿宋"/>
          <w:b/>
          <w:bCs/>
          <w:sz w:val="21"/>
          <w:szCs w:val="21"/>
        </w:rPr>
      </w:pPr>
      <w:r>
        <w:rPr>
          <w:rFonts w:hint="eastAsia" w:hAnsi="宋体" w:cs="仿宋"/>
          <w:szCs w:val="21"/>
          <w:lang w:eastAsia="zh-CN"/>
        </w:rPr>
        <w:t>网络门诊过程中，医护人员可根据患者的问诊情况线上书写病历，填写患者的主诉、现病史、既往史、体格检查等内容，系统支持医护人员配置病历模板。</w:t>
      </w:r>
      <w:r>
        <w:rPr>
          <w:rFonts w:hint="eastAsia" w:ascii="宋体" w:hAnsi="宋体" w:cs="仿宋"/>
          <w:b/>
          <w:bCs/>
          <w:sz w:val="21"/>
          <w:szCs w:val="21"/>
        </w:rPr>
        <w:t>检查申请开单</w:t>
      </w:r>
    </w:p>
    <w:p w14:paraId="7649AE21">
      <w:pPr>
        <w:spacing w:line="360" w:lineRule="auto"/>
        <w:ind w:firstLine="480"/>
        <w:rPr>
          <w:rFonts w:hAnsi="宋体" w:cs="仿宋"/>
          <w:color w:val="000000"/>
          <w:szCs w:val="21"/>
        </w:rPr>
      </w:pPr>
      <w:r>
        <w:rPr>
          <w:rFonts w:hint="eastAsia" w:hAnsi="宋体" w:cs="仿宋"/>
          <w:color w:val="000000"/>
          <w:szCs w:val="21"/>
        </w:rPr>
        <w:t>系统支持医生在网络门诊医生站开具检查申请。</w:t>
      </w:r>
    </w:p>
    <w:p w14:paraId="04368DFD">
      <w:pPr>
        <w:pStyle w:val="544"/>
        <w:numPr>
          <w:ilvl w:val="0"/>
          <w:numId w:val="13"/>
        </w:numPr>
        <w:spacing w:line="360" w:lineRule="auto"/>
        <w:rPr>
          <w:rFonts w:ascii="宋体" w:hAnsi="宋体" w:cs="仿宋"/>
          <w:b/>
          <w:bCs/>
          <w:sz w:val="21"/>
          <w:szCs w:val="21"/>
        </w:rPr>
      </w:pPr>
      <w:r>
        <w:rPr>
          <w:rFonts w:hint="eastAsia" w:ascii="宋体" w:hAnsi="宋体" w:cs="仿宋"/>
          <w:b/>
          <w:bCs/>
          <w:sz w:val="21"/>
          <w:szCs w:val="21"/>
        </w:rPr>
        <w:t>检验申请开单</w:t>
      </w:r>
    </w:p>
    <w:p w14:paraId="5DBED6BE">
      <w:pPr>
        <w:spacing w:line="360" w:lineRule="auto"/>
        <w:ind w:firstLine="480"/>
        <w:rPr>
          <w:rFonts w:hAnsi="宋体" w:cs="仿宋"/>
          <w:color w:val="000000"/>
          <w:szCs w:val="21"/>
        </w:rPr>
      </w:pPr>
      <w:r>
        <w:rPr>
          <w:rFonts w:hint="eastAsia" w:hAnsi="宋体" w:cs="仿宋"/>
          <w:color w:val="000000"/>
          <w:szCs w:val="21"/>
        </w:rPr>
        <w:t>系统支持医生在网络门诊医生站开具检验申请。</w:t>
      </w:r>
    </w:p>
    <w:p w14:paraId="4C8538F4">
      <w:pPr>
        <w:pStyle w:val="544"/>
        <w:numPr>
          <w:ilvl w:val="0"/>
          <w:numId w:val="13"/>
        </w:numPr>
        <w:spacing w:line="360" w:lineRule="auto"/>
        <w:rPr>
          <w:rFonts w:ascii="宋体" w:hAnsi="宋体" w:cs="仿宋"/>
          <w:b/>
          <w:bCs/>
          <w:sz w:val="21"/>
          <w:szCs w:val="21"/>
        </w:rPr>
      </w:pPr>
      <w:r>
        <w:rPr>
          <w:rFonts w:hint="eastAsia" w:hAnsi="宋体"/>
          <w:u w:val="single"/>
        </w:rPr>
        <w:t>★</w:t>
      </w:r>
      <w:r>
        <w:rPr>
          <w:rFonts w:hint="eastAsia" w:ascii="宋体" w:hAnsi="宋体" w:cs="仿宋"/>
          <w:b/>
          <w:bCs/>
          <w:sz w:val="21"/>
          <w:szCs w:val="21"/>
        </w:rPr>
        <w:t>线上会诊</w:t>
      </w:r>
    </w:p>
    <w:p w14:paraId="09FA5482">
      <w:pPr>
        <w:snapToGrid w:val="0"/>
        <w:spacing w:line="360" w:lineRule="auto"/>
        <w:ind w:firstLine="480"/>
        <w:rPr>
          <w:rFonts w:hAnsi="宋体" w:cs="仿宋"/>
          <w:szCs w:val="21"/>
        </w:rPr>
      </w:pPr>
      <w:r>
        <w:rPr>
          <w:rFonts w:hint="eastAsia" w:hAnsi="宋体" w:cs="仿宋"/>
          <w:szCs w:val="21"/>
        </w:rPr>
        <w:t>网络门诊支持问诊过程中医生主动拉起院内会诊，邀请不同科室的医生进行线上会诊。会诊内支持医生开具处方，生成会诊报告。</w:t>
      </w:r>
    </w:p>
    <w:p w14:paraId="7B71E881">
      <w:pPr>
        <w:pStyle w:val="544"/>
        <w:numPr>
          <w:ilvl w:val="0"/>
          <w:numId w:val="13"/>
        </w:numPr>
        <w:spacing w:line="360" w:lineRule="auto"/>
        <w:rPr>
          <w:rFonts w:ascii="宋体" w:hAnsi="宋体" w:cs="仿宋"/>
          <w:b/>
          <w:bCs/>
          <w:sz w:val="21"/>
          <w:szCs w:val="21"/>
        </w:rPr>
      </w:pPr>
      <w:r>
        <w:rPr>
          <w:rFonts w:hint="eastAsia" w:ascii="宋体" w:hAnsi="宋体" w:cs="仿宋"/>
          <w:b/>
          <w:bCs/>
          <w:sz w:val="21"/>
          <w:szCs w:val="21"/>
        </w:rPr>
        <w:t>医嘱基础配置</w:t>
      </w:r>
    </w:p>
    <w:p w14:paraId="7794FBE2">
      <w:pPr>
        <w:pStyle w:val="466"/>
        <w:spacing w:line="360" w:lineRule="auto"/>
        <w:ind w:firstLine="480"/>
        <w:rPr>
          <w:rFonts w:ascii="宋体" w:hAnsi="宋体" w:cs="仿宋"/>
          <w:szCs w:val="21"/>
        </w:rPr>
      </w:pPr>
      <w:r>
        <w:rPr>
          <w:rFonts w:hint="eastAsia" w:ascii="宋体" w:hAnsi="宋体" w:cs="仿宋"/>
          <w:szCs w:val="21"/>
        </w:rPr>
        <w:t>为了医护人员能正常书写病历、开具处方等医嘱，支持管理员配置医院诊断目录、药品目录、用法目录、频次目录、用量单位等开方基础信息。</w:t>
      </w:r>
    </w:p>
    <w:p w14:paraId="2DBBA473">
      <w:pPr>
        <w:pStyle w:val="544"/>
        <w:numPr>
          <w:ilvl w:val="0"/>
          <w:numId w:val="13"/>
        </w:numPr>
        <w:spacing w:line="360" w:lineRule="auto"/>
        <w:rPr>
          <w:rFonts w:ascii="宋体" w:hAnsi="宋体" w:cs="仿宋"/>
          <w:b/>
          <w:bCs/>
          <w:sz w:val="21"/>
          <w:szCs w:val="21"/>
        </w:rPr>
      </w:pPr>
      <w:r>
        <w:rPr>
          <w:rFonts w:hint="eastAsia" w:ascii="宋体" w:hAnsi="宋体" w:cs="仿宋"/>
          <w:b/>
          <w:bCs/>
          <w:sz w:val="21"/>
          <w:szCs w:val="21"/>
        </w:rPr>
        <w:t>医嘱权限管理</w:t>
      </w:r>
    </w:p>
    <w:p w14:paraId="21E89928">
      <w:pPr>
        <w:pStyle w:val="466"/>
        <w:spacing w:line="360" w:lineRule="auto"/>
        <w:ind w:firstLine="480"/>
        <w:rPr>
          <w:rFonts w:hint="eastAsia" w:ascii="宋体" w:hAnsi="宋体" w:cs="仿宋"/>
          <w:color w:val="000000"/>
          <w:szCs w:val="21"/>
        </w:rPr>
      </w:pPr>
      <w:r>
        <w:rPr>
          <w:rFonts w:hint="eastAsia" w:ascii="宋体" w:hAnsi="宋体" w:cs="仿宋"/>
          <w:szCs w:val="21"/>
        </w:rPr>
        <w:t>为了提高线上诊疗的安全与质量，支持管理端配置处方权限、开单权限、审方权限的人员范围。</w:t>
      </w:r>
    </w:p>
    <w:p w14:paraId="4D0121E6">
      <w:pPr>
        <w:pStyle w:val="544"/>
        <w:numPr>
          <w:ilvl w:val="0"/>
          <w:numId w:val="13"/>
        </w:numPr>
        <w:spacing w:line="360" w:lineRule="auto"/>
        <w:rPr>
          <w:rFonts w:ascii="宋体" w:hAnsi="宋体" w:cs="仿宋"/>
          <w:b/>
          <w:bCs/>
          <w:sz w:val="21"/>
          <w:szCs w:val="21"/>
        </w:rPr>
      </w:pPr>
      <w:r>
        <w:rPr>
          <w:rFonts w:hint="eastAsia" w:ascii="宋体" w:hAnsi="宋体" w:cs="仿宋"/>
          <w:b/>
          <w:bCs/>
          <w:sz w:val="21"/>
          <w:szCs w:val="21"/>
        </w:rPr>
        <w:t>CA签名</w:t>
      </w:r>
    </w:p>
    <w:p w14:paraId="52C88730">
      <w:pPr>
        <w:pStyle w:val="18"/>
        <w:ind w:firstLine="480" w:firstLineChars="200"/>
        <w:rPr>
          <w:rFonts w:hint="eastAsia" w:ascii="宋体" w:hAnsi="宋体" w:eastAsia="宋体" w:cs="仿宋"/>
          <w:color w:val="000000"/>
          <w:kern w:val="0"/>
          <w:sz w:val="24"/>
          <w:szCs w:val="21"/>
          <w:lang w:val="en-US" w:eastAsia="zh-CN" w:bidi="ar-SA"/>
        </w:rPr>
      </w:pPr>
      <w:r>
        <w:rPr>
          <w:rFonts w:hint="eastAsia" w:ascii="宋体" w:hAnsi="宋体" w:eastAsia="宋体" w:cs="仿宋"/>
          <w:color w:val="000000"/>
          <w:kern w:val="0"/>
          <w:sz w:val="24"/>
          <w:szCs w:val="21"/>
          <w:lang w:val="en-US" w:eastAsia="zh-CN" w:bidi="ar-SA"/>
        </w:rPr>
        <w:t>系统支持医生医嘱提交时进行CA电子签名。</w:t>
      </w:r>
    </w:p>
    <w:p w14:paraId="637CE062">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线上排班管理</w:t>
      </w:r>
    </w:p>
    <w:p w14:paraId="1A7AA6C4">
      <w:pPr>
        <w:pStyle w:val="544"/>
        <w:numPr>
          <w:ilvl w:val="0"/>
          <w:numId w:val="14"/>
        </w:numPr>
        <w:spacing w:line="360" w:lineRule="auto"/>
        <w:rPr>
          <w:rFonts w:ascii="宋体" w:hAnsi="宋体" w:cs="仿宋"/>
          <w:b/>
          <w:bCs/>
          <w:sz w:val="21"/>
          <w:szCs w:val="21"/>
        </w:rPr>
      </w:pPr>
      <w:r>
        <w:rPr>
          <w:rFonts w:hint="eastAsia" w:ascii="宋体" w:hAnsi="宋体" w:cs="仿宋"/>
          <w:b/>
          <w:bCs/>
          <w:sz w:val="21"/>
          <w:szCs w:val="21"/>
        </w:rPr>
        <w:t>排班</w:t>
      </w:r>
      <w:r>
        <w:rPr>
          <w:rFonts w:hint="eastAsia" w:ascii="宋体" w:hAnsi="宋体" w:cs="仿宋"/>
          <w:b/>
          <w:bCs/>
          <w:sz w:val="21"/>
          <w:szCs w:val="21"/>
          <w:lang w:eastAsia="zh-CN"/>
        </w:rPr>
        <w:t>管理</w:t>
      </w:r>
    </w:p>
    <w:p w14:paraId="16B77F71">
      <w:pPr>
        <w:pStyle w:val="466"/>
        <w:spacing w:line="360" w:lineRule="auto"/>
        <w:ind w:firstLine="480"/>
        <w:rPr>
          <w:rFonts w:ascii="宋体" w:hAnsi="宋体" w:cs="仿宋"/>
          <w:szCs w:val="21"/>
        </w:rPr>
      </w:pPr>
      <w:r>
        <w:rPr>
          <w:rFonts w:hint="eastAsia" w:ascii="宋体" w:hAnsi="宋体" w:cs="仿宋"/>
          <w:color w:val="000000"/>
          <w:szCs w:val="21"/>
        </w:rPr>
        <w:t>支持通过医院管理员维护互联网医院出诊医生的排班计划，进行号源管理；</w:t>
      </w:r>
    </w:p>
    <w:p w14:paraId="77D41538">
      <w:pPr>
        <w:pStyle w:val="544"/>
        <w:numPr>
          <w:ilvl w:val="0"/>
          <w:numId w:val="14"/>
        </w:numPr>
        <w:spacing w:line="360" w:lineRule="auto"/>
        <w:rPr>
          <w:rFonts w:ascii="宋体" w:hAnsi="宋体" w:cs="仿宋"/>
          <w:b/>
          <w:bCs/>
          <w:sz w:val="21"/>
          <w:szCs w:val="21"/>
        </w:rPr>
      </w:pPr>
      <w:r>
        <w:rPr>
          <w:rFonts w:hint="eastAsia" w:ascii="宋体" w:hAnsi="宋体" w:cs="仿宋"/>
          <w:b/>
          <w:bCs/>
          <w:sz w:val="21"/>
          <w:szCs w:val="21"/>
        </w:rPr>
        <w:t>挂号费用设置</w:t>
      </w:r>
    </w:p>
    <w:p w14:paraId="2EA611C8">
      <w:pPr>
        <w:spacing w:line="360" w:lineRule="auto"/>
        <w:ind w:firstLine="480"/>
        <w:rPr>
          <w:rFonts w:hAnsi="宋体" w:cs="仿宋"/>
          <w:color w:val="000000"/>
          <w:szCs w:val="21"/>
        </w:rPr>
      </w:pPr>
      <w:r>
        <w:rPr>
          <w:rFonts w:hint="eastAsia" w:hAnsi="宋体" w:cs="仿宋"/>
          <w:color w:val="000000"/>
          <w:szCs w:val="21"/>
        </w:rPr>
        <w:t>互联网医院线上复诊支持按职称或自定义设置挂号费用。</w:t>
      </w:r>
    </w:p>
    <w:p w14:paraId="5279A51E">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网络门诊HIS集成</w:t>
      </w:r>
    </w:p>
    <w:p w14:paraId="729F5F67">
      <w:pPr>
        <w:spacing w:line="360" w:lineRule="auto"/>
        <w:ind w:firstLine="480"/>
        <w:rPr>
          <w:rFonts w:hAnsi="宋体" w:cs="仿宋"/>
          <w:color w:val="000000"/>
          <w:szCs w:val="21"/>
        </w:rPr>
      </w:pPr>
      <w:r>
        <w:rPr>
          <w:rFonts w:hint="eastAsia" w:hAnsi="宋体" w:cs="仿宋"/>
          <w:color w:val="000000"/>
          <w:szCs w:val="21"/>
        </w:rPr>
        <w:t>网络门诊需与诊HIS系统对接，实现门诊病历查询、挂号记录回写、处方病历回写，保持数据的一致性。</w:t>
      </w:r>
    </w:p>
    <w:p w14:paraId="6ABD24FA">
      <w:pPr>
        <w:spacing w:line="360" w:lineRule="auto"/>
        <w:ind w:firstLine="480"/>
        <w:rPr>
          <w:rFonts w:hAnsi="宋体" w:cs="仿宋"/>
          <w:szCs w:val="21"/>
        </w:rPr>
      </w:pPr>
    </w:p>
    <w:p w14:paraId="0FC5BC9E">
      <w:pPr>
        <w:pStyle w:val="4"/>
        <w:numPr>
          <w:ilvl w:val="2"/>
          <w:numId w:val="3"/>
        </w:numPr>
        <w:spacing w:before="240" w:after="120"/>
        <w:rPr>
          <w:rFonts w:hAnsi="宋体" w:cs="宋体"/>
          <w:kern w:val="44"/>
          <w:sz w:val="21"/>
          <w:szCs w:val="21"/>
        </w:rPr>
      </w:pPr>
      <w:bookmarkStart w:id="114" w:name="_Toc150537722"/>
      <w:r>
        <w:rPr>
          <w:rFonts w:hAnsi="宋体" w:cs="宋体"/>
          <w:kern w:val="44"/>
          <w:sz w:val="21"/>
          <w:szCs w:val="21"/>
        </w:rPr>
        <w:t>处方流转</w:t>
      </w:r>
      <w:bookmarkEnd w:id="114"/>
    </w:p>
    <w:p w14:paraId="643AFC40">
      <w:pPr>
        <w:spacing w:line="360" w:lineRule="auto"/>
        <w:ind w:firstLine="480"/>
        <w:rPr>
          <w:rFonts w:hAnsi="宋体" w:cs="仿宋"/>
          <w:szCs w:val="21"/>
        </w:rPr>
      </w:pPr>
      <w:r>
        <w:rPr>
          <w:rFonts w:hint="eastAsia" w:hAnsi="宋体" w:cs="仿宋"/>
          <w:szCs w:val="21"/>
        </w:rPr>
        <w:t>处方流转是一个处方共享与流转平台，满足互联网医院开具的处方流向第三方药企供应平台。患者药品购买支持“到店自取”、“物流配送”两种模式，支持对接物流厂家系统进行自动物流下单。</w:t>
      </w:r>
    </w:p>
    <w:p w14:paraId="7EC1CEBB">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药房管理</w:t>
      </w:r>
    </w:p>
    <w:p w14:paraId="3AEC64C6">
      <w:pPr>
        <w:spacing w:line="360" w:lineRule="auto"/>
        <w:ind w:firstLine="480"/>
        <w:rPr>
          <w:rFonts w:hAnsi="宋体" w:cs="仿宋"/>
          <w:szCs w:val="21"/>
        </w:rPr>
      </w:pPr>
      <w:r>
        <w:rPr>
          <w:rFonts w:hint="eastAsia" w:hAnsi="宋体" w:cs="仿宋"/>
          <w:szCs w:val="21"/>
        </w:rPr>
        <w:t>支持医院添加与管理发药门店，配置基本信息、地址信息、取药模式，满足患者线上购药时按距离自由选择购药药房。</w:t>
      </w:r>
    </w:p>
    <w:p w14:paraId="3EB69579">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处方流转</w:t>
      </w:r>
    </w:p>
    <w:p w14:paraId="428A0E3C">
      <w:pPr>
        <w:spacing w:line="360" w:lineRule="auto"/>
        <w:ind w:firstLine="480"/>
        <w:rPr>
          <w:rFonts w:hAnsi="宋体" w:cs="仿宋"/>
          <w:szCs w:val="21"/>
        </w:rPr>
      </w:pPr>
      <w:r>
        <w:rPr>
          <w:rFonts w:hint="eastAsia" w:hAnsi="宋体" w:cs="仿宋"/>
          <w:szCs w:val="21"/>
        </w:rPr>
        <w:t>支持根据药品类型实现处方既能由医院供应，也能由医院合作第三方药房供应，由患者自主选择。</w:t>
      </w:r>
    </w:p>
    <w:p w14:paraId="6289E825">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智能拆方</w:t>
      </w:r>
    </w:p>
    <w:p w14:paraId="597EDD75">
      <w:pPr>
        <w:spacing w:line="360" w:lineRule="auto"/>
        <w:ind w:firstLine="480"/>
        <w:rPr>
          <w:rFonts w:hAnsi="宋体" w:cs="仿宋"/>
          <w:szCs w:val="21"/>
        </w:rPr>
      </w:pPr>
      <w:r>
        <w:rPr>
          <w:rFonts w:hint="eastAsia" w:hAnsi="宋体" w:cs="仿宋"/>
          <w:szCs w:val="21"/>
        </w:rPr>
        <w:t>医生开方时可自动拆成院内处方和外流处方，其中外流处方将流向第三方药房供应。自动拆方的处方需同时作废与同时生效。</w:t>
      </w:r>
    </w:p>
    <w:p w14:paraId="6F1166EA">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处方管理</w:t>
      </w:r>
    </w:p>
    <w:p w14:paraId="6482F13D">
      <w:pPr>
        <w:spacing w:line="360" w:lineRule="auto"/>
        <w:ind w:firstLine="480"/>
        <w:rPr>
          <w:rFonts w:hAnsi="宋体" w:cs="仿宋"/>
          <w:szCs w:val="21"/>
        </w:rPr>
      </w:pPr>
      <w:r>
        <w:rPr>
          <w:rFonts w:hint="eastAsia" w:hAnsi="宋体" w:cs="仿宋"/>
          <w:szCs w:val="21"/>
        </w:rPr>
        <w:t>1.</w:t>
      </w:r>
      <w:r>
        <w:rPr>
          <w:rFonts w:hint="eastAsia" w:hAnsi="宋体" w:cs="仿宋"/>
          <w:szCs w:val="21"/>
        </w:rPr>
        <w:tab/>
      </w:r>
      <w:r>
        <w:rPr>
          <w:rFonts w:hint="eastAsia" w:hAnsi="宋体" w:cs="仿宋"/>
          <w:szCs w:val="21"/>
        </w:rPr>
        <w:t>医生问诊开具处方后，处方自动录入患者档案的医嘱记录内，以便医护人员后续查看。</w:t>
      </w:r>
    </w:p>
    <w:p w14:paraId="265AEA59">
      <w:pPr>
        <w:spacing w:line="360" w:lineRule="auto"/>
        <w:ind w:firstLine="480"/>
        <w:rPr>
          <w:rFonts w:hAnsi="宋体" w:cs="仿宋"/>
          <w:szCs w:val="21"/>
        </w:rPr>
      </w:pPr>
      <w:r>
        <w:rPr>
          <w:rFonts w:hint="eastAsia" w:hAnsi="宋体" w:cs="仿宋"/>
          <w:szCs w:val="21"/>
        </w:rPr>
        <w:t>2.</w:t>
      </w:r>
      <w:r>
        <w:rPr>
          <w:rFonts w:hint="eastAsia" w:hAnsi="宋体" w:cs="仿宋"/>
          <w:szCs w:val="21"/>
        </w:rPr>
        <w:tab/>
      </w:r>
      <w:r>
        <w:rPr>
          <w:rFonts w:hint="eastAsia" w:hAnsi="宋体" w:cs="仿宋"/>
          <w:szCs w:val="21"/>
        </w:rPr>
        <w:t>支持药师移动审核处方，处方能对接医院合理用药系统进行事前判定。</w:t>
      </w:r>
    </w:p>
    <w:p w14:paraId="2F3139CB">
      <w:pPr>
        <w:spacing w:line="360" w:lineRule="auto"/>
        <w:ind w:firstLine="480"/>
        <w:rPr>
          <w:rFonts w:hAnsi="宋体" w:cs="仿宋"/>
          <w:szCs w:val="21"/>
        </w:rPr>
      </w:pPr>
      <w:r>
        <w:rPr>
          <w:rFonts w:hint="eastAsia" w:hAnsi="宋体" w:cs="仿宋"/>
          <w:szCs w:val="21"/>
        </w:rPr>
        <w:t>3.</w:t>
      </w:r>
      <w:r>
        <w:rPr>
          <w:rFonts w:hint="eastAsia" w:hAnsi="宋体" w:cs="仿宋"/>
          <w:szCs w:val="21"/>
        </w:rPr>
        <w:tab/>
      </w:r>
      <w:r>
        <w:rPr>
          <w:rFonts w:hint="eastAsia" w:hAnsi="宋体" w:cs="仿宋"/>
          <w:szCs w:val="21"/>
        </w:rPr>
        <w:t>处方审核通过后，系统推送诊间支付消息提醒患者付款。</w:t>
      </w:r>
    </w:p>
    <w:p w14:paraId="235DF5F3">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处方支付</w:t>
      </w:r>
    </w:p>
    <w:p w14:paraId="7ED43420">
      <w:pPr>
        <w:spacing w:line="360" w:lineRule="auto"/>
        <w:ind w:firstLine="480"/>
        <w:rPr>
          <w:rFonts w:hAnsi="宋体" w:cs="仿宋"/>
          <w:szCs w:val="21"/>
        </w:rPr>
      </w:pPr>
      <w:r>
        <w:rPr>
          <w:rFonts w:hint="eastAsia" w:hAnsi="宋体" w:cs="仿宋"/>
          <w:szCs w:val="21"/>
        </w:rPr>
        <w:t>患者收到线上处方提醒消息后可查看处方详情，选择药房完成药品购买。支持到店自取与物流配送。</w:t>
      </w:r>
    </w:p>
    <w:p w14:paraId="4ABE4DDF">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药房发药</w:t>
      </w:r>
    </w:p>
    <w:p w14:paraId="4FC72C47">
      <w:pPr>
        <w:spacing w:line="360" w:lineRule="auto"/>
        <w:ind w:firstLine="480"/>
        <w:rPr>
          <w:rFonts w:hAnsi="宋体" w:cs="仿宋"/>
          <w:szCs w:val="21"/>
        </w:rPr>
      </w:pPr>
      <w:r>
        <w:rPr>
          <w:rFonts w:hint="eastAsia" w:hAnsi="宋体" w:cs="仿宋"/>
          <w:szCs w:val="21"/>
        </w:rPr>
        <w:t>患者支付后药房收到发药提醒，按患者取药模式进行发药处理。支持同一个患者多处方的合并发货，发货时支持物流自动下单。</w:t>
      </w:r>
    </w:p>
    <w:p w14:paraId="23267BD5">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发药报表</w:t>
      </w:r>
    </w:p>
    <w:p w14:paraId="7240D025">
      <w:pPr>
        <w:spacing w:line="360" w:lineRule="auto"/>
        <w:ind w:firstLine="480"/>
        <w:rPr>
          <w:rFonts w:hAnsi="宋体" w:cs="仿宋"/>
          <w:szCs w:val="21"/>
        </w:rPr>
      </w:pPr>
      <w:r>
        <w:rPr>
          <w:rFonts w:hint="eastAsia" w:hAnsi="宋体" w:cs="仿宋"/>
          <w:szCs w:val="21"/>
        </w:rPr>
        <w:t>支持处方与发药数据记录导出</w:t>
      </w:r>
    </w:p>
    <w:p w14:paraId="2D4E575E">
      <w:pPr>
        <w:pStyle w:val="4"/>
        <w:numPr>
          <w:ilvl w:val="2"/>
          <w:numId w:val="3"/>
        </w:numPr>
        <w:spacing w:before="240" w:after="120"/>
        <w:rPr>
          <w:rFonts w:hAnsi="宋体" w:cs="宋体"/>
          <w:kern w:val="44"/>
          <w:sz w:val="21"/>
          <w:szCs w:val="21"/>
        </w:rPr>
      </w:pPr>
      <w:bookmarkStart w:id="115" w:name="_Toc150537723"/>
      <w:r>
        <w:rPr>
          <w:rFonts w:hint="eastAsia" w:hAnsi="宋体"/>
          <w:u w:val="single"/>
        </w:rPr>
        <w:t>★</w:t>
      </w:r>
      <w:r>
        <w:rPr>
          <w:rFonts w:hAnsi="宋体" w:cs="宋体"/>
          <w:kern w:val="44"/>
          <w:sz w:val="21"/>
          <w:szCs w:val="21"/>
        </w:rPr>
        <w:t>慢病续方</w:t>
      </w:r>
      <w:bookmarkEnd w:id="115"/>
    </w:p>
    <w:p w14:paraId="733EF65D">
      <w:pPr>
        <w:spacing w:line="360" w:lineRule="auto"/>
        <w:ind w:firstLine="480"/>
        <w:rPr>
          <w:rFonts w:hAnsi="宋体" w:cs="仿宋"/>
          <w:color w:val="000000"/>
          <w:szCs w:val="21"/>
        </w:rPr>
      </w:pPr>
      <w:r>
        <w:rPr>
          <w:rFonts w:hint="eastAsia" w:hAnsi="宋体" w:cs="仿宋"/>
          <w:color w:val="000000"/>
          <w:szCs w:val="21"/>
        </w:rPr>
        <w:t>针对长期用药的慢病患者开展互联网慢病续方服务，由患者主动选择需要复购的药品，提交复诊病历资料发起续方申请，由医生审核并开具处方，药品配送到家。减少患者反复来回跑医院、蹲点抢号等难处，提升患者的就医体验和满意度。</w:t>
      </w:r>
    </w:p>
    <w:p w14:paraId="51065E29">
      <w:pPr>
        <w:pStyle w:val="544"/>
        <w:numPr>
          <w:ilvl w:val="0"/>
          <w:numId w:val="15"/>
        </w:numPr>
        <w:spacing w:line="360" w:lineRule="auto"/>
        <w:rPr>
          <w:rFonts w:ascii="宋体" w:hAnsi="宋体" w:cs="仿宋"/>
          <w:b/>
          <w:bCs/>
          <w:sz w:val="21"/>
          <w:szCs w:val="21"/>
        </w:rPr>
      </w:pPr>
      <w:r>
        <w:rPr>
          <w:rFonts w:hint="eastAsia" w:ascii="宋体" w:hAnsi="宋体" w:cs="仿宋"/>
          <w:b/>
          <w:bCs/>
          <w:sz w:val="21"/>
          <w:szCs w:val="21"/>
        </w:rPr>
        <w:t>药品设置</w:t>
      </w:r>
    </w:p>
    <w:p w14:paraId="5E124C19">
      <w:pPr>
        <w:spacing w:line="360" w:lineRule="auto"/>
        <w:ind w:firstLine="480"/>
        <w:rPr>
          <w:rFonts w:hAnsi="宋体" w:cs="仿宋"/>
          <w:color w:val="000000"/>
          <w:szCs w:val="21"/>
        </w:rPr>
      </w:pPr>
      <w:r>
        <w:rPr>
          <w:rFonts w:hint="eastAsia" w:hAnsi="宋体" w:cs="仿宋"/>
          <w:color w:val="000000"/>
          <w:szCs w:val="21"/>
        </w:rPr>
        <w:t>系统支持维护可让患者自助申请续方的药品；</w:t>
      </w:r>
    </w:p>
    <w:p w14:paraId="7C25FBA1">
      <w:pPr>
        <w:pStyle w:val="544"/>
        <w:numPr>
          <w:ilvl w:val="0"/>
          <w:numId w:val="15"/>
        </w:numPr>
        <w:spacing w:line="360" w:lineRule="auto"/>
        <w:rPr>
          <w:rFonts w:ascii="宋体" w:hAnsi="宋体" w:cs="仿宋"/>
          <w:b/>
          <w:bCs/>
          <w:sz w:val="21"/>
          <w:szCs w:val="21"/>
        </w:rPr>
      </w:pPr>
      <w:r>
        <w:rPr>
          <w:rFonts w:hint="eastAsia" w:ascii="宋体" w:hAnsi="宋体" w:cs="仿宋"/>
          <w:b/>
          <w:bCs/>
          <w:sz w:val="21"/>
          <w:szCs w:val="21"/>
        </w:rPr>
        <w:t>续方申请</w:t>
      </w:r>
    </w:p>
    <w:p w14:paraId="0A0D2524">
      <w:pPr>
        <w:spacing w:line="360" w:lineRule="auto"/>
        <w:ind w:firstLine="480"/>
        <w:rPr>
          <w:rFonts w:hAnsi="宋体" w:cs="仿宋"/>
          <w:color w:val="000000"/>
          <w:szCs w:val="21"/>
        </w:rPr>
      </w:pPr>
      <w:r>
        <w:rPr>
          <w:rFonts w:hint="eastAsia" w:hAnsi="宋体" w:cs="仿宋"/>
          <w:color w:val="000000"/>
          <w:szCs w:val="21"/>
        </w:rPr>
        <w:t>慢病患者上传历史就诊记录，选择药品提起续方申请，医生审核开方后，线上支付购买，实现到店自取或药品配送到家。</w:t>
      </w:r>
    </w:p>
    <w:p w14:paraId="2A29735B">
      <w:pPr>
        <w:pStyle w:val="544"/>
        <w:numPr>
          <w:ilvl w:val="0"/>
          <w:numId w:val="15"/>
        </w:numPr>
        <w:spacing w:line="360" w:lineRule="auto"/>
        <w:rPr>
          <w:rFonts w:ascii="宋体" w:hAnsi="宋体" w:cs="仿宋"/>
          <w:b/>
          <w:bCs/>
          <w:sz w:val="21"/>
          <w:szCs w:val="21"/>
        </w:rPr>
      </w:pPr>
      <w:r>
        <w:rPr>
          <w:rFonts w:hint="eastAsia" w:ascii="宋体" w:hAnsi="宋体" w:cs="仿宋"/>
          <w:b/>
          <w:bCs/>
          <w:sz w:val="21"/>
          <w:szCs w:val="21"/>
        </w:rPr>
        <w:t>续方审核</w:t>
      </w:r>
    </w:p>
    <w:p w14:paraId="520B6049">
      <w:pPr>
        <w:spacing w:line="360" w:lineRule="auto"/>
        <w:rPr>
          <w:rFonts w:hAnsi="宋体" w:cs="仿宋"/>
          <w:color w:val="000000"/>
          <w:szCs w:val="21"/>
        </w:rPr>
      </w:pPr>
      <w:r>
        <w:rPr>
          <w:rFonts w:hint="eastAsia" w:hAnsi="宋体" w:cs="仿宋"/>
          <w:color w:val="000000"/>
          <w:szCs w:val="21"/>
        </w:rPr>
        <w:t>患者发起续方申请后，医生根据患者提交信息拒绝或通过，通过后后快速开具处方。</w:t>
      </w:r>
    </w:p>
    <w:p w14:paraId="6394983A">
      <w:pPr>
        <w:pStyle w:val="544"/>
        <w:numPr>
          <w:ilvl w:val="0"/>
          <w:numId w:val="15"/>
        </w:numPr>
        <w:spacing w:line="360" w:lineRule="auto"/>
        <w:rPr>
          <w:rFonts w:ascii="宋体" w:hAnsi="宋体" w:cs="仿宋"/>
          <w:b/>
          <w:bCs/>
          <w:sz w:val="21"/>
          <w:szCs w:val="21"/>
        </w:rPr>
      </w:pPr>
      <w:r>
        <w:rPr>
          <w:rFonts w:hint="eastAsia" w:ascii="宋体" w:hAnsi="宋体" w:cs="仿宋"/>
          <w:b/>
          <w:bCs/>
          <w:sz w:val="21"/>
          <w:szCs w:val="21"/>
        </w:rPr>
        <w:t>续方管理</w:t>
      </w:r>
    </w:p>
    <w:p w14:paraId="2DD8ABCC">
      <w:pPr>
        <w:snapToGrid w:val="0"/>
        <w:spacing w:line="360" w:lineRule="auto"/>
        <w:ind w:firstLine="480"/>
        <w:rPr>
          <w:rFonts w:hAnsi="宋体" w:cs="仿宋"/>
          <w:szCs w:val="21"/>
        </w:rPr>
      </w:pPr>
      <w:r>
        <w:rPr>
          <w:rFonts w:hint="eastAsia" w:hAnsi="宋体" w:cs="仿宋"/>
          <w:szCs w:val="21"/>
        </w:rPr>
        <w:t>管理后台支持查看患者提交的续方订单详情，医生的申请结果以及开具的关联处方。。</w:t>
      </w:r>
    </w:p>
    <w:p w14:paraId="1C7183D1">
      <w:pPr>
        <w:pStyle w:val="4"/>
        <w:numPr>
          <w:ilvl w:val="2"/>
          <w:numId w:val="3"/>
        </w:numPr>
        <w:spacing w:before="240" w:after="120"/>
        <w:rPr>
          <w:rFonts w:hAnsi="宋体" w:cs="宋体"/>
          <w:kern w:val="44"/>
          <w:sz w:val="21"/>
          <w:szCs w:val="21"/>
        </w:rPr>
      </w:pPr>
      <w:bookmarkStart w:id="116" w:name="_Toc150537724"/>
      <w:r>
        <w:rPr>
          <w:rFonts w:hAnsi="宋体" w:cs="宋体"/>
          <w:kern w:val="44"/>
          <w:sz w:val="21"/>
          <w:szCs w:val="21"/>
        </w:rPr>
        <w:t>在线支付</w:t>
      </w:r>
      <w:bookmarkEnd w:id="116"/>
    </w:p>
    <w:p w14:paraId="7E6766E7">
      <w:pPr>
        <w:pStyle w:val="544"/>
        <w:numPr>
          <w:ilvl w:val="0"/>
          <w:numId w:val="16"/>
        </w:numPr>
        <w:spacing w:line="360" w:lineRule="auto"/>
        <w:rPr>
          <w:rFonts w:ascii="宋体" w:hAnsi="宋体" w:cs="仿宋"/>
          <w:b/>
          <w:bCs/>
          <w:sz w:val="21"/>
          <w:szCs w:val="21"/>
        </w:rPr>
      </w:pPr>
      <w:r>
        <w:rPr>
          <w:rFonts w:hint="eastAsia" w:ascii="宋体" w:hAnsi="宋体" w:cs="仿宋"/>
          <w:b/>
          <w:bCs/>
          <w:sz w:val="21"/>
          <w:szCs w:val="21"/>
        </w:rPr>
        <w:t>挂号支付</w:t>
      </w:r>
    </w:p>
    <w:p w14:paraId="43E47410">
      <w:pPr>
        <w:snapToGrid w:val="0"/>
        <w:spacing w:line="360" w:lineRule="auto"/>
        <w:ind w:firstLine="480"/>
        <w:rPr>
          <w:rFonts w:hAnsi="宋体" w:cs="仿宋"/>
          <w:szCs w:val="21"/>
        </w:rPr>
      </w:pPr>
      <w:r>
        <w:rPr>
          <w:rFonts w:hint="eastAsia" w:hAnsi="宋体" w:cs="仿宋"/>
          <w:szCs w:val="21"/>
        </w:rPr>
        <w:t>患者发起在线问诊挂号后，可移动挂号支付。</w:t>
      </w:r>
    </w:p>
    <w:p w14:paraId="137D7798">
      <w:pPr>
        <w:pStyle w:val="544"/>
        <w:numPr>
          <w:ilvl w:val="0"/>
          <w:numId w:val="16"/>
        </w:numPr>
        <w:spacing w:line="360" w:lineRule="auto"/>
        <w:rPr>
          <w:rFonts w:ascii="宋体" w:hAnsi="宋体" w:cs="仿宋"/>
          <w:b/>
          <w:bCs/>
          <w:sz w:val="21"/>
          <w:szCs w:val="21"/>
        </w:rPr>
      </w:pPr>
      <w:r>
        <w:rPr>
          <w:rFonts w:hint="eastAsia" w:ascii="宋体" w:hAnsi="宋体" w:cs="仿宋"/>
          <w:b/>
          <w:bCs/>
          <w:sz w:val="21"/>
          <w:szCs w:val="21"/>
        </w:rPr>
        <w:t>诊疗支付</w:t>
      </w:r>
    </w:p>
    <w:p w14:paraId="73AD7CFF">
      <w:pPr>
        <w:pStyle w:val="466"/>
        <w:spacing w:line="360" w:lineRule="auto"/>
        <w:ind w:firstLine="480"/>
        <w:rPr>
          <w:rFonts w:ascii="宋体" w:hAnsi="宋体" w:cs="仿宋"/>
          <w:szCs w:val="21"/>
        </w:rPr>
      </w:pPr>
      <w:r>
        <w:rPr>
          <w:rFonts w:hint="eastAsia" w:ascii="宋体" w:hAnsi="宋体" w:cs="仿宋"/>
          <w:szCs w:val="21"/>
        </w:rPr>
        <w:t>医生为患者开具线上处方、检验申请、检查申请等，患者可移动诊疗支付。</w:t>
      </w:r>
    </w:p>
    <w:p w14:paraId="0173F124">
      <w:pPr>
        <w:pStyle w:val="544"/>
        <w:numPr>
          <w:ilvl w:val="0"/>
          <w:numId w:val="16"/>
        </w:numPr>
        <w:spacing w:line="360" w:lineRule="auto"/>
        <w:rPr>
          <w:rFonts w:ascii="宋体" w:hAnsi="宋体" w:cs="仿宋"/>
          <w:b/>
          <w:bCs/>
          <w:sz w:val="21"/>
          <w:szCs w:val="21"/>
        </w:rPr>
      </w:pPr>
      <w:r>
        <w:rPr>
          <w:rFonts w:hint="eastAsia" w:ascii="宋体" w:hAnsi="宋体" w:cs="仿宋"/>
          <w:b/>
          <w:bCs/>
          <w:sz w:val="21"/>
          <w:szCs w:val="21"/>
        </w:rPr>
        <w:t>续方支付</w:t>
      </w:r>
    </w:p>
    <w:p w14:paraId="6E4B8E50">
      <w:pPr>
        <w:pStyle w:val="466"/>
        <w:spacing w:line="360" w:lineRule="auto"/>
        <w:ind w:left="577" w:firstLine="0" w:firstLineChars="0"/>
        <w:rPr>
          <w:rFonts w:ascii="宋体" w:hAnsi="宋体" w:cs="仿宋"/>
          <w:szCs w:val="21"/>
        </w:rPr>
      </w:pPr>
      <w:r>
        <w:rPr>
          <w:rFonts w:hint="eastAsia" w:ascii="宋体" w:hAnsi="宋体" w:cs="仿宋"/>
          <w:szCs w:val="21"/>
        </w:rPr>
        <w:t>续方审核、医生在线开单后，可移动续方支付。</w:t>
      </w:r>
    </w:p>
    <w:p w14:paraId="071453DA">
      <w:pPr>
        <w:pStyle w:val="544"/>
        <w:numPr>
          <w:ilvl w:val="0"/>
          <w:numId w:val="16"/>
        </w:numPr>
        <w:spacing w:line="360" w:lineRule="auto"/>
        <w:rPr>
          <w:rFonts w:ascii="宋体" w:hAnsi="宋体" w:cs="仿宋"/>
          <w:b/>
          <w:bCs/>
          <w:sz w:val="21"/>
          <w:szCs w:val="21"/>
        </w:rPr>
      </w:pPr>
      <w:r>
        <w:rPr>
          <w:rFonts w:hint="eastAsia" w:ascii="宋体" w:hAnsi="宋体" w:cs="仿宋"/>
          <w:b/>
          <w:bCs/>
          <w:sz w:val="21"/>
          <w:szCs w:val="21"/>
        </w:rPr>
        <w:t>医保在线结算</w:t>
      </w:r>
    </w:p>
    <w:p w14:paraId="25F1F17F">
      <w:pPr>
        <w:spacing w:line="360" w:lineRule="auto"/>
        <w:ind w:left="137" w:firstLine="480"/>
        <w:rPr>
          <w:rFonts w:hAnsi="宋体" w:cs="仿宋"/>
          <w:szCs w:val="21"/>
        </w:rPr>
      </w:pPr>
      <w:r>
        <w:rPr>
          <w:rFonts w:hint="eastAsia" w:hAnsi="宋体" w:cs="仿宋"/>
          <w:szCs w:val="21"/>
        </w:rPr>
        <w:t>1.挂号医保支付</w:t>
      </w:r>
    </w:p>
    <w:p w14:paraId="6A59C3E6">
      <w:pPr>
        <w:spacing w:line="360" w:lineRule="auto"/>
        <w:ind w:firstLine="480"/>
        <w:rPr>
          <w:rFonts w:hAnsi="宋体" w:cs="仿宋"/>
          <w:szCs w:val="21"/>
        </w:rPr>
      </w:pPr>
      <w:r>
        <w:rPr>
          <w:rFonts w:hint="eastAsia" w:hAnsi="宋体" w:cs="仿宋"/>
          <w:szCs w:val="21"/>
        </w:rPr>
        <w:t>在线复诊支持对接国家医保中心，进行电子医保凭证授权，实现医保结算支付。</w:t>
      </w:r>
    </w:p>
    <w:p w14:paraId="7DFD2003">
      <w:pPr>
        <w:pStyle w:val="544"/>
        <w:spacing w:line="360" w:lineRule="auto"/>
        <w:ind w:left="440"/>
        <w:rPr>
          <w:rFonts w:ascii="宋体" w:hAnsi="宋体" w:cs="仿宋"/>
          <w:sz w:val="21"/>
          <w:szCs w:val="21"/>
          <w:lang w:eastAsia="zh-CN"/>
        </w:rPr>
      </w:pPr>
      <w:r>
        <w:rPr>
          <w:rFonts w:hint="eastAsia" w:ascii="宋体" w:hAnsi="宋体" w:cs="仿宋"/>
          <w:sz w:val="21"/>
          <w:szCs w:val="21"/>
          <w:lang w:eastAsia="zh-CN"/>
        </w:rPr>
        <w:t>2.线上诊疗医保支付</w:t>
      </w:r>
    </w:p>
    <w:p w14:paraId="68A05ADE">
      <w:pPr>
        <w:spacing w:line="360" w:lineRule="auto"/>
        <w:ind w:firstLine="480"/>
        <w:rPr>
          <w:rFonts w:hAnsi="宋体" w:cs="仿宋"/>
          <w:szCs w:val="21"/>
        </w:rPr>
      </w:pPr>
      <w:r>
        <w:rPr>
          <w:rFonts w:hint="eastAsia" w:hAnsi="宋体" w:cs="仿宋"/>
          <w:szCs w:val="21"/>
        </w:rPr>
        <w:t>线上开具处方、检验申请、检查申请，支持对接国家医保中心，进行电子医保凭证授权，实现医保结算支付。</w:t>
      </w:r>
    </w:p>
    <w:p w14:paraId="0A71A50F">
      <w:pPr>
        <w:pStyle w:val="4"/>
        <w:numPr>
          <w:ilvl w:val="2"/>
          <w:numId w:val="3"/>
        </w:numPr>
        <w:spacing w:before="240" w:after="120"/>
        <w:rPr>
          <w:rFonts w:hAnsi="宋体" w:cs="宋体"/>
          <w:kern w:val="44"/>
          <w:sz w:val="21"/>
          <w:szCs w:val="21"/>
        </w:rPr>
      </w:pPr>
      <w:bookmarkStart w:id="117" w:name="_Toc150537725"/>
      <w:r>
        <w:rPr>
          <w:rFonts w:hAnsi="宋体" w:cs="宋体"/>
          <w:kern w:val="44"/>
          <w:sz w:val="21"/>
          <w:szCs w:val="21"/>
        </w:rPr>
        <w:t>智慧药师</w:t>
      </w:r>
      <w:bookmarkEnd w:id="117"/>
    </w:p>
    <w:p w14:paraId="52D31D42">
      <w:pPr>
        <w:pStyle w:val="544"/>
        <w:numPr>
          <w:ilvl w:val="0"/>
          <w:numId w:val="17"/>
        </w:numPr>
        <w:spacing w:line="360" w:lineRule="auto"/>
        <w:rPr>
          <w:rFonts w:ascii="宋体" w:hAnsi="宋体" w:cs="仿宋"/>
          <w:b/>
          <w:bCs/>
          <w:sz w:val="21"/>
          <w:szCs w:val="21"/>
        </w:rPr>
      </w:pPr>
      <w:r>
        <w:rPr>
          <w:rFonts w:hint="eastAsia" w:hAnsi="宋体"/>
          <w:u w:val="single"/>
        </w:rPr>
        <w:t>★</w:t>
      </w:r>
      <w:r>
        <w:rPr>
          <w:rFonts w:hint="eastAsia" w:ascii="宋体" w:hAnsi="宋体" w:cs="仿宋"/>
          <w:b/>
          <w:bCs/>
          <w:sz w:val="21"/>
          <w:szCs w:val="21"/>
        </w:rPr>
        <w:t>用药提醒</w:t>
      </w:r>
    </w:p>
    <w:p w14:paraId="217477A5">
      <w:pPr>
        <w:pStyle w:val="544"/>
        <w:numPr>
          <w:ilvl w:val="0"/>
          <w:numId w:val="17"/>
        </w:numPr>
        <w:spacing w:line="360" w:lineRule="auto"/>
        <w:rPr>
          <w:rFonts w:ascii="宋体" w:hAnsi="宋体" w:cs="仿宋"/>
          <w:b/>
          <w:bCs/>
          <w:sz w:val="21"/>
          <w:szCs w:val="21"/>
          <w:lang w:eastAsia="zh-CN"/>
        </w:rPr>
      </w:pPr>
      <w:r>
        <w:rPr>
          <w:rFonts w:hint="eastAsia" w:ascii="宋体" w:hAnsi="宋体" w:cs="仿宋"/>
          <w:szCs w:val="21"/>
          <w:lang w:eastAsia="zh-CN"/>
        </w:rPr>
        <w:t>1.支持智能用药提醒，针对患者的医嘱情况定时定向推送用药提醒，支持患者按需进行消息订阅；</w:t>
      </w:r>
      <w:r>
        <w:rPr>
          <w:rFonts w:hint="eastAsia" w:ascii="宋体" w:hAnsi="宋体" w:cs="仿宋"/>
          <w:b/>
          <w:bCs/>
          <w:sz w:val="21"/>
          <w:szCs w:val="21"/>
          <w:lang w:eastAsia="zh-CN"/>
        </w:rPr>
        <w:t>用药确认</w:t>
      </w:r>
    </w:p>
    <w:p w14:paraId="708899A3">
      <w:pPr>
        <w:spacing w:line="360" w:lineRule="auto"/>
        <w:rPr>
          <w:rFonts w:hAnsi="宋体" w:cs="仿宋"/>
          <w:szCs w:val="21"/>
        </w:rPr>
      </w:pPr>
      <w:r>
        <w:rPr>
          <w:rFonts w:hint="eastAsia" w:hAnsi="宋体" w:cs="仿宋"/>
          <w:szCs w:val="21"/>
        </w:rPr>
        <w:t>患者对用药提醒进行执行后，可以在手机做用药确认，方便后期量化系统使用情况。</w:t>
      </w:r>
    </w:p>
    <w:p w14:paraId="133BECE1">
      <w:pPr>
        <w:pStyle w:val="544"/>
        <w:numPr>
          <w:ilvl w:val="0"/>
          <w:numId w:val="17"/>
        </w:numPr>
        <w:spacing w:line="360" w:lineRule="auto"/>
        <w:rPr>
          <w:rFonts w:ascii="宋体" w:hAnsi="宋体" w:cs="仿宋"/>
          <w:b/>
          <w:bCs/>
          <w:sz w:val="21"/>
          <w:szCs w:val="21"/>
        </w:rPr>
      </w:pPr>
      <w:r>
        <w:rPr>
          <w:rFonts w:hint="eastAsia" w:ascii="宋体" w:hAnsi="宋体" w:cs="仿宋"/>
          <w:b/>
          <w:bCs/>
          <w:sz w:val="21"/>
          <w:szCs w:val="21"/>
        </w:rPr>
        <w:t>处方查询</w:t>
      </w:r>
    </w:p>
    <w:p w14:paraId="79D03513">
      <w:pPr>
        <w:spacing w:line="360" w:lineRule="auto"/>
        <w:rPr>
          <w:rFonts w:hAnsi="宋体" w:cs="仿宋"/>
          <w:szCs w:val="21"/>
        </w:rPr>
      </w:pPr>
      <w:r>
        <w:rPr>
          <w:rFonts w:hint="eastAsia" w:hAnsi="宋体" w:cs="仿宋"/>
          <w:szCs w:val="21"/>
        </w:rPr>
        <w:t>支持患者在线查询自己的门诊处方记录。</w:t>
      </w:r>
    </w:p>
    <w:p w14:paraId="41D166DA">
      <w:pPr>
        <w:pStyle w:val="544"/>
        <w:numPr>
          <w:ilvl w:val="0"/>
          <w:numId w:val="17"/>
        </w:numPr>
        <w:spacing w:line="360" w:lineRule="auto"/>
        <w:rPr>
          <w:rFonts w:ascii="宋体" w:hAnsi="宋体" w:cs="仿宋"/>
          <w:b/>
          <w:bCs/>
          <w:sz w:val="21"/>
          <w:szCs w:val="21"/>
        </w:rPr>
      </w:pPr>
      <w:r>
        <w:rPr>
          <w:rFonts w:hint="eastAsia" w:ascii="宋体" w:hAnsi="宋体" w:cs="仿宋"/>
          <w:b/>
          <w:bCs/>
          <w:sz w:val="21"/>
          <w:szCs w:val="21"/>
        </w:rPr>
        <w:t>药品说明书</w:t>
      </w:r>
    </w:p>
    <w:p w14:paraId="6344515B">
      <w:pPr>
        <w:spacing w:line="360" w:lineRule="auto"/>
        <w:rPr>
          <w:rFonts w:hAnsi="宋体" w:cs="仿宋"/>
          <w:szCs w:val="21"/>
        </w:rPr>
      </w:pPr>
      <w:r>
        <w:rPr>
          <w:rFonts w:hint="eastAsia" w:hAnsi="宋体" w:cs="仿宋"/>
          <w:szCs w:val="21"/>
        </w:rPr>
        <w:t>1.向患者提供药品说明书的查询查看功能；</w:t>
      </w:r>
    </w:p>
    <w:p w14:paraId="622B7CBA">
      <w:pPr>
        <w:spacing w:line="360" w:lineRule="auto"/>
        <w:rPr>
          <w:rFonts w:hAnsi="宋体" w:cs="仿宋"/>
          <w:szCs w:val="21"/>
        </w:rPr>
      </w:pPr>
      <w:r>
        <w:rPr>
          <w:rFonts w:hint="eastAsia" w:hAnsi="宋体" w:cs="仿宋"/>
          <w:szCs w:val="21"/>
        </w:rPr>
        <w:t>2.向医务人员提供同类药品的查询功能，便于医师制订替代药物的治疗方案。</w:t>
      </w:r>
    </w:p>
    <w:p w14:paraId="02FEAE3D">
      <w:pPr>
        <w:pStyle w:val="544"/>
        <w:numPr>
          <w:ilvl w:val="0"/>
          <w:numId w:val="17"/>
        </w:numPr>
        <w:spacing w:line="360" w:lineRule="auto"/>
        <w:rPr>
          <w:rFonts w:ascii="宋体" w:hAnsi="宋体" w:cs="仿宋"/>
          <w:b/>
          <w:bCs/>
          <w:sz w:val="21"/>
          <w:szCs w:val="21"/>
        </w:rPr>
      </w:pPr>
      <w:r>
        <w:rPr>
          <w:rFonts w:hint="eastAsia" w:ascii="宋体" w:hAnsi="宋体" w:cs="仿宋"/>
          <w:b/>
          <w:bCs/>
          <w:sz w:val="21"/>
          <w:szCs w:val="21"/>
        </w:rPr>
        <w:t>语音播报</w:t>
      </w:r>
    </w:p>
    <w:p w14:paraId="1DC3B92F">
      <w:pPr>
        <w:spacing w:line="360" w:lineRule="auto"/>
        <w:ind w:firstLine="480"/>
        <w:rPr>
          <w:rFonts w:hAnsi="宋体" w:cs="仿宋"/>
          <w:b/>
          <w:bCs/>
          <w:szCs w:val="21"/>
        </w:rPr>
      </w:pPr>
      <w:r>
        <w:rPr>
          <w:rFonts w:hint="eastAsia" w:hAnsi="宋体" w:cs="仿宋"/>
          <w:szCs w:val="21"/>
        </w:rPr>
        <w:t>支持“语音播报”说明书，支持对用药交代、备注等医嘱信息进行语音播报，方便老人、弱听等群体。</w:t>
      </w:r>
    </w:p>
    <w:p w14:paraId="05145C19">
      <w:pPr>
        <w:pStyle w:val="544"/>
        <w:numPr>
          <w:ilvl w:val="0"/>
          <w:numId w:val="17"/>
        </w:numPr>
        <w:spacing w:line="360" w:lineRule="auto"/>
        <w:rPr>
          <w:rFonts w:ascii="宋体" w:hAnsi="宋体" w:cs="仿宋"/>
          <w:b/>
          <w:bCs/>
          <w:sz w:val="21"/>
          <w:szCs w:val="21"/>
        </w:rPr>
      </w:pPr>
      <w:r>
        <w:rPr>
          <w:rFonts w:hint="eastAsia" w:ascii="宋体" w:hAnsi="宋体" w:cs="仿宋"/>
          <w:b/>
          <w:bCs/>
          <w:sz w:val="21"/>
          <w:szCs w:val="21"/>
        </w:rPr>
        <w:t>用药咨询</w:t>
      </w:r>
    </w:p>
    <w:p w14:paraId="41FEDD29">
      <w:pPr>
        <w:spacing w:line="360" w:lineRule="auto"/>
        <w:ind w:firstLine="480"/>
        <w:rPr>
          <w:rFonts w:hAnsi="宋体" w:cs="仿宋"/>
          <w:szCs w:val="21"/>
        </w:rPr>
      </w:pPr>
      <w:r>
        <w:rPr>
          <w:rFonts w:hint="eastAsia" w:hAnsi="宋体" w:cs="仿宋"/>
          <w:szCs w:val="21"/>
        </w:rPr>
        <w:t>患者用药存在疑问时，支持连接互联网医院发起药事咨询。</w:t>
      </w:r>
    </w:p>
    <w:p w14:paraId="47FA0F92">
      <w:pPr>
        <w:pStyle w:val="4"/>
        <w:numPr>
          <w:ilvl w:val="2"/>
          <w:numId w:val="3"/>
        </w:numPr>
        <w:spacing w:before="240" w:after="120"/>
        <w:rPr>
          <w:rFonts w:hAnsi="宋体" w:cs="宋体"/>
          <w:kern w:val="44"/>
          <w:sz w:val="21"/>
          <w:szCs w:val="21"/>
        </w:rPr>
      </w:pPr>
      <w:bookmarkStart w:id="118" w:name="_Toc150537726"/>
      <w:r>
        <w:rPr>
          <w:rFonts w:hAnsi="宋体" w:cs="宋体"/>
          <w:kern w:val="44"/>
          <w:sz w:val="21"/>
          <w:szCs w:val="21"/>
        </w:rPr>
        <w:t>诊疗服务管理端</w:t>
      </w:r>
      <w:bookmarkEnd w:id="118"/>
    </w:p>
    <w:p w14:paraId="704DF4F8">
      <w:pPr>
        <w:spacing w:line="360" w:lineRule="auto"/>
        <w:ind w:firstLine="480"/>
        <w:rPr>
          <w:rFonts w:hAnsi="宋体" w:cs="仿宋"/>
          <w:color w:val="000000"/>
          <w:szCs w:val="21"/>
        </w:rPr>
      </w:pPr>
      <w:r>
        <w:rPr>
          <w:rFonts w:hint="eastAsia" w:hAnsi="宋体" w:cs="仿宋"/>
          <w:color w:val="000000"/>
          <w:szCs w:val="21"/>
        </w:rPr>
        <w:t>系统管理员权限登录患者服务平台管理后台后，可提供互联网医院正常运行的基础数据维护，包括科室管理、人员管理、排班管理，药品目录、、诊断库、用药途径、服药频次等医嘱字典信息管理，问诊记录、处方管理、发药管理、评价管理。</w:t>
      </w:r>
    </w:p>
    <w:p w14:paraId="71D93B02">
      <w:pPr>
        <w:pStyle w:val="3"/>
        <w:numPr>
          <w:ilvl w:val="1"/>
          <w:numId w:val="3"/>
        </w:numPr>
        <w:spacing w:before="0" w:after="0" w:line="360" w:lineRule="auto"/>
        <w:jc w:val="left"/>
        <w:rPr>
          <w:rFonts w:ascii="宋体" w:hAnsi="宋体" w:cs="宋体"/>
          <w:sz w:val="21"/>
          <w:szCs w:val="21"/>
        </w:rPr>
      </w:pPr>
      <w:bookmarkStart w:id="119" w:name="_Toc150537727"/>
      <w:r>
        <w:rPr>
          <w:rFonts w:hint="eastAsia" w:ascii="宋体" w:hAnsi="宋体" w:cs="宋体"/>
          <w:sz w:val="21"/>
          <w:szCs w:val="21"/>
        </w:rPr>
        <w:t>互联网中医线上名医工作室</w:t>
      </w:r>
      <w:bookmarkEnd w:id="119"/>
    </w:p>
    <w:p w14:paraId="3200CECA">
      <w:pPr>
        <w:pStyle w:val="4"/>
        <w:numPr>
          <w:ilvl w:val="2"/>
          <w:numId w:val="3"/>
        </w:numPr>
        <w:spacing w:before="240" w:after="120"/>
        <w:rPr>
          <w:rFonts w:hAnsi="宋体" w:cs="宋体"/>
          <w:kern w:val="44"/>
          <w:sz w:val="21"/>
          <w:szCs w:val="21"/>
        </w:rPr>
      </w:pPr>
      <w:bookmarkStart w:id="120" w:name="_Toc150537728"/>
      <w:r>
        <w:rPr>
          <w:rFonts w:hAnsi="宋体" w:cs="宋体"/>
          <w:kern w:val="44"/>
          <w:sz w:val="21"/>
          <w:szCs w:val="21"/>
        </w:rPr>
        <w:t>在线咨询</w:t>
      </w:r>
      <w:bookmarkEnd w:id="120"/>
    </w:p>
    <w:p w14:paraId="7DB97B1C">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患者端</w:t>
      </w:r>
    </w:p>
    <w:p w14:paraId="429D4DC1">
      <w:pPr>
        <w:spacing w:line="360" w:lineRule="auto"/>
        <w:ind w:firstLine="480"/>
        <w:rPr>
          <w:rFonts w:hAnsi="宋体" w:cs="仿宋"/>
          <w:color w:val="000000"/>
          <w:szCs w:val="21"/>
        </w:rPr>
      </w:pPr>
      <w:r>
        <w:rPr>
          <w:rFonts w:hint="eastAsia" w:hAnsi="宋体" w:cs="仿宋"/>
          <w:color w:val="000000"/>
          <w:szCs w:val="21"/>
        </w:rPr>
        <w:t>在线咨询适合的对象：病情稳定的慢性病、常见病复诊者，出院后随访患者，健康咨询患者等。不适合在线咨询的对象：初诊患者、病情变化快的患者、急诊重症患者等。患者端具备以下关键功能：</w:t>
      </w:r>
    </w:p>
    <w:p w14:paraId="5C7DBBA1">
      <w:pPr>
        <w:spacing w:line="360" w:lineRule="auto"/>
        <w:ind w:firstLine="480"/>
        <w:rPr>
          <w:rFonts w:hAnsi="宋体" w:cs="仿宋"/>
          <w:color w:val="000000"/>
          <w:szCs w:val="21"/>
        </w:rPr>
      </w:pPr>
      <w:r>
        <w:rPr>
          <w:rFonts w:hint="eastAsia" w:hAnsi="宋体" w:cs="仿宋"/>
          <w:color w:val="000000"/>
          <w:szCs w:val="21"/>
        </w:rPr>
        <w:t>1、</w:t>
      </w:r>
      <w:r>
        <w:rPr>
          <w:rFonts w:hint="eastAsia" w:hAnsi="宋体" w:cs="仿宋"/>
          <w:color w:val="000000"/>
          <w:szCs w:val="21"/>
        </w:rPr>
        <w:tab/>
      </w:r>
      <w:r>
        <w:rPr>
          <w:rFonts w:hint="eastAsia" w:hAnsi="宋体" w:cs="仿宋"/>
          <w:color w:val="000000"/>
          <w:szCs w:val="21"/>
        </w:rPr>
        <w:t>扫码关注：患者可扫描专属医生二维码关注医院公众号/微信小程序，进入医生主页；</w:t>
      </w:r>
    </w:p>
    <w:p w14:paraId="399B017A">
      <w:pPr>
        <w:spacing w:line="360" w:lineRule="auto"/>
        <w:ind w:firstLine="480"/>
        <w:rPr>
          <w:rFonts w:hAnsi="宋体" w:cs="仿宋"/>
          <w:color w:val="000000"/>
          <w:szCs w:val="21"/>
        </w:rPr>
      </w:pPr>
      <w:r>
        <w:rPr>
          <w:rFonts w:hint="eastAsia" w:hAnsi="宋体" w:cs="仿宋"/>
          <w:color w:val="000000"/>
          <w:szCs w:val="21"/>
        </w:rPr>
        <w:t>支持医生二维码导出。</w:t>
      </w:r>
    </w:p>
    <w:p w14:paraId="53229822">
      <w:pPr>
        <w:spacing w:line="360" w:lineRule="auto"/>
        <w:ind w:firstLine="480"/>
        <w:rPr>
          <w:rFonts w:hAnsi="宋体" w:cs="仿宋"/>
          <w:color w:val="000000"/>
          <w:szCs w:val="21"/>
        </w:rPr>
      </w:pPr>
      <w:r>
        <w:rPr>
          <w:rFonts w:hint="eastAsia" w:hAnsi="宋体" w:cs="仿宋"/>
          <w:color w:val="000000"/>
          <w:szCs w:val="21"/>
        </w:rPr>
        <w:t>2、</w:t>
      </w:r>
      <w:r>
        <w:rPr>
          <w:rFonts w:hint="eastAsia" w:hAnsi="宋体" w:cs="仿宋"/>
          <w:color w:val="000000"/>
          <w:szCs w:val="21"/>
        </w:rPr>
        <w:tab/>
      </w:r>
      <w:r>
        <w:rPr>
          <w:rFonts w:hint="eastAsia" w:hAnsi="宋体" w:cs="仿宋"/>
          <w:color w:val="000000"/>
          <w:szCs w:val="21"/>
        </w:rPr>
        <w:t>咨询首页：首页支持核心应用和应用中心的配置，自定义医院封面图，支持科室推荐、医生推荐。</w:t>
      </w:r>
    </w:p>
    <w:p w14:paraId="5CAAD820">
      <w:pPr>
        <w:spacing w:line="360" w:lineRule="auto"/>
        <w:ind w:firstLine="480"/>
        <w:rPr>
          <w:rFonts w:hAnsi="宋体" w:cs="仿宋"/>
          <w:color w:val="000000"/>
          <w:szCs w:val="21"/>
        </w:rPr>
      </w:pPr>
      <w:r>
        <w:rPr>
          <w:rFonts w:hint="eastAsia" w:hAnsi="宋体" w:cs="仿宋"/>
          <w:color w:val="000000"/>
          <w:szCs w:val="21"/>
        </w:rPr>
        <w:t>3、</w:t>
      </w:r>
      <w:r>
        <w:rPr>
          <w:rFonts w:hint="eastAsia" w:hAnsi="宋体" w:cs="仿宋"/>
          <w:color w:val="000000"/>
          <w:szCs w:val="21"/>
        </w:rPr>
        <w:tab/>
      </w:r>
      <w:r>
        <w:rPr>
          <w:rFonts w:hint="eastAsia" w:hAnsi="宋体" w:cs="仿宋"/>
          <w:color w:val="000000"/>
          <w:szCs w:val="21"/>
        </w:rPr>
        <w:t>医生首页：显示医生擅长、简介信息，可提供的互联网医院应用服务，查询过往患者线上复诊评价，支持患者关注与取关医生。</w:t>
      </w:r>
    </w:p>
    <w:p w14:paraId="3DC0DD39">
      <w:pPr>
        <w:spacing w:line="360" w:lineRule="auto"/>
        <w:ind w:firstLine="480"/>
        <w:rPr>
          <w:rFonts w:hAnsi="宋体" w:cs="仿宋"/>
          <w:color w:val="000000"/>
          <w:szCs w:val="21"/>
        </w:rPr>
      </w:pPr>
      <w:r>
        <w:rPr>
          <w:rFonts w:hint="eastAsia" w:hAnsi="宋体" w:cs="仿宋"/>
          <w:color w:val="000000"/>
          <w:szCs w:val="21"/>
        </w:rPr>
        <w:t>4、</w:t>
      </w:r>
      <w:r>
        <w:rPr>
          <w:rFonts w:hint="eastAsia" w:hAnsi="宋体" w:cs="仿宋"/>
          <w:color w:val="000000"/>
          <w:szCs w:val="21"/>
        </w:rPr>
        <w:tab/>
      </w:r>
      <w:r>
        <w:rPr>
          <w:rFonts w:hint="eastAsia" w:hAnsi="宋体"/>
          <w:u w:val="single"/>
        </w:rPr>
        <w:t>★</w:t>
      </w:r>
      <w:r>
        <w:rPr>
          <w:rFonts w:hint="eastAsia" w:hAnsi="宋体" w:cs="仿宋"/>
          <w:color w:val="000000"/>
          <w:szCs w:val="21"/>
        </w:rPr>
        <w:t>预约挂号：展示医生近期的排班号源信息，支持多分院、多科室出诊的号源信息合并展示，支持线下和线上排班号源的合并展示。</w:t>
      </w:r>
    </w:p>
    <w:p w14:paraId="29BDE32F">
      <w:pPr>
        <w:spacing w:line="360" w:lineRule="auto"/>
        <w:ind w:firstLine="480"/>
        <w:rPr>
          <w:rFonts w:hAnsi="宋体" w:cs="仿宋"/>
          <w:color w:val="000000"/>
          <w:szCs w:val="21"/>
        </w:rPr>
      </w:pPr>
      <w:r>
        <w:rPr>
          <w:rFonts w:hint="eastAsia" w:hAnsi="宋体" w:cs="仿宋"/>
          <w:color w:val="000000"/>
          <w:szCs w:val="21"/>
        </w:rPr>
        <w:t>5、</w:t>
      </w:r>
      <w:r>
        <w:rPr>
          <w:rFonts w:hint="eastAsia" w:hAnsi="宋体" w:cs="仿宋"/>
          <w:color w:val="000000"/>
          <w:szCs w:val="21"/>
        </w:rPr>
        <w:tab/>
      </w:r>
      <w:r>
        <w:rPr>
          <w:rFonts w:hint="eastAsia" w:hAnsi="宋体" w:cs="仿宋"/>
          <w:color w:val="000000"/>
          <w:szCs w:val="21"/>
        </w:rPr>
        <w:t>图文咨询：支持向科室团队或医生个人发起图文咨询，患者可与医生进行在线会话互动服务，支持免费或付费的服务定价模式。</w:t>
      </w:r>
    </w:p>
    <w:p w14:paraId="4A148909">
      <w:pPr>
        <w:spacing w:line="360" w:lineRule="auto"/>
        <w:ind w:firstLine="480"/>
        <w:rPr>
          <w:rFonts w:hAnsi="宋体" w:cs="仿宋"/>
          <w:color w:val="000000"/>
          <w:szCs w:val="21"/>
        </w:rPr>
      </w:pPr>
      <w:r>
        <w:rPr>
          <w:rFonts w:hint="eastAsia" w:hAnsi="宋体" w:cs="仿宋"/>
          <w:color w:val="000000"/>
          <w:szCs w:val="21"/>
        </w:rPr>
        <w:t>6、</w:t>
      </w:r>
      <w:r>
        <w:rPr>
          <w:rFonts w:hint="eastAsia" w:hAnsi="宋体" w:cs="仿宋"/>
          <w:color w:val="000000"/>
          <w:szCs w:val="21"/>
        </w:rPr>
        <w:tab/>
      </w:r>
      <w:r>
        <w:rPr>
          <w:rFonts w:hint="eastAsia" w:hAnsi="宋体" w:cs="仿宋"/>
          <w:color w:val="000000"/>
          <w:szCs w:val="21"/>
        </w:rPr>
        <w:t>电话咨询：根据医生排班预约电话咨询，到预定时间医患双方可进行电话沟通，支持免费或付费的服务定价模式。电话号码支持中间号的隐私保护；</w:t>
      </w:r>
    </w:p>
    <w:p w14:paraId="05C052C0">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AI预问诊</w:t>
      </w:r>
    </w:p>
    <w:p w14:paraId="3B1421F7">
      <w:pPr>
        <w:pStyle w:val="544"/>
        <w:numPr>
          <w:ilvl w:val="0"/>
          <w:numId w:val="18"/>
        </w:numPr>
        <w:spacing w:line="360" w:lineRule="auto"/>
        <w:rPr>
          <w:rFonts w:ascii="宋体" w:hAnsi="宋体" w:cs="仿宋"/>
          <w:b/>
          <w:bCs/>
          <w:sz w:val="21"/>
          <w:szCs w:val="21"/>
        </w:rPr>
      </w:pPr>
      <w:r>
        <w:rPr>
          <w:rFonts w:hint="eastAsia" w:ascii="宋体" w:hAnsi="宋体" w:cs="仿宋"/>
          <w:b/>
          <w:bCs/>
          <w:sz w:val="21"/>
          <w:szCs w:val="21"/>
        </w:rPr>
        <w:t>患者主诉</w:t>
      </w:r>
    </w:p>
    <w:p w14:paraId="70CFBAC1">
      <w:pPr>
        <w:pStyle w:val="544"/>
        <w:spacing w:line="360" w:lineRule="auto"/>
        <w:ind w:left="920"/>
        <w:rPr>
          <w:rFonts w:ascii="宋体" w:hAnsi="宋体" w:cs="仿宋"/>
          <w:b/>
          <w:bCs/>
          <w:sz w:val="21"/>
          <w:szCs w:val="21"/>
          <w:lang w:eastAsia="zh-CN"/>
        </w:rPr>
      </w:pPr>
      <w:r>
        <w:rPr>
          <w:rFonts w:hint="eastAsia" w:ascii="宋体" w:hAnsi="宋体" w:cs="仿宋"/>
          <w:color w:val="000000"/>
          <w:sz w:val="21"/>
          <w:szCs w:val="21"/>
          <w:lang w:eastAsia="zh-CN"/>
        </w:rPr>
        <w:t>系统支持患者基于移动端实现Ai互动，患者可通过文字、语音向患者</w:t>
      </w:r>
    </w:p>
    <w:p w14:paraId="7E82DF48">
      <w:pPr>
        <w:pStyle w:val="544"/>
        <w:numPr>
          <w:ilvl w:val="0"/>
          <w:numId w:val="18"/>
        </w:numPr>
        <w:spacing w:line="360" w:lineRule="auto"/>
        <w:rPr>
          <w:rFonts w:ascii="宋体" w:hAnsi="宋体" w:cs="仿宋"/>
          <w:b/>
          <w:bCs/>
          <w:sz w:val="21"/>
          <w:szCs w:val="21"/>
        </w:rPr>
      </w:pPr>
      <w:r>
        <w:rPr>
          <w:rFonts w:hint="eastAsia" w:ascii="宋体" w:hAnsi="宋体" w:cs="仿宋"/>
          <w:b/>
          <w:bCs/>
          <w:sz w:val="21"/>
          <w:szCs w:val="21"/>
        </w:rPr>
        <w:t>AI智能化提问</w:t>
      </w:r>
    </w:p>
    <w:p w14:paraId="28C018EB">
      <w:pPr>
        <w:spacing w:line="360" w:lineRule="auto"/>
        <w:ind w:firstLine="480"/>
        <w:rPr>
          <w:rFonts w:hAnsi="宋体" w:cs="仿宋"/>
          <w:color w:val="000000"/>
          <w:szCs w:val="21"/>
        </w:rPr>
      </w:pPr>
      <w:r>
        <w:rPr>
          <w:rFonts w:hint="eastAsia" w:hAnsi="宋体" w:cs="仿宋"/>
          <w:color w:val="000000"/>
          <w:szCs w:val="21"/>
        </w:rPr>
        <w:t>在预问诊过程种种，系统会全程根据患者的主诉症状，模拟医生来展开相关的询问。如针对患病时间、诱因、症状位置、颜色、频率等方面进行交互，同时还会询问患者既往病史和过敏史等信息,并记录和识别患者回复的内容。</w:t>
      </w:r>
    </w:p>
    <w:p w14:paraId="274CA9DD">
      <w:pPr>
        <w:spacing w:line="360" w:lineRule="auto"/>
        <w:ind w:left="480"/>
        <w:rPr>
          <w:rFonts w:hAnsi="宋体" w:cs="仿宋"/>
          <w:b/>
          <w:bCs/>
          <w:szCs w:val="21"/>
        </w:rPr>
      </w:pPr>
      <w:r>
        <w:rPr>
          <w:rFonts w:hint="eastAsia" w:hAnsi="宋体" w:cs="仿宋"/>
          <w:b/>
          <w:bCs/>
          <w:szCs w:val="21"/>
        </w:rPr>
        <w:t>3.结构化病历文书生成</w:t>
      </w:r>
    </w:p>
    <w:p w14:paraId="60F8AEA2">
      <w:pPr>
        <w:spacing w:line="360" w:lineRule="auto"/>
        <w:ind w:firstLine="480"/>
        <w:rPr>
          <w:rFonts w:hAnsi="宋体" w:cs="仿宋"/>
          <w:color w:val="000000"/>
          <w:szCs w:val="21"/>
        </w:rPr>
      </w:pPr>
      <w:r>
        <w:rPr>
          <w:rFonts w:hint="eastAsia" w:hAnsi="宋体" w:cs="仿宋"/>
          <w:color w:val="000000"/>
          <w:szCs w:val="21"/>
        </w:rPr>
        <w:t>预问诊流程结束后，系统会自动生成对应的结构化病历文书，减少医生的重复提问和书写病历的操作成本。</w:t>
      </w:r>
    </w:p>
    <w:p w14:paraId="2073DFD1">
      <w:pPr>
        <w:spacing w:line="360" w:lineRule="auto"/>
        <w:ind w:firstLine="480"/>
        <w:rPr>
          <w:rFonts w:hAnsi="宋体" w:cs="仿宋"/>
          <w:color w:val="000000"/>
          <w:szCs w:val="21"/>
        </w:rPr>
      </w:pPr>
      <w:r>
        <w:rPr>
          <w:rFonts w:hint="eastAsia" w:hAnsi="宋体" w:cs="仿宋"/>
          <w:color w:val="000000"/>
          <w:szCs w:val="21"/>
        </w:rPr>
        <w:t>系统支持与HIS打通，把患者预问诊信息通过接口的方式传送给HIS，协助医生提前获知患者病情，提升医生效率，节省书写病历时间，改善医患沟通。</w:t>
      </w:r>
    </w:p>
    <w:p w14:paraId="36B065CB">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医务端（医生、护士、药师）</w:t>
      </w:r>
    </w:p>
    <w:p w14:paraId="1578B1ED">
      <w:pPr>
        <w:pStyle w:val="544"/>
        <w:numPr>
          <w:ilvl w:val="0"/>
          <w:numId w:val="19"/>
        </w:numPr>
        <w:spacing w:line="360" w:lineRule="auto"/>
        <w:rPr>
          <w:rFonts w:ascii="宋体" w:hAnsi="宋体" w:cs="仿宋"/>
          <w:b/>
          <w:bCs/>
          <w:sz w:val="21"/>
          <w:szCs w:val="21"/>
        </w:rPr>
      </w:pPr>
      <w:r>
        <w:rPr>
          <w:rFonts w:hint="eastAsia" w:ascii="宋体" w:hAnsi="宋体" w:cs="仿宋"/>
          <w:b/>
          <w:bCs/>
          <w:sz w:val="21"/>
          <w:szCs w:val="21"/>
          <w:lang w:eastAsia="zh-CN"/>
        </w:rPr>
        <w:t>系统通知</w:t>
      </w:r>
    </w:p>
    <w:p w14:paraId="4658297F">
      <w:pPr>
        <w:spacing w:line="360" w:lineRule="auto"/>
        <w:ind w:left="480" w:firstLine="480"/>
        <w:rPr>
          <w:rFonts w:hAnsi="宋体" w:cs="仿宋"/>
          <w:color w:val="000000"/>
          <w:szCs w:val="21"/>
        </w:rPr>
      </w:pPr>
      <w:r>
        <w:rPr>
          <w:rFonts w:hint="eastAsia" w:hAnsi="宋体" w:cs="仿宋"/>
          <w:color w:val="000000"/>
          <w:szCs w:val="21"/>
        </w:rPr>
        <w:t>系统需支持根据不同的服务场景给医生推送系统通知。</w:t>
      </w:r>
    </w:p>
    <w:p w14:paraId="3552CAF1">
      <w:pPr>
        <w:pStyle w:val="544"/>
        <w:numPr>
          <w:ilvl w:val="0"/>
          <w:numId w:val="19"/>
        </w:numPr>
        <w:spacing w:line="360" w:lineRule="auto"/>
        <w:rPr>
          <w:rFonts w:ascii="宋体" w:hAnsi="宋体" w:cs="仿宋"/>
          <w:b/>
          <w:bCs/>
          <w:sz w:val="21"/>
          <w:szCs w:val="21"/>
        </w:rPr>
      </w:pPr>
      <w:r>
        <w:rPr>
          <w:rFonts w:hint="eastAsia" w:ascii="宋体" w:hAnsi="宋体" w:cs="仿宋"/>
          <w:b/>
          <w:bCs/>
          <w:sz w:val="21"/>
          <w:szCs w:val="21"/>
        </w:rPr>
        <w:t>咨询回复</w:t>
      </w:r>
    </w:p>
    <w:p w14:paraId="2FEF2EDE">
      <w:pPr>
        <w:spacing w:line="360" w:lineRule="auto"/>
        <w:ind w:firstLine="480"/>
        <w:rPr>
          <w:rFonts w:hAnsi="宋体" w:cs="仿宋"/>
          <w:color w:val="000000"/>
          <w:szCs w:val="21"/>
        </w:rPr>
      </w:pPr>
      <w:r>
        <w:rPr>
          <w:rFonts w:hint="eastAsia" w:hAnsi="宋体" w:cs="仿宋"/>
          <w:color w:val="000000"/>
          <w:szCs w:val="21"/>
        </w:rPr>
        <w:t>医生端可接收到患者发起的咨询申请，医生可调阅患者在医院门诊病历、检查检验报告等历史就医信息，支持“图片+文字+语音”的形式回复患者问题。</w:t>
      </w:r>
    </w:p>
    <w:p w14:paraId="3BD259A1">
      <w:pPr>
        <w:pStyle w:val="544"/>
        <w:numPr>
          <w:ilvl w:val="0"/>
          <w:numId w:val="19"/>
        </w:numPr>
        <w:spacing w:line="360" w:lineRule="auto"/>
        <w:rPr>
          <w:rFonts w:ascii="宋体" w:hAnsi="宋体" w:cs="仿宋"/>
          <w:b/>
          <w:bCs/>
          <w:sz w:val="21"/>
          <w:szCs w:val="21"/>
        </w:rPr>
      </w:pPr>
      <w:r>
        <w:rPr>
          <w:rFonts w:hint="eastAsia" w:ascii="宋体" w:hAnsi="宋体" w:cs="仿宋"/>
          <w:b/>
          <w:bCs/>
          <w:sz w:val="21"/>
          <w:szCs w:val="21"/>
        </w:rPr>
        <w:t>会话应用</w:t>
      </w:r>
    </w:p>
    <w:p w14:paraId="430B4D61">
      <w:pPr>
        <w:spacing w:line="360" w:lineRule="auto"/>
        <w:ind w:firstLine="480"/>
        <w:rPr>
          <w:rFonts w:hAnsi="宋体" w:cs="仿宋"/>
          <w:szCs w:val="21"/>
        </w:rPr>
      </w:pPr>
      <w:r>
        <w:rPr>
          <w:rFonts w:hint="eastAsia" w:hAnsi="宋体" w:cs="仿宋"/>
          <w:szCs w:val="21"/>
        </w:rPr>
        <w:t>系统支持医生在线咨询时使用便捷会话应用，包括不限于常用语、发送患教课程、医生名片、问诊表，支持医生调阅用户档案、查询历史订单。</w:t>
      </w:r>
    </w:p>
    <w:p w14:paraId="0382522D">
      <w:pPr>
        <w:pStyle w:val="4"/>
        <w:numPr>
          <w:ilvl w:val="2"/>
          <w:numId w:val="3"/>
        </w:numPr>
        <w:spacing w:before="240" w:after="120"/>
        <w:rPr>
          <w:rFonts w:hAnsi="宋体" w:cs="宋体"/>
          <w:kern w:val="44"/>
          <w:sz w:val="21"/>
          <w:szCs w:val="21"/>
        </w:rPr>
      </w:pPr>
      <w:bookmarkStart w:id="121" w:name="_Toc150537729"/>
      <w:r>
        <w:rPr>
          <w:rFonts w:hAnsi="宋体" w:cs="宋体"/>
          <w:kern w:val="44"/>
          <w:sz w:val="21"/>
          <w:szCs w:val="21"/>
        </w:rPr>
        <w:t xml:space="preserve"> 多人会诊</w:t>
      </w:r>
      <w:bookmarkEnd w:id="121"/>
    </w:p>
    <w:p w14:paraId="3693AD1A">
      <w:pPr>
        <w:spacing w:line="360" w:lineRule="auto"/>
        <w:ind w:firstLine="480"/>
        <w:rPr>
          <w:rFonts w:hAnsi="宋体" w:cs="仿宋"/>
          <w:szCs w:val="21"/>
        </w:rPr>
      </w:pPr>
      <w:r>
        <w:rPr>
          <w:rFonts w:hint="eastAsia" w:hAnsi="宋体" w:cs="仿宋"/>
          <w:szCs w:val="21"/>
        </w:rPr>
        <w:t>网络门诊会诊管理应用于问诊过程中医生拉起院内会诊。医生可邀请不同科室的医生，受邀医生应邀后生成会诊群聊。会诊内支持医生开具处方、多人视频通话。会诊结束后生会诊报告。</w:t>
      </w:r>
    </w:p>
    <w:p w14:paraId="17BC9302">
      <w:pPr>
        <w:pStyle w:val="544"/>
        <w:numPr>
          <w:ilvl w:val="0"/>
          <w:numId w:val="20"/>
        </w:numPr>
        <w:spacing w:line="360" w:lineRule="auto"/>
        <w:rPr>
          <w:rFonts w:ascii="宋体" w:hAnsi="宋体" w:cs="仿宋"/>
          <w:b/>
          <w:bCs/>
          <w:sz w:val="21"/>
          <w:szCs w:val="21"/>
        </w:rPr>
      </w:pPr>
      <w:r>
        <w:rPr>
          <w:rFonts w:hint="eastAsia" w:ascii="宋体" w:hAnsi="宋体" w:cs="仿宋"/>
          <w:b/>
          <w:bCs/>
          <w:sz w:val="21"/>
          <w:szCs w:val="21"/>
        </w:rPr>
        <w:t>会诊邀请</w:t>
      </w:r>
    </w:p>
    <w:p w14:paraId="75FCD73A">
      <w:pPr>
        <w:spacing w:line="360" w:lineRule="auto"/>
        <w:ind w:firstLine="480"/>
        <w:rPr>
          <w:rFonts w:hAnsi="宋体" w:cs="仿宋"/>
          <w:szCs w:val="21"/>
        </w:rPr>
      </w:pPr>
      <w:r>
        <w:rPr>
          <w:rFonts w:hint="eastAsia" w:hAnsi="宋体" w:cs="仿宋"/>
          <w:szCs w:val="21"/>
        </w:rPr>
        <w:t>系统支持医生在问诊过程中拉起院内会诊邀请，通过会诊邀请，可以按科室、医生进行选择，并且填写会诊信息，如会诊目的、会诊说明等，便捷的完成会诊邀请。</w:t>
      </w:r>
    </w:p>
    <w:p w14:paraId="248274EB">
      <w:pPr>
        <w:pStyle w:val="544"/>
        <w:numPr>
          <w:ilvl w:val="0"/>
          <w:numId w:val="20"/>
        </w:numPr>
        <w:spacing w:line="360" w:lineRule="auto"/>
        <w:rPr>
          <w:rFonts w:ascii="宋体" w:hAnsi="宋体" w:cs="仿宋"/>
          <w:b/>
          <w:bCs/>
          <w:sz w:val="21"/>
          <w:szCs w:val="21"/>
        </w:rPr>
      </w:pPr>
      <w:r>
        <w:rPr>
          <w:rFonts w:hint="eastAsia" w:ascii="宋体" w:hAnsi="宋体" w:cs="仿宋"/>
          <w:b/>
          <w:bCs/>
          <w:sz w:val="21"/>
          <w:szCs w:val="21"/>
        </w:rPr>
        <w:t>会诊会话</w:t>
      </w:r>
    </w:p>
    <w:p w14:paraId="4F0A84B5">
      <w:pPr>
        <w:spacing w:line="360" w:lineRule="auto"/>
        <w:ind w:firstLine="480"/>
        <w:rPr>
          <w:rFonts w:hAnsi="宋体" w:cs="仿宋"/>
          <w:szCs w:val="21"/>
        </w:rPr>
      </w:pPr>
      <w:r>
        <w:rPr>
          <w:rFonts w:hint="eastAsia" w:hAnsi="宋体" w:cs="仿宋"/>
          <w:szCs w:val="21"/>
        </w:rPr>
        <w:t>医生发起会诊邀请后，可以快速生成会诊会话。会诊会话内可共享查看患者档案、病情信息，并快速实现多形式的实时的会诊意见交流、开具处方等。</w:t>
      </w:r>
    </w:p>
    <w:p w14:paraId="35A2B65C">
      <w:pPr>
        <w:pStyle w:val="544"/>
        <w:numPr>
          <w:ilvl w:val="0"/>
          <w:numId w:val="20"/>
        </w:numPr>
        <w:spacing w:line="360" w:lineRule="auto"/>
        <w:rPr>
          <w:rFonts w:ascii="宋体" w:hAnsi="宋体" w:cs="仿宋"/>
          <w:b/>
          <w:bCs/>
          <w:sz w:val="21"/>
          <w:szCs w:val="21"/>
        </w:rPr>
      </w:pPr>
      <w:r>
        <w:rPr>
          <w:rFonts w:hint="eastAsia" w:ascii="宋体" w:hAnsi="宋体" w:cs="仿宋"/>
          <w:b/>
          <w:bCs/>
          <w:sz w:val="21"/>
          <w:szCs w:val="21"/>
        </w:rPr>
        <w:t>会诊报告</w:t>
      </w:r>
    </w:p>
    <w:p w14:paraId="0DEC4038">
      <w:pPr>
        <w:spacing w:line="360" w:lineRule="auto"/>
        <w:ind w:firstLine="480"/>
        <w:rPr>
          <w:rFonts w:hAnsi="宋体" w:cs="仿宋"/>
          <w:szCs w:val="21"/>
        </w:rPr>
      </w:pPr>
      <w:r>
        <w:rPr>
          <w:rFonts w:hint="eastAsia" w:hAnsi="宋体" w:cs="仿宋"/>
          <w:szCs w:val="21"/>
        </w:rPr>
        <w:t>会诊结束后，系统支持会诊专家填写会诊意见后生成会诊报告，且会诊报告可供分享下载。</w:t>
      </w:r>
    </w:p>
    <w:p w14:paraId="616BB3D1">
      <w:pPr>
        <w:pStyle w:val="4"/>
        <w:numPr>
          <w:ilvl w:val="2"/>
          <w:numId w:val="3"/>
        </w:numPr>
        <w:spacing w:before="240" w:after="120"/>
        <w:rPr>
          <w:rFonts w:hAnsi="宋体" w:cs="宋体"/>
          <w:kern w:val="44"/>
          <w:sz w:val="21"/>
          <w:szCs w:val="21"/>
        </w:rPr>
      </w:pPr>
      <w:bookmarkStart w:id="122" w:name="_Toc150537730"/>
      <w:r>
        <w:rPr>
          <w:rFonts w:hAnsi="宋体" w:cs="宋体"/>
          <w:kern w:val="44"/>
          <w:sz w:val="21"/>
          <w:szCs w:val="21"/>
        </w:rPr>
        <w:t>远程评估</w:t>
      </w:r>
      <w:bookmarkEnd w:id="122"/>
    </w:p>
    <w:p w14:paraId="154ABF54">
      <w:pPr>
        <w:pStyle w:val="544"/>
        <w:numPr>
          <w:ilvl w:val="0"/>
          <w:numId w:val="21"/>
        </w:numPr>
        <w:spacing w:line="360" w:lineRule="auto"/>
        <w:rPr>
          <w:rFonts w:ascii="宋体" w:hAnsi="宋体" w:cs="仿宋"/>
          <w:b/>
          <w:bCs/>
          <w:sz w:val="21"/>
          <w:szCs w:val="21"/>
        </w:rPr>
      </w:pPr>
      <w:r>
        <w:rPr>
          <w:rFonts w:hint="eastAsia" w:ascii="宋体" w:hAnsi="宋体" w:cs="仿宋"/>
          <w:b/>
          <w:bCs/>
          <w:sz w:val="21"/>
          <w:szCs w:val="21"/>
        </w:rPr>
        <w:t>患者信息共享</w:t>
      </w:r>
    </w:p>
    <w:p w14:paraId="782B8B3A">
      <w:pPr>
        <w:spacing w:line="360" w:lineRule="auto"/>
        <w:ind w:left="420" w:leftChars="200"/>
        <w:rPr>
          <w:rFonts w:hAnsi="宋体" w:cs="仿宋"/>
          <w:b/>
          <w:bCs/>
          <w:szCs w:val="21"/>
        </w:rPr>
      </w:pPr>
      <w:r>
        <w:rPr>
          <w:rFonts w:hint="eastAsia" w:hAnsi="宋体" w:cs="仿宋"/>
          <w:szCs w:val="21"/>
        </w:rPr>
        <w:t>系统支持医生可远程评估患者情况，系统内可共享查看患者档案、病情信息。</w:t>
      </w:r>
      <w:r>
        <w:rPr>
          <w:rFonts w:hint="eastAsia" w:hAnsi="宋体" w:cs="仿宋"/>
          <w:b/>
          <w:bCs/>
          <w:szCs w:val="21"/>
        </w:rPr>
        <w:t>2.患者病历</w:t>
      </w:r>
    </w:p>
    <w:p w14:paraId="11E4D012">
      <w:pPr>
        <w:spacing w:line="360" w:lineRule="auto"/>
        <w:ind w:left="420" w:leftChars="200"/>
        <w:rPr>
          <w:rFonts w:hAnsi="宋体" w:cs="仿宋"/>
          <w:b/>
          <w:bCs/>
          <w:szCs w:val="21"/>
        </w:rPr>
      </w:pPr>
      <w:r>
        <w:rPr>
          <w:rFonts w:hint="eastAsia" w:hAnsi="宋体" w:cs="仿宋"/>
          <w:szCs w:val="21"/>
        </w:rPr>
        <w:t>系统支持医生可远程评估患者情况，系统内可共享查看患者病历。</w:t>
      </w:r>
    </w:p>
    <w:p w14:paraId="64650DD5">
      <w:pPr>
        <w:spacing w:line="360" w:lineRule="auto"/>
        <w:ind w:left="420" w:leftChars="200"/>
        <w:rPr>
          <w:rFonts w:hAnsi="宋体" w:cs="仿宋"/>
          <w:b/>
          <w:bCs/>
          <w:szCs w:val="21"/>
        </w:rPr>
      </w:pPr>
      <w:r>
        <w:rPr>
          <w:rFonts w:hint="eastAsia" w:hAnsi="宋体" w:cs="仿宋"/>
          <w:b/>
          <w:bCs/>
          <w:szCs w:val="21"/>
        </w:rPr>
        <w:t>3.评估意见</w:t>
      </w:r>
    </w:p>
    <w:p w14:paraId="2CD9D99E">
      <w:pPr>
        <w:spacing w:line="360" w:lineRule="auto"/>
        <w:ind w:firstLine="480"/>
        <w:rPr>
          <w:rFonts w:hAnsi="宋体" w:cs="仿宋"/>
          <w:b/>
          <w:bCs/>
          <w:szCs w:val="21"/>
        </w:rPr>
      </w:pPr>
      <w:r>
        <w:rPr>
          <w:rFonts w:hint="eastAsia" w:hAnsi="宋体" w:cs="仿宋"/>
          <w:szCs w:val="21"/>
        </w:rPr>
        <w:t>评估结束后，系统支持专家线上填写评估意见后生成评估报告，且会诊报告可供分享下载。</w:t>
      </w:r>
    </w:p>
    <w:p w14:paraId="73A81171">
      <w:pPr>
        <w:spacing w:line="360" w:lineRule="auto"/>
        <w:ind w:left="420" w:leftChars="200"/>
        <w:rPr>
          <w:rFonts w:hAnsi="宋体" w:cs="仿宋"/>
          <w:b/>
          <w:bCs/>
          <w:szCs w:val="21"/>
        </w:rPr>
      </w:pPr>
    </w:p>
    <w:p w14:paraId="644DA462">
      <w:pPr>
        <w:pStyle w:val="4"/>
        <w:numPr>
          <w:ilvl w:val="2"/>
          <w:numId w:val="3"/>
        </w:numPr>
        <w:spacing w:before="240" w:after="120"/>
        <w:rPr>
          <w:rFonts w:hAnsi="宋体" w:cs="宋体"/>
          <w:kern w:val="44"/>
          <w:sz w:val="21"/>
          <w:szCs w:val="21"/>
        </w:rPr>
      </w:pPr>
      <w:bookmarkStart w:id="123" w:name="_Toc150537731"/>
      <w:r>
        <w:rPr>
          <w:rFonts w:hAnsi="宋体" w:cs="宋体"/>
          <w:kern w:val="44"/>
          <w:sz w:val="21"/>
          <w:szCs w:val="21"/>
        </w:rPr>
        <w:t>名医讲堂</w:t>
      </w:r>
      <w:bookmarkEnd w:id="123"/>
    </w:p>
    <w:p w14:paraId="76EB117C">
      <w:pPr>
        <w:spacing w:line="360" w:lineRule="auto"/>
        <w:ind w:firstLine="480"/>
        <w:rPr>
          <w:rFonts w:hAnsi="宋体" w:cs="仿宋"/>
          <w:color w:val="000000"/>
          <w:szCs w:val="21"/>
        </w:rPr>
      </w:pPr>
      <w:r>
        <w:rPr>
          <w:rFonts w:hint="eastAsia" w:hAnsi="宋体" w:cs="仿宋"/>
          <w:color w:val="000000"/>
          <w:szCs w:val="21"/>
        </w:rPr>
        <w:t>健康教育与健康促进是提高公众健康水平最根本、最经济、最有效的措施。让医生成为医学科普、健康教育的实践者，将正确的防病治病理念和健康教育知识传播给市民。推动医院从“以治病为中心”向“以人民健康为中心”转变。</w:t>
      </w:r>
    </w:p>
    <w:p w14:paraId="65EA2B1F">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患者端</w:t>
      </w:r>
    </w:p>
    <w:p w14:paraId="0656B644">
      <w:pPr>
        <w:pStyle w:val="544"/>
        <w:numPr>
          <w:ilvl w:val="0"/>
          <w:numId w:val="22"/>
        </w:numPr>
        <w:spacing w:line="360" w:lineRule="auto"/>
        <w:rPr>
          <w:rFonts w:ascii="宋体" w:hAnsi="宋体" w:cs="仿宋"/>
          <w:b/>
          <w:bCs/>
          <w:sz w:val="21"/>
          <w:szCs w:val="21"/>
        </w:rPr>
      </w:pPr>
      <w:r>
        <w:rPr>
          <w:rFonts w:hint="eastAsia" w:ascii="宋体" w:hAnsi="宋体" w:cs="仿宋"/>
          <w:b/>
          <w:bCs/>
          <w:sz w:val="21"/>
          <w:szCs w:val="21"/>
        </w:rPr>
        <w:t>名医关注</w:t>
      </w:r>
    </w:p>
    <w:p w14:paraId="29DA296F">
      <w:pPr>
        <w:spacing w:line="360" w:lineRule="auto"/>
        <w:ind w:left="480" w:firstLine="480"/>
        <w:rPr>
          <w:rFonts w:hAnsi="宋体" w:cs="仿宋"/>
          <w:szCs w:val="21"/>
        </w:rPr>
      </w:pPr>
      <w:r>
        <w:rPr>
          <w:rFonts w:hint="eastAsia" w:hAnsi="宋体" w:cs="仿宋"/>
          <w:szCs w:val="21"/>
        </w:rPr>
        <w:t>患者可以关注医生，医生发布课程后系统将发送提醒至患者。</w:t>
      </w:r>
    </w:p>
    <w:p w14:paraId="788D2CFC">
      <w:pPr>
        <w:pStyle w:val="544"/>
        <w:numPr>
          <w:ilvl w:val="0"/>
          <w:numId w:val="22"/>
        </w:numPr>
        <w:spacing w:line="360" w:lineRule="auto"/>
        <w:rPr>
          <w:rFonts w:ascii="宋体" w:hAnsi="宋体" w:cs="仿宋"/>
          <w:b/>
          <w:bCs/>
          <w:sz w:val="21"/>
          <w:szCs w:val="21"/>
        </w:rPr>
      </w:pPr>
      <w:r>
        <w:rPr>
          <w:rFonts w:hint="eastAsia" w:ascii="宋体" w:hAnsi="宋体" w:cs="仿宋"/>
          <w:b/>
          <w:bCs/>
          <w:sz w:val="21"/>
          <w:szCs w:val="21"/>
        </w:rPr>
        <w:t>课程查看</w:t>
      </w:r>
    </w:p>
    <w:p w14:paraId="58596B8A">
      <w:pPr>
        <w:spacing w:line="360" w:lineRule="auto"/>
        <w:ind w:left="480" w:firstLine="480"/>
        <w:rPr>
          <w:rFonts w:hAnsi="宋体" w:cs="仿宋"/>
          <w:szCs w:val="21"/>
        </w:rPr>
      </w:pPr>
      <w:r>
        <w:rPr>
          <w:rFonts w:hint="eastAsia" w:hAnsi="宋体" w:cs="仿宋"/>
          <w:szCs w:val="21"/>
        </w:rPr>
        <w:t>患者查询自己的患教课程阅读记录。</w:t>
      </w:r>
    </w:p>
    <w:p w14:paraId="4B806927">
      <w:pPr>
        <w:pStyle w:val="544"/>
        <w:numPr>
          <w:ilvl w:val="0"/>
          <w:numId w:val="22"/>
        </w:numPr>
        <w:spacing w:line="360" w:lineRule="auto"/>
        <w:rPr>
          <w:rFonts w:ascii="宋体" w:hAnsi="宋体" w:cs="仿宋"/>
          <w:b/>
          <w:bCs/>
          <w:sz w:val="21"/>
          <w:szCs w:val="21"/>
        </w:rPr>
      </w:pPr>
      <w:r>
        <w:rPr>
          <w:rFonts w:hint="eastAsia" w:ascii="宋体" w:hAnsi="宋体" w:cs="仿宋"/>
          <w:b/>
          <w:bCs/>
          <w:sz w:val="21"/>
          <w:szCs w:val="21"/>
        </w:rPr>
        <w:t>课程评价</w:t>
      </w:r>
      <w:r>
        <w:rPr>
          <w:rFonts w:hint="eastAsia" w:ascii="宋体" w:hAnsi="宋体" w:cs="仿宋"/>
          <w:b/>
          <w:bCs/>
          <w:sz w:val="21"/>
          <w:szCs w:val="21"/>
          <w:lang w:eastAsia="zh-CN"/>
        </w:rPr>
        <w:t>与分享</w:t>
      </w:r>
    </w:p>
    <w:p w14:paraId="2878CE2B">
      <w:pPr>
        <w:spacing w:line="360" w:lineRule="auto"/>
        <w:ind w:left="480" w:firstLine="480"/>
        <w:rPr>
          <w:rFonts w:hAnsi="宋体" w:cs="仿宋"/>
          <w:szCs w:val="21"/>
        </w:rPr>
      </w:pPr>
      <w:r>
        <w:rPr>
          <w:rFonts w:hint="eastAsia" w:hAnsi="宋体" w:cs="仿宋"/>
          <w:szCs w:val="21"/>
        </w:rPr>
        <w:t>患者可对健康课程进行评价和分享；</w:t>
      </w:r>
    </w:p>
    <w:p w14:paraId="5F1555A0">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医院端</w:t>
      </w:r>
    </w:p>
    <w:p w14:paraId="01543677">
      <w:pPr>
        <w:pStyle w:val="544"/>
        <w:numPr>
          <w:ilvl w:val="0"/>
          <w:numId w:val="23"/>
        </w:numPr>
        <w:spacing w:line="360" w:lineRule="auto"/>
        <w:rPr>
          <w:rFonts w:ascii="宋体" w:hAnsi="宋体" w:cs="仿宋"/>
          <w:b/>
          <w:bCs/>
          <w:sz w:val="21"/>
          <w:szCs w:val="21"/>
        </w:rPr>
      </w:pPr>
      <w:r>
        <w:rPr>
          <w:rFonts w:hint="eastAsia" w:ascii="宋体" w:hAnsi="宋体" w:cs="仿宋"/>
          <w:b/>
          <w:bCs/>
          <w:sz w:val="21"/>
          <w:szCs w:val="21"/>
        </w:rPr>
        <w:t>课程发布</w:t>
      </w:r>
    </w:p>
    <w:p w14:paraId="469EDAC0">
      <w:pPr>
        <w:numPr>
          <w:ilvl w:val="0"/>
          <w:numId w:val="24"/>
        </w:numPr>
        <w:snapToGrid w:val="0"/>
        <w:spacing w:line="360" w:lineRule="auto"/>
        <w:ind w:left="319" w:leftChars="152" w:firstLine="480"/>
        <w:rPr>
          <w:rFonts w:hAnsi="宋体" w:cs="仿宋"/>
          <w:szCs w:val="21"/>
        </w:rPr>
      </w:pPr>
      <w:r>
        <w:rPr>
          <w:rFonts w:hint="eastAsia" w:hAnsi="宋体" w:cs="仿宋"/>
          <w:szCs w:val="21"/>
        </w:rPr>
        <w:t>支持管理员在管理后台编辑并发布图文、音频和视频素材的患教课程。</w:t>
      </w:r>
    </w:p>
    <w:p w14:paraId="3441AE48">
      <w:pPr>
        <w:numPr>
          <w:ilvl w:val="0"/>
          <w:numId w:val="24"/>
        </w:numPr>
        <w:snapToGrid w:val="0"/>
        <w:spacing w:line="360" w:lineRule="auto"/>
        <w:ind w:left="319" w:leftChars="152" w:firstLine="480"/>
        <w:rPr>
          <w:rFonts w:hAnsi="宋体" w:cs="仿宋"/>
          <w:szCs w:val="21"/>
        </w:rPr>
      </w:pPr>
      <w:r>
        <w:rPr>
          <w:rFonts w:hint="eastAsia" w:hAnsi="宋体" w:cs="仿宋"/>
          <w:szCs w:val="21"/>
        </w:rPr>
        <w:t>支持医生通过app编辑并发布图文、音频和视频素材的健康课程，发布成功后可将课程内容推送给自己的患者。</w:t>
      </w:r>
    </w:p>
    <w:p w14:paraId="16682D5F">
      <w:pPr>
        <w:numPr>
          <w:ilvl w:val="0"/>
          <w:numId w:val="24"/>
        </w:numPr>
        <w:snapToGrid w:val="0"/>
        <w:spacing w:line="360" w:lineRule="auto"/>
        <w:ind w:left="319" w:leftChars="152" w:firstLine="480"/>
        <w:rPr>
          <w:rFonts w:hAnsi="宋体" w:cs="仿宋"/>
          <w:szCs w:val="21"/>
        </w:rPr>
      </w:pPr>
      <w:r>
        <w:rPr>
          <w:rFonts w:hint="eastAsia" w:hAnsi="宋体" w:cs="仿宋"/>
          <w:szCs w:val="21"/>
        </w:rPr>
        <w:t>支持医生通过网页版编辑并发布图文、音频和视频素材的健康课程，发布成功后可将课程内容推送给自己的患者。</w:t>
      </w:r>
    </w:p>
    <w:p w14:paraId="265E110E">
      <w:pPr>
        <w:pStyle w:val="544"/>
        <w:numPr>
          <w:ilvl w:val="0"/>
          <w:numId w:val="23"/>
        </w:numPr>
        <w:spacing w:line="360" w:lineRule="auto"/>
        <w:rPr>
          <w:rFonts w:ascii="宋体" w:hAnsi="宋体" w:cs="仿宋"/>
          <w:b/>
          <w:bCs/>
          <w:sz w:val="21"/>
          <w:szCs w:val="21"/>
        </w:rPr>
      </w:pPr>
      <w:r>
        <w:rPr>
          <w:rFonts w:hint="eastAsia" w:ascii="宋体" w:hAnsi="宋体" w:cs="仿宋"/>
          <w:b/>
          <w:bCs/>
          <w:sz w:val="21"/>
          <w:szCs w:val="21"/>
        </w:rPr>
        <w:t>课程管理</w:t>
      </w:r>
    </w:p>
    <w:p w14:paraId="0F97E750">
      <w:pPr>
        <w:spacing w:line="360" w:lineRule="auto"/>
        <w:ind w:left="480" w:firstLine="480"/>
        <w:rPr>
          <w:rFonts w:hAnsi="宋体" w:cs="仿宋"/>
          <w:b/>
          <w:bCs/>
          <w:szCs w:val="21"/>
        </w:rPr>
      </w:pPr>
      <w:r>
        <w:rPr>
          <w:rFonts w:hint="eastAsia" w:hAnsi="宋体" w:cs="仿宋"/>
          <w:szCs w:val="21"/>
        </w:rPr>
        <w:t>支持管理员设置医院的课程类目，对医护人员提交的患教内容进行审核、上架下架。</w:t>
      </w:r>
    </w:p>
    <w:p w14:paraId="550409FB">
      <w:pPr>
        <w:pStyle w:val="4"/>
        <w:numPr>
          <w:ilvl w:val="2"/>
          <w:numId w:val="3"/>
        </w:numPr>
        <w:spacing w:before="240" w:after="120"/>
        <w:rPr>
          <w:rFonts w:hAnsi="宋体" w:cs="宋体"/>
          <w:kern w:val="44"/>
          <w:sz w:val="21"/>
          <w:szCs w:val="21"/>
        </w:rPr>
      </w:pPr>
      <w:bookmarkStart w:id="124" w:name="_Toc150537732"/>
      <w:r>
        <w:rPr>
          <w:rFonts w:hAnsi="宋体" w:cs="宋体"/>
          <w:kern w:val="44"/>
          <w:sz w:val="21"/>
          <w:szCs w:val="21"/>
        </w:rPr>
        <w:t>随访管理</w:t>
      </w:r>
      <w:bookmarkEnd w:id="124"/>
    </w:p>
    <w:p w14:paraId="1EAF9111">
      <w:pPr>
        <w:spacing w:line="360" w:lineRule="auto"/>
        <w:ind w:firstLine="480"/>
        <w:rPr>
          <w:rFonts w:hAnsi="宋体" w:cs="仿宋"/>
          <w:szCs w:val="21"/>
        </w:rPr>
      </w:pPr>
      <w:r>
        <w:rPr>
          <w:rFonts w:hint="eastAsia" w:hAnsi="宋体" w:cs="仿宋"/>
          <w:szCs w:val="21"/>
        </w:rPr>
        <w:t>随访管理是一项辅助医生对患者的后期跟踪治疗和复查提醒的工具。它支持医生选择模板或自定义配置随访计划各个事项（复诊提醒、用药提醒、生活指导），发送并邀请患者加入。=系统自动发起随访提醒，记录用户执行情况。以此提高患者的复诊率，降低医院的患者管理成本。</w:t>
      </w:r>
    </w:p>
    <w:p w14:paraId="49547CCF">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患者端</w:t>
      </w:r>
    </w:p>
    <w:p w14:paraId="06743E84">
      <w:pPr>
        <w:pStyle w:val="544"/>
        <w:numPr>
          <w:ilvl w:val="0"/>
          <w:numId w:val="25"/>
        </w:numPr>
        <w:spacing w:line="360" w:lineRule="auto"/>
        <w:rPr>
          <w:rFonts w:ascii="宋体" w:hAnsi="宋体" w:cs="仿宋"/>
          <w:b/>
          <w:bCs/>
          <w:sz w:val="21"/>
          <w:szCs w:val="21"/>
        </w:rPr>
      </w:pPr>
      <w:r>
        <w:rPr>
          <w:rFonts w:hint="eastAsia" w:ascii="宋体" w:hAnsi="宋体" w:cs="仿宋"/>
          <w:b/>
          <w:bCs/>
          <w:sz w:val="21"/>
          <w:szCs w:val="21"/>
        </w:rPr>
        <w:t>随访计划加入</w:t>
      </w:r>
    </w:p>
    <w:p w14:paraId="2E8A7A12">
      <w:pPr>
        <w:spacing w:line="360" w:lineRule="auto"/>
        <w:ind w:left="480"/>
        <w:rPr>
          <w:rFonts w:hAnsi="宋体" w:cs="仿宋"/>
          <w:szCs w:val="21"/>
        </w:rPr>
      </w:pPr>
      <w:r>
        <w:rPr>
          <w:rFonts w:hint="eastAsia" w:hAnsi="宋体" w:cs="仿宋"/>
          <w:szCs w:val="21"/>
        </w:rPr>
        <w:t>支持患者扫码、点击医生邀请链接加入随访计划。</w:t>
      </w:r>
    </w:p>
    <w:p w14:paraId="0CA14273">
      <w:pPr>
        <w:pStyle w:val="544"/>
        <w:numPr>
          <w:ilvl w:val="0"/>
          <w:numId w:val="25"/>
        </w:numPr>
        <w:spacing w:line="360" w:lineRule="auto"/>
        <w:rPr>
          <w:rFonts w:ascii="宋体" w:hAnsi="宋体" w:cs="仿宋"/>
          <w:b/>
          <w:bCs/>
          <w:sz w:val="21"/>
          <w:szCs w:val="21"/>
        </w:rPr>
      </w:pPr>
      <w:r>
        <w:rPr>
          <w:rFonts w:hint="eastAsia" w:ascii="宋体" w:hAnsi="宋体" w:cs="仿宋"/>
          <w:b/>
          <w:bCs/>
          <w:sz w:val="21"/>
          <w:szCs w:val="21"/>
        </w:rPr>
        <w:t>随访计划退出</w:t>
      </w:r>
    </w:p>
    <w:p w14:paraId="1D7732EE">
      <w:pPr>
        <w:spacing w:line="360" w:lineRule="auto"/>
        <w:ind w:left="480"/>
        <w:rPr>
          <w:rFonts w:hAnsi="宋体" w:cs="仿宋"/>
          <w:szCs w:val="21"/>
        </w:rPr>
      </w:pPr>
      <w:r>
        <w:rPr>
          <w:rFonts w:hint="eastAsia" w:hAnsi="宋体" w:cs="仿宋"/>
          <w:szCs w:val="21"/>
        </w:rPr>
        <w:t>患者可以退出医生发起的随访计划。</w:t>
      </w:r>
    </w:p>
    <w:p w14:paraId="222C6237">
      <w:pPr>
        <w:pStyle w:val="544"/>
        <w:numPr>
          <w:ilvl w:val="0"/>
          <w:numId w:val="25"/>
        </w:numPr>
        <w:spacing w:line="360" w:lineRule="auto"/>
        <w:rPr>
          <w:rFonts w:ascii="宋体" w:hAnsi="宋体" w:cs="仿宋"/>
          <w:b/>
          <w:bCs/>
          <w:sz w:val="21"/>
          <w:szCs w:val="21"/>
        </w:rPr>
      </w:pPr>
      <w:r>
        <w:rPr>
          <w:rFonts w:hint="eastAsia" w:ascii="宋体" w:hAnsi="宋体" w:cs="仿宋"/>
          <w:b/>
          <w:bCs/>
          <w:sz w:val="21"/>
          <w:szCs w:val="21"/>
        </w:rPr>
        <w:t>查看随访计划</w:t>
      </w:r>
    </w:p>
    <w:p w14:paraId="6333A06D">
      <w:pPr>
        <w:spacing w:line="360" w:lineRule="auto"/>
        <w:ind w:left="480"/>
        <w:rPr>
          <w:rFonts w:hAnsi="宋体" w:cs="仿宋"/>
          <w:szCs w:val="21"/>
        </w:rPr>
      </w:pPr>
      <w:bookmarkStart w:id="125" w:name="_Hlk146274930"/>
      <w:r>
        <w:rPr>
          <w:rFonts w:hint="eastAsia" w:hAnsi="宋体" w:cs="仿宋"/>
          <w:szCs w:val="21"/>
        </w:rPr>
        <w:t>患者可以查看系统送的随访计划的邀请记录和加入记录。</w:t>
      </w:r>
    </w:p>
    <w:bookmarkEnd w:id="125"/>
    <w:p w14:paraId="1709D379">
      <w:pPr>
        <w:pStyle w:val="544"/>
        <w:numPr>
          <w:ilvl w:val="0"/>
          <w:numId w:val="25"/>
        </w:numPr>
        <w:spacing w:line="360" w:lineRule="auto"/>
        <w:rPr>
          <w:rFonts w:ascii="宋体" w:hAnsi="宋体" w:cs="仿宋"/>
          <w:b/>
          <w:bCs/>
          <w:sz w:val="21"/>
          <w:szCs w:val="21"/>
        </w:rPr>
      </w:pPr>
      <w:r>
        <w:rPr>
          <w:rFonts w:hint="eastAsia" w:ascii="宋体" w:hAnsi="宋体" w:cs="仿宋"/>
          <w:b/>
          <w:bCs/>
          <w:sz w:val="21"/>
          <w:szCs w:val="21"/>
        </w:rPr>
        <w:t>患者日程</w:t>
      </w:r>
    </w:p>
    <w:p w14:paraId="6239CED8">
      <w:pPr>
        <w:spacing w:line="360" w:lineRule="auto"/>
        <w:ind w:left="480"/>
        <w:rPr>
          <w:rFonts w:hAnsi="宋体" w:cs="仿宋"/>
          <w:szCs w:val="21"/>
        </w:rPr>
      </w:pPr>
      <w:r>
        <w:rPr>
          <w:rFonts w:hint="eastAsia" w:hAnsi="宋体" w:cs="仿宋"/>
          <w:szCs w:val="21"/>
        </w:rPr>
        <w:t>患者定期收到随访计划的系统自动提醒，对随访事项进行操作完成。。</w:t>
      </w:r>
    </w:p>
    <w:p w14:paraId="389E8257">
      <w:pPr>
        <w:pStyle w:val="544"/>
        <w:numPr>
          <w:ilvl w:val="0"/>
          <w:numId w:val="25"/>
        </w:numPr>
        <w:spacing w:line="360" w:lineRule="auto"/>
        <w:rPr>
          <w:rFonts w:ascii="宋体" w:hAnsi="宋体" w:cs="仿宋"/>
          <w:b/>
          <w:bCs/>
          <w:sz w:val="21"/>
          <w:szCs w:val="21"/>
        </w:rPr>
      </w:pPr>
      <w:r>
        <w:rPr>
          <w:rFonts w:hint="eastAsia" w:ascii="宋体" w:hAnsi="宋体" w:cs="仿宋"/>
          <w:b/>
          <w:bCs/>
          <w:sz w:val="21"/>
          <w:szCs w:val="21"/>
        </w:rPr>
        <w:t>随访消息</w:t>
      </w:r>
    </w:p>
    <w:p w14:paraId="10D25A26">
      <w:pPr>
        <w:pStyle w:val="544"/>
        <w:spacing w:line="360" w:lineRule="auto"/>
        <w:ind w:left="920"/>
        <w:rPr>
          <w:rFonts w:ascii="宋体" w:hAnsi="宋体" w:cs="仿宋"/>
          <w:b/>
          <w:bCs/>
          <w:sz w:val="21"/>
          <w:szCs w:val="21"/>
          <w:lang w:eastAsia="zh-CN"/>
        </w:rPr>
      </w:pPr>
      <w:r>
        <w:rPr>
          <w:rFonts w:hint="eastAsia" w:ascii="宋体" w:hAnsi="宋体" w:cs="仿宋"/>
          <w:sz w:val="21"/>
          <w:szCs w:val="21"/>
          <w:lang w:eastAsia="zh-CN"/>
        </w:rPr>
        <w:t>患者可以基于移动端接收医生发送的随访消息并进行处理。</w:t>
      </w:r>
    </w:p>
    <w:p w14:paraId="1DA6B4C1">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医生端</w:t>
      </w:r>
    </w:p>
    <w:p w14:paraId="168E3258">
      <w:pPr>
        <w:spacing w:line="360" w:lineRule="auto"/>
        <w:ind w:firstLine="482"/>
        <w:rPr>
          <w:rFonts w:hAnsi="宋体" w:cs="仿宋"/>
          <w:b/>
          <w:bCs/>
          <w:szCs w:val="21"/>
        </w:rPr>
      </w:pPr>
      <w:r>
        <w:rPr>
          <w:rFonts w:hint="eastAsia" w:hAnsi="宋体" w:cs="仿宋"/>
          <w:b/>
          <w:bCs/>
          <w:szCs w:val="21"/>
        </w:rPr>
        <w:t>(1)</w:t>
      </w:r>
      <w:r>
        <w:rPr>
          <w:rFonts w:hint="eastAsia" w:hAnsi="宋体" w:cs="仿宋"/>
          <w:b/>
          <w:bCs/>
          <w:szCs w:val="21"/>
        </w:rPr>
        <w:tab/>
      </w:r>
      <w:r>
        <w:rPr>
          <w:rFonts w:hint="eastAsia" w:hAnsi="宋体" w:cs="仿宋"/>
          <w:b/>
          <w:bCs/>
          <w:szCs w:val="21"/>
        </w:rPr>
        <w:t>随访计划发布</w:t>
      </w:r>
    </w:p>
    <w:p w14:paraId="5AE7E346">
      <w:pPr>
        <w:spacing w:line="360" w:lineRule="auto"/>
        <w:ind w:firstLine="480"/>
        <w:rPr>
          <w:rFonts w:hAnsi="宋体" w:cs="仿宋"/>
          <w:szCs w:val="21"/>
        </w:rPr>
      </w:pPr>
      <w:r>
        <w:rPr>
          <w:rFonts w:hint="eastAsia" w:hAnsi="宋体" w:cs="仿宋"/>
          <w:szCs w:val="21"/>
        </w:rPr>
        <w:t>1)</w:t>
      </w:r>
      <w:r>
        <w:rPr>
          <w:rFonts w:hint="eastAsia" w:hAnsi="宋体" w:cs="仿宋"/>
          <w:szCs w:val="21"/>
        </w:rPr>
        <w:tab/>
      </w:r>
      <w:r>
        <w:rPr>
          <w:rFonts w:hint="eastAsia" w:hAnsi="宋体" w:cs="仿宋"/>
          <w:szCs w:val="21"/>
        </w:rPr>
        <w:t>支持医护人员在app内编辑随访计划，复制公共库中的随访计划快速编辑。</w:t>
      </w:r>
    </w:p>
    <w:p w14:paraId="74FF5374">
      <w:pPr>
        <w:spacing w:line="360" w:lineRule="auto"/>
        <w:ind w:firstLine="480"/>
        <w:rPr>
          <w:rFonts w:hAnsi="宋体" w:cs="仿宋"/>
          <w:szCs w:val="21"/>
        </w:rPr>
      </w:pPr>
      <w:r>
        <w:rPr>
          <w:rFonts w:hint="eastAsia" w:hAnsi="宋体" w:cs="仿宋"/>
          <w:szCs w:val="21"/>
        </w:rPr>
        <w:t>2)</w:t>
      </w:r>
      <w:r>
        <w:rPr>
          <w:rFonts w:hint="eastAsia" w:hAnsi="宋体" w:cs="仿宋"/>
          <w:szCs w:val="21"/>
        </w:rPr>
        <w:tab/>
      </w:r>
      <w:r>
        <w:rPr>
          <w:rFonts w:hint="eastAsia" w:hAnsi="宋体" w:cs="仿宋"/>
          <w:szCs w:val="21"/>
        </w:rPr>
        <w:t>随访计划支持配置随访节点与随访内容。</w:t>
      </w:r>
    </w:p>
    <w:p w14:paraId="307FD1D4">
      <w:pPr>
        <w:spacing w:line="360" w:lineRule="auto"/>
        <w:ind w:firstLine="482"/>
        <w:rPr>
          <w:rFonts w:hAnsi="宋体" w:cs="仿宋"/>
          <w:b/>
          <w:bCs/>
          <w:szCs w:val="21"/>
        </w:rPr>
      </w:pPr>
      <w:r>
        <w:rPr>
          <w:rFonts w:hint="eastAsia" w:hAnsi="宋体" w:cs="仿宋"/>
          <w:b/>
          <w:bCs/>
          <w:szCs w:val="21"/>
        </w:rPr>
        <w:t>(2)</w:t>
      </w:r>
      <w:r>
        <w:rPr>
          <w:rFonts w:hint="eastAsia" w:hAnsi="宋体" w:cs="仿宋"/>
          <w:b/>
          <w:bCs/>
          <w:szCs w:val="21"/>
        </w:rPr>
        <w:tab/>
      </w:r>
      <w:r>
        <w:rPr>
          <w:rFonts w:hint="eastAsia" w:hAnsi="宋体" w:cs="仿宋"/>
          <w:b/>
          <w:bCs/>
          <w:szCs w:val="21"/>
        </w:rPr>
        <w:t>随访计划管理</w:t>
      </w:r>
    </w:p>
    <w:p w14:paraId="2B120649">
      <w:pPr>
        <w:spacing w:line="360" w:lineRule="auto"/>
        <w:ind w:firstLine="480"/>
        <w:rPr>
          <w:rFonts w:hAnsi="宋体" w:cs="仿宋"/>
          <w:szCs w:val="21"/>
        </w:rPr>
      </w:pPr>
      <w:r>
        <w:rPr>
          <w:rFonts w:hint="eastAsia" w:hAnsi="宋体" w:cs="仿宋"/>
          <w:szCs w:val="21"/>
        </w:rPr>
        <w:t>医生维护随访计划，配置随访计划的事项支持复诊提醒、用药提醒、生活指导等。</w:t>
      </w:r>
    </w:p>
    <w:p w14:paraId="59477107">
      <w:pPr>
        <w:spacing w:line="360" w:lineRule="auto"/>
        <w:ind w:firstLine="175" w:firstLineChars="83"/>
        <w:rPr>
          <w:rFonts w:hAnsi="宋体" w:cs="仿宋"/>
          <w:b/>
          <w:bCs/>
          <w:szCs w:val="21"/>
        </w:rPr>
      </w:pPr>
      <w:r>
        <w:rPr>
          <w:rFonts w:hint="eastAsia" w:hAnsi="宋体" w:cs="仿宋"/>
          <w:b/>
          <w:bCs/>
          <w:szCs w:val="21"/>
        </w:rPr>
        <w:t>（3）随访计划邀请</w:t>
      </w:r>
    </w:p>
    <w:p w14:paraId="0728C730">
      <w:pPr>
        <w:spacing w:line="360" w:lineRule="auto"/>
        <w:ind w:firstLine="480"/>
        <w:rPr>
          <w:rFonts w:hAnsi="宋体" w:cs="仿宋"/>
          <w:szCs w:val="21"/>
        </w:rPr>
      </w:pPr>
      <w:r>
        <w:rPr>
          <w:rFonts w:hint="eastAsia" w:hAnsi="宋体" w:cs="仿宋"/>
          <w:szCs w:val="21"/>
        </w:rPr>
        <w:t>医护人员可向患者发送随访计划邀请，群发随访计划。</w:t>
      </w:r>
    </w:p>
    <w:p w14:paraId="23BB6EE6">
      <w:pPr>
        <w:spacing w:line="360" w:lineRule="auto"/>
        <w:ind w:firstLine="482"/>
        <w:rPr>
          <w:rFonts w:hAnsi="宋体" w:cs="仿宋"/>
          <w:b/>
          <w:bCs/>
          <w:szCs w:val="21"/>
        </w:rPr>
      </w:pPr>
      <w:r>
        <w:rPr>
          <w:rFonts w:hint="eastAsia" w:hAnsi="宋体" w:cs="仿宋"/>
          <w:b/>
          <w:bCs/>
          <w:szCs w:val="21"/>
        </w:rPr>
        <w:t>（4）健康日程</w:t>
      </w:r>
    </w:p>
    <w:p w14:paraId="74BBD44A">
      <w:pPr>
        <w:spacing w:line="360" w:lineRule="auto"/>
        <w:rPr>
          <w:rFonts w:hAnsi="宋体" w:cs="仿宋"/>
          <w:szCs w:val="21"/>
        </w:rPr>
      </w:pPr>
      <w:r>
        <w:rPr>
          <w:rFonts w:hint="eastAsia" w:hAnsi="宋体" w:cs="仿宋"/>
          <w:szCs w:val="21"/>
        </w:rPr>
        <w:t>患者加入随访计划后自动形成健康日程。系统定时自动发起随访提醒，记录用户执行情况。</w:t>
      </w:r>
    </w:p>
    <w:p w14:paraId="3A4B9F36">
      <w:pPr>
        <w:spacing w:line="360" w:lineRule="auto"/>
        <w:ind w:firstLine="482"/>
        <w:rPr>
          <w:rFonts w:hAnsi="宋体" w:cs="仿宋"/>
          <w:b/>
          <w:bCs/>
          <w:szCs w:val="21"/>
        </w:rPr>
      </w:pPr>
      <w:r>
        <w:rPr>
          <w:rFonts w:hint="eastAsia" w:hAnsi="宋体" w:cs="仿宋"/>
          <w:b/>
          <w:bCs/>
          <w:szCs w:val="21"/>
        </w:rPr>
        <w:t>（5）门诊住院随访</w:t>
      </w:r>
    </w:p>
    <w:p w14:paraId="20B44058">
      <w:pPr>
        <w:spacing w:line="360" w:lineRule="auto"/>
        <w:ind w:firstLine="480"/>
        <w:rPr>
          <w:rFonts w:hAnsi="宋体" w:cs="仿宋"/>
          <w:szCs w:val="21"/>
        </w:rPr>
      </w:pPr>
      <w:r>
        <w:rPr>
          <w:rFonts w:hint="eastAsia" w:hAnsi="宋体" w:cs="仿宋"/>
          <w:szCs w:val="21"/>
        </w:rPr>
        <w:t>通过标准接口对接门诊/住院需要随访的患者数据，实现线上线下全院统一患者管理。</w:t>
      </w:r>
    </w:p>
    <w:p w14:paraId="49919867">
      <w:pPr>
        <w:pStyle w:val="4"/>
        <w:numPr>
          <w:ilvl w:val="2"/>
          <w:numId w:val="3"/>
        </w:numPr>
        <w:spacing w:before="240" w:after="120"/>
        <w:rPr>
          <w:rFonts w:hAnsi="宋体" w:cs="宋体"/>
          <w:kern w:val="44"/>
          <w:sz w:val="21"/>
          <w:szCs w:val="21"/>
        </w:rPr>
      </w:pPr>
      <w:bookmarkStart w:id="126" w:name="_Toc150537733"/>
      <w:r>
        <w:rPr>
          <w:rFonts w:hAnsi="宋体" w:cs="宋体"/>
          <w:kern w:val="44"/>
          <w:sz w:val="21"/>
          <w:szCs w:val="21"/>
        </w:rPr>
        <w:t>个人中心</w:t>
      </w:r>
      <w:bookmarkEnd w:id="126"/>
    </w:p>
    <w:p w14:paraId="086EDEC0">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患者健康中心</w:t>
      </w:r>
    </w:p>
    <w:p w14:paraId="196A1306">
      <w:pPr>
        <w:spacing w:line="360" w:lineRule="auto"/>
        <w:ind w:firstLine="480"/>
        <w:rPr>
          <w:rFonts w:hAnsi="宋体" w:cs="仿宋"/>
          <w:color w:val="000000"/>
          <w:szCs w:val="21"/>
        </w:rPr>
      </w:pPr>
      <w:r>
        <w:rPr>
          <w:rFonts w:hint="eastAsia" w:hAnsi="宋体" w:cs="仿宋"/>
          <w:color w:val="000000"/>
          <w:szCs w:val="21"/>
        </w:rPr>
        <w:t>患者健康中心将患者线上、线下的行为进行全流程记录，包括诊疗记录、订单管理、咨询记录、健康记录的统一入口。用户实名认证并授权后，生成个人健康档案。患者健康中心内容包括患者基本信息、健康信息、挂号记录、电子病历等记录，最高支持管理5名家庭成员健康档案；</w:t>
      </w:r>
    </w:p>
    <w:p w14:paraId="7CDC07AB">
      <w:pPr>
        <w:spacing w:line="360" w:lineRule="auto"/>
        <w:ind w:firstLine="482"/>
        <w:rPr>
          <w:rFonts w:hAnsi="宋体" w:cs="仿宋"/>
          <w:b/>
          <w:bCs/>
          <w:color w:val="000000"/>
          <w:szCs w:val="21"/>
        </w:rPr>
      </w:pPr>
      <w:r>
        <w:rPr>
          <w:rFonts w:hint="eastAsia" w:hAnsi="宋体" w:cs="仿宋"/>
          <w:b/>
          <w:bCs/>
          <w:color w:val="000000"/>
          <w:szCs w:val="21"/>
        </w:rPr>
        <w:t>1.健康信息</w:t>
      </w:r>
    </w:p>
    <w:p w14:paraId="188B6381">
      <w:pPr>
        <w:spacing w:line="360" w:lineRule="auto"/>
        <w:ind w:firstLine="480"/>
        <w:rPr>
          <w:rFonts w:hAnsi="宋体" w:cs="仿宋"/>
          <w:color w:val="000000"/>
          <w:szCs w:val="21"/>
        </w:rPr>
      </w:pPr>
      <w:r>
        <w:rPr>
          <w:rFonts w:hint="eastAsia" w:hAnsi="宋体" w:cs="仿宋"/>
          <w:color w:val="000000"/>
          <w:szCs w:val="21"/>
        </w:rPr>
        <w:t>支持患者维护个人基本信息，包含身高、体重、家族病史、药品过敏、手术病史、个人生活习惯等。</w:t>
      </w:r>
    </w:p>
    <w:p w14:paraId="66303E7E">
      <w:pPr>
        <w:spacing w:line="360" w:lineRule="auto"/>
        <w:ind w:firstLine="482"/>
        <w:rPr>
          <w:rFonts w:hAnsi="宋体" w:cs="仿宋"/>
          <w:b/>
          <w:bCs/>
          <w:color w:val="000000"/>
          <w:szCs w:val="21"/>
        </w:rPr>
      </w:pPr>
      <w:r>
        <w:rPr>
          <w:rFonts w:hint="eastAsia" w:hAnsi="宋体" w:cs="仿宋"/>
          <w:b/>
          <w:bCs/>
          <w:color w:val="000000"/>
          <w:szCs w:val="21"/>
        </w:rPr>
        <w:t>2.</w:t>
      </w:r>
      <w:r>
        <w:rPr>
          <w:rFonts w:hint="eastAsia" w:hAnsi="宋体"/>
          <w:u w:val="single"/>
        </w:rPr>
        <w:t xml:space="preserve"> </w:t>
      </w:r>
      <w:r>
        <w:rPr>
          <w:rFonts w:hint="eastAsia" w:hAnsi="宋体" w:cs="仿宋"/>
          <w:b/>
          <w:bCs/>
          <w:color w:val="000000"/>
          <w:szCs w:val="21"/>
        </w:rPr>
        <w:t>在线医嘱</w:t>
      </w:r>
    </w:p>
    <w:p w14:paraId="543BFD73">
      <w:pPr>
        <w:spacing w:line="360" w:lineRule="auto"/>
        <w:ind w:firstLine="480"/>
        <w:rPr>
          <w:rFonts w:hAnsi="宋体" w:cs="仿宋"/>
          <w:color w:val="000000"/>
          <w:szCs w:val="21"/>
        </w:rPr>
      </w:pPr>
      <w:r>
        <w:rPr>
          <w:rFonts w:hint="eastAsia" w:hAnsi="宋体" w:cs="仿宋"/>
          <w:color w:val="000000"/>
          <w:szCs w:val="21"/>
        </w:rPr>
        <w:t>患者可查医生开具的线上医嘱，包括线上处方、检验申请、检查申请等。</w:t>
      </w:r>
    </w:p>
    <w:p w14:paraId="67BB8408">
      <w:pPr>
        <w:spacing w:line="360" w:lineRule="auto"/>
        <w:ind w:firstLine="482"/>
        <w:rPr>
          <w:rFonts w:hAnsi="宋体" w:cs="仿宋"/>
          <w:b/>
          <w:bCs/>
          <w:color w:val="000000"/>
          <w:szCs w:val="21"/>
        </w:rPr>
      </w:pPr>
      <w:r>
        <w:rPr>
          <w:rFonts w:hint="eastAsia" w:hAnsi="宋体" w:cs="仿宋"/>
          <w:b/>
          <w:bCs/>
          <w:color w:val="000000"/>
          <w:szCs w:val="21"/>
        </w:rPr>
        <w:t>3.</w:t>
      </w:r>
      <w:r>
        <w:rPr>
          <w:rFonts w:hint="eastAsia" w:hAnsi="宋体"/>
          <w:u w:val="single"/>
        </w:rPr>
        <w:t xml:space="preserve"> </w:t>
      </w:r>
      <w:r>
        <w:rPr>
          <w:rFonts w:hint="eastAsia" w:hAnsi="宋体" w:cs="仿宋"/>
          <w:b/>
          <w:bCs/>
          <w:color w:val="000000"/>
          <w:szCs w:val="21"/>
        </w:rPr>
        <w:t>门诊病历</w:t>
      </w:r>
    </w:p>
    <w:p w14:paraId="0FF92A1F">
      <w:pPr>
        <w:spacing w:line="360" w:lineRule="auto"/>
        <w:ind w:firstLine="480"/>
        <w:rPr>
          <w:rFonts w:hAnsi="宋体" w:cs="仿宋"/>
          <w:color w:val="000000"/>
          <w:szCs w:val="21"/>
        </w:rPr>
      </w:pPr>
      <w:r>
        <w:rPr>
          <w:rFonts w:hint="eastAsia" w:hAnsi="宋体" w:cs="仿宋"/>
          <w:color w:val="000000"/>
          <w:szCs w:val="21"/>
        </w:rPr>
        <w:t>患者可在线查看门诊病历、电子报告。</w:t>
      </w:r>
    </w:p>
    <w:p w14:paraId="13A1998F">
      <w:pPr>
        <w:spacing w:line="360" w:lineRule="auto"/>
        <w:ind w:firstLine="482"/>
        <w:rPr>
          <w:rFonts w:hAnsi="宋体" w:cs="仿宋"/>
          <w:b/>
          <w:bCs/>
          <w:color w:val="000000"/>
          <w:szCs w:val="21"/>
        </w:rPr>
      </w:pPr>
      <w:r>
        <w:rPr>
          <w:rFonts w:hint="eastAsia" w:hAnsi="宋体" w:cs="仿宋"/>
          <w:b/>
          <w:bCs/>
          <w:color w:val="000000"/>
          <w:szCs w:val="21"/>
        </w:rPr>
        <w:t>4.个人设置</w:t>
      </w:r>
    </w:p>
    <w:p w14:paraId="7BDA6CCA">
      <w:pPr>
        <w:spacing w:line="360" w:lineRule="auto"/>
        <w:ind w:firstLine="480"/>
        <w:rPr>
          <w:rFonts w:hAnsi="宋体" w:cs="仿宋"/>
          <w:color w:val="000000"/>
          <w:szCs w:val="21"/>
        </w:rPr>
      </w:pPr>
      <w:r>
        <w:rPr>
          <w:rFonts w:hint="eastAsia" w:hAnsi="宋体" w:cs="仿宋"/>
          <w:color w:val="000000"/>
          <w:szCs w:val="21"/>
        </w:rPr>
        <w:t>用户可设置个人头像、注册手机号、归属地、收货地址等个人资料，就诊人能与医院就诊卡号关联；</w:t>
      </w:r>
    </w:p>
    <w:p w14:paraId="5E6FFAA3">
      <w:pPr>
        <w:spacing w:line="360" w:lineRule="auto"/>
        <w:ind w:firstLine="482"/>
        <w:rPr>
          <w:rFonts w:hAnsi="宋体" w:cs="仿宋"/>
          <w:b/>
          <w:bCs/>
          <w:color w:val="000000"/>
          <w:szCs w:val="21"/>
        </w:rPr>
      </w:pPr>
      <w:r>
        <w:rPr>
          <w:rFonts w:hint="eastAsia" w:hAnsi="宋体" w:cs="仿宋"/>
          <w:b/>
          <w:bCs/>
          <w:color w:val="000000"/>
          <w:szCs w:val="21"/>
        </w:rPr>
        <w:t>5.我的咨询</w:t>
      </w:r>
    </w:p>
    <w:p w14:paraId="7744F516">
      <w:pPr>
        <w:spacing w:line="360" w:lineRule="auto"/>
        <w:ind w:firstLine="480"/>
        <w:rPr>
          <w:rFonts w:hAnsi="宋体" w:cs="仿宋"/>
          <w:color w:val="000000"/>
          <w:szCs w:val="21"/>
        </w:rPr>
      </w:pPr>
      <w:r>
        <w:rPr>
          <w:rFonts w:hint="eastAsia" w:hAnsi="宋体" w:cs="仿宋"/>
          <w:color w:val="000000"/>
          <w:szCs w:val="21"/>
        </w:rPr>
        <w:t>用户可查看个人全部咨询记录；</w:t>
      </w:r>
    </w:p>
    <w:p w14:paraId="070D7463">
      <w:pPr>
        <w:spacing w:line="360" w:lineRule="auto"/>
        <w:ind w:firstLine="482"/>
        <w:rPr>
          <w:rFonts w:hAnsi="宋体" w:cs="仿宋"/>
          <w:b/>
          <w:bCs/>
          <w:color w:val="000000"/>
          <w:szCs w:val="21"/>
        </w:rPr>
      </w:pPr>
      <w:r>
        <w:rPr>
          <w:rFonts w:hint="eastAsia" w:hAnsi="宋体" w:cs="仿宋"/>
          <w:b/>
          <w:bCs/>
          <w:color w:val="000000"/>
          <w:szCs w:val="21"/>
        </w:rPr>
        <w:t>6.我的订单</w:t>
      </w:r>
    </w:p>
    <w:p w14:paraId="5BDD8207">
      <w:pPr>
        <w:spacing w:line="360" w:lineRule="auto"/>
        <w:ind w:firstLine="480"/>
        <w:rPr>
          <w:rFonts w:hAnsi="宋体" w:cs="仿宋"/>
          <w:color w:val="000000"/>
          <w:szCs w:val="21"/>
        </w:rPr>
      </w:pPr>
      <w:r>
        <w:rPr>
          <w:rFonts w:hint="eastAsia" w:hAnsi="宋体" w:cs="仿宋"/>
          <w:color w:val="000000"/>
          <w:szCs w:val="21"/>
        </w:rPr>
        <w:t>用户查询自己的订单记录；；</w:t>
      </w:r>
    </w:p>
    <w:p w14:paraId="457AAC4D">
      <w:pPr>
        <w:spacing w:line="360" w:lineRule="auto"/>
        <w:ind w:firstLine="482"/>
        <w:rPr>
          <w:rFonts w:hAnsi="宋体" w:cs="仿宋"/>
          <w:b/>
          <w:bCs/>
          <w:color w:val="000000"/>
          <w:szCs w:val="21"/>
        </w:rPr>
      </w:pPr>
      <w:r>
        <w:rPr>
          <w:rFonts w:hint="eastAsia" w:hAnsi="宋体" w:cs="仿宋"/>
          <w:b/>
          <w:bCs/>
          <w:color w:val="000000"/>
          <w:szCs w:val="21"/>
        </w:rPr>
        <w:t>7.我的课程</w:t>
      </w:r>
    </w:p>
    <w:p w14:paraId="3517F85B">
      <w:pPr>
        <w:spacing w:line="360" w:lineRule="auto"/>
        <w:ind w:firstLine="480"/>
        <w:rPr>
          <w:rFonts w:hAnsi="宋体" w:cs="仿宋"/>
          <w:color w:val="000000"/>
          <w:szCs w:val="21"/>
        </w:rPr>
      </w:pPr>
      <w:r>
        <w:rPr>
          <w:rFonts w:hint="eastAsia" w:hAnsi="宋体" w:cs="仿宋"/>
          <w:color w:val="000000"/>
          <w:szCs w:val="21"/>
        </w:rPr>
        <w:t>用户查询子的健康课程阅读记录。</w:t>
      </w:r>
    </w:p>
    <w:p w14:paraId="00589D73">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医生个人管理</w:t>
      </w:r>
    </w:p>
    <w:p w14:paraId="718220FC">
      <w:pPr>
        <w:spacing w:line="360" w:lineRule="auto"/>
        <w:ind w:firstLine="480"/>
        <w:rPr>
          <w:rFonts w:hAnsi="宋体" w:cs="仿宋"/>
          <w:color w:val="000000"/>
          <w:szCs w:val="21"/>
        </w:rPr>
      </w:pPr>
      <w:r>
        <w:rPr>
          <w:rFonts w:hint="eastAsia" w:hAnsi="宋体" w:cs="仿宋"/>
          <w:color w:val="000000"/>
          <w:szCs w:val="21"/>
        </w:rPr>
        <w:t>医生对个人资料进行维护，应用设置，历史记录查询。</w:t>
      </w:r>
    </w:p>
    <w:p w14:paraId="361F6C4E">
      <w:pPr>
        <w:spacing w:line="360" w:lineRule="auto"/>
        <w:ind w:firstLine="482"/>
        <w:rPr>
          <w:rFonts w:hAnsi="宋体" w:cs="仿宋"/>
          <w:b/>
          <w:bCs/>
          <w:color w:val="000000"/>
          <w:szCs w:val="21"/>
        </w:rPr>
      </w:pPr>
      <w:r>
        <w:rPr>
          <w:rFonts w:hint="eastAsia" w:hAnsi="宋体" w:cs="仿宋"/>
          <w:b/>
          <w:bCs/>
          <w:color w:val="000000"/>
          <w:szCs w:val="21"/>
        </w:rPr>
        <w:t>1.医生信息</w:t>
      </w:r>
    </w:p>
    <w:p w14:paraId="7CEF751A">
      <w:pPr>
        <w:spacing w:line="360" w:lineRule="auto"/>
        <w:ind w:firstLine="480"/>
        <w:rPr>
          <w:rFonts w:hAnsi="宋体" w:cs="仿宋"/>
          <w:color w:val="000000"/>
          <w:szCs w:val="21"/>
        </w:rPr>
      </w:pPr>
      <w:r>
        <w:rPr>
          <w:rFonts w:hint="eastAsia" w:hAnsi="宋体" w:cs="仿宋"/>
          <w:color w:val="000000"/>
          <w:szCs w:val="21"/>
        </w:rPr>
        <w:t>查看医生的基本信息（头像、姓名、医院、科室、擅长和简介），支持医生上次头像，修改擅长与简介；</w:t>
      </w:r>
    </w:p>
    <w:p w14:paraId="3D168889">
      <w:pPr>
        <w:spacing w:line="360" w:lineRule="auto"/>
        <w:ind w:firstLine="482"/>
        <w:rPr>
          <w:rFonts w:hAnsi="宋体" w:cs="仿宋"/>
          <w:b/>
          <w:bCs/>
          <w:color w:val="000000"/>
          <w:szCs w:val="21"/>
        </w:rPr>
      </w:pPr>
      <w:r>
        <w:rPr>
          <w:rFonts w:hint="eastAsia" w:hAnsi="宋体" w:cs="仿宋"/>
          <w:b/>
          <w:bCs/>
          <w:color w:val="000000"/>
          <w:szCs w:val="21"/>
        </w:rPr>
        <w:t>2.常用语管理</w:t>
      </w:r>
    </w:p>
    <w:p w14:paraId="7BCA1CF5">
      <w:pPr>
        <w:spacing w:line="360" w:lineRule="auto"/>
        <w:ind w:firstLine="480"/>
        <w:rPr>
          <w:rFonts w:hAnsi="宋体" w:cs="仿宋"/>
          <w:color w:val="000000"/>
          <w:szCs w:val="21"/>
        </w:rPr>
      </w:pPr>
      <w:r>
        <w:rPr>
          <w:rFonts w:hint="eastAsia" w:hAnsi="宋体" w:cs="仿宋"/>
          <w:color w:val="000000"/>
          <w:szCs w:val="21"/>
        </w:rPr>
        <w:t>设置线上咨询与线上复诊使用的常用语，快速发送给患者。</w:t>
      </w:r>
    </w:p>
    <w:p w14:paraId="1236CB04">
      <w:pPr>
        <w:spacing w:line="360" w:lineRule="auto"/>
        <w:ind w:firstLine="482"/>
        <w:rPr>
          <w:rFonts w:hAnsi="宋体" w:cs="仿宋"/>
          <w:b/>
          <w:bCs/>
          <w:color w:val="000000"/>
          <w:szCs w:val="21"/>
        </w:rPr>
      </w:pPr>
      <w:r>
        <w:rPr>
          <w:rFonts w:hint="eastAsia" w:hAnsi="宋体" w:cs="仿宋"/>
          <w:b/>
          <w:bCs/>
          <w:color w:val="000000"/>
          <w:szCs w:val="21"/>
        </w:rPr>
        <w:t>3.我的订单</w:t>
      </w:r>
    </w:p>
    <w:p w14:paraId="543A145E">
      <w:pPr>
        <w:spacing w:line="360" w:lineRule="auto"/>
        <w:ind w:firstLine="480"/>
        <w:rPr>
          <w:rFonts w:hAnsi="宋体" w:cs="仿宋"/>
          <w:color w:val="000000"/>
          <w:szCs w:val="21"/>
        </w:rPr>
      </w:pPr>
      <w:r>
        <w:rPr>
          <w:rFonts w:hint="eastAsia" w:hAnsi="宋体" w:cs="仿宋"/>
          <w:color w:val="000000"/>
          <w:szCs w:val="21"/>
        </w:rPr>
        <w:t>查询医生的订单记录，支持订单月工作统计；</w:t>
      </w:r>
    </w:p>
    <w:p w14:paraId="3EF1B154">
      <w:pPr>
        <w:spacing w:line="360" w:lineRule="auto"/>
        <w:ind w:firstLine="482"/>
        <w:rPr>
          <w:rFonts w:hAnsi="宋体" w:cs="仿宋"/>
          <w:b/>
          <w:bCs/>
          <w:color w:val="000000"/>
          <w:szCs w:val="21"/>
        </w:rPr>
      </w:pPr>
      <w:r>
        <w:rPr>
          <w:rFonts w:hint="eastAsia" w:hAnsi="宋体" w:cs="仿宋"/>
          <w:b/>
          <w:bCs/>
          <w:color w:val="000000"/>
          <w:szCs w:val="21"/>
        </w:rPr>
        <w:t>4.我的患者</w:t>
      </w:r>
    </w:p>
    <w:p w14:paraId="550C9A85">
      <w:pPr>
        <w:spacing w:line="360" w:lineRule="auto"/>
        <w:ind w:firstLine="480"/>
        <w:rPr>
          <w:rFonts w:hAnsi="宋体" w:cs="仿宋"/>
          <w:color w:val="000000"/>
          <w:szCs w:val="21"/>
        </w:rPr>
      </w:pPr>
      <w:r>
        <w:rPr>
          <w:rFonts w:hint="eastAsia" w:hAnsi="宋体" w:cs="仿宋"/>
          <w:color w:val="000000"/>
          <w:szCs w:val="21"/>
        </w:rPr>
        <w:t>医生管理的患者列表，支持查询患者健康档案信息，主动添加关注，设置患者标签与备注，分组管理；</w:t>
      </w:r>
    </w:p>
    <w:p w14:paraId="0419B658">
      <w:pPr>
        <w:spacing w:line="360" w:lineRule="auto"/>
        <w:ind w:firstLine="482"/>
        <w:rPr>
          <w:rFonts w:hAnsi="宋体" w:cs="仿宋"/>
          <w:b/>
          <w:bCs/>
          <w:color w:val="000000"/>
          <w:szCs w:val="21"/>
        </w:rPr>
      </w:pPr>
      <w:r>
        <w:rPr>
          <w:rFonts w:hint="eastAsia" w:hAnsi="宋体" w:cs="仿宋"/>
          <w:b/>
          <w:bCs/>
          <w:color w:val="000000"/>
          <w:szCs w:val="21"/>
        </w:rPr>
        <w:t>5.服务管理</w:t>
      </w:r>
    </w:p>
    <w:p w14:paraId="58534663">
      <w:pPr>
        <w:spacing w:line="360" w:lineRule="auto"/>
        <w:ind w:firstLine="480"/>
        <w:rPr>
          <w:rFonts w:hAnsi="宋体" w:cs="仿宋"/>
          <w:color w:val="000000"/>
          <w:szCs w:val="21"/>
        </w:rPr>
      </w:pPr>
      <w:r>
        <w:rPr>
          <w:rFonts w:hint="eastAsia" w:hAnsi="宋体" w:cs="仿宋"/>
          <w:color w:val="000000"/>
          <w:szCs w:val="21"/>
        </w:rPr>
        <w:t>开通或关闭各项应用服务，设置应用的参数；</w:t>
      </w:r>
    </w:p>
    <w:p w14:paraId="187171EF">
      <w:pPr>
        <w:spacing w:line="360" w:lineRule="auto"/>
        <w:ind w:firstLine="482"/>
        <w:rPr>
          <w:rFonts w:hAnsi="宋体" w:cs="仿宋"/>
          <w:b/>
          <w:bCs/>
          <w:color w:val="000000"/>
          <w:szCs w:val="21"/>
        </w:rPr>
      </w:pPr>
      <w:r>
        <w:rPr>
          <w:rFonts w:hint="eastAsia" w:hAnsi="宋体" w:cs="仿宋"/>
          <w:b/>
          <w:bCs/>
          <w:color w:val="000000"/>
          <w:szCs w:val="21"/>
        </w:rPr>
        <w:t>6.患者评价</w:t>
      </w:r>
    </w:p>
    <w:p w14:paraId="3ACA16C8">
      <w:pPr>
        <w:spacing w:line="360" w:lineRule="auto"/>
        <w:ind w:firstLine="480"/>
        <w:rPr>
          <w:rFonts w:hAnsi="宋体" w:cs="仿宋"/>
          <w:color w:val="000000"/>
          <w:szCs w:val="21"/>
        </w:rPr>
      </w:pPr>
      <w:r>
        <w:rPr>
          <w:rFonts w:hint="eastAsia" w:hAnsi="宋体" w:cs="仿宋"/>
          <w:color w:val="000000"/>
          <w:szCs w:val="21"/>
        </w:rPr>
        <w:t>查询患者对自己的评价，支持对评价进行医生主页的置顶操作。。</w:t>
      </w:r>
    </w:p>
    <w:p w14:paraId="644A9CD4">
      <w:pPr>
        <w:spacing w:line="360" w:lineRule="auto"/>
        <w:rPr>
          <w:rFonts w:hAnsi="宋体" w:cs="仿宋"/>
          <w:szCs w:val="21"/>
        </w:rPr>
      </w:pPr>
    </w:p>
    <w:p w14:paraId="53AE2015">
      <w:pPr>
        <w:pStyle w:val="4"/>
        <w:numPr>
          <w:ilvl w:val="2"/>
          <w:numId w:val="3"/>
        </w:numPr>
        <w:spacing w:before="240" w:after="120"/>
        <w:rPr>
          <w:rFonts w:hAnsi="宋体" w:cs="宋体"/>
          <w:kern w:val="44"/>
          <w:sz w:val="21"/>
          <w:szCs w:val="21"/>
        </w:rPr>
      </w:pPr>
      <w:bookmarkStart w:id="127" w:name="_Toc150537734"/>
      <w:r>
        <w:rPr>
          <w:rFonts w:hAnsi="宋体" w:cs="宋体"/>
          <w:kern w:val="44"/>
          <w:sz w:val="21"/>
          <w:szCs w:val="21"/>
        </w:rPr>
        <w:t>后台管理</w:t>
      </w:r>
      <w:bookmarkEnd w:id="127"/>
    </w:p>
    <w:p w14:paraId="1F04EADF">
      <w:pPr>
        <w:spacing w:line="360" w:lineRule="auto"/>
        <w:ind w:firstLine="482"/>
        <w:rPr>
          <w:rFonts w:hAnsi="宋体" w:cs="仿宋"/>
          <w:b/>
          <w:bCs/>
          <w:color w:val="000000"/>
          <w:szCs w:val="21"/>
        </w:rPr>
      </w:pPr>
      <w:r>
        <w:rPr>
          <w:rFonts w:hint="eastAsia" w:hAnsi="宋体" w:cs="仿宋"/>
          <w:b/>
          <w:bCs/>
          <w:color w:val="000000"/>
          <w:szCs w:val="21"/>
        </w:rPr>
        <w:t>1.签约管理</w:t>
      </w:r>
    </w:p>
    <w:p w14:paraId="627FDDDF">
      <w:pPr>
        <w:spacing w:line="360" w:lineRule="auto"/>
        <w:ind w:firstLine="480"/>
        <w:rPr>
          <w:rFonts w:hAnsi="宋体" w:cs="仿宋"/>
          <w:color w:val="000000"/>
          <w:szCs w:val="21"/>
        </w:rPr>
      </w:pPr>
      <w:r>
        <w:rPr>
          <w:rFonts w:hint="eastAsia" w:hAnsi="宋体" w:cs="仿宋"/>
          <w:color w:val="000000"/>
          <w:szCs w:val="21"/>
        </w:rPr>
        <w:t>查询互联网医院提供服务的医护人员，支持批量下载医生二维码和开关医生服务。</w:t>
      </w:r>
    </w:p>
    <w:p w14:paraId="5BE3FB0B">
      <w:pPr>
        <w:spacing w:line="360" w:lineRule="auto"/>
        <w:ind w:firstLine="482"/>
        <w:rPr>
          <w:rFonts w:hAnsi="宋体" w:cs="仿宋"/>
          <w:b/>
          <w:bCs/>
          <w:color w:val="000000"/>
          <w:szCs w:val="21"/>
        </w:rPr>
      </w:pPr>
      <w:r>
        <w:rPr>
          <w:rFonts w:hint="eastAsia" w:hAnsi="宋体" w:cs="仿宋"/>
          <w:b/>
          <w:bCs/>
          <w:color w:val="000000"/>
          <w:szCs w:val="21"/>
        </w:rPr>
        <w:t>2.服务管理</w:t>
      </w:r>
    </w:p>
    <w:p w14:paraId="4FA3363E">
      <w:pPr>
        <w:spacing w:line="360" w:lineRule="auto"/>
        <w:ind w:firstLine="480"/>
        <w:rPr>
          <w:rFonts w:hAnsi="宋体" w:cs="仿宋"/>
          <w:color w:val="000000"/>
          <w:szCs w:val="21"/>
        </w:rPr>
      </w:pPr>
      <w:r>
        <w:rPr>
          <w:rFonts w:hint="eastAsia" w:hAnsi="宋体" w:cs="仿宋"/>
          <w:color w:val="000000"/>
          <w:szCs w:val="21"/>
        </w:rPr>
        <w:t>对应用服务的设置管理。</w:t>
      </w:r>
    </w:p>
    <w:p w14:paraId="1CE71C89">
      <w:pPr>
        <w:spacing w:line="360" w:lineRule="auto"/>
        <w:ind w:firstLine="482"/>
        <w:rPr>
          <w:rFonts w:hAnsi="宋体" w:cs="仿宋"/>
          <w:b/>
          <w:bCs/>
          <w:color w:val="000000"/>
          <w:szCs w:val="21"/>
        </w:rPr>
      </w:pPr>
      <w:r>
        <w:rPr>
          <w:rFonts w:hint="eastAsia" w:hAnsi="宋体" w:cs="仿宋"/>
          <w:b/>
          <w:bCs/>
          <w:color w:val="000000"/>
          <w:szCs w:val="21"/>
        </w:rPr>
        <w:t>3.订单收益</w:t>
      </w:r>
    </w:p>
    <w:p w14:paraId="7A098491">
      <w:pPr>
        <w:spacing w:line="360" w:lineRule="auto"/>
        <w:ind w:firstLine="480"/>
        <w:rPr>
          <w:rFonts w:hAnsi="宋体" w:cs="仿宋"/>
          <w:color w:val="000000"/>
          <w:szCs w:val="21"/>
        </w:rPr>
      </w:pPr>
      <w:r>
        <w:rPr>
          <w:rFonts w:hint="eastAsia" w:hAnsi="宋体" w:cs="仿宋"/>
          <w:color w:val="000000"/>
          <w:szCs w:val="21"/>
        </w:rPr>
        <w:t>查询订单记录，收支流水记录。</w:t>
      </w:r>
    </w:p>
    <w:p w14:paraId="409C96F9">
      <w:pPr>
        <w:spacing w:line="360" w:lineRule="auto"/>
        <w:ind w:firstLine="482"/>
        <w:rPr>
          <w:rFonts w:hAnsi="宋体" w:cs="仿宋"/>
          <w:b/>
          <w:bCs/>
          <w:color w:val="000000"/>
          <w:szCs w:val="21"/>
        </w:rPr>
      </w:pPr>
      <w:r>
        <w:rPr>
          <w:rFonts w:hint="eastAsia" w:hAnsi="宋体" w:cs="仿宋"/>
          <w:b/>
          <w:bCs/>
          <w:color w:val="000000"/>
          <w:szCs w:val="21"/>
        </w:rPr>
        <w:t>4.评价管理</w:t>
      </w:r>
    </w:p>
    <w:p w14:paraId="275ED760">
      <w:pPr>
        <w:spacing w:line="360" w:lineRule="auto"/>
        <w:ind w:firstLine="480"/>
        <w:rPr>
          <w:rFonts w:hAnsi="宋体" w:cs="仿宋"/>
          <w:color w:val="000000"/>
          <w:szCs w:val="21"/>
        </w:rPr>
      </w:pPr>
      <w:r>
        <w:rPr>
          <w:rFonts w:hint="eastAsia" w:hAnsi="宋体" w:cs="仿宋"/>
          <w:color w:val="000000"/>
          <w:szCs w:val="21"/>
        </w:rPr>
        <w:t>查询患者评价，支持对差评进行回复。</w:t>
      </w:r>
    </w:p>
    <w:p w14:paraId="00E4C65E">
      <w:pPr>
        <w:spacing w:line="360" w:lineRule="auto"/>
        <w:ind w:firstLine="482"/>
        <w:rPr>
          <w:rFonts w:hAnsi="宋体" w:cs="仿宋"/>
          <w:b/>
          <w:bCs/>
          <w:color w:val="000000"/>
          <w:szCs w:val="21"/>
        </w:rPr>
      </w:pPr>
      <w:r>
        <w:rPr>
          <w:rFonts w:hint="eastAsia" w:hAnsi="宋体" w:cs="仿宋"/>
          <w:b/>
          <w:bCs/>
          <w:color w:val="000000"/>
          <w:szCs w:val="21"/>
        </w:rPr>
        <w:t>5.统计分析</w:t>
      </w:r>
    </w:p>
    <w:p w14:paraId="224A61B1">
      <w:pPr>
        <w:spacing w:line="360" w:lineRule="auto"/>
        <w:ind w:firstLine="480"/>
        <w:rPr>
          <w:rFonts w:hAnsi="宋体" w:cs="仿宋"/>
          <w:color w:val="000000"/>
          <w:szCs w:val="21"/>
        </w:rPr>
      </w:pPr>
      <w:r>
        <w:rPr>
          <w:rFonts w:hint="eastAsia" w:hAnsi="宋体" w:cs="仿宋"/>
          <w:color w:val="000000"/>
          <w:szCs w:val="21"/>
        </w:rPr>
        <w:t>提供患者统计、线上问诊、线上处方、患者评价等业务统计分析功能。</w:t>
      </w:r>
    </w:p>
    <w:p w14:paraId="24F9CB0E">
      <w:pPr>
        <w:pStyle w:val="3"/>
        <w:numPr>
          <w:ilvl w:val="1"/>
          <w:numId w:val="3"/>
        </w:numPr>
        <w:spacing w:before="0" w:after="0" w:line="360" w:lineRule="auto"/>
        <w:jc w:val="left"/>
        <w:rPr>
          <w:rFonts w:ascii="宋体" w:hAnsi="宋体" w:cs="宋体"/>
          <w:sz w:val="21"/>
          <w:szCs w:val="21"/>
        </w:rPr>
      </w:pPr>
      <w:bookmarkStart w:id="128" w:name="_Toc150537735"/>
      <w:r>
        <w:rPr>
          <w:rFonts w:hint="eastAsia" w:ascii="宋体" w:hAnsi="宋体" w:cs="宋体"/>
          <w:sz w:val="21"/>
          <w:szCs w:val="21"/>
        </w:rPr>
        <w:t>互联网中医健康管理平台</w:t>
      </w:r>
      <w:bookmarkEnd w:id="128"/>
    </w:p>
    <w:p w14:paraId="67979C05">
      <w:pPr>
        <w:pStyle w:val="4"/>
        <w:numPr>
          <w:ilvl w:val="2"/>
          <w:numId w:val="3"/>
        </w:numPr>
        <w:spacing w:before="240" w:after="120"/>
        <w:rPr>
          <w:rFonts w:hAnsi="宋体" w:cs="宋体"/>
          <w:kern w:val="44"/>
          <w:sz w:val="21"/>
          <w:szCs w:val="21"/>
        </w:rPr>
      </w:pPr>
      <w:bookmarkStart w:id="129" w:name="_Toc150537736"/>
      <w:r>
        <w:rPr>
          <w:rFonts w:hAnsi="宋体" w:cs="宋体"/>
          <w:kern w:val="44"/>
          <w:sz w:val="21"/>
          <w:szCs w:val="21"/>
        </w:rPr>
        <w:t>健康评估</w:t>
      </w:r>
      <w:bookmarkEnd w:id="129"/>
    </w:p>
    <w:p w14:paraId="56D87A49">
      <w:pPr>
        <w:spacing w:line="360" w:lineRule="auto"/>
        <w:ind w:firstLine="480"/>
        <w:rPr>
          <w:rFonts w:hAnsi="宋体" w:cs="仿宋"/>
          <w:color w:val="000000"/>
          <w:szCs w:val="21"/>
        </w:rPr>
      </w:pPr>
      <w:r>
        <w:rPr>
          <w:rFonts w:hint="eastAsia" w:hAnsi="宋体" w:cs="仿宋"/>
          <w:color w:val="000000"/>
          <w:szCs w:val="21"/>
        </w:rPr>
        <w:t>多维度收集患者健康信息，进行健康监测和评估，包括：</w:t>
      </w:r>
    </w:p>
    <w:p w14:paraId="74368DBC">
      <w:pPr>
        <w:pStyle w:val="544"/>
        <w:numPr>
          <w:ilvl w:val="0"/>
          <w:numId w:val="26"/>
        </w:numPr>
        <w:spacing w:line="360" w:lineRule="auto"/>
        <w:rPr>
          <w:rFonts w:ascii="宋体" w:hAnsi="宋体" w:cs="仿宋"/>
          <w:color w:val="000000"/>
          <w:sz w:val="21"/>
          <w:szCs w:val="21"/>
          <w:lang w:eastAsia="zh-CN"/>
        </w:rPr>
      </w:pPr>
      <w:r>
        <w:rPr>
          <w:rFonts w:hint="eastAsia" w:ascii="宋体" w:hAnsi="宋体" w:cs="仿宋"/>
          <w:color w:val="000000"/>
          <w:sz w:val="21"/>
          <w:szCs w:val="21"/>
          <w:lang w:eastAsia="zh-CN"/>
        </w:rPr>
        <w:t>中医体质辨识信息，通过量表判别患者体质；</w:t>
      </w:r>
    </w:p>
    <w:p w14:paraId="32333DB1">
      <w:pPr>
        <w:pStyle w:val="544"/>
        <w:numPr>
          <w:ilvl w:val="0"/>
          <w:numId w:val="26"/>
        </w:numPr>
        <w:spacing w:line="360" w:lineRule="auto"/>
        <w:rPr>
          <w:rFonts w:ascii="宋体" w:hAnsi="宋体" w:cs="仿宋"/>
          <w:color w:val="000000"/>
          <w:sz w:val="21"/>
          <w:szCs w:val="21"/>
          <w:lang w:eastAsia="zh-CN"/>
        </w:rPr>
      </w:pPr>
      <w:r>
        <w:rPr>
          <w:rFonts w:hint="eastAsia" w:ascii="宋体" w:hAnsi="宋体" w:cs="仿宋"/>
          <w:color w:val="000000"/>
          <w:sz w:val="21"/>
          <w:szCs w:val="21"/>
          <w:lang w:eastAsia="zh-CN"/>
        </w:rPr>
        <w:t>结合中医辨证方法，收集患者的中医证素信息及舌象、面象信息，利用AI技术初步辨证；</w:t>
      </w:r>
    </w:p>
    <w:p w14:paraId="567C4F02">
      <w:pPr>
        <w:pStyle w:val="544"/>
        <w:numPr>
          <w:ilvl w:val="0"/>
          <w:numId w:val="26"/>
        </w:numPr>
        <w:spacing w:line="360" w:lineRule="auto"/>
        <w:rPr>
          <w:rFonts w:ascii="宋体" w:hAnsi="宋体" w:cs="仿宋"/>
          <w:color w:val="000000"/>
          <w:sz w:val="21"/>
          <w:szCs w:val="21"/>
          <w:lang w:eastAsia="zh-CN"/>
        </w:rPr>
      </w:pPr>
      <w:r>
        <w:rPr>
          <w:rFonts w:hint="eastAsia" w:ascii="宋体" w:hAnsi="宋体" w:cs="仿宋"/>
          <w:color w:val="000000"/>
          <w:sz w:val="21"/>
          <w:szCs w:val="21"/>
          <w:lang w:eastAsia="zh-CN"/>
        </w:rPr>
        <w:t>收集跟踪患者的自觉症状，评估健康管理效果；</w:t>
      </w:r>
    </w:p>
    <w:p w14:paraId="7704CEAE">
      <w:pPr>
        <w:pStyle w:val="544"/>
        <w:numPr>
          <w:ilvl w:val="0"/>
          <w:numId w:val="26"/>
        </w:numPr>
        <w:spacing w:line="360" w:lineRule="auto"/>
        <w:rPr>
          <w:rFonts w:ascii="宋体" w:hAnsi="宋体" w:cs="仿宋"/>
          <w:color w:val="000000"/>
          <w:sz w:val="21"/>
          <w:szCs w:val="21"/>
          <w:lang w:eastAsia="zh-CN"/>
        </w:rPr>
      </w:pPr>
      <w:r>
        <w:rPr>
          <w:rFonts w:hint="eastAsia" w:ascii="宋体" w:hAnsi="宋体" w:cs="仿宋"/>
          <w:color w:val="000000"/>
          <w:sz w:val="21"/>
          <w:szCs w:val="21"/>
          <w:lang w:eastAsia="zh-CN"/>
        </w:rPr>
        <w:t>分析患者的体检报告及各项生理指标，综合判断健康情况;</w:t>
      </w:r>
    </w:p>
    <w:p w14:paraId="2CBCCCD7">
      <w:pPr>
        <w:pStyle w:val="544"/>
        <w:numPr>
          <w:ilvl w:val="0"/>
          <w:numId w:val="26"/>
        </w:numPr>
        <w:spacing w:line="360" w:lineRule="auto"/>
        <w:rPr>
          <w:rFonts w:ascii="宋体" w:hAnsi="宋体" w:cs="仿宋"/>
          <w:color w:val="000000"/>
          <w:sz w:val="21"/>
          <w:szCs w:val="21"/>
          <w:lang w:eastAsia="zh-CN"/>
        </w:rPr>
      </w:pPr>
      <w:r>
        <w:rPr>
          <w:rFonts w:hint="eastAsia" w:ascii="宋体" w:hAnsi="宋体" w:cs="仿宋"/>
          <w:color w:val="000000"/>
          <w:sz w:val="21"/>
          <w:szCs w:val="21"/>
          <w:lang w:eastAsia="zh-CN"/>
        </w:rPr>
        <w:t>灵活使用各类评估量表，通过线上电子化方式收集评估信息。</w:t>
      </w:r>
    </w:p>
    <w:p w14:paraId="4AC666BB">
      <w:pPr>
        <w:pStyle w:val="4"/>
        <w:numPr>
          <w:ilvl w:val="2"/>
          <w:numId w:val="3"/>
        </w:numPr>
        <w:spacing w:before="240" w:after="120"/>
        <w:rPr>
          <w:rFonts w:hAnsi="宋体" w:cs="宋体"/>
          <w:kern w:val="44"/>
          <w:sz w:val="21"/>
          <w:szCs w:val="21"/>
        </w:rPr>
      </w:pPr>
      <w:bookmarkStart w:id="130" w:name="_Toc150537739"/>
      <w:bookmarkStart w:id="131" w:name="_Toc150537737"/>
      <w:r>
        <w:rPr>
          <w:rFonts w:hAnsi="宋体" w:cs="宋体"/>
          <w:kern w:val="44"/>
          <w:sz w:val="21"/>
          <w:szCs w:val="21"/>
        </w:rPr>
        <w:t>健康</w:t>
      </w:r>
      <w:bookmarkEnd w:id="130"/>
      <w:r>
        <w:rPr>
          <w:rFonts w:hAnsi="宋体" w:cs="宋体"/>
          <w:kern w:val="44"/>
          <w:sz w:val="21"/>
          <w:szCs w:val="21"/>
        </w:rPr>
        <w:t>管理</w:t>
      </w:r>
    </w:p>
    <w:p w14:paraId="7A9B306D">
      <w:pPr>
        <w:spacing w:line="360" w:lineRule="auto"/>
        <w:ind w:firstLine="420"/>
        <w:rPr>
          <w:rFonts w:hAnsi="宋体" w:cs="仿宋"/>
          <w:color w:val="000000"/>
          <w:szCs w:val="21"/>
        </w:rPr>
      </w:pPr>
      <w:r>
        <w:rPr>
          <w:rFonts w:hint="eastAsia" w:hAnsi="宋体" w:cs="仿宋"/>
          <w:color w:val="000000"/>
          <w:szCs w:val="21"/>
        </w:rPr>
        <w:t>用户可根据自身情况，选择系统预制的打卡方案或定制健康管理方案，如肥胖改善方案、祛湿方案、失眠改善方案。</w:t>
      </w:r>
    </w:p>
    <w:p w14:paraId="03BC84A8">
      <w:pPr>
        <w:spacing w:line="360" w:lineRule="auto"/>
        <w:ind w:firstLine="480"/>
        <w:rPr>
          <w:rFonts w:hAnsi="宋体" w:cs="仿宋"/>
          <w:color w:val="000000"/>
          <w:szCs w:val="21"/>
        </w:rPr>
      </w:pPr>
      <w:r>
        <w:rPr>
          <w:rFonts w:hint="eastAsia" w:hAnsi="宋体" w:cs="仿宋"/>
          <w:color w:val="000000"/>
          <w:szCs w:val="21"/>
        </w:rPr>
        <w:t>包含但不限于：节气调理、体质调理、亚健康调理、缓解不适症状、疾病康复、健康方案打卡。</w:t>
      </w:r>
    </w:p>
    <w:p w14:paraId="2769090E">
      <w:pPr>
        <w:pStyle w:val="4"/>
        <w:numPr>
          <w:ilvl w:val="2"/>
          <w:numId w:val="3"/>
        </w:numPr>
        <w:spacing w:before="240" w:after="120"/>
        <w:rPr>
          <w:rFonts w:hAnsi="宋体" w:cs="宋体"/>
          <w:kern w:val="44"/>
          <w:sz w:val="21"/>
          <w:szCs w:val="21"/>
        </w:rPr>
      </w:pPr>
      <w:bookmarkStart w:id="132" w:name="_Toc150537738"/>
      <w:r>
        <w:rPr>
          <w:rFonts w:hAnsi="宋体" w:cs="宋体"/>
          <w:kern w:val="44"/>
          <w:sz w:val="21"/>
          <w:szCs w:val="21"/>
        </w:rPr>
        <w:t>健康档案</w:t>
      </w:r>
      <w:bookmarkEnd w:id="132"/>
    </w:p>
    <w:p w14:paraId="31F8691B">
      <w:pPr>
        <w:spacing w:line="360" w:lineRule="auto"/>
        <w:ind w:firstLine="480"/>
        <w:rPr>
          <w:rFonts w:hAnsi="宋体" w:cs="仿宋"/>
          <w:color w:val="000000"/>
          <w:szCs w:val="21"/>
        </w:rPr>
      </w:pPr>
      <w:r>
        <w:rPr>
          <w:rFonts w:hint="eastAsia" w:hAnsi="宋体" w:cs="仿宋"/>
          <w:color w:val="000000"/>
          <w:szCs w:val="21"/>
        </w:rPr>
        <w:t>多维度收集用户信息，形成长周期电子健康档案，内容包括：</w:t>
      </w:r>
    </w:p>
    <w:p w14:paraId="50D6AB5A">
      <w:pPr>
        <w:pStyle w:val="544"/>
        <w:numPr>
          <w:ilvl w:val="0"/>
          <w:numId w:val="27"/>
        </w:numPr>
        <w:spacing w:line="360" w:lineRule="auto"/>
        <w:rPr>
          <w:rFonts w:ascii="宋体" w:hAnsi="宋体" w:cs="仿宋"/>
          <w:color w:val="000000"/>
          <w:sz w:val="21"/>
          <w:szCs w:val="21"/>
          <w:lang w:eastAsia="zh-CN"/>
        </w:rPr>
      </w:pPr>
      <w:r>
        <w:rPr>
          <w:rFonts w:hint="eastAsia" w:ascii="宋体" w:hAnsi="宋体" w:cs="仿宋"/>
          <w:color w:val="000000"/>
          <w:sz w:val="21"/>
          <w:szCs w:val="21"/>
          <w:lang w:eastAsia="zh-CN"/>
        </w:rPr>
        <w:t>基本信息、既往病史（含用药、手术等）</w:t>
      </w:r>
    </w:p>
    <w:p w14:paraId="116FA435">
      <w:pPr>
        <w:pStyle w:val="544"/>
        <w:numPr>
          <w:ilvl w:val="0"/>
          <w:numId w:val="27"/>
        </w:numPr>
        <w:spacing w:line="360" w:lineRule="auto"/>
        <w:rPr>
          <w:rFonts w:ascii="宋体" w:hAnsi="宋体" w:cs="仿宋"/>
          <w:color w:val="000000"/>
          <w:sz w:val="21"/>
          <w:szCs w:val="21"/>
          <w:lang w:eastAsia="zh-CN"/>
        </w:rPr>
      </w:pPr>
      <w:r>
        <w:rPr>
          <w:rFonts w:hint="eastAsia" w:ascii="宋体" w:hAnsi="宋体" w:cs="仿宋"/>
          <w:color w:val="000000"/>
          <w:sz w:val="21"/>
          <w:szCs w:val="21"/>
          <w:lang w:eastAsia="zh-CN"/>
        </w:rPr>
        <w:t>生活习惯：饮食、作息、工作等</w:t>
      </w:r>
    </w:p>
    <w:p w14:paraId="1340FA94">
      <w:pPr>
        <w:pStyle w:val="544"/>
        <w:numPr>
          <w:ilvl w:val="0"/>
          <w:numId w:val="27"/>
        </w:numPr>
        <w:spacing w:line="360" w:lineRule="auto"/>
        <w:rPr>
          <w:rFonts w:ascii="宋体" w:hAnsi="宋体" w:cs="仿宋"/>
          <w:color w:val="000000"/>
          <w:sz w:val="21"/>
          <w:szCs w:val="21"/>
          <w:lang w:eastAsia="zh-CN"/>
        </w:rPr>
      </w:pPr>
      <w:r>
        <w:rPr>
          <w:rFonts w:hint="eastAsia" w:ascii="宋体" w:hAnsi="宋体" w:cs="仿宋"/>
          <w:color w:val="000000"/>
          <w:sz w:val="21"/>
          <w:szCs w:val="21"/>
          <w:lang w:eastAsia="zh-CN"/>
        </w:rPr>
        <w:t>自觉症状：中医证素信息、用户自我感觉的不适症状等，如寒热感觉、出汗情况、疼痛、二便、睡眠等</w:t>
      </w:r>
    </w:p>
    <w:p w14:paraId="698A901C">
      <w:pPr>
        <w:pStyle w:val="544"/>
        <w:numPr>
          <w:ilvl w:val="0"/>
          <w:numId w:val="27"/>
        </w:numPr>
        <w:spacing w:line="360" w:lineRule="auto"/>
        <w:rPr>
          <w:rFonts w:ascii="宋体" w:hAnsi="宋体" w:cs="仿宋"/>
          <w:color w:val="000000"/>
          <w:sz w:val="21"/>
          <w:szCs w:val="21"/>
          <w:lang w:eastAsia="zh-CN"/>
        </w:rPr>
      </w:pPr>
      <w:r>
        <w:rPr>
          <w:rFonts w:hint="eastAsia" w:ascii="宋体" w:hAnsi="宋体" w:cs="仿宋"/>
          <w:color w:val="000000"/>
          <w:sz w:val="21"/>
          <w:szCs w:val="21"/>
          <w:lang w:eastAsia="zh-CN"/>
        </w:rPr>
        <w:t>体检报告：体检报告上传，指标信息提取</w:t>
      </w:r>
    </w:p>
    <w:p w14:paraId="4DC30F2E">
      <w:pPr>
        <w:pStyle w:val="544"/>
        <w:numPr>
          <w:ilvl w:val="0"/>
          <w:numId w:val="27"/>
        </w:numPr>
        <w:spacing w:line="360" w:lineRule="auto"/>
        <w:rPr>
          <w:rFonts w:ascii="宋体" w:hAnsi="宋体" w:cs="仿宋"/>
          <w:color w:val="000000"/>
          <w:sz w:val="21"/>
          <w:szCs w:val="21"/>
          <w:lang w:eastAsia="zh-CN"/>
        </w:rPr>
      </w:pPr>
      <w:r>
        <w:rPr>
          <w:rFonts w:hint="eastAsia" w:ascii="宋体" w:hAnsi="宋体" w:cs="仿宋"/>
          <w:color w:val="000000"/>
          <w:sz w:val="21"/>
          <w:szCs w:val="21"/>
          <w:lang w:eastAsia="zh-CN"/>
        </w:rPr>
        <w:t>心理状态：情绪、压力、思维等</w:t>
      </w:r>
    </w:p>
    <w:p w14:paraId="2F498B94">
      <w:pPr>
        <w:pStyle w:val="544"/>
        <w:numPr>
          <w:ilvl w:val="0"/>
          <w:numId w:val="27"/>
        </w:numPr>
        <w:spacing w:line="360" w:lineRule="auto"/>
        <w:rPr>
          <w:rFonts w:ascii="宋体" w:hAnsi="宋体" w:cs="仿宋"/>
          <w:color w:val="000000"/>
          <w:sz w:val="21"/>
          <w:szCs w:val="21"/>
          <w:lang w:eastAsia="zh-CN"/>
        </w:rPr>
      </w:pPr>
      <w:r>
        <w:rPr>
          <w:rFonts w:hint="eastAsia" w:ascii="宋体" w:hAnsi="宋体" w:cs="仿宋"/>
          <w:color w:val="000000"/>
          <w:sz w:val="21"/>
          <w:szCs w:val="21"/>
          <w:lang w:eastAsia="zh-CN"/>
        </w:rPr>
        <w:t>身体体征：舌象、面象、血压等</w:t>
      </w:r>
    </w:p>
    <w:p w14:paraId="0B128238">
      <w:pPr>
        <w:pStyle w:val="544"/>
        <w:numPr>
          <w:ilvl w:val="0"/>
          <w:numId w:val="27"/>
        </w:numPr>
        <w:spacing w:line="360" w:lineRule="auto"/>
        <w:rPr>
          <w:rFonts w:ascii="宋体" w:hAnsi="宋体" w:cs="仿宋"/>
          <w:color w:val="000000"/>
          <w:sz w:val="21"/>
          <w:szCs w:val="21"/>
          <w:lang w:eastAsia="zh-CN"/>
        </w:rPr>
      </w:pPr>
      <w:r>
        <w:rPr>
          <w:rFonts w:hint="eastAsia" w:ascii="宋体" w:hAnsi="宋体" w:cs="仿宋"/>
          <w:color w:val="000000"/>
          <w:sz w:val="21"/>
          <w:szCs w:val="21"/>
          <w:lang w:eastAsia="zh-CN"/>
        </w:rPr>
        <w:t>体质辩证：基于系统提供相关体质辩证的测试问卷，辨识用户中医体质。</w:t>
      </w:r>
    </w:p>
    <w:bookmarkEnd w:id="131"/>
    <w:p w14:paraId="7048087C">
      <w:pPr>
        <w:pStyle w:val="4"/>
        <w:numPr>
          <w:ilvl w:val="2"/>
          <w:numId w:val="3"/>
        </w:numPr>
        <w:spacing w:before="240" w:after="120"/>
        <w:rPr>
          <w:rFonts w:hAnsi="宋体" w:cs="宋体"/>
          <w:kern w:val="44"/>
          <w:sz w:val="21"/>
          <w:szCs w:val="21"/>
        </w:rPr>
      </w:pPr>
      <w:bookmarkStart w:id="133" w:name="_Toc150537740"/>
      <w:r>
        <w:rPr>
          <w:rFonts w:hAnsi="宋体" w:cs="宋体"/>
          <w:kern w:val="44"/>
          <w:sz w:val="21"/>
          <w:szCs w:val="21"/>
        </w:rPr>
        <w:t>健康教育</w:t>
      </w:r>
      <w:bookmarkEnd w:id="133"/>
    </w:p>
    <w:p w14:paraId="55EC1B17">
      <w:pPr>
        <w:spacing w:line="360" w:lineRule="auto"/>
        <w:ind w:firstLine="480"/>
        <w:rPr>
          <w:rFonts w:hAnsi="宋体" w:cs="仿宋"/>
          <w:color w:val="000000"/>
          <w:szCs w:val="21"/>
        </w:rPr>
      </w:pPr>
      <w:r>
        <w:rPr>
          <w:rFonts w:hint="eastAsia" w:hAnsi="宋体" w:cs="仿宋"/>
          <w:color w:val="000000"/>
          <w:szCs w:val="21"/>
        </w:rPr>
        <w:t>线上普及中医药知识，教授中医特色保健技术，提升用户的自我保健能力，如：</w:t>
      </w:r>
    </w:p>
    <w:p w14:paraId="735E5C5E">
      <w:pPr>
        <w:spacing w:line="360" w:lineRule="auto"/>
        <w:ind w:firstLine="480"/>
        <w:rPr>
          <w:rFonts w:hAnsi="宋体" w:cs="仿宋"/>
          <w:color w:val="000000"/>
          <w:szCs w:val="21"/>
        </w:rPr>
      </w:pPr>
      <w:r>
        <w:rPr>
          <w:rFonts w:hint="eastAsia" w:hAnsi="宋体" w:cs="仿宋"/>
          <w:color w:val="000000"/>
          <w:szCs w:val="21"/>
        </w:rPr>
        <w:t>对中医经典运动导引术，如八段锦，进行线上视频教学、图文指导、动作要点解析、口令跟练等；</w:t>
      </w:r>
    </w:p>
    <w:p w14:paraId="5BCDCAAC">
      <w:pPr>
        <w:spacing w:line="360" w:lineRule="auto"/>
        <w:ind w:firstLine="480"/>
        <w:rPr>
          <w:rFonts w:hAnsi="宋体" w:cs="仿宋"/>
          <w:color w:val="000000"/>
          <w:szCs w:val="21"/>
        </w:rPr>
      </w:pPr>
      <w:r>
        <w:rPr>
          <w:rFonts w:hint="eastAsia" w:hAnsi="宋体" w:cs="仿宋"/>
          <w:color w:val="000000"/>
          <w:szCs w:val="21"/>
        </w:rPr>
        <w:t>提供常用保健穴位、中药材、药膳、茶饮的信息查询，使用指导；</w:t>
      </w:r>
    </w:p>
    <w:p w14:paraId="7EC3FEF9">
      <w:pPr>
        <w:spacing w:line="360" w:lineRule="auto"/>
        <w:ind w:firstLine="480"/>
        <w:rPr>
          <w:rFonts w:hAnsi="宋体" w:cs="仿宋"/>
          <w:color w:val="000000"/>
          <w:szCs w:val="21"/>
        </w:rPr>
      </w:pPr>
      <w:r>
        <w:rPr>
          <w:rFonts w:hint="eastAsia" w:hAnsi="宋体" w:cs="仿宋"/>
          <w:color w:val="000000"/>
          <w:szCs w:val="21"/>
        </w:rPr>
        <w:t>结合二十四节气变化，提供应季的饮食、养生指导等。</w:t>
      </w:r>
    </w:p>
    <w:p w14:paraId="006925C4">
      <w:pPr>
        <w:pStyle w:val="4"/>
        <w:numPr>
          <w:ilvl w:val="2"/>
          <w:numId w:val="3"/>
        </w:numPr>
        <w:spacing w:before="240" w:after="120"/>
        <w:rPr>
          <w:rFonts w:hAnsi="宋体" w:cs="宋体"/>
          <w:kern w:val="44"/>
          <w:sz w:val="21"/>
          <w:szCs w:val="21"/>
        </w:rPr>
      </w:pPr>
      <w:r>
        <w:rPr>
          <w:rFonts w:hAnsi="宋体" w:cs="宋体"/>
          <w:kern w:val="44"/>
          <w:sz w:val="21"/>
          <w:szCs w:val="21"/>
        </w:rPr>
        <w:t>中医药方案库</w:t>
      </w:r>
    </w:p>
    <w:p w14:paraId="3E96F56A">
      <w:pPr>
        <w:spacing w:line="360" w:lineRule="auto"/>
        <w:ind w:firstLine="480"/>
        <w:rPr>
          <w:rFonts w:hAnsi="宋体" w:cs="仿宋"/>
          <w:color w:val="000000"/>
          <w:szCs w:val="21"/>
        </w:rPr>
      </w:pPr>
      <w:r>
        <w:rPr>
          <w:rFonts w:hint="eastAsia" w:hAnsi="宋体" w:cs="仿宋"/>
          <w:color w:val="000000"/>
          <w:szCs w:val="21"/>
        </w:rPr>
        <w:t>提供中医药方案库，包括但不限于药食同源及中药材、常用穴位保健、中医导引运动、家庭药膳制作等。</w:t>
      </w:r>
    </w:p>
    <w:p w14:paraId="323BB439">
      <w:pPr>
        <w:pStyle w:val="3"/>
        <w:numPr>
          <w:ilvl w:val="1"/>
          <w:numId w:val="3"/>
        </w:numPr>
        <w:spacing w:before="0" w:after="0" w:line="360" w:lineRule="auto"/>
        <w:jc w:val="left"/>
        <w:rPr>
          <w:rFonts w:ascii="宋体" w:hAnsi="宋体" w:cs="宋体"/>
          <w:sz w:val="21"/>
          <w:szCs w:val="21"/>
        </w:rPr>
      </w:pPr>
      <w:bookmarkStart w:id="134" w:name="_Toc150537741"/>
      <w:r>
        <w:rPr>
          <w:rFonts w:hint="eastAsia" w:ascii="宋体" w:hAnsi="宋体" w:cs="宋体"/>
          <w:sz w:val="21"/>
          <w:szCs w:val="21"/>
        </w:rPr>
        <w:t>互联网智慧共享中药房</w:t>
      </w:r>
      <w:bookmarkEnd w:id="134"/>
    </w:p>
    <w:p w14:paraId="26A84B63">
      <w:pPr>
        <w:pStyle w:val="4"/>
        <w:numPr>
          <w:ilvl w:val="2"/>
          <w:numId w:val="3"/>
        </w:numPr>
        <w:spacing w:before="240" w:after="120"/>
        <w:rPr>
          <w:rFonts w:hAnsi="宋体" w:cs="宋体"/>
          <w:kern w:val="44"/>
          <w:sz w:val="21"/>
          <w:szCs w:val="21"/>
        </w:rPr>
      </w:pPr>
      <w:bookmarkStart w:id="135" w:name="_Toc150537742"/>
      <w:r>
        <w:rPr>
          <w:rFonts w:hAnsi="宋体" w:cs="宋体"/>
          <w:kern w:val="44"/>
          <w:sz w:val="21"/>
          <w:szCs w:val="21"/>
        </w:rPr>
        <w:t>软件部分</w:t>
      </w:r>
      <w:bookmarkEnd w:id="135"/>
    </w:p>
    <w:p w14:paraId="068B4246">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本地部署的共享中药房系统</w:t>
      </w:r>
    </w:p>
    <w:p w14:paraId="485452A2">
      <w:pPr>
        <w:spacing w:line="360" w:lineRule="auto"/>
        <w:ind w:firstLine="480"/>
        <w:rPr>
          <w:rFonts w:hAnsi="宋体" w:cs="仿宋"/>
          <w:color w:val="000000"/>
          <w:szCs w:val="21"/>
        </w:rPr>
      </w:pPr>
      <w:r>
        <w:rPr>
          <w:rFonts w:hint="eastAsia" w:hAnsi="宋体" w:cs="仿宋"/>
          <w:color w:val="000000"/>
          <w:szCs w:val="21"/>
        </w:rPr>
        <w:t>1、患者在前台确认煎药后，处方信息和患者煎药需求通过系统实时传递到煎药房，煎药房按照打印处方立即进行配药。</w:t>
      </w:r>
    </w:p>
    <w:p w14:paraId="6632A0D2">
      <w:pPr>
        <w:spacing w:line="360" w:lineRule="auto"/>
        <w:ind w:firstLine="480"/>
        <w:rPr>
          <w:rFonts w:hAnsi="宋体" w:cs="仿宋"/>
          <w:color w:val="000000"/>
          <w:szCs w:val="21"/>
        </w:rPr>
      </w:pPr>
      <w:r>
        <w:rPr>
          <w:rFonts w:hint="eastAsia" w:hAnsi="宋体" w:cs="仿宋"/>
          <w:color w:val="000000"/>
          <w:szCs w:val="21"/>
        </w:rPr>
        <w:t>2、通过系统智能审方，医师只需进行简单确认，极大降低审方人员工作量，提升审方效率。</w:t>
      </w:r>
    </w:p>
    <w:p w14:paraId="3CECA3C5">
      <w:pPr>
        <w:spacing w:line="360" w:lineRule="auto"/>
        <w:ind w:firstLine="480"/>
        <w:rPr>
          <w:rFonts w:hAnsi="宋体" w:cs="仿宋"/>
          <w:color w:val="000000"/>
          <w:szCs w:val="21"/>
        </w:rPr>
      </w:pPr>
      <w:r>
        <w:rPr>
          <w:rFonts w:hint="eastAsia" w:hAnsi="宋体" w:cs="仿宋"/>
          <w:color w:val="000000"/>
          <w:szCs w:val="21"/>
        </w:rPr>
        <w:t>3、记录详细完整的煎配流程，包括二煎以及一些特殊药物的处理，便于实时流程管理和历史追溯。</w:t>
      </w:r>
    </w:p>
    <w:p w14:paraId="2C108274">
      <w:pPr>
        <w:spacing w:line="360" w:lineRule="auto"/>
        <w:ind w:firstLine="480"/>
        <w:rPr>
          <w:rFonts w:hAnsi="宋体" w:cs="仿宋"/>
          <w:color w:val="000000"/>
          <w:szCs w:val="21"/>
        </w:rPr>
      </w:pPr>
      <w:r>
        <w:rPr>
          <w:rFonts w:hint="eastAsia" w:hAnsi="宋体" w:cs="仿宋"/>
          <w:color w:val="000000"/>
          <w:szCs w:val="21"/>
        </w:rPr>
        <w:t>4、药品配送时双向核对，杜绝因工作现场繁杂等其他原因，导致的错发、漏发、多发等情况。</w:t>
      </w:r>
    </w:p>
    <w:p w14:paraId="09F2A1BB">
      <w:pPr>
        <w:spacing w:line="360" w:lineRule="auto"/>
        <w:ind w:firstLine="480"/>
        <w:rPr>
          <w:rFonts w:hAnsi="宋体" w:cs="仿宋"/>
          <w:color w:val="000000"/>
          <w:szCs w:val="21"/>
        </w:rPr>
      </w:pPr>
      <w:r>
        <w:rPr>
          <w:rFonts w:hint="eastAsia" w:hAnsi="宋体" w:cs="仿宋"/>
          <w:color w:val="000000"/>
          <w:szCs w:val="21"/>
        </w:rPr>
        <w:t>5、规范发药处药品上架下架操作，维护药品实时货架编号，减少发药人员寻找药品工作量和患者取药等待时间。</w:t>
      </w:r>
    </w:p>
    <w:p w14:paraId="7FBB6D19">
      <w:pPr>
        <w:spacing w:line="360" w:lineRule="auto"/>
        <w:ind w:firstLine="480"/>
        <w:rPr>
          <w:rFonts w:hAnsi="宋体" w:cs="仿宋"/>
          <w:color w:val="000000"/>
          <w:szCs w:val="21"/>
        </w:rPr>
      </w:pPr>
      <w:r>
        <w:rPr>
          <w:rFonts w:hint="eastAsia" w:hAnsi="宋体" w:cs="仿宋"/>
          <w:color w:val="000000"/>
          <w:szCs w:val="21"/>
        </w:rPr>
        <w:t>6、时刻监管煎配流程状态，出现异常立即预警，保证问题及时反馈，及时处理。</w:t>
      </w:r>
    </w:p>
    <w:p w14:paraId="4235E7A2">
      <w:pPr>
        <w:spacing w:line="360" w:lineRule="auto"/>
        <w:ind w:firstLine="480"/>
        <w:rPr>
          <w:rFonts w:hAnsi="宋体" w:cs="仿宋"/>
          <w:color w:val="000000"/>
          <w:szCs w:val="21"/>
        </w:rPr>
      </w:pPr>
      <w:r>
        <w:rPr>
          <w:rFonts w:hint="eastAsia" w:hAnsi="宋体" w:cs="仿宋"/>
          <w:color w:val="000000"/>
          <w:szCs w:val="21"/>
        </w:rPr>
        <w:t>7、通过微信，患者实时把控药品煎配流程或物流信息，保证煎药流程透明，提升医院可信度和服务质量。</w:t>
      </w:r>
    </w:p>
    <w:p w14:paraId="49CE2CC2">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1.5.1.2订单管理</w:t>
      </w:r>
    </w:p>
    <w:p w14:paraId="651903AF">
      <w:pPr>
        <w:spacing w:line="360" w:lineRule="auto"/>
        <w:ind w:firstLine="480"/>
        <w:rPr>
          <w:rFonts w:hAnsi="宋体" w:cs="仿宋"/>
          <w:color w:val="000000"/>
          <w:szCs w:val="21"/>
          <w:lang w:eastAsia="zh-Hans"/>
        </w:rPr>
      </w:pPr>
      <w:r>
        <w:rPr>
          <w:rFonts w:hint="eastAsia" w:hAnsi="宋体" w:cs="仿宋"/>
          <w:color w:val="000000"/>
          <w:szCs w:val="21"/>
        </w:rPr>
        <w:t>1、</w:t>
      </w:r>
      <w:r>
        <w:rPr>
          <w:rFonts w:hint="eastAsia" w:hAnsi="宋体" w:cs="仿宋"/>
          <w:color w:val="000000"/>
          <w:szCs w:val="21"/>
          <w:lang w:eastAsia="zh-Hans"/>
        </w:rPr>
        <w:t>展示订单信息，支持根据条件筛选查询历史订单</w:t>
      </w:r>
    </w:p>
    <w:p w14:paraId="1EEC0545">
      <w:pPr>
        <w:spacing w:line="360" w:lineRule="auto"/>
        <w:ind w:firstLine="480"/>
        <w:rPr>
          <w:rFonts w:hAnsi="宋体" w:cs="仿宋"/>
          <w:color w:val="000000"/>
          <w:szCs w:val="21"/>
          <w:lang w:eastAsia="zh-Hans"/>
        </w:rPr>
      </w:pPr>
      <w:r>
        <w:rPr>
          <w:rFonts w:hint="eastAsia" w:hAnsi="宋体" w:cs="仿宋"/>
          <w:color w:val="000000"/>
          <w:szCs w:val="21"/>
        </w:rPr>
        <w:t>2、</w:t>
      </w:r>
      <w:r>
        <w:rPr>
          <w:rFonts w:hint="eastAsia" w:hAnsi="宋体" w:cs="仿宋"/>
          <w:color w:val="000000"/>
          <w:szCs w:val="21"/>
          <w:lang w:eastAsia="zh-Hans"/>
        </w:rPr>
        <w:t>核对订单数据接收生成系统处方单，订单药品转换为系统标准药品</w:t>
      </w:r>
    </w:p>
    <w:p w14:paraId="44E87902">
      <w:pPr>
        <w:spacing w:line="360" w:lineRule="auto"/>
        <w:ind w:firstLine="480"/>
        <w:rPr>
          <w:rFonts w:hAnsi="宋体" w:cs="仿宋"/>
          <w:color w:val="000000"/>
          <w:szCs w:val="21"/>
          <w:lang w:eastAsia="zh-Hans"/>
        </w:rPr>
      </w:pPr>
      <w:r>
        <w:rPr>
          <w:rFonts w:hint="eastAsia" w:hAnsi="宋体" w:cs="仿宋"/>
          <w:color w:val="000000"/>
          <w:szCs w:val="21"/>
        </w:rPr>
        <w:t>3、</w:t>
      </w:r>
      <w:r>
        <w:rPr>
          <w:rFonts w:hint="eastAsia" w:hAnsi="宋体" w:cs="仿宋"/>
          <w:color w:val="000000"/>
          <w:szCs w:val="21"/>
          <w:lang w:eastAsia="zh-Hans"/>
        </w:rPr>
        <w:t>支持批量接收订单生成处方单</w:t>
      </w:r>
    </w:p>
    <w:p w14:paraId="60539E16">
      <w:pPr>
        <w:spacing w:line="360" w:lineRule="auto"/>
        <w:ind w:firstLine="480"/>
        <w:rPr>
          <w:rFonts w:hAnsi="宋体" w:cs="仿宋"/>
          <w:color w:val="000000"/>
          <w:szCs w:val="21"/>
          <w:lang w:eastAsia="zh-Hans"/>
        </w:rPr>
      </w:pPr>
      <w:r>
        <w:rPr>
          <w:rFonts w:hint="eastAsia" w:hAnsi="宋体" w:cs="仿宋"/>
          <w:color w:val="000000"/>
          <w:szCs w:val="21"/>
        </w:rPr>
        <w:t>4、</w:t>
      </w:r>
      <w:r>
        <w:rPr>
          <w:rFonts w:hint="eastAsia" w:hAnsi="宋体" w:cs="仿宋"/>
          <w:color w:val="000000"/>
          <w:szCs w:val="21"/>
          <w:lang w:eastAsia="zh-Hans"/>
        </w:rPr>
        <w:t>支持手工开方，录入医院、患者、药品明细、配送地址、贴包数、加工方式、煎煮方案等信息</w:t>
      </w:r>
    </w:p>
    <w:p w14:paraId="788F1807">
      <w:pPr>
        <w:spacing w:line="360" w:lineRule="auto"/>
        <w:ind w:firstLine="480"/>
        <w:rPr>
          <w:rFonts w:hAnsi="宋体" w:cs="仿宋"/>
          <w:color w:val="000000"/>
          <w:szCs w:val="21"/>
          <w:lang w:eastAsia="zh-Hans"/>
        </w:rPr>
      </w:pPr>
      <w:r>
        <w:rPr>
          <w:rFonts w:hint="eastAsia" w:hAnsi="宋体" w:cs="仿宋"/>
          <w:color w:val="000000"/>
          <w:szCs w:val="21"/>
        </w:rPr>
        <w:t>5、</w:t>
      </w:r>
      <w:r>
        <w:rPr>
          <w:rFonts w:hint="eastAsia" w:hAnsi="宋体" w:cs="仿宋"/>
          <w:color w:val="000000"/>
          <w:szCs w:val="21"/>
          <w:lang w:eastAsia="zh-Hans"/>
        </w:rPr>
        <w:t>处方新增时，患者若存在历史投诉，则自动提示开单员</w:t>
      </w:r>
    </w:p>
    <w:p w14:paraId="1A11F3B2">
      <w:pPr>
        <w:spacing w:line="360" w:lineRule="auto"/>
        <w:ind w:firstLine="480"/>
        <w:rPr>
          <w:rFonts w:hAnsi="宋体" w:cs="仿宋"/>
          <w:color w:val="000000"/>
          <w:szCs w:val="21"/>
          <w:lang w:eastAsia="zh-Hans"/>
        </w:rPr>
      </w:pPr>
      <w:r>
        <w:rPr>
          <w:rFonts w:hint="eastAsia" w:hAnsi="宋体" w:cs="仿宋"/>
          <w:color w:val="000000"/>
          <w:szCs w:val="21"/>
        </w:rPr>
        <w:t>6、</w:t>
      </w:r>
      <w:r>
        <w:rPr>
          <w:rFonts w:hint="eastAsia" w:hAnsi="宋体" w:cs="仿宋"/>
          <w:color w:val="000000"/>
          <w:szCs w:val="21"/>
          <w:lang w:eastAsia="zh-Hans"/>
        </w:rPr>
        <w:t>支持对需关注的处方做标记</w:t>
      </w:r>
      <w:r>
        <w:rPr>
          <w:rFonts w:hint="eastAsia" w:hAnsi="宋体" w:cs="仿宋"/>
          <w:color w:val="000000"/>
          <w:szCs w:val="21"/>
        </w:rPr>
        <w:t>，</w:t>
      </w:r>
      <w:r>
        <w:rPr>
          <w:rFonts w:hint="eastAsia" w:hAnsi="宋体" w:cs="仿宋"/>
          <w:color w:val="000000"/>
          <w:szCs w:val="21"/>
          <w:lang w:eastAsia="zh-Hans"/>
        </w:rPr>
        <w:t>支持对患者投诉的处方记录投诉信息</w:t>
      </w:r>
    </w:p>
    <w:p w14:paraId="71563ED8">
      <w:pPr>
        <w:spacing w:line="360" w:lineRule="auto"/>
        <w:ind w:firstLine="480"/>
        <w:rPr>
          <w:rFonts w:hAnsi="宋体" w:cs="仿宋"/>
          <w:color w:val="000000"/>
          <w:szCs w:val="21"/>
          <w:lang w:eastAsia="zh-Hans"/>
        </w:rPr>
      </w:pPr>
      <w:r>
        <w:rPr>
          <w:rFonts w:hint="eastAsia" w:hAnsi="宋体" w:cs="仿宋"/>
          <w:color w:val="000000"/>
          <w:szCs w:val="21"/>
        </w:rPr>
        <w:t>7、</w:t>
      </w:r>
      <w:r>
        <w:rPr>
          <w:rFonts w:hint="eastAsia" w:hAnsi="宋体" w:cs="仿宋"/>
          <w:color w:val="000000"/>
          <w:szCs w:val="21"/>
          <w:lang w:eastAsia="zh-Hans"/>
        </w:rPr>
        <w:t>查看处方信息修改记录、药品修改记录、物流下单记录</w:t>
      </w:r>
    </w:p>
    <w:p w14:paraId="78E4CB48">
      <w:pPr>
        <w:spacing w:line="360" w:lineRule="auto"/>
        <w:ind w:firstLine="480"/>
        <w:rPr>
          <w:rFonts w:hAnsi="宋体" w:cs="仿宋"/>
          <w:color w:val="000000"/>
          <w:szCs w:val="21"/>
          <w:lang w:eastAsia="zh-Hans"/>
        </w:rPr>
      </w:pPr>
      <w:r>
        <w:rPr>
          <w:rFonts w:hint="eastAsia" w:hAnsi="宋体" w:cs="仿宋"/>
          <w:color w:val="000000"/>
          <w:szCs w:val="21"/>
        </w:rPr>
        <w:t>8、</w:t>
      </w:r>
      <w:r>
        <w:rPr>
          <w:rFonts w:hint="eastAsia" w:hAnsi="宋体" w:cs="仿宋"/>
          <w:color w:val="000000"/>
          <w:szCs w:val="21"/>
          <w:lang w:eastAsia="zh-Hans"/>
        </w:rPr>
        <w:t>支持打印处方单和中药包标签</w:t>
      </w:r>
      <w:r>
        <w:rPr>
          <w:rFonts w:hint="eastAsia" w:hAnsi="宋体" w:cs="仿宋"/>
          <w:color w:val="000000"/>
          <w:szCs w:val="21"/>
        </w:rPr>
        <w:t>，</w:t>
      </w:r>
      <w:r>
        <w:rPr>
          <w:rFonts w:hint="eastAsia" w:hAnsi="宋体" w:cs="仿宋"/>
          <w:color w:val="000000"/>
          <w:szCs w:val="21"/>
          <w:lang w:eastAsia="zh-Hans"/>
        </w:rPr>
        <w:t>支持按医院、门诊住院、加工方式配置不同的打印格式</w:t>
      </w:r>
    </w:p>
    <w:p w14:paraId="59B3030A">
      <w:pPr>
        <w:pStyle w:val="71"/>
        <w:spacing w:before="167"/>
        <w:rPr>
          <w:rFonts w:ascii="宋体" w:hAnsi="宋体" w:cs="仿宋"/>
          <w:color w:val="000000"/>
          <w:szCs w:val="21"/>
          <w:lang w:eastAsia="zh-Hans"/>
        </w:rPr>
      </w:pPr>
      <w:r>
        <w:rPr>
          <w:rFonts w:hint="eastAsia" w:ascii="宋体" w:hAnsi="宋体" w:cs="仿宋"/>
          <w:color w:val="000000"/>
          <w:szCs w:val="21"/>
        </w:rPr>
        <w:t>9、</w:t>
      </w:r>
      <w:r>
        <w:rPr>
          <w:rFonts w:hint="eastAsia" w:ascii="宋体" w:hAnsi="宋体" w:cs="仿宋"/>
          <w:color w:val="000000"/>
          <w:szCs w:val="21"/>
          <w:lang w:eastAsia="zh-Hans"/>
        </w:rPr>
        <w:t>支持根据处方流程操作过程信息，打印流程单</w:t>
      </w:r>
    </w:p>
    <w:p w14:paraId="51B9245E">
      <w:pPr>
        <w:pStyle w:val="71"/>
        <w:spacing w:before="167"/>
        <w:rPr>
          <w:rFonts w:ascii="宋体" w:hAnsi="宋体" w:cs="仿宋"/>
          <w:color w:val="000000"/>
          <w:szCs w:val="21"/>
          <w:lang w:eastAsia="zh-Hans"/>
        </w:rPr>
      </w:pPr>
      <w:r>
        <w:rPr>
          <w:rFonts w:hint="eastAsia" w:ascii="宋体" w:hAnsi="宋体" w:cs="仿宋"/>
          <w:color w:val="000000"/>
          <w:szCs w:val="21"/>
        </w:rPr>
        <w:t>10、</w:t>
      </w:r>
      <w:r>
        <w:rPr>
          <w:rFonts w:hint="eastAsia" w:ascii="宋体" w:hAnsi="宋体" w:cs="仿宋"/>
          <w:color w:val="000000"/>
          <w:szCs w:val="21"/>
          <w:lang w:eastAsia="zh-Hans"/>
        </w:rPr>
        <w:t>支持按药品打印先煎、后下、另包等特煎方式的标签</w:t>
      </w:r>
    </w:p>
    <w:p w14:paraId="44E9619B">
      <w:pPr>
        <w:pStyle w:val="71"/>
        <w:spacing w:before="167"/>
        <w:rPr>
          <w:rFonts w:ascii="宋体" w:hAnsi="宋体" w:cs="仿宋"/>
          <w:color w:val="000000"/>
          <w:szCs w:val="21"/>
          <w:lang w:eastAsia="zh-Hans"/>
        </w:rPr>
      </w:pPr>
      <w:r>
        <w:rPr>
          <w:rFonts w:hint="eastAsia" w:ascii="宋体" w:hAnsi="宋体" w:cs="仿宋"/>
          <w:color w:val="000000"/>
          <w:szCs w:val="21"/>
        </w:rPr>
        <w:t>11、</w:t>
      </w:r>
      <w:r>
        <w:rPr>
          <w:rFonts w:hint="eastAsia" w:ascii="宋体" w:hAnsi="宋体" w:cs="仿宋"/>
          <w:color w:val="000000"/>
          <w:szCs w:val="21"/>
          <w:lang w:eastAsia="zh-Hans"/>
        </w:rPr>
        <w:t>支持打印外包装袋标签</w:t>
      </w:r>
    </w:p>
    <w:p w14:paraId="321A5ADE">
      <w:pPr>
        <w:pStyle w:val="71"/>
        <w:spacing w:before="167"/>
        <w:rPr>
          <w:rFonts w:ascii="宋体" w:hAnsi="宋体" w:cs="仿宋"/>
          <w:color w:val="000000"/>
          <w:szCs w:val="21"/>
          <w:lang w:eastAsia="zh-Hans"/>
        </w:rPr>
      </w:pPr>
      <w:r>
        <w:rPr>
          <w:rFonts w:hint="eastAsia" w:ascii="宋体" w:hAnsi="宋体" w:cs="仿宋"/>
          <w:color w:val="000000"/>
          <w:szCs w:val="21"/>
        </w:rPr>
        <w:t>12、</w:t>
      </w:r>
      <w:r>
        <w:rPr>
          <w:rFonts w:hint="eastAsia" w:ascii="宋体" w:hAnsi="宋体" w:cs="仿宋"/>
          <w:color w:val="000000"/>
          <w:szCs w:val="21"/>
          <w:lang w:eastAsia="zh-Hans"/>
        </w:rPr>
        <w:t>系统可根据快递对接数据，支持打印快递面单</w:t>
      </w:r>
    </w:p>
    <w:p w14:paraId="5E350623">
      <w:pPr>
        <w:pStyle w:val="71"/>
        <w:spacing w:before="167"/>
        <w:rPr>
          <w:rFonts w:ascii="宋体" w:hAnsi="宋体" w:cs="仿宋"/>
          <w:color w:val="000000"/>
          <w:szCs w:val="21"/>
          <w:lang w:eastAsia="zh-Hans"/>
        </w:rPr>
      </w:pPr>
      <w:r>
        <w:rPr>
          <w:rFonts w:hint="eastAsia" w:ascii="宋体" w:hAnsi="宋体" w:cs="仿宋"/>
          <w:color w:val="000000"/>
          <w:szCs w:val="21"/>
        </w:rPr>
        <w:t>13、</w:t>
      </w:r>
      <w:r>
        <w:rPr>
          <w:rFonts w:hint="eastAsia" w:ascii="宋体" w:hAnsi="宋体" w:cs="仿宋"/>
          <w:color w:val="000000"/>
          <w:szCs w:val="21"/>
          <w:lang w:eastAsia="zh-Hans"/>
        </w:rPr>
        <w:t>支持根据查询条件导出处方清单、明细清单</w:t>
      </w:r>
    </w:p>
    <w:p w14:paraId="1F854227">
      <w:pPr>
        <w:pStyle w:val="71"/>
        <w:spacing w:before="167"/>
        <w:rPr>
          <w:rFonts w:ascii="宋体" w:hAnsi="宋体" w:cs="仿宋"/>
          <w:color w:val="000000"/>
          <w:szCs w:val="21"/>
          <w:lang w:eastAsia="zh-Hans"/>
        </w:rPr>
      </w:pPr>
      <w:r>
        <w:rPr>
          <w:rFonts w:hint="eastAsia" w:ascii="宋体" w:hAnsi="宋体" w:cs="仿宋"/>
          <w:color w:val="000000"/>
          <w:szCs w:val="21"/>
        </w:rPr>
        <w:t>14、</w:t>
      </w:r>
      <w:r>
        <w:rPr>
          <w:rFonts w:hint="eastAsia" w:ascii="宋体" w:hAnsi="宋体" w:cs="仿宋"/>
          <w:color w:val="000000"/>
          <w:szCs w:val="21"/>
          <w:lang w:eastAsia="zh-Hans"/>
        </w:rPr>
        <w:t>支持根据查询条件导出配送清单、打印送货单</w:t>
      </w:r>
    </w:p>
    <w:p w14:paraId="6035AA18">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1.5.1.3审方管理</w:t>
      </w:r>
    </w:p>
    <w:p w14:paraId="5EC1F788">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展示待审方处方和已审方历史处方</w:t>
      </w:r>
      <w:r>
        <w:rPr>
          <w:rFonts w:hint="eastAsia" w:ascii="宋体" w:hAnsi="宋体" w:cs="仿宋"/>
          <w:color w:val="000000"/>
          <w:szCs w:val="21"/>
        </w:rPr>
        <w:t>，</w:t>
      </w:r>
      <w:r>
        <w:rPr>
          <w:rFonts w:hint="eastAsia" w:ascii="宋体" w:hAnsi="宋体" w:cs="仿宋"/>
          <w:color w:val="000000"/>
          <w:szCs w:val="21"/>
          <w:lang w:eastAsia="zh-Hans"/>
        </w:rPr>
        <w:t>支持根据条件筛选查询历史处方</w:t>
      </w:r>
    </w:p>
    <w:p w14:paraId="3640EDE4">
      <w:pPr>
        <w:pStyle w:val="71"/>
        <w:spacing w:before="167"/>
        <w:rPr>
          <w:rFonts w:ascii="宋体" w:hAnsi="宋体" w:cs="仿宋"/>
          <w:color w:val="000000"/>
          <w:szCs w:val="21"/>
          <w:lang w:eastAsia="zh-Hans"/>
        </w:rPr>
      </w:pPr>
      <w:r>
        <w:rPr>
          <w:rFonts w:hint="eastAsia" w:ascii="宋体" w:hAnsi="宋体" w:cs="仿宋"/>
          <w:color w:val="000000"/>
          <w:szCs w:val="21"/>
        </w:rPr>
        <w:t>2、</w:t>
      </w:r>
      <w:r>
        <w:rPr>
          <w:rFonts w:hint="eastAsia" w:ascii="宋体" w:hAnsi="宋体" w:cs="仿宋"/>
          <w:color w:val="000000"/>
          <w:szCs w:val="21"/>
          <w:lang w:eastAsia="zh-Hans"/>
        </w:rPr>
        <w:t>预审方信息提示（配伍禁忌、超剂量、毒性药品、妊娠禁忌等）、煎煮方案确认（浸泡时间、煎煮时间、包装规格等）、药品特煎方式和双签名查看</w:t>
      </w:r>
    </w:p>
    <w:p w14:paraId="0685B4CD">
      <w:pPr>
        <w:pStyle w:val="71"/>
        <w:spacing w:before="167"/>
        <w:rPr>
          <w:rFonts w:ascii="宋体" w:hAnsi="宋体" w:cs="仿宋"/>
          <w:color w:val="000000"/>
          <w:szCs w:val="21"/>
          <w:lang w:eastAsia="zh-Hans"/>
        </w:rPr>
      </w:pPr>
      <w:r>
        <w:rPr>
          <w:rFonts w:hint="eastAsia" w:ascii="宋体" w:hAnsi="宋体" w:cs="仿宋"/>
          <w:color w:val="000000"/>
          <w:szCs w:val="21"/>
        </w:rPr>
        <w:t>3、</w:t>
      </w:r>
      <w:r>
        <w:rPr>
          <w:rFonts w:hint="eastAsia" w:ascii="宋体" w:hAnsi="宋体" w:cs="仿宋"/>
          <w:color w:val="000000"/>
          <w:szCs w:val="21"/>
          <w:lang w:eastAsia="zh-Hans"/>
        </w:rPr>
        <w:t>维护管理十八反、十九畏规则数据</w:t>
      </w:r>
    </w:p>
    <w:p w14:paraId="1E2182C5">
      <w:pPr>
        <w:pStyle w:val="71"/>
        <w:spacing w:before="167"/>
        <w:rPr>
          <w:rFonts w:ascii="宋体" w:hAnsi="宋体" w:cs="仿宋"/>
          <w:color w:val="000000"/>
          <w:szCs w:val="21"/>
          <w:lang w:eastAsia="zh-Hans"/>
        </w:rPr>
      </w:pPr>
      <w:r>
        <w:rPr>
          <w:rFonts w:hint="eastAsia" w:ascii="宋体" w:hAnsi="宋体" w:cs="仿宋"/>
          <w:color w:val="000000"/>
          <w:szCs w:val="21"/>
        </w:rPr>
        <w:t>4、</w:t>
      </w:r>
      <w:r>
        <w:rPr>
          <w:rFonts w:hint="eastAsia" w:ascii="宋体" w:hAnsi="宋体" w:cs="仿宋"/>
          <w:color w:val="000000"/>
          <w:szCs w:val="21"/>
          <w:lang w:eastAsia="zh-Hans"/>
        </w:rPr>
        <w:t>维护管理药品超剂量规则数据</w:t>
      </w:r>
    </w:p>
    <w:p w14:paraId="138623A7">
      <w:pPr>
        <w:pStyle w:val="71"/>
        <w:spacing w:before="167"/>
        <w:rPr>
          <w:rFonts w:ascii="宋体" w:hAnsi="宋体" w:cs="仿宋"/>
          <w:color w:val="000000"/>
          <w:szCs w:val="21"/>
        </w:rPr>
      </w:pPr>
      <w:r>
        <w:rPr>
          <w:rFonts w:hint="eastAsia" w:ascii="宋体" w:hAnsi="宋体" w:cs="仿宋"/>
          <w:color w:val="000000"/>
          <w:szCs w:val="21"/>
        </w:rPr>
        <w:t>5、</w:t>
      </w:r>
      <w:r>
        <w:rPr>
          <w:rFonts w:hint="eastAsia" w:ascii="宋体" w:hAnsi="宋体" w:cs="仿宋"/>
          <w:color w:val="000000"/>
          <w:szCs w:val="21"/>
          <w:lang w:eastAsia="zh-Hans"/>
        </w:rPr>
        <w:t>维护管理妊娠禁用药品和忌用药品数据</w:t>
      </w:r>
    </w:p>
    <w:p w14:paraId="7B90007F">
      <w:pPr>
        <w:pStyle w:val="71"/>
        <w:spacing w:before="167"/>
        <w:rPr>
          <w:rFonts w:ascii="宋体" w:hAnsi="宋体" w:cs="仿宋"/>
          <w:color w:val="000000"/>
          <w:szCs w:val="21"/>
          <w:lang w:eastAsia="zh-Hans"/>
        </w:rPr>
      </w:pPr>
      <w:r>
        <w:rPr>
          <w:rFonts w:hint="eastAsia" w:ascii="宋体" w:hAnsi="宋体" w:cs="仿宋"/>
          <w:color w:val="000000"/>
          <w:szCs w:val="21"/>
        </w:rPr>
        <w:t>6、</w:t>
      </w:r>
      <w:r>
        <w:rPr>
          <w:rFonts w:hint="eastAsia" w:ascii="宋体" w:hAnsi="宋体" w:cs="仿宋"/>
          <w:color w:val="000000"/>
          <w:szCs w:val="21"/>
          <w:lang w:eastAsia="zh-Hans"/>
        </w:rPr>
        <w:t>支持按药品设置毒麻标记</w:t>
      </w:r>
    </w:p>
    <w:p w14:paraId="6F63D514">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1.5.1.4投诉管理</w:t>
      </w:r>
    </w:p>
    <w:p w14:paraId="01B21F4A">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新增、删除投诉记录，投诉内容包括投诉类型、投诉登记、投诉内容</w:t>
      </w:r>
      <w:r>
        <w:rPr>
          <w:rFonts w:hint="eastAsia" w:ascii="宋体" w:hAnsi="宋体" w:cs="仿宋"/>
          <w:color w:val="000000"/>
          <w:szCs w:val="21"/>
        </w:rPr>
        <w:t>，</w:t>
      </w:r>
      <w:r>
        <w:rPr>
          <w:rFonts w:hint="eastAsia" w:ascii="宋体" w:hAnsi="宋体" w:cs="仿宋"/>
          <w:color w:val="000000"/>
          <w:szCs w:val="21"/>
          <w:lang w:eastAsia="zh-Hans"/>
        </w:rPr>
        <w:t>处理投诉</w:t>
      </w:r>
      <w:r>
        <w:rPr>
          <w:rFonts w:hint="eastAsia" w:ascii="宋体" w:hAnsi="宋体" w:cs="仿宋"/>
          <w:color w:val="000000"/>
          <w:szCs w:val="21"/>
        </w:rPr>
        <w:t>并</w:t>
      </w:r>
      <w:r>
        <w:rPr>
          <w:rFonts w:hint="eastAsia" w:ascii="宋体" w:hAnsi="宋体" w:cs="仿宋"/>
          <w:color w:val="000000"/>
          <w:szCs w:val="21"/>
          <w:lang w:eastAsia="zh-Hans"/>
        </w:rPr>
        <w:t>记录处理内容</w:t>
      </w:r>
    </w:p>
    <w:p w14:paraId="715F7992">
      <w:pPr>
        <w:pStyle w:val="5"/>
        <w:spacing w:before="120" w:after="120"/>
        <w:ind w:left="1276"/>
        <w:rPr>
          <w:lang w:eastAsia="zh-Hans"/>
        </w:rPr>
      </w:pPr>
      <w:r>
        <w:rPr>
          <w:rFonts w:hint="eastAsia" w:ascii="宋体" w:hAnsi="宋体" w:eastAsia="宋体"/>
          <w:kern w:val="44"/>
          <w:sz w:val="21"/>
          <w:szCs w:val="21"/>
        </w:rPr>
        <w:t>1.5.1.5复核列表</w:t>
      </w:r>
    </w:p>
    <w:p w14:paraId="380C6B92">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展示复核合格与不合格记录，支持筛选查询历史复核记录</w:t>
      </w:r>
    </w:p>
    <w:p w14:paraId="012FF720">
      <w:pPr>
        <w:pStyle w:val="5"/>
        <w:spacing w:before="120" w:after="120"/>
        <w:ind w:left="1276"/>
        <w:rPr>
          <w:color w:val="00B050"/>
          <w:szCs w:val="24"/>
        </w:rPr>
      </w:pPr>
      <w:r>
        <w:rPr>
          <w:rFonts w:hint="eastAsia" w:ascii="宋体" w:hAnsi="宋体" w:eastAsia="宋体"/>
          <w:kern w:val="44"/>
          <w:sz w:val="21"/>
          <w:szCs w:val="21"/>
        </w:rPr>
        <w:t>1.5.1.6处方操作记录</w:t>
      </w:r>
    </w:p>
    <w:p w14:paraId="03F0B1CE">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记录处方每个环节操作信息（操作人、操作时间）</w:t>
      </w:r>
      <w:r>
        <w:rPr>
          <w:rFonts w:hint="eastAsia" w:ascii="宋体" w:hAnsi="宋体" w:cs="仿宋"/>
          <w:color w:val="000000"/>
          <w:szCs w:val="21"/>
        </w:rPr>
        <w:t>，</w:t>
      </w:r>
      <w:r>
        <w:rPr>
          <w:rFonts w:hint="eastAsia" w:ascii="宋体" w:hAnsi="宋体" w:cs="仿宋"/>
          <w:color w:val="000000"/>
          <w:szCs w:val="21"/>
          <w:lang w:eastAsia="zh-Hans"/>
        </w:rPr>
        <w:t>支持导出处方操作明细表格</w:t>
      </w:r>
    </w:p>
    <w:p w14:paraId="01733952">
      <w:pPr>
        <w:pStyle w:val="5"/>
        <w:spacing w:before="120" w:after="120"/>
        <w:ind w:left="1276"/>
        <w:rPr>
          <w:color w:val="00B050"/>
          <w:szCs w:val="24"/>
        </w:rPr>
      </w:pPr>
      <w:r>
        <w:rPr>
          <w:rFonts w:hint="eastAsia" w:ascii="宋体" w:hAnsi="宋体" w:eastAsia="宋体"/>
          <w:kern w:val="44"/>
          <w:sz w:val="21"/>
          <w:szCs w:val="21"/>
        </w:rPr>
        <w:t>1.5.1.7处方修改记录</w:t>
      </w:r>
    </w:p>
    <w:p w14:paraId="5B0B66D1">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记录处方药品明细修改信息，支持查询历史修改记录</w:t>
      </w:r>
      <w:r>
        <w:rPr>
          <w:rFonts w:hint="eastAsia" w:ascii="宋体" w:hAnsi="宋体" w:cs="仿宋"/>
          <w:color w:val="000000"/>
          <w:szCs w:val="21"/>
        </w:rPr>
        <w:t>，</w:t>
      </w:r>
      <w:r>
        <w:rPr>
          <w:rFonts w:hint="eastAsia" w:ascii="宋体" w:hAnsi="宋体" w:cs="仿宋"/>
          <w:color w:val="000000"/>
          <w:szCs w:val="21"/>
          <w:lang w:eastAsia="zh-Hans"/>
        </w:rPr>
        <w:t>记录处方基本内容修改信息，支持查询里是修改记录</w:t>
      </w:r>
    </w:p>
    <w:p w14:paraId="25B4819C">
      <w:pPr>
        <w:pStyle w:val="5"/>
        <w:spacing w:before="120" w:after="120"/>
        <w:ind w:left="1276"/>
        <w:rPr>
          <w:color w:val="00B050"/>
          <w:szCs w:val="24"/>
        </w:rPr>
      </w:pPr>
      <w:r>
        <w:rPr>
          <w:rFonts w:hint="eastAsia" w:ascii="宋体" w:hAnsi="宋体" w:eastAsia="宋体"/>
          <w:kern w:val="44"/>
          <w:sz w:val="21"/>
          <w:szCs w:val="21"/>
        </w:rPr>
        <w:t>1.5.1.8物流列表</w:t>
      </w:r>
    </w:p>
    <w:p w14:paraId="15F18631">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根据物流单号查看物流路由信息</w:t>
      </w:r>
      <w:r>
        <w:rPr>
          <w:rFonts w:hint="eastAsia" w:ascii="宋体" w:hAnsi="宋体" w:cs="仿宋"/>
          <w:color w:val="000000"/>
          <w:szCs w:val="21"/>
        </w:rPr>
        <w:t>，</w:t>
      </w:r>
      <w:r>
        <w:rPr>
          <w:rFonts w:hint="eastAsia" w:ascii="宋体" w:hAnsi="宋体" w:cs="仿宋"/>
          <w:color w:val="000000"/>
          <w:szCs w:val="21"/>
          <w:lang w:eastAsia="zh-Hans"/>
        </w:rPr>
        <w:t>支持批量打印快递面单</w:t>
      </w:r>
    </w:p>
    <w:p w14:paraId="0C3D7A62">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1.5.1.9预警列表</w:t>
      </w:r>
    </w:p>
    <w:p w14:paraId="60ED1581">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自定义设置超时预警规则，支持添加预警类型，设置前后两个操作流程间的超时时间，超时后系统自动生成预警信息</w:t>
      </w:r>
    </w:p>
    <w:p w14:paraId="7E9A8588">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1.5.2.0异常列表</w:t>
      </w:r>
    </w:p>
    <w:p w14:paraId="22754C8E">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人工添加异常处方，记录异常类型、责任人、异常描述</w:t>
      </w:r>
      <w:r>
        <w:rPr>
          <w:rFonts w:hint="eastAsia" w:ascii="宋体" w:hAnsi="宋体" w:cs="仿宋"/>
          <w:color w:val="000000"/>
          <w:szCs w:val="21"/>
        </w:rPr>
        <w:t>。</w:t>
      </w:r>
      <w:r>
        <w:rPr>
          <w:rFonts w:hint="eastAsia" w:ascii="宋体" w:hAnsi="宋体" w:cs="仿宋"/>
          <w:color w:val="000000"/>
          <w:szCs w:val="21"/>
          <w:lang w:eastAsia="zh-Hans"/>
        </w:rPr>
        <w:t>对异常处方进行处理记录</w:t>
      </w:r>
    </w:p>
    <w:p w14:paraId="10556E05">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1.5.2.1抽检列表</w:t>
      </w:r>
    </w:p>
    <w:p w14:paraId="53697386">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支持配方抽检</w:t>
      </w:r>
      <w:r>
        <w:rPr>
          <w:rFonts w:hint="eastAsia" w:ascii="宋体" w:hAnsi="宋体" w:cs="仿宋"/>
          <w:color w:val="000000"/>
          <w:szCs w:val="21"/>
        </w:rPr>
        <w:t>及</w:t>
      </w:r>
      <w:r>
        <w:rPr>
          <w:rFonts w:hint="eastAsia" w:ascii="宋体" w:hAnsi="宋体" w:cs="仿宋"/>
          <w:color w:val="000000"/>
          <w:szCs w:val="21"/>
          <w:lang w:eastAsia="zh-Hans"/>
        </w:rPr>
        <w:t>煎药抽检</w:t>
      </w:r>
      <w:r>
        <w:rPr>
          <w:rFonts w:hint="eastAsia" w:ascii="宋体" w:hAnsi="宋体" w:cs="仿宋"/>
          <w:color w:val="000000"/>
          <w:szCs w:val="21"/>
        </w:rPr>
        <w:t>并</w:t>
      </w:r>
      <w:r>
        <w:rPr>
          <w:rFonts w:hint="eastAsia" w:ascii="宋体" w:hAnsi="宋体" w:cs="仿宋"/>
          <w:color w:val="000000"/>
          <w:szCs w:val="21"/>
          <w:lang w:eastAsia="zh-Hans"/>
        </w:rPr>
        <w:t>导出记录</w:t>
      </w:r>
    </w:p>
    <w:p w14:paraId="2EC04B68">
      <w:pPr>
        <w:pStyle w:val="5"/>
        <w:spacing w:before="120" w:after="120"/>
        <w:ind w:left="1276"/>
        <w:rPr>
          <w:color w:val="00B050"/>
          <w:szCs w:val="24"/>
          <w:lang w:eastAsia="zh-Hans"/>
        </w:rPr>
      </w:pPr>
      <w:r>
        <w:rPr>
          <w:rFonts w:hint="eastAsia" w:ascii="宋体" w:hAnsi="宋体" w:eastAsia="宋体"/>
          <w:kern w:val="44"/>
          <w:sz w:val="21"/>
          <w:szCs w:val="21"/>
        </w:rPr>
        <w:t>1.5.2.2医院对账</w:t>
      </w:r>
    </w:p>
    <w:p w14:paraId="5B4392CE">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根据结算方或医院，汇总药品生成对账单</w:t>
      </w:r>
      <w:r>
        <w:rPr>
          <w:rFonts w:hint="eastAsia" w:ascii="宋体" w:hAnsi="宋体" w:cs="仿宋"/>
          <w:color w:val="000000"/>
          <w:szCs w:val="21"/>
        </w:rPr>
        <w:t>，</w:t>
      </w:r>
      <w:r>
        <w:rPr>
          <w:rFonts w:hint="eastAsia" w:ascii="宋体" w:hAnsi="宋体" w:cs="仿宋"/>
          <w:color w:val="000000"/>
          <w:szCs w:val="21"/>
          <w:lang w:eastAsia="zh-Hans"/>
        </w:rPr>
        <w:t>支持调整药品价格、处方加工费汇总</w:t>
      </w:r>
    </w:p>
    <w:p w14:paraId="59199923">
      <w:pPr>
        <w:pStyle w:val="5"/>
        <w:spacing w:before="120" w:after="120"/>
        <w:ind w:left="1276"/>
        <w:rPr>
          <w:color w:val="00B050"/>
          <w:szCs w:val="24"/>
          <w:lang w:eastAsia="zh-Hans"/>
        </w:rPr>
      </w:pPr>
      <w:r>
        <w:rPr>
          <w:rFonts w:hint="eastAsia" w:ascii="宋体" w:hAnsi="宋体" w:eastAsia="宋体"/>
          <w:kern w:val="44"/>
          <w:sz w:val="21"/>
          <w:szCs w:val="21"/>
        </w:rPr>
        <w:t>1.5.2.3对账单管理</w:t>
      </w:r>
    </w:p>
    <w:p w14:paraId="2338A204">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按对账药品明细级别展示历史对账明细，支持筛选查询</w:t>
      </w:r>
    </w:p>
    <w:p w14:paraId="27DD5123">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1.5.2.4价格模板</w:t>
      </w:r>
    </w:p>
    <w:p w14:paraId="0639BC95">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支持自定义维护价格模板，载入药品批量调价</w:t>
      </w:r>
    </w:p>
    <w:p w14:paraId="512B5CD6">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1.5.2.5仓库药房管理</w:t>
      </w:r>
    </w:p>
    <w:p w14:paraId="25BFC2F9">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新增、修改仓库</w:t>
      </w:r>
      <w:r>
        <w:rPr>
          <w:rFonts w:ascii="宋体" w:hAnsi="宋体" w:cs="仿宋"/>
          <w:color w:val="000000"/>
          <w:szCs w:val="21"/>
          <w:lang w:eastAsia="zh-Hans"/>
        </w:rPr>
        <w:t>/</w:t>
      </w:r>
      <w:r>
        <w:rPr>
          <w:rFonts w:hint="eastAsia" w:ascii="宋体" w:hAnsi="宋体" w:cs="仿宋"/>
          <w:color w:val="000000"/>
          <w:szCs w:val="21"/>
          <w:lang w:eastAsia="zh-Hans"/>
        </w:rPr>
        <w:t>药房的基础信息</w:t>
      </w:r>
      <w:r>
        <w:rPr>
          <w:rFonts w:hint="eastAsia" w:ascii="宋体" w:hAnsi="宋体" w:cs="仿宋"/>
          <w:color w:val="000000"/>
          <w:szCs w:val="21"/>
        </w:rPr>
        <w:t>，</w:t>
      </w:r>
      <w:r>
        <w:rPr>
          <w:rFonts w:hint="eastAsia" w:ascii="宋体" w:hAnsi="宋体" w:cs="仿宋"/>
          <w:color w:val="000000"/>
          <w:szCs w:val="21"/>
          <w:lang w:eastAsia="zh-Hans"/>
        </w:rPr>
        <w:t>支持停用、启用仓库</w:t>
      </w:r>
      <w:r>
        <w:rPr>
          <w:rFonts w:ascii="宋体" w:hAnsi="宋体" w:cs="仿宋"/>
          <w:color w:val="000000"/>
          <w:szCs w:val="21"/>
          <w:lang w:eastAsia="zh-Hans"/>
        </w:rPr>
        <w:t>/</w:t>
      </w:r>
      <w:r>
        <w:rPr>
          <w:rFonts w:hint="eastAsia" w:ascii="宋体" w:hAnsi="宋体" w:cs="仿宋"/>
          <w:color w:val="000000"/>
          <w:szCs w:val="21"/>
          <w:lang w:eastAsia="zh-Hans"/>
        </w:rPr>
        <w:t>药房，停用后不能入库</w:t>
      </w:r>
    </w:p>
    <w:p w14:paraId="5CDB9DD3">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1.5.2.6库位管理</w:t>
      </w:r>
    </w:p>
    <w:p w14:paraId="33F0BB58">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按仓库</w:t>
      </w:r>
      <w:r>
        <w:rPr>
          <w:rFonts w:ascii="宋体" w:hAnsi="宋体" w:cs="仿宋"/>
          <w:color w:val="000000"/>
          <w:szCs w:val="21"/>
          <w:lang w:eastAsia="zh-Hans"/>
        </w:rPr>
        <w:t>/</w:t>
      </w:r>
      <w:r>
        <w:rPr>
          <w:rFonts w:hint="eastAsia" w:ascii="宋体" w:hAnsi="宋体" w:cs="仿宋"/>
          <w:color w:val="000000"/>
          <w:szCs w:val="21"/>
          <w:lang w:eastAsia="zh-Hans"/>
        </w:rPr>
        <w:t>药房维护药品的库位号</w:t>
      </w:r>
      <w:r>
        <w:rPr>
          <w:rFonts w:hint="eastAsia" w:ascii="宋体" w:hAnsi="宋体" w:cs="仿宋"/>
          <w:color w:val="000000"/>
          <w:szCs w:val="21"/>
        </w:rPr>
        <w:t>，</w:t>
      </w:r>
      <w:r>
        <w:rPr>
          <w:rFonts w:hint="eastAsia" w:ascii="宋体" w:hAnsi="宋体" w:cs="仿宋"/>
          <w:color w:val="000000"/>
          <w:szCs w:val="21"/>
          <w:lang w:eastAsia="zh-Hans"/>
        </w:rPr>
        <w:t>提高出库人员效率</w:t>
      </w:r>
    </w:p>
    <w:p w14:paraId="54DD2E95">
      <w:pPr>
        <w:pStyle w:val="5"/>
        <w:spacing w:before="120" w:after="120"/>
        <w:ind w:left="1276"/>
        <w:rPr>
          <w:color w:val="00B050"/>
          <w:szCs w:val="24"/>
          <w:lang w:eastAsia="zh-Hans"/>
        </w:rPr>
      </w:pPr>
      <w:r>
        <w:rPr>
          <w:rFonts w:hint="eastAsia" w:ascii="宋体" w:hAnsi="宋体" w:eastAsia="宋体"/>
          <w:kern w:val="44"/>
          <w:sz w:val="21"/>
          <w:szCs w:val="21"/>
        </w:rPr>
        <w:t>1.5.2.7药房配置</w:t>
      </w:r>
    </w:p>
    <w:p w14:paraId="4DBBCFEA">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支持多药房管理，按医院、加工方式设置不同的出库药房</w:t>
      </w:r>
    </w:p>
    <w:p w14:paraId="675C6486">
      <w:pPr>
        <w:pStyle w:val="5"/>
        <w:spacing w:before="120" w:after="120"/>
        <w:ind w:left="1276"/>
        <w:rPr>
          <w:color w:val="00B050"/>
          <w:szCs w:val="24"/>
          <w:lang w:eastAsia="zh-Hans"/>
        </w:rPr>
      </w:pPr>
      <w:r>
        <w:rPr>
          <w:rFonts w:hint="eastAsia" w:ascii="宋体" w:hAnsi="宋体" w:eastAsia="宋体"/>
          <w:kern w:val="44"/>
          <w:sz w:val="21"/>
          <w:szCs w:val="21"/>
        </w:rPr>
        <w:t>1.5.2.8入库管理</w:t>
      </w:r>
    </w:p>
    <w:p w14:paraId="5BA4D6A4">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药品验收入库，包括药品、规格、批号、产地、厂家、入库数量</w:t>
      </w:r>
    </w:p>
    <w:p w14:paraId="30450286">
      <w:pPr>
        <w:pStyle w:val="5"/>
        <w:spacing w:before="120" w:after="120"/>
        <w:ind w:left="1276"/>
        <w:rPr>
          <w:color w:val="00B050"/>
          <w:szCs w:val="24"/>
          <w:lang w:eastAsia="zh-Hans"/>
        </w:rPr>
      </w:pPr>
      <w:r>
        <w:rPr>
          <w:rFonts w:hint="eastAsia" w:ascii="宋体" w:hAnsi="宋体" w:eastAsia="宋体"/>
          <w:kern w:val="44"/>
          <w:sz w:val="21"/>
          <w:szCs w:val="21"/>
        </w:rPr>
        <w:t>1.5.2.9调拨管理</w:t>
      </w:r>
    </w:p>
    <w:p w14:paraId="25D861C2">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新增、修改调拨单，包括来源仓库、调拨药房、药品、规格、批号、产地、厂家、调拨数量等</w:t>
      </w:r>
    </w:p>
    <w:p w14:paraId="6BBBCAFF">
      <w:pPr>
        <w:pStyle w:val="5"/>
        <w:spacing w:before="120" w:after="120"/>
        <w:ind w:left="1276"/>
        <w:rPr>
          <w:color w:val="00B050"/>
          <w:szCs w:val="24"/>
        </w:rPr>
      </w:pPr>
      <w:r>
        <w:rPr>
          <w:rFonts w:hint="eastAsia" w:ascii="宋体" w:hAnsi="宋体" w:eastAsia="宋体"/>
          <w:kern w:val="44"/>
          <w:sz w:val="21"/>
          <w:szCs w:val="21"/>
        </w:rPr>
        <w:t>1.5.3.0退货管理</w:t>
      </w:r>
    </w:p>
    <w:p w14:paraId="7E55ADA1">
      <w:pPr>
        <w:pStyle w:val="71"/>
        <w:spacing w:before="167"/>
        <w:rPr>
          <w:rFonts w:ascii="宋体" w:hAnsi="宋体" w:cs="仿宋"/>
          <w:color w:val="000000"/>
          <w:szCs w:val="21"/>
        </w:rPr>
      </w:pPr>
      <w:r>
        <w:rPr>
          <w:rFonts w:hint="eastAsia" w:ascii="宋体" w:hAnsi="宋体" w:cs="仿宋"/>
          <w:color w:val="000000"/>
          <w:szCs w:val="21"/>
        </w:rPr>
        <w:t>1、支持退货管理，药房退至仓库，仓库退至药企</w:t>
      </w:r>
    </w:p>
    <w:p w14:paraId="147608A6">
      <w:pPr>
        <w:pStyle w:val="5"/>
        <w:spacing w:before="120" w:after="120"/>
        <w:ind w:left="1276"/>
        <w:rPr>
          <w:color w:val="00B050"/>
          <w:szCs w:val="24"/>
        </w:rPr>
      </w:pPr>
      <w:r>
        <w:rPr>
          <w:rFonts w:hint="eastAsia" w:ascii="宋体" w:hAnsi="宋体" w:eastAsia="宋体"/>
          <w:kern w:val="44"/>
          <w:sz w:val="21"/>
          <w:szCs w:val="21"/>
        </w:rPr>
        <w:t>1.5.3.1盘点管理</w:t>
      </w:r>
    </w:p>
    <w:p w14:paraId="3C83ED63">
      <w:pPr>
        <w:pStyle w:val="71"/>
        <w:spacing w:before="167"/>
        <w:rPr>
          <w:rFonts w:ascii="宋体" w:hAnsi="宋体" w:cs="仿宋"/>
          <w:color w:val="000000"/>
          <w:szCs w:val="21"/>
        </w:rPr>
      </w:pPr>
      <w:r>
        <w:rPr>
          <w:rFonts w:hint="eastAsia" w:ascii="宋体" w:hAnsi="宋体" w:cs="仿宋"/>
          <w:color w:val="000000"/>
          <w:szCs w:val="21"/>
        </w:rPr>
        <w:t>1、支持手动记录及手持扫码进行库存盘点</w:t>
      </w:r>
    </w:p>
    <w:p w14:paraId="753FB6FB">
      <w:pPr>
        <w:pStyle w:val="5"/>
        <w:spacing w:before="120" w:after="120"/>
        <w:ind w:left="1276"/>
        <w:rPr>
          <w:color w:val="00B050"/>
          <w:szCs w:val="24"/>
        </w:rPr>
      </w:pPr>
      <w:r>
        <w:rPr>
          <w:rFonts w:hint="eastAsia" w:ascii="宋体" w:hAnsi="宋体" w:eastAsia="宋体"/>
          <w:kern w:val="44"/>
          <w:sz w:val="21"/>
          <w:szCs w:val="21"/>
        </w:rPr>
        <w:t>1.5.3.2报损报溢</w:t>
      </w:r>
    </w:p>
    <w:p w14:paraId="4A48E8B3">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新增仓库和药房的报损、报溢数据，确认保存后系统对应的药品库存更新库存数量</w:t>
      </w:r>
    </w:p>
    <w:p w14:paraId="61ED0118">
      <w:pPr>
        <w:pStyle w:val="5"/>
        <w:spacing w:before="120" w:after="120"/>
        <w:ind w:left="1276"/>
        <w:rPr>
          <w:color w:val="00B050"/>
          <w:szCs w:val="24"/>
          <w:lang w:eastAsia="zh-Hans"/>
        </w:rPr>
      </w:pPr>
      <w:r>
        <w:rPr>
          <w:rFonts w:hint="eastAsia" w:ascii="宋体" w:hAnsi="宋体" w:eastAsia="宋体"/>
          <w:kern w:val="44"/>
          <w:sz w:val="21"/>
          <w:szCs w:val="21"/>
        </w:rPr>
        <w:t>1.5.3.3验收管理</w:t>
      </w:r>
    </w:p>
    <w:p w14:paraId="025F75F5">
      <w:pPr>
        <w:pStyle w:val="71"/>
        <w:spacing w:before="167"/>
        <w:rPr>
          <w:rFonts w:ascii="宋体" w:hAnsi="宋体" w:cs="仿宋"/>
          <w:color w:val="000000"/>
          <w:szCs w:val="21"/>
        </w:rPr>
      </w:pPr>
      <w:r>
        <w:rPr>
          <w:rFonts w:hint="eastAsia" w:ascii="宋体" w:hAnsi="宋体" w:cs="仿宋"/>
          <w:color w:val="000000"/>
          <w:szCs w:val="21"/>
        </w:rPr>
        <w:t>1、</w:t>
      </w:r>
      <w:r>
        <w:rPr>
          <w:rFonts w:hint="eastAsia" w:ascii="宋体" w:hAnsi="宋体" w:cs="仿宋"/>
          <w:color w:val="000000"/>
          <w:szCs w:val="21"/>
          <w:lang w:eastAsia="zh-Hans"/>
        </w:rPr>
        <w:t>在入库单验收时，系统自动生成验收单</w:t>
      </w:r>
      <w:r>
        <w:rPr>
          <w:rFonts w:hint="eastAsia" w:ascii="宋体" w:hAnsi="宋体" w:cs="仿宋"/>
          <w:color w:val="000000"/>
          <w:szCs w:val="21"/>
        </w:rPr>
        <w:t>，可</w:t>
      </w:r>
      <w:r>
        <w:rPr>
          <w:rFonts w:hint="eastAsia" w:ascii="宋体" w:hAnsi="宋体" w:cs="仿宋"/>
          <w:color w:val="000000"/>
          <w:szCs w:val="21"/>
          <w:lang w:eastAsia="zh-Hans"/>
        </w:rPr>
        <w:t>查看验收单信息，维护验收人、验收数量、质量情况、验收结论</w:t>
      </w:r>
      <w:r>
        <w:rPr>
          <w:rFonts w:hint="eastAsia" w:ascii="宋体" w:hAnsi="宋体" w:cs="仿宋"/>
          <w:color w:val="000000"/>
          <w:szCs w:val="21"/>
        </w:rPr>
        <w:t>并导出验收清单</w:t>
      </w:r>
    </w:p>
    <w:p w14:paraId="57730D71">
      <w:pPr>
        <w:pStyle w:val="5"/>
        <w:spacing w:before="120" w:after="120"/>
        <w:ind w:left="1276"/>
        <w:rPr>
          <w:color w:val="00B050"/>
          <w:szCs w:val="24"/>
        </w:rPr>
      </w:pPr>
      <w:r>
        <w:rPr>
          <w:rFonts w:hint="eastAsia" w:ascii="宋体" w:hAnsi="宋体" w:eastAsia="宋体"/>
          <w:kern w:val="44"/>
          <w:sz w:val="21"/>
          <w:szCs w:val="21"/>
        </w:rPr>
        <w:t>1.5.3.4养护管理</w:t>
      </w:r>
    </w:p>
    <w:p w14:paraId="0BE1F0EF">
      <w:pPr>
        <w:pStyle w:val="71"/>
        <w:spacing w:before="167"/>
        <w:rPr>
          <w:rFonts w:ascii="宋体" w:hAnsi="宋体" w:cs="仿宋"/>
          <w:color w:val="000000"/>
          <w:szCs w:val="21"/>
        </w:rPr>
      </w:pPr>
      <w:r>
        <w:rPr>
          <w:rFonts w:hint="eastAsia" w:ascii="宋体" w:hAnsi="宋体" w:cs="仿宋"/>
          <w:color w:val="000000"/>
          <w:szCs w:val="21"/>
        </w:rPr>
        <w:t>1、</w:t>
      </w:r>
      <w:r>
        <w:rPr>
          <w:rFonts w:hint="eastAsia" w:ascii="宋体" w:hAnsi="宋体" w:cs="仿宋"/>
          <w:color w:val="000000"/>
          <w:szCs w:val="21"/>
          <w:lang w:eastAsia="zh-Hans"/>
        </w:rPr>
        <w:t>根据仓库和药房新增、修改养护单，包括养护药品、养护日期、养护方法、处理措施、养护人员</w:t>
      </w:r>
      <w:r>
        <w:rPr>
          <w:rFonts w:hint="eastAsia" w:ascii="宋体" w:hAnsi="宋体" w:cs="仿宋"/>
          <w:color w:val="000000"/>
          <w:szCs w:val="21"/>
        </w:rPr>
        <w:t>信息</w:t>
      </w:r>
    </w:p>
    <w:p w14:paraId="39FAF71D">
      <w:pPr>
        <w:pStyle w:val="5"/>
        <w:spacing w:before="120" w:after="120"/>
        <w:ind w:left="1276"/>
        <w:rPr>
          <w:color w:val="00B050"/>
          <w:szCs w:val="24"/>
        </w:rPr>
      </w:pPr>
      <w:r>
        <w:rPr>
          <w:rFonts w:hint="eastAsia" w:ascii="宋体" w:hAnsi="宋体" w:eastAsia="宋体"/>
          <w:kern w:val="44"/>
          <w:sz w:val="21"/>
          <w:szCs w:val="21"/>
        </w:rPr>
        <w:t>1.5.3.5复核出库</w:t>
      </w:r>
    </w:p>
    <w:p w14:paraId="2A5E131E">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处方复核后，系统自动将处方列入出库队列实现自动出库</w:t>
      </w:r>
      <w:r>
        <w:rPr>
          <w:rFonts w:hint="eastAsia" w:ascii="宋体" w:hAnsi="宋体" w:cs="仿宋"/>
          <w:color w:val="000000"/>
          <w:szCs w:val="21"/>
        </w:rPr>
        <w:t>，</w:t>
      </w:r>
      <w:r>
        <w:rPr>
          <w:rFonts w:hint="eastAsia" w:ascii="宋体" w:hAnsi="宋体" w:cs="仿宋"/>
          <w:color w:val="000000"/>
          <w:szCs w:val="21"/>
          <w:lang w:eastAsia="zh-Hans"/>
        </w:rPr>
        <w:t>展示进入出库队列的处方，可根据出库状态查询</w:t>
      </w:r>
    </w:p>
    <w:p w14:paraId="574F876B">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1.5.3.6药品统计</w:t>
      </w:r>
    </w:p>
    <w:p w14:paraId="2E199A9F">
      <w:pPr>
        <w:pStyle w:val="71"/>
        <w:spacing w:before="167"/>
        <w:rPr>
          <w:rFonts w:ascii="宋体" w:hAnsi="宋体" w:cs="仿宋"/>
          <w:color w:val="000000"/>
          <w:szCs w:val="21"/>
        </w:rPr>
      </w:pPr>
      <w:r>
        <w:rPr>
          <w:rFonts w:hint="eastAsia" w:ascii="宋体" w:hAnsi="宋体" w:cs="仿宋"/>
          <w:color w:val="000000"/>
          <w:szCs w:val="21"/>
        </w:rPr>
        <w:t>1、</w:t>
      </w:r>
      <w:r>
        <w:rPr>
          <w:rFonts w:hint="eastAsia" w:ascii="宋体" w:hAnsi="宋体" w:cs="仿宋"/>
          <w:color w:val="000000"/>
          <w:szCs w:val="21"/>
          <w:lang w:eastAsia="zh-Hans"/>
        </w:rPr>
        <w:t>根据结算方、医院、医生、药品的不同级别，汇总统计药品用量、频次、金额</w:t>
      </w:r>
      <w:r>
        <w:rPr>
          <w:rFonts w:hint="eastAsia" w:ascii="宋体" w:hAnsi="宋体" w:cs="仿宋"/>
          <w:color w:val="000000"/>
          <w:szCs w:val="21"/>
        </w:rPr>
        <w:t>，</w:t>
      </w:r>
      <w:r>
        <w:rPr>
          <w:rFonts w:hint="eastAsia" w:ascii="宋体" w:hAnsi="宋体" w:cs="仿宋"/>
          <w:color w:val="000000"/>
          <w:szCs w:val="21"/>
          <w:lang w:eastAsia="zh-Hans"/>
        </w:rPr>
        <w:t>支持导出统计清单</w:t>
      </w:r>
    </w:p>
    <w:p w14:paraId="63FCAF6E">
      <w:pPr>
        <w:pStyle w:val="71"/>
        <w:spacing w:before="167"/>
        <w:rPr>
          <w:rFonts w:ascii="宋体" w:hAnsi="宋体" w:cs="仿宋"/>
          <w:color w:val="000000"/>
          <w:szCs w:val="21"/>
          <w:lang w:eastAsia="zh-Hans"/>
        </w:rPr>
      </w:pPr>
      <w:r>
        <w:rPr>
          <w:rFonts w:hint="eastAsia" w:ascii="宋体" w:hAnsi="宋体" w:cs="仿宋"/>
          <w:color w:val="000000"/>
          <w:szCs w:val="21"/>
        </w:rPr>
        <w:t>2、</w:t>
      </w:r>
      <w:r>
        <w:rPr>
          <w:rFonts w:hint="eastAsia" w:ascii="宋体" w:hAnsi="宋体" w:cs="仿宋"/>
          <w:color w:val="000000"/>
          <w:szCs w:val="21"/>
          <w:lang w:eastAsia="zh-Hans"/>
        </w:rPr>
        <w:t>根据药品查询系统中包含该药品的所有处方明细信息</w:t>
      </w:r>
      <w:r>
        <w:rPr>
          <w:rFonts w:hint="eastAsia" w:ascii="宋体" w:hAnsi="宋体" w:cs="仿宋"/>
          <w:color w:val="000000"/>
          <w:szCs w:val="21"/>
        </w:rPr>
        <w:t>，</w:t>
      </w:r>
      <w:r>
        <w:rPr>
          <w:rFonts w:hint="eastAsia" w:ascii="宋体" w:hAnsi="宋体" w:cs="仿宋"/>
          <w:color w:val="000000"/>
          <w:szCs w:val="21"/>
          <w:lang w:eastAsia="zh-Hans"/>
        </w:rPr>
        <w:t>支持导出药品明细清单</w:t>
      </w:r>
    </w:p>
    <w:p w14:paraId="328F1912">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1.5.3.7医院处方统计</w:t>
      </w:r>
    </w:p>
    <w:p w14:paraId="40582E3E">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根据医院、科室维度汇总处方总量、总帖数、总金额、加工方式分类处方量和金额</w:t>
      </w:r>
      <w:r>
        <w:rPr>
          <w:rFonts w:hint="eastAsia" w:ascii="宋体" w:hAnsi="宋体" w:cs="仿宋"/>
          <w:color w:val="000000"/>
          <w:szCs w:val="21"/>
        </w:rPr>
        <w:t>，</w:t>
      </w:r>
      <w:r>
        <w:rPr>
          <w:rFonts w:hint="eastAsia" w:ascii="宋体" w:hAnsi="宋体" w:cs="仿宋"/>
          <w:color w:val="000000"/>
          <w:szCs w:val="21"/>
          <w:lang w:eastAsia="zh-Hans"/>
        </w:rPr>
        <w:t>支持导出医院处方量统计清单</w:t>
      </w:r>
    </w:p>
    <w:p w14:paraId="232B8323">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1.5.3.8库存统计</w:t>
      </w:r>
    </w:p>
    <w:p w14:paraId="4CD35B4B">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根据结算方、医院、药品的不同级别，汇总统计药品出库数据，精确到批号</w:t>
      </w:r>
      <w:r>
        <w:rPr>
          <w:rFonts w:hint="eastAsia" w:ascii="宋体" w:hAnsi="宋体" w:cs="仿宋"/>
          <w:color w:val="000000"/>
          <w:szCs w:val="21"/>
        </w:rPr>
        <w:t>，</w:t>
      </w:r>
      <w:r>
        <w:rPr>
          <w:rFonts w:hint="eastAsia" w:ascii="宋体" w:hAnsi="宋体" w:cs="仿宋"/>
          <w:color w:val="000000"/>
          <w:szCs w:val="21"/>
          <w:lang w:eastAsia="zh-Hans"/>
        </w:rPr>
        <w:t>根据仓库</w:t>
      </w:r>
      <w:r>
        <w:rPr>
          <w:rFonts w:ascii="宋体" w:hAnsi="宋体" w:cs="仿宋"/>
          <w:color w:val="000000"/>
          <w:szCs w:val="21"/>
          <w:lang w:eastAsia="zh-Hans"/>
        </w:rPr>
        <w:t>/</w:t>
      </w:r>
      <w:r>
        <w:rPr>
          <w:rFonts w:hint="eastAsia" w:ascii="宋体" w:hAnsi="宋体" w:cs="仿宋"/>
          <w:color w:val="000000"/>
          <w:szCs w:val="21"/>
          <w:lang w:eastAsia="zh-Hans"/>
        </w:rPr>
        <w:t>药房统计药品入库数据，支持按药品、规格、批号的不同维度汇总</w:t>
      </w:r>
    </w:p>
    <w:p w14:paraId="706CBD96">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1.5.3.9员工业绩</w:t>
      </w:r>
    </w:p>
    <w:p w14:paraId="06DA1915">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统计处方加工流程各个岗位的员工业绩，包括审方、配药、复核、浸泡、煎煮、打包、发货</w:t>
      </w:r>
      <w:r>
        <w:rPr>
          <w:rFonts w:hint="eastAsia" w:ascii="宋体" w:hAnsi="宋体" w:cs="仿宋"/>
          <w:color w:val="000000"/>
          <w:szCs w:val="21"/>
        </w:rPr>
        <w:t>；</w:t>
      </w:r>
      <w:r>
        <w:rPr>
          <w:rFonts w:hint="eastAsia" w:ascii="宋体" w:hAnsi="宋体" w:cs="仿宋"/>
          <w:color w:val="000000"/>
          <w:szCs w:val="21"/>
          <w:lang w:eastAsia="zh-Hans"/>
        </w:rPr>
        <w:t>导出业绩统计、员工业绩清单、员工月处方业绩、员工月业绩</w:t>
      </w:r>
    </w:p>
    <w:p w14:paraId="6545C28D">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1.5.4.0打印机管理</w:t>
      </w:r>
    </w:p>
    <w:p w14:paraId="486814C5">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新增、修改</w:t>
      </w:r>
      <w:r>
        <w:rPr>
          <w:rFonts w:hint="eastAsia" w:ascii="宋体" w:hAnsi="宋体" w:cs="仿宋"/>
          <w:color w:val="000000"/>
          <w:szCs w:val="21"/>
        </w:rPr>
        <w:t>、</w:t>
      </w:r>
      <w:r>
        <w:rPr>
          <w:rFonts w:hint="eastAsia" w:ascii="宋体" w:hAnsi="宋体" w:cs="仿宋"/>
          <w:color w:val="000000"/>
          <w:szCs w:val="21"/>
          <w:lang w:eastAsia="zh-Hans"/>
        </w:rPr>
        <w:t>启用、停用打印机信息</w:t>
      </w:r>
    </w:p>
    <w:p w14:paraId="1D8A4DAF">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1.5.4.1标签配置</w:t>
      </w:r>
    </w:p>
    <w:p w14:paraId="1AFCF0D7">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按医院、住院</w:t>
      </w:r>
      <w:r>
        <w:rPr>
          <w:rFonts w:ascii="宋体" w:hAnsi="宋体" w:cs="仿宋"/>
          <w:color w:val="000000"/>
          <w:szCs w:val="21"/>
          <w:lang w:eastAsia="zh-Hans"/>
        </w:rPr>
        <w:t>/</w:t>
      </w:r>
      <w:r>
        <w:rPr>
          <w:rFonts w:hint="eastAsia" w:ascii="宋体" w:hAnsi="宋体" w:cs="仿宋"/>
          <w:color w:val="000000"/>
          <w:szCs w:val="21"/>
          <w:lang w:eastAsia="zh-Hans"/>
        </w:rPr>
        <w:t>门诊、加工方式配置不同的标签打印格式、标签数量规则</w:t>
      </w:r>
    </w:p>
    <w:p w14:paraId="632A0F54">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1.5.4.2处方单配置</w:t>
      </w:r>
    </w:p>
    <w:p w14:paraId="264D271E">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按医院、住院</w:t>
      </w:r>
      <w:r>
        <w:rPr>
          <w:rFonts w:ascii="宋体" w:hAnsi="宋体" w:cs="仿宋"/>
          <w:color w:val="000000"/>
          <w:szCs w:val="21"/>
          <w:lang w:eastAsia="zh-Hans"/>
        </w:rPr>
        <w:t>/</w:t>
      </w:r>
      <w:r>
        <w:rPr>
          <w:rFonts w:hint="eastAsia" w:ascii="宋体" w:hAnsi="宋体" w:cs="仿宋"/>
          <w:color w:val="000000"/>
          <w:szCs w:val="21"/>
          <w:lang w:eastAsia="zh-Hans"/>
        </w:rPr>
        <w:t>门诊、加工方式配置不同的处方打印模板</w:t>
      </w:r>
    </w:p>
    <w:p w14:paraId="0584E559">
      <w:pPr>
        <w:pStyle w:val="5"/>
        <w:spacing w:before="120" w:after="120"/>
        <w:ind w:left="1276"/>
        <w:rPr>
          <w:rFonts w:ascii="宋体" w:hAnsi="宋体" w:eastAsia="宋体"/>
          <w:kern w:val="44"/>
          <w:sz w:val="21"/>
          <w:szCs w:val="21"/>
          <w:lang w:eastAsia="zh-Hans"/>
        </w:rPr>
      </w:pPr>
      <w:r>
        <w:rPr>
          <w:rFonts w:hint="eastAsia" w:ascii="宋体" w:hAnsi="宋体" w:eastAsia="宋体"/>
          <w:kern w:val="44"/>
          <w:sz w:val="21"/>
          <w:szCs w:val="21"/>
        </w:rPr>
        <w:t>1.5.4.3煎药机管理</w:t>
      </w:r>
    </w:p>
    <w:p w14:paraId="21F1456B">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展示所有煎药机信息、当前运行状态、最后巡检状态</w:t>
      </w:r>
      <w:r>
        <w:rPr>
          <w:rFonts w:hint="eastAsia" w:ascii="宋体" w:hAnsi="宋体" w:cs="仿宋"/>
          <w:color w:val="000000"/>
          <w:szCs w:val="21"/>
        </w:rPr>
        <w:t>（清洗、消毒），</w:t>
      </w:r>
      <w:r>
        <w:rPr>
          <w:rFonts w:hint="eastAsia" w:ascii="宋体" w:hAnsi="宋体" w:cs="仿宋"/>
          <w:color w:val="000000"/>
          <w:szCs w:val="21"/>
          <w:lang w:eastAsia="zh-Hans"/>
        </w:rPr>
        <w:t>批量打印煎药机标签（带编号条码）</w:t>
      </w:r>
    </w:p>
    <w:p w14:paraId="09181C7C">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1.5.4.4结算方管理</w:t>
      </w:r>
    </w:p>
    <w:p w14:paraId="15FF7360">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新增、修改结算方基本信息</w:t>
      </w:r>
    </w:p>
    <w:p w14:paraId="73709613">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1.5.4.5医院管理</w:t>
      </w:r>
    </w:p>
    <w:p w14:paraId="5C4BCABC">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新增、修改医院基本信息</w:t>
      </w:r>
      <w:r>
        <w:rPr>
          <w:rFonts w:hint="eastAsia" w:ascii="宋体" w:hAnsi="宋体" w:cs="仿宋"/>
          <w:color w:val="000000"/>
          <w:szCs w:val="21"/>
        </w:rPr>
        <w:t>，可</w:t>
      </w:r>
      <w:r>
        <w:rPr>
          <w:rFonts w:hint="eastAsia" w:ascii="宋体" w:hAnsi="宋体" w:cs="仿宋"/>
          <w:color w:val="000000"/>
          <w:szCs w:val="21"/>
          <w:lang w:eastAsia="zh-Hans"/>
        </w:rPr>
        <w:t>配置：对账价格、订单导入配置、默认包装规格、默认煎煮方案</w:t>
      </w:r>
    </w:p>
    <w:p w14:paraId="6271E2A1">
      <w:pPr>
        <w:pStyle w:val="5"/>
        <w:spacing w:before="120" w:after="120"/>
        <w:ind w:left="1276"/>
        <w:rPr>
          <w:color w:val="00B050"/>
          <w:szCs w:val="24"/>
          <w:lang w:eastAsia="zh-Hans"/>
        </w:rPr>
      </w:pPr>
      <w:r>
        <w:rPr>
          <w:rFonts w:hint="eastAsia" w:ascii="宋体" w:hAnsi="宋体" w:eastAsia="宋体"/>
          <w:kern w:val="44"/>
          <w:sz w:val="21"/>
          <w:szCs w:val="21"/>
        </w:rPr>
        <w:t>1.5.4.6中药管理</w:t>
      </w:r>
    </w:p>
    <w:p w14:paraId="4E0E611D">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新增、修改中药基本信息、药品规格，支持多规格维护</w:t>
      </w:r>
      <w:r>
        <w:rPr>
          <w:rFonts w:hint="eastAsia" w:ascii="宋体" w:hAnsi="宋体" w:cs="仿宋"/>
          <w:color w:val="000000"/>
          <w:szCs w:val="21"/>
        </w:rPr>
        <w:t>，</w:t>
      </w:r>
      <w:r>
        <w:rPr>
          <w:rFonts w:hint="eastAsia" w:ascii="宋体" w:hAnsi="宋体" w:cs="仿宋"/>
          <w:color w:val="000000"/>
          <w:szCs w:val="21"/>
          <w:lang w:eastAsia="zh-Hans"/>
        </w:rPr>
        <w:t>打印中药标签（带规格编号条码）</w:t>
      </w:r>
    </w:p>
    <w:p w14:paraId="1822AD70">
      <w:pPr>
        <w:pStyle w:val="5"/>
        <w:spacing w:before="120" w:after="120"/>
        <w:ind w:left="1276"/>
        <w:rPr>
          <w:color w:val="00B050"/>
          <w:szCs w:val="24"/>
          <w:lang w:eastAsia="zh-Hans"/>
        </w:rPr>
      </w:pPr>
      <w:r>
        <w:rPr>
          <w:rFonts w:hint="eastAsia" w:ascii="宋体" w:hAnsi="宋体" w:eastAsia="宋体"/>
          <w:kern w:val="44"/>
          <w:sz w:val="21"/>
          <w:szCs w:val="21"/>
        </w:rPr>
        <w:t>1.5.4.7药品关联</w:t>
      </w:r>
    </w:p>
    <w:p w14:paraId="3943AFD6">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支持按药品编码、药品名称两种关联方式</w:t>
      </w:r>
      <w:r>
        <w:rPr>
          <w:rFonts w:hint="eastAsia" w:ascii="宋体" w:hAnsi="宋体" w:cs="仿宋"/>
          <w:color w:val="000000"/>
          <w:szCs w:val="21"/>
        </w:rPr>
        <w:t>，</w:t>
      </w:r>
      <w:r>
        <w:rPr>
          <w:rFonts w:hint="eastAsia" w:ascii="宋体" w:hAnsi="宋体" w:cs="仿宋"/>
          <w:color w:val="000000"/>
          <w:szCs w:val="21"/>
          <w:lang w:eastAsia="zh-Hans"/>
        </w:rPr>
        <w:t>设置医院专属关联，优先使用医院关联</w:t>
      </w:r>
    </w:p>
    <w:p w14:paraId="7886BA23">
      <w:pPr>
        <w:pStyle w:val="5"/>
        <w:spacing w:before="120" w:after="120"/>
        <w:ind w:left="1276"/>
        <w:rPr>
          <w:rFonts w:ascii="宋体" w:hAnsi="宋体" w:eastAsia="宋体"/>
          <w:kern w:val="44"/>
          <w:sz w:val="21"/>
          <w:szCs w:val="21"/>
          <w:lang w:eastAsia="zh-Hans"/>
        </w:rPr>
      </w:pPr>
      <w:r>
        <w:rPr>
          <w:rFonts w:hint="eastAsia" w:ascii="宋体" w:hAnsi="宋体" w:eastAsia="宋体"/>
          <w:kern w:val="44"/>
          <w:sz w:val="21"/>
          <w:szCs w:val="21"/>
        </w:rPr>
        <w:t>1.5.4.8协定方管理</w:t>
      </w:r>
    </w:p>
    <w:p w14:paraId="1C371DD2">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根据医院维护协定方药品明细</w:t>
      </w:r>
    </w:p>
    <w:p w14:paraId="750CEF73">
      <w:pPr>
        <w:pStyle w:val="5"/>
        <w:spacing w:before="120" w:after="120"/>
        <w:ind w:left="1276"/>
        <w:rPr>
          <w:color w:val="00B050"/>
          <w:szCs w:val="24"/>
          <w:lang w:eastAsia="zh-Hans"/>
        </w:rPr>
      </w:pPr>
      <w:r>
        <w:rPr>
          <w:rFonts w:hint="eastAsia" w:ascii="宋体" w:hAnsi="宋体" w:eastAsia="宋体"/>
          <w:kern w:val="44"/>
          <w:sz w:val="21"/>
          <w:szCs w:val="21"/>
        </w:rPr>
        <w:t>1.5.4.9煎煮方案管理</w:t>
      </w:r>
    </w:p>
    <w:p w14:paraId="4B2AD172">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维护煎煮方案信息：浸泡时间、煎煮时间、包装药液量，用于处方和审方模块煎煮方案确认</w:t>
      </w:r>
    </w:p>
    <w:p w14:paraId="0CDBEFA4">
      <w:pPr>
        <w:pStyle w:val="5"/>
        <w:spacing w:before="120" w:after="120"/>
        <w:ind w:left="1276"/>
        <w:rPr>
          <w:color w:val="00B050"/>
          <w:szCs w:val="24"/>
          <w:lang w:eastAsia="zh-Hans"/>
        </w:rPr>
      </w:pPr>
      <w:r>
        <w:rPr>
          <w:rFonts w:hint="eastAsia" w:ascii="宋体" w:hAnsi="宋体" w:eastAsia="宋体"/>
          <w:kern w:val="44"/>
          <w:sz w:val="21"/>
          <w:szCs w:val="21"/>
        </w:rPr>
        <w:t>1.5.5.0员工管理</w:t>
      </w:r>
    </w:p>
    <w:p w14:paraId="29F3CCDB">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新增、修改</w:t>
      </w:r>
      <w:r>
        <w:rPr>
          <w:rFonts w:hint="eastAsia" w:ascii="宋体" w:hAnsi="宋体" w:cs="仿宋"/>
          <w:color w:val="000000"/>
          <w:szCs w:val="21"/>
        </w:rPr>
        <w:t>、</w:t>
      </w:r>
      <w:r>
        <w:rPr>
          <w:rFonts w:hint="eastAsia" w:ascii="宋体" w:hAnsi="宋体" w:cs="仿宋"/>
          <w:color w:val="000000"/>
          <w:szCs w:val="21"/>
          <w:lang w:eastAsia="zh-Hans"/>
        </w:rPr>
        <w:t>启用、停用员工基本信息</w:t>
      </w:r>
      <w:r>
        <w:rPr>
          <w:rFonts w:hint="eastAsia" w:ascii="宋体" w:hAnsi="宋体" w:cs="仿宋"/>
          <w:color w:val="000000"/>
          <w:szCs w:val="21"/>
        </w:rPr>
        <w:t>，</w:t>
      </w:r>
      <w:r>
        <w:rPr>
          <w:rFonts w:hint="eastAsia" w:ascii="宋体" w:hAnsi="宋体" w:cs="仿宋"/>
          <w:color w:val="000000"/>
          <w:szCs w:val="21"/>
          <w:lang w:eastAsia="zh-Hans"/>
        </w:rPr>
        <w:t>打印员工标签，带工号条码</w:t>
      </w:r>
    </w:p>
    <w:p w14:paraId="2AED8643">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1.5.5.1流程管理</w:t>
      </w:r>
    </w:p>
    <w:p w14:paraId="6E3344D5">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手持实时扫描煎药流程</w:t>
      </w:r>
      <w:r>
        <w:rPr>
          <w:rFonts w:hint="eastAsia" w:ascii="宋体" w:hAnsi="宋体" w:cs="仿宋"/>
          <w:color w:val="000000"/>
          <w:szCs w:val="21"/>
        </w:rPr>
        <w:t>，</w:t>
      </w:r>
      <w:r>
        <w:rPr>
          <w:rFonts w:hint="eastAsia" w:ascii="宋体" w:hAnsi="宋体" w:cs="仿宋"/>
          <w:color w:val="000000"/>
          <w:szCs w:val="21"/>
          <w:lang w:eastAsia="zh-Hans"/>
        </w:rPr>
        <w:t>配药、复核、浸泡、煎药、打包、发货复核扫描</w:t>
      </w:r>
    </w:p>
    <w:p w14:paraId="37B68A2A">
      <w:pPr>
        <w:pStyle w:val="71"/>
        <w:spacing w:before="167"/>
        <w:rPr>
          <w:rFonts w:ascii="宋体" w:hAnsi="宋体" w:cs="仿宋"/>
          <w:color w:val="000000"/>
          <w:szCs w:val="21"/>
        </w:rPr>
      </w:pPr>
      <w:r>
        <w:rPr>
          <w:rFonts w:hint="eastAsia" w:ascii="宋体" w:hAnsi="宋体" w:cs="仿宋"/>
          <w:color w:val="000000"/>
          <w:szCs w:val="21"/>
        </w:rPr>
        <w:t>2、上一环节没有扫描，下一环节提示并不允许进行，浸泡和煎煮时间不足提醒，复核和包装拍照上传</w:t>
      </w:r>
    </w:p>
    <w:p w14:paraId="07F87CC6">
      <w:pPr>
        <w:pStyle w:val="71"/>
        <w:spacing w:before="167"/>
        <w:rPr>
          <w:rFonts w:ascii="宋体" w:hAnsi="宋体" w:cs="仿宋"/>
          <w:color w:val="000000"/>
          <w:szCs w:val="21"/>
        </w:rPr>
      </w:pPr>
      <w:r>
        <w:rPr>
          <w:rFonts w:hint="eastAsia" w:ascii="宋体" w:hAnsi="宋体" w:cs="仿宋"/>
          <w:color w:val="000000"/>
          <w:szCs w:val="21"/>
        </w:rPr>
        <w:t>3、支持照片时间戳覆盖，保证照片真实性，先煎、后下的特煎流程扫描记录，浓缩前、浓缩后扫描，录入药液量</w:t>
      </w:r>
    </w:p>
    <w:p w14:paraId="03B11EFC">
      <w:pPr>
        <w:pStyle w:val="71"/>
        <w:spacing w:before="167"/>
        <w:rPr>
          <w:rFonts w:ascii="宋体" w:hAnsi="宋体" w:cs="仿宋"/>
          <w:color w:val="000000"/>
          <w:szCs w:val="21"/>
        </w:rPr>
      </w:pPr>
      <w:r>
        <w:rPr>
          <w:rFonts w:hint="eastAsia" w:ascii="宋体" w:hAnsi="宋体" w:cs="仿宋"/>
          <w:color w:val="000000"/>
          <w:szCs w:val="21"/>
        </w:rPr>
        <w:t>4、支持膏方的加工流程扫描</w:t>
      </w:r>
    </w:p>
    <w:p w14:paraId="411DEB80">
      <w:pPr>
        <w:pStyle w:val="71"/>
        <w:spacing w:before="167"/>
        <w:rPr>
          <w:rFonts w:ascii="宋体" w:hAnsi="宋体" w:cs="仿宋"/>
          <w:color w:val="000000"/>
          <w:szCs w:val="21"/>
        </w:rPr>
      </w:pPr>
      <w:r>
        <w:rPr>
          <w:rFonts w:hint="eastAsia" w:ascii="宋体" w:hAnsi="宋体" w:cs="仿宋"/>
          <w:color w:val="000000"/>
          <w:szCs w:val="21"/>
        </w:rPr>
        <w:t>5、支持打粉和制丸的加工扫描记录</w:t>
      </w:r>
    </w:p>
    <w:p w14:paraId="01F2C3FF">
      <w:pPr>
        <w:pStyle w:val="71"/>
        <w:spacing w:before="167"/>
        <w:rPr>
          <w:rFonts w:ascii="宋体" w:hAnsi="宋体" w:cs="仿宋"/>
          <w:color w:val="000000"/>
          <w:szCs w:val="21"/>
        </w:rPr>
      </w:pPr>
      <w:r>
        <w:rPr>
          <w:rFonts w:hint="eastAsia" w:ascii="宋体" w:hAnsi="宋体" w:cs="仿宋"/>
          <w:color w:val="000000"/>
          <w:szCs w:val="21"/>
        </w:rPr>
        <w:t>6、支持根据实际流程在配药、浸泡、煎煮、打包的任一环节自动打印标签</w:t>
      </w:r>
    </w:p>
    <w:p w14:paraId="44E26035">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1.5.5.2上架发药管理</w:t>
      </w:r>
    </w:p>
    <w:p w14:paraId="131BE27F">
      <w:pPr>
        <w:pStyle w:val="71"/>
        <w:spacing w:before="167"/>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支持药房上架发药管理，实现包含以下功能；扫描药品标签，确认上架，支持界面显示药品状态、及所在货架，支持核对发药；</w:t>
      </w:r>
    </w:p>
    <w:p w14:paraId="2B2392FA">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1.5.5.3大屏幕模块</w:t>
      </w:r>
    </w:p>
    <w:p w14:paraId="380DB1EB">
      <w:pPr>
        <w:pStyle w:val="71"/>
        <w:spacing w:before="167"/>
        <w:ind w:firstLine="0"/>
        <w:rPr>
          <w:rFonts w:ascii="宋体" w:hAnsi="宋体" w:cs="仿宋"/>
          <w:color w:val="000000"/>
          <w:szCs w:val="21"/>
        </w:rPr>
      </w:pPr>
      <w:r>
        <w:rPr>
          <w:rFonts w:hint="eastAsia" w:ascii="宋体" w:hAnsi="宋体" w:cs="仿宋"/>
          <w:color w:val="000000"/>
          <w:szCs w:val="21"/>
        </w:rPr>
        <w:t>1、</w:t>
      </w:r>
      <w:r>
        <w:rPr>
          <w:rFonts w:hint="eastAsia" w:ascii="宋体" w:hAnsi="宋体" w:cs="仿宋"/>
          <w:color w:val="000000"/>
          <w:szCs w:val="21"/>
          <w:lang w:eastAsia="zh-Hans"/>
        </w:rPr>
        <w:t>展示今日处方总量统计、各流程环节数量统计、处方趋势</w:t>
      </w:r>
      <w:r>
        <w:rPr>
          <w:rFonts w:hint="eastAsia" w:ascii="宋体" w:hAnsi="宋体" w:cs="仿宋"/>
          <w:color w:val="000000"/>
          <w:szCs w:val="21"/>
        </w:rPr>
        <w:t>、</w:t>
      </w:r>
      <w:r>
        <w:rPr>
          <w:rFonts w:hint="eastAsia" w:ascii="宋体" w:hAnsi="宋体" w:cs="仿宋"/>
          <w:color w:val="000000"/>
          <w:szCs w:val="21"/>
          <w:lang w:eastAsia="zh-Hans"/>
        </w:rPr>
        <w:t>今日服务医院和处方总量统计、各医院实时业务量、医院处方量排行、处方趋势</w:t>
      </w:r>
      <w:r>
        <w:rPr>
          <w:rFonts w:hint="eastAsia" w:ascii="宋体" w:hAnsi="宋体" w:cs="仿宋"/>
          <w:color w:val="000000"/>
          <w:szCs w:val="21"/>
        </w:rPr>
        <w:t>、</w:t>
      </w:r>
      <w:r>
        <w:rPr>
          <w:rFonts w:hint="eastAsia" w:ascii="宋体" w:hAnsi="宋体" w:cs="仿宋"/>
          <w:color w:val="000000"/>
          <w:szCs w:val="21"/>
          <w:lang w:eastAsia="zh-Hans"/>
        </w:rPr>
        <w:t>统计配药环节数据、配药实时操作记录</w:t>
      </w:r>
    </w:p>
    <w:p w14:paraId="66486A16">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1.5.5.4药房管家（医护端）</w:t>
      </w:r>
    </w:p>
    <w:p w14:paraId="2A60704A">
      <w:pPr>
        <w:pStyle w:val="71"/>
        <w:spacing w:before="167"/>
        <w:ind w:firstLine="0"/>
        <w:rPr>
          <w:lang w:eastAsia="zh-Hans"/>
        </w:rPr>
      </w:pPr>
      <w:r>
        <w:rPr>
          <w:rFonts w:hint="eastAsia"/>
        </w:rPr>
        <w:t>1、</w:t>
      </w:r>
      <w:r>
        <w:rPr>
          <w:rFonts w:hint="eastAsia"/>
          <w:lang w:eastAsia="zh-Hans"/>
        </w:rPr>
        <w:t>查看煎药流程记录，复核照片</w:t>
      </w:r>
      <w:r>
        <w:rPr>
          <w:rFonts w:hint="eastAsia"/>
        </w:rPr>
        <w:t>，</w:t>
      </w:r>
      <w:r>
        <w:rPr>
          <w:rFonts w:hint="eastAsia"/>
          <w:lang w:eastAsia="zh-Hans"/>
        </w:rPr>
        <w:t>审方、配药、浸泡、煎药、打包，以及特煎流程</w:t>
      </w:r>
      <w:r>
        <w:rPr>
          <w:rFonts w:hint="eastAsia"/>
        </w:rPr>
        <w:t>，</w:t>
      </w:r>
      <w:r>
        <w:rPr>
          <w:rFonts w:hint="eastAsia"/>
          <w:lang w:eastAsia="zh-Hans"/>
        </w:rPr>
        <w:t>根据物流单号查看物流路由信息</w:t>
      </w:r>
    </w:p>
    <w:p w14:paraId="5DC5E3EE">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1.5.5.5微信查单（患者端）</w:t>
      </w:r>
    </w:p>
    <w:p w14:paraId="54DB08AE">
      <w:pPr>
        <w:pStyle w:val="71"/>
        <w:spacing w:before="167"/>
        <w:ind w:firstLine="0"/>
        <w:rPr>
          <w:lang w:eastAsia="zh-Hans"/>
        </w:rPr>
      </w:pPr>
      <w:r>
        <w:rPr>
          <w:rFonts w:hint="eastAsia"/>
        </w:rPr>
        <w:t>1、</w:t>
      </w:r>
      <w:r>
        <w:rPr>
          <w:rFonts w:hint="eastAsia"/>
          <w:lang w:eastAsia="zh-Hans"/>
        </w:rPr>
        <w:t>通过公众号链接进入查单界面，根据处方号或手机号查询</w:t>
      </w:r>
      <w:r>
        <w:rPr>
          <w:rFonts w:hint="eastAsia"/>
        </w:rPr>
        <w:t>，</w:t>
      </w:r>
      <w:r>
        <w:rPr>
          <w:rFonts w:hint="eastAsia"/>
          <w:lang w:eastAsia="zh-Hans"/>
        </w:rPr>
        <w:t>查看详细物流路由信息</w:t>
      </w:r>
    </w:p>
    <w:p w14:paraId="41F67985">
      <w:pPr>
        <w:pStyle w:val="5"/>
        <w:spacing w:before="120" w:after="120"/>
        <w:ind w:left="1276"/>
        <w:rPr>
          <w:rFonts w:ascii="宋体" w:hAnsi="宋体" w:eastAsia="宋体"/>
          <w:kern w:val="44"/>
          <w:sz w:val="21"/>
          <w:szCs w:val="21"/>
        </w:rPr>
      </w:pPr>
      <w:r>
        <w:rPr>
          <w:rFonts w:hint="eastAsia" w:ascii="宋体" w:hAnsi="宋体" w:eastAsia="宋体"/>
          <w:kern w:val="44"/>
          <w:sz w:val="21"/>
          <w:szCs w:val="21"/>
        </w:rPr>
        <w:t>1.5.5.6系统接口对接</w:t>
      </w:r>
    </w:p>
    <w:p w14:paraId="201575D4">
      <w:pPr>
        <w:pStyle w:val="71"/>
        <w:spacing w:before="167"/>
        <w:ind w:firstLine="0"/>
        <w:rPr>
          <w:rFonts w:ascii="宋体" w:hAnsi="宋体" w:cs="仿宋"/>
          <w:color w:val="000000"/>
          <w:szCs w:val="21"/>
          <w:lang w:eastAsia="zh-Hans"/>
        </w:rPr>
      </w:pPr>
      <w:r>
        <w:rPr>
          <w:rFonts w:hint="eastAsia" w:ascii="宋体" w:hAnsi="宋体" w:cs="仿宋"/>
          <w:color w:val="000000"/>
          <w:szCs w:val="21"/>
        </w:rPr>
        <w:t>1、</w:t>
      </w:r>
      <w:r>
        <w:rPr>
          <w:rFonts w:hint="eastAsia" w:ascii="宋体" w:hAnsi="宋体" w:cs="仿宋"/>
          <w:color w:val="000000"/>
          <w:szCs w:val="21"/>
          <w:lang w:eastAsia="zh-Hans"/>
        </w:rPr>
        <w:t>提供标准电子处方对接接口</w:t>
      </w:r>
      <w:r>
        <w:rPr>
          <w:rFonts w:hint="eastAsia" w:ascii="宋体" w:hAnsi="宋体" w:cs="仿宋"/>
          <w:color w:val="000000"/>
          <w:szCs w:val="21"/>
        </w:rPr>
        <w:t>，中</w:t>
      </w:r>
      <w:r>
        <w:rPr>
          <w:rFonts w:hint="eastAsia" w:ascii="宋体" w:hAnsi="宋体" w:cs="仿宋"/>
          <w:color w:val="000000"/>
          <w:szCs w:val="21"/>
          <w:lang w:eastAsia="zh-Hans"/>
        </w:rPr>
        <w:t>医院</w:t>
      </w:r>
      <w:r>
        <w:rPr>
          <w:rFonts w:ascii="宋体" w:hAnsi="宋体" w:cs="仿宋"/>
          <w:color w:val="000000"/>
          <w:szCs w:val="21"/>
          <w:lang w:eastAsia="zh-Hans"/>
        </w:rPr>
        <w:t>H</w:t>
      </w:r>
      <w:r>
        <w:rPr>
          <w:rFonts w:hint="eastAsia" w:ascii="宋体" w:hAnsi="宋体" w:cs="仿宋"/>
          <w:color w:val="000000"/>
          <w:szCs w:val="21"/>
          <w:lang w:eastAsia="zh-Hans"/>
        </w:rPr>
        <w:t>is系统</w:t>
      </w:r>
      <w:r>
        <w:rPr>
          <w:rFonts w:hint="eastAsia" w:ascii="宋体" w:hAnsi="宋体" w:cs="仿宋"/>
          <w:color w:val="000000"/>
          <w:szCs w:val="21"/>
        </w:rPr>
        <w:t>及中医院医共体成员单位his系统</w:t>
      </w:r>
      <w:r>
        <w:rPr>
          <w:rFonts w:hint="eastAsia" w:ascii="宋体" w:hAnsi="宋体" w:cs="仿宋"/>
          <w:color w:val="000000"/>
          <w:szCs w:val="21"/>
          <w:lang w:eastAsia="zh-Hans"/>
        </w:rPr>
        <w:t>调用接口发送电子处方，系统生成原始订单</w:t>
      </w:r>
    </w:p>
    <w:p w14:paraId="714074F2">
      <w:pPr>
        <w:pStyle w:val="5"/>
        <w:spacing w:before="120" w:after="120"/>
        <w:ind w:left="1276"/>
        <w:rPr>
          <w:rFonts w:ascii="宋体" w:hAnsi="宋体" w:eastAsia="宋体"/>
          <w:kern w:val="44"/>
          <w:sz w:val="21"/>
          <w:szCs w:val="21"/>
          <w:lang w:eastAsia="zh-Hans"/>
        </w:rPr>
      </w:pPr>
      <w:r>
        <w:rPr>
          <w:rFonts w:hint="eastAsia" w:ascii="宋体" w:hAnsi="宋体" w:eastAsia="宋体"/>
          <w:kern w:val="44"/>
          <w:sz w:val="21"/>
          <w:szCs w:val="21"/>
        </w:rPr>
        <w:t>1.5.5.7顺丰系统接口</w:t>
      </w:r>
    </w:p>
    <w:p w14:paraId="784DEEEE">
      <w:pPr>
        <w:rPr>
          <w:lang w:eastAsia="zh-Hans"/>
        </w:rPr>
      </w:pPr>
      <w:r>
        <w:rPr>
          <w:rFonts w:hint="eastAsia"/>
        </w:rPr>
        <w:t>1、</w:t>
      </w:r>
      <w:r>
        <w:rPr>
          <w:rFonts w:hint="eastAsia"/>
          <w:lang w:eastAsia="zh-Hans"/>
        </w:rPr>
        <w:t>调用顺丰平台下单，获取物流单号</w:t>
      </w:r>
      <w:r>
        <w:rPr>
          <w:rFonts w:hint="eastAsia"/>
        </w:rPr>
        <w:t>，</w:t>
      </w:r>
      <w:r>
        <w:rPr>
          <w:rFonts w:hint="eastAsia"/>
          <w:lang w:eastAsia="zh-Hans"/>
        </w:rPr>
        <w:t>根据物流单号调用查单接口，获取物流信息</w:t>
      </w:r>
    </w:p>
    <w:p w14:paraId="78F3E184">
      <w:pPr>
        <w:pStyle w:val="5"/>
        <w:spacing w:before="120" w:after="120"/>
        <w:ind w:left="1276"/>
        <w:rPr>
          <w:rFonts w:eastAsia="宋体"/>
        </w:rPr>
      </w:pPr>
      <w:r>
        <w:rPr>
          <w:rFonts w:hint="eastAsia" w:ascii="宋体" w:hAnsi="宋体" w:eastAsia="宋体"/>
          <w:kern w:val="44"/>
          <w:sz w:val="21"/>
          <w:szCs w:val="21"/>
        </w:rPr>
        <w:t>1.5.5.8接口浙江中药服务在线对接</w:t>
      </w:r>
    </w:p>
    <w:p w14:paraId="02C7EDE5">
      <w:pPr>
        <w:numPr>
          <w:ilvl w:val="0"/>
          <w:numId w:val="28"/>
        </w:numPr>
        <w:bidi w:val="0"/>
      </w:pPr>
      <w:r>
        <w:rPr>
          <w:rFonts w:hint="eastAsia" w:ascii="宋体" w:hAnsi="宋体" w:cs="仿宋"/>
          <w:color w:val="000000"/>
          <w:szCs w:val="21"/>
        </w:rPr>
        <w:t>按照浙江中药服务在线平台要求，上传信息</w:t>
      </w:r>
    </w:p>
    <w:p w14:paraId="4A479791">
      <w:pPr>
        <w:pStyle w:val="3"/>
        <w:numPr>
          <w:ilvl w:val="1"/>
          <w:numId w:val="3"/>
        </w:numPr>
        <w:spacing w:before="0" w:after="0" w:line="360" w:lineRule="auto"/>
        <w:jc w:val="left"/>
        <w:rPr>
          <w:rFonts w:ascii="宋体" w:hAnsi="宋体" w:cs="宋体"/>
          <w:sz w:val="21"/>
          <w:szCs w:val="21"/>
        </w:rPr>
      </w:pPr>
      <w:bookmarkStart w:id="136" w:name="_Toc150537744"/>
      <w:r>
        <w:rPr>
          <w:rFonts w:hint="eastAsia" w:ascii="宋体" w:hAnsi="宋体" w:cs="宋体"/>
          <w:sz w:val="21"/>
          <w:szCs w:val="21"/>
        </w:rPr>
        <w:t>互联网中医健康商城</w:t>
      </w:r>
      <w:bookmarkEnd w:id="136"/>
    </w:p>
    <w:p w14:paraId="1BAA9B31">
      <w:pPr>
        <w:spacing w:line="360" w:lineRule="auto"/>
        <w:rPr>
          <w:rFonts w:hAnsi="宋体" w:cs="仿宋"/>
          <w:szCs w:val="21"/>
        </w:rPr>
      </w:pPr>
      <w:r>
        <w:rPr>
          <w:rFonts w:hint="eastAsia" w:hAnsi="宋体" w:cs="仿宋"/>
          <w:szCs w:val="21"/>
        </w:rPr>
        <w:t>为了更好地推进互联网＋中医健康服务平台建设，丰富患者在线上的就医体验和增值服务，将以搭建“健康商城”的方式，支持院方结合自有产品与第三方产品，构建特色的专科服务包，如膏方、妇产服务包、养生服务包等产品进行销售转化，更好地连接与服务患者。</w:t>
      </w:r>
    </w:p>
    <w:p w14:paraId="7DCC07D2">
      <w:pPr>
        <w:pStyle w:val="4"/>
        <w:numPr>
          <w:ilvl w:val="2"/>
          <w:numId w:val="3"/>
        </w:numPr>
        <w:spacing w:before="240" w:after="120"/>
        <w:rPr>
          <w:rFonts w:hAnsi="宋体" w:cs="宋体"/>
          <w:kern w:val="44"/>
          <w:sz w:val="21"/>
          <w:szCs w:val="21"/>
        </w:rPr>
      </w:pPr>
      <w:bookmarkStart w:id="137" w:name="_Toc150537745"/>
      <w:r>
        <w:rPr>
          <w:rFonts w:hAnsi="宋体" w:cs="宋体"/>
          <w:kern w:val="44"/>
          <w:sz w:val="21"/>
          <w:szCs w:val="21"/>
        </w:rPr>
        <w:t>患者端</w:t>
      </w:r>
      <w:bookmarkEnd w:id="137"/>
    </w:p>
    <w:p w14:paraId="4F6C49A1">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商城首页</w:t>
      </w:r>
    </w:p>
    <w:p w14:paraId="1F0A7F37">
      <w:pPr>
        <w:spacing w:line="360" w:lineRule="auto"/>
        <w:ind w:firstLine="480"/>
        <w:rPr>
          <w:rFonts w:hAnsi="宋体" w:cs="仿宋"/>
          <w:szCs w:val="21"/>
        </w:rPr>
      </w:pPr>
      <w:r>
        <w:rPr>
          <w:rFonts w:hint="eastAsia" w:hAnsi="宋体" w:cs="仿宋"/>
          <w:szCs w:val="21"/>
        </w:rPr>
        <w:t>患者可基于医院微信公众号，进入互联网中医健康商城。健康商城主页将分类展示中医相关的健康产品，患者可进行查找及购买。</w:t>
      </w:r>
    </w:p>
    <w:p w14:paraId="2FB83A27">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商品详情</w:t>
      </w:r>
    </w:p>
    <w:p w14:paraId="6802A9D1">
      <w:pPr>
        <w:spacing w:line="360" w:lineRule="auto"/>
        <w:ind w:firstLine="480"/>
        <w:rPr>
          <w:rFonts w:hAnsi="宋体" w:cs="仿宋"/>
          <w:szCs w:val="21"/>
        </w:rPr>
      </w:pPr>
      <w:r>
        <w:rPr>
          <w:rFonts w:hint="eastAsia" w:hAnsi="宋体" w:cs="仿宋"/>
          <w:szCs w:val="21"/>
        </w:rPr>
        <w:t>系统支持以图文的方式对单个产品进行详细介绍，患者可基于移动端查看商品的详情，同时可基于客服会话与客服进行双向互动，充分了解商品的适应症 用途。</w:t>
      </w:r>
    </w:p>
    <w:p w14:paraId="14051F9E">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商品下单</w:t>
      </w:r>
    </w:p>
    <w:p w14:paraId="0B79B4EE">
      <w:pPr>
        <w:spacing w:line="360" w:lineRule="auto"/>
        <w:ind w:firstLine="384" w:firstLineChars="183"/>
        <w:rPr>
          <w:rFonts w:hAnsi="宋体" w:cs="仿宋"/>
          <w:szCs w:val="21"/>
        </w:rPr>
      </w:pPr>
      <w:r>
        <w:rPr>
          <w:rFonts w:hint="eastAsia" w:hAnsi="宋体" w:cs="仿宋"/>
          <w:szCs w:val="21"/>
        </w:rPr>
        <w:t>患者选定所需购买商品后，可加入购物车统一进行支付购买，也可以直接在商品页进行直接购买，订单完成后可对订单进行评价；</w:t>
      </w:r>
    </w:p>
    <w:p w14:paraId="5B3FDFFF">
      <w:pPr>
        <w:spacing w:line="360" w:lineRule="auto"/>
        <w:ind w:firstLine="384" w:firstLineChars="183"/>
        <w:rPr>
          <w:rFonts w:hAnsi="宋体" w:cs="仿宋"/>
          <w:szCs w:val="21"/>
        </w:rPr>
      </w:pPr>
      <w:r>
        <w:rPr>
          <w:rFonts w:hint="eastAsia" w:hAnsi="宋体" w:cs="仿宋"/>
          <w:szCs w:val="21"/>
        </w:rPr>
        <w:t>同时，患者可查询自己历史的商品下单记录。</w:t>
      </w:r>
    </w:p>
    <w:p w14:paraId="5BDA4B24">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购买支付</w:t>
      </w:r>
    </w:p>
    <w:p w14:paraId="21884B5F">
      <w:pPr>
        <w:spacing w:line="360" w:lineRule="auto"/>
        <w:ind w:firstLine="480"/>
        <w:rPr>
          <w:rFonts w:hAnsi="宋体" w:cs="仿宋"/>
          <w:szCs w:val="21"/>
        </w:rPr>
      </w:pPr>
      <w:r>
        <w:rPr>
          <w:rFonts w:hint="eastAsia" w:hAnsi="宋体" w:cs="仿宋"/>
          <w:szCs w:val="21"/>
        </w:rPr>
        <w:t>系统支持患者多渠道（微信/银行卡/信用卡等）对订单进行支付，支付时系统会提供患者添加配送地址，支付成功后订单购买完成。</w:t>
      </w:r>
    </w:p>
    <w:p w14:paraId="4FBB50E3">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商品配送</w:t>
      </w:r>
    </w:p>
    <w:p w14:paraId="2779EE36">
      <w:pPr>
        <w:spacing w:line="360" w:lineRule="auto"/>
        <w:ind w:firstLine="480"/>
        <w:rPr>
          <w:rFonts w:hAnsi="宋体" w:cs="仿宋"/>
          <w:szCs w:val="21"/>
        </w:rPr>
      </w:pPr>
      <w:r>
        <w:rPr>
          <w:rFonts w:hint="eastAsia" w:hAnsi="宋体" w:cs="仿宋"/>
          <w:szCs w:val="21"/>
        </w:rPr>
        <w:t>患者下单后，系统支持与第三方物流系统打通，将订单信息共享给物流系统，实现订单的配送到家。患者可基于手机端查看物流配送的进度。</w:t>
      </w:r>
    </w:p>
    <w:p w14:paraId="4D97A240">
      <w:pPr>
        <w:pStyle w:val="4"/>
        <w:numPr>
          <w:ilvl w:val="2"/>
          <w:numId w:val="3"/>
        </w:numPr>
        <w:spacing w:before="240" w:after="120"/>
        <w:rPr>
          <w:rFonts w:hAnsi="宋体" w:cs="宋体"/>
          <w:kern w:val="44"/>
          <w:sz w:val="21"/>
          <w:szCs w:val="21"/>
        </w:rPr>
      </w:pPr>
      <w:bookmarkStart w:id="138" w:name="_Toc150537746"/>
      <w:r>
        <w:rPr>
          <w:rFonts w:hAnsi="宋体" w:cs="宋体"/>
          <w:kern w:val="44"/>
          <w:sz w:val="21"/>
          <w:szCs w:val="21"/>
        </w:rPr>
        <w:t>管理端</w:t>
      </w:r>
      <w:bookmarkEnd w:id="138"/>
    </w:p>
    <w:p w14:paraId="2C52CAEB">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商城概况</w:t>
      </w:r>
    </w:p>
    <w:p w14:paraId="575F0781">
      <w:pPr>
        <w:spacing w:line="360" w:lineRule="auto"/>
        <w:ind w:firstLine="480"/>
        <w:rPr>
          <w:rFonts w:hAnsi="宋体" w:cs="仿宋"/>
          <w:szCs w:val="21"/>
        </w:rPr>
      </w:pPr>
      <w:r>
        <w:rPr>
          <w:rFonts w:hint="eastAsia" w:hAnsi="宋体" w:cs="仿宋"/>
          <w:szCs w:val="21"/>
        </w:rPr>
        <w:t>支持查看商城的整体情况，包括实时的支付订单数、支付金额、浏览量、访客数等数据，以便管理者能够及时了解商城的动态。</w:t>
      </w:r>
    </w:p>
    <w:p w14:paraId="797BD808">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商城设计</w:t>
      </w:r>
    </w:p>
    <w:p w14:paraId="204FD745">
      <w:pPr>
        <w:spacing w:line="360" w:lineRule="auto"/>
        <w:ind w:firstLine="480"/>
        <w:rPr>
          <w:rFonts w:hAnsi="宋体" w:cs="仿宋"/>
          <w:szCs w:val="21"/>
        </w:rPr>
      </w:pPr>
      <w:r>
        <w:rPr>
          <w:rFonts w:hint="eastAsia" w:hAnsi="宋体" w:cs="仿宋"/>
          <w:szCs w:val="21"/>
        </w:rPr>
        <w:t>系统支持按照医院的UI规范或者产品特色，进行商城的设计，以及较为灵活的页面排版，以满足多款产品的展示。</w:t>
      </w:r>
    </w:p>
    <w:p w14:paraId="60311CA5">
      <w:pPr>
        <w:spacing w:line="360" w:lineRule="auto"/>
        <w:ind w:firstLine="480"/>
        <w:rPr>
          <w:rFonts w:hAnsi="宋体" w:cs="仿宋"/>
          <w:szCs w:val="21"/>
        </w:rPr>
      </w:pPr>
      <w:r>
        <w:rPr>
          <w:rFonts w:hint="eastAsia" w:hAnsi="宋体" w:cs="仿宋"/>
          <w:szCs w:val="21"/>
        </w:rPr>
        <w:t>支持对商城的主页设计、产品陈列、优惠信息等内容进行设置，以便更好地给客户现在展示。</w:t>
      </w:r>
    </w:p>
    <w:p w14:paraId="38A6A172">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商品配置</w:t>
      </w:r>
    </w:p>
    <w:p w14:paraId="136760AC">
      <w:pPr>
        <w:spacing w:line="360" w:lineRule="auto"/>
        <w:ind w:firstLine="480"/>
        <w:rPr>
          <w:rFonts w:hAnsi="宋体" w:cs="仿宋"/>
          <w:szCs w:val="21"/>
        </w:rPr>
      </w:pPr>
      <w:r>
        <w:rPr>
          <w:rFonts w:hint="eastAsia" w:hAnsi="宋体" w:cs="仿宋"/>
          <w:szCs w:val="21"/>
        </w:rPr>
        <w:t>实现商品的基本信息配置，包括但不仅限于商品名称、分组、类型、价格、类目、详情等内容，还有商品分组、模板参考等功能。</w:t>
      </w:r>
    </w:p>
    <w:p w14:paraId="3B8C8A5A">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订单管理</w:t>
      </w:r>
    </w:p>
    <w:p w14:paraId="4914CFDE">
      <w:pPr>
        <w:spacing w:line="360" w:lineRule="auto"/>
        <w:ind w:firstLine="480"/>
        <w:rPr>
          <w:rFonts w:hAnsi="宋体" w:cs="仿宋"/>
          <w:szCs w:val="21"/>
        </w:rPr>
      </w:pPr>
      <w:r>
        <w:rPr>
          <w:rFonts w:hint="eastAsia" w:hAnsi="宋体" w:cs="仿宋"/>
          <w:szCs w:val="21"/>
        </w:rPr>
        <w:t>根据实际的交易情况进行订单管理，包括按照需要的时间维度，查询“待付款、待发货、已发货、已完成、已关闭”等不同状态的订单情况，同时，还有关于“快速打单、批量发货、评价管理”等订单处理的功能。</w:t>
      </w:r>
    </w:p>
    <w:p w14:paraId="4DA232DC">
      <w:pPr>
        <w:pStyle w:val="5"/>
        <w:numPr>
          <w:ilvl w:val="3"/>
          <w:numId w:val="3"/>
        </w:numPr>
        <w:spacing w:before="120" w:after="120"/>
        <w:rPr>
          <w:rFonts w:ascii="宋体" w:hAnsi="宋体" w:eastAsia="宋体"/>
          <w:kern w:val="44"/>
          <w:sz w:val="21"/>
          <w:szCs w:val="21"/>
        </w:rPr>
      </w:pPr>
      <w:r>
        <w:rPr>
          <w:rFonts w:hint="eastAsia" w:ascii="宋体" w:hAnsi="宋体" w:eastAsia="宋体"/>
          <w:kern w:val="44"/>
          <w:sz w:val="21"/>
          <w:szCs w:val="21"/>
        </w:rPr>
        <w:t>数据展现</w:t>
      </w:r>
    </w:p>
    <w:p w14:paraId="46AECB26">
      <w:pPr>
        <w:spacing w:line="360" w:lineRule="auto"/>
        <w:ind w:firstLine="480"/>
        <w:rPr>
          <w:rFonts w:hAnsi="宋体" w:cs="仿宋"/>
          <w:szCs w:val="21"/>
        </w:rPr>
      </w:pPr>
      <w:r>
        <w:rPr>
          <w:rFonts w:hint="eastAsia" w:hAnsi="宋体" w:cs="仿宋"/>
          <w:szCs w:val="21"/>
        </w:rPr>
        <w:t>以数据分析的角度，对订单进行不同维度的统计与分析，包括“流量概况、路径分析、页面分析、热力图分析、访客分析、推广分析、来源监控”等流量分析功能，以便更好地了解用户的渠道来源与销售转化情况。</w:t>
      </w:r>
    </w:p>
    <w:p w14:paraId="77AD7AE6">
      <w:pPr>
        <w:pStyle w:val="3"/>
        <w:numPr>
          <w:ilvl w:val="1"/>
          <w:numId w:val="3"/>
        </w:numPr>
        <w:spacing w:before="0" w:after="0" w:line="240" w:lineRule="auto"/>
        <w:jc w:val="left"/>
        <w:rPr>
          <w:rFonts w:hint="eastAsia" w:ascii="宋体" w:hAnsi="宋体" w:eastAsia="宋体" w:cs="宋体"/>
          <w:sz w:val="21"/>
          <w:szCs w:val="21"/>
        </w:rPr>
      </w:pPr>
      <w:bookmarkStart w:id="139" w:name="_Toc150537747"/>
      <w:r>
        <w:rPr>
          <w:rFonts w:hint="eastAsia" w:ascii="宋体" w:hAnsi="宋体" w:eastAsia="宋体" w:cs="宋体"/>
          <w:sz w:val="21"/>
          <w:szCs w:val="21"/>
        </w:rPr>
        <w:t>分级诊疗平台</w:t>
      </w:r>
      <w:bookmarkEnd w:id="139"/>
    </w:p>
    <w:p w14:paraId="269FBC42">
      <w:pPr>
        <w:pStyle w:val="2"/>
        <w:numPr>
          <w:ilvl w:val="0"/>
          <w:numId w:val="29"/>
        </w:numPr>
        <w:spacing w:line="24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7.1</w:t>
      </w:r>
      <w:r>
        <w:rPr>
          <w:rFonts w:hint="eastAsia" w:ascii="宋体" w:hAnsi="宋体" w:eastAsia="宋体" w:cs="宋体"/>
          <w:b/>
          <w:bCs/>
          <w:color w:val="auto"/>
          <w:sz w:val="21"/>
          <w:szCs w:val="21"/>
        </w:rPr>
        <w:t>转诊服务中心</w:t>
      </w:r>
    </w:p>
    <w:p w14:paraId="04CC0A2D">
      <w:pPr>
        <w:pStyle w:val="3"/>
        <w:numPr>
          <w:ilvl w:val="0"/>
          <w:numId w:val="0"/>
        </w:numPr>
        <w:spacing w:line="240" w:lineRule="auto"/>
        <w:ind w:leftChars="0"/>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1.7.1.1</w:t>
      </w:r>
      <w:r>
        <w:rPr>
          <w:rFonts w:hint="eastAsia" w:ascii="宋体" w:hAnsi="宋体" w:eastAsia="宋体" w:cs="宋体"/>
          <w:b/>
          <w:bCs/>
          <w:color w:val="auto"/>
          <w:sz w:val="21"/>
          <w:szCs w:val="21"/>
        </w:rPr>
        <w:t>门诊转诊服务</w:t>
      </w:r>
    </w:p>
    <w:p w14:paraId="22ED7E7D">
      <w:pPr>
        <w:pStyle w:val="144"/>
        <w:spacing w:before="60" w:after="60"/>
        <w:rPr>
          <w:rFonts w:ascii="宋体" w:hAnsi="宋体"/>
        </w:rPr>
      </w:pPr>
      <w:r>
        <w:rPr>
          <w:rFonts w:hint="eastAsia" w:ascii="宋体" w:hAnsi="宋体"/>
        </w:rPr>
        <w:t>适用于患者在基层医院就诊，经过初步诊断，判断无法在本院救治时，可以为患者预约上级医院号源，进行转诊。或当患者想去上级医院就诊，但约不到号源的情况下，可以前往基层医院就诊，由基层医生协助患者预约转诊。患者前往基层医院就诊，基层医生根据实际情况为患者查询上级医院的号源情况，并发起门诊转诊申请，申请成功后，为患者打印转诊单，患者携带转诊单，在预约时间内可前往上级医院就诊。门诊转诊预约可有效节省患者就医等待时间，提高就医质量，提升患者满意度。</w:t>
      </w:r>
    </w:p>
    <w:p w14:paraId="1752BF57">
      <w:pPr>
        <w:pStyle w:val="3"/>
        <w:numPr>
          <w:ilvl w:val="0"/>
          <w:numId w:val="0"/>
        </w:numPr>
        <w:spacing w:before="0" w:after="0" w:line="240" w:lineRule="auto"/>
        <w:ind w:left="425" w:leftChars="0"/>
        <w:jc w:val="left"/>
        <w:rPr>
          <w:rFonts w:hint="eastAsia" w:ascii="宋体" w:hAnsi="宋体" w:eastAsia="宋体" w:cs="宋体"/>
          <w:sz w:val="21"/>
          <w:szCs w:val="21"/>
        </w:rPr>
      </w:pPr>
      <w:r>
        <w:rPr>
          <w:rFonts w:hint="eastAsia" w:ascii="宋体" w:hAnsi="宋体" w:eastAsia="宋体" w:cs="宋体"/>
          <w:sz w:val="21"/>
          <w:szCs w:val="21"/>
          <w:lang w:val="en-US" w:eastAsia="zh-CN"/>
        </w:rPr>
        <w:t>1.7.1.2</w:t>
      </w:r>
      <w:r>
        <w:rPr>
          <w:rFonts w:hint="eastAsia" w:ascii="宋体" w:hAnsi="宋体" w:eastAsia="宋体" w:cs="宋体"/>
          <w:sz w:val="21"/>
          <w:szCs w:val="21"/>
        </w:rPr>
        <w:t>门诊号源查询</w:t>
      </w:r>
    </w:p>
    <w:p w14:paraId="4812E58D">
      <w:pPr>
        <w:pStyle w:val="144"/>
        <w:spacing w:before="60" w:after="60"/>
        <w:rPr>
          <w:rFonts w:ascii="宋体" w:hAnsi="宋体"/>
        </w:rPr>
      </w:pPr>
      <w:r>
        <w:rPr>
          <w:rFonts w:hint="eastAsia" w:ascii="宋体" w:hAnsi="宋体"/>
        </w:rPr>
        <w:t>患者前往基层医院就诊，需要进行门诊转诊时，首先应可以查询到可预约的机构、科室、医生以及时间信息，了解号源信息后准确的为患者进行门诊转诊预约。</w:t>
      </w:r>
    </w:p>
    <w:p w14:paraId="546459E7">
      <w:pPr>
        <w:pStyle w:val="144"/>
        <w:spacing w:before="60" w:after="60"/>
        <w:rPr>
          <w:rFonts w:ascii="宋体" w:hAnsi="宋体"/>
        </w:rPr>
      </w:pPr>
      <w:r>
        <w:rPr>
          <w:rFonts w:hint="eastAsia" w:ascii="宋体" w:hAnsi="宋体"/>
        </w:rPr>
        <w:t>患者到达基层医院就诊后，基层医生首先为患者进行初步诊断，判断需要转诊时，可以结合患者意愿，为患者查询医疗服务网络内开放号源的机构，选择一家机构后，可以逐级查询机构内开放号源的科室、医生、日期、时间段，并为患者选择合适的时间进行门诊号源预约。</w:t>
      </w:r>
    </w:p>
    <w:p w14:paraId="55A8CDAA">
      <w:pPr>
        <w:pStyle w:val="5"/>
        <w:numPr>
          <w:ilvl w:val="0"/>
          <w:numId w:val="0"/>
        </w:numPr>
        <w:ind w:leftChars="0"/>
        <w:rPr>
          <w:rFonts w:ascii="宋体" w:hAnsi="宋体" w:eastAsia="宋体"/>
          <w:b/>
          <w:bCs/>
          <w:color w:val="auto"/>
          <w:sz w:val="21"/>
          <w:szCs w:val="21"/>
        </w:rPr>
      </w:pPr>
      <w:r>
        <w:rPr>
          <w:rFonts w:hint="eastAsia" w:ascii="宋体" w:hAnsi="宋体" w:eastAsia="宋体"/>
          <w:b/>
          <w:bCs/>
          <w:color w:val="auto"/>
          <w:sz w:val="21"/>
          <w:szCs w:val="21"/>
          <w:lang w:val="en-US" w:eastAsia="zh-CN"/>
        </w:rPr>
        <w:t>1.7.1.3</w:t>
      </w:r>
      <w:r>
        <w:rPr>
          <w:rFonts w:hint="eastAsia" w:ascii="宋体" w:hAnsi="宋体" w:eastAsia="宋体"/>
          <w:b/>
          <w:bCs/>
          <w:color w:val="auto"/>
          <w:sz w:val="21"/>
          <w:szCs w:val="21"/>
        </w:rPr>
        <w:t>门诊转诊申请</w:t>
      </w:r>
    </w:p>
    <w:p w14:paraId="13A92C13">
      <w:pPr>
        <w:pStyle w:val="144"/>
        <w:spacing w:before="60" w:after="60"/>
        <w:rPr>
          <w:rFonts w:ascii="宋体" w:hAnsi="宋体"/>
        </w:rPr>
      </w:pPr>
      <w:r>
        <w:rPr>
          <w:rFonts w:hint="eastAsia" w:ascii="宋体" w:hAnsi="宋体"/>
        </w:rPr>
        <w:t>基层医生帮助患者选择合适的门诊号源后，为患者提交门诊转诊申请，并可以根据实际情况取消本次申请的流程。</w:t>
      </w:r>
    </w:p>
    <w:p w14:paraId="33DE9452">
      <w:pPr>
        <w:pStyle w:val="144"/>
        <w:spacing w:before="60" w:after="60"/>
        <w:rPr>
          <w:rFonts w:ascii="宋体" w:hAnsi="宋体"/>
        </w:rPr>
      </w:pPr>
      <w:r>
        <w:rPr>
          <w:rFonts w:hint="eastAsia" w:ascii="宋体" w:hAnsi="宋体"/>
        </w:rPr>
        <w:t>基层医生根据患者意愿选择好号源时间段后，确认患者基本信息、病历信息等无误，填写必要的转诊申请信息，如转诊原因等，为患者提交转诊申请，提交后，系统自动为患者进行挂号。若转诊申请信息有误时，基层医生可以主动取消本次申请。申请完成后可以为患者打印转诊单，患者携带转诊单在预约时间段内可以前往上级医院就诊。患者到达上级医院后，无需再次挂号，可以直接缴费看诊。</w:t>
      </w:r>
    </w:p>
    <w:p w14:paraId="71C0F17B">
      <w:pPr>
        <w:pStyle w:val="5"/>
        <w:numPr>
          <w:ilvl w:val="0"/>
          <w:numId w:val="0"/>
        </w:numPr>
        <w:ind w:leftChars="0"/>
        <w:rPr>
          <w:rFonts w:ascii="宋体" w:hAnsi="宋体" w:eastAsia="宋体"/>
          <w:b/>
          <w:bCs/>
          <w:color w:val="auto"/>
          <w:sz w:val="21"/>
          <w:szCs w:val="21"/>
        </w:rPr>
      </w:pPr>
      <w:r>
        <w:rPr>
          <w:rFonts w:hint="eastAsia" w:ascii="宋体" w:hAnsi="宋体" w:eastAsia="宋体"/>
          <w:b/>
          <w:bCs/>
          <w:color w:val="auto"/>
          <w:sz w:val="21"/>
          <w:szCs w:val="21"/>
          <w:lang w:val="en-US" w:eastAsia="zh-CN"/>
        </w:rPr>
        <w:t>1.7.1.4</w:t>
      </w:r>
      <w:r>
        <w:rPr>
          <w:rFonts w:hint="eastAsia" w:ascii="宋体" w:hAnsi="宋体" w:eastAsia="宋体"/>
          <w:b/>
          <w:bCs/>
          <w:color w:val="auto"/>
          <w:sz w:val="21"/>
          <w:szCs w:val="21"/>
        </w:rPr>
        <w:t>门诊转诊查看</w:t>
      </w:r>
    </w:p>
    <w:p w14:paraId="3FF9DCEE">
      <w:pPr>
        <w:pStyle w:val="144"/>
        <w:spacing w:before="60" w:after="60"/>
        <w:rPr>
          <w:rFonts w:ascii="宋体" w:hAnsi="宋体"/>
        </w:rPr>
      </w:pPr>
      <w:r>
        <w:rPr>
          <w:rFonts w:hint="eastAsia" w:ascii="宋体" w:hAnsi="宋体"/>
        </w:rPr>
        <w:t>上级医院收到本次门诊转诊申请信息后，可以查看本次申请信息。</w:t>
      </w:r>
    </w:p>
    <w:p w14:paraId="17C1C091">
      <w:pPr>
        <w:pStyle w:val="144"/>
        <w:spacing w:before="60" w:after="60"/>
        <w:rPr>
          <w:rFonts w:ascii="宋体" w:hAnsi="宋体"/>
        </w:rPr>
      </w:pPr>
      <w:r>
        <w:rPr>
          <w:rFonts w:hint="eastAsia" w:ascii="宋体" w:hAnsi="宋体"/>
        </w:rPr>
        <w:t>基层医生提交门诊转诊申请后，上级医院相关科室、医生会收到本次转诊申请提醒，上级医生可以查看本次申请的患者基本信息、申请信息、病历信息等，了解患者基本情况，为后续诊疗做准备。</w:t>
      </w:r>
    </w:p>
    <w:p w14:paraId="3FBBC45E">
      <w:pPr>
        <w:pStyle w:val="3"/>
        <w:numPr>
          <w:ilvl w:val="0"/>
          <w:numId w:val="0"/>
        </w:numPr>
        <w:ind w:leftChars="0"/>
        <w:rPr>
          <w:rFonts w:ascii="仿宋" w:hAnsi="仿宋" w:eastAsia="仿宋"/>
          <w:b/>
          <w:bCs/>
          <w:color w:val="auto"/>
          <w:sz w:val="21"/>
          <w:szCs w:val="21"/>
        </w:rPr>
      </w:pPr>
      <w:r>
        <w:rPr>
          <w:rFonts w:hint="eastAsia" w:ascii="仿宋" w:hAnsi="仿宋" w:eastAsia="仿宋"/>
          <w:b/>
          <w:bCs/>
          <w:color w:val="auto"/>
          <w:sz w:val="21"/>
          <w:szCs w:val="21"/>
          <w:lang w:val="en-US" w:eastAsia="zh-CN"/>
        </w:rPr>
        <w:t>1.7.1.5</w:t>
      </w:r>
      <w:r>
        <w:rPr>
          <w:rFonts w:hint="eastAsia" w:ascii="仿宋" w:hAnsi="仿宋" w:eastAsia="仿宋"/>
          <w:b/>
          <w:bCs/>
          <w:color w:val="auto"/>
          <w:sz w:val="21"/>
          <w:szCs w:val="21"/>
        </w:rPr>
        <w:t>住院转诊服务</w:t>
      </w:r>
    </w:p>
    <w:p w14:paraId="7633D360">
      <w:pPr>
        <w:pStyle w:val="144"/>
        <w:spacing w:before="60" w:after="60"/>
        <w:rPr>
          <w:rFonts w:ascii="宋体" w:hAnsi="宋体"/>
        </w:rPr>
      </w:pPr>
      <w:r>
        <w:rPr>
          <w:rFonts w:hint="eastAsia" w:ascii="宋体" w:hAnsi="宋体"/>
        </w:rPr>
        <w:t>住院转诊功能适用于患者在基层医院住院，经基层医院诊断，发现现有条件无法进行后续治疗，需要转往上级医院进行治疗时使用。基层医生根据实际情况为患者发起住院转诊预约，上级医院收到本次申请后，可以为患者安排转院时间以及转院科室等信息，也可以根据实际情况说明原因并驳回本次申请。上级医院安排后，基层医生可以为患者打印转诊单，引导患者按照上级安排时间前往就诊。住院转诊预约可以促进上下级医疗机构业务联动，通过提供连续性的服务，提高医疗服务效能。</w:t>
      </w:r>
    </w:p>
    <w:p w14:paraId="7C178D39">
      <w:pPr>
        <w:pStyle w:val="144"/>
        <w:spacing w:before="60" w:after="60"/>
        <w:rPr>
          <w:rFonts w:ascii="宋体" w:hAnsi="宋体"/>
        </w:rPr>
      </w:pPr>
      <w:r>
        <w:rPr>
          <w:rFonts w:hint="eastAsia" w:ascii="宋体" w:hAnsi="宋体"/>
        </w:rPr>
        <w:t>住院转诊服务基于标准规范体系和安全保障体系的原则，由信息资源发布共享平台提供居民健康档案调阅服务、主数据查询服务等基础数据支撑，并结合信息资源发布共享平台的服务调用、数据推送功能，发布业务相关的住院转诊资源查询、住院转诊申请、转诊患者信息查询等服务，支撑上层住院转诊申请、住院转诊审核等应用，使业务流程顺利进行，最终可以通过产生的业务数据，监测分析住院转诊申请情况等，供监管部门查阅。</w:t>
      </w:r>
    </w:p>
    <w:p w14:paraId="38C0A7DD">
      <w:pPr>
        <w:pStyle w:val="5"/>
        <w:numPr>
          <w:ilvl w:val="0"/>
          <w:numId w:val="0"/>
        </w:numPr>
        <w:ind w:leftChars="0"/>
        <w:rPr>
          <w:rFonts w:ascii="宋体" w:hAnsi="宋体" w:eastAsia="宋体"/>
          <w:b/>
          <w:bCs/>
          <w:color w:val="auto"/>
          <w:sz w:val="21"/>
          <w:szCs w:val="21"/>
        </w:rPr>
      </w:pPr>
      <w:r>
        <w:rPr>
          <w:rFonts w:hint="eastAsia" w:ascii="宋体" w:hAnsi="宋体" w:eastAsia="宋体"/>
          <w:b/>
          <w:bCs/>
          <w:color w:val="auto"/>
          <w:sz w:val="21"/>
          <w:szCs w:val="21"/>
          <w:lang w:val="en-US" w:eastAsia="zh-CN"/>
        </w:rPr>
        <w:t>1.7.1.6</w:t>
      </w:r>
      <w:r>
        <w:rPr>
          <w:rFonts w:hint="eastAsia" w:ascii="宋体" w:hAnsi="宋体" w:eastAsia="宋体"/>
          <w:b/>
          <w:bCs/>
          <w:color w:val="auto"/>
          <w:sz w:val="21"/>
          <w:szCs w:val="21"/>
        </w:rPr>
        <w:t>住院转诊申请</w:t>
      </w:r>
    </w:p>
    <w:p w14:paraId="1BC1A8AF">
      <w:pPr>
        <w:pStyle w:val="144"/>
        <w:spacing w:before="60" w:after="60"/>
        <w:rPr>
          <w:rFonts w:ascii="宋体" w:hAnsi="宋体"/>
        </w:rPr>
      </w:pPr>
      <w:r>
        <w:rPr>
          <w:rFonts w:hint="eastAsia" w:ascii="宋体" w:hAnsi="宋体"/>
        </w:rPr>
        <w:t>患者在基层医院就诊，基层医院诊断后判断无法在本院治疗，并为患者申请上级医院治疗的过程。明确患者需转院治疗后，基层医生可以查询医疗服务网络内，可以接收住院转诊的机构、科室列表，结合实际情况，先选择机构，确认患者信息、病历信息无误后，填写必要的转诊信息，如期望转诊日期、转诊原因等，为患者提交住院转诊申请。提交后，基层医生可以随时查看申请进展，当上级医院安排后，即可通知患者按照约定日期转院。在上级医院安排前，基层医生可以随时取消本次申请。</w:t>
      </w:r>
    </w:p>
    <w:p w14:paraId="40FDE155">
      <w:pPr>
        <w:pStyle w:val="5"/>
        <w:numPr>
          <w:ilvl w:val="0"/>
          <w:numId w:val="0"/>
        </w:numPr>
        <w:ind w:leftChars="0"/>
        <w:rPr>
          <w:rFonts w:ascii="宋体" w:hAnsi="宋体" w:eastAsia="宋体"/>
          <w:b/>
          <w:bCs/>
          <w:color w:val="auto"/>
          <w:sz w:val="21"/>
          <w:szCs w:val="21"/>
        </w:rPr>
      </w:pPr>
      <w:r>
        <w:rPr>
          <w:rFonts w:hint="eastAsia" w:ascii="宋体" w:hAnsi="宋体" w:eastAsia="宋体"/>
          <w:b/>
          <w:bCs/>
          <w:color w:val="auto"/>
          <w:sz w:val="21"/>
          <w:szCs w:val="21"/>
          <w:lang w:val="en-US" w:eastAsia="zh-CN"/>
        </w:rPr>
        <w:t>1.7.1.7</w:t>
      </w:r>
      <w:r>
        <w:rPr>
          <w:rFonts w:hint="eastAsia" w:ascii="宋体" w:hAnsi="宋体" w:eastAsia="宋体"/>
          <w:b/>
          <w:bCs/>
          <w:color w:val="auto"/>
          <w:sz w:val="21"/>
          <w:szCs w:val="21"/>
        </w:rPr>
        <w:t>住院转诊审核</w:t>
      </w:r>
    </w:p>
    <w:p w14:paraId="309BF261">
      <w:pPr>
        <w:pStyle w:val="144"/>
        <w:spacing w:before="60" w:after="60"/>
        <w:rPr>
          <w:rFonts w:ascii="宋体" w:hAnsi="宋体"/>
        </w:rPr>
      </w:pPr>
      <w:r>
        <w:rPr>
          <w:rFonts w:hint="eastAsia" w:ascii="宋体" w:hAnsi="宋体"/>
        </w:rPr>
        <w:t>上级医院收到住院转诊申请后，要对住院转诊信息进行审核，审核的主要目的是判断本院是否有资质以及空余床位接收本次申请，若可以接收则需要进行安排，若不可以则需要驳回。</w:t>
      </w:r>
    </w:p>
    <w:p w14:paraId="750D6585">
      <w:pPr>
        <w:pStyle w:val="144"/>
        <w:spacing w:before="60" w:after="60"/>
        <w:rPr>
          <w:rFonts w:ascii="宋体" w:hAnsi="宋体"/>
        </w:rPr>
      </w:pPr>
      <w:r>
        <w:rPr>
          <w:rFonts w:hint="eastAsia" w:ascii="宋体" w:hAnsi="宋体"/>
        </w:rPr>
        <w:t>上级医院需安排专门人员在收到住院转诊申请时进行审核操作，上级医院可以查看本次申请信息详情，包含患者信息、申请信息和病历信息，可以与基层医生联系确认情况。当本院可以接诊时，可以为患者安排转院时间、接收科室、接收医生等；当本院无法接诊时，可以驳回本次申请，但必须说明驳回原因。本次审核结果将会回传给基层医生，基层医生了解到审核结果后可以继续后续的流程。</w:t>
      </w:r>
    </w:p>
    <w:p w14:paraId="5223861B">
      <w:pPr>
        <w:pStyle w:val="5"/>
        <w:numPr>
          <w:ilvl w:val="0"/>
          <w:numId w:val="0"/>
        </w:numPr>
        <w:ind w:leftChars="0"/>
        <w:rPr>
          <w:rFonts w:ascii="宋体" w:hAnsi="宋体" w:eastAsia="宋体"/>
          <w:b/>
          <w:bCs/>
          <w:color w:val="auto"/>
          <w:sz w:val="21"/>
          <w:szCs w:val="21"/>
        </w:rPr>
      </w:pPr>
      <w:r>
        <w:rPr>
          <w:rFonts w:hint="eastAsia" w:ascii="宋体" w:hAnsi="宋体" w:eastAsia="宋体"/>
          <w:b/>
          <w:bCs/>
          <w:color w:val="auto"/>
          <w:sz w:val="21"/>
          <w:szCs w:val="21"/>
          <w:lang w:val="en-US" w:eastAsia="zh-CN"/>
        </w:rPr>
        <w:t>1.7.1.8</w:t>
      </w:r>
      <w:r>
        <w:rPr>
          <w:rFonts w:hint="eastAsia" w:ascii="宋体" w:hAnsi="宋体" w:eastAsia="宋体"/>
          <w:b/>
          <w:bCs/>
          <w:color w:val="auto"/>
          <w:sz w:val="21"/>
          <w:szCs w:val="21"/>
        </w:rPr>
        <w:t>住院转诊查看</w:t>
      </w:r>
    </w:p>
    <w:p w14:paraId="6248F604">
      <w:pPr>
        <w:pStyle w:val="144"/>
        <w:spacing w:before="60" w:after="60"/>
        <w:rPr>
          <w:rFonts w:ascii="宋体" w:hAnsi="宋体"/>
        </w:rPr>
      </w:pPr>
      <w:r>
        <w:rPr>
          <w:rFonts w:hint="eastAsia" w:ascii="宋体" w:hAnsi="宋体"/>
        </w:rPr>
        <w:t>上级医生在住院转诊安排完成后，可以查看到本次住院转诊的申请信息。</w:t>
      </w:r>
    </w:p>
    <w:p w14:paraId="5693E5C3">
      <w:pPr>
        <w:pStyle w:val="144"/>
        <w:spacing w:before="60" w:after="60"/>
        <w:rPr>
          <w:rFonts w:ascii="宋体" w:hAnsi="宋体"/>
        </w:rPr>
      </w:pPr>
      <w:r>
        <w:rPr>
          <w:rFonts w:hint="eastAsia" w:ascii="宋体" w:hAnsi="宋体"/>
        </w:rPr>
        <w:t>上级医院收到住院转诊信息并安排完成后，相关科室、医生可以查看到本次住院转诊信息的详情，通过了解患者基本信息、来院时间、申请原因、病历情况等信息，可以提前为诊疗做准备。患者到达上级医院后，上级住院处在为患者办理入院登记时，可以查询患者信息并带入，提高医生办理入院登记的效率。</w:t>
      </w:r>
    </w:p>
    <w:p w14:paraId="469514EA">
      <w:pPr>
        <w:pStyle w:val="3"/>
        <w:numPr>
          <w:ilvl w:val="0"/>
          <w:numId w:val="0"/>
        </w:numPr>
        <w:ind w:leftChars="0"/>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1.7.1.9</w:t>
      </w:r>
      <w:r>
        <w:rPr>
          <w:rFonts w:hint="eastAsia" w:ascii="宋体" w:hAnsi="宋体" w:eastAsia="宋体" w:cs="宋体"/>
          <w:b/>
          <w:bCs/>
          <w:color w:val="auto"/>
          <w:sz w:val="21"/>
          <w:szCs w:val="21"/>
        </w:rPr>
        <w:t>下转服务</w:t>
      </w:r>
    </w:p>
    <w:p w14:paraId="261D1B57">
      <w:pPr>
        <w:pStyle w:val="144"/>
        <w:spacing w:before="60" w:after="60"/>
        <w:rPr>
          <w:rFonts w:ascii="宋体" w:hAnsi="宋体"/>
        </w:rPr>
      </w:pPr>
      <w:r>
        <w:rPr>
          <w:rFonts w:hint="eastAsia" w:ascii="宋体" w:hAnsi="宋体"/>
        </w:rPr>
        <w:t>下转功能适用于患者在上级医院治疗完成后，可以将患者转到就近的基层医院进行康复治疗或随访。上级医生治疗完成后，根据患者意愿与实际情况，为患者预约就近的基层医院进行下转康复，上级医院可以随时取消本次申请。基层医院收到申请后，可以根据实际情况开展后续的康复治疗或随访。下转业务可以提升上级医院的床位周转率，使上级医院可以优先救治更危重紧急的患者，促进实现医疗资源最大化利用。</w:t>
      </w:r>
    </w:p>
    <w:p w14:paraId="135FE64E">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1.7.2.0下转申请</w:t>
      </w:r>
    </w:p>
    <w:p w14:paraId="36F8ED9A">
      <w:pPr>
        <w:pStyle w:val="144"/>
        <w:spacing w:before="60" w:after="60"/>
        <w:rPr>
          <w:rFonts w:ascii="宋体" w:hAnsi="宋体"/>
        </w:rPr>
      </w:pPr>
      <w:r>
        <w:rPr>
          <w:rFonts w:hint="eastAsia" w:ascii="宋体" w:hAnsi="宋体"/>
        </w:rPr>
        <w:t>患者在上级医院治疗完成后，上级医生为患者申请基层医院床位进行后续的康复治疗，或申请基层医生进行后续的随访的流程。</w:t>
      </w:r>
    </w:p>
    <w:p w14:paraId="40D30084">
      <w:pPr>
        <w:pStyle w:val="144"/>
        <w:spacing w:before="60" w:after="60"/>
        <w:rPr>
          <w:rFonts w:ascii="宋体" w:hAnsi="宋体"/>
        </w:rPr>
      </w:pPr>
      <w:r>
        <w:rPr>
          <w:rFonts w:hint="eastAsia" w:ascii="宋体" w:hAnsi="宋体"/>
        </w:rPr>
        <w:t>患者在上级医院治疗完成后，上级医生可以查询本市基层医疗机构列表，根据患者意愿为患者就近选择基层医院，确认患者信息、病历信息无误后，填写必要的转院日期、转诊原因等，即可为患者申请下转。上级医生可以随时取消本次申请。</w:t>
      </w:r>
    </w:p>
    <w:p w14:paraId="6A57542E">
      <w:pPr>
        <w:pStyle w:val="3"/>
        <w:numPr>
          <w:ilvl w:val="0"/>
          <w:numId w:val="0"/>
        </w:numPr>
        <w:ind w:leftChars="0"/>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1.7.2.1下转查看</w:t>
      </w:r>
    </w:p>
    <w:p w14:paraId="5B51DA11">
      <w:pPr>
        <w:pStyle w:val="144"/>
        <w:spacing w:before="60" w:after="60"/>
        <w:rPr>
          <w:rFonts w:ascii="宋体" w:hAnsi="宋体"/>
        </w:rPr>
      </w:pPr>
      <w:r>
        <w:rPr>
          <w:rFonts w:hint="eastAsia" w:ascii="宋体" w:hAnsi="宋体"/>
        </w:rPr>
        <w:t>基层医生收到下转申请信息后，可以查看申请详情，了解患者信息。支撑后续的治疗或随访。</w:t>
      </w:r>
    </w:p>
    <w:p w14:paraId="7A89DCBD">
      <w:pPr>
        <w:pStyle w:val="144"/>
        <w:spacing w:before="60" w:after="60"/>
        <w:rPr>
          <w:rFonts w:ascii="宋体" w:hAnsi="宋体"/>
        </w:rPr>
      </w:pPr>
      <w:r>
        <w:rPr>
          <w:rFonts w:hint="eastAsia" w:ascii="宋体" w:hAnsi="宋体"/>
        </w:rPr>
        <w:t>上级医院提交下转申请后，基层相关科室、医生可以收到本次下转申请。基层医生可以查看患者基本信息、申请信息、病历信息等。了解患者情况，并为后续的治疗或随访做准备。</w:t>
      </w:r>
    </w:p>
    <w:p w14:paraId="71756BAD">
      <w:pPr>
        <w:pStyle w:val="3"/>
        <w:numPr>
          <w:ilvl w:val="0"/>
          <w:numId w:val="0"/>
        </w:numPr>
        <w:ind w:leftChars="0"/>
        <w:rPr>
          <w:rFonts w:hint="eastAsia" w:ascii="宋体" w:hAnsi="宋体" w:eastAsia="宋体" w:cs="宋体"/>
          <w:b/>
          <w:bCs/>
          <w:color w:val="auto"/>
          <w:sz w:val="21"/>
          <w:szCs w:val="21"/>
          <w:lang w:val="en-US" w:eastAsia="zh-CN"/>
        </w:rPr>
      </w:pPr>
      <w:bookmarkStart w:id="140" w:name="_Toc159170237"/>
      <w:r>
        <w:rPr>
          <w:rFonts w:hint="eastAsia" w:ascii="宋体" w:hAnsi="宋体" w:eastAsia="宋体" w:cs="宋体"/>
          <w:b/>
          <w:bCs/>
          <w:color w:val="auto"/>
          <w:sz w:val="21"/>
          <w:szCs w:val="21"/>
          <w:lang w:val="en-US" w:eastAsia="zh-CN"/>
        </w:rPr>
        <w:t>1.7.2会诊服务中心</w:t>
      </w:r>
      <w:bookmarkEnd w:id="140"/>
    </w:p>
    <w:p w14:paraId="5B3593FB">
      <w:pPr>
        <w:pStyle w:val="3"/>
        <w:numPr>
          <w:ilvl w:val="0"/>
          <w:numId w:val="0"/>
        </w:numPr>
        <w:tabs>
          <w:tab w:val="left" w:pos="3961"/>
        </w:tabs>
        <w:ind w:leftChars="0"/>
        <w:rPr>
          <w:rFonts w:hint="eastAsia" w:ascii="仿宋" w:hAnsi="仿宋" w:eastAsia="仿宋"/>
          <w:b/>
          <w:bCs/>
          <w:color w:val="auto"/>
          <w:sz w:val="32"/>
          <w:szCs w:val="21"/>
          <w:lang w:eastAsia="zh-CN"/>
        </w:rPr>
      </w:pPr>
      <w:r>
        <w:rPr>
          <w:rFonts w:hint="eastAsia" w:ascii="宋体" w:hAnsi="宋体" w:eastAsia="宋体" w:cs="宋体"/>
          <w:b/>
          <w:bCs/>
          <w:color w:val="auto"/>
          <w:sz w:val="21"/>
          <w:szCs w:val="21"/>
          <w:lang w:val="en-US" w:eastAsia="zh-CN"/>
        </w:rPr>
        <w:t>1.7.2.2远程门诊服务</w:t>
      </w:r>
      <w:r>
        <w:rPr>
          <w:rFonts w:hint="eastAsia" w:ascii="仿宋" w:hAnsi="仿宋" w:eastAsia="仿宋"/>
          <w:b/>
          <w:bCs/>
          <w:color w:val="auto"/>
          <w:sz w:val="32"/>
          <w:szCs w:val="21"/>
          <w:lang w:eastAsia="zh-CN"/>
        </w:rPr>
        <w:tab/>
      </w:r>
    </w:p>
    <w:p w14:paraId="43C7BCE4">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为实现医疗服务资源的合理配置，促进优质医疗资源下沉，在门诊诊疗过程中，遇到有疑难重症或在实施治疗时有困难等情况下，可通过平台向上级医院发起远程门诊服务申请，实现在线上下级医生的远程门诊联合看诊并对病患情况予以诊断。</w:t>
      </w:r>
    </w:p>
    <w:p w14:paraId="5CA9DACA">
      <w:pPr>
        <w:spacing w:before="60" w:after="60" w:line="360" w:lineRule="auto"/>
        <w:ind w:firstLine="480" w:firstLineChars="200"/>
        <w:rPr>
          <w:rFonts w:ascii="宋体" w:hAnsi="宋体" w:eastAsia="宋体"/>
          <w:sz w:val="24"/>
          <w:szCs w:val="24"/>
        </w:rPr>
      </w:pPr>
      <w:r>
        <w:rPr>
          <w:rFonts w:ascii="宋体" w:hAnsi="宋体" w:eastAsia="宋体"/>
          <w:sz w:val="24"/>
          <w:szCs w:val="24"/>
        </w:rPr>
        <w:t>远程门诊服务基于标准规范体系和安全保障体系的原则，由信息资源发布共享平台提供居民健康档案调阅服务、主数据查询服务等基础数据支撑，并结合信息资源发布共享平台的服务调用、数据推送功能，发布业务相关的远程门诊排班查询、远程门诊可预约时间段查询、提交远程门诊申请、取消远程门诊申请、加入视频会议、远程门诊报告发布等服务，支撑上层门诊排班管理、远程门诊申请、远程门诊执行、远程门诊接诊和远程门诊报告等应用，使业务流程顺利进行，最终可以通过产生的业务数据，监测分析远程门诊申请情况、远程门诊报告情况等，供监管部门查阅。</w:t>
      </w:r>
    </w:p>
    <w:p w14:paraId="1C35D648">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1.7.2.3门诊排班管理</w:t>
      </w:r>
    </w:p>
    <w:p w14:paraId="717EE595">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在区域医疗服务网络搭建后，会诊服务中心、医疗机构的排班人员可通过本功能为提供远程门诊服务的医生进行合理的坐诊排班。排班完成后由平台生成相应的号源信息，可供基层医生、患者按需通过平台进行预约。排班功能提供周模板模式，管理员可以首先创建一个标准的排班周模板，然后根据周模板快速生成整个月份的排班计划，提升排班工作效率。排班支持按照医生和所属科室进行排班，以满足不同需求。</w:t>
      </w:r>
    </w:p>
    <w:p w14:paraId="27FA32FF">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1.7.2.4远程门诊申请</w:t>
      </w:r>
    </w:p>
    <w:p w14:paraId="27CE6C02">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完成排班后，基层医生可通过服务项目选择功能获取到远程门诊的排班资源和可预约时间段信息，随后便可一键选取所需的远程门诊医生资源，依次完成病症类型、申请原因、申请目的、是否加急、患者电话等信息的填写并提交申请，即可精确匹配到所需的远程门诊资源。同时在远程门诊申请提交后，可随时查看流程进度，清晰了解整个过程中每个阶段的当前进度。</w:t>
      </w:r>
    </w:p>
    <w:p w14:paraId="7C41CC6B">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1.7.2.5远程门诊接诊</w:t>
      </w:r>
    </w:p>
    <w:p w14:paraId="261E75E0">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在远程门诊接诊功能操作过程中，上级医生可通过患者姓名、主诊人、就诊状态、申请时间等条件快速地查询到所关注的患者。</w:t>
      </w:r>
    </w:p>
    <w:p w14:paraId="3E32EFF2">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定位到具体患者后，可通过点击患者列表的详情深入了解他们的申请信息详情：包括患者信息和申请信息；上级医生可直接在此页面进行接诊操作，以开展后续的执行看诊等相关诊疗操作。</w:t>
      </w:r>
    </w:p>
    <w:p w14:paraId="140AF271">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1.7.2.6远程门诊执行</w:t>
      </w:r>
    </w:p>
    <w:p w14:paraId="76332157">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上级医生执行了接诊操作后，可一键开启加入看诊、写报告等操作。加入看诊后，上级医生和基层医生可通过视频在同一个会议室中进行实时连线看诊，实现无障碍沟通。为提升医生之间的交互体验，提供了可同时调阅患者病历、影像文件并可以同时书写看诊报告的四宫格窗口，可以体验到边看诊、边查阅患者病历和影像资料、边写诊断报告，所有操作同步进行的全新体验。</w:t>
      </w:r>
    </w:p>
    <w:p w14:paraId="7A97315E">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1.7.2.7远程门诊报告</w:t>
      </w:r>
    </w:p>
    <w:p w14:paraId="56FA0E1F">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远程门诊执行过程中以及执行完成后，上级看诊医生可随时依据看诊情况来进行远程门诊报告的书写及完善工作。报告中不仅有病情描述，也包括上级医生在看诊后出具的专业诊断和建议。书写报告的同时可以随时将典型病例报告存为模板，方便后续书写时随时调阅复用。上级医生提交后基层医生可实时查看报告内容。</w:t>
      </w:r>
    </w:p>
    <w:p w14:paraId="3CE06170">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1.7.3远程会诊服务</w:t>
      </w:r>
    </w:p>
    <w:p w14:paraId="28499C30">
      <w:pPr>
        <w:pStyle w:val="144"/>
        <w:spacing w:before="60" w:after="60"/>
        <w:rPr>
          <w:rFonts w:ascii="宋体" w:hAnsi="宋体"/>
        </w:rPr>
      </w:pPr>
      <w:r>
        <w:rPr>
          <w:rFonts w:hint="eastAsia" w:ascii="宋体" w:hAnsi="宋体"/>
        </w:rPr>
        <w:t>为减轻患者负担，合理配置医疗服务资源，促进优质医疗资源下沉，在临床诊疗过程中，遇到有疑难重症或在实施治疗方案时有困难等情况，可通过平台向上级医院发起远程会诊申请，实现多学科医生在线实时进行远程会诊。</w:t>
      </w:r>
    </w:p>
    <w:p w14:paraId="05517E5B">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1.7.3.1远程会诊申请</w:t>
      </w:r>
    </w:p>
    <w:p w14:paraId="4E8B9AED">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在临床诊疗过程中，遇到有疑难重症或在实施治疗方案时有困难等情况下，基层医生可通过服务项目选择功能获取到远程会诊的可预约资源信息，随后便可一键预约所需的远程会诊资源，依次完成病症类型、申请原因、会诊目的、允许调剂、患者电话等信息的填写并提交远程会诊申请，即可精确匹配到所需的远程会诊资源。同时在远程会诊申请提交后，可随时查看流程进度，清晰了解整个过程中每个阶段的当前进度。</w:t>
      </w:r>
    </w:p>
    <w:p w14:paraId="31238E93">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1.7.3.2远程会诊审核</w:t>
      </w:r>
    </w:p>
    <w:p w14:paraId="578C4686">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为保障远程会诊业务的质量，在基层医生填写的远程会诊审请发出后，上级医院的审核人员会对基层医生提交的远程会诊申请进行审查，以确保申请符合远程会诊的标准和条件，包括患者的病情是否适合远程会诊、是否提供了必要的病历信息等。这是确保远程医疗服务质量的关键环节。</w:t>
      </w:r>
    </w:p>
    <w:p w14:paraId="444C77F1">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如果申请符合条件，审核人员会批准远程会诊申请，并由相关负责人员安排会诊的时间和地点以及参会人员等信息。如果申请不符合条件，审核人员会驳回申请，并需要提供详细的原因，以便基层医生了解问题所在。基层医生在收到驳回通知后，可以根据审核人员提供的反馈，重新修改申请并再次提交以供再次审核。</w:t>
      </w:r>
    </w:p>
    <w:p w14:paraId="1DE74EE3">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1.7.3.3远程会诊安排</w:t>
      </w:r>
    </w:p>
    <w:p w14:paraId="15149950">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上级医院的审核人员确认申请符合远程会诊的标准和条件并完成远程会诊审核后，随即便可以对会诊的具体细节进行安排。在综合考虑医生的日程安排、患者的病情紧急程度以及会诊地点及设备的可用性之后，负责会诊安排的工作人员对会诊进行会诊时间、会诊地点、会诊参与人员予以安排。如果患者情况属于疑难或特殊，系统同样支持邀请相同机构内的其他科室学科的医生（非主诊医生）参加会诊。</w:t>
      </w:r>
    </w:p>
    <w:p w14:paraId="4421043A">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提供远程会诊安排功能。支持对通过审核的远程会诊申请进行详细的会诊时间、会诊地点的安排；支持上级医院的相关人员根据实际情况安排具体的会诊时间以及参与会诊的医生、会诊地点，同时也可以选择其他医生参加会诊。</w:t>
      </w:r>
    </w:p>
    <w:p w14:paraId="5858F08F">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1.7.3.4远程会诊执行</w:t>
      </w:r>
    </w:p>
    <w:p w14:paraId="392809F1">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上级医生执行了接诊操作后，可一键开启加入看诊、写报告等操作。加入看诊后，上级医生和基层医生可通过视频在同一个会议室中进行实时连线看诊，实现无障碍沟通，有助于更准确地理解患者病情和基层医生的诊疗情况。为提升医生之间的交互体验，提供了可同时调阅患者病历、影像文件并可以同时书写会诊报告的四宫格窗口，可以体验到边会诊、边查阅患者病历和影像资料、边写会诊报告，所有操作同步进行的全新体验，减少了医生切换不同系统或界面的时间。</w:t>
      </w:r>
    </w:p>
    <w:p w14:paraId="52BF8580">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1.7.3.5远程会诊报告</w:t>
      </w:r>
    </w:p>
    <w:p w14:paraId="2F3B9862">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在完成了远程会诊看诊的执行操作后，上级医生可使用远程会诊报告功能来准确的记录患者情况。报告中不仅有病情描述、也包括上级医生在看诊后出具的专业诊断和建议。书写报告的同时可以随时将典型病例报告存为模板，方便后续书写时随时调阅复用。</w:t>
      </w:r>
    </w:p>
    <w:p w14:paraId="6806E305">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通过提供远程会诊报告功能，可以确保远程会诊的成果得到有效记录和传达，同时也为患者提供了详细的诊疗信息，有助于提高医疗服务的整体质量。</w:t>
      </w:r>
    </w:p>
    <w:p w14:paraId="09B7969A">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1.7.3.6远程会诊报告审核</w:t>
      </w:r>
    </w:p>
    <w:p w14:paraId="56914FE7">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上级医生完成远程会诊报告的编写与提交后，为确保会诊报告的专业性和准确性，以及是否符合医疗质量和安全标准，上级报告审核人员（通常是具有相应专业背景的医生或医疗专家）会从专业的角度（通常包括医疗标准、诊疗指南、患者病情以及会诊过程中的讨论内容等）对报告的内容进行细致的审查。</w:t>
      </w:r>
    </w:p>
    <w:p w14:paraId="0A6D32B5">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如果报告内容准确、完整且符合专业标准，审核人员将批准报告通过审核。如果报告存在问题，如诊断不准确、建议不恰当或报告格式不符合要求，审核人员将驳回报告，并指出需要修改的地方。会诊医生在收到驳回通知后，需要根据审核人员的反馈对远程会诊报告进行相应的调整和修改，修改后的报告需要重新提交给审核人员进行复审，直至报告通过审核。</w:t>
      </w:r>
    </w:p>
    <w:p w14:paraId="38211271">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通过报告审核流程，可以确保远程会诊报告的质量，为患者提供更加可靠和专业的医疗意见。同时，这也有助于提升远程医疗服务的整体水平，提升患者的就诊满意度。</w:t>
      </w:r>
    </w:p>
    <w:p w14:paraId="36B1A835">
      <w:pPr>
        <w:bidi w:val="0"/>
        <w:rPr>
          <w:rFonts w:hint="eastAsia"/>
          <w:lang w:val="en-US" w:eastAsia="zh-CN"/>
        </w:rPr>
      </w:pPr>
      <w:bookmarkStart w:id="141" w:name="_Toc24298102"/>
      <w:r>
        <w:rPr>
          <w:rFonts w:hint="eastAsia"/>
          <w:lang w:val="en-US" w:eastAsia="zh-CN"/>
        </w:rPr>
        <w:t>1.7.4多媒体通信服务</w:t>
      </w:r>
    </w:p>
    <w:bookmarkEnd w:id="141"/>
    <w:p w14:paraId="1DDE0FF9"/>
    <w:p w14:paraId="2FEA140E">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通过多媒体通信服务支持上下级医院远程门诊等服务视频连接。</w:t>
      </w:r>
    </w:p>
    <w:p w14:paraId="431F36CE">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1.7.5基层医院系统对接服务</w:t>
      </w:r>
    </w:p>
    <w:p w14:paraId="26D632A1">
      <w:pPr>
        <w:spacing w:before="60" w:after="60" w:line="360" w:lineRule="auto"/>
        <w:ind w:firstLine="480" w:firstLineChars="200"/>
        <w:rPr>
          <w:rFonts w:ascii="宋体" w:hAnsi="宋体" w:eastAsia="宋体"/>
          <w:sz w:val="24"/>
          <w:szCs w:val="24"/>
        </w:rPr>
      </w:pPr>
      <w:r>
        <w:rPr>
          <w:rFonts w:hint="eastAsia" w:ascii="宋体" w:hAnsi="宋体" w:eastAsia="宋体"/>
          <w:sz w:val="24"/>
          <w:szCs w:val="24"/>
        </w:rPr>
        <w:t>实现分级诊疗应用与基层医疗机构系统对接，实现上述分级诊疗业务的协同和数据的共享。</w:t>
      </w:r>
    </w:p>
    <w:p w14:paraId="2E9019BC">
      <w:pPr>
        <w:pStyle w:val="5"/>
        <w:numPr>
          <w:ilvl w:val="0"/>
          <w:numId w:val="0"/>
        </w:numPr>
        <w:ind w:leftChars="0"/>
        <w:rPr>
          <w:rFonts w:hint="eastAsia" w:ascii="宋体" w:hAnsi="宋体" w:eastAsia="宋体" w:cs="宋体"/>
          <w:b/>
          <w:bCs/>
          <w:color w:val="auto"/>
          <w:kern w:val="44"/>
          <w:sz w:val="21"/>
          <w:szCs w:val="21"/>
          <w:lang w:val="en-US" w:eastAsia="zh-CN" w:bidi="ar-SA"/>
        </w:rPr>
      </w:pPr>
      <w:r>
        <w:rPr>
          <w:rFonts w:hint="eastAsia" w:ascii="宋体" w:hAnsi="宋体" w:eastAsia="宋体" w:cs="宋体"/>
          <w:b/>
          <w:bCs/>
          <w:color w:val="auto"/>
          <w:kern w:val="44"/>
          <w:sz w:val="21"/>
          <w:szCs w:val="21"/>
          <w:lang w:val="en-US" w:eastAsia="zh-CN" w:bidi="ar-SA"/>
        </w:rPr>
        <w:t>1.7.6县级医院系统对接服务</w:t>
      </w:r>
    </w:p>
    <w:p w14:paraId="267F96C1"/>
    <w:p w14:paraId="0B8204A0">
      <w:pPr>
        <w:bidi w:val="0"/>
        <w:rPr>
          <w:rFonts w:hint="eastAsia"/>
        </w:rPr>
      </w:pPr>
      <w:r>
        <w:rPr>
          <w:rFonts w:hint="eastAsia"/>
        </w:rPr>
        <w:t>实现分级诊疗应用与县级医院系统对接，实现上述分级诊疗业务的协同和数据的共享。</w:t>
      </w:r>
    </w:p>
    <w:p w14:paraId="30068A84"/>
    <w:p w14:paraId="5BA68F93">
      <w:pPr>
        <w:pStyle w:val="3"/>
        <w:numPr>
          <w:ilvl w:val="1"/>
          <w:numId w:val="3"/>
        </w:numPr>
        <w:spacing w:before="0" w:after="0" w:line="360" w:lineRule="auto"/>
        <w:jc w:val="left"/>
        <w:rPr>
          <w:rFonts w:ascii="宋体" w:hAnsi="宋体" w:cs="宋体"/>
          <w:sz w:val="21"/>
          <w:szCs w:val="21"/>
        </w:rPr>
      </w:pPr>
      <w:bookmarkStart w:id="142" w:name="_Toc150537754"/>
      <w:r>
        <w:rPr>
          <w:rFonts w:hint="eastAsia" w:ascii="宋体" w:hAnsi="宋体" w:cs="宋体"/>
          <w:sz w:val="21"/>
          <w:szCs w:val="21"/>
        </w:rPr>
        <w:t>系统改造与对接</w:t>
      </w:r>
      <w:bookmarkEnd w:id="142"/>
    </w:p>
    <w:p w14:paraId="4B56955F">
      <w:pPr>
        <w:pStyle w:val="4"/>
        <w:numPr>
          <w:ilvl w:val="2"/>
          <w:numId w:val="3"/>
        </w:numPr>
        <w:spacing w:before="240" w:after="120"/>
        <w:rPr>
          <w:rFonts w:hAnsi="宋体" w:cs="宋体"/>
          <w:kern w:val="44"/>
          <w:sz w:val="21"/>
          <w:szCs w:val="21"/>
        </w:rPr>
      </w:pPr>
      <w:bookmarkStart w:id="143" w:name="_Toc150537755"/>
      <w:r>
        <w:rPr>
          <w:rFonts w:hAnsi="宋体" w:cs="宋体"/>
          <w:kern w:val="44"/>
          <w:sz w:val="21"/>
          <w:szCs w:val="21"/>
        </w:rPr>
        <w:t>数据接口服务</w:t>
      </w:r>
      <w:bookmarkEnd w:id="143"/>
    </w:p>
    <w:p w14:paraId="7047D467">
      <w:pPr>
        <w:spacing w:line="360" w:lineRule="auto"/>
        <w:ind w:firstLine="480"/>
        <w:rPr>
          <w:rFonts w:hAnsi="宋体" w:cs="仿宋"/>
          <w:color w:val="000000"/>
          <w:szCs w:val="21"/>
        </w:rPr>
      </w:pPr>
      <w:r>
        <w:rPr>
          <w:rFonts w:hint="eastAsia" w:hAnsi="宋体" w:cs="仿宋"/>
          <w:szCs w:val="21"/>
        </w:rPr>
        <w:t>本项目所涉及到的互联网中医应用服务，在建设过程中涉及部分院内HIS接口改造，包含预约挂号、门诊病历、诊间支付、检验检查、排队查询、消息推送、医保结算、配发药系统等数十个接口。互联网端主要通过前置机服务器不断请求院内业务服务器。前置机服务主要作用是用于支撑微信公众号或支付宝应用，链接HIS系统，起到两个系统之间交互，适配接口差异的作用。</w:t>
      </w:r>
    </w:p>
    <w:p w14:paraId="5C06B9BA">
      <w:pPr>
        <w:spacing w:line="360" w:lineRule="auto"/>
        <w:rPr>
          <w:rFonts w:hAnsi="宋体" w:cs="仿宋"/>
          <w:szCs w:val="21"/>
        </w:rPr>
      </w:pPr>
      <w:r>
        <w:rPr>
          <w:rFonts w:hint="eastAsia" w:hAnsi="宋体" w:cs="仿宋"/>
          <w:szCs w:val="21"/>
        </w:rPr>
        <w:t>接口开发主要涉及移动与医院内部实现对接，可参考对接模块如下：</w:t>
      </w:r>
    </w:p>
    <w:tbl>
      <w:tblPr>
        <w:tblStyle w:val="5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31"/>
        <w:gridCol w:w="7645"/>
      </w:tblGrid>
      <w:tr w14:paraId="6AB3E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shd w:val="clear" w:color="auto" w:fill="DBE5F1"/>
            <w:vAlign w:val="center"/>
          </w:tcPr>
          <w:p w14:paraId="7AC4A0AC">
            <w:pPr>
              <w:spacing w:line="360" w:lineRule="auto"/>
              <w:ind w:firstLine="480"/>
              <w:jc w:val="left"/>
              <w:rPr>
                <w:rFonts w:hAnsi="宋体" w:cs="仿宋"/>
                <w:szCs w:val="21"/>
              </w:rPr>
            </w:pPr>
            <w:r>
              <w:rPr>
                <w:rFonts w:hint="eastAsia" w:hAnsi="宋体" w:cs="仿宋"/>
                <w:szCs w:val="21"/>
              </w:rPr>
              <w:t>模块</w:t>
            </w:r>
          </w:p>
        </w:tc>
        <w:tc>
          <w:tcPr>
            <w:tcW w:w="3991" w:type="pct"/>
            <w:shd w:val="clear" w:color="auto" w:fill="DBE5F1"/>
          </w:tcPr>
          <w:p w14:paraId="2469CBCD">
            <w:pPr>
              <w:spacing w:line="360" w:lineRule="auto"/>
              <w:ind w:firstLine="480"/>
              <w:jc w:val="left"/>
              <w:rPr>
                <w:rFonts w:hAnsi="宋体" w:cs="仿宋"/>
                <w:szCs w:val="21"/>
              </w:rPr>
            </w:pPr>
            <w:r>
              <w:rPr>
                <w:rFonts w:hint="eastAsia" w:hAnsi="宋体" w:cs="仿宋"/>
                <w:szCs w:val="21"/>
              </w:rPr>
              <w:t>具体内容</w:t>
            </w:r>
          </w:p>
        </w:tc>
      </w:tr>
      <w:tr w14:paraId="697D2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18899621">
            <w:pPr>
              <w:spacing w:line="360" w:lineRule="auto"/>
              <w:jc w:val="left"/>
              <w:rPr>
                <w:rFonts w:hAnsi="宋体" w:cs="仿宋"/>
                <w:szCs w:val="21"/>
              </w:rPr>
            </w:pPr>
            <w:r>
              <w:rPr>
                <w:rFonts w:hint="eastAsia" w:hAnsi="宋体" w:cs="仿宋"/>
                <w:szCs w:val="21"/>
              </w:rPr>
              <w:t>预约挂号接口</w:t>
            </w:r>
          </w:p>
        </w:tc>
        <w:tc>
          <w:tcPr>
            <w:tcW w:w="3991" w:type="pct"/>
          </w:tcPr>
          <w:p w14:paraId="587CB6EA">
            <w:pPr>
              <w:spacing w:line="360" w:lineRule="auto"/>
              <w:jc w:val="left"/>
              <w:rPr>
                <w:rFonts w:hAnsi="宋体" w:cs="仿宋"/>
                <w:szCs w:val="21"/>
              </w:rPr>
            </w:pPr>
            <w:r>
              <w:rPr>
                <w:rFonts w:hint="eastAsia" w:hAnsi="宋体" w:cs="仿宋"/>
                <w:szCs w:val="21"/>
              </w:rPr>
              <w:t>科室信息查询接口；医生号源信息查询接口；医生号源分时信息查询接口；预约挂号接口；支付接口； 取消预约接口；退费接口；根据医生查询医生号源信息；预约订单状态查询；停诊消息发送记录；</w:t>
            </w:r>
          </w:p>
        </w:tc>
      </w:tr>
      <w:tr w14:paraId="6E412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7EB2D45C">
            <w:pPr>
              <w:spacing w:line="360" w:lineRule="auto"/>
              <w:jc w:val="left"/>
              <w:rPr>
                <w:rFonts w:hAnsi="宋体" w:cs="仿宋"/>
                <w:szCs w:val="21"/>
              </w:rPr>
            </w:pPr>
            <w:r>
              <w:rPr>
                <w:rFonts w:hint="eastAsia" w:hAnsi="宋体" w:cs="仿宋"/>
                <w:szCs w:val="21"/>
              </w:rPr>
              <w:t>当天挂号</w:t>
            </w:r>
          </w:p>
        </w:tc>
        <w:tc>
          <w:tcPr>
            <w:tcW w:w="3991" w:type="pct"/>
          </w:tcPr>
          <w:p w14:paraId="40625158">
            <w:pPr>
              <w:spacing w:line="360" w:lineRule="auto"/>
              <w:jc w:val="left"/>
              <w:rPr>
                <w:rFonts w:hAnsi="宋体" w:cs="仿宋"/>
                <w:szCs w:val="21"/>
              </w:rPr>
            </w:pPr>
            <w:r>
              <w:rPr>
                <w:rFonts w:hint="eastAsia" w:hAnsi="宋体" w:cs="仿宋"/>
                <w:szCs w:val="21"/>
              </w:rPr>
              <w:t>科室信息查询接口；医生号源信息查询接口；号源锁定接口；解除锁定接口；挂号接口；医院用户信息确认接口；获取优惠费用信息；</w:t>
            </w:r>
          </w:p>
        </w:tc>
      </w:tr>
      <w:tr w14:paraId="74EB5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543EFCA2">
            <w:pPr>
              <w:spacing w:line="360" w:lineRule="auto"/>
              <w:jc w:val="left"/>
              <w:rPr>
                <w:rFonts w:hAnsi="宋体" w:cs="仿宋"/>
                <w:szCs w:val="21"/>
              </w:rPr>
            </w:pPr>
            <w:r>
              <w:rPr>
                <w:rFonts w:hint="eastAsia" w:hAnsi="宋体" w:cs="仿宋"/>
                <w:szCs w:val="21"/>
              </w:rPr>
              <w:t>缴费接口</w:t>
            </w:r>
          </w:p>
        </w:tc>
        <w:tc>
          <w:tcPr>
            <w:tcW w:w="3991" w:type="pct"/>
          </w:tcPr>
          <w:p w14:paraId="4D28E47F">
            <w:pPr>
              <w:spacing w:line="360" w:lineRule="auto"/>
              <w:jc w:val="left"/>
              <w:rPr>
                <w:rFonts w:hAnsi="宋体" w:cs="仿宋"/>
                <w:szCs w:val="21"/>
              </w:rPr>
            </w:pPr>
            <w:r>
              <w:rPr>
                <w:rFonts w:hint="eastAsia" w:hAnsi="宋体" w:cs="仿宋"/>
                <w:szCs w:val="21"/>
              </w:rPr>
              <w:t>用户就诊记录查询接口；用户就诊记录对应的处方查询接口；</w:t>
            </w:r>
          </w:p>
          <w:p w14:paraId="3D532BBC">
            <w:pPr>
              <w:spacing w:line="360" w:lineRule="auto"/>
              <w:jc w:val="left"/>
              <w:rPr>
                <w:rFonts w:hAnsi="宋体" w:cs="仿宋"/>
                <w:szCs w:val="21"/>
              </w:rPr>
            </w:pPr>
            <w:r>
              <w:rPr>
                <w:rFonts w:hint="eastAsia" w:hAnsi="宋体" w:cs="仿宋"/>
                <w:szCs w:val="21"/>
              </w:rPr>
              <w:t>用户待缴费记录查询接口；用户待缴费记录支付接口；</w:t>
            </w:r>
          </w:p>
          <w:p w14:paraId="416D647B">
            <w:pPr>
              <w:spacing w:line="360" w:lineRule="auto"/>
              <w:jc w:val="left"/>
              <w:rPr>
                <w:rFonts w:hAnsi="宋体" w:cs="仿宋"/>
                <w:szCs w:val="21"/>
              </w:rPr>
            </w:pPr>
            <w:r>
              <w:rPr>
                <w:rFonts w:hint="eastAsia" w:hAnsi="宋体" w:cs="仿宋"/>
                <w:szCs w:val="21"/>
              </w:rPr>
              <w:t>用户已缴费记录查询接口；用户已缴费记录明细查询；接获取指引单；</w:t>
            </w:r>
          </w:p>
        </w:tc>
      </w:tr>
      <w:tr w14:paraId="798E1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529DC438">
            <w:pPr>
              <w:spacing w:line="360" w:lineRule="auto"/>
              <w:jc w:val="left"/>
              <w:rPr>
                <w:rFonts w:hAnsi="宋体" w:cs="仿宋"/>
                <w:szCs w:val="21"/>
              </w:rPr>
            </w:pPr>
            <w:r>
              <w:rPr>
                <w:rFonts w:hint="eastAsia" w:hAnsi="宋体" w:cs="仿宋"/>
                <w:szCs w:val="21"/>
              </w:rPr>
              <w:t>辅助接口</w:t>
            </w:r>
          </w:p>
        </w:tc>
        <w:tc>
          <w:tcPr>
            <w:tcW w:w="3991" w:type="pct"/>
          </w:tcPr>
          <w:p w14:paraId="746CDAA9">
            <w:pPr>
              <w:spacing w:line="360" w:lineRule="auto"/>
              <w:jc w:val="left"/>
              <w:rPr>
                <w:rFonts w:hAnsi="宋体" w:cs="仿宋"/>
                <w:szCs w:val="21"/>
              </w:rPr>
            </w:pPr>
            <w:r>
              <w:rPr>
                <w:rFonts w:hint="eastAsia" w:hAnsi="宋体" w:cs="仿宋"/>
                <w:szCs w:val="21"/>
              </w:rPr>
              <w:t>门诊就诊序号查询；检验报告列表查询接口；检验报告明细内容查询接口；检查报告列表查询接口；检查报告明细内容查询接口； 就诊指引单查询接口；</w:t>
            </w:r>
          </w:p>
        </w:tc>
      </w:tr>
      <w:tr w14:paraId="3A1CE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6536F406">
            <w:pPr>
              <w:spacing w:line="360" w:lineRule="auto"/>
              <w:jc w:val="left"/>
              <w:rPr>
                <w:rFonts w:hAnsi="宋体" w:cs="仿宋"/>
                <w:szCs w:val="21"/>
              </w:rPr>
            </w:pPr>
            <w:r>
              <w:rPr>
                <w:rFonts w:hint="eastAsia" w:hAnsi="宋体" w:cs="仿宋"/>
                <w:szCs w:val="21"/>
              </w:rPr>
              <w:t>住院接口</w:t>
            </w:r>
          </w:p>
        </w:tc>
        <w:tc>
          <w:tcPr>
            <w:tcW w:w="3991" w:type="pct"/>
          </w:tcPr>
          <w:p w14:paraId="7D91DC17">
            <w:pPr>
              <w:spacing w:line="360" w:lineRule="auto"/>
              <w:jc w:val="left"/>
              <w:rPr>
                <w:rFonts w:hAnsi="宋体" w:cs="仿宋"/>
                <w:szCs w:val="21"/>
              </w:rPr>
            </w:pPr>
            <w:r>
              <w:rPr>
                <w:rFonts w:hint="eastAsia" w:hAnsi="宋体" w:cs="仿宋"/>
                <w:szCs w:val="21"/>
              </w:rPr>
              <w:t>住院预交金接口；住院预交金查询接口；住院每日清单接口；住院总费用清单接口；住院费用明细接口；</w:t>
            </w:r>
          </w:p>
        </w:tc>
      </w:tr>
      <w:tr w14:paraId="26CD1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4911E14B">
            <w:pPr>
              <w:spacing w:line="360" w:lineRule="auto"/>
              <w:jc w:val="left"/>
              <w:rPr>
                <w:rFonts w:hAnsi="宋体" w:cs="仿宋"/>
                <w:szCs w:val="21"/>
              </w:rPr>
            </w:pPr>
            <w:r>
              <w:rPr>
                <w:rFonts w:hint="eastAsia" w:hAnsi="宋体" w:cs="仿宋"/>
                <w:szCs w:val="21"/>
              </w:rPr>
              <w:t>移动消息接口</w:t>
            </w:r>
          </w:p>
        </w:tc>
        <w:tc>
          <w:tcPr>
            <w:tcW w:w="3991" w:type="pct"/>
          </w:tcPr>
          <w:p w14:paraId="0AB21E8D">
            <w:pPr>
              <w:spacing w:line="360" w:lineRule="auto"/>
              <w:jc w:val="left"/>
              <w:rPr>
                <w:rFonts w:hAnsi="宋体" w:cs="仿宋"/>
                <w:szCs w:val="21"/>
              </w:rPr>
            </w:pPr>
            <w:r>
              <w:rPr>
                <w:rFonts w:hint="eastAsia" w:hAnsi="宋体" w:cs="仿宋"/>
                <w:szCs w:val="21"/>
              </w:rPr>
              <w:t>报到接口；预下单接口；推送支付信息接口；推送自定义消息接口；</w:t>
            </w:r>
          </w:p>
        </w:tc>
      </w:tr>
      <w:tr w14:paraId="62AD1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0A62AD15">
            <w:pPr>
              <w:spacing w:line="360" w:lineRule="auto"/>
              <w:jc w:val="left"/>
              <w:rPr>
                <w:rFonts w:hAnsi="宋体" w:cs="仿宋"/>
                <w:szCs w:val="21"/>
              </w:rPr>
            </w:pPr>
            <w:r>
              <w:rPr>
                <w:rFonts w:hint="eastAsia" w:hAnsi="宋体" w:cs="仿宋"/>
                <w:szCs w:val="21"/>
              </w:rPr>
              <w:t>检验接口</w:t>
            </w:r>
          </w:p>
        </w:tc>
        <w:tc>
          <w:tcPr>
            <w:tcW w:w="3991" w:type="pct"/>
          </w:tcPr>
          <w:p w14:paraId="33C5E609">
            <w:pPr>
              <w:spacing w:line="360" w:lineRule="auto"/>
              <w:jc w:val="left"/>
              <w:rPr>
                <w:rFonts w:hAnsi="宋体" w:cs="仿宋"/>
                <w:szCs w:val="21"/>
              </w:rPr>
            </w:pPr>
            <w:r>
              <w:rPr>
                <w:rFonts w:hint="eastAsia" w:hAnsi="宋体" w:cs="仿宋"/>
                <w:szCs w:val="21"/>
              </w:rPr>
              <w:t>检验报告列表查询接口；检验报告明细内容查询接口；</w:t>
            </w:r>
          </w:p>
        </w:tc>
      </w:tr>
      <w:tr w14:paraId="433A0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3986A5B9">
            <w:pPr>
              <w:spacing w:line="360" w:lineRule="auto"/>
              <w:jc w:val="left"/>
              <w:rPr>
                <w:rFonts w:hAnsi="宋体" w:cs="仿宋"/>
                <w:szCs w:val="21"/>
              </w:rPr>
            </w:pPr>
            <w:r>
              <w:rPr>
                <w:rFonts w:hint="eastAsia" w:hAnsi="宋体" w:cs="仿宋"/>
                <w:szCs w:val="21"/>
              </w:rPr>
              <w:t>检查接口</w:t>
            </w:r>
          </w:p>
        </w:tc>
        <w:tc>
          <w:tcPr>
            <w:tcW w:w="3991" w:type="pct"/>
          </w:tcPr>
          <w:p w14:paraId="27665FA5">
            <w:pPr>
              <w:spacing w:line="360" w:lineRule="auto"/>
              <w:jc w:val="left"/>
              <w:rPr>
                <w:rFonts w:hAnsi="宋体" w:cs="仿宋"/>
                <w:szCs w:val="21"/>
              </w:rPr>
            </w:pPr>
            <w:r>
              <w:rPr>
                <w:rFonts w:hint="eastAsia" w:hAnsi="宋体" w:cs="仿宋"/>
                <w:szCs w:val="21"/>
              </w:rPr>
              <w:t>检查报告列表查询接口；检查报告明细内容查询接口；</w:t>
            </w:r>
          </w:p>
        </w:tc>
      </w:tr>
      <w:tr w14:paraId="1C1E9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5B411C26">
            <w:pPr>
              <w:spacing w:line="360" w:lineRule="auto"/>
              <w:jc w:val="left"/>
              <w:rPr>
                <w:rFonts w:hAnsi="宋体" w:cs="仿宋"/>
                <w:szCs w:val="21"/>
              </w:rPr>
            </w:pPr>
          </w:p>
        </w:tc>
        <w:tc>
          <w:tcPr>
            <w:tcW w:w="3991" w:type="pct"/>
          </w:tcPr>
          <w:p w14:paraId="5FBCBF6C">
            <w:pPr>
              <w:spacing w:line="360" w:lineRule="auto"/>
              <w:jc w:val="left"/>
              <w:rPr>
                <w:rFonts w:hAnsi="宋体" w:cs="仿宋"/>
                <w:szCs w:val="21"/>
              </w:rPr>
            </w:pPr>
          </w:p>
        </w:tc>
      </w:tr>
      <w:tr w14:paraId="65E2B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31CA98FC">
            <w:pPr>
              <w:spacing w:line="360" w:lineRule="auto"/>
              <w:jc w:val="left"/>
              <w:rPr>
                <w:rFonts w:hAnsi="宋体" w:cs="仿宋"/>
                <w:szCs w:val="21"/>
              </w:rPr>
            </w:pPr>
            <w:r>
              <w:rPr>
                <w:rFonts w:hint="eastAsia" w:hAnsi="宋体" w:cs="仿宋"/>
                <w:szCs w:val="21"/>
              </w:rPr>
              <w:t>排队查询接口</w:t>
            </w:r>
          </w:p>
        </w:tc>
        <w:tc>
          <w:tcPr>
            <w:tcW w:w="3991" w:type="pct"/>
          </w:tcPr>
          <w:p w14:paraId="274F12DF">
            <w:pPr>
              <w:spacing w:line="360" w:lineRule="auto"/>
              <w:jc w:val="left"/>
              <w:rPr>
                <w:rFonts w:hAnsi="宋体" w:cs="仿宋"/>
                <w:szCs w:val="21"/>
              </w:rPr>
            </w:pPr>
            <w:r>
              <w:rPr>
                <w:rFonts w:hint="eastAsia" w:hAnsi="宋体" w:cs="仿宋"/>
                <w:szCs w:val="21"/>
              </w:rPr>
              <w:t>个人门诊排队查询接口；个人检验排队查询接口；个人检查排队查询接口；</w:t>
            </w:r>
          </w:p>
        </w:tc>
      </w:tr>
      <w:tr w14:paraId="765BC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1380FCE6">
            <w:pPr>
              <w:spacing w:line="360" w:lineRule="auto"/>
              <w:jc w:val="left"/>
              <w:rPr>
                <w:rFonts w:hAnsi="宋体" w:cs="仿宋"/>
                <w:szCs w:val="21"/>
              </w:rPr>
            </w:pPr>
            <w:r>
              <w:rPr>
                <w:rFonts w:hint="eastAsia" w:hAnsi="宋体" w:cs="仿宋"/>
                <w:szCs w:val="21"/>
              </w:rPr>
              <w:t>病历接口</w:t>
            </w:r>
          </w:p>
        </w:tc>
        <w:tc>
          <w:tcPr>
            <w:tcW w:w="3991" w:type="pct"/>
          </w:tcPr>
          <w:p w14:paraId="0610FA02">
            <w:pPr>
              <w:spacing w:line="360" w:lineRule="auto"/>
              <w:jc w:val="left"/>
              <w:rPr>
                <w:rFonts w:hAnsi="宋体" w:cs="仿宋"/>
                <w:szCs w:val="21"/>
              </w:rPr>
            </w:pPr>
            <w:r>
              <w:rPr>
                <w:rFonts w:hint="eastAsia" w:hAnsi="宋体" w:cs="仿宋"/>
                <w:szCs w:val="21"/>
              </w:rPr>
              <w:t>门诊病历列表查询接口；门诊病历明细查询接口；</w:t>
            </w:r>
          </w:p>
        </w:tc>
      </w:tr>
      <w:tr w14:paraId="61339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2D9CF551">
            <w:pPr>
              <w:spacing w:line="360" w:lineRule="auto"/>
              <w:jc w:val="left"/>
              <w:rPr>
                <w:rFonts w:hAnsi="宋体" w:cs="仿宋"/>
                <w:szCs w:val="21"/>
              </w:rPr>
            </w:pPr>
            <w:r>
              <w:rPr>
                <w:rFonts w:hint="eastAsia" w:hAnsi="宋体" w:cs="仿宋"/>
                <w:szCs w:val="21"/>
              </w:rPr>
              <w:t>扫码付接口</w:t>
            </w:r>
          </w:p>
        </w:tc>
        <w:tc>
          <w:tcPr>
            <w:tcW w:w="3991" w:type="pct"/>
          </w:tcPr>
          <w:p w14:paraId="7F2ACE7D">
            <w:pPr>
              <w:spacing w:line="360" w:lineRule="auto"/>
              <w:jc w:val="left"/>
              <w:rPr>
                <w:rFonts w:hAnsi="宋体" w:cs="仿宋"/>
                <w:szCs w:val="21"/>
              </w:rPr>
            </w:pPr>
            <w:r>
              <w:rPr>
                <w:rFonts w:hint="eastAsia" w:hAnsi="宋体" w:cs="仿宋"/>
                <w:szCs w:val="21"/>
              </w:rPr>
              <w:t>扫码支付接口；交易查询接口；</w:t>
            </w:r>
          </w:p>
        </w:tc>
      </w:tr>
      <w:tr w14:paraId="7B254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7FA69F88">
            <w:pPr>
              <w:spacing w:line="360" w:lineRule="auto"/>
              <w:jc w:val="left"/>
              <w:rPr>
                <w:rFonts w:hAnsi="宋体" w:cs="仿宋"/>
                <w:szCs w:val="21"/>
              </w:rPr>
            </w:pPr>
            <w:r>
              <w:rPr>
                <w:rFonts w:hint="eastAsia" w:hAnsi="宋体" w:cs="仿宋"/>
                <w:szCs w:val="21"/>
              </w:rPr>
              <w:t>对账接口</w:t>
            </w:r>
          </w:p>
        </w:tc>
        <w:tc>
          <w:tcPr>
            <w:tcW w:w="3991" w:type="pct"/>
          </w:tcPr>
          <w:p w14:paraId="68887D03">
            <w:pPr>
              <w:spacing w:line="360" w:lineRule="auto"/>
              <w:jc w:val="left"/>
              <w:rPr>
                <w:rFonts w:hAnsi="宋体" w:cs="仿宋"/>
                <w:szCs w:val="21"/>
              </w:rPr>
            </w:pPr>
            <w:r>
              <w:rPr>
                <w:rFonts w:hint="eastAsia" w:hAnsi="宋体" w:cs="仿宋"/>
                <w:szCs w:val="21"/>
              </w:rPr>
              <w:t>账单上传或下载接口；退费接口；订单状态查询接口；</w:t>
            </w:r>
          </w:p>
        </w:tc>
      </w:tr>
      <w:tr w14:paraId="7BC52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0EC956CD">
            <w:pPr>
              <w:spacing w:line="360" w:lineRule="auto"/>
              <w:jc w:val="left"/>
              <w:rPr>
                <w:rFonts w:hAnsi="宋体" w:cs="仿宋"/>
                <w:szCs w:val="21"/>
              </w:rPr>
            </w:pPr>
            <w:bookmarkStart w:id="144" w:name="_Toc150537756"/>
            <w:r>
              <w:rPr>
                <w:rFonts w:hint="eastAsia" w:hAnsi="宋体" w:cs="仿宋"/>
                <w:szCs w:val="21"/>
              </w:rPr>
              <w:t>健康卡接口</w:t>
            </w:r>
          </w:p>
        </w:tc>
        <w:tc>
          <w:tcPr>
            <w:tcW w:w="3991" w:type="pct"/>
          </w:tcPr>
          <w:p w14:paraId="2B4CF05E">
            <w:pPr>
              <w:spacing w:line="360" w:lineRule="auto"/>
              <w:jc w:val="left"/>
              <w:rPr>
                <w:rFonts w:hAnsi="宋体" w:cs="仿宋"/>
                <w:szCs w:val="21"/>
              </w:rPr>
            </w:pPr>
            <w:r>
              <w:rPr>
                <w:rFonts w:hint="eastAsia" w:hAnsi="宋体" w:cs="仿宋"/>
                <w:szCs w:val="21"/>
              </w:rPr>
              <w:t>在线建卡接口；卡信息接口</w:t>
            </w:r>
          </w:p>
        </w:tc>
      </w:tr>
      <w:tr w14:paraId="4DD4F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62F171FA">
            <w:pPr>
              <w:spacing w:line="360" w:lineRule="auto"/>
              <w:jc w:val="left"/>
              <w:rPr>
                <w:rFonts w:hAnsi="宋体" w:cs="仿宋"/>
                <w:szCs w:val="21"/>
              </w:rPr>
            </w:pPr>
            <w:r>
              <w:rPr>
                <w:rFonts w:hint="eastAsia" w:hAnsi="宋体" w:cs="仿宋"/>
                <w:szCs w:val="21"/>
              </w:rPr>
              <w:t>线上复诊挂号接口</w:t>
            </w:r>
          </w:p>
        </w:tc>
        <w:tc>
          <w:tcPr>
            <w:tcW w:w="3991" w:type="pct"/>
          </w:tcPr>
          <w:p w14:paraId="431B8E65">
            <w:pPr>
              <w:spacing w:line="360" w:lineRule="auto"/>
              <w:jc w:val="left"/>
              <w:rPr>
                <w:rFonts w:hAnsi="宋体" w:cs="仿宋"/>
                <w:szCs w:val="21"/>
              </w:rPr>
            </w:pPr>
            <w:r>
              <w:rPr>
                <w:rFonts w:hint="eastAsia" w:hAnsi="宋体" w:cs="仿宋"/>
                <w:szCs w:val="21"/>
              </w:rPr>
              <w:t>创建线上挂号复诊挂号单接口；预约支付接口；取消预约接口；接诊接口；接诊通知接口；退号退款接口；</w:t>
            </w:r>
          </w:p>
        </w:tc>
      </w:tr>
      <w:tr w14:paraId="56E44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605FD561">
            <w:pPr>
              <w:spacing w:line="360" w:lineRule="auto"/>
              <w:jc w:val="left"/>
              <w:rPr>
                <w:rFonts w:hAnsi="宋体" w:cs="仿宋"/>
                <w:szCs w:val="21"/>
              </w:rPr>
            </w:pPr>
            <w:r>
              <w:rPr>
                <w:rFonts w:hint="eastAsia" w:hAnsi="宋体" w:cs="仿宋"/>
                <w:szCs w:val="21"/>
              </w:rPr>
              <w:t>线上开病历接口</w:t>
            </w:r>
          </w:p>
        </w:tc>
        <w:tc>
          <w:tcPr>
            <w:tcW w:w="3991" w:type="pct"/>
          </w:tcPr>
          <w:p w14:paraId="6E43AD4D">
            <w:pPr>
              <w:spacing w:line="360" w:lineRule="auto"/>
              <w:jc w:val="left"/>
              <w:rPr>
                <w:rFonts w:hAnsi="宋体" w:cs="仿宋"/>
                <w:szCs w:val="21"/>
              </w:rPr>
            </w:pPr>
            <w:r>
              <w:rPr>
                <w:rFonts w:hint="eastAsia" w:hAnsi="宋体" w:cs="仿宋"/>
                <w:szCs w:val="21"/>
              </w:rPr>
              <w:t>创建线上复诊病历接口；</w:t>
            </w:r>
          </w:p>
        </w:tc>
      </w:tr>
      <w:tr w14:paraId="27EDA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pct"/>
            <w:vAlign w:val="center"/>
          </w:tcPr>
          <w:p w14:paraId="5721AD16">
            <w:pPr>
              <w:spacing w:line="360" w:lineRule="auto"/>
              <w:jc w:val="left"/>
              <w:rPr>
                <w:rFonts w:hAnsi="宋体" w:cs="仿宋"/>
                <w:szCs w:val="21"/>
              </w:rPr>
            </w:pPr>
            <w:r>
              <w:rPr>
                <w:rFonts w:hint="eastAsia" w:hAnsi="宋体" w:cs="仿宋"/>
                <w:szCs w:val="21"/>
              </w:rPr>
              <w:t>线上开处方接口</w:t>
            </w:r>
          </w:p>
        </w:tc>
        <w:tc>
          <w:tcPr>
            <w:tcW w:w="3991" w:type="pct"/>
          </w:tcPr>
          <w:p w14:paraId="5A37AA12">
            <w:pPr>
              <w:spacing w:line="360" w:lineRule="auto"/>
              <w:jc w:val="left"/>
              <w:rPr>
                <w:rFonts w:hAnsi="宋体" w:cs="仿宋"/>
                <w:szCs w:val="21"/>
              </w:rPr>
            </w:pPr>
            <w:r>
              <w:rPr>
                <w:rFonts w:hint="eastAsia" w:hAnsi="宋体" w:cs="仿宋"/>
                <w:szCs w:val="21"/>
              </w:rPr>
              <w:t>获取可流转所有药品目录接口；查询药品库存接口；批量查询药品库存接口；处方合理用药检验接口；创建处方接口；获取处方详情接口；获取处方详情额外信息接口；处方状态修改接口；补充处方信息接口；发货结果通知接口；医院操作处方发药接口；全量查询处方药品价格接口；</w:t>
            </w:r>
          </w:p>
        </w:tc>
      </w:tr>
    </w:tbl>
    <w:p w14:paraId="791552B5">
      <w:pPr>
        <w:pStyle w:val="4"/>
        <w:numPr>
          <w:ilvl w:val="2"/>
          <w:numId w:val="3"/>
        </w:numPr>
        <w:spacing w:before="240" w:after="120"/>
        <w:rPr>
          <w:rFonts w:hAnsi="宋体" w:cs="宋体"/>
          <w:kern w:val="44"/>
          <w:sz w:val="21"/>
          <w:szCs w:val="21"/>
        </w:rPr>
      </w:pPr>
      <w:r>
        <w:rPr>
          <w:rFonts w:hAnsi="宋体" w:cs="宋体"/>
          <w:kern w:val="44"/>
          <w:sz w:val="21"/>
          <w:szCs w:val="21"/>
        </w:rPr>
        <w:t>对接电子签名</w:t>
      </w:r>
      <w:bookmarkEnd w:id="144"/>
    </w:p>
    <w:p w14:paraId="4B79A9B5">
      <w:pPr>
        <w:spacing w:line="360" w:lineRule="auto"/>
        <w:ind w:firstLine="480"/>
        <w:rPr>
          <w:rFonts w:hAnsi="宋体" w:cs="仿宋"/>
          <w:szCs w:val="21"/>
        </w:rPr>
      </w:pPr>
      <w:r>
        <w:rPr>
          <w:rFonts w:hint="eastAsia" w:hAnsi="宋体" w:cs="仿宋"/>
          <w:szCs w:val="21"/>
        </w:rPr>
        <w:t>电子签名的场景主要有针对互联网医疗系统的医师用户、药师用户，具体内容如下：</w:t>
      </w:r>
    </w:p>
    <w:p w14:paraId="3DAD441D">
      <w:pPr>
        <w:spacing w:line="360" w:lineRule="auto"/>
        <w:ind w:firstLine="480"/>
        <w:rPr>
          <w:rFonts w:hAnsi="宋体" w:cs="仿宋"/>
          <w:szCs w:val="21"/>
        </w:rPr>
      </w:pPr>
      <w:r>
        <w:rPr>
          <w:rFonts w:hint="eastAsia" w:hAnsi="宋体" w:cs="仿宋"/>
          <w:szCs w:val="21"/>
        </w:rPr>
        <w:t>（1）身份鉴别：实现网上医师用户的身份验证，进行基于数字证书的安全标识，在信息系统业务处理过程中实现身份安全认证和可靠电子签名。</w:t>
      </w:r>
    </w:p>
    <w:p w14:paraId="3E5FC4B6">
      <w:pPr>
        <w:spacing w:line="360" w:lineRule="auto"/>
        <w:ind w:firstLine="480"/>
        <w:rPr>
          <w:rFonts w:hAnsi="宋体" w:cs="仿宋"/>
          <w:szCs w:val="21"/>
        </w:rPr>
      </w:pPr>
      <w:r>
        <w:rPr>
          <w:rFonts w:hint="eastAsia" w:hAnsi="宋体" w:cs="仿宋"/>
          <w:szCs w:val="21"/>
        </w:rPr>
        <w:t>（2）电子病历（处方）的完整性保护和权威性保护：利用电子签名及电子签章服务，医师和患者通过手机证书对电子病历进行电子及手写签名，并加入可信时间戳，确保电子病历的真实性、合法性，并可做到事后可追溯。</w:t>
      </w:r>
    </w:p>
    <w:p w14:paraId="52E17E07">
      <w:pPr>
        <w:spacing w:line="360" w:lineRule="auto"/>
        <w:ind w:firstLine="480"/>
        <w:rPr>
          <w:rFonts w:hAnsi="宋体" w:cs="仿宋"/>
          <w:szCs w:val="21"/>
        </w:rPr>
      </w:pPr>
      <w:r>
        <w:rPr>
          <w:rFonts w:hint="eastAsia" w:hAnsi="宋体" w:cs="仿宋"/>
          <w:szCs w:val="21"/>
        </w:rPr>
        <w:t>（3）提高在线服务质量：面相第三方应用提供医师的强身份认证服务和医师信息授权实名注册服务，医师可在线一键登录服务平台。</w:t>
      </w:r>
    </w:p>
    <w:p w14:paraId="53B87D0A">
      <w:pPr>
        <w:pStyle w:val="4"/>
        <w:numPr>
          <w:ilvl w:val="2"/>
          <w:numId w:val="3"/>
        </w:numPr>
        <w:spacing w:before="240" w:after="120"/>
        <w:rPr>
          <w:rFonts w:hAnsi="宋体" w:cs="宋体"/>
          <w:kern w:val="44"/>
          <w:sz w:val="21"/>
          <w:szCs w:val="21"/>
        </w:rPr>
      </w:pPr>
      <w:bookmarkStart w:id="145" w:name="_Toc150537757"/>
      <w:r>
        <w:rPr>
          <w:rFonts w:hAnsi="宋体" w:cs="宋体"/>
          <w:kern w:val="44"/>
          <w:sz w:val="21"/>
          <w:szCs w:val="21"/>
        </w:rPr>
        <w:t>对接浙江省互联网医院监管平台</w:t>
      </w:r>
      <w:bookmarkEnd w:id="145"/>
    </w:p>
    <w:p w14:paraId="1E6A227D">
      <w:pPr>
        <w:spacing w:line="360" w:lineRule="auto"/>
        <w:ind w:firstLine="480"/>
        <w:rPr>
          <w:rFonts w:hAnsi="宋体" w:cs="仿宋"/>
          <w:szCs w:val="21"/>
        </w:rPr>
      </w:pPr>
      <w:r>
        <w:rPr>
          <w:rFonts w:hint="eastAsia" w:hAnsi="宋体" w:cs="仿宋"/>
          <w:szCs w:val="21"/>
        </w:rPr>
        <w:t>近几年，互联网医院建设如火如荼。为了推进互联网医院的健康发展运营，确保互联网医院的诊疗安全，如处方流转安全、用药安全等，各省卫生健康委需要一个平台对本省内开展的互联网医院及互联网诊疗行为进行全方位的监管，省级互联网医疗监管平台应运而生。</w:t>
      </w:r>
    </w:p>
    <w:p w14:paraId="63F64D5E">
      <w:pPr>
        <w:spacing w:line="360" w:lineRule="auto"/>
        <w:ind w:firstLine="480"/>
        <w:rPr>
          <w:rFonts w:hAnsi="宋体" w:cs="仿宋"/>
          <w:szCs w:val="21"/>
        </w:rPr>
      </w:pPr>
      <w:r>
        <w:rPr>
          <w:rFonts w:hint="eastAsia" w:hAnsi="宋体" w:cs="仿宋"/>
          <w:szCs w:val="21"/>
        </w:rPr>
        <w:t>互联网医疗监管平台是对医疗、医药等方面的互联网医院业务进行监管，通过事前提醒、事中控制、事后追溯实现全过程监管，做到可查询、可追溯，同时保证访问、处理数据行为的可控、可管，确保对医疗机构的数据安全提供保障，确保患者的就医安全。</w:t>
      </w:r>
    </w:p>
    <w:p w14:paraId="59208B35">
      <w:pPr>
        <w:spacing w:line="360" w:lineRule="auto"/>
        <w:ind w:firstLine="480"/>
        <w:rPr>
          <w:rFonts w:hAnsi="宋体" w:cs="仿宋"/>
          <w:szCs w:val="21"/>
        </w:rPr>
      </w:pPr>
      <w:r>
        <w:rPr>
          <w:rFonts w:hint="eastAsia" w:hAnsi="宋体" w:cs="仿宋"/>
          <w:szCs w:val="21"/>
        </w:rPr>
        <w:t>根据《互联网医院管理办法（试行）》的内容，互联网医疗监管平台的要求可以体现在两方面：第一是事前监管要求：实施互联网医院准入前，省级卫生健康行政部门应当建立省级互联网医疗服务监管平台，与互联网医院信息平台对接，实现实时监管；第二是事中监管要求，包括以下几点：一是医疗机构确保互联网诊疗活动全部流程可追溯。二是重点监管互联网医院的人员、处方、诊疗行为、患者隐私保护和信息安全等内容。三是将互联网医院纳入当地医疗质量控制体系，相关服务纳入行政部门对实体医疗机构的绩效考核和医疗机构评审。四是地方卫生健康行政部门执行属地化管理，向社会公布允许开展互联网诊疗活动的医疗机构名单、监督电话等。</w:t>
      </w:r>
    </w:p>
    <w:p w14:paraId="00F20E49">
      <w:pPr>
        <w:spacing w:line="360" w:lineRule="auto"/>
        <w:ind w:firstLine="480"/>
        <w:rPr>
          <w:rFonts w:hAnsi="宋体" w:cs="仿宋"/>
          <w:szCs w:val="21"/>
        </w:rPr>
      </w:pPr>
      <w:r>
        <w:rPr>
          <w:rFonts w:hint="eastAsia" w:hAnsi="宋体" w:cs="仿宋"/>
          <w:szCs w:val="21"/>
        </w:rPr>
        <w:t>根据《互联网医院管理办法（试行）》的要求，互联网医院准入前必须要接入省互联网医疗监管平台，自觉接受监管。与省级互联网医疗监管平台对接是互联网医院上线的必要前提，只有在省级监管平台注册，备案通过，完成数据对接测试，被认定合法、合规后，方可展开互联网医院的运营。</w:t>
      </w:r>
    </w:p>
    <w:p w14:paraId="76B4371C">
      <w:pPr>
        <w:spacing w:line="360" w:lineRule="auto"/>
        <w:ind w:firstLine="480"/>
        <w:rPr>
          <w:rFonts w:hAnsi="宋体" w:cs="仿宋"/>
          <w:szCs w:val="21"/>
        </w:rPr>
      </w:pPr>
      <w:r>
        <w:rPr>
          <w:rFonts w:hint="eastAsia" w:hAnsi="宋体" w:cs="仿宋"/>
          <w:szCs w:val="21"/>
        </w:rPr>
        <w:t>互联网医疗数据庞大，互联网医院又以互联网为基础，其诊疗过程中的诊疗行为、诊疗数据、用药信息等如果得不到信息安全保障，会对互联网医院主体及患者造成不可预计的损失。省级互联网医疗监管服务平台通过与互联网医院的数据对接，可以对互联网医院进行全程实时监管。互联网医院的诊疗科目、医院资质、医护人员资质等均经过相关部门许可，确保在线服务医疗机构和医务人员的合法合规，让患者放心、安心就诊。</w:t>
      </w:r>
    </w:p>
    <w:p w14:paraId="6C2E016A">
      <w:pPr>
        <w:pStyle w:val="4"/>
        <w:numPr>
          <w:ilvl w:val="2"/>
          <w:numId w:val="3"/>
        </w:numPr>
        <w:spacing w:before="240" w:after="120"/>
        <w:rPr>
          <w:rFonts w:hAnsi="宋体" w:cs="宋体"/>
          <w:kern w:val="44"/>
          <w:sz w:val="21"/>
          <w:szCs w:val="21"/>
        </w:rPr>
      </w:pPr>
      <w:bookmarkStart w:id="146" w:name="_Toc150537758"/>
      <w:r>
        <w:rPr>
          <w:rFonts w:hAnsi="宋体" w:cs="宋体"/>
          <w:kern w:val="44"/>
          <w:sz w:val="21"/>
          <w:szCs w:val="21"/>
        </w:rPr>
        <w:t>对接浙江中药在线平台</w:t>
      </w:r>
      <w:bookmarkEnd w:id="146"/>
    </w:p>
    <w:p w14:paraId="05E69229">
      <w:pPr>
        <w:spacing w:line="360" w:lineRule="auto"/>
        <w:ind w:firstLine="480"/>
        <w:rPr>
          <w:rFonts w:hAnsi="宋体" w:cs="仿宋"/>
          <w:szCs w:val="21"/>
        </w:rPr>
      </w:pPr>
      <w:r>
        <w:rPr>
          <w:rFonts w:hint="eastAsia" w:hAnsi="宋体" w:cs="仿宋"/>
          <w:szCs w:val="21"/>
        </w:rPr>
        <w:t>“浙江中药在线平台”是“中医处方一件事”改革的重要建设内容，在前期杭州市“放心云煎药”的基础上，对中药服务全流程进行追溯，建立全省统一规范的中药服务监管体系，打造透明阳光的服务流程，优化提升中药服务质量，有望更好地满足老百姓对高质量中医药服务的需求。</w:t>
      </w:r>
    </w:p>
    <w:p w14:paraId="316C5244">
      <w:pPr>
        <w:spacing w:line="360" w:lineRule="auto"/>
        <w:ind w:firstLine="480"/>
        <w:rPr>
          <w:rFonts w:hAnsi="宋体" w:cs="仿宋"/>
          <w:szCs w:val="21"/>
        </w:rPr>
      </w:pPr>
      <w:r>
        <w:rPr>
          <w:rFonts w:hint="eastAsia" w:hAnsi="宋体" w:cs="仿宋"/>
          <w:szCs w:val="21"/>
        </w:rPr>
        <w:t>智慧共享中药房服务平台对接浙江中药在线平台后，预计实现以下几个功能。</w:t>
      </w:r>
    </w:p>
    <w:p w14:paraId="032C82C0">
      <w:pPr>
        <w:spacing w:line="360" w:lineRule="auto"/>
        <w:ind w:firstLine="480"/>
        <w:rPr>
          <w:rFonts w:hAnsi="宋体" w:cs="仿宋"/>
          <w:szCs w:val="21"/>
        </w:rPr>
      </w:pPr>
      <w:r>
        <w:rPr>
          <w:rFonts w:hint="eastAsia" w:hAnsi="宋体" w:cs="仿宋"/>
          <w:szCs w:val="21"/>
        </w:rPr>
        <w:t>一、中药服务信息全流程透明。据了解，目前不少患者对医疗机构代煎的中药仍存在许多疑虑，比如“中药浸泡时间、煎煮时间是否充分”“是否缺药少药”“中药什么时候送到”等等问题。实现将代煎流程、物流追踪、饮片明细、用药交代等各个环节全透明可视化，并及时推送到患者手机端。</w:t>
      </w:r>
    </w:p>
    <w:p w14:paraId="13EFDE84">
      <w:pPr>
        <w:spacing w:line="360" w:lineRule="auto"/>
        <w:ind w:firstLine="480"/>
        <w:rPr>
          <w:rFonts w:hAnsi="宋体" w:cs="仿宋"/>
          <w:szCs w:val="21"/>
        </w:rPr>
      </w:pPr>
      <w:r>
        <w:rPr>
          <w:rFonts w:hint="eastAsia" w:hAnsi="宋体" w:cs="仿宋"/>
          <w:szCs w:val="21"/>
        </w:rPr>
        <w:t>二、中药疗效品质更加保障。以往由于担心代煎质量的各种问题，许多老百姓总会选择自己回家煎药，既费时又费力。“浙江中药在线平台”有效解决这一难题，以统一的高标准高要求，促使中药处方审核、中药调配、中药代煎、中药配送等各环节规范化，同时能够对中药煎煮的温度、时间、火候等参数以及出现的煎煮问题进行模型的训练，自动检测和识别中药饮片在煎煮环节中可能存在的问题和缺陷，确保中药饮片的质量符合标准，为中药疗效提供有力保障，让患者安心又省力。</w:t>
      </w:r>
    </w:p>
    <w:p w14:paraId="5ED0DDC5">
      <w:pPr>
        <w:spacing w:line="360" w:lineRule="auto"/>
        <w:ind w:firstLine="480"/>
        <w:rPr>
          <w:rFonts w:hAnsi="宋体" w:cs="仿宋"/>
          <w:szCs w:val="21"/>
        </w:rPr>
      </w:pPr>
      <w:r>
        <w:rPr>
          <w:rFonts w:hint="eastAsia" w:hAnsi="宋体" w:cs="仿宋"/>
          <w:szCs w:val="21"/>
        </w:rPr>
        <w:t>三、中药代煎服务更加便捷。建立统一的移动端查询入口，患者可轻松获取中药储存方法、用法用量、用药禁忌等专业的个性化用药指导，在线进行疗效反馈和用药点评，化解了以往的诸多不便，让中药代煎服务更贴心、更便捷。</w:t>
      </w:r>
    </w:p>
    <w:p w14:paraId="5597189B">
      <w:pPr>
        <w:spacing w:line="360" w:lineRule="auto"/>
        <w:ind w:firstLine="480"/>
        <w:rPr>
          <w:rFonts w:hAnsi="宋体" w:cs="仿宋"/>
          <w:szCs w:val="21"/>
        </w:rPr>
      </w:pPr>
      <w:r>
        <w:rPr>
          <w:rFonts w:hint="eastAsia" w:hAnsi="宋体" w:cs="仿宋"/>
          <w:szCs w:val="21"/>
        </w:rPr>
        <w:t>四、全省统一平台更加高效。“浙江中药服务在线”将改变以往医疗机构之间各自管理、分散的局面，通过建立省市级平台，实现各方在同一平台上数据传输、数据查看、数据共享。同时通过平台在线实时监管中药服务状态，实现对关键质量事件的干预和预警功能，提升医疗机构中药服务事前治理能力。</w:t>
      </w:r>
    </w:p>
    <w:p w14:paraId="1B3E84D2">
      <w:pPr>
        <w:pStyle w:val="4"/>
        <w:numPr>
          <w:ilvl w:val="2"/>
          <w:numId w:val="3"/>
        </w:numPr>
        <w:spacing w:before="240" w:after="120"/>
        <w:rPr>
          <w:rFonts w:hAnsi="宋体" w:cs="宋体"/>
          <w:kern w:val="44"/>
          <w:sz w:val="21"/>
          <w:szCs w:val="21"/>
        </w:rPr>
      </w:pPr>
      <w:bookmarkStart w:id="147" w:name="_Toc150537759"/>
      <w:r>
        <w:rPr>
          <w:rFonts w:hAnsi="宋体" w:cs="宋体"/>
          <w:kern w:val="44"/>
          <w:sz w:val="21"/>
          <w:szCs w:val="21"/>
        </w:rPr>
        <w:t>互联网＋中医健康平台对接健康金华</w:t>
      </w:r>
      <w:bookmarkEnd w:id="147"/>
    </w:p>
    <w:p w14:paraId="4DF9F0AB">
      <w:pPr>
        <w:spacing w:line="360" w:lineRule="auto"/>
        <w:ind w:firstLine="480"/>
        <w:rPr>
          <w:rFonts w:hAnsi="宋体" w:cs="仿宋"/>
          <w:szCs w:val="21"/>
        </w:rPr>
      </w:pPr>
      <w:r>
        <w:rPr>
          <w:rFonts w:hint="eastAsia" w:hAnsi="宋体" w:cs="仿宋"/>
          <w:szCs w:val="21"/>
        </w:rPr>
        <w:t>本项目建设的互联网＋中医健康服务平台，需需按标准向“健康金华”提供接口，实现数据互联互通。</w:t>
      </w:r>
    </w:p>
    <w:p w14:paraId="3074B029">
      <w:pPr>
        <w:pStyle w:val="4"/>
        <w:numPr>
          <w:ilvl w:val="2"/>
          <w:numId w:val="3"/>
        </w:numPr>
        <w:spacing w:before="240" w:after="120"/>
        <w:rPr>
          <w:rFonts w:hAnsi="宋体" w:cs="宋体"/>
          <w:kern w:val="44"/>
          <w:sz w:val="21"/>
          <w:szCs w:val="21"/>
        </w:rPr>
      </w:pPr>
      <w:bookmarkStart w:id="148" w:name="_Toc150537760"/>
      <w:r>
        <w:rPr>
          <w:rFonts w:hAnsi="宋体" w:cs="宋体"/>
          <w:kern w:val="44"/>
          <w:sz w:val="21"/>
          <w:szCs w:val="21"/>
        </w:rPr>
        <w:t>互联网＋中医健康平台对接健康磐安</w:t>
      </w:r>
      <w:bookmarkEnd w:id="148"/>
    </w:p>
    <w:p w14:paraId="62DB6EA7">
      <w:pPr>
        <w:spacing w:line="360" w:lineRule="auto"/>
        <w:ind w:firstLine="480"/>
        <w:rPr>
          <w:rFonts w:hAnsi="宋体" w:cs="仿宋"/>
          <w:szCs w:val="21"/>
        </w:rPr>
      </w:pPr>
      <w:r>
        <w:rPr>
          <w:rFonts w:hint="eastAsia" w:hAnsi="宋体" w:cs="仿宋"/>
          <w:szCs w:val="21"/>
        </w:rPr>
        <w:t>本项目建设的互联网＋中医健康服务平台，需需按标准向“健康磐安”提供接口，实现数据互联互通。</w:t>
      </w:r>
    </w:p>
    <w:p w14:paraId="6C814661">
      <w:pPr>
        <w:pStyle w:val="3"/>
        <w:numPr>
          <w:ilvl w:val="1"/>
          <w:numId w:val="3"/>
        </w:numPr>
        <w:spacing w:before="0" w:after="0" w:line="360" w:lineRule="auto"/>
        <w:jc w:val="left"/>
        <w:rPr>
          <w:rFonts w:ascii="宋体" w:hAnsi="宋体" w:cs="宋体"/>
          <w:sz w:val="21"/>
          <w:szCs w:val="21"/>
        </w:rPr>
      </w:pPr>
      <w:bookmarkStart w:id="149" w:name="_Toc150537761"/>
      <w:r>
        <w:rPr>
          <w:rFonts w:hint="eastAsia" w:ascii="宋体" w:hAnsi="宋体" w:cs="宋体"/>
          <w:sz w:val="21"/>
          <w:szCs w:val="21"/>
        </w:rPr>
        <w:t>网络安全服务</w:t>
      </w:r>
      <w:bookmarkEnd w:id="149"/>
    </w:p>
    <w:p w14:paraId="33EB99ED">
      <w:pPr>
        <w:pStyle w:val="4"/>
        <w:numPr>
          <w:ilvl w:val="2"/>
          <w:numId w:val="3"/>
        </w:numPr>
        <w:spacing w:before="240" w:after="120"/>
        <w:rPr>
          <w:rFonts w:hAnsi="宋体" w:cs="宋体"/>
          <w:kern w:val="44"/>
          <w:sz w:val="21"/>
          <w:szCs w:val="21"/>
        </w:rPr>
      </w:pPr>
      <w:bookmarkStart w:id="150" w:name="_Toc150537762"/>
      <w:r>
        <w:rPr>
          <w:rFonts w:hint="eastAsia" w:hAnsi="宋体" w:cs="宋体"/>
          <w:u w:val="single"/>
        </w:rPr>
        <w:t>★</w:t>
      </w:r>
      <w:r>
        <w:rPr>
          <w:rFonts w:hAnsi="宋体" w:cs="宋体"/>
          <w:kern w:val="44"/>
          <w:sz w:val="21"/>
          <w:szCs w:val="21"/>
        </w:rPr>
        <w:t>安全中间件</w:t>
      </w:r>
      <w:bookmarkEnd w:id="150"/>
    </w:p>
    <w:p w14:paraId="57DDA465">
      <w:pPr>
        <w:spacing w:line="360" w:lineRule="auto"/>
        <w:ind w:firstLine="480"/>
        <w:rPr>
          <w:rFonts w:hAnsi="宋体" w:cs="仿宋"/>
          <w:szCs w:val="21"/>
        </w:rPr>
      </w:pPr>
      <w:r>
        <w:rPr>
          <w:rFonts w:hint="eastAsia" w:hAnsi="宋体" w:cs="仿宋"/>
          <w:color w:val="000000"/>
          <w:szCs w:val="21"/>
        </w:rPr>
        <w:t>本项目要求使用国产自主开发的中间件，实现基于中医互联网应用的医疗数据安全，实现数据持久性、Web 服务、高可用性、集群与双机热备、消息传输与路由和跨平台支持。</w:t>
      </w:r>
      <w:r>
        <w:rPr>
          <w:rFonts w:hint="eastAsia" w:hAnsi="宋体" w:cs="仿宋"/>
          <w:szCs w:val="21"/>
        </w:rPr>
        <w:t>包括支持PC客户端、WEB端与移动平台等主流平台。</w:t>
      </w:r>
    </w:p>
    <w:p w14:paraId="48402CDA">
      <w:pPr>
        <w:spacing w:line="360" w:lineRule="auto"/>
        <w:ind w:firstLine="480"/>
        <w:rPr>
          <w:rFonts w:hAnsi="宋体" w:cs="仿宋"/>
          <w:color w:val="000000"/>
          <w:szCs w:val="21"/>
        </w:rPr>
      </w:pPr>
      <w:r>
        <w:rPr>
          <w:rFonts w:hint="eastAsia" w:hAnsi="宋体" w:cs="仿宋"/>
          <w:szCs w:val="21"/>
        </w:rPr>
        <w:t>系统需采用国产自主研发的中间件应用服务器技术来提供安全保障，采用的中间件产品具备提供访问控制功能，实现等保三员功能，制定系统管理员、安全保密管理员和安全审计员，负责系统的管理、审计工作。同时该中间件服务器提供数据持久性、Web 服务、高可用性、集群与双机热备、消息传输与路由和跨平台支持等能力，为用户提供了一个安全部署海量数据关键应用的强健环境。</w:t>
      </w:r>
    </w:p>
    <w:p w14:paraId="2688DD34">
      <w:pPr>
        <w:spacing w:line="360" w:lineRule="auto"/>
        <w:ind w:firstLine="480"/>
        <w:rPr>
          <w:rFonts w:hAnsi="宋体" w:cs="仿宋"/>
          <w:szCs w:val="21"/>
        </w:rPr>
      </w:pPr>
      <w:r>
        <w:rPr>
          <w:rFonts w:hint="eastAsia" w:hAnsi="宋体" w:cs="仿宋"/>
          <w:szCs w:val="21"/>
        </w:rPr>
        <w:t>中间件产品能够提供基于Java语言自主实现国密SM2、SM3、SM4，实现基于国密算法的SSL协议支持。</w:t>
      </w:r>
    </w:p>
    <w:p w14:paraId="0F2D97B5">
      <w:pPr>
        <w:pStyle w:val="4"/>
        <w:numPr>
          <w:ilvl w:val="2"/>
          <w:numId w:val="3"/>
        </w:numPr>
        <w:spacing w:before="240" w:after="120"/>
        <w:rPr>
          <w:rFonts w:hAnsi="宋体" w:cs="宋体"/>
          <w:kern w:val="44"/>
          <w:sz w:val="21"/>
          <w:szCs w:val="21"/>
        </w:rPr>
      </w:pPr>
      <w:bookmarkStart w:id="151" w:name="_Toc150537763"/>
      <w:r>
        <w:rPr>
          <w:rFonts w:hAnsi="宋体" w:cs="宋体"/>
          <w:kern w:val="44"/>
          <w:sz w:val="21"/>
          <w:szCs w:val="21"/>
        </w:rPr>
        <w:t>三级信息安全等级保护服务</w:t>
      </w:r>
      <w:bookmarkEnd w:id="151"/>
    </w:p>
    <w:p w14:paraId="2F3B7CD9">
      <w:pPr>
        <w:spacing w:line="360" w:lineRule="auto"/>
        <w:ind w:firstLine="512"/>
        <w:rPr>
          <w:rFonts w:hAnsi="宋体" w:cs="仿宋"/>
          <w:spacing w:val="8"/>
          <w:szCs w:val="21"/>
          <w:shd w:val="clear" w:color="auto" w:fill="FFFFFF"/>
        </w:rPr>
      </w:pPr>
      <w:r>
        <w:rPr>
          <w:rFonts w:hint="eastAsia" w:hAnsi="宋体" w:cs="仿宋"/>
          <w:spacing w:val="8"/>
          <w:szCs w:val="21"/>
          <w:shd w:val="clear" w:color="auto" w:fill="FFFFFF"/>
        </w:rPr>
        <w:t>2018年7月国家卫生健康委员会、国家中医药管理局印发的《互联网医院管理办法(试行)》提出“互联网医院信息系统按照国家有关法律法规和规定，实施第三级信息安全等级保护。</w:t>
      </w:r>
    </w:p>
    <w:p w14:paraId="1A117101">
      <w:pPr>
        <w:widowControl/>
        <w:spacing w:line="360" w:lineRule="auto"/>
        <w:jc w:val="left"/>
        <w:rPr>
          <w:rFonts w:hAnsi="宋体" w:cs="仿宋"/>
          <w:szCs w:val="21"/>
        </w:rPr>
      </w:pPr>
      <w:r>
        <w:rPr>
          <w:rFonts w:hint="eastAsia" w:hAnsi="宋体" w:cs="仿宋"/>
          <w:szCs w:val="21"/>
        </w:rPr>
        <w:t>依据《网络安全等级保护制度》相关要求，要想获得三级等保认证，互联网医院需要按照以下流程落实等级保护工作：定级、备案、安全建设、等级测评、监督检查。</w:t>
      </w:r>
    </w:p>
    <w:p w14:paraId="2ADA091B">
      <w:pPr>
        <w:widowControl/>
        <w:spacing w:line="360" w:lineRule="auto"/>
        <w:ind w:firstLine="480"/>
        <w:jc w:val="left"/>
        <w:rPr>
          <w:rFonts w:hAnsi="宋体" w:cs="仿宋"/>
          <w:szCs w:val="21"/>
        </w:rPr>
      </w:pPr>
      <w:r>
        <w:rPr>
          <w:rFonts w:hint="eastAsia" w:hAnsi="宋体" w:cs="仿宋"/>
          <w:szCs w:val="21"/>
        </w:rPr>
        <w:t>①定级：确认定级对象，参考《网络安全等级保护定级指南》等初步确认等级，组织专家评审，主管单位审核，公安机关备案审查。</w:t>
      </w:r>
    </w:p>
    <w:p w14:paraId="67DDAB53">
      <w:pPr>
        <w:widowControl/>
        <w:spacing w:line="360" w:lineRule="auto"/>
        <w:ind w:firstLine="480"/>
        <w:jc w:val="left"/>
        <w:rPr>
          <w:rFonts w:hAnsi="宋体" w:cs="仿宋"/>
          <w:szCs w:val="21"/>
        </w:rPr>
      </w:pPr>
      <w:r>
        <w:rPr>
          <w:rFonts w:hint="eastAsia" w:hAnsi="宋体" w:cs="仿宋"/>
          <w:szCs w:val="21"/>
        </w:rPr>
        <w:t>②备案：携带定级报告和备案表等材料到当地公安部门进行备案。</w:t>
      </w:r>
    </w:p>
    <w:p w14:paraId="463B693B">
      <w:pPr>
        <w:widowControl/>
        <w:spacing w:line="360" w:lineRule="auto"/>
        <w:ind w:firstLine="480"/>
        <w:jc w:val="left"/>
        <w:rPr>
          <w:rFonts w:hAnsi="宋体" w:cs="仿宋"/>
          <w:szCs w:val="21"/>
        </w:rPr>
      </w:pPr>
      <w:r>
        <w:rPr>
          <w:rFonts w:hint="eastAsia" w:hAnsi="宋体" w:cs="仿宋"/>
          <w:szCs w:val="21"/>
        </w:rPr>
        <w:t>③安全建设：以《网络等级保护基本要求》中对应等保三级的要求为标准，对定级对象当前不满足要求的进行建设整改。</w:t>
      </w:r>
    </w:p>
    <w:p w14:paraId="4DC1086B">
      <w:pPr>
        <w:widowControl/>
        <w:spacing w:line="360" w:lineRule="auto"/>
        <w:ind w:firstLine="480"/>
        <w:jc w:val="left"/>
        <w:rPr>
          <w:rFonts w:hAnsi="宋体" w:cs="仿宋"/>
          <w:szCs w:val="21"/>
        </w:rPr>
      </w:pPr>
      <w:r>
        <w:rPr>
          <w:rFonts w:hint="eastAsia" w:hAnsi="宋体" w:cs="仿宋"/>
          <w:szCs w:val="21"/>
        </w:rPr>
        <w:t>④等级测评：委托具备测评资质的测评机构对定级对象进行等级测评，形成正式的测评报告。</w:t>
      </w:r>
    </w:p>
    <w:p w14:paraId="178797E9">
      <w:pPr>
        <w:widowControl/>
        <w:spacing w:line="360" w:lineRule="auto"/>
        <w:ind w:firstLine="480"/>
        <w:jc w:val="left"/>
        <w:rPr>
          <w:rFonts w:hAnsi="宋体" w:cs="仿宋"/>
          <w:szCs w:val="21"/>
        </w:rPr>
      </w:pPr>
      <w:r>
        <w:rPr>
          <w:rFonts w:hint="eastAsia" w:hAnsi="宋体" w:cs="仿宋"/>
          <w:szCs w:val="21"/>
        </w:rPr>
        <w:t>⑤监督检查：向当地公安部门提交测评报告，配合完成对网络安全等级保护实施情况的检查。</w:t>
      </w:r>
    </w:p>
    <w:p w14:paraId="49E3B54F">
      <w:pPr>
        <w:spacing w:line="360" w:lineRule="auto"/>
        <w:ind w:firstLine="512"/>
        <w:rPr>
          <w:rFonts w:hint="eastAsia" w:hAnsi="宋体" w:cs="仿宋"/>
          <w:spacing w:val="8"/>
          <w:szCs w:val="21"/>
          <w:highlight w:val="none"/>
          <w:shd w:val="clear" w:color="auto" w:fill="FFFFFF"/>
          <w:lang w:val="en-US" w:eastAsia="zh-CN"/>
        </w:rPr>
      </w:pPr>
      <w:r>
        <w:rPr>
          <w:rFonts w:hint="eastAsia" w:hAnsi="宋体" w:cs="仿宋"/>
          <w:spacing w:val="8"/>
          <w:szCs w:val="21"/>
          <w:highlight w:val="none"/>
          <w:shd w:val="clear" w:color="auto" w:fill="FFFFFF"/>
          <w:lang w:val="en-US" w:eastAsia="zh-CN"/>
        </w:rPr>
        <w:t>★本项目建设需满足政策和法律要求，更重要的是借此机会提升互联网医院的重要信息系统和设备的网络安全防护能力，软件需具备三级等保证书。</w:t>
      </w:r>
    </w:p>
    <w:p w14:paraId="4272C52B">
      <w:pPr>
        <w:pStyle w:val="3"/>
        <w:numPr>
          <w:ilvl w:val="1"/>
          <w:numId w:val="3"/>
        </w:numPr>
        <w:spacing w:before="0" w:after="0" w:line="360" w:lineRule="auto"/>
        <w:jc w:val="left"/>
        <w:rPr>
          <w:rFonts w:ascii="宋体" w:hAnsi="宋体" w:cs="宋体"/>
          <w:sz w:val="21"/>
          <w:szCs w:val="21"/>
        </w:rPr>
      </w:pPr>
      <w:bookmarkStart w:id="152" w:name="_Toc150537764"/>
      <w:r>
        <w:rPr>
          <w:rFonts w:hint="eastAsia" w:ascii="宋体" w:hAnsi="宋体" w:cs="宋体"/>
          <w:sz w:val="21"/>
          <w:szCs w:val="21"/>
        </w:rPr>
        <w:t>互联网运营服务</w:t>
      </w:r>
      <w:bookmarkEnd w:id="152"/>
    </w:p>
    <w:p w14:paraId="372896D1">
      <w:pPr>
        <w:widowControl/>
        <w:spacing w:line="360" w:lineRule="auto"/>
        <w:ind w:firstLine="512"/>
        <w:jc w:val="left"/>
        <w:rPr>
          <w:rFonts w:hAnsi="宋体" w:cs="仿宋"/>
          <w:spacing w:val="8"/>
          <w:szCs w:val="21"/>
          <w:shd w:val="clear" w:color="auto" w:fill="FFFFFF"/>
        </w:rPr>
      </w:pPr>
      <w:r>
        <w:rPr>
          <w:rFonts w:hint="eastAsia" w:hAnsi="宋体" w:cs="仿宋"/>
          <w:spacing w:val="8"/>
          <w:szCs w:val="21"/>
          <w:shd w:val="clear" w:color="auto" w:fill="FFFFFF"/>
        </w:rPr>
        <w:t>对于互联网医院的建设来说，产品是基础，运营是关键。在完成互联网医院牌照申请及互联网诊疗功能的调试上线后，互联网医院建设也将进入新的运营阶段。</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7"/>
        <w:gridCol w:w="6899"/>
        <w:gridCol w:w="913"/>
      </w:tblGrid>
      <w:tr w14:paraId="065F1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7" w:type="dxa"/>
            <w:shd w:val="clear" w:color="auto" w:fill="DEEAF6"/>
            <w:vAlign w:val="center"/>
          </w:tcPr>
          <w:p w14:paraId="4A1EE294">
            <w:pPr>
              <w:spacing w:line="360" w:lineRule="auto"/>
              <w:jc w:val="center"/>
              <w:rPr>
                <w:rFonts w:hAnsi="宋体" w:cs="仿宋"/>
                <w:b/>
                <w:bCs/>
                <w:szCs w:val="21"/>
              </w:rPr>
            </w:pPr>
            <w:r>
              <w:rPr>
                <w:rFonts w:hint="eastAsia" w:hAnsi="宋体" w:cs="仿宋"/>
                <w:b/>
                <w:bCs/>
                <w:szCs w:val="21"/>
              </w:rPr>
              <w:t>模块</w:t>
            </w:r>
          </w:p>
        </w:tc>
        <w:tc>
          <w:tcPr>
            <w:tcW w:w="6899" w:type="dxa"/>
            <w:shd w:val="clear" w:color="auto" w:fill="DEEAF6"/>
            <w:vAlign w:val="center"/>
          </w:tcPr>
          <w:p w14:paraId="58FA5A26">
            <w:pPr>
              <w:spacing w:line="360" w:lineRule="auto"/>
              <w:ind w:firstLine="482"/>
              <w:jc w:val="center"/>
              <w:rPr>
                <w:rFonts w:hAnsi="宋体" w:cs="仿宋"/>
                <w:b/>
                <w:bCs/>
                <w:szCs w:val="21"/>
              </w:rPr>
            </w:pPr>
            <w:r>
              <w:rPr>
                <w:rFonts w:hint="eastAsia" w:hAnsi="宋体" w:cs="仿宋"/>
                <w:b/>
                <w:bCs/>
                <w:szCs w:val="21"/>
              </w:rPr>
              <w:t>内容</w:t>
            </w:r>
          </w:p>
        </w:tc>
        <w:tc>
          <w:tcPr>
            <w:tcW w:w="913" w:type="dxa"/>
            <w:shd w:val="clear" w:color="auto" w:fill="DEEAF6"/>
            <w:vAlign w:val="center"/>
          </w:tcPr>
          <w:p w14:paraId="384DF2DB">
            <w:pPr>
              <w:spacing w:line="360" w:lineRule="auto"/>
              <w:jc w:val="center"/>
              <w:rPr>
                <w:rFonts w:hAnsi="宋体" w:cs="仿宋"/>
                <w:b/>
                <w:bCs/>
                <w:szCs w:val="21"/>
              </w:rPr>
            </w:pPr>
            <w:r>
              <w:rPr>
                <w:rFonts w:hint="eastAsia" w:hAnsi="宋体" w:cs="仿宋"/>
                <w:b/>
                <w:bCs/>
                <w:szCs w:val="21"/>
              </w:rPr>
              <w:t>备注</w:t>
            </w:r>
          </w:p>
        </w:tc>
      </w:tr>
      <w:tr w14:paraId="38707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7" w:type="dxa"/>
            <w:vMerge w:val="restart"/>
            <w:vAlign w:val="center"/>
          </w:tcPr>
          <w:p w14:paraId="738D16E2">
            <w:pPr>
              <w:spacing w:line="360" w:lineRule="auto"/>
              <w:rPr>
                <w:rFonts w:hAnsi="宋体" w:cs="仿宋"/>
                <w:b/>
                <w:bCs/>
                <w:szCs w:val="21"/>
              </w:rPr>
            </w:pPr>
            <w:r>
              <w:rPr>
                <w:rFonts w:hint="eastAsia" w:hAnsi="宋体" w:cs="仿宋"/>
                <w:b/>
                <w:bCs/>
                <w:szCs w:val="21"/>
              </w:rPr>
              <w:t>基础运营</w:t>
            </w:r>
          </w:p>
          <w:p w14:paraId="05E0207E">
            <w:pPr>
              <w:spacing w:line="360" w:lineRule="auto"/>
              <w:rPr>
                <w:rFonts w:hAnsi="宋体" w:cs="仿宋"/>
                <w:b/>
                <w:bCs/>
                <w:szCs w:val="21"/>
              </w:rPr>
            </w:pPr>
            <w:r>
              <w:rPr>
                <w:rFonts w:hint="eastAsia" w:hAnsi="宋体" w:cs="仿宋"/>
                <w:b/>
                <w:bCs/>
                <w:szCs w:val="21"/>
              </w:rPr>
              <w:t>（覆盖全院）</w:t>
            </w:r>
          </w:p>
        </w:tc>
        <w:tc>
          <w:tcPr>
            <w:tcW w:w="6899" w:type="dxa"/>
            <w:vAlign w:val="center"/>
          </w:tcPr>
          <w:p w14:paraId="3DB0DCA9">
            <w:pPr>
              <w:spacing w:line="360" w:lineRule="auto"/>
              <w:rPr>
                <w:rFonts w:hAnsi="宋体" w:cs="仿宋"/>
                <w:szCs w:val="21"/>
              </w:rPr>
            </w:pPr>
            <w:r>
              <w:rPr>
                <w:rFonts w:hint="eastAsia" w:hAnsi="宋体" w:cs="仿宋"/>
                <w:szCs w:val="21"/>
              </w:rPr>
              <w:t>产品培训。通过科室代表集体培训与科室走访的方式相结合，落实产品相关功能的培训工作，确保上线医生均知悉产品使用。</w:t>
            </w:r>
          </w:p>
        </w:tc>
        <w:tc>
          <w:tcPr>
            <w:tcW w:w="913" w:type="dxa"/>
            <w:vAlign w:val="center"/>
          </w:tcPr>
          <w:p w14:paraId="5D1419C1">
            <w:pPr>
              <w:spacing w:line="360" w:lineRule="auto"/>
              <w:ind w:firstLine="480"/>
              <w:jc w:val="center"/>
              <w:rPr>
                <w:rFonts w:hAnsi="宋体" w:cs="仿宋"/>
                <w:szCs w:val="21"/>
              </w:rPr>
            </w:pPr>
          </w:p>
        </w:tc>
      </w:tr>
      <w:tr w14:paraId="0F202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7" w:type="dxa"/>
            <w:vMerge w:val="continue"/>
            <w:vAlign w:val="center"/>
          </w:tcPr>
          <w:p w14:paraId="04AEDDED">
            <w:pPr>
              <w:spacing w:line="360" w:lineRule="auto"/>
              <w:ind w:firstLine="482"/>
              <w:jc w:val="center"/>
              <w:rPr>
                <w:rFonts w:hAnsi="宋体" w:cs="仿宋"/>
                <w:b/>
                <w:bCs/>
                <w:szCs w:val="21"/>
              </w:rPr>
            </w:pPr>
          </w:p>
        </w:tc>
        <w:tc>
          <w:tcPr>
            <w:tcW w:w="6899" w:type="dxa"/>
            <w:vAlign w:val="center"/>
          </w:tcPr>
          <w:p w14:paraId="413213D9">
            <w:pPr>
              <w:spacing w:line="360" w:lineRule="auto"/>
              <w:rPr>
                <w:rFonts w:hAnsi="宋体" w:cs="仿宋"/>
                <w:szCs w:val="21"/>
              </w:rPr>
            </w:pPr>
            <w:r>
              <w:rPr>
                <w:rFonts w:hint="eastAsia" w:hAnsi="宋体" w:cs="仿宋"/>
                <w:szCs w:val="21"/>
              </w:rPr>
              <w:t>基础物料。围绕互联网医院运营所需要的现场推广，设计并提供相应的宣传物料，包括宣传单、医生台卡或胸卡（根据上线医生数量调整）、易拉宝。</w:t>
            </w:r>
          </w:p>
        </w:tc>
        <w:tc>
          <w:tcPr>
            <w:tcW w:w="913" w:type="dxa"/>
            <w:vAlign w:val="center"/>
          </w:tcPr>
          <w:p w14:paraId="786875ED">
            <w:pPr>
              <w:spacing w:line="360" w:lineRule="auto"/>
              <w:rPr>
                <w:rFonts w:hAnsi="宋体" w:cs="仿宋"/>
                <w:szCs w:val="21"/>
              </w:rPr>
            </w:pPr>
          </w:p>
        </w:tc>
      </w:tr>
      <w:tr w14:paraId="77918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7" w:type="dxa"/>
            <w:vMerge w:val="continue"/>
            <w:vAlign w:val="center"/>
          </w:tcPr>
          <w:p w14:paraId="0790E845">
            <w:pPr>
              <w:spacing w:line="360" w:lineRule="auto"/>
              <w:ind w:firstLine="482"/>
              <w:jc w:val="center"/>
              <w:rPr>
                <w:rFonts w:hAnsi="宋体" w:cs="仿宋"/>
                <w:b/>
                <w:bCs/>
                <w:szCs w:val="21"/>
              </w:rPr>
            </w:pPr>
          </w:p>
        </w:tc>
        <w:tc>
          <w:tcPr>
            <w:tcW w:w="6899" w:type="dxa"/>
            <w:vAlign w:val="center"/>
          </w:tcPr>
          <w:p w14:paraId="1B85A63E">
            <w:pPr>
              <w:spacing w:line="360" w:lineRule="auto"/>
              <w:rPr>
                <w:rFonts w:hAnsi="宋体" w:cs="仿宋"/>
                <w:szCs w:val="21"/>
              </w:rPr>
            </w:pPr>
            <w:r>
              <w:rPr>
                <w:rFonts w:hint="eastAsia" w:hAnsi="宋体" w:cs="仿宋"/>
                <w:szCs w:val="21"/>
              </w:rPr>
              <w:t>现场运营。确保互联网医院的正常运作，及时响应运营过程中出现的需求和问题，并给以必要的反馈与解决。</w:t>
            </w:r>
          </w:p>
        </w:tc>
        <w:tc>
          <w:tcPr>
            <w:tcW w:w="913" w:type="dxa"/>
            <w:vAlign w:val="center"/>
          </w:tcPr>
          <w:p w14:paraId="7AA2304C">
            <w:pPr>
              <w:spacing w:line="360" w:lineRule="auto"/>
              <w:rPr>
                <w:rFonts w:hAnsi="宋体" w:cs="仿宋"/>
                <w:szCs w:val="21"/>
              </w:rPr>
            </w:pPr>
          </w:p>
        </w:tc>
      </w:tr>
      <w:tr w14:paraId="27722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7" w:type="dxa"/>
            <w:vMerge w:val="continue"/>
            <w:vAlign w:val="center"/>
          </w:tcPr>
          <w:p w14:paraId="7BB48D5B">
            <w:pPr>
              <w:spacing w:line="360" w:lineRule="auto"/>
              <w:ind w:firstLine="482"/>
              <w:jc w:val="center"/>
              <w:rPr>
                <w:rFonts w:hAnsi="宋体" w:cs="仿宋"/>
                <w:b/>
                <w:bCs/>
                <w:szCs w:val="21"/>
              </w:rPr>
            </w:pPr>
          </w:p>
        </w:tc>
        <w:tc>
          <w:tcPr>
            <w:tcW w:w="6899" w:type="dxa"/>
            <w:vAlign w:val="center"/>
          </w:tcPr>
          <w:p w14:paraId="092019D3">
            <w:pPr>
              <w:spacing w:line="360" w:lineRule="auto"/>
              <w:rPr>
                <w:rFonts w:hAnsi="宋体" w:cs="仿宋"/>
                <w:szCs w:val="21"/>
              </w:rPr>
            </w:pPr>
            <w:r>
              <w:rPr>
                <w:rFonts w:hint="eastAsia" w:hAnsi="宋体" w:cs="仿宋"/>
                <w:szCs w:val="21"/>
              </w:rPr>
              <w:t>运营梳理。结合医院互联网医院业务的实际情况以及运营方法论，对医院门诊科室、医技、药剂等部门进行调研，业务梳理，制定相应的业务推广策略。结合医院运营需要，协助提供互联网医院运营相关的制度与方案，包括互联网医院组织架构及职责分工说明书、内部运营激励方案、运营活动策划方案等。</w:t>
            </w:r>
          </w:p>
        </w:tc>
        <w:tc>
          <w:tcPr>
            <w:tcW w:w="913" w:type="dxa"/>
            <w:vAlign w:val="center"/>
          </w:tcPr>
          <w:p w14:paraId="2D2EBC1A">
            <w:pPr>
              <w:spacing w:line="360" w:lineRule="auto"/>
              <w:rPr>
                <w:rFonts w:hAnsi="宋体" w:cs="仿宋"/>
                <w:szCs w:val="21"/>
              </w:rPr>
            </w:pPr>
          </w:p>
        </w:tc>
      </w:tr>
      <w:tr w14:paraId="0D8FE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7" w:type="dxa"/>
            <w:vMerge w:val="continue"/>
            <w:vAlign w:val="center"/>
          </w:tcPr>
          <w:p w14:paraId="392135A9">
            <w:pPr>
              <w:spacing w:line="360" w:lineRule="auto"/>
              <w:ind w:firstLine="482"/>
              <w:jc w:val="center"/>
              <w:rPr>
                <w:rFonts w:hAnsi="宋体" w:cs="仿宋"/>
                <w:b/>
                <w:bCs/>
                <w:szCs w:val="21"/>
              </w:rPr>
            </w:pPr>
          </w:p>
        </w:tc>
        <w:tc>
          <w:tcPr>
            <w:tcW w:w="6899" w:type="dxa"/>
            <w:vAlign w:val="center"/>
          </w:tcPr>
          <w:p w14:paraId="61B203BD">
            <w:pPr>
              <w:spacing w:line="360" w:lineRule="auto"/>
              <w:rPr>
                <w:rFonts w:hAnsi="宋体" w:cs="仿宋"/>
                <w:szCs w:val="21"/>
              </w:rPr>
            </w:pPr>
            <w:r>
              <w:rPr>
                <w:rFonts w:hint="eastAsia" w:hAnsi="宋体" w:cs="仿宋"/>
                <w:szCs w:val="21"/>
              </w:rPr>
              <w:t>数据运营。定期整理互联网医院的基础运营报告（月报、半年报、年报），并提出针对性优化建议和提升方案。</w:t>
            </w:r>
          </w:p>
        </w:tc>
        <w:tc>
          <w:tcPr>
            <w:tcW w:w="913" w:type="dxa"/>
            <w:vAlign w:val="center"/>
          </w:tcPr>
          <w:p w14:paraId="5E4C0BC3">
            <w:pPr>
              <w:spacing w:line="360" w:lineRule="auto"/>
              <w:rPr>
                <w:rFonts w:hAnsi="宋体" w:cs="仿宋"/>
                <w:szCs w:val="21"/>
              </w:rPr>
            </w:pPr>
          </w:p>
        </w:tc>
      </w:tr>
      <w:tr w14:paraId="2536D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7" w:type="dxa"/>
            <w:vMerge w:val="continue"/>
            <w:vAlign w:val="center"/>
          </w:tcPr>
          <w:p w14:paraId="2D8FEE4E">
            <w:pPr>
              <w:spacing w:line="360" w:lineRule="auto"/>
              <w:ind w:firstLine="482"/>
              <w:jc w:val="center"/>
              <w:rPr>
                <w:rFonts w:hAnsi="宋体" w:cs="仿宋"/>
                <w:b/>
                <w:bCs/>
                <w:szCs w:val="21"/>
              </w:rPr>
            </w:pPr>
          </w:p>
        </w:tc>
        <w:tc>
          <w:tcPr>
            <w:tcW w:w="6899" w:type="dxa"/>
            <w:vAlign w:val="center"/>
          </w:tcPr>
          <w:p w14:paraId="2731F564">
            <w:pPr>
              <w:spacing w:line="360" w:lineRule="auto"/>
              <w:rPr>
                <w:rFonts w:hAnsi="宋体" w:cs="仿宋"/>
                <w:szCs w:val="21"/>
              </w:rPr>
            </w:pPr>
            <w:r>
              <w:rPr>
                <w:rFonts w:hint="eastAsia" w:hAnsi="宋体" w:cs="仿宋"/>
                <w:szCs w:val="21"/>
              </w:rPr>
              <w:t>活动运营。结合医院现阶段已有的义诊、帮扶、地推等活动，寻找与互联网医院的结合点进行落地，加大互联网医院的宣传力度。</w:t>
            </w:r>
          </w:p>
        </w:tc>
        <w:tc>
          <w:tcPr>
            <w:tcW w:w="913" w:type="dxa"/>
            <w:vAlign w:val="center"/>
          </w:tcPr>
          <w:p w14:paraId="55D6DE0F">
            <w:pPr>
              <w:spacing w:line="360" w:lineRule="auto"/>
              <w:ind w:firstLine="199" w:firstLineChars="95"/>
              <w:rPr>
                <w:rFonts w:hAnsi="宋体" w:cs="仿宋"/>
                <w:szCs w:val="21"/>
              </w:rPr>
            </w:pPr>
          </w:p>
        </w:tc>
      </w:tr>
      <w:tr w14:paraId="043C6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7" w:type="dxa"/>
            <w:vMerge w:val="continue"/>
            <w:vAlign w:val="center"/>
          </w:tcPr>
          <w:p w14:paraId="3A7AE331">
            <w:pPr>
              <w:spacing w:line="360" w:lineRule="auto"/>
              <w:ind w:firstLine="482"/>
              <w:jc w:val="center"/>
              <w:rPr>
                <w:rFonts w:hAnsi="宋体" w:cs="仿宋"/>
                <w:b/>
                <w:bCs/>
                <w:szCs w:val="21"/>
              </w:rPr>
            </w:pPr>
          </w:p>
        </w:tc>
        <w:tc>
          <w:tcPr>
            <w:tcW w:w="6899" w:type="dxa"/>
            <w:vAlign w:val="center"/>
          </w:tcPr>
          <w:p w14:paraId="703FDB91">
            <w:pPr>
              <w:spacing w:line="360" w:lineRule="auto"/>
              <w:rPr>
                <w:rFonts w:hAnsi="宋体" w:cs="仿宋"/>
                <w:szCs w:val="21"/>
              </w:rPr>
            </w:pPr>
            <w:r>
              <w:rPr>
                <w:rFonts w:hint="eastAsia" w:hAnsi="宋体" w:cs="仿宋"/>
                <w:szCs w:val="21"/>
              </w:rPr>
              <w:t>宣传软文。结合互联网医院的上线节奏、功能介绍、亮点介绍、节假日活动等节点，推出相应的宣传推广软文。</w:t>
            </w:r>
          </w:p>
        </w:tc>
        <w:tc>
          <w:tcPr>
            <w:tcW w:w="913" w:type="dxa"/>
            <w:vAlign w:val="center"/>
          </w:tcPr>
          <w:p w14:paraId="74BB92C9">
            <w:pPr>
              <w:spacing w:line="360" w:lineRule="auto"/>
              <w:ind w:firstLine="199" w:firstLineChars="95"/>
              <w:rPr>
                <w:rFonts w:hAnsi="宋体" w:cs="仿宋"/>
                <w:szCs w:val="21"/>
              </w:rPr>
            </w:pPr>
          </w:p>
        </w:tc>
      </w:tr>
      <w:tr w14:paraId="673AD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7" w:type="dxa"/>
            <w:vMerge w:val="restart"/>
            <w:vAlign w:val="center"/>
          </w:tcPr>
          <w:p w14:paraId="19289729">
            <w:pPr>
              <w:spacing w:line="360" w:lineRule="auto"/>
              <w:rPr>
                <w:rFonts w:hAnsi="宋体" w:cs="仿宋"/>
                <w:b/>
                <w:bCs/>
                <w:szCs w:val="21"/>
              </w:rPr>
            </w:pPr>
            <w:r>
              <w:rPr>
                <w:rFonts w:hint="eastAsia" w:hAnsi="宋体" w:cs="仿宋"/>
                <w:b/>
                <w:bCs/>
                <w:szCs w:val="21"/>
              </w:rPr>
              <w:t>专科运营</w:t>
            </w:r>
          </w:p>
          <w:p w14:paraId="5E6B1321">
            <w:pPr>
              <w:spacing w:line="360" w:lineRule="auto"/>
              <w:rPr>
                <w:rFonts w:hAnsi="宋体" w:cs="仿宋"/>
                <w:b/>
                <w:bCs/>
                <w:szCs w:val="21"/>
              </w:rPr>
            </w:pPr>
            <w:r>
              <w:rPr>
                <w:rFonts w:hint="eastAsia" w:hAnsi="宋体" w:cs="仿宋"/>
                <w:b/>
                <w:bCs/>
                <w:szCs w:val="21"/>
              </w:rPr>
              <w:t>（覆盖试点）</w:t>
            </w:r>
          </w:p>
        </w:tc>
        <w:tc>
          <w:tcPr>
            <w:tcW w:w="6899" w:type="dxa"/>
            <w:vAlign w:val="center"/>
          </w:tcPr>
          <w:p w14:paraId="357D257B">
            <w:pPr>
              <w:spacing w:line="360" w:lineRule="auto"/>
              <w:rPr>
                <w:rFonts w:hAnsi="宋体" w:cs="仿宋"/>
                <w:szCs w:val="21"/>
              </w:rPr>
            </w:pPr>
            <w:r>
              <w:rPr>
                <w:rFonts w:hint="eastAsia" w:hAnsi="宋体" w:cs="仿宋"/>
                <w:szCs w:val="21"/>
              </w:rPr>
              <w:t>专科科普。围绕试点科室进行专病科普的落地，按病种进行科普模块化的图文、短视频、直播内容输出。由运营团队进行需求洞察、科普选题、制作排版。专科医生团队提供专业素材及内容把关。</w:t>
            </w:r>
          </w:p>
        </w:tc>
        <w:tc>
          <w:tcPr>
            <w:tcW w:w="913" w:type="dxa"/>
            <w:vAlign w:val="center"/>
          </w:tcPr>
          <w:p w14:paraId="2981289B">
            <w:pPr>
              <w:spacing w:line="360" w:lineRule="auto"/>
              <w:ind w:firstLine="480"/>
              <w:jc w:val="center"/>
              <w:rPr>
                <w:rFonts w:hAnsi="宋体" w:cs="仿宋"/>
                <w:szCs w:val="21"/>
              </w:rPr>
            </w:pPr>
          </w:p>
        </w:tc>
      </w:tr>
      <w:tr w14:paraId="1DACC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7" w:type="dxa"/>
            <w:vMerge w:val="continue"/>
            <w:vAlign w:val="center"/>
          </w:tcPr>
          <w:p w14:paraId="2041C6EA">
            <w:pPr>
              <w:spacing w:line="360" w:lineRule="auto"/>
              <w:ind w:firstLine="482"/>
              <w:rPr>
                <w:rFonts w:hAnsi="宋体" w:cs="仿宋"/>
                <w:b/>
                <w:bCs/>
                <w:szCs w:val="21"/>
              </w:rPr>
            </w:pPr>
          </w:p>
        </w:tc>
        <w:tc>
          <w:tcPr>
            <w:tcW w:w="6899" w:type="dxa"/>
            <w:vAlign w:val="center"/>
          </w:tcPr>
          <w:p w14:paraId="7FFC14C6">
            <w:pPr>
              <w:spacing w:line="360" w:lineRule="auto"/>
              <w:rPr>
                <w:rFonts w:hAnsi="宋体" w:cs="仿宋"/>
                <w:szCs w:val="21"/>
              </w:rPr>
            </w:pPr>
            <w:r>
              <w:rPr>
                <w:rFonts w:hint="eastAsia" w:hAnsi="宋体" w:cs="仿宋"/>
                <w:szCs w:val="21"/>
              </w:rPr>
              <w:t>专病随访。围绕试点科室进行专病随访管理的落地，协助科室进行随访计划的制定，上线与运营。由运营团队进行随访计划的录入与整理，医护人员团队进行专业内容输出、把关及患者随访管理。</w:t>
            </w:r>
          </w:p>
        </w:tc>
        <w:tc>
          <w:tcPr>
            <w:tcW w:w="913" w:type="dxa"/>
            <w:vAlign w:val="center"/>
          </w:tcPr>
          <w:p w14:paraId="36327E59">
            <w:pPr>
              <w:spacing w:line="360" w:lineRule="auto"/>
              <w:rPr>
                <w:rFonts w:hAnsi="宋体" w:cs="仿宋"/>
                <w:szCs w:val="21"/>
              </w:rPr>
            </w:pPr>
          </w:p>
        </w:tc>
      </w:tr>
      <w:tr w14:paraId="1C559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7" w:type="dxa"/>
            <w:vMerge w:val="continue"/>
            <w:vAlign w:val="center"/>
          </w:tcPr>
          <w:p w14:paraId="40DC6143">
            <w:pPr>
              <w:spacing w:line="360" w:lineRule="auto"/>
              <w:ind w:firstLine="482"/>
              <w:rPr>
                <w:rFonts w:hAnsi="宋体" w:cs="仿宋"/>
                <w:b/>
                <w:bCs/>
                <w:szCs w:val="21"/>
              </w:rPr>
            </w:pPr>
          </w:p>
        </w:tc>
        <w:tc>
          <w:tcPr>
            <w:tcW w:w="6899" w:type="dxa"/>
            <w:vAlign w:val="center"/>
          </w:tcPr>
          <w:p w14:paraId="256D4533">
            <w:pPr>
              <w:spacing w:line="360" w:lineRule="auto"/>
              <w:rPr>
                <w:rFonts w:hAnsi="宋体" w:cs="仿宋"/>
                <w:szCs w:val="21"/>
              </w:rPr>
            </w:pPr>
            <w:r>
              <w:rPr>
                <w:rFonts w:hint="eastAsia" w:hAnsi="宋体" w:cs="仿宋"/>
                <w:szCs w:val="21"/>
              </w:rPr>
              <w:t>流量渠道设计。围绕健康咨询、视频门诊、快速续方、专科运营等不同的场景，通过包裹卡、物料、线上二维码、公众号推送等方式，设计不同的用户转化流程，加快医院的线上用户流量池积累。</w:t>
            </w:r>
          </w:p>
        </w:tc>
        <w:tc>
          <w:tcPr>
            <w:tcW w:w="913" w:type="dxa"/>
            <w:vAlign w:val="center"/>
          </w:tcPr>
          <w:p w14:paraId="411E903C">
            <w:pPr>
              <w:spacing w:line="360" w:lineRule="auto"/>
              <w:ind w:firstLine="480"/>
              <w:jc w:val="center"/>
              <w:rPr>
                <w:rFonts w:hAnsi="宋体" w:cs="仿宋"/>
                <w:szCs w:val="21"/>
              </w:rPr>
            </w:pPr>
          </w:p>
        </w:tc>
      </w:tr>
      <w:tr w14:paraId="305CB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7" w:type="dxa"/>
            <w:vMerge w:val="continue"/>
            <w:vAlign w:val="center"/>
          </w:tcPr>
          <w:p w14:paraId="0D844E8B">
            <w:pPr>
              <w:spacing w:line="360" w:lineRule="auto"/>
              <w:ind w:firstLine="482"/>
              <w:rPr>
                <w:rFonts w:hAnsi="宋体" w:cs="仿宋"/>
                <w:b/>
                <w:bCs/>
                <w:szCs w:val="21"/>
              </w:rPr>
            </w:pPr>
          </w:p>
        </w:tc>
        <w:tc>
          <w:tcPr>
            <w:tcW w:w="6899" w:type="dxa"/>
            <w:vAlign w:val="center"/>
          </w:tcPr>
          <w:p w14:paraId="736D485B">
            <w:pPr>
              <w:spacing w:line="360" w:lineRule="auto"/>
              <w:rPr>
                <w:rFonts w:hAnsi="宋体" w:cs="仿宋"/>
                <w:szCs w:val="21"/>
              </w:rPr>
            </w:pPr>
            <w:r>
              <w:rPr>
                <w:rFonts w:hint="eastAsia" w:hAnsi="宋体" w:cs="仿宋"/>
                <w:szCs w:val="21"/>
              </w:rPr>
              <w:t>用户流量运营。为试点科室团队进行运营赋能，落实私聊答疑、朋友圈科普宣传、活动策划、社群维护等工作。</w:t>
            </w:r>
          </w:p>
        </w:tc>
        <w:tc>
          <w:tcPr>
            <w:tcW w:w="913" w:type="dxa"/>
            <w:vAlign w:val="center"/>
          </w:tcPr>
          <w:p w14:paraId="40EDC174">
            <w:pPr>
              <w:spacing w:line="360" w:lineRule="auto"/>
              <w:ind w:firstLine="480"/>
              <w:jc w:val="center"/>
              <w:rPr>
                <w:rFonts w:hAnsi="宋体" w:cs="仿宋"/>
                <w:szCs w:val="21"/>
              </w:rPr>
            </w:pPr>
          </w:p>
        </w:tc>
      </w:tr>
    </w:tbl>
    <w:p w14:paraId="6C9D50DB">
      <w:pPr>
        <w:spacing w:line="400" w:lineRule="exact"/>
        <w:ind w:firstLine="369" w:firstLineChars="175"/>
        <w:rPr>
          <w:rFonts w:hAnsi="宋体" w:cs="宋体"/>
          <w:b/>
          <w:bCs/>
        </w:rPr>
      </w:pPr>
    </w:p>
    <w:bookmarkEnd w:id="97"/>
    <w:bookmarkEnd w:id="98"/>
    <w:p w14:paraId="44B87B61">
      <w:pPr>
        <w:spacing w:line="400" w:lineRule="exact"/>
        <w:ind w:firstLine="369" w:firstLineChars="175"/>
        <w:rPr>
          <w:rFonts w:hAnsi="宋体" w:cs="宋体"/>
          <w:b/>
          <w:bCs/>
          <w:highlight w:val="none"/>
        </w:rPr>
      </w:pPr>
      <w:bookmarkStart w:id="153" w:name="_Toc27121"/>
      <w:r>
        <w:rPr>
          <w:rFonts w:hint="eastAsia" w:hAnsi="宋体" w:cs="宋体"/>
          <w:b/>
          <w:bCs/>
          <w:highlight w:val="none"/>
        </w:rPr>
        <w:t>四、</w:t>
      </w:r>
      <w:bookmarkEnd w:id="153"/>
      <w:bookmarkStart w:id="154" w:name="_Toc31357"/>
      <w:bookmarkStart w:id="155" w:name="_Toc54518049"/>
      <w:r>
        <w:rPr>
          <w:rFonts w:hint="eastAsia" w:hAnsi="宋体" w:cs="宋体"/>
          <w:b/>
          <w:bCs/>
          <w:highlight w:val="none"/>
        </w:rPr>
        <w:t>商务条款</w:t>
      </w:r>
    </w:p>
    <w:p w14:paraId="753E0C07">
      <w:pPr>
        <w:spacing w:line="400" w:lineRule="exact"/>
        <w:ind w:firstLine="420" w:firstLineChars="200"/>
        <w:rPr>
          <w:rFonts w:hAnsi="宋体" w:cs="宋体"/>
          <w:highlight w:val="none"/>
        </w:rPr>
      </w:pPr>
      <w:r>
        <w:rPr>
          <w:rFonts w:hint="eastAsia" w:hAnsi="宋体" w:cs="宋体"/>
          <w:highlight w:val="none"/>
        </w:rPr>
        <w:t>1.实施进度要求</w:t>
      </w:r>
    </w:p>
    <w:p w14:paraId="5AF4B0BD">
      <w:pPr>
        <w:spacing w:line="400" w:lineRule="exact"/>
        <w:ind w:firstLine="420" w:firstLineChars="200"/>
        <w:rPr>
          <w:rFonts w:hAnsi="宋体" w:cs="宋体"/>
        </w:rPr>
      </w:pPr>
      <w:r>
        <w:rPr>
          <w:rFonts w:hint="eastAsia" w:hAnsi="宋体" w:cs="宋体"/>
          <w:highlight w:val="none"/>
        </w:rPr>
        <w:t>在合同签订后</w:t>
      </w:r>
      <w:r>
        <w:rPr>
          <w:rFonts w:hint="eastAsia" w:hAnsi="宋体" w:cs="宋体"/>
          <w:highlight w:val="none"/>
          <w:lang w:val="en-US" w:eastAsia="zh-CN"/>
        </w:rPr>
        <w:t>12</w:t>
      </w:r>
      <w:r>
        <w:rPr>
          <w:rFonts w:hint="eastAsia" w:hAnsi="宋体" w:cs="宋体"/>
          <w:highlight w:val="none"/>
        </w:rPr>
        <w:t>个月内完成。</w:t>
      </w:r>
    </w:p>
    <w:p w14:paraId="5A0BDF28">
      <w:pPr>
        <w:spacing w:line="400" w:lineRule="exact"/>
        <w:ind w:firstLine="420" w:firstLineChars="200"/>
        <w:rPr>
          <w:rFonts w:hAnsi="宋体" w:cs="宋体"/>
        </w:rPr>
      </w:pPr>
      <w:r>
        <w:rPr>
          <w:rFonts w:hint="eastAsia" w:hAnsi="宋体" w:cs="宋体"/>
        </w:rPr>
        <w:t>2.质量保修期和售后服务要求。</w:t>
      </w:r>
    </w:p>
    <w:p w14:paraId="59FCAC2E">
      <w:pPr>
        <w:spacing w:line="400" w:lineRule="exact"/>
        <w:ind w:firstLine="420" w:firstLineChars="200"/>
        <w:rPr>
          <w:rFonts w:hAnsi="宋体" w:cs="宋体"/>
        </w:rPr>
      </w:pPr>
      <w:r>
        <w:rPr>
          <w:rFonts w:hint="eastAsia" w:hAnsi="宋体" w:cs="宋体"/>
        </w:rPr>
        <w:t>2.1质量保修期</w:t>
      </w:r>
    </w:p>
    <w:p w14:paraId="185F3ACE">
      <w:pPr>
        <w:spacing w:line="400" w:lineRule="exact"/>
        <w:ind w:firstLine="420" w:firstLineChars="200"/>
        <w:rPr>
          <w:rFonts w:hint="eastAsia" w:hAnsi="宋体" w:cs="宋体"/>
          <w:highlight w:val="none"/>
        </w:rPr>
      </w:pPr>
      <w:r>
        <w:rPr>
          <w:rFonts w:hint="eastAsia" w:hAnsi="宋体" w:cs="宋体"/>
        </w:rPr>
        <w:t>本项目提供</w:t>
      </w:r>
      <w:r>
        <w:rPr>
          <w:rFonts w:hint="eastAsia" w:hAnsi="宋体" w:cs="宋体"/>
          <w:highlight w:val="none"/>
          <w:lang w:val="en-US" w:eastAsia="zh-CN"/>
        </w:rPr>
        <w:t>二年</w:t>
      </w:r>
      <w:r>
        <w:rPr>
          <w:rFonts w:hint="eastAsia" w:hAnsi="宋体" w:cs="宋体"/>
          <w:highlight w:val="none"/>
        </w:rPr>
        <w:t>免费维护（自验收通过之日算起</w:t>
      </w:r>
      <w:r>
        <w:rPr>
          <w:rFonts w:hint="eastAsia" w:hAnsi="宋体" w:cs="宋体"/>
          <w:highlight w:val="none"/>
          <w:lang w:eastAsia="zh-CN"/>
        </w:rPr>
        <w:t>，</w:t>
      </w:r>
      <w:r>
        <w:rPr>
          <w:rFonts w:hint="eastAsia" w:hAnsi="宋体" w:cs="宋体"/>
          <w:highlight w:val="none"/>
          <w:lang w:val="en-US" w:eastAsia="zh-CN"/>
        </w:rPr>
        <w:t>包含项目所有软件内容</w:t>
      </w:r>
      <w:r>
        <w:rPr>
          <w:rFonts w:hint="eastAsia" w:hAnsi="宋体" w:cs="宋体"/>
          <w:highlight w:val="none"/>
        </w:rPr>
        <w:t>）。</w:t>
      </w:r>
    </w:p>
    <w:p w14:paraId="2B69BBA0">
      <w:pPr>
        <w:spacing w:line="400" w:lineRule="exact"/>
        <w:ind w:firstLine="420" w:firstLineChars="200"/>
        <w:rPr>
          <w:rFonts w:hAnsi="宋体" w:cs="宋体"/>
          <w:highlight w:val="none"/>
        </w:rPr>
      </w:pPr>
      <w:r>
        <w:rPr>
          <w:rFonts w:hint="eastAsia" w:hAnsi="宋体" w:cs="宋体"/>
          <w:highlight w:val="none"/>
        </w:rPr>
        <w:t>2.2维修服务的响应时间</w:t>
      </w:r>
    </w:p>
    <w:p w14:paraId="4F64815A">
      <w:pPr>
        <w:spacing w:line="400" w:lineRule="exact"/>
        <w:ind w:firstLine="420" w:firstLineChars="200"/>
        <w:rPr>
          <w:rFonts w:hAnsi="宋体" w:cs="宋体"/>
          <w:highlight w:val="none"/>
        </w:rPr>
      </w:pPr>
      <w:r>
        <w:rPr>
          <w:rFonts w:hint="eastAsia" w:hAnsi="宋体" w:cs="宋体"/>
          <w:highlight w:val="none"/>
        </w:rPr>
        <w:t>中标人要求配有较强的专业技术队伍，具有较强服务能力。能够确保7×24小时服务售后服务，在出现系统故障的2小时内给予响应，保障到场服务响应时间小于4小时。系统修复时间不多于12小时。</w:t>
      </w:r>
    </w:p>
    <w:bookmarkEnd w:id="154"/>
    <w:bookmarkEnd w:id="155"/>
    <w:p w14:paraId="1409BB7D">
      <w:pPr>
        <w:spacing w:line="400" w:lineRule="exact"/>
        <w:ind w:firstLine="369" w:firstLineChars="175"/>
        <w:rPr>
          <w:rFonts w:hAnsi="宋体" w:cs="宋体"/>
          <w:b/>
          <w:bCs/>
          <w:highlight w:val="none"/>
        </w:rPr>
      </w:pPr>
      <w:bookmarkStart w:id="156" w:name="_Toc30563"/>
      <w:bookmarkStart w:id="157" w:name="_Toc8082"/>
      <w:r>
        <w:rPr>
          <w:rFonts w:hint="eastAsia" w:hAnsi="宋体" w:cs="宋体"/>
          <w:b/>
          <w:bCs/>
          <w:highlight w:val="none"/>
          <w:lang w:val="en-US" w:eastAsia="zh-CN"/>
        </w:rPr>
        <w:t>五</w:t>
      </w:r>
      <w:r>
        <w:rPr>
          <w:rFonts w:hint="eastAsia" w:hAnsi="宋体" w:cs="宋体"/>
          <w:b/>
          <w:bCs/>
          <w:highlight w:val="none"/>
        </w:rPr>
        <w:t>、</w:t>
      </w:r>
      <w:bookmarkEnd w:id="156"/>
      <w:bookmarkEnd w:id="157"/>
      <w:r>
        <w:rPr>
          <w:rFonts w:hint="eastAsia" w:hAnsi="宋体" w:cs="宋体"/>
          <w:b/>
          <w:bCs/>
          <w:highlight w:val="none"/>
        </w:rPr>
        <w:t>付款方式</w:t>
      </w:r>
    </w:p>
    <w:p w14:paraId="04C2EE3D">
      <w:pPr>
        <w:spacing w:line="400" w:lineRule="exact"/>
        <w:ind w:firstLine="420" w:firstLineChars="200"/>
        <w:rPr>
          <w:rFonts w:hint="eastAsia" w:hAnsi="宋体" w:cs="宋体"/>
          <w:highlight w:val="none"/>
          <w:lang w:val="en-US" w:eastAsia="zh-CN"/>
        </w:rPr>
      </w:pPr>
      <w:bookmarkStart w:id="158" w:name="OLE_LINK2"/>
      <w:r>
        <w:rPr>
          <w:rFonts w:hint="eastAsia" w:hAnsi="宋体" w:cs="宋体"/>
          <w:highlight w:val="none"/>
        </w:rPr>
        <w:t>1.</w:t>
      </w:r>
      <w:r>
        <w:rPr>
          <w:rFonts w:ascii="Times New Roman" w:hAnsi="Times New Roman"/>
          <w:szCs w:val="24"/>
          <w:highlight w:val="none"/>
        </w:rPr>
        <w:t>本</w:t>
      </w:r>
      <w:r>
        <w:rPr>
          <w:rFonts w:hint="eastAsia"/>
          <w:szCs w:val="24"/>
          <w:highlight w:val="none"/>
          <w:lang w:eastAsia="zh-CN"/>
        </w:rPr>
        <w:t>合同</w:t>
      </w:r>
      <w:r>
        <w:rPr>
          <w:rFonts w:ascii="Times New Roman" w:hAnsi="Times New Roman"/>
          <w:szCs w:val="24"/>
          <w:highlight w:val="none"/>
        </w:rPr>
        <w:t>签订及收到</w:t>
      </w:r>
      <w:r>
        <w:rPr>
          <w:rFonts w:hint="eastAsia" w:ascii="Times New Roman"/>
          <w:szCs w:val="24"/>
          <w:highlight w:val="none"/>
          <w:lang w:val="en-US" w:eastAsia="zh-CN"/>
        </w:rPr>
        <w:t>中标人</w:t>
      </w:r>
      <w:r>
        <w:rPr>
          <w:rFonts w:ascii="Times New Roman" w:hAnsi="Times New Roman"/>
          <w:szCs w:val="24"/>
          <w:highlight w:val="none"/>
        </w:rPr>
        <w:t>增值税专用发票后的</w:t>
      </w:r>
      <w:r>
        <w:rPr>
          <w:rFonts w:hint="eastAsia"/>
          <w:szCs w:val="24"/>
          <w:highlight w:val="none"/>
          <w:lang w:val="en-US" w:eastAsia="zh-CN"/>
        </w:rPr>
        <w:t>7</w:t>
      </w:r>
      <w:r>
        <w:rPr>
          <w:rFonts w:ascii="Times New Roman" w:hAnsi="Times New Roman"/>
          <w:szCs w:val="24"/>
          <w:highlight w:val="none"/>
        </w:rPr>
        <w:t>个工作日内，</w:t>
      </w:r>
      <w:r>
        <w:rPr>
          <w:rFonts w:hint="eastAsia" w:ascii="Times New Roman"/>
          <w:szCs w:val="24"/>
          <w:highlight w:val="none"/>
          <w:lang w:val="en-US" w:eastAsia="zh-CN"/>
        </w:rPr>
        <w:t>采购人</w:t>
      </w:r>
      <w:r>
        <w:rPr>
          <w:rFonts w:ascii="Times New Roman" w:hAnsi="Times New Roman"/>
          <w:szCs w:val="24"/>
          <w:highlight w:val="none"/>
        </w:rPr>
        <w:t>向</w:t>
      </w:r>
      <w:r>
        <w:rPr>
          <w:rFonts w:hint="eastAsia" w:ascii="Times New Roman"/>
          <w:szCs w:val="24"/>
          <w:highlight w:val="none"/>
          <w:lang w:val="en-US" w:eastAsia="zh-CN"/>
        </w:rPr>
        <w:t>中标人</w:t>
      </w:r>
      <w:r>
        <w:rPr>
          <w:rFonts w:ascii="Times New Roman" w:hAnsi="Times New Roman"/>
          <w:szCs w:val="24"/>
          <w:highlight w:val="none"/>
        </w:rPr>
        <w:t>支付</w:t>
      </w:r>
      <w:r>
        <w:rPr>
          <w:rFonts w:hint="eastAsia"/>
          <w:szCs w:val="24"/>
          <w:highlight w:val="none"/>
          <w:lang w:eastAsia="zh-CN"/>
        </w:rPr>
        <w:t>合同款</w:t>
      </w:r>
      <w:r>
        <w:rPr>
          <w:rFonts w:ascii="Times New Roman" w:hAnsi="Times New Roman"/>
          <w:szCs w:val="24"/>
          <w:highlight w:val="none"/>
        </w:rPr>
        <w:t>的</w:t>
      </w:r>
      <w:r>
        <w:rPr>
          <w:rFonts w:hint="eastAsia" w:hAnsi="宋体" w:cs="宋体"/>
          <w:highlight w:val="none"/>
          <w:lang w:val="en-US" w:eastAsia="zh-CN"/>
        </w:rPr>
        <w:t>40％；</w:t>
      </w:r>
    </w:p>
    <w:p w14:paraId="6630FC55">
      <w:pPr>
        <w:spacing w:line="400" w:lineRule="exact"/>
        <w:ind w:firstLine="420" w:firstLineChars="200"/>
        <w:rPr>
          <w:rFonts w:hAnsi="宋体" w:cs="宋体"/>
          <w:highlight w:val="none"/>
        </w:rPr>
      </w:pPr>
      <w:r>
        <w:rPr>
          <w:rFonts w:hint="eastAsia" w:hAnsi="宋体" w:cs="宋体"/>
          <w:highlight w:val="none"/>
        </w:rPr>
        <w:t>2.系统上线运行</w:t>
      </w:r>
      <w:r>
        <w:rPr>
          <w:rFonts w:hint="eastAsia" w:hAnsi="宋体" w:cs="宋体"/>
          <w:highlight w:val="none"/>
          <w:lang w:val="en-US" w:eastAsia="zh-CN"/>
        </w:rPr>
        <w:t>并通过初步验收合格后，</w:t>
      </w:r>
      <w:r>
        <w:rPr>
          <w:rFonts w:ascii="Times New Roman" w:hAnsi="Times New Roman"/>
          <w:szCs w:val="24"/>
          <w:highlight w:val="none"/>
        </w:rPr>
        <w:t>收到</w:t>
      </w:r>
      <w:r>
        <w:rPr>
          <w:rFonts w:hint="eastAsia" w:ascii="Times New Roman"/>
          <w:szCs w:val="24"/>
          <w:highlight w:val="none"/>
          <w:lang w:val="en-US" w:eastAsia="zh-CN"/>
        </w:rPr>
        <w:t>中标人</w:t>
      </w:r>
      <w:r>
        <w:rPr>
          <w:rFonts w:ascii="Times New Roman" w:hAnsi="Times New Roman"/>
          <w:szCs w:val="24"/>
          <w:highlight w:val="none"/>
        </w:rPr>
        <w:t>增值税专用发票后的10个工作日内</w:t>
      </w:r>
      <w:r>
        <w:rPr>
          <w:rFonts w:hint="eastAsia" w:hAnsi="宋体" w:cs="宋体"/>
          <w:highlight w:val="none"/>
        </w:rPr>
        <w:t>，采购人向中标人支付合同款的30%；</w:t>
      </w:r>
    </w:p>
    <w:p w14:paraId="15236F75">
      <w:pPr>
        <w:spacing w:line="400" w:lineRule="exact"/>
        <w:ind w:firstLine="420" w:firstLineChars="200"/>
        <w:rPr>
          <w:rFonts w:hAnsi="宋体" w:cs="宋体"/>
          <w:highlight w:val="none"/>
        </w:rPr>
      </w:pPr>
      <w:r>
        <w:rPr>
          <w:rFonts w:hint="eastAsia" w:hAnsi="宋体" w:cs="宋体"/>
          <w:highlight w:val="none"/>
        </w:rPr>
        <w:t>3.系统通过</w:t>
      </w:r>
      <w:r>
        <w:rPr>
          <w:rFonts w:hint="eastAsia" w:hAnsi="宋体" w:cs="宋体"/>
          <w:highlight w:val="none"/>
          <w:lang w:val="en-US" w:eastAsia="zh-CN"/>
        </w:rPr>
        <w:t>终</w:t>
      </w:r>
      <w:r>
        <w:rPr>
          <w:rFonts w:hint="eastAsia" w:hAnsi="宋体" w:cs="宋体"/>
          <w:highlight w:val="none"/>
        </w:rPr>
        <w:t>验后</w:t>
      </w:r>
      <w:r>
        <w:rPr>
          <w:rFonts w:hint="eastAsia" w:hAnsi="宋体" w:cs="宋体"/>
          <w:highlight w:val="none"/>
          <w:lang w:val="en-US" w:eastAsia="zh-CN"/>
        </w:rPr>
        <w:t>，</w:t>
      </w:r>
      <w:r>
        <w:rPr>
          <w:rFonts w:ascii="Times New Roman" w:hAnsi="Times New Roman"/>
          <w:szCs w:val="24"/>
          <w:highlight w:val="none"/>
        </w:rPr>
        <w:t>收到</w:t>
      </w:r>
      <w:r>
        <w:rPr>
          <w:rFonts w:hint="eastAsia" w:ascii="Times New Roman"/>
          <w:szCs w:val="24"/>
          <w:highlight w:val="none"/>
          <w:lang w:val="en-US" w:eastAsia="zh-CN"/>
        </w:rPr>
        <w:t>中标人</w:t>
      </w:r>
      <w:r>
        <w:rPr>
          <w:rFonts w:ascii="Times New Roman" w:hAnsi="Times New Roman"/>
          <w:szCs w:val="24"/>
          <w:highlight w:val="none"/>
        </w:rPr>
        <w:t>增值税专用发票后的10个工作日内</w:t>
      </w:r>
      <w:r>
        <w:rPr>
          <w:rFonts w:hint="eastAsia" w:hAnsi="宋体" w:cs="宋体"/>
          <w:highlight w:val="none"/>
        </w:rPr>
        <w:t>，采购人向中标人支付合同款的30%；</w:t>
      </w:r>
    </w:p>
    <w:p w14:paraId="1AD19EE3">
      <w:pPr>
        <w:spacing w:line="400" w:lineRule="exact"/>
        <w:ind w:firstLine="420" w:firstLineChars="200"/>
        <w:rPr>
          <w:rFonts w:hAnsi="宋体" w:cs="宋体"/>
        </w:rPr>
      </w:pPr>
      <w:r>
        <w:rPr>
          <w:rFonts w:hint="eastAsia" w:hAnsi="宋体" w:cs="宋体"/>
        </w:rPr>
        <w:t>每次付款前中标人须提供对应金额的发票给采购人。</w:t>
      </w:r>
    </w:p>
    <w:bookmarkEnd w:id="158"/>
    <w:p w14:paraId="32F1B001">
      <w:pPr>
        <w:snapToGrid w:val="0"/>
        <w:spacing w:line="400" w:lineRule="exact"/>
        <w:ind w:firstLine="420" w:firstLineChars="200"/>
        <w:jc w:val="left"/>
        <w:rPr>
          <w:rFonts w:hAnsi="宋体" w:cs="宋体"/>
          <w:sz w:val="44"/>
          <w:szCs w:val="44"/>
        </w:rPr>
      </w:pPr>
      <w:r>
        <w:rPr>
          <w:rFonts w:hint="eastAsia" w:hAnsi="宋体" w:cs="宋体"/>
          <w:color w:val="000000"/>
          <w:szCs w:val="21"/>
          <w:u w:val="single"/>
        </w:rPr>
        <w:t xml:space="preserve">本招标文件中带 “▲”的有关技术和商务条款为实质性条款，投标人必须在投标文件中作出实质性响应，否则投标无效。 </w:t>
      </w:r>
      <w:r>
        <w:rPr>
          <w:rFonts w:hint="eastAsia" w:hAnsi="宋体" w:cs="宋体"/>
          <w:u w:val="single"/>
        </w:rPr>
        <w:t>“★”系产品采购项目中核心参数。</w:t>
      </w:r>
    </w:p>
    <w:p w14:paraId="67DF1031">
      <w:pPr>
        <w:bidi w:val="0"/>
        <w:rPr>
          <w:rFonts w:hint="eastAsia"/>
        </w:rPr>
      </w:pPr>
    </w:p>
    <w:p w14:paraId="62E757AD">
      <w:pPr>
        <w:pStyle w:val="21"/>
        <w:keepNext w:val="0"/>
        <w:keepLines w:val="0"/>
        <w:pageBreakBefore w:val="0"/>
        <w:widowControl w:val="0"/>
        <w:kinsoku/>
        <w:wordWrap/>
        <w:overflowPunct/>
        <w:topLinePunct w:val="0"/>
        <w:autoSpaceDE/>
        <w:autoSpaceDN/>
        <w:bidi w:val="0"/>
        <w:adjustRightInd/>
        <w:snapToGrid/>
        <w:spacing w:line="20" w:lineRule="atLeast"/>
        <w:textAlignment w:val="auto"/>
        <w:rPr>
          <w:color w:val="auto"/>
          <w:highlight w:val="none"/>
        </w:rPr>
      </w:pPr>
    </w:p>
    <w:p w14:paraId="30852349">
      <w:pPr>
        <w:pStyle w:val="22"/>
        <w:rPr>
          <w:color w:val="auto"/>
          <w:highlight w:val="none"/>
        </w:rPr>
      </w:pPr>
    </w:p>
    <w:p w14:paraId="53D50EFD">
      <w:pPr>
        <w:rPr>
          <w:color w:val="auto"/>
          <w:highlight w:val="none"/>
        </w:rPr>
      </w:pPr>
    </w:p>
    <w:p w14:paraId="71B5D1B3">
      <w:pPr>
        <w:pStyle w:val="21"/>
        <w:rPr>
          <w:color w:val="auto"/>
          <w:highlight w:val="none"/>
        </w:rPr>
      </w:pPr>
    </w:p>
    <w:p w14:paraId="6A93C29A">
      <w:pPr>
        <w:pStyle w:val="22"/>
        <w:rPr>
          <w:color w:val="auto"/>
          <w:highlight w:val="none"/>
        </w:rPr>
      </w:pPr>
    </w:p>
    <w:p w14:paraId="36F4D1A0">
      <w:pPr>
        <w:rPr>
          <w:color w:val="auto"/>
          <w:highlight w:val="none"/>
        </w:rPr>
      </w:pPr>
    </w:p>
    <w:p w14:paraId="3B518FC4">
      <w:pPr>
        <w:pStyle w:val="21"/>
        <w:rPr>
          <w:color w:val="auto"/>
          <w:highlight w:val="none"/>
        </w:rPr>
      </w:pPr>
    </w:p>
    <w:p w14:paraId="01D09212">
      <w:pPr>
        <w:pStyle w:val="22"/>
        <w:rPr>
          <w:color w:val="auto"/>
          <w:highlight w:val="none"/>
        </w:rPr>
      </w:pPr>
    </w:p>
    <w:p w14:paraId="5C0758DF">
      <w:pPr>
        <w:rPr>
          <w:color w:val="auto"/>
          <w:highlight w:val="none"/>
        </w:rPr>
      </w:pPr>
    </w:p>
    <w:p w14:paraId="53FD99E3">
      <w:pPr>
        <w:pStyle w:val="21"/>
        <w:rPr>
          <w:color w:val="auto"/>
          <w:highlight w:val="none"/>
        </w:rPr>
      </w:pPr>
    </w:p>
    <w:p w14:paraId="75B571F9">
      <w:pPr>
        <w:pStyle w:val="22"/>
        <w:rPr>
          <w:color w:val="auto"/>
          <w:highlight w:val="none"/>
        </w:rPr>
      </w:pPr>
    </w:p>
    <w:p w14:paraId="2788F245">
      <w:pPr>
        <w:rPr>
          <w:color w:val="auto"/>
          <w:highlight w:val="none"/>
        </w:rPr>
      </w:pPr>
    </w:p>
    <w:p w14:paraId="4EDE8E75">
      <w:pPr>
        <w:pStyle w:val="21"/>
        <w:rPr>
          <w:color w:val="auto"/>
          <w:highlight w:val="none"/>
        </w:rPr>
      </w:pPr>
    </w:p>
    <w:p w14:paraId="1223E4B9">
      <w:pPr>
        <w:pStyle w:val="22"/>
        <w:rPr>
          <w:color w:val="auto"/>
          <w:highlight w:val="none"/>
        </w:rPr>
      </w:pPr>
    </w:p>
    <w:p w14:paraId="0659C96C">
      <w:pPr>
        <w:rPr>
          <w:color w:val="auto"/>
          <w:highlight w:val="none"/>
        </w:rPr>
      </w:pPr>
    </w:p>
    <w:p w14:paraId="59CED358">
      <w:pPr>
        <w:rPr>
          <w:color w:val="auto"/>
          <w:highlight w:val="none"/>
        </w:rPr>
      </w:pPr>
    </w:p>
    <w:p w14:paraId="5B119127">
      <w:pPr>
        <w:pStyle w:val="22"/>
      </w:pPr>
    </w:p>
    <w:p w14:paraId="3C6844CF">
      <w:pPr>
        <w:pStyle w:val="22"/>
        <w:rPr>
          <w:color w:val="auto"/>
          <w:highlight w:val="none"/>
        </w:rPr>
      </w:pPr>
    </w:p>
    <w:p w14:paraId="6001AA19">
      <w:pPr>
        <w:rPr>
          <w:color w:val="auto"/>
          <w:highlight w:val="none"/>
        </w:rPr>
      </w:pPr>
    </w:p>
    <w:p w14:paraId="7DFB53A7">
      <w:pPr>
        <w:pStyle w:val="538"/>
        <w:jc w:val="center"/>
        <w:outlineLvl w:val="0"/>
        <w:rPr>
          <w:rStyle w:val="74"/>
          <w:rFonts w:hint="eastAsia" w:eastAsia="宋体"/>
          <w:color w:val="auto"/>
          <w:highlight w:val="none"/>
        </w:rPr>
      </w:pPr>
      <w:bookmarkStart w:id="159" w:name="_Toc26924"/>
      <w:bookmarkStart w:id="160" w:name="_Toc21466"/>
      <w:bookmarkStart w:id="161" w:name="_Toc20863"/>
      <w:r>
        <w:rPr>
          <w:rStyle w:val="74"/>
          <w:rFonts w:hint="eastAsia" w:eastAsia="宋体"/>
          <w:color w:val="auto"/>
          <w:highlight w:val="none"/>
        </w:rPr>
        <w:t>第三章  投标人须知</w:t>
      </w:r>
      <w:bookmarkEnd w:id="159"/>
      <w:bookmarkEnd w:id="160"/>
      <w:bookmarkEnd w:id="161"/>
    </w:p>
    <w:p w14:paraId="392AF67F">
      <w:pPr>
        <w:pStyle w:val="3"/>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color w:val="auto"/>
          <w:sz w:val="36"/>
          <w:szCs w:val="36"/>
          <w:highlight w:val="none"/>
        </w:rPr>
      </w:pPr>
      <w:bookmarkStart w:id="162" w:name="_Toc4890"/>
      <w:bookmarkStart w:id="163" w:name="_Toc28964"/>
      <w:bookmarkStart w:id="164" w:name="_Toc5053"/>
      <w:bookmarkStart w:id="165" w:name="_Toc18857"/>
      <w:bookmarkStart w:id="166" w:name="_Toc9522"/>
      <w:bookmarkStart w:id="167" w:name="_Toc30919"/>
      <w:bookmarkStart w:id="168" w:name="_Toc31446"/>
      <w:bookmarkStart w:id="169" w:name="_Toc32315"/>
      <w:bookmarkStart w:id="170" w:name="_Toc16323"/>
      <w:r>
        <w:rPr>
          <w:rFonts w:hint="eastAsia"/>
          <w:color w:val="auto"/>
          <w:sz w:val="36"/>
          <w:szCs w:val="36"/>
          <w:highlight w:val="none"/>
        </w:rPr>
        <w:t>前 附 表</w:t>
      </w:r>
    </w:p>
    <w:tbl>
      <w:tblPr>
        <w:tblStyle w:val="54"/>
        <w:tblW w:w="9500" w:type="dxa"/>
        <w:tblInd w:w="93" w:type="dxa"/>
        <w:tblLayout w:type="fixed"/>
        <w:tblCellMar>
          <w:top w:w="0" w:type="dxa"/>
          <w:left w:w="108" w:type="dxa"/>
          <w:bottom w:w="0" w:type="dxa"/>
          <w:right w:w="108" w:type="dxa"/>
        </w:tblCellMar>
      </w:tblPr>
      <w:tblGrid>
        <w:gridCol w:w="736"/>
        <w:gridCol w:w="1064"/>
        <w:gridCol w:w="7700"/>
      </w:tblGrid>
      <w:tr w14:paraId="18EAD205">
        <w:tblPrEx>
          <w:tblCellMar>
            <w:top w:w="0" w:type="dxa"/>
            <w:left w:w="108" w:type="dxa"/>
            <w:bottom w:w="0" w:type="dxa"/>
            <w:right w:w="108" w:type="dxa"/>
          </w:tblCellMar>
        </w:tblPrEx>
        <w:trPr>
          <w:trHeight w:val="298"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12DFA02E">
            <w:pPr>
              <w:spacing w:line="360" w:lineRule="auto"/>
              <w:jc w:val="center"/>
              <w:rPr>
                <w:rFonts w:hint="eastAsia" w:ascii="宋体" w:hAnsi="宋体" w:cs="宋体"/>
                <w:b/>
                <w:bCs/>
                <w:color w:val="auto"/>
                <w:sz w:val="20"/>
                <w:szCs w:val="20"/>
                <w:highlight w:val="none"/>
              </w:rPr>
            </w:pPr>
            <w:r>
              <w:rPr>
                <w:rFonts w:hint="eastAsia" w:ascii="宋体" w:hAnsi="宋体" w:cs="宋体"/>
                <w:b/>
                <w:bCs/>
                <w:color w:val="auto"/>
                <w:sz w:val="20"/>
                <w:szCs w:val="20"/>
                <w:highlight w:val="none"/>
              </w:rPr>
              <w:t>序号</w:t>
            </w:r>
          </w:p>
        </w:tc>
        <w:tc>
          <w:tcPr>
            <w:tcW w:w="1064" w:type="dxa"/>
            <w:tcBorders>
              <w:top w:val="single" w:color="000000" w:sz="4" w:space="0"/>
              <w:left w:val="single" w:color="000000" w:sz="4" w:space="0"/>
              <w:bottom w:val="single" w:color="000000" w:sz="4" w:space="0"/>
              <w:right w:val="single" w:color="000000" w:sz="4" w:space="0"/>
            </w:tcBorders>
            <w:noWrap/>
            <w:vAlign w:val="center"/>
          </w:tcPr>
          <w:p w14:paraId="022D9305">
            <w:pPr>
              <w:spacing w:line="360" w:lineRule="auto"/>
              <w:jc w:val="center"/>
              <w:rPr>
                <w:rFonts w:hint="eastAsia" w:ascii="宋体" w:hAnsi="宋体" w:cs="宋体"/>
                <w:b/>
                <w:bCs/>
                <w:color w:val="auto"/>
                <w:sz w:val="20"/>
                <w:szCs w:val="20"/>
                <w:highlight w:val="none"/>
              </w:rPr>
            </w:pPr>
            <w:r>
              <w:rPr>
                <w:rFonts w:hint="eastAsia" w:ascii="宋体" w:hAnsi="宋体" w:cs="宋体"/>
                <w:b/>
                <w:bCs/>
                <w:color w:val="auto"/>
                <w:sz w:val="20"/>
                <w:szCs w:val="20"/>
                <w:highlight w:val="none"/>
              </w:rPr>
              <w:t>内容</w:t>
            </w:r>
          </w:p>
        </w:tc>
        <w:tc>
          <w:tcPr>
            <w:tcW w:w="7700" w:type="dxa"/>
            <w:tcBorders>
              <w:top w:val="single" w:color="000000" w:sz="4" w:space="0"/>
              <w:left w:val="single" w:color="000000" w:sz="4" w:space="0"/>
              <w:bottom w:val="single" w:color="000000" w:sz="4" w:space="0"/>
              <w:right w:val="single" w:color="000000" w:sz="4" w:space="0"/>
            </w:tcBorders>
            <w:vAlign w:val="center"/>
          </w:tcPr>
          <w:p w14:paraId="1A60007F">
            <w:pPr>
              <w:spacing w:line="360" w:lineRule="auto"/>
              <w:jc w:val="center"/>
              <w:rPr>
                <w:rFonts w:hint="eastAsia" w:ascii="宋体" w:hAnsi="宋体" w:cs="宋体"/>
                <w:b/>
                <w:bCs/>
                <w:color w:val="auto"/>
                <w:sz w:val="20"/>
                <w:szCs w:val="20"/>
                <w:highlight w:val="none"/>
              </w:rPr>
            </w:pPr>
            <w:r>
              <w:rPr>
                <w:rFonts w:hint="eastAsia" w:ascii="宋体" w:hAnsi="宋体" w:cs="宋体"/>
                <w:b/>
                <w:bCs/>
                <w:color w:val="auto"/>
                <w:sz w:val="20"/>
                <w:szCs w:val="20"/>
                <w:highlight w:val="none"/>
              </w:rPr>
              <w:t>要求与说明</w:t>
            </w:r>
          </w:p>
        </w:tc>
      </w:tr>
      <w:tr w14:paraId="0BAFA0BF">
        <w:tblPrEx>
          <w:tblCellMar>
            <w:top w:w="0" w:type="dxa"/>
            <w:left w:w="108" w:type="dxa"/>
            <w:bottom w:w="0" w:type="dxa"/>
            <w:right w:w="108" w:type="dxa"/>
          </w:tblCellMar>
        </w:tblPrEx>
        <w:trPr>
          <w:trHeight w:val="586"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5EF9611C">
            <w:pPr>
              <w:spacing w:line="44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1</w:t>
            </w:r>
          </w:p>
        </w:tc>
        <w:tc>
          <w:tcPr>
            <w:tcW w:w="1064" w:type="dxa"/>
            <w:tcBorders>
              <w:top w:val="single" w:color="000000" w:sz="4" w:space="0"/>
              <w:left w:val="single" w:color="000000" w:sz="4" w:space="0"/>
              <w:bottom w:val="single" w:color="000000" w:sz="4" w:space="0"/>
              <w:right w:val="single" w:color="000000" w:sz="4" w:space="0"/>
            </w:tcBorders>
            <w:vAlign w:val="center"/>
          </w:tcPr>
          <w:p w14:paraId="45D2D411">
            <w:pPr>
              <w:spacing w:line="44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效力标准</w:t>
            </w:r>
          </w:p>
        </w:tc>
        <w:tc>
          <w:tcPr>
            <w:tcW w:w="7700" w:type="dxa"/>
            <w:tcBorders>
              <w:top w:val="single" w:color="000000" w:sz="4" w:space="0"/>
              <w:left w:val="single" w:color="000000" w:sz="4" w:space="0"/>
              <w:bottom w:val="single" w:color="000000" w:sz="4" w:space="0"/>
              <w:right w:val="single" w:color="000000" w:sz="4" w:space="0"/>
            </w:tcBorders>
            <w:vAlign w:val="center"/>
          </w:tcPr>
          <w:p w14:paraId="5C8C3F0F">
            <w:pPr>
              <w:spacing w:line="440" w:lineRule="exact"/>
              <w:rPr>
                <w:rFonts w:hint="eastAsia" w:ascii="宋体" w:hAnsi="宋体" w:cs="宋体"/>
                <w:b/>
                <w:bCs/>
                <w:color w:val="auto"/>
                <w:szCs w:val="21"/>
                <w:highlight w:val="none"/>
              </w:rPr>
            </w:pPr>
            <w:r>
              <w:rPr>
                <w:rFonts w:hint="eastAsia" w:ascii="宋体" w:hAnsi="宋体" w:cs="宋体"/>
                <w:b/>
                <w:bCs/>
                <w:color w:val="auto"/>
                <w:szCs w:val="21"/>
                <w:highlight w:val="none"/>
              </w:rPr>
              <w:t>其他内容与前附表有冲突的，以“前附表”为准。</w:t>
            </w:r>
          </w:p>
        </w:tc>
      </w:tr>
      <w:tr w14:paraId="33E15E88">
        <w:tblPrEx>
          <w:tblCellMar>
            <w:top w:w="0" w:type="dxa"/>
            <w:left w:w="108" w:type="dxa"/>
            <w:bottom w:w="0" w:type="dxa"/>
            <w:right w:w="108" w:type="dxa"/>
          </w:tblCellMar>
        </w:tblPrEx>
        <w:trPr>
          <w:trHeight w:val="298"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4DA17F95">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2</w:t>
            </w:r>
          </w:p>
        </w:tc>
        <w:tc>
          <w:tcPr>
            <w:tcW w:w="1064" w:type="dxa"/>
            <w:tcBorders>
              <w:top w:val="single" w:color="000000" w:sz="4" w:space="0"/>
              <w:left w:val="single" w:color="000000" w:sz="4" w:space="0"/>
              <w:bottom w:val="single" w:color="000000" w:sz="4" w:space="0"/>
              <w:right w:val="single" w:color="000000" w:sz="4" w:space="0"/>
            </w:tcBorders>
            <w:vAlign w:val="center"/>
          </w:tcPr>
          <w:p w14:paraId="20732238">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解释权</w:t>
            </w:r>
          </w:p>
        </w:tc>
        <w:tc>
          <w:tcPr>
            <w:tcW w:w="7700" w:type="dxa"/>
            <w:tcBorders>
              <w:top w:val="single" w:color="000000" w:sz="4" w:space="0"/>
              <w:left w:val="single" w:color="000000" w:sz="4" w:space="0"/>
              <w:bottom w:val="single" w:color="000000" w:sz="4" w:space="0"/>
              <w:right w:val="single" w:color="000000" w:sz="4" w:space="0"/>
            </w:tcBorders>
            <w:vAlign w:val="center"/>
          </w:tcPr>
          <w:p w14:paraId="0422A373">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本招标文件的解释权属于招标采购单位。</w:t>
            </w:r>
          </w:p>
        </w:tc>
      </w:tr>
      <w:tr w14:paraId="18F69A6D">
        <w:tblPrEx>
          <w:tblCellMar>
            <w:top w:w="0" w:type="dxa"/>
            <w:left w:w="108" w:type="dxa"/>
            <w:bottom w:w="0" w:type="dxa"/>
            <w:right w:w="108" w:type="dxa"/>
          </w:tblCellMar>
        </w:tblPrEx>
        <w:trPr>
          <w:trHeight w:val="874"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1D3982B2">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3</w:t>
            </w:r>
          </w:p>
        </w:tc>
        <w:tc>
          <w:tcPr>
            <w:tcW w:w="1064" w:type="dxa"/>
            <w:tcBorders>
              <w:top w:val="single" w:color="000000" w:sz="4" w:space="0"/>
              <w:left w:val="single" w:color="000000" w:sz="4" w:space="0"/>
              <w:bottom w:val="single" w:color="000000" w:sz="4" w:space="0"/>
              <w:right w:val="single" w:color="000000" w:sz="4" w:space="0"/>
            </w:tcBorders>
            <w:vAlign w:val="center"/>
          </w:tcPr>
          <w:p w14:paraId="5C034577">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免责声明</w:t>
            </w:r>
          </w:p>
        </w:tc>
        <w:tc>
          <w:tcPr>
            <w:tcW w:w="7700" w:type="dxa"/>
            <w:tcBorders>
              <w:top w:val="single" w:color="000000" w:sz="4" w:space="0"/>
              <w:left w:val="single" w:color="000000" w:sz="4" w:space="0"/>
              <w:bottom w:val="single" w:color="000000" w:sz="4" w:space="0"/>
              <w:right w:val="single" w:color="000000" w:sz="4" w:space="0"/>
            </w:tcBorders>
            <w:vAlign w:val="center"/>
          </w:tcPr>
          <w:p w14:paraId="6A70725D">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1.投标供应商自行承担投标过程中产生的费用。无论何种因素导致采购项目延期开标、废标（流标）、投标供应商未中标、项目终止采购的，采购人与采购机构均不承担供应商投标费用。</w:t>
            </w:r>
          </w:p>
          <w:p w14:paraId="13EA61B7">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2.投标供应商在投标、合同履行过程中必须做好安全保障工作，不因项目实施而危及自身及第三方人员、财产安全。若发生任何安全事故，由中标供应商自行承担一切责任并赔偿损失。</w:t>
            </w:r>
          </w:p>
        </w:tc>
      </w:tr>
      <w:tr w14:paraId="4463EC25">
        <w:tblPrEx>
          <w:tblCellMar>
            <w:top w:w="0" w:type="dxa"/>
            <w:left w:w="108" w:type="dxa"/>
            <w:bottom w:w="0" w:type="dxa"/>
            <w:right w:w="108" w:type="dxa"/>
          </w:tblCellMar>
        </w:tblPrEx>
        <w:trPr>
          <w:trHeight w:val="298"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0971ADC1">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4</w:t>
            </w:r>
          </w:p>
        </w:tc>
        <w:tc>
          <w:tcPr>
            <w:tcW w:w="1064" w:type="dxa"/>
            <w:tcBorders>
              <w:top w:val="single" w:color="000000" w:sz="4" w:space="0"/>
              <w:left w:val="single" w:color="000000" w:sz="4" w:space="0"/>
              <w:bottom w:val="single" w:color="000000" w:sz="4" w:space="0"/>
              <w:right w:val="single" w:color="000000" w:sz="4" w:space="0"/>
            </w:tcBorders>
            <w:vAlign w:val="center"/>
          </w:tcPr>
          <w:p w14:paraId="7CFF6AD5">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投标报价及费用</w:t>
            </w:r>
          </w:p>
        </w:tc>
        <w:tc>
          <w:tcPr>
            <w:tcW w:w="7700" w:type="dxa"/>
            <w:tcBorders>
              <w:top w:val="single" w:color="000000" w:sz="4" w:space="0"/>
              <w:left w:val="single" w:color="000000" w:sz="4" w:space="0"/>
              <w:bottom w:val="single" w:color="000000" w:sz="4" w:space="0"/>
              <w:right w:val="single" w:color="000000" w:sz="4" w:space="0"/>
            </w:tcBorders>
            <w:vAlign w:val="center"/>
          </w:tcPr>
          <w:p w14:paraId="141F6FDC">
            <w:pPr>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1.投标报价设置以单价或总价形式报价的，应以人民币报价；设置以利率报价的，应以利率形式报价。 </w:t>
            </w:r>
          </w:p>
          <w:p w14:paraId="00CAAB4A">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2.不论投标结果如何，投标人均应自行承担所有与投标有关的全部费用。</w:t>
            </w:r>
          </w:p>
          <w:p w14:paraId="53E595AC">
            <w:pPr>
              <w:pStyle w:val="30"/>
              <w:numPr>
                <w:ilvl w:val="0"/>
                <w:numId w:val="0"/>
              </w:numPr>
              <w:spacing w:line="0" w:lineRule="atLeas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3、本项目招标代理费由中标人在领取中标通知书时一次性支付给代理单位。</w:t>
            </w:r>
          </w:p>
          <w:p w14:paraId="78E386E1">
            <w:pPr>
              <w:rPr>
                <w:rFonts w:hint="default" w:ascii="宋体" w:hAnsi="宋体" w:eastAsia="宋体" w:cs="宋体"/>
                <w:color w:val="auto"/>
                <w:szCs w:val="21"/>
                <w:highlight w:val="none"/>
                <w:lang w:val="en-US" w:eastAsia="zh-CN"/>
              </w:rPr>
            </w:pPr>
            <w:r>
              <w:rPr>
                <w:rFonts w:hint="eastAsia" w:ascii="宋体" w:hAnsi="宋体" w:cs="宋体"/>
                <w:color w:val="auto"/>
                <w:kern w:val="2"/>
                <w:sz w:val="21"/>
                <w:szCs w:val="21"/>
                <w:highlight w:val="none"/>
                <w:lang w:val="en-US" w:eastAsia="zh-CN" w:bidi="ar-SA"/>
              </w:rPr>
              <w:t>招标代理费按20000元计</w:t>
            </w:r>
            <w:r>
              <w:rPr>
                <w:rFonts w:hint="eastAsia" w:ascii="宋体" w:hAnsi="宋体" w:eastAsia="宋体" w:cs="宋体"/>
                <w:color w:val="auto"/>
                <w:kern w:val="2"/>
                <w:sz w:val="21"/>
                <w:szCs w:val="21"/>
                <w:highlight w:val="none"/>
                <w:lang w:val="en-US" w:eastAsia="zh-CN" w:bidi="ar-SA"/>
              </w:rPr>
              <w:t>取。请供应商在报价时综合考虑。</w:t>
            </w:r>
          </w:p>
        </w:tc>
      </w:tr>
      <w:tr w14:paraId="771A90CF">
        <w:tblPrEx>
          <w:tblCellMar>
            <w:top w:w="0" w:type="dxa"/>
            <w:left w:w="108" w:type="dxa"/>
            <w:bottom w:w="0" w:type="dxa"/>
            <w:right w:w="108" w:type="dxa"/>
          </w:tblCellMar>
        </w:tblPrEx>
        <w:trPr>
          <w:trHeight w:val="874"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318AF9FA">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5</w:t>
            </w:r>
          </w:p>
        </w:tc>
        <w:tc>
          <w:tcPr>
            <w:tcW w:w="1064" w:type="dxa"/>
            <w:tcBorders>
              <w:top w:val="single" w:color="000000" w:sz="4" w:space="0"/>
              <w:left w:val="single" w:color="000000" w:sz="4" w:space="0"/>
              <w:bottom w:val="single" w:color="000000" w:sz="4" w:space="0"/>
              <w:right w:val="single" w:color="000000" w:sz="4" w:space="0"/>
            </w:tcBorders>
            <w:vAlign w:val="center"/>
          </w:tcPr>
          <w:p w14:paraId="6A036ABA">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联合体</w:t>
            </w:r>
          </w:p>
        </w:tc>
        <w:tc>
          <w:tcPr>
            <w:tcW w:w="7700" w:type="dxa"/>
            <w:tcBorders>
              <w:top w:val="single" w:color="000000" w:sz="4" w:space="0"/>
              <w:left w:val="single" w:color="000000" w:sz="4" w:space="0"/>
              <w:bottom w:val="single" w:color="000000" w:sz="4" w:space="0"/>
              <w:right w:val="single" w:color="000000" w:sz="4" w:space="0"/>
            </w:tcBorders>
            <w:vAlign w:val="center"/>
          </w:tcPr>
          <w:p w14:paraId="77F5CEC9">
            <w:pPr>
              <w:snapToGrid w:val="0"/>
              <w:spacing w:line="480" w:lineRule="exact"/>
              <w:ind w:right="218" w:rightChars="104"/>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本项目接受</w:t>
            </w:r>
            <w:r>
              <w:rPr>
                <w:rFonts w:hint="eastAsia" w:ascii="宋体" w:hAnsi="宋体" w:eastAsia="宋体" w:cs="宋体"/>
                <w:bCs/>
                <w:color w:val="auto"/>
                <w:sz w:val="21"/>
                <w:szCs w:val="21"/>
                <w:highlight w:val="none"/>
                <w:lang w:eastAsia="zh-CN"/>
              </w:rPr>
              <w:t>（</w:t>
            </w:r>
            <w:r>
              <w:rPr>
                <w:rFonts w:hint="eastAsia" w:ascii="宋体" w:hAnsi="宋体" w:eastAsia="宋体" w:cs="宋体"/>
                <w:color w:val="auto"/>
                <w:sz w:val="21"/>
                <w:szCs w:val="21"/>
                <w:highlight w:val="none"/>
              </w:rPr>
              <w:sym w:font="Wingdings" w:char="00FE"/>
            </w:r>
            <w:r>
              <w:rPr>
                <w:rFonts w:hint="eastAsia" w:ascii="宋体" w:hAnsi="宋体" w:eastAsia="宋体" w:cs="宋体"/>
                <w:bCs/>
                <w:color w:val="auto"/>
                <w:sz w:val="21"/>
                <w:szCs w:val="21"/>
                <w:highlight w:val="none"/>
                <w:lang w:eastAsia="zh-CN"/>
              </w:rPr>
              <w:t>部分</w:t>
            </w:r>
            <w:r>
              <w:rPr>
                <w:rFonts w:hint="eastAsia" w:ascii="宋体" w:hAnsi="宋体" w:eastAsia="宋体" w:cs="宋体"/>
                <w:bCs/>
                <w:color w:val="auto"/>
                <w:sz w:val="21"/>
                <w:szCs w:val="21"/>
                <w:highlight w:val="none"/>
                <w:lang w:val="en-US" w:eastAsia="zh-CN"/>
              </w:rPr>
              <w:t>/</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lang w:val="en-US" w:eastAsia="zh-CN"/>
              </w:rPr>
              <w:t>全部</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联合体投标。</w:t>
            </w:r>
          </w:p>
          <w:p w14:paraId="423C5E63">
            <w:pPr>
              <w:spacing w:line="480" w:lineRule="exact"/>
              <w:ind w:firstLine="840" w:firstLineChars="4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rPr>
              <w:t>大型企业与大型企业组成联合体</w:t>
            </w:r>
            <w:r>
              <w:rPr>
                <w:rFonts w:hint="eastAsia" w:ascii="宋体" w:hAnsi="宋体" w:eastAsia="宋体" w:cs="宋体"/>
                <w:color w:val="auto"/>
                <w:sz w:val="21"/>
                <w:szCs w:val="21"/>
                <w:highlight w:val="none"/>
                <w:lang w:eastAsia="zh-CN"/>
              </w:rPr>
              <w:t>；</w:t>
            </w:r>
          </w:p>
          <w:p w14:paraId="6D61B869">
            <w:pPr>
              <w:spacing w:line="480" w:lineRule="exact"/>
              <w:ind w:firstLine="840" w:firstLineChars="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rPr>
              <w:t>大型企业与</w:t>
            </w:r>
            <w:r>
              <w:rPr>
                <w:rFonts w:hint="eastAsia" w:ascii="宋体" w:hAnsi="宋体" w:eastAsia="宋体" w:cs="宋体"/>
                <w:bCs/>
                <w:color w:val="auto"/>
                <w:sz w:val="21"/>
                <w:szCs w:val="21"/>
                <w:highlight w:val="none"/>
              </w:rPr>
              <w:t>中型</w:t>
            </w:r>
            <w:r>
              <w:rPr>
                <w:rFonts w:hint="eastAsia" w:ascii="宋体" w:hAnsi="宋体" w:eastAsia="宋体" w:cs="宋体"/>
                <w:color w:val="auto"/>
                <w:sz w:val="21"/>
                <w:szCs w:val="21"/>
                <w:highlight w:val="none"/>
              </w:rPr>
              <w:t>企业组成联合体；</w:t>
            </w:r>
          </w:p>
          <w:p w14:paraId="7AF500CA">
            <w:pPr>
              <w:spacing w:line="480" w:lineRule="exact"/>
              <w:ind w:firstLine="840" w:firstLineChars="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w:char="00FE"/>
            </w:r>
            <w:r>
              <w:rPr>
                <w:rFonts w:hint="eastAsia" w:ascii="宋体" w:hAnsi="宋体" w:eastAsia="宋体" w:cs="宋体"/>
                <w:color w:val="auto"/>
                <w:sz w:val="21"/>
                <w:szCs w:val="21"/>
                <w:highlight w:val="none"/>
              </w:rPr>
              <w:t>大型企业与小微企业组成联合体；</w:t>
            </w:r>
          </w:p>
          <w:p w14:paraId="7D72577D">
            <w:pPr>
              <w:spacing w:line="480" w:lineRule="exact"/>
              <w:ind w:firstLine="840" w:firstLineChars="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中型企业与中型企业组成联合体</w:t>
            </w:r>
            <w:r>
              <w:rPr>
                <w:rFonts w:hint="eastAsia" w:ascii="宋体" w:hAnsi="宋体" w:eastAsia="宋体" w:cs="宋体"/>
                <w:color w:val="auto"/>
                <w:sz w:val="21"/>
                <w:szCs w:val="21"/>
                <w:highlight w:val="none"/>
              </w:rPr>
              <w:t>；</w:t>
            </w:r>
          </w:p>
          <w:p w14:paraId="0B0E1B02">
            <w:pPr>
              <w:spacing w:line="480" w:lineRule="exact"/>
              <w:ind w:firstLine="840" w:firstLineChars="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w:char="00FE"/>
            </w:r>
            <w:r>
              <w:rPr>
                <w:rFonts w:hint="eastAsia" w:ascii="宋体" w:hAnsi="宋体" w:eastAsia="宋体" w:cs="宋体"/>
                <w:bCs/>
                <w:color w:val="auto"/>
                <w:sz w:val="21"/>
                <w:szCs w:val="21"/>
                <w:highlight w:val="none"/>
              </w:rPr>
              <w:t>中型企业与小微企业组成联合体</w:t>
            </w:r>
            <w:r>
              <w:rPr>
                <w:rFonts w:hint="eastAsia" w:ascii="宋体" w:hAnsi="宋体" w:eastAsia="宋体" w:cs="宋体"/>
                <w:color w:val="auto"/>
                <w:sz w:val="21"/>
                <w:szCs w:val="21"/>
                <w:highlight w:val="none"/>
              </w:rPr>
              <w:t>；</w:t>
            </w:r>
          </w:p>
          <w:p w14:paraId="0BF4C335">
            <w:pPr>
              <w:spacing w:line="480" w:lineRule="exact"/>
              <w:ind w:firstLine="840" w:firstLineChars="400"/>
              <w:rPr>
                <w:rFonts w:hint="eastAsia" w:ascii="宋体" w:hAnsi="宋体" w:eastAsia="宋体" w:cs="宋体"/>
                <w:color w:val="auto"/>
                <w:szCs w:val="21"/>
                <w:highlight w:val="none"/>
                <w:lang w:eastAsia="zh-CN"/>
              </w:rPr>
            </w:pPr>
            <w:r>
              <w:rPr>
                <w:rFonts w:hint="eastAsia" w:ascii="宋体" w:hAnsi="宋体" w:eastAsia="宋体" w:cs="宋体"/>
                <w:color w:val="auto"/>
                <w:sz w:val="21"/>
                <w:szCs w:val="21"/>
                <w:highlight w:val="none"/>
              </w:rPr>
              <w:sym w:font="Wingdings" w:char="00FE"/>
            </w:r>
            <w:r>
              <w:rPr>
                <w:rFonts w:hint="eastAsia" w:ascii="宋体" w:hAnsi="宋体" w:eastAsia="宋体" w:cs="宋体"/>
                <w:bCs/>
                <w:color w:val="auto"/>
                <w:sz w:val="21"/>
                <w:szCs w:val="21"/>
                <w:highlight w:val="none"/>
              </w:rPr>
              <w:t>小微企业与小微企业组成联合体</w:t>
            </w:r>
            <w:r>
              <w:rPr>
                <w:rFonts w:hint="eastAsia" w:ascii="宋体" w:hAnsi="宋体" w:eastAsia="宋体" w:cs="宋体"/>
                <w:color w:val="auto"/>
                <w:sz w:val="21"/>
                <w:szCs w:val="21"/>
                <w:highlight w:val="none"/>
              </w:rPr>
              <w:t>；</w:t>
            </w:r>
          </w:p>
        </w:tc>
      </w:tr>
      <w:tr w14:paraId="78B9A26D">
        <w:tblPrEx>
          <w:tblCellMar>
            <w:top w:w="0" w:type="dxa"/>
            <w:left w:w="108" w:type="dxa"/>
            <w:bottom w:w="0" w:type="dxa"/>
            <w:right w:w="108" w:type="dxa"/>
          </w:tblCellMar>
        </w:tblPrEx>
        <w:trPr>
          <w:trHeight w:val="874"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72E91C7F">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6</w:t>
            </w:r>
          </w:p>
        </w:tc>
        <w:tc>
          <w:tcPr>
            <w:tcW w:w="1064" w:type="dxa"/>
            <w:tcBorders>
              <w:top w:val="single" w:color="000000" w:sz="4" w:space="0"/>
              <w:left w:val="single" w:color="000000" w:sz="4" w:space="0"/>
              <w:bottom w:val="single" w:color="000000" w:sz="4" w:space="0"/>
              <w:right w:val="single" w:color="000000" w:sz="4" w:space="0"/>
            </w:tcBorders>
            <w:vAlign w:val="center"/>
          </w:tcPr>
          <w:p w14:paraId="5B35533B">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签字或盖章</w:t>
            </w:r>
          </w:p>
        </w:tc>
        <w:tc>
          <w:tcPr>
            <w:tcW w:w="7700" w:type="dxa"/>
            <w:tcBorders>
              <w:top w:val="single" w:color="000000" w:sz="4" w:space="0"/>
              <w:left w:val="single" w:color="000000" w:sz="4" w:space="0"/>
              <w:bottom w:val="single" w:color="000000" w:sz="4" w:space="0"/>
              <w:right w:val="single" w:color="000000" w:sz="4" w:space="0"/>
            </w:tcBorders>
            <w:vAlign w:val="center"/>
          </w:tcPr>
          <w:p w14:paraId="5ACB4CE0">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线上电子投标所涉及的加盖公章均采用CA电子签章；法定代表人或其授权代表签字或盖章的内容，如果投标单位没有法定代表人电子签章，涉及到法定代表人或其授权代表签字或盖章的内容，投标单位可以线下签字或盖章后扫描上传。</w:t>
            </w:r>
          </w:p>
        </w:tc>
      </w:tr>
      <w:tr w14:paraId="1D235BAD">
        <w:tblPrEx>
          <w:tblCellMar>
            <w:top w:w="0" w:type="dxa"/>
            <w:left w:w="108" w:type="dxa"/>
            <w:bottom w:w="0" w:type="dxa"/>
            <w:right w:w="108" w:type="dxa"/>
          </w:tblCellMar>
        </w:tblPrEx>
        <w:trPr>
          <w:trHeight w:val="874"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1A4B96A9">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7</w:t>
            </w:r>
          </w:p>
        </w:tc>
        <w:tc>
          <w:tcPr>
            <w:tcW w:w="1064" w:type="dxa"/>
            <w:tcBorders>
              <w:top w:val="single" w:color="000000" w:sz="4" w:space="0"/>
              <w:left w:val="single" w:color="000000" w:sz="4" w:space="0"/>
              <w:bottom w:val="single" w:color="000000" w:sz="4" w:space="0"/>
              <w:right w:val="single" w:color="000000" w:sz="4" w:space="0"/>
            </w:tcBorders>
            <w:vAlign w:val="center"/>
          </w:tcPr>
          <w:p w14:paraId="2758031B">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投标文件有效期</w:t>
            </w:r>
          </w:p>
        </w:tc>
        <w:tc>
          <w:tcPr>
            <w:tcW w:w="7700" w:type="dxa"/>
            <w:tcBorders>
              <w:top w:val="single" w:color="000000" w:sz="4" w:space="0"/>
              <w:left w:val="single" w:color="000000" w:sz="4" w:space="0"/>
              <w:bottom w:val="single" w:color="000000" w:sz="4" w:space="0"/>
              <w:right w:val="single" w:color="000000" w:sz="4" w:space="0"/>
            </w:tcBorders>
            <w:vAlign w:val="center"/>
          </w:tcPr>
          <w:p w14:paraId="58583434">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提交投标文件截止时间起60天</w:t>
            </w:r>
          </w:p>
        </w:tc>
      </w:tr>
      <w:tr w14:paraId="0DF506AB">
        <w:tblPrEx>
          <w:tblCellMar>
            <w:top w:w="0" w:type="dxa"/>
            <w:left w:w="108" w:type="dxa"/>
            <w:bottom w:w="0" w:type="dxa"/>
            <w:right w:w="108" w:type="dxa"/>
          </w:tblCellMar>
        </w:tblPrEx>
        <w:trPr>
          <w:trHeight w:val="1452"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696EFBC4">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8</w:t>
            </w:r>
          </w:p>
        </w:tc>
        <w:tc>
          <w:tcPr>
            <w:tcW w:w="1064" w:type="dxa"/>
            <w:tcBorders>
              <w:top w:val="single" w:color="000000" w:sz="4" w:space="0"/>
              <w:left w:val="single" w:color="000000" w:sz="4" w:space="0"/>
              <w:bottom w:val="single" w:color="000000" w:sz="4" w:space="0"/>
              <w:right w:val="single" w:color="000000" w:sz="4" w:space="0"/>
            </w:tcBorders>
            <w:vAlign w:val="center"/>
          </w:tcPr>
          <w:p w14:paraId="116FB48F">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答疑与澄清</w:t>
            </w:r>
          </w:p>
        </w:tc>
        <w:tc>
          <w:tcPr>
            <w:tcW w:w="7700" w:type="dxa"/>
            <w:tcBorders>
              <w:top w:val="single" w:color="000000" w:sz="4" w:space="0"/>
              <w:left w:val="single" w:color="000000" w:sz="4" w:space="0"/>
              <w:bottom w:val="single" w:color="000000" w:sz="4" w:space="0"/>
              <w:right w:val="single" w:color="000000" w:sz="4" w:space="0"/>
            </w:tcBorders>
            <w:vAlign w:val="center"/>
          </w:tcPr>
          <w:p w14:paraId="165FB7E4">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投标人如认为招标文件表述不清晰、存在歧视性、排他性或者其他违法内容的，应当于开标前3天，以书面形式要求招标采购单位作出书面解释、澄清或者向招标采购单位提出书面质疑；招标采购单位将在规定时间内统一将答疑内容以传真或网上发布公告的形式通知所有已获取采购文件的投标人；答疑内容是招标文件的组成部分；因其他紧急情况影响本项目正常招标活动的，招标采购单位将于投标截止日期前书面通知所有已获取采购文件的投标人。</w:t>
            </w:r>
          </w:p>
        </w:tc>
      </w:tr>
      <w:tr w14:paraId="33258AC3">
        <w:tblPrEx>
          <w:tblCellMar>
            <w:top w:w="0" w:type="dxa"/>
            <w:left w:w="108" w:type="dxa"/>
            <w:bottom w:w="0" w:type="dxa"/>
            <w:right w:w="108" w:type="dxa"/>
          </w:tblCellMar>
        </w:tblPrEx>
        <w:trPr>
          <w:trHeight w:val="90"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5693D900">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9</w:t>
            </w:r>
          </w:p>
        </w:tc>
        <w:tc>
          <w:tcPr>
            <w:tcW w:w="1064" w:type="dxa"/>
            <w:tcBorders>
              <w:top w:val="single" w:color="000000" w:sz="4" w:space="0"/>
              <w:left w:val="single" w:color="000000" w:sz="4" w:space="0"/>
              <w:bottom w:val="nil"/>
              <w:right w:val="single" w:color="000000" w:sz="4" w:space="0"/>
            </w:tcBorders>
            <w:vAlign w:val="center"/>
          </w:tcPr>
          <w:p w14:paraId="2E9127EC">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投标文件的递交</w:t>
            </w:r>
          </w:p>
        </w:tc>
        <w:tc>
          <w:tcPr>
            <w:tcW w:w="7700" w:type="dxa"/>
            <w:tcBorders>
              <w:top w:val="single" w:color="000000" w:sz="4" w:space="0"/>
              <w:left w:val="single" w:color="000000" w:sz="4" w:space="0"/>
              <w:bottom w:val="single" w:color="000000" w:sz="4" w:space="0"/>
              <w:right w:val="single" w:color="000000" w:sz="4" w:space="0"/>
            </w:tcBorders>
            <w:vAlign w:val="center"/>
          </w:tcPr>
          <w:p w14:paraId="5DC4FB1E">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本项目实行在线电子投标。分电子投标文件、以介质存储的数据电文形式的备份投标文件、纸质备份投标文件三类，不同形式递交的文件内容均应一致：</w:t>
            </w:r>
          </w:p>
          <w:p w14:paraId="3C7D8DDC">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电子投标文件，按政采云平台供应商项目采购-电子招投标操作指南及本招标文件要求递交。投标人应当在投标截止时间前完成电子投标文件的传输递交，投标截止时间前可以补充、修改或者撤回电子投标文件。补充或者修改电子投标文件的，应当先行撤回原文件后重新传输递交。投标截止时间前未完成传输的，视为撤回投标文件。投标截止时间后拒收投标文件。</w:t>
            </w:r>
          </w:p>
          <w:p w14:paraId="1070B9CC">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（2）以介质存储的数据电文形式的备份投标文件，按政采云平台项目采购-电子招投标操作指南中上传的电子投标文件格式，以U盘形式提供1份。</w:t>
            </w:r>
          </w:p>
          <w:p w14:paraId="4C07B48A">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（3）纸质备份投标文件将以纸质文件的形式递交，正本 1 份，副本1份。</w:t>
            </w:r>
          </w:p>
          <w:p w14:paraId="337BE7AE">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备份文件不做强制性要求，由投标人自行考虑是否提供，后果自行承担。</w:t>
            </w:r>
          </w:p>
          <w:p w14:paraId="3737A270">
            <w:pPr>
              <w:spacing w:line="440" w:lineRule="exact"/>
              <w:rPr>
                <w:rFonts w:hint="eastAsia" w:ascii="宋体" w:hAnsi="宋体" w:eastAsia="宋体" w:cs="宋体"/>
                <w:color w:val="auto"/>
                <w:szCs w:val="21"/>
                <w:highlight w:val="none"/>
                <w:lang w:eastAsia="zh-CN"/>
              </w:rPr>
            </w:pPr>
            <w:r>
              <w:rPr>
                <w:rFonts w:hint="eastAsia" w:ascii="宋体" w:hAnsi="宋体" w:cs="宋体"/>
                <w:b/>
                <w:bCs/>
                <w:color w:val="auto"/>
                <w:szCs w:val="21"/>
                <w:highlight w:val="none"/>
              </w:rPr>
              <w:t>供应商仅提供备份投标文件（包括以电子备份投标文件、纸质备份投标文件）投标的，投标无效。备份投标文件</w:t>
            </w:r>
            <w:r>
              <w:rPr>
                <w:rFonts w:hint="eastAsia" w:ascii="宋体" w:hAnsi="宋体" w:cs="宋体"/>
                <w:b/>
                <w:bCs/>
                <w:color w:val="auto"/>
                <w:szCs w:val="21"/>
                <w:highlight w:val="none"/>
                <w:lang w:eastAsia="zh-CN"/>
              </w:rPr>
              <w:t>应与</w:t>
            </w:r>
            <w:r>
              <w:rPr>
                <w:rFonts w:hint="eastAsia" w:ascii="宋体" w:hAnsi="宋体" w:eastAsia="宋体" w:cs="宋体"/>
                <w:b/>
                <w:bCs/>
                <w:color w:val="auto"/>
                <w:szCs w:val="21"/>
                <w:highlight w:val="none"/>
              </w:rPr>
              <w:t>电子投标文件</w:t>
            </w:r>
            <w:r>
              <w:rPr>
                <w:rFonts w:hint="eastAsia" w:ascii="宋体" w:hAnsi="宋体" w:eastAsia="宋体" w:cs="宋体"/>
                <w:b/>
                <w:bCs/>
                <w:color w:val="auto"/>
                <w:szCs w:val="21"/>
                <w:highlight w:val="none"/>
                <w:lang w:eastAsia="zh-CN"/>
              </w:rPr>
              <w:t>内容一致。</w:t>
            </w:r>
          </w:p>
          <w:p w14:paraId="641900D0">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供应商若提供备份投标文件的，投标人在投标截止时间前将纸质备份投标文件分别按要求密封送交到金华市公共资源交易中心磐安县分中心开标室二（安文街道花月路211号建设大厦22楼），逾期送达或未按要求密封将被拒收。如投标人未在投标截止时间前完成电子投标文件的传输递交，其纸质备份投标文件也将被拒收。</w:t>
            </w:r>
          </w:p>
        </w:tc>
      </w:tr>
      <w:tr w14:paraId="19673F41">
        <w:tblPrEx>
          <w:tblCellMar>
            <w:top w:w="0" w:type="dxa"/>
            <w:left w:w="108" w:type="dxa"/>
            <w:bottom w:w="0" w:type="dxa"/>
            <w:right w:w="108" w:type="dxa"/>
          </w:tblCellMar>
        </w:tblPrEx>
        <w:trPr>
          <w:trHeight w:val="945"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38FE48E2">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10</w:t>
            </w:r>
          </w:p>
        </w:tc>
        <w:tc>
          <w:tcPr>
            <w:tcW w:w="1064" w:type="dxa"/>
            <w:tcBorders>
              <w:top w:val="single" w:color="000000" w:sz="4" w:space="0"/>
              <w:left w:val="single" w:color="000000" w:sz="4" w:space="0"/>
              <w:bottom w:val="single" w:color="000000" w:sz="4" w:space="0"/>
              <w:right w:val="single" w:color="000000" w:sz="4" w:space="0"/>
            </w:tcBorders>
            <w:vAlign w:val="center"/>
          </w:tcPr>
          <w:p w14:paraId="76577F11">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信用查询</w:t>
            </w:r>
          </w:p>
        </w:tc>
        <w:tc>
          <w:tcPr>
            <w:tcW w:w="7700" w:type="dxa"/>
            <w:tcBorders>
              <w:top w:val="single" w:color="000000" w:sz="4" w:space="0"/>
              <w:left w:val="single" w:color="000000" w:sz="4" w:space="0"/>
              <w:bottom w:val="single" w:color="000000" w:sz="4" w:space="0"/>
              <w:right w:val="single" w:color="000000" w:sz="4" w:space="0"/>
            </w:tcBorders>
            <w:vAlign w:val="center"/>
          </w:tcPr>
          <w:p w14:paraId="6434EFAC">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根据《关于在政府采购活动中查询及使用信用记录有关问题的通知》财库[2</w:t>
            </w:r>
            <w:r>
              <w:rPr>
                <w:rFonts w:hint="eastAsia" w:ascii="宋体" w:hAnsi="宋体" w:cs="宋体"/>
                <w:color w:val="auto"/>
                <w:szCs w:val="21"/>
                <w:highlight w:val="none"/>
                <w:lang w:eastAsia="zh-CN"/>
              </w:rPr>
              <w:t>002</w:t>
            </w:r>
            <w:r>
              <w:rPr>
                <w:rFonts w:hint="eastAsia" w:ascii="宋体" w:hAnsi="宋体" w:cs="宋体"/>
                <w:color w:val="auto"/>
                <w:szCs w:val="21"/>
                <w:highlight w:val="none"/>
              </w:rPr>
              <w:t>]125号的规定：</w:t>
            </w:r>
          </w:p>
          <w:p w14:paraId="4B8E00B8">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（1）招标人或采购代理机构将对本项目供应商的信用记录进行查询。查询渠道为信用中国网站（www.creditchina.gov.cn）、中国政府采购网（www.ccgp.gov.cn）；</w:t>
            </w:r>
          </w:p>
          <w:p w14:paraId="6254FA4E">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（2）截止时点：提交投标文件（响应文件）截止时间前3年内；</w:t>
            </w:r>
          </w:p>
          <w:p w14:paraId="77074824">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（3）查询记录和证据的留存：信用信息查询记录和证据以网页截图等方式留存。</w:t>
            </w:r>
          </w:p>
          <w:p w14:paraId="25C229E2">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（4）使用规则：被列入失信被执行人、重大税收违法案件当事人名单、政府采购严重违法失信行为记录名单及其它不符合《中华人民共和国政府采购法》第二十二条规定条件的，其投标将被拒绝。</w:t>
            </w:r>
          </w:p>
          <w:p w14:paraId="6117E279">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（5）联合体成员任意一方存在不良信用记录的，视同联合体存在不良信用记录。</w:t>
            </w:r>
          </w:p>
        </w:tc>
      </w:tr>
      <w:tr w14:paraId="37326B8E">
        <w:tblPrEx>
          <w:tblCellMar>
            <w:top w:w="0" w:type="dxa"/>
            <w:left w:w="108" w:type="dxa"/>
            <w:bottom w:w="0" w:type="dxa"/>
            <w:right w:w="108" w:type="dxa"/>
          </w:tblCellMar>
        </w:tblPrEx>
        <w:trPr>
          <w:trHeight w:val="90"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6833E933">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11</w:t>
            </w:r>
          </w:p>
        </w:tc>
        <w:tc>
          <w:tcPr>
            <w:tcW w:w="1064" w:type="dxa"/>
            <w:tcBorders>
              <w:top w:val="single" w:color="000000" w:sz="4" w:space="0"/>
              <w:left w:val="single" w:color="000000" w:sz="4" w:space="0"/>
              <w:bottom w:val="single" w:color="000000" w:sz="4" w:space="0"/>
              <w:right w:val="single" w:color="000000" w:sz="4" w:space="0"/>
            </w:tcBorders>
            <w:vAlign w:val="center"/>
          </w:tcPr>
          <w:p w14:paraId="7E76BF1B">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评标结果公示</w:t>
            </w:r>
          </w:p>
        </w:tc>
        <w:tc>
          <w:tcPr>
            <w:tcW w:w="7700" w:type="dxa"/>
            <w:tcBorders>
              <w:top w:val="single" w:color="000000" w:sz="4" w:space="0"/>
              <w:left w:val="single" w:color="000000" w:sz="4" w:space="0"/>
              <w:bottom w:val="single" w:color="000000" w:sz="4" w:space="0"/>
              <w:right w:val="single" w:color="000000" w:sz="4" w:space="0"/>
            </w:tcBorders>
            <w:vAlign w:val="center"/>
          </w:tcPr>
          <w:p w14:paraId="4D4ACAD3">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确定中标人之日起2个工作日内，发中标通知书，并同时将中标结果公示于浙江省政府采购网；</w:t>
            </w:r>
          </w:p>
        </w:tc>
      </w:tr>
      <w:tr w14:paraId="06A8FA2C">
        <w:tblPrEx>
          <w:tblCellMar>
            <w:top w:w="0" w:type="dxa"/>
            <w:left w:w="108" w:type="dxa"/>
            <w:bottom w:w="0" w:type="dxa"/>
            <w:right w:w="108" w:type="dxa"/>
          </w:tblCellMar>
        </w:tblPrEx>
        <w:trPr>
          <w:trHeight w:val="586"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11481176">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12</w:t>
            </w:r>
          </w:p>
        </w:tc>
        <w:tc>
          <w:tcPr>
            <w:tcW w:w="1064" w:type="dxa"/>
            <w:tcBorders>
              <w:top w:val="single" w:color="000000" w:sz="4" w:space="0"/>
              <w:left w:val="single" w:color="000000" w:sz="4" w:space="0"/>
              <w:bottom w:val="single" w:color="000000" w:sz="4" w:space="0"/>
              <w:right w:val="single" w:color="000000" w:sz="4" w:space="0"/>
            </w:tcBorders>
            <w:vAlign w:val="center"/>
          </w:tcPr>
          <w:p w14:paraId="4BC07142">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签订合同时间</w:t>
            </w:r>
          </w:p>
        </w:tc>
        <w:tc>
          <w:tcPr>
            <w:tcW w:w="7700" w:type="dxa"/>
            <w:tcBorders>
              <w:top w:val="single" w:color="000000" w:sz="4" w:space="0"/>
              <w:left w:val="single" w:color="000000" w:sz="4" w:space="0"/>
              <w:bottom w:val="single" w:color="000000" w:sz="4" w:space="0"/>
              <w:right w:val="single" w:color="000000" w:sz="4" w:space="0"/>
            </w:tcBorders>
            <w:vAlign w:val="center"/>
          </w:tcPr>
          <w:p w14:paraId="49303482">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中标通知书发出后20日内。</w:t>
            </w:r>
          </w:p>
        </w:tc>
      </w:tr>
      <w:tr w14:paraId="24F86A7C">
        <w:tblPrEx>
          <w:tblCellMar>
            <w:top w:w="0" w:type="dxa"/>
            <w:left w:w="108" w:type="dxa"/>
            <w:bottom w:w="0" w:type="dxa"/>
            <w:right w:w="108" w:type="dxa"/>
          </w:tblCellMar>
        </w:tblPrEx>
        <w:trPr>
          <w:trHeight w:val="586"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48C7ACD1">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13</w:t>
            </w:r>
          </w:p>
        </w:tc>
        <w:tc>
          <w:tcPr>
            <w:tcW w:w="1064" w:type="dxa"/>
            <w:tcBorders>
              <w:top w:val="single" w:color="000000" w:sz="4" w:space="0"/>
              <w:left w:val="single" w:color="000000" w:sz="4" w:space="0"/>
              <w:bottom w:val="single" w:color="000000" w:sz="4" w:space="0"/>
              <w:right w:val="single" w:color="000000" w:sz="4" w:space="0"/>
            </w:tcBorders>
            <w:vAlign w:val="center"/>
          </w:tcPr>
          <w:p w14:paraId="4A54F3CB">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投标保证金</w:t>
            </w:r>
          </w:p>
        </w:tc>
        <w:tc>
          <w:tcPr>
            <w:tcW w:w="7700" w:type="dxa"/>
            <w:tcBorders>
              <w:top w:val="single" w:color="000000" w:sz="4" w:space="0"/>
              <w:left w:val="single" w:color="000000" w:sz="4" w:space="0"/>
              <w:bottom w:val="single" w:color="000000" w:sz="4" w:space="0"/>
              <w:right w:val="single" w:color="000000" w:sz="4" w:space="0"/>
            </w:tcBorders>
            <w:vAlign w:val="center"/>
          </w:tcPr>
          <w:p w14:paraId="6046B83A">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本项目不收取投标保证金。</w:t>
            </w:r>
          </w:p>
        </w:tc>
      </w:tr>
      <w:tr w14:paraId="22D39222">
        <w:tblPrEx>
          <w:tblCellMar>
            <w:top w:w="0" w:type="dxa"/>
            <w:left w:w="108" w:type="dxa"/>
            <w:bottom w:w="0" w:type="dxa"/>
            <w:right w:w="108" w:type="dxa"/>
          </w:tblCellMar>
        </w:tblPrEx>
        <w:trPr>
          <w:trHeight w:val="1163"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625A607A">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14</w:t>
            </w:r>
          </w:p>
        </w:tc>
        <w:tc>
          <w:tcPr>
            <w:tcW w:w="1064" w:type="dxa"/>
            <w:tcBorders>
              <w:top w:val="single" w:color="000000" w:sz="4" w:space="0"/>
              <w:left w:val="single" w:color="000000" w:sz="4" w:space="0"/>
              <w:bottom w:val="single" w:color="000000" w:sz="4" w:space="0"/>
              <w:right w:val="single" w:color="000000" w:sz="4" w:space="0"/>
            </w:tcBorders>
            <w:vAlign w:val="center"/>
          </w:tcPr>
          <w:p w14:paraId="766462EC">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履约保证金</w:t>
            </w:r>
          </w:p>
        </w:tc>
        <w:tc>
          <w:tcPr>
            <w:tcW w:w="7700" w:type="dxa"/>
            <w:tcBorders>
              <w:top w:val="single" w:color="000000" w:sz="4" w:space="0"/>
              <w:left w:val="single" w:color="000000" w:sz="4" w:space="0"/>
              <w:bottom w:val="single" w:color="000000" w:sz="4" w:space="0"/>
              <w:right w:val="single" w:color="000000" w:sz="4" w:space="0"/>
            </w:tcBorders>
            <w:vAlign w:val="center"/>
          </w:tcPr>
          <w:p w14:paraId="7D7C932E">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由采购人根据项目需要决定是否需要收取。</w:t>
            </w:r>
          </w:p>
        </w:tc>
      </w:tr>
      <w:tr w14:paraId="3A0DE163">
        <w:tblPrEx>
          <w:tblCellMar>
            <w:top w:w="0" w:type="dxa"/>
            <w:left w:w="108" w:type="dxa"/>
            <w:bottom w:w="0" w:type="dxa"/>
            <w:right w:w="108" w:type="dxa"/>
          </w:tblCellMar>
        </w:tblPrEx>
        <w:trPr>
          <w:trHeight w:val="692"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2A7B5667">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15</w:t>
            </w:r>
          </w:p>
        </w:tc>
        <w:tc>
          <w:tcPr>
            <w:tcW w:w="1064" w:type="dxa"/>
            <w:tcBorders>
              <w:top w:val="single" w:color="000000" w:sz="4" w:space="0"/>
              <w:left w:val="single" w:color="000000" w:sz="4" w:space="0"/>
              <w:bottom w:val="single" w:color="000000" w:sz="4" w:space="0"/>
              <w:right w:val="single" w:color="000000" w:sz="4" w:space="0"/>
            </w:tcBorders>
            <w:vAlign w:val="center"/>
          </w:tcPr>
          <w:p w14:paraId="571C424A">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付款方式</w:t>
            </w:r>
          </w:p>
        </w:tc>
        <w:tc>
          <w:tcPr>
            <w:tcW w:w="7700" w:type="dxa"/>
            <w:tcBorders>
              <w:top w:val="single" w:color="000000" w:sz="4" w:space="0"/>
              <w:left w:val="single" w:color="000000" w:sz="4" w:space="0"/>
              <w:bottom w:val="single" w:color="000000" w:sz="4" w:space="0"/>
              <w:right w:val="single" w:color="000000" w:sz="4" w:space="0"/>
            </w:tcBorders>
            <w:vAlign w:val="center"/>
          </w:tcPr>
          <w:p w14:paraId="6E652278">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款项支付方式：按合同约定。</w:t>
            </w:r>
          </w:p>
        </w:tc>
      </w:tr>
      <w:tr w14:paraId="6B10D254">
        <w:tblPrEx>
          <w:tblCellMar>
            <w:top w:w="0" w:type="dxa"/>
            <w:left w:w="108" w:type="dxa"/>
            <w:bottom w:w="0" w:type="dxa"/>
            <w:right w:w="108" w:type="dxa"/>
          </w:tblCellMar>
        </w:tblPrEx>
        <w:trPr>
          <w:trHeight w:val="1072"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509E04AE">
            <w:pPr>
              <w:spacing w:line="440" w:lineRule="exact"/>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16</w:t>
            </w:r>
          </w:p>
        </w:tc>
        <w:tc>
          <w:tcPr>
            <w:tcW w:w="1064" w:type="dxa"/>
            <w:tcBorders>
              <w:top w:val="single" w:color="000000" w:sz="4" w:space="0"/>
              <w:left w:val="single" w:color="000000" w:sz="4" w:space="0"/>
              <w:bottom w:val="single" w:color="000000" w:sz="4" w:space="0"/>
              <w:right w:val="single" w:color="000000" w:sz="4" w:space="0"/>
            </w:tcBorders>
            <w:vAlign w:val="center"/>
          </w:tcPr>
          <w:p w14:paraId="37A825B1">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核心产品</w:t>
            </w:r>
          </w:p>
        </w:tc>
        <w:tc>
          <w:tcPr>
            <w:tcW w:w="7700" w:type="dxa"/>
            <w:tcBorders>
              <w:top w:val="single" w:color="000000" w:sz="4" w:space="0"/>
              <w:left w:val="single" w:color="000000" w:sz="4" w:space="0"/>
              <w:bottom w:val="single" w:color="000000" w:sz="4" w:space="0"/>
              <w:right w:val="single" w:color="000000" w:sz="4" w:space="0"/>
            </w:tcBorders>
            <w:vAlign w:val="center"/>
          </w:tcPr>
          <w:p w14:paraId="14E9E154">
            <w:pPr>
              <w:spacing w:line="440" w:lineRule="exac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eastAsia="zh-CN"/>
              </w:rPr>
              <w:t>本项目的核心产品为：</w:t>
            </w:r>
            <w:r>
              <w:rPr>
                <w:rFonts w:hint="eastAsia" w:ascii="宋体" w:hAnsi="宋体" w:cs="宋体"/>
                <w:color w:val="auto"/>
                <w:szCs w:val="21"/>
                <w:highlight w:val="none"/>
                <w:lang w:val="en-US" w:eastAsia="zh-CN"/>
              </w:rPr>
              <w:t>/</w:t>
            </w:r>
            <w:r>
              <w:rPr>
                <w:rFonts w:hint="eastAsia" w:ascii="宋体" w:hAnsi="宋体" w:cs="宋体"/>
                <w:b/>
                <w:bCs/>
                <w:color w:val="auto"/>
                <w:szCs w:val="21"/>
                <w:highlight w:val="none"/>
                <w:lang w:val="en-US" w:eastAsia="zh-CN"/>
              </w:rPr>
              <w:t xml:space="preserve">   </w:t>
            </w:r>
          </w:p>
        </w:tc>
      </w:tr>
      <w:tr w14:paraId="7D889F0D">
        <w:tblPrEx>
          <w:tblCellMar>
            <w:top w:w="0" w:type="dxa"/>
            <w:left w:w="108" w:type="dxa"/>
            <w:bottom w:w="0" w:type="dxa"/>
            <w:right w:w="108" w:type="dxa"/>
          </w:tblCellMar>
        </w:tblPrEx>
        <w:trPr>
          <w:trHeight w:val="1072"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03B642CA">
            <w:pPr>
              <w:spacing w:line="440" w:lineRule="exact"/>
              <w:jc w:val="center"/>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lang w:val="en-US" w:eastAsia="zh-CN"/>
              </w:rPr>
              <w:t>17</w:t>
            </w:r>
          </w:p>
        </w:tc>
        <w:tc>
          <w:tcPr>
            <w:tcW w:w="1064" w:type="dxa"/>
            <w:tcBorders>
              <w:top w:val="single" w:color="000000" w:sz="4" w:space="0"/>
              <w:left w:val="single" w:color="000000" w:sz="4" w:space="0"/>
              <w:bottom w:val="single" w:color="000000" w:sz="4" w:space="0"/>
              <w:right w:val="single" w:color="000000" w:sz="4" w:space="0"/>
            </w:tcBorders>
            <w:vAlign w:val="center"/>
          </w:tcPr>
          <w:p w14:paraId="5072F881">
            <w:pPr>
              <w:spacing w:line="440" w:lineRule="exact"/>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节能产品、环境标志产品的强制采购政策</w:t>
            </w:r>
          </w:p>
        </w:tc>
        <w:tc>
          <w:tcPr>
            <w:tcW w:w="7700" w:type="dxa"/>
            <w:tcBorders>
              <w:top w:val="single" w:color="000000" w:sz="4" w:space="0"/>
              <w:left w:val="single" w:color="000000" w:sz="4" w:space="0"/>
              <w:bottom w:val="single" w:color="000000" w:sz="4" w:space="0"/>
              <w:right w:val="single" w:color="000000" w:sz="4" w:space="0"/>
            </w:tcBorders>
            <w:vAlign w:val="center"/>
          </w:tcPr>
          <w:p w14:paraId="3474CADD">
            <w:pPr>
              <w:spacing w:line="440" w:lineRule="exact"/>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强制采购品目的，投标人提供的产品应具有国家确定的认证机构出具的、处于有效期之内的节能产品、环境标志产品认证证书，并在响应文件中提供该产品节能产品、环境标志产品认证证书，否则无效。（注：本项目执行最新政府采购节能产品、环境标志产品品目清单。）</w:t>
            </w:r>
          </w:p>
        </w:tc>
      </w:tr>
      <w:tr w14:paraId="3319E309">
        <w:tblPrEx>
          <w:tblCellMar>
            <w:top w:w="0" w:type="dxa"/>
            <w:left w:w="108" w:type="dxa"/>
            <w:bottom w:w="0" w:type="dxa"/>
            <w:right w:w="108" w:type="dxa"/>
          </w:tblCellMar>
        </w:tblPrEx>
        <w:trPr>
          <w:trHeight w:val="1488"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71B4269C">
            <w:pPr>
              <w:spacing w:line="44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18</w:t>
            </w:r>
          </w:p>
        </w:tc>
        <w:tc>
          <w:tcPr>
            <w:tcW w:w="1064" w:type="dxa"/>
            <w:tcBorders>
              <w:top w:val="single" w:color="000000" w:sz="4" w:space="0"/>
              <w:left w:val="single" w:color="000000" w:sz="4" w:space="0"/>
              <w:bottom w:val="single" w:color="000000" w:sz="4" w:space="0"/>
              <w:right w:val="single" w:color="000000" w:sz="4" w:space="0"/>
            </w:tcBorders>
            <w:vAlign w:val="center"/>
          </w:tcPr>
          <w:p w14:paraId="07A28051">
            <w:pPr>
              <w:spacing w:line="440" w:lineRule="exact"/>
              <w:jc w:val="center"/>
              <w:rPr>
                <w:rFonts w:hint="eastAsia" w:ascii="宋体" w:hAnsi="宋体" w:cs="宋体"/>
                <w:color w:val="auto"/>
                <w:szCs w:val="21"/>
                <w:highlight w:val="none"/>
              </w:rPr>
            </w:pPr>
            <w:r>
              <w:rPr>
                <w:rFonts w:hint="eastAsia" w:ascii="宋体" w:hAnsi="宋体" w:cs="宋体"/>
                <w:color w:val="auto"/>
                <w:szCs w:val="21"/>
                <w:highlight w:val="none"/>
              </w:rPr>
              <w:t>扶持中小企业政策（监狱企业、残疾人福利性单位</w:t>
            </w:r>
            <w:r>
              <w:rPr>
                <w:rFonts w:hint="eastAsia" w:ascii="宋体" w:hAnsi="宋体" w:cs="宋体"/>
                <w:color w:val="auto"/>
                <w:szCs w:val="21"/>
                <w:highlight w:val="none"/>
                <w:lang w:eastAsia="zh-CN"/>
              </w:rPr>
              <w:t>视同小微企业</w:t>
            </w:r>
            <w:r>
              <w:rPr>
                <w:rFonts w:hint="eastAsia" w:ascii="宋体" w:hAnsi="宋体" w:cs="宋体"/>
                <w:color w:val="auto"/>
                <w:szCs w:val="21"/>
                <w:highlight w:val="none"/>
              </w:rPr>
              <w:t>）</w:t>
            </w:r>
          </w:p>
        </w:tc>
        <w:tc>
          <w:tcPr>
            <w:tcW w:w="7700" w:type="dxa"/>
            <w:tcBorders>
              <w:top w:val="single" w:color="000000" w:sz="4" w:space="0"/>
              <w:left w:val="single" w:color="000000" w:sz="4" w:space="0"/>
              <w:bottom w:val="single" w:color="000000" w:sz="4" w:space="0"/>
              <w:right w:val="single" w:color="000000" w:sz="4" w:space="0"/>
            </w:tcBorders>
            <w:vAlign w:val="center"/>
          </w:tcPr>
          <w:p w14:paraId="211717BE">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44FC7DCD">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（1）最高限价：</w:t>
            </w:r>
            <w:r>
              <w:rPr>
                <w:rFonts w:hint="eastAsia" w:ascii="宋体" w:hAnsi="宋体" w:cs="宋体"/>
                <w:b w:val="0"/>
                <w:bCs w:val="0"/>
                <w:color w:val="auto"/>
                <w:szCs w:val="21"/>
                <w:highlight w:val="none"/>
                <w:u w:val="single"/>
                <w:lang w:val="en-US" w:eastAsia="zh-CN"/>
              </w:rPr>
              <w:t xml:space="preserve"> 273 </w:t>
            </w:r>
            <w:r>
              <w:rPr>
                <w:rFonts w:hint="eastAsia" w:ascii="宋体" w:hAnsi="宋体" w:cs="宋体"/>
                <w:b w:val="0"/>
                <w:bCs w:val="0"/>
                <w:color w:val="auto"/>
                <w:szCs w:val="21"/>
                <w:highlight w:val="none"/>
                <w:lang w:val="en-US" w:eastAsia="zh-CN"/>
              </w:rPr>
              <w:t xml:space="preserve"> 万</w:t>
            </w:r>
            <w:r>
              <w:rPr>
                <w:rFonts w:hint="eastAsia" w:ascii="宋体" w:hAnsi="宋体" w:cs="宋体"/>
                <w:b w:val="0"/>
                <w:bCs w:val="0"/>
                <w:color w:val="auto"/>
                <w:szCs w:val="21"/>
                <w:highlight w:val="none"/>
              </w:rPr>
              <w:t>元</w:t>
            </w:r>
            <w:r>
              <w:rPr>
                <w:rFonts w:hint="eastAsia" w:ascii="宋体" w:hAnsi="宋体" w:cs="宋体"/>
                <w:b w:val="0"/>
                <w:bCs w:val="0"/>
                <w:color w:val="auto"/>
                <w:szCs w:val="21"/>
                <w:highlight w:val="none"/>
                <w:lang w:val="en-US" w:eastAsia="zh-CN"/>
              </w:rPr>
              <w:t>/</w:t>
            </w:r>
          </w:p>
          <w:p w14:paraId="5EB52F09">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（2）项目属性：</w:t>
            </w:r>
            <w:r>
              <w:rPr>
                <w:rFonts w:hint="eastAsia" w:ascii="宋体" w:hAnsi="宋体" w:cs="宋体"/>
                <w:color w:val="auto"/>
                <w:szCs w:val="21"/>
                <w:highlight w:val="none"/>
                <w:u w:val="single"/>
              </w:rPr>
              <w:t>②服务类</w:t>
            </w:r>
            <w:r>
              <w:rPr>
                <w:rFonts w:hint="eastAsia" w:ascii="宋体" w:hAnsi="宋体" w:cs="宋体"/>
                <w:color w:val="auto"/>
                <w:szCs w:val="21"/>
                <w:highlight w:val="none"/>
              </w:rPr>
              <w:t>（①货物类/②服务类/③工程类）</w:t>
            </w:r>
          </w:p>
          <w:p w14:paraId="711AE92B">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（3）项目对应的中小企业划分标准所属行业：</w:t>
            </w:r>
            <w:r>
              <w:rPr>
                <w:rFonts w:hint="eastAsia" w:ascii="宋体" w:hAnsi="宋体" w:cs="宋体"/>
                <w:color w:val="auto"/>
                <w:szCs w:val="21"/>
                <w:highlight w:val="none"/>
                <w:u w:val="single"/>
                <w:lang w:val="en-US" w:eastAsia="zh-CN"/>
              </w:rPr>
              <w:t xml:space="preserve"> ⑫ </w:t>
            </w:r>
            <w:r>
              <w:rPr>
                <w:rFonts w:hint="eastAsia" w:ascii="宋体" w:hAnsi="宋体" w:cs="宋体"/>
                <w:color w:val="auto"/>
                <w:szCs w:val="21"/>
                <w:highlight w:val="none"/>
              </w:rPr>
              <w:t>（根据《中小企业划型标准规定的通知》（工信部联企业〔2011〕300号）规定</w:t>
            </w:r>
            <w:r>
              <w:rPr>
                <w:rFonts w:hint="eastAsia" w:ascii="宋体" w:hAnsi="宋体" w:cs="宋体"/>
                <w:color w:val="auto"/>
                <w:szCs w:val="21"/>
                <w:highlight w:val="none"/>
                <w:lang w:eastAsia="zh-CN"/>
              </w:rPr>
              <w:t>明确</w:t>
            </w:r>
            <w:r>
              <w:rPr>
                <w:rFonts w:hint="eastAsia" w:ascii="宋体" w:hAnsi="宋体" w:cs="宋体"/>
                <w:color w:val="auto"/>
                <w:szCs w:val="21"/>
                <w:highlight w:val="none"/>
              </w:rPr>
              <w:t>）</w:t>
            </w:r>
          </w:p>
          <w:p w14:paraId="6E71126C">
            <w:p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（注：现行中小企业划分标准行业包括①农、林、牧、渔业</w:t>
            </w:r>
            <w:r>
              <w:rPr>
                <w:rFonts w:hint="eastAsia" w:ascii="宋体" w:hAnsi="宋体" w:cs="宋体"/>
                <w:color w:val="auto"/>
                <w:szCs w:val="21"/>
                <w:highlight w:val="none"/>
                <w:lang w:val="en-US" w:eastAsia="zh-CN"/>
              </w:rPr>
              <w:t>/ ②</w:t>
            </w:r>
            <w:r>
              <w:rPr>
                <w:rFonts w:hint="eastAsia" w:ascii="宋体" w:hAnsi="宋体" w:cs="宋体"/>
                <w:color w:val="auto"/>
                <w:szCs w:val="21"/>
                <w:highlight w:val="none"/>
              </w:rPr>
              <w:t>工业</w:t>
            </w:r>
            <w:r>
              <w:rPr>
                <w:rFonts w:hint="eastAsia" w:ascii="宋体" w:hAnsi="宋体" w:cs="宋体"/>
                <w:color w:val="auto"/>
                <w:szCs w:val="21"/>
                <w:highlight w:val="none"/>
                <w:lang w:val="en-US" w:eastAsia="zh-CN"/>
              </w:rPr>
              <w:t>/ ③</w:t>
            </w:r>
            <w:r>
              <w:rPr>
                <w:rFonts w:hint="eastAsia" w:ascii="宋体" w:hAnsi="宋体" w:cs="宋体"/>
                <w:color w:val="auto"/>
                <w:szCs w:val="21"/>
                <w:highlight w:val="none"/>
              </w:rPr>
              <w:t>建筑业</w:t>
            </w:r>
            <w:r>
              <w:rPr>
                <w:rFonts w:hint="eastAsia" w:ascii="宋体" w:hAnsi="宋体" w:cs="宋体"/>
                <w:color w:val="auto"/>
                <w:szCs w:val="21"/>
                <w:highlight w:val="none"/>
                <w:lang w:val="en-US" w:eastAsia="zh-CN"/>
              </w:rPr>
              <w:t>/   ④</w:t>
            </w:r>
            <w:r>
              <w:rPr>
                <w:rFonts w:hint="eastAsia" w:ascii="宋体" w:hAnsi="宋体" w:cs="宋体"/>
                <w:color w:val="auto"/>
                <w:szCs w:val="21"/>
                <w:highlight w:val="none"/>
              </w:rPr>
              <w:t>批发业</w:t>
            </w:r>
            <w:r>
              <w:rPr>
                <w:rFonts w:hint="eastAsia" w:ascii="宋体" w:hAnsi="宋体" w:cs="宋体"/>
                <w:color w:val="auto"/>
                <w:szCs w:val="21"/>
                <w:highlight w:val="none"/>
                <w:lang w:val="en-US" w:eastAsia="zh-CN"/>
              </w:rPr>
              <w:t>/ ⑤</w:t>
            </w:r>
            <w:r>
              <w:rPr>
                <w:rFonts w:hint="eastAsia" w:ascii="宋体" w:hAnsi="宋体" w:cs="宋体"/>
                <w:color w:val="auto"/>
                <w:szCs w:val="21"/>
                <w:highlight w:val="none"/>
              </w:rPr>
              <w:t>零售业</w:t>
            </w:r>
            <w:r>
              <w:rPr>
                <w:rFonts w:hint="eastAsia" w:ascii="宋体" w:hAnsi="宋体" w:cs="宋体"/>
                <w:color w:val="auto"/>
                <w:szCs w:val="21"/>
                <w:highlight w:val="none"/>
                <w:lang w:val="en-US" w:eastAsia="zh-CN"/>
              </w:rPr>
              <w:t>/ ⑥</w:t>
            </w:r>
            <w:r>
              <w:rPr>
                <w:rFonts w:hint="eastAsia" w:ascii="宋体" w:hAnsi="宋体" w:cs="宋体"/>
                <w:color w:val="auto"/>
                <w:szCs w:val="21"/>
                <w:highlight w:val="none"/>
              </w:rPr>
              <w:t>交通运输业</w:t>
            </w:r>
            <w:r>
              <w:rPr>
                <w:rFonts w:hint="eastAsia" w:ascii="宋体" w:hAnsi="宋体" w:cs="宋体"/>
                <w:color w:val="auto"/>
                <w:szCs w:val="21"/>
                <w:highlight w:val="none"/>
                <w:lang w:val="en-US" w:eastAsia="zh-CN"/>
              </w:rPr>
              <w:t>/ ⑦</w:t>
            </w:r>
            <w:r>
              <w:rPr>
                <w:rFonts w:hint="eastAsia" w:ascii="宋体" w:hAnsi="宋体" w:cs="宋体"/>
                <w:color w:val="auto"/>
                <w:szCs w:val="21"/>
                <w:highlight w:val="none"/>
              </w:rPr>
              <w:t>仓储业</w:t>
            </w:r>
            <w:r>
              <w:rPr>
                <w:rFonts w:hint="eastAsia" w:ascii="宋体" w:hAnsi="宋体" w:cs="宋体"/>
                <w:color w:val="auto"/>
                <w:szCs w:val="21"/>
                <w:highlight w:val="none"/>
                <w:lang w:val="en-US" w:eastAsia="zh-CN"/>
              </w:rPr>
              <w:t>/ ⑧</w:t>
            </w:r>
            <w:r>
              <w:rPr>
                <w:rFonts w:hint="eastAsia" w:ascii="宋体" w:hAnsi="宋体" w:cs="宋体"/>
                <w:color w:val="auto"/>
                <w:szCs w:val="21"/>
                <w:highlight w:val="none"/>
              </w:rPr>
              <w:t>邮政业</w:t>
            </w:r>
            <w:r>
              <w:rPr>
                <w:rFonts w:hint="eastAsia" w:ascii="宋体" w:hAnsi="宋体" w:cs="宋体"/>
                <w:color w:val="auto"/>
                <w:szCs w:val="21"/>
                <w:highlight w:val="none"/>
                <w:lang w:val="en-US" w:eastAsia="zh-CN"/>
              </w:rPr>
              <w:t>/ ⑨</w:t>
            </w:r>
            <w:r>
              <w:rPr>
                <w:rFonts w:hint="eastAsia" w:ascii="宋体" w:hAnsi="宋体" w:cs="宋体"/>
                <w:color w:val="auto"/>
                <w:szCs w:val="21"/>
                <w:highlight w:val="none"/>
              </w:rPr>
              <w:t>住宿业</w:t>
            </w:r>
            <w:r>
              <w:rPr>
                <w:rFonts w:hint="eastAsia" w:ascii="宋体" w:hAnsi="宋体" w:cs="宋体"/>
                <w:color w:val="auto"/>
                <w:szCs w:val="21"/>
                <w:highlight w:val="none"/>
                <w:lang w:val="en-US" w:eastAsia="zh-CN"/>
              </w:rPr>
              <w:t>/ ⑩</w:t>
            </w:r>
            <w:r>
              <w:rPr>
                <w:rFonts w:hint="eastAsia" w:ascii="宋体" w:hAnsi="宋体" w:cs="宋体"/>
                <w:color w:val="auto"/>
                <w:szCs w:val="21"/>
                <w:highlight w:val="none"/>
              </w:rPr>
              <w:t>餐饮业</w:t>
            </w:r>
            <w:r>
              <w:rPr>
                <w:rFonts w:hint="eastAsia" w:ascii="宋体" w:hAnsi="宋体" w:cs="宋体"/>
                <w:color w:val="auto"/>
                <w:szCs w:val="21"/>
                <w:highlight w:val="none"/>
                <w:lang w:val="en-US" w:eastAsia="zh-CN"/>
              </w:rPr>
              <w:t>/ ⑪</w:t>
            </w:r>
            <w:r>
              <w:rPr>
                <w:rFonts w:hint="eastAsia" w:ascii="宋体" w:hAnsi="宋体" w:cs="宋体"/>
                <w:color w:val="auto"/>
                <w:szCs w:val="21"/>
                <w:highlight w:val="none"/>
              </w:rPr>
              <w:t>信息传输业</w:t>
            </w:r>
            <w:r>
              <w:rPr>
                <w:rFonts w:hint="eastAsia" w:ascii="宋体" w:hAnsi="宋体" w:cs="宋体"/>
                <w:color w:val="auto"/>
                <w:szCs w:val="21"/>
                <w:highlight w:val="none"/>
                <w:lang w:val="en-US" w:eastAsia="zh-CN"/>
              </w:rPr>
              <w:t>/ ⑫</w:t>
            </w:r>
            <w:r>
              <w:rPr>
                <w:rFonts w:hint="eastAsia" w:ascii="宋体" w:hAnsi="宋体" w:cs="宋体"/>
                <w:color w:val="auto"/>
                <w:szCs w:val="21"/>
                <w:highlight w:val="none"/>
              </w:rPr>
              <w:t>软件和信息技术服务业</w:t>
            </w:r>
            <w:r>
              <w:rPr>
                <w:rFonts w:hint="eastAsia" w:ascii="宋体" w:hAnsi="宋体" w:cs="宋体"/>
                <w:color w:val="auto"/>
                <w:szCs w:val="21"/>
                <w:highlight w:val="none"/>
                <w:lang w:val="en-US" w:eastAsia="zh-CN"/>
              </w:rPr>
              <w:t>/ ⑬</w:t>
            </w:r>
            <w:r>
              <w:rPr>
                <w:rFonts w:hint="eastAsia" w:ascii="宋体" w:hAnsi="宋体" w:cs="宋体"/>
                <w:color w:val="auto"/>
                <w:szCs w:val="21"/>
                <w:highlight w:val="none"/>
              </w:rPr>
              <w:t>房地产开发经营</w:t>
            </w:r>
            <w:r>
              <w:rPr>
                <w:rFonts w:hint="eastAsia" w:ascii="宋体" w:hAnsi="宋体" w:cs="宋体"/>
                <w:color w:val="auto"/>
                <w:szCs w:val="21"/>
                <w:highlight w:val="none"/>
                <w:lang w:val="en-US" w:eastAsia="zh-CN"/>
              </w:rPr>
              <w:t>/ ⑭</w:t>
            </w:r>
            <w:r>
              <w:rPr>
                <w:rFonts w:hint="eastAsia" w:ascii="宋体" w:hAnsi="宋体" w:cs="宋体"/>
                <w:color w:val="auto"/>
                <w:szCs w:val="21"/>
                <w:highlight w:val="none"/>
              </w:rPr>
              <w:t>物业管理</w:t>
            </w:r>
            <w:r>
              <w:rPr>
                <w:rFonts w:hint="eastAsia" w:ascii="宋体" w:hAnsi="宋体" w:cs="宋体"/>
                <w:color w:val="auto"/>
                <w:szCs w:val="21"/>
                <w:highlight w:val="none"/>
                <w:lang w:val="en-US" w:eastAsia="zh-CN"/>
              </w:rPr>
              <w:t>/⑮</w:t>
            </w:r>
            <w:r>
              <w:rPr>
                <w:rFonts w:hint="eastAsia" w:ascii="宋体" w:hAnsi="宋体" w:cs="宋体"/>
                <w:color w:val="auto"/>
                <w:szCs w:val="21"/>
                <w:highlight w:val="none"/>
              </w:rPr>
              <w:t>租赁和商业服务业</w:t>
            </w:r>
            <w:r>
              <w:rPr>
                <w:rFonts w:hint="eastAsia" w:ascii="宋体" w:hAnsi="宋体" w:cs="宋体"/>
                <w:color w:val="auto"/>
                <w:szCs w:val="21"/>
                <w:highlight w:val="none"/>
                <w:lang w:val="en-US" w:eastAsia="zh-CN"/>
              </w:rPr>
              <w:t>/ ⑯</w:t>
            </w:r>
            <w:r>
              <w:rPr>
                <w:rFonts w:hint="eastAsia" w:ascii="宋体" w:hAnsi="宋体" w:cs="宋体"/>
                <w:color w:val="auto"/>
                <w:szCs w:val="21"/>
                <w:highlight w:val="none"/>
              </w:rPr>
              <w:t>其他未列明行业等十六类）</w:t>
            </w:r>
          </w:p>
          <w:p w14:paraId="244403BB">
            <w:pPr>
              <w:spacing w:line="440" w:lineRule="exac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（4）本项目</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u w:val="single"/>
              </w:rPr>
              <w:t xml:space="preserve">②否 </w:t>
            </w:r>
            <w:r>
              <w:rPr>
                <w:rFonts w:hint="eastAsia" w:ascii="宋体" w:hAnsi="宋体" w:cs="宋体"/>
                <w:color w:val="auto"/>
                <w:szCs w:val="21"/>
                <w:highlight w:val="none"/>
              </w:rPr>
              <w:t>（①是/②否）属于预留份额专门面向中小企业采购的项目。</w:t>
            </w:r>
          </w:p>
          <w:p w14:paraId="07205429">
            <w:pPr>
              <w:numPr>
                <w:ilvl w:val="0"/>
                <w:numId w:val="30"/>
              </w:num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上述第</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lang w:eastAsia="zh-CN"/>
              </w:rPr>
              <w:t>）</w:t>
            </w:r>
            <w:r>
              <w:rPr>
                <w:rFonts w:hint="eastAsia" w:ascii="宋体" w:hAnsi="宋体" w:cs="宋体"/>
                <w:color w:val="auto"/>
                <w:szCs w:val="21"/>
                <w:highlight w:val="none"/>
              </w:rPr>
              <w:t>项中确定为“①是”的采购项目，</w:t>
            </w:r>
            <w:r>
              <w:rPr>
                <w:rFonts w:hint="eastAsia" w:ascii="宋体" w:hAnsi="宋体" w:eastAsia="宋体" w:cs="宋体"/>
                <w:color w:val="auto"/>
                <w:szCs w:val="21"/>
                <w:highlight w:val="none"/>
              </w:rPr>
              <w:t>专门面向中小企业采购的项目或者标项，不再执行价格评审优惠的扶持政策。</w:t>
            </w:r>
            <w:r>
              <w:rPr>
                <w:rFonts w:hint="eastAsia" w:ascii="宋体" w:hAnsi="宋体" w:cs="宋体"/>
                <w:color w:val="auto"/>
                <w:szCs w:val="21"/>
                <w:highlight w:val="none"/>
              </w:rPr>
              <w:t>预留份额通过</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①</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措施进行：</w:t>
            </w:r>
          </w:p>
          <w:p w14:paraId="484E7CD1">
            <w:pPr>
              <w:numPr>
                <w:ilvl w:val="0"/>
                <w:numId w:val="30"/>
              </w:num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①将采购项目整体专门面向中小企业采购；</w:t>
            </w:r>
            <w:bookmarkStart w:id="532" w:name="_GoBack"/>
            <w:bookmarkEnd w:id="532"/>
          </w:p>
          <w:p w14:paraId="65BBAD5A">
            <w:pPr>
              <w:numPr>
                <w:ilvl w:val="0"/>
                <w:numId w:val="0"/>
              </w:num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②将采购项目</w:t>
            </w:r>
            <w:r>
              <w:rPr>
                <w:rFonts w:hint="eastAsia" w:ascii="宋体" w:hAnsi="宋体" w:cs="宋体"/>
                <w:color w:val="auto"/>
                <w:szCs w:val="21"/>
                <w:highlight w:val="none"/>
                <w:lang w:eastAsia="zh-CN"/>
              </w:rPr>
              <w:t>标项</w:t>
            </w:r>
            <w:r>
              <w:rPr>
                <w:rFonts w:hint="eastAsia" w:ascii="宋体" w:hAnsi="宋体" w:cs="宋体"/>
                <w:color w:val="auto"/>
                <w:szCs w:val="21"/>
                <w:highlight w:val="none"/>
                <w:u w:val="single"/>
                <w:lang w:val="en-US" w:eastAsia="zh-CN"/>
              </w:rPr>
              <w:t xml:space="preserve">   /  </w:t>
            </w:r>
            <w:r>
              <w:rPr>
                <w:rFonts w:hint="eastAsia" w:ascii="宋体" w:hAnsi="宋体" w:cs="宋体"/>
                <w:color w:val="auto"/>
                <w:szCs w:val="21"/>
                <w:highlight w:val="none"/>
                <w:lang w:val="en-US" w:eastAsia="zh-CN"/>
              </w:rPr>
              <w:t>（一/二）</w:t>
            </w:r>
            <w:r>
              <w:rPr>
                <w:rFonts w:hint="eastAsia" w:ascii="宋体" w:hAnsi="宋体" w:cs="宋体"/>
                <w:color w:val="auto"/>
                <w:szCs w:val="21"/>
                <w:highlight w:val="none"/>
              </w:rPr>
              <w:t>专门面向中小企业采购；</w:t>
            </w:r>
          </w:p>
          <w:p w14:paraId="31D41480">
            <w:pPr>
              <w:numPr>
                <w:ilvl w:val="0"/>
                <w:numId w:val="0"/>
              </w:num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③要求供应商以联合体形式参加采购活动，且联合体中中小企业承担的部分达到</w:t>
            </w:r>
            <w:r>
              <w:rPr>
                <w:rFonts w:hint="eastAsia" w:ascii="宋体" w:hAnsi="宋体" w:cs="宋体"/>
                <w:b w:val="0"/>
                <w:bCs w:val="0"/>
                <w:color w:val="auto"/>
                <w:szCs w:val="21"/>
                <w:highlight w:val="none"/>
                <w:u w:val="single"/>
                <w:lang w:val="en-US" w:eastAsia="zh-CN"/>
              </w:rPr>
              <w:t xml:space="preserve">  30 </w:t>
            </w:r>
            <w:r>
              <w:rPr>
                <w:rFonts w:hint="eastAsia" w:ascii="宋体" w:hAnsi="宋体" w:cs="宋体"/>
                <w:b w:val="0"/>
                <w:bCs w:val="0"/>
                <w:color w:val="auto"/>
                <w:szCs w:val="21"/>
                <w:highlight w:val="none"/>
                <w:u w:val="single"/>
              </w:rPr>
              <w:t>%</w:t>
            </w:r>
            <w:r>
              <w:rPr>
                <w:rFonts w:hint="eastAsia" w:ascii="宋体" w:hAnsi="宋体" w:cs="宋体"/>
                <w:b w:val="0"/>
                <w:bCs w:val="0"/>
                <w:color w:val="auto"/>
                <w:szCs w:val="21"/>
                <w:highlight w:val="none"/>
                <w:u w:val="single"/>
                <w:lang w:val="en-US" w:eastAsia="zh-CN"/>
              </w:rPr>
              <w:t xml:space="preserve"> </w:t>
            </w:r>
            <w:r>
              <w:rPr>
                <w:rFonts w:hint="eastAsia" w:ascii="宋体" w:hAnsi="宋体" w:cs="宋体"/>
                <w:color w:val="auto"/>
                <w:szCs w:val="21"/>
                <w:highlight w:val="none"/>
              </w:rPr>
              <w:t>以上；</w:t>
            </w:r>
          </w:p>
          <w:p w14:paraId="3A89BF0C">
            <w:pPr>
              <w:numPr>
                <w:ilvl w:val="0"/>
                <w:numId w:val="0"/>
              </w:num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④要求获得采购合同的供应商将采购项目中的</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30 %</w:t>
            </w:r>
            <w:r>
              <w:rPr>
                <w:rFonts w:hint="eastAsia" w:ascii="宋体" w:hAnsi="宋体" w:cs="宋体"/>
                <w:color w:val="auto"/>
                <w:szCs w:val="21"/>
                <w:highlight w:val="none"/>
              </w:rPr>
              <w:t>(比例）分包给一家或者多家中小企业。</w:t>
            </w:r>
          </w:p>
          <w:p w14:paraId="33D9DD50">
            <w:pPr>
              <w:numPr>
                <w:ilvl w:val="0"/>
                <w:numId w:val="0"/>
              </w:num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⑤组成联合体或者接受分包合同的中小企业与联合体内其他企业、分包企业之间不得存在直接控股、管理关系。</w:t>
            </w:r>
          </w:p>
          <w:p w14:paraId="21BDD720">
            <w:pPr>
              <w:numPr>
                <w:ilvl w:val="0"/>
                <w:numId w:val="0"/>
              </w:numPr>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lang w:eastAsia="zh-CN"/>
              </w:rPr>
              <w:t>）上述第（4）项中确定为“</w:t>
            </w:r>
            <w:r>
              <w:rPr>
                <w:rFonts w:hint="eastAsia" w:ascii="宋体" w:hAnsi="宋体" w:cs="宋体"/>
                <w:color w:val="auto"/>
                <w:szCs w:val="21"/>
                <w:highlight w:val="none"/>
              </w:rPr>
              <w:t>②否</w:t>
            </w:r>
            <w:r>
              <w:rPr>
                <w:rFonts w:hint="eastAsia" w:ascii="宋体" w:hAnsi="宋体" w:cs="宋体"/>
                <w:color w:val="auto"/>
                <w:szCs w:val="21"/>
                <w:highlight w:val="none"/>
                <w:lang w:eastAsia="zh-CN"/>
              </w:rPr>
              <w:t>”的采购项目，即非专门面向中小微企业招标项目，执行价格评审优惠的扶持政策。相关政策按本招标文件（</w:t>
            </w:r>
            <w:r>
              <w:rPr>
                <w:rFonts w:hint="eastAsia"/>
                <w:color w:val="auto"/>
                <w:highlight w:val="none"/>
              </w:rPr>
              <w:t>第五章  政府采购政策相关说明</w:t>
            </w:r>
            <w:r>
              <w:rPr>
                <w:rFonts w:hint="eastAsia" w:ascii="宋体" w:hAnsi="宋体" w:cs="宋体"/>
                <w:color w:val="auto"/>
                <w:szCs w:val="21"/>
                <w:highlight w:val="none"/>
                <w:lang w:eastAsia="zh-CN"/>
              </w:rPr>
              <w:t>）执行。</w:t>
            </w:r>
          </w:p>
        </w:tc>
      </w:tr>
      <w:tr w14:paraId="30F0C881">
        <w:tblPrEx>
          <w:tblCellMar>
            <w:top w:w="0" w:type="dxa"/>
            <w:left w:w="108" w:type="dxa"/>
            <w:bottom w:w="0" w:type="dxa"/>
            <w:right w:w="108" w:type="dxa"/>
          </w:tblCellMar>
        </w:tblPrEx>
        <w:trPr>
          <w:trHeight w:val="620"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11F3D0AC">
            <w:pPr>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19</w:t>
            </w:r>
          </w:p>
        </w:tc>
        <w:tc>
          <w:tcPr>
            <w:tcW w:w="1064" w:type="dxa"/>
            <w:tcBorders>
              <w:top w:val="single" w:color="000000" w:sz="4" w:space="0"/>
              <w:left w:val="single" w:color="000000" w:sz="4" w:space="0"/>
              <w:bottom w:val="single" w:color="000000" w:sz="4" w:space="0"/>
              <w:right w:val="single" w:color="000000" w:sz="4" w:space="0"/>
            </w:tcBorders>
            <w:vAlign w:val="center"/>
          </w:tcPr>
          <w:p w14:paraId="09EE3C3F">
            <w:pPr>
              <w:spacing w:line="44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服务</w:t>
            </w:r>
            <w:r>
              <w:rPr>
                <w:rFonts w:hint="eastAsia" w:ascii="宋体" w:hAnsi="宋体" w:cs="宋体"/>
                <w:color w:val="auto"/>
                <w:szCs w:val="21"/>
                <w:highlight w:val="none"/>
              </w:rPr>
              <w:t>期</w:t>
            </w:r>
            <w:r>
              <w:rPr>
                <w:rFonts w:hint="eastAsia" w:ascii="宋体" w:hAnsi="宋体" w:cs="宋体"/>
                <w:color w:val="auto"/>
                <w:szCs w:val="21"/>
                <w:highlight w:val="none"/>
                <w:lang w:eastAsia="zh-CN"/>
              </w:rPr>
              <w:t>限</w:t>
            </w:r>
          </w:p>
        </w:tc>
        <w:tc>
          <w:tcPr>
            <w:tcW w:w="7700" w:type="dxa"/>
            <w:tcBorders>
              <w:top w:val="single" w:color="000000" w:sz="4" w:space="0"/>
              <w:left w:val="single" w:color="000000" w:sz="4" w:space="0"/>
              <w:bottom w:val="single" w:color="000000" w:sz="4" w:space="0"/>
              <w:right w:val="single" w:color="000000" w:sz="4" w:space="0"/>
            </w:tcBorders>
            <w:vAlign w:val="bottom"/>
          </w:tcPr>
          <w:p w14:paraId="08F551D1">
            <w:pPr>
              <w:snapToGrid w:val="0"/>
              <w:spacing w:line="360" w:lineRule="auto"/>
              <w:jc w:val="both"/>
              <w:rPr>
                <w:rFonts w:hint="eastAsia" w:ascii="宋体" w:hAnsi="宋体" w:cs="宋体"/>
                <w:color w:val="auto"/>
                <w:szCs w:val="21"/>
                <w:highlight w:val="none"/>
              </w:rPr>
            </w:pPr>
            <w:r>
              <w:rPr>
                <w:rFonts w:hint="eastAsia" w:ascii="宋体" w:hAnsi="宋体" w:cs="宋体"/>
                <w:b/>
                <w:bCs/>
                <w:color w:val="auto"/>
                <w:szCs w:val="21"/>
                <w:highlight w:val="none"/>
                <w:lang w:eastAsia="zh-CN"/>
              </w:rPr>
              <w:t>合同签订起至质保期结束</w:t>
            </w:r>
          </w:p>
        </w:tc>
      </w:tr>
      <w:tr w14:paraId="2CD3481E">
        <w:tblPrEx>
          <w:tblCellMar>
            <w:top w:w="0" w:type="dxa"/>
            <w:left w:w="108" w:type="dxa"/>
            <w:bottom w:w="0" w:type="dxa"/>
            <w:right w:w="108" w:type="dxa"/>
          </w:tblCellMar>
        </w:tblPrEx>
        <w:trPr>
          <w:trHeight w:val="930"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5EC1449F">
            <w:pPr>
              <w:spacing w:line="44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20</w:t>
            </w:r>
          </w:p>
        </w:tc>
        <w:tc>
          <w:tcPr>
            <w:tcW w:w="1064" w:type="dxa"/>
            <w:tcBorders>
              <w:top w:val="single" w:color="000000" w:sz="4" w:space="0"/>
              <w:left w:val="single" w:color="000000" w:sz="4" w:space="0"/>
              <w:bottom w:val="single" w:color="000000" w:sz="4" w:space="0"/>
              <w:right w:val="single" w:color="000000" w:sz="4" w:space="0"/>
            </w:tcBorders>
            <w:vAlign w:val="center"/>
          </w:tcPr>
          <w:p w14:paraId="20D1A1BD">
            <w:pPr>
              <w:spacing w:line="44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Cs w:val="21"/>
                <w:highlight w:val="none"/>
                <w:lang w:eastAsia="zh-CN"/>
              </w:rPr>
              <w:t>质疑与投诉</w:t>
            </w:r>
          </w:p>
        </w:tc>
        <w:tc>
          <w:tcPr>
            <w:tcW w:w="7700" w:type="dxa"/>
            <w:tcBorders>
              <w:top w:val="single" w:color="000000" w:sz="4" w:space="0"/>
              <w:left w:val="single" w:color="000000" w:sz="4" w:space="0"/>
              <w:bottom w:val="single" w:color="000000" w:sz="4" w:space="0"/>
              <w:right w:val="single" w:color="000000" w:sz="4" w:space="0"/>
            </w:tcBorders>
            <w:vAlign w:val="center"/>
          </w:tcPr>
          <w:p w14:paraId="24D3DC33">
            <w:pPr>
              <w:numPr>
                <w:ilvl w:val="0"/>
                <w:numId w:val="0"/>
              </w:numPr>
              <w:spacing w:line="44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1.供应商应当自知道或者应当知道其合法权益受到损害之日起七个工作日内提出质疑。对采购公告信息（含供应商资格条件）提出质疑的，质疑期限自采购公告发 布之日起计算。对采购文件提出质疑的，质疑期限自供应商获得采购文件之日起计算（但采购文件在发售或报名截止日后获得的，应当自截止之日起计算），且应当在采购响应截止时间之前提出，否则，被质疑人可不予接受。</w:t>
            </w:r>
          </w:p>
          <w:p w14:paraId="295DA45C">
            <w:pPr>
              <w:numPr>
                <w:ilvl w:val="0"/>
                <w:numId w:val="0"/>
              </w:num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对采购文件</w:t>
            </w:r>
            <w:r>
              <w:rPr>
                <w:rFonts w:hint="eastAsia" w:ascii="宋体" w:hAnsi="宋体" w:eastAsia="宋体" w:cs="宋体"/>
                <w:color w:val="auto"/>
                <w:szCs w:val="21"/>
                <w:highlight w:val="none"/>
                <w:lang w:eastAsia="zh-CN"/>
              </w:rPr>
              <w:t>需求提出质疑的，</w:t>
            </w:r>
            <w:r>
              <w:rPr>
                <w:rFonts w:hint="eastAsia" w:ascii="宋体" w:hAnsi="宋体" w:eastAsia="宋体" w:cs="宋体"/>
                <w:color w:val="auto"/>
                <w:szCs w:val="21"/>
                <w:highlight w:val="none"/>
              </w:rPr>
              <w:t>以书面形式向采购人提出质疑，对其他内容的</w:t>
            </w:r>
            <w:r>
              <w:rPr>
                <w:rFonts w:hint="eastAsia" w:ascii="宋体" w:hAnsi="宋体" w:eastAsia="宋体" w:cs="宋体"/>
                <w:color w:val="auto"/>
                <w:szCs w:val="21"/>
                <w:highlight w:val="none"/>
                <w:lang w:eastAsia="zh-CN"/>
              </w:rPr>
              <w:t>质疑</w:t>
            </w:r>
            <w:r>
              <w:rPr>
                <w:rFonts w:hint="eastAsia" w:ascii="宋体" w:hAnsi="宋体" w:eastAsia="宋体" w:cs="宋体"/>
                <w:color w:val="auto"/>
                <w:szCs w:val="21"/>
                <w:highlight w:val="none"/>
              </w:rPr>
              <w:t>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D456756">
            <w:pPr>
              <w:numPr>
                <w:ilvl w:val="0"/>
                <w:numId w:val="0"/>
              </w:numPr>
              <w:spacing w:line="440" w:lineRule="exact"/>
              <w:rPr>
                <w:rFonts w:hint="eastAsia" w:ascii="宋体" w:hAnsi="宋体" w:eastAsia="宋体" w:cs="宋体"/>
                <w:color w:val="auto"/>
                <w:szCs w:val="24"/>
                <w:highlight w:val="none"/>
                <w:lang w:val="en-US" w:eastAsia="zh-CN"/>
              </w:rPr>
            </w:pPr>
            <w:r>
              <w:rPr>
                <w:rFonts w:hint="eastAsia" w:ascii="宋体" w:hAnsi="宋体" w:eastAsia="宋体" w:cs="宋体"/>
                <w:color w:val="auto"/>
                <w:szCs w:val="21"/>
                <w:highlight w:val="none"/>
                <w:lang w:val="en-US" w:eastAsia="zh-CN"/>
              </w:rPr>
              <w:t>3.供应商应在法定质疑期内一次性提出针对同一采购程序环节的质疑。</w:t>
            </w:r>
          </w:p>
        </w:tc>
      </w:tr>
    </w:tbl>
    <w:p w14:paraId="28B8AFEB">
      <w:pPr>
        <w:wordWrap w:val="0"/>
        <w:snapToGrid w:val="0"/>
        <w:spacing w:line="360" w:lineRule="auto"/>
        <w:ind w:firstLine="600" w:firstLineChars="200"/>
        <w:rPr>
          <w:rFonts w:hint="eastAsia" w:ascii="黑体" w:hAnsi="黑体" w:eastAsia="黑体"/>
          <w:color w:val="auto"/>
          <w:sz w:val="30"/>
          <w:szCs w:val="30"/>
          <w:highlight w:val="none"/>
        </w:rPr>
      </w:pPr>
    </w:p>
    <w:p w14:paraId="76871E6E">
      <w:pPr>
        <w:widowControl/>
        <w:spacing w:line="360" w:lineRule="auto"/>
        <w:ind w:firstLine="562" w:firstLineChars="200"/>
        <w:jc w:val="left"/>
        <w:outlineLvl w:val="1"/>
        <w:rPr>
          <w:rFonts w:hint="eastAsia" w:ascii="黑体" w:eastAsia="黑体"/>
          <w:b/>
          <w:bCs/>
          <w:color w:val="auto"/>
          <w:sz w:val="28"/>
          <w:szCs w:val="28"/>
          <w:highlight w:val="none"/>
        </w:rPr>
      </w:pPr>
      <w:r>
        <w:rPr>
          <w:rFonts w:hint="eastAsia" w:ascii="黑体" w:eastAsia="黑体"/>
          <w:b/>
          <w:bCs/>
          <w:color w:val="auto"/>
          <w:sz w:val="28"/>
          <w:szCs w:val="28"/>
          <w:highlight w:val="none"/>
        </w:rPr>
        <w:t>一、总则</w:t>
      </w:r>
      <w:bookmarkEnd w:id="162"/>
      <w:bookmarkEnd w:id="163"/>
      <w:bookmarkEnd w:id="164"/>
      <w:bookmarkEnd w:id="165"/>
      <w:bookmarkEnd w:id="166"/>
      <w:bookmarkEnd w:id="167"/>
      <w:bookmarkEnd w:id="168"/>
      <w:bookmarkEnd w:id="169"/>
      <w:bookmarkEnd w:id="170"/>
    </w:p>
    <w:p w14:paraId="6FAFDEA6">
      <w:pPr>
        <w:widowControl/>
        <w:spacing w:line="480" w:lineRule="exact"/>
        <w:ind w:firstLine="482" w:firstLineChars="200"/>
        <w:jc w:val="left"/>
        <w:outlineLvl w:val="2"/>
        <w:rPr>
          <w:rFonts w:hint="eastAsia" w:ascii="宋体" w:hAnsi="宋体"/>
          <w:b/>
          <w:bCs/>
          <w:color w:val="auto"/>
          <w:sz w:val="24"/>
          <w:highlight w:val="none"/>
        </w:rPr>
      </w:pPr>
      <w:bookmarkStart w:id="171" w:name="_Toc363"/>
      <w:bookmarkStart w:id="172" w:name="_Toc13133"/>
      <w:bookmarkStart w:id="173" w:name="_Toc32099"/>
      <w:bookmarkStart w:id="174" w:name="_Toc17597"/>
      <w:bookmarkStart w:id="175" w:name="_Toc8924"/>
      <w:r>
        <w:rPr>
          <w:rFonts w:hint="eastAsia" w:ascii="宋体" w:hAnsi="宋体"/>
          <w:b/>
          <w:bCs/>
          <w:color w:val="auto"/>
          <w:sz w:val="24"/>
          <w:highlight w:val="none"/>
        </w:rPr>
        <w:t>（一） 适用范围</w:t>
      </w:r>
      <w:bookmarkEnd w:id="171"/>
      <w:bookmarkEnd w:id="172"/>
      <w:bookmarkEnd w:id="173"/>
      <w:bookmarkEnd w:id="174"/>
      <w:bookmarkEnd w:id="175"/>
    </w:p>
    <w:p w14:paraId="765AD8F3">
      <w:pPr>
        <w:widowControl/>
        <w:spacing w:line="48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本招标文件适用于</w:t>
      </w:r>
      <w:r>
        <w:rPr>
          <w:rFonts w:hint="eastAsia" w:ascii="宋体" w:hAnsi="宋体"/>
          <w:b/>
          <w:bCs/>
          <w:color w:val="auto"/>
          <w:sz w:val="24"/>
          <w:highlight w:val="none"/>
          <w:lang w:eastAsia="zh-CN"/>
        </w:rPr>
        <w:t>磐安县中医院互联网医院中医药综合信息平台项目</w:t>
      </w:r>
      <w:r>
        <w:rPr>
          <w:rFonts w:hint="eastAsia" w:ascii="宋体" w:hAnsi="宋体"/>
          <w:color w:val="auto"/>
          <w:sz w:val="24"/>
          <w:highlight w:val="none"/>
        </w:rPr>
        <w:t>的招标、投标、评标、定标、验收、合同履约、付款等行为（法律、法规另有规定的，从其规定）。</w:t>
      </w:r>
    </w:p>
    <w:p w14:paraId="5D543B17">
      <w:pPr>
        <w:widowControl/>
        <w:spacing w:line="480" w:lineRule="exact"/>
        <w:ind w:firstLine="482" w:firstLineChars="200"/>
        <w:jc w:val="left"/>
        <w:outlineLvl w:val="2"/>
        <w:rPr>
          <w:rFonts w:hint="eastAsia" w:ascii="宋体" w:hAnsi="宋体"/>
          <w:b/>
          <w:bCs/>
          <w:color w:val="auto"/>
          <w:sz w:val="24"/>
          <w:highlight w:val="none"/>
        </w:rPr>
      </w:pPr>
      <w:bookmarkStart w:id="176" w:name="_Toc17795"/>
      <w:bookmarkStart w:id="177" w:name="_Toc32680"/>
      <w:bookmarkStart w:id="178" w:name="_Toc24686"/>
      <w:bookmarkStart w:id="179" w:name="_Toc25456"/>
      <w:bookmarkStart w:id="180" w:name="_Toc25060"/>
      <w:r>
        <w:rPr>
          <w:rFonts w:hint="eastAsia" w:ascii="宋体" w:hAnsi="宋体"/>
          <w:b/>
          <w:bCs/>
          <w:color w:val="auto"/>
          <w:sz w:val="24"/>
          <w:highlight w:val="none"/>
        </w:rPr>
        <w:t>（二）定义</w:t>
      </w:r>
      <w:bookmarkEnd w:id="176"/>
      <w:bookmarkEnd w:id="177"/>
      <w:bookmarkEnd w:id="178"/>
      <w:bookmarkEnd w:id="179"/>
      <w:bookmarkEnd w:id="180"/>
    </w:p>
    <w:p w14:paraId="021E22F7">
      <w:pPr>
        <w:widowControl/>
        <w:spacing w:line="48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1.招标采购单位系指组织本次招标的</w:t>
      </w:r>
      <w:r>
        <w:rPr>
          <w:rFonts w:hint="eastAsia" w:ascii="宋体" w:hAnsi="宋体"/>
          <w:b/>
          <w:bCs/>
          <w:color w:val="auto"/>
          <w:sz w:val="24"/>
          <w:highlight w:val="none"/>
          <w:lang w:eastAsia="zh-CN"/>
        </w:rPr>
        <w:t>浙江展图工程咨询有限公司</w:t>
      </w:r>
      <w:r>
        <w:rPr>
          <w:rFonts w:hint="eastAsia" w:ascii="宋体" w:hAnsi="宋体"/>
          <w:b/>
          <w:bCs/>
          <w:color w:val="auto"/>
          <w:sz w:val="24"/>
          <w:highlight w:val="none"/>
        </w:rPr>
        <w:t>（“招标方”）</w:t>
      </w:r>
      <w:r>
        <w:rPr>
          <w:rFonts w:hint="eastAsia" w:ascii="宋体" w:hAnsi="宋体"/>
          <w:color w:val="auto"/>
          <w:sz w:val="24"/>
          <w:highlight w:val="none"/>
        </w:rPr>
        <w:t>和</w:t>
      </w:r>
      <w:r>
        <w:rPr>
          <w:rFonts w:hint="eastAsia" w:ascii="宋体" w:hAnsi="宋体"/>
          <w:b/>
          <w:bCs/>
          <w:color w:val="auto"/>
          <w:sz w:val="24"/>
          <w:highlight w:val="none"/>
          <w:lang w:eastAsia="zh-CN"/>
        </w:rPr>
        <w:t>磐安县中医院</w:t>
      </w:r>
      <w:r>
        <w:rPr>
          <w:rFonts w:hint="eastAsia" w:ascii="宋体" w:hAnsi="宋体"/>
          <w:b/>
          <w:bCs/>
          <w:color w:val="auto"/>
          <w:sz w:val="24"/>
          <w:highlight w:val="none"/>
        </w:rPr>
        <w:t>（“采购人”）</w:t>
      </w:r>
      <w:r>
        <w:rPr>
          <w:rFonts w:hint="eastAsia" w:ascii="宋体" w:hAnsi="宋体"/>
          <w:color w:val="auto"/>
          <w:sz w:val="24"/>
          <w:highlight w:val="none"/>
        </w:rPr>
        <w:t>。</w:t>
      </w:r>
    </w:p>
    <w:p w14:paraId="570FE660">
      <w:pPr>
        <w:widowControl/>
        <w:spacing w:line="48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2.“投标人”系指向招标方提交投标文件的单位。</w:t>
      </w:r>
    </w:p>
    <w:p w14:paraId="4F6B4A75">
      <w:pPr>
        <w:widowControl/>
        <w:spacing w:line="480" w:lineRule="exact"/>
        <w:ind w:firstLine="480" w:firstLineChars="200"/>
        <w:jc w:val="left"/>
        <w:rPr>
          <w:rFonts w:hint="eastAsia" w:ascii="宋体" w:hAnsi="宋体"/>
          <w:color w:val="auto"/>
          <w:sz w:val="24"/>
          <w:highlight w:val="none"/>
        </w:rPr>
      </w:pPr>
      <w:bookmarkStart w:id="181" w:name="_Toc835"/>
      <w:bookmarkStart w:id="182" w:name="_Toc16944"/>
      <w:bookmarkStart w:id="183" w:name="_Toc3568"/>
      <w:bookmarkStart w:id="184" w:name="_Toc20622"/>
      <w:bookmarkStart w:id="185" w:name="_Toc48"/>
      <w:r>
        <w:rPr>
          <w:rFonts w:hint="eastAsia" w:ascii="宋体" w:hAnsi="宋体"/>
          <w:color w:val="auto"/>
          <w:sz w:val="24"/>
          <w:highlight w:val="none"/>
        </w:rPr>
        <w:t>3.“电子签名”系指数据电文中以电子形式所含、所附用于识别签名人身份并表明签名人认可其中内容的数据；“公章”系指投标文件中所涉及的加盖公章均采用CA电子签章。</w:t>
      </w:r>
      <w:bookmarkEnd w:id="181"/>
      <w:bookmarkEnd w:id="182"/>
      <w:bookmarkEnd w:id="183"/>
      <w:bookmarkEnd w:id="184"/>
      <w:bookmarkEnd w:id="185"/>
    </w:p>
    <w:p w14:paraId="10F3B123">
      <w:pPr>
        <w:widowControl/>
        <w:spacing w:line="480" w:lineRule="exact"/>
        <w:ind w:firstLine="480" w:firstLineChars="200"/>
        <w:jc w:val="left"/>
        <w:rPr>
          <w:rFonts w:hint="eastAsia" w:ascii="宋体" w:hAnsi="宋体"/>
          <w:color w:val="auto"/>
          <w:sz w:val="24"/>
          <w:highlight w:val="none"/>
        </w:rPr>
      </w:pPr>
      <w:bookmarkStart w:id="186" w:name="_Toc16226"/>
      <w:bookmarkStart w:id="187" w:name="_Toc26912"/>
      <w:bookmarkStart w:id="188" w:name="_Toc1555"/>
      <w:bookmarkStart w:id="189" w:name="_Toc16109"/>
      <w:bookmarkStart w:id="190" w:name="_Toc20446"/>
      <w:r>
        <w:rPr>
          <w:rFonts w:hint="eastAsia" w:ascii="宋体" w:hAnsi="宋体"/>
          <w:color w:val="auto"/>
          <w:sz w:val="24"/>
          <w:highlight w:val="none"/>
        </w:rPr>
        <w:t>4.“电子交易平台”是指本项目政府采购活动所依托的政府采购云平台（https://www.zcygov.cn/）。</w:t>
      </w:r>
      <w:bookmarkEnd w:id="186"/>
      <w:bookmarkEnd w:id="187"/>
      <w:bookmarkEnd w:id="188"/>
      <w:bookmarkEnd w:id="189"/>
      <w:bookmarkEnd w:id="190"/>
    </w:p>
    <w:p w14:paraId="00845E94">
      <w:pPr>
        <w:snapToGrid w:val="0"/>
        <w:spacing w:line="400" w:lineRule="exact"/>
        <w:ind w:firstLine="480" w:firstLineChars="200"/>
        <w:jc w:val="left"/>
        <w:rPr>
          <w:rFonts w:hint="eastAsia" w:ascii="宋体" w:hAnsi="宋体"/>
          <w:color w:val="auto"/>
          <w:sz w:val="24"/>
          <w:highlight w:val="none"/>
        </w:rPr>
      </w:pPr>
      <w:bookmarkStart w:id="191" w:name="_Toc32163"/>
      <w:bookmarkStart w:id="192" w:name="_Toc16702"/>
      <w:bookmarkStart w:id="193" w:name="_Toc9580"/>
      <w:bookmarkStart w:id="194" w:name="_Toc8582"/>
      <w:bookmarkStart w:id="195" w:name="_Toc31468"/>
      <w:r>
        <w:rPr>
          <w:rFonts w:hint="eastAsia" w:ascii="宋体" w:hAnsi="宋体"/>
          <w:color w:val="auto"/>
          <w:sz w:val="24"/>
          <w:highlight w:val="none"/>
        </w:rPr>
        <w:t xml:space="preserve">5. </w:t>
      </w:r>
      <w:bookmarkEnd w:id="191"/>
      <w:bookmarkEnd w:id="192"/>
      <w:bookmarkEnd w:id="193"/>
      <w:bookmarkEnd w:id="194"/>
      <w:bookmarkEnd w:id="195"/>
      <w:r>
        <w:rPr>
          <w:rFonts w:hint="eastAsia" w:ascii="宋体" w:hAnsi="宋体" w:cs="宋体"/>
          <w:color w:val="auto"/>
          <w:sz w:val="24"/>
          <w:highlight w:val="none"/>
        </w:rPr>
        <w:t>“▲” 系指实质性要求条款，“★”系产品采购项目中重要参数。</w:t>
      </w:r>
    </w:p>
    <w:p w14:paraId="02389892">
      <w:pPr>
        <w:widowControl/>
        <w:spacing w:line="480" w:lineRule="exact"/>
        <w:ind w:firstLine="482" w:firstLineChars="200"/>
        <w:jc w:val="left"/>
        <w:outlineLvl w:val="2"/>
        <w:rPr>
          <w:rFonts w:hint="eastAsia" w:ascii="宋体" w:hAnsi="宋体"/>
          <w:b/>
          <w:bCs/>
          <w:color w:val="auto"/>
          <w:sz w:val="24"/>
          <w:highlight w:val="none"/>
        </w:rPr>
      </w:pPr>
      <w:bookmarkStart w:id="196" w:name="_Toc30903"/>
      <w:bookmarkStart w:id="197" w:name="_Toc10000"/>
      <w:bookmarkStart w:id="198" w:name="_Toc6535"/>
      <w:bookmarkStart w:id="199" w:name="_Toc2587"/>
      <w:bookmarkStart w:id="200" w:name="_Toc27853"/>
      <w:r>
        <w:rPr>
          <w:rFonts w:hint="eastAsia" w:ascii="宋体" w:hAnsi="宋体"/>
          <w:b/>
          <w:bCs/>
          <w:color w:val="auto"/>
          <w:sz w:val="24"/>
          <w:highlight w:val="none"/>
        </w:rPr>
        <w:t>（三）招标方式</w:t>
      </w:r>
      <w:bookmarkEnd w:id="196"/>
      <w:bookmarkEnd w:id="197"/>
      <w:bookmarkEnd w:id="198"/>
      <w:bookmarkEnd w:id="199"/>
      <w:bookmarkEnd w:id="200"/>
    </w:p>
    <w:p w14:paraId="79959371">
      <w:pPr>
        <w:widowControl/>
        <w:spacing w:line="48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本次招标采用公开招标方式进行。</w:t>
      </w:r>
    </w:p>
    <w:p w14:paraId="734D98D2">
      <w:pPr>
        <w:widowControl/>
        <w:spacing w:line="480" w:lineRule="exact"/>
        <w:ind w:firstLine="482" w:firstLineChars="200"/>
        <w:jc w:val="left"/>
        <w:outlineLvl w:val="2"/>
        <w:rPr>
          <w:rFonts w:hint="eastAsia" w:ascii="宋体" w:hAnsi="宋体"/>
          <w:b/>
          <w:bCs/>
          <w:color w:val="auto"/>
          <w:sz w:val="24"/>
          <w:highlight w:val="none"/>
        </w:rPr>
      </w:pPr>
      <w:bookmarkStart w:id="201" w:name="_Toc4962"/>
      <w:bookmarkStart w:id="202" w:name="_Toc7882"/>
      <w:bookmarkStart w:id="203" w:name="_Toc15865"/>
      <w:bookmarkStart w:id="204" w:name="_Toc16932"/>
      <w:bookmarkStart w:id="205" w:name="_Toc19949"/>
      <w:r>
        <w:rPr>
          <w:rFonts w:hint="eastAsia" w:ascii="宋体" w:hAnsi="宋体"/>
          <w:b/>
          <w:bCs/>
          <w:color w:val="auto"/>
          <w:sz w:val="24"/>
          <w:highlight w:val="none"/>
        </w:rPr>
        <w:t>（四）投标委托</w:t>
      </w:r>
      <w:bookmarkEnd w:id="201"/>
      <w:bookmarkEnd w:id="202"/>
      <w:bookmarkEnd w:id="203"/>
      <w:bookmarkEnd w:id="204"/>
      <w:bookmarkEnd w:id="205"/>
    </w:p>
    <w:p w14:paraId="42110439">
      <w:pPr>
        <w:widowControl/>
        <w:spacing w:line="480" w:lineRule="exact"/>
        <w:ind w:firstLine="480" w:firstLineChars="200"/>
        <w:jc w:val="left"/>
        <w:rPr>
          <w:rFonts w:hint="eastAsia" w:ascii="宋体" w:hAnsi="宋体"/>
          <w:color w:val="auto"/>
          <w:sz w:val="24"/>
          <w:highlight w:val="none"/>
        </w:rPr>
      </w:pPr>
      <w:bookmarkStart w:id="206" w:name="_Toc255"/>
      <w:bookmarkStart w:id="207" w:name="_Toc1675"/>
      <w:bookmarkStart w:id="208" w:name="_Toc21699"/>
      <w:bookmarkStart w:id="209" w:name="_Toc15588"/>
      <w:bookmarkStart w:id="210" w:name="_Toc7017"/>
      <w:r>
        <w:rPr>
          <w:rFonts w:hint="eastAsia" w:ascii="宋体" w:hAnsi="宋体"/>
          <w:color w:val="auto"/>
          <w:sz w:val="24"/>
          <w:highlight w:val="none"/>
        </w:rPr>
        <w:t>本项目采用在线投标响应方式，执行《浙江省财政厅关于印发浙江省政府采购项目电子交易管理暂行办法的通知》（浙财采监〔2019〕10 号）等相关规定。</w:t>
      </w:r>
    </w:p>
    <w:p w14:paraId="68DC1340">
      <w:pPr>
        <w:widowControl/>
        <w:spacing w:line="48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本项目在线开评标进行时，供应商法定代表人或其授权代表需自行关注平台提示信息，期间如有发出“询标/澄清函”等相关线上函件时，因投标人自身原因逾期/错过回复时间，由此造成的后果由投标人自行承担。</w:t>
      </w:r>
    </w:p>
    <w:p w14:paraId="474ABF15">
      <w:pPr>
        <w:widowControl/>
        <w:spacing w:line="48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投标人未按招标文件要求派代表参加电子开标会议的，视同认可开标结果，不得对开标过程及开标结果提出质疑。</w:t>
      </w:r>
      <w:bookmarkEnd w:id="206"/>
      <w:bookmarkEnd w:id="207"/>
      <w:bookmarkEnd w:id="208"/>
      <w:bookmarkEnd w:id="209"/>
      <w:bookmarkEnd w:id="210"/>
    </w:p>
    <w:p w14:paraId="2DABF252">
      <w:pPr>
        <w:widowControl/>
        <w:spacing w:line="480" w:lineRule="exact"/>
        <w:ind w:firstLine="482" w:firstLineChars="200"/>
        <w:jc w:val="left"/>
        <w:outlineLvl w:val="2"/>
        <w:rPr>
          <w:rFonts w:hint="eastAsia" w:ascii="宋体" w:hAnsi="宋体"/>
          <w:b/>
          <w:bCs/>
          <w:color w:val="auto"/>
          <w:sz w:val="24"/>
          <w:highlight w:val="none"/>
        </w:rPr>
      </w:pPr>
      <w:r>
        <w:rPr>
          <w:rFonts w:hint="eastAsia" w:ascii="宋体" w:hAnsi="宋体"/>
          <w:b/>
          <w:bCs/>
          <w:color w:val="auto"/>
          <w:sz w:val="24"/>
          <w:highlight w:val="none"/>
        </w:rPr>
        <w:t>（五）转包和分包</w:t>
      </w:r>
    </w:p>
    <w:p w14:paraId="62E603FE">
      <w:pPr>
        <w:snapToGrid w:val="0"/>
        <w:spacing w:line="400" w:lineRule="exact"/>
        <w:ind w:firstLine="720" w:firstLineChars="300"/>
        <w:rPr>
          <w:rFonts w:hint="eastAsia" w:ascii="宋体" w:hAnsi="宋体"/>
          <w:color w:val="auto"/>
          <w:sz w:val="24"/>
          <w:highlight w:val="none"/>
        </w:rPr>
      </w:pPr>
      <w:bookmarkStart w:id="211" w:name="_Toc6127"/>
      <w:bookmarkStart w:id="212" w:name="_Toc28200"/>
      <w:bookmarkStart w:id="213" w:name="_Toc26291"/>
      <w:bookmarkStart w:id="214" w:name="_Toc15773"/>
      <w:bookmarkStart w:id="215" w:name="_Toc10240"/>
      <w:r>
        <w:rPr>
          <w:rFonts w:ascii="宋体" w:hAnsi="宋体"/>
          <w:color w:val="auto"/>
          <w:sz w:val="24"/>
          <w:highlight w:val="none"/>
        </w:rPr>
        <w:t>本项目</w:t>
      </w:r>
      <w:r>
        <w:rPr>
          <w:rFonts w:ascii="宋体" w:hAnsi="宋体"/>
          <w:b/>
          <w:bCs/>
          <w:color w:val="auto"/>
          <w:sz w:val="24"/>
          <w:highlight w:val="none"/>
        </w:rPr>
        <w:t>不允许</w:t>
      </w:r>
      <w:r>
        <w:rPr>
          <w:rFonts w:ascii="宋体" w:hAnsi="宋体"/>
          <w:color w:val="auto"/>
          <w:sz w:val="24"/>
          <w:highlight w:val="none"/>
        </w:rPr>
        <w:t>转包。</w:t>
      </w:r>
      <w:r>
        <w:rPr>
          <w:rFonts w:hint="eastAsia" w:ascii="宋体" w:hAnsi="宋体" w:cs="宋体"/>
          <w:color w:val="auto"/>
          <w:kern w:val="0"/>
          <w:sz w:val="24"/>
          <w:highlight w:val="none"/>
        </w:rPr>
        <w:t>分包须经采购人书面同意后方可实施。</w:t>
      </w:r>
    </w:p>
    <w:p w14:paraId="7BF6BEAB">
      <w:pPr>
        <w:widowControl/>
        <w:spacing w:line="480" w:lineRule="exact"/>
        <w:ind w:firstLine="482" w:firstLineChars="200"/>
        <w:jc w:val="left"/>
        <w:outlineLvl w:val="2"/>
        <w:rPr>
          <w:rFonts w:hint="eastAsia" w:ascii="宋体" w:hAnsi="宋体"/>
          <w:b/>
          <w:bCs/>
          <w:color w:val="auto"/>
          <w:sz w:val="24"/>
          <w:highlight w:val="none"/>
        </w:rPr>
      </w:pPr>
      <w:r>
        <w:rPr>
          <w:rFonts w:hint="eastAsia" w:ascii="宋体" w:hAnsi="宋体"/>
          <w:b/>
          <w:bCs/>
          <w:color w:val="auto"/>
          <w:sz w:val="24"/>
          <w:highlight w:val="none"/>
        </w:rPr>
        <w:t>（六）特别说明：</w:t>
      </w:r>
      <w:bookmarkEnd w:id="211"/>
      <w:bookmarkEnd w:id="212"/>
      <w:bookmarkEnd w:id="213"/>
      <w:bookmarkEnd w:id="214"/>
      <w:bookmarkEnd w:id="215"/>
    </w:p>
    <w:p w14:paraId="7E8A71D7">
      <w:pPr>
        <w:pStyle w:val="53"/>
        <w:spacing w:after="0" w:line="480" w:lineRule="exact"/>
        <w:ind w:left="0" w:leftChars="0" w:firstLine="240" w:firstLineChars="100"/>
        <w:rPr>
          <w:rFonts w:hint="eastAsia" w:ascii="宋体" w:hAnsi="宋体"/>
          <w:color w:val="auto"/>
          <w:spacing w:val="0"/>
          <w:sz w:val="24"/>
          <w:szCs w:val="24"/>
          <w:highlight w:val="none"/>
        </w:rPr>
      </w:pPr>
      <w:bookmarkStart w:id="216" w:name="_Toc18823"/>
      <w:bookmarkStart w:id="217" w:name="_Toc13579"/>
      <w:bookmarkStart w:id="218" w:name="_Toc16817"/>
      <w:bookmarkStart w:id="219" w:name="_Toc15408"/>
      <w:bookmarkStart w:id="220" w:name="_Toc4337"/>
      <w:bookmarkStart w:id="221" w:name="_Toc27921"/>
      <w:bookmarkStart w:id="222" w:name="_Toc22711"/>
      <w:bookmarkStart w:id="223" w:name="_Toc28428"/>
      <w:bookmarkStart w:id="224" w:name="_Toc20289"/>
      <w:bookmarkStart w:id="225" w:name="_Toc21517"/>
      <w:bookmarkStart w:id="226" w:name="_Toc31223"/>
      <w:bookmarkStart w:id="227" w:name="_Toc16041"/>
      <w:r>
        <w:rPr>
          <w:rFonts w:hint="eastAsia" w:ascii="宋体" w:hAnsi="宋体"/>
          <w:color w:val="auto"/>
          <w:spacing w:val="0"/>
          <w:sz w:val="24"/>
          <w:szCs w:val="24"/>
          <w:highlight w:val="none"/>
        </w:rPr>
        <w:t>▲1.</w:t>
      </w:r>
      <w:bookmarkStart w:id="228" w:name="OLE_LINK1"/>
      <w:r>
        <w:rPr>
          <w:rFonts w:hint="eastAsia" w:ascii="宋体" w:hAnsi="宋体"/>
          <w:color w:val="auto"/>
          <w:spacing w:val="0"/>
          <w:sz w:val="24"/>
          <w:szCs w:val="24"/>
          <w:highlight w:val="none"/>
        </w:rPr>
        <w:t>多家供应商参加投标，提供相同品牌产品</w:t>
      </w:r>
      <w:bookmarkEnd w:id="228"/>
      <w:r>
        <w:rPr>
          <w:rFonts w:hint="eastAsia" w:ascii="宋体" w:hAnsi="宋体"/>
          <w:color w:val="auto"/>
          <w:spacing w:val="0"/>
          <w:sz w:val="24"/>
          <w:szCs w:val="24"/>
          <w:highlight w:val="none"/>
        </w:rPr>
        <w:t>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0FA37D3">
      <w:pPr>
        <w:snapToGrid w:val="0"/>
        <w:spacing w:line="480" w:lineRule="exact"/>
        <w:ind w:firstLine="472" w:firstLineChars="196"/>
        <w:jc w:val="left"/>
        <w:rPr>
          <w:rFonts w:hint="eastAsia" w:ascii="宋体" w:hAnsi="宋体"/>
          <w:color w:val="auto"/>
          <w:sz w:val="24"/>
          <w:highlight w:val="none"/>
        </w:rPr>
      </w:pPr>
      <w:r>
        <w:rPr>
          <w:rFonts w:hint="eastAsia" w:ascii="宋体" w:hAnsi="宋体"/>
          <w:b/>
          <w:bCs/>
          <w:color w:val="auto"/>
          <w:sz w:val="24"/>
          <w:highlight w:val="none"/>
        </w:rPr>
        <w:t>非单一产品采购项目，投标人使用相同产品的价格总和均超过项目各自投标总价50%及以上的，按一家投标人认定。多家投标人提供的核心产品品牌相同的，按前两款规定处理。</w:t>
      </w:r>
    </w:p>
    <w:p w14:paraId="033A2F2E">
      <w:pPr>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2.（1）投标人投标所使用的资格、信誉、荣誉、业绩与企业认证必须为本法人所拥有。</w:t>
      </w:r>
    </w:p>
    <w:p w14:paraId="2DE69264">
      <w:pPr>
        <w:pStyle w:val="53"/>
        <w:spacing w:after="0" w:line="480" w:lineRule="exact"/>
        <w:ind w:left="0" w:leftChars="0" w:firstLine="464"/>
        <w:rPr>
          <w:rFonts w:hint="eastAsia" w:ascii="宋体" w:hAnsi="宋体" w:cs="宋体"/>
          <w:color w:val="auto"/>
          <w:sz w:val="24"/>
          <w:highlight w:val="none"/>
        </w:rPr>
      </w:pPr>
      <w:r>
        <w:rPr>
          <w:rFonts w:hint="eastAsia" w:ascii="宋体" w:hAnsi="宋体" w:cs="宋体"/>
          <w:color w:val="auto"/>
          <w:sz w:val="24"/>
          <w:highlight w:val="none"/>
        </w:rPr>
        <w:t>3.单位负责人为同一人或者存在直接控股、管理关系的不同供应商，不得参加同一合同项下的政府采购活动。如在评标过程（或标后质疑投诉期内）中发现供应商间存在上述关系，存在上述关系的全部供应商均做无效投标（或无效中标）处理。</w:t>
      </w:r>
    </w:p>
    <w:p w14:paraId="105A1755">
      <w:pPr>
        <w:pStyle w:val="53"/>
        <w:spacing w:after="0" w:line="480" w:lineRule="exact"/>
        <w:ind w:left="0" w:leftChars="0" w:firstLine="464"/>
        <w:rPr>
          <w:rFonts w:hint="eastAsia" w:ascii="宋体" w:hAnsi="宋体" w:cs="宋体"/>
          <w:color w:val="auto"/>
          <w:sz w:val="24"/>
          <w:highlight w:val="none"/>
        </w:rPr>
      </w:pPr>
      <w:r>
        <w:rPr>
          <w:rFonts w:hint="eastAsia" w:ascii="宋体" w:hAnsi="宋体" w:cs="宋体"/>
          <w:color w:val="auto"/>
          <w:sz w:val="24"/>
          <w:highlight w:val="none"/>
        </w:rPr>
        <w:t>4.除单一来源采购项目外，为采购项目提供整体设计、规范编制或者项目管理、监理、检测等服务的供应商，不得再参加该采购项目的其他采购活动。</w:t>
      </w:r>
    </w:p>
    <w:p w14:paraId="280FA108">
      <w:pPr>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5.支持绿色发展</w:t>
      </w:r>
    </w:p>
    <w:p w14:paraId="79B1D67C">
      <w:pPr>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0EB0E53C">
      <w:pPr>
        <w:widowControl/>
        <w:spacing w:line="480" w:lineRule="exact"/>
        <w:ind w:firstLine="562" w:firstLineChars="200"/>
        <w:jc w:val="left"/>
        <w:outlineLvl w:val="1"/>
        <w:rPr>
          <w:rFonts w:hint="eastAsia" w:ascii="黑体" w:eastAsia="黑体"/>
          <w:b/>
          <w:bCs/>
          <w:color w:val="auto"/>
          <w:sz w:val="28"/>
          <w:szCs w:val="28"/>
          <w:highlight w:val="none"/>
        </w:rPr>
      </w:pPr>
      <w:r>
        <w:rPr>
          <w:rFonts w:hint="eastAsia" w:ascii="黑体" w:eastAsia="黑体"/>
          <w:b/>
          <w:bCs/>
          <w:color w:val="auto"/>
          <w:sz w:val="28"/>
          <w:szCs w:val="28"/>
          <w:highlight w:val="none"/>
        </w:rPr>
        <w:t>二、招标文件</w:t>
      </w:r>
      <w:bookmarkEnd w:id="216"/>
      <w:bookmarkEnd w:id="217"/>
      <w:bookmarkEnd w:id="218"/>
      <w:bookmarkEnd w:id="219"/>
      <w:bookmarkEnd w:id="220"/>
      <w:bookmarkEnd w:id="221"/>
      <w:bookmarkEnd w:id="222"/>
      <w:bookmarkEnd w:id="223"/>
      <w:bookmarkEnd w:id="224"/>
      <w:bookmarkEnd w:id="225"/>
      <w:bookmarkEnd w:id="226"/>
      <w:bookmarkEnd w:id="227"/>
    </w:p>
    <w:p w14:paraId="6478F559">
      <w:pPr>
        <w:snapToGrid w:val="0"/>
        <w:spacing w:line="480" w:lineRule="exact"/>
        <w:ind w:firstLine="482" w:firstLineChars="200"/>
        <w:jc w:val="left"/>
        <w:outlineLvl w:val="2"/>
        <w:rPr>
          <w:rFonts w:hint="eastAsia" w:ascii="宋体" w:hAnsi="宋体" w:cs="宋体"/>
          <w:b/>
          <w:color w:val="auto"/>
          <w:sz w:val="24"/>
          <w:highlight w:val="none"/>
        </w:rPr>
      </w:pPr>
      <w:r>
        <w:rPr>
          <w:rFonts w:hint="eastAsia" w:ascii="宋体" w:hAnsi="宋体" w:cs="宋体"/>
          <w:b/>
          <w:color w:val="auto"/>
          <w:sz w:val="24"/>
          <w:highlight w:val="none"/>
        </w:rPr>
        <w:t>（一）招标文件的构成。</w:t>
      </w:r>
    </w:p>
    <w:p w14:paraId="3E282495">
      <w:pPr>
        <w:pStyle w:val="44"/>
        <w:spacing w:line="480" w:lineRule="exact"/>
        <w:rPr>
          <w:rFonts w:hint="eastAsia" w:ascii="宋体" w:eastAsia="宋体" w:cs="宋体"/>
          <w:color w:val="auto"/>
          <w:highlight w:val="none"/>
        </w:rPr>
      </w:pPr>
      <w:r>
        <w:rPr>
          <w:rFonts w:hint="eastAsia" w:ascii="宋体" w:eastAsia="宋体" w:cs="宋体"/>
          <w:color w:val="auto"/>
          <w:highlight w:val="none"/>
        </w:rPr>
        <w:t>按《目录》</w:t>
      </w:r>
    </w:p>
    <w:p w14:paraId="2E9FC11C">
      <w:pPr>
        <w:snapToGrid w:val="0"/>
        <w:spacing w:line="480" w:lineRule="exact"/>
        <w:ind w:firstLine="482" w:firstLineChars="200"/>
        <w:jc w:val="left"/>
        <w:outlineLvl w:val="2"/>
        <w:rPr>
          <w:rFonts w:hint="eastAsia" w:ascii="宋体" w:hAnsi="宋体" w:cs="宋体"/>
          <w:b/>
          <w:color w:val="auto"/>
          <w:sz w:val="24"/>
          <w:highlight w:val="none"/>
        </w:rPr>
      </w:pPr>
      <w:r>
        <w:rPr>
          <w:rFonts w:hint="eastAsia" w:ascii="宋体" w:hAnsi="宋体" w:cs="宋体"/>
          <w:b/>
          <w:color w:val="auto"/>
          <w:sz w:val="24"/>
          <w:highlight w:val="none"/>
        </w:rPr>
        <w:t>（二）投标人的风险</w:t>
      </w:r>
    </w:p>
    <w:p w14:paraId="5DDC07C2">
      <w:pPr>
        <w:pStyle w:val="44"/>
        <w:spacing w:line="480" w:lineRule="exact"/>
        <w:rPr>
          <w:rFonts w:hint="eastAsia" w:ascii="宋体" w:eastAsia="宋体" w:cs="宋体"/>
          <w:color w:val="auto"/>
          <w:highlight w:val="none"/>
        </w:rPr>
      </w:pPr>
      <w:r>
        <w:rPr>
          <w:rFonts w:hint="eastAsia" w:ascii="宋体" w:eastAsia="宋体" w:cs="宋体"/>
          <w:color w:val="auto"/>
          <w:highlight w:val="none"/>
        </w:rPr>
        <w:t>投标人没有按照招标文件要求提供全部资料，或者投标人没有对招标文件在各方面作出实质性响应是投标人的风险，并可能导致其投标被拒绝。</w:t>
      </w:r>
    </w:p>
    <w:p w14:paraId="61C14C07">
      <w:pPr>
        <w:snapToGrid w:val="0"/>
        <w:spacing w:line="480" w:lineRule="exact"/>
        <w:ind w:firstLine="482" w:firstLineChars="200"/>
        <w:jc w:val="left"/>
        <w:outlineLvl w:val="2"/>
        <w:rPr>
          <w:rFonts w:hint="eastAsia" w:ascii="宋体" w:hAnsi="宋体" w:cs="宋体"/>
          <w:b/>
          <w:color w:val="auto"/>
          <w:sz w:val="24"/>
          <w:highlight w:val="none"/>
        </w:rPr>
      </w:pPr>
      <w:r>
        <w:rPr>
          <w:rFonts w:hint="eastAsia" w:ascii="宋体" w:hAnsi="宋体" w:cs="宋体"/>
          <w:b/>
          <w:color w:val="auto"/>
          <w:sz w:val="24"/>
          <w:highlight w:val="none"/>
        </w:rPr>
        <w:t xml:space="preserve">（三）招标文件的澄清与修改 </w:t>
      </w:r>
    </w:p>
    <w:p w14:paraId="355104F7">
      <w:pPr>
        <w:pStyle w:val="44"/>
        <w:spacing w:line="480" w:lineRule="exact"/>
        <w:rPr>
          <w:rFonts w:hint="eastAsia" w:ascii="宋体" w:eastAsia="宋体"/>
          <w:color w:val="auto"/>
          <w:highlight w:val="none"/>
        </w:rPr>
      </w:pPr>
      <w:bookmarkStart w:id="229" w:name="_Toc6991"/>
      <w:bookmarkStart w:id="230" w:name="_Toc31619"/>
      <w:bookmarkStart w:id="231" w:name="_Toc10219"/>
      <w:bookmarkStart w:id="232" w:name="_Toc3857"/>
      <w:bookmarkStart w:id="233" w:name="_Toc505"/>
      <w:bookmarkStart w:id="234" w:name="_Toc32299"/>
      <w:bookmarkStart w:id="235" w:name="_Toc29942"/>
      <w:bookmarkStart w:id="236" w:name="_Toc32490"/>
      <w:bookmarkStart w:id="237" w:name="_Toc21585"/>
      <w:r>
        <w:rPr>
          <w:rFonts w:hint="eastAsia" w:ascii="宋体" w:eastAsia="宋体"/>
          <w:color w:val="auto"/>
          <w:highlight w:val="none"/>
        </w:rPr>
        <w:t>1.投标人应认真阅读本招标文件，发现其中有误或有不合理要求的，投标人必须</w:t>
      </w:r>
      <w:r>
        <w:rPr>
          <w:rFonts w:hint="eastAsia" w:ascii="宋体" w:eastAsia="宋体"/>
          <w:color w:val="auto"/>
          <w:highlight w:val="none"/>
          <w:lang w:eastAsia="zh-CN"/>
        </w:rPr>
        <w:t>在规定时间内</w:t>
      </w:r>
      <w:r>
        <w:rPr>
          <w:rFonts w:hint="eastAsia" w:ascii="宋体" w:eastAsia="宋体"/>
          <w:color w:val="auto"/>
          <w:highlight w:val="none"/>
        </w:rPr>
        <w:t>以书面形式要求采购代理机构或采购人澄清。采购代理机构或采购人对已发出的招标文件进行必要澄清、答复、修改或补充的，在采购信息发布媒体上发布更正公告。</w:t>
      </w:r>
    </w:p>
    <w:p w14:paraId="4D1FAACA">
      <w:pPr>
        <w:pStyle w:val="44"/>
        <w:spacing w:line="480" w:lineRule="exact"/>
        <w:rPr>
          <w:rFonts w:hint="eastAsia" w:ascii="宋体" w:eastAsia="宋体"/>
          <w:color w:val="auto"/>
          <w:highlight w:val="none"/>
        </w:rPr>
      </w:pPr>
      <w:r>
        <w:rPr>
          <w:rFonts w:hint="eastAsia" w:ascii="宋体" w:eastAsia="宋体"/>
          <w:color w:val="auto"/>
          <w:highlight w:val="none"/>
        </w:rPr>
        <w:t>2.采购代理机构根据实际情况，以书面或采购信息发布媒体上发布的形式答复投标人要求澄清的问题，不包含问题来源。</w:t>
      </w:r>
    </w:p>
    <w:p w14:paraId="414D1041">
      <w:pPr>
        <w:pStyle w:val="44"/>
        <w:spacing w:line="480" w:lineRule="exact"/>
        <w:rPr>
          <w:rFonts w:hint="eastAsia" w:ascii="宋体" w:eastAsia="宋体"/>
          <w:color w:val="auto"/>
          <w:highlight w:val="none"/>
        </w:rPr>
      </w:pPr>
      <w:r>
        <w:rPr>
          <w:rFonts w:hint="eastAsia" w:ascii="宋体" w:eastAsia="宋体"/>
          <w:color w:val="auto"/>
          <w:highlight w:val="none"/>
        </w:rPr>
        <w:t>3.招标文件澄清、答复、修改、补充的内容为招标文件的组成部分。当招标文件与招标文件的答复、澄清、修改、补充通知就同一内容的表述不一致时，以最后发出的书面文件为准。</w:t>
      </w:r>
    </w:p>
    <w:p w14:paraId="0BE1B08C">
      <w:pPr>
        <w:pStyle w:val="44"/>
        <w:keepNext w:val="0"/>
        <w:keepLines w:val="0"/>
        <w:pageBreakBefore w:val="0"/>
        <w:kinsoku/>
        <w:wordWrap/>
        <w:overflowPunct/>
        <w:topLinePunct w:val="0"/>
        <w:autoSpaceDE/>
        <w:autoSpaceDN/>
        <w:bidi w:val="0"/>
        <w:adjustRightInd/>
        <w:spacing w:line="360" w:lineRule="auto"/>
        <w:textAlignment w:val="auto"/>
        <w:rPr>
          <w:rFonts w:hint="eastAsia" w:ascii="宋体" w:eastAsia="宋体"/>
          <w:color w:val="auto"/>
          <w:highlight w:val="none"/>
        </w:rPr>
      </w:pPr>
      <w:r>
        <w:rPr>
          <w:rFonts w:hint="eastAsia" w:ascii="宋体" w:eastAsia="宋体"/>
          <w:color w:val="auto"/>
          <w:highlight w:val="none"/>
        </w:rPr>
        <w:t>4.招标文件的澄清、答复、修改或补充都应该通过本代理机构以法定形式发布，采购人非通过本机构，不得擅自澄清、答复、修改或补充招标文件。</w:t>
      </w:r>
    </w:p>
    <w:p w14:paraId="0B18BB4A">
      <w:pPr>
        <w:keepNext w:val="0"/>
        <w:keepLines w:val="0"/>
        <w:pageBreakBefore w:val="0"/>
        <w:widowControl/>
        <w:kinsoku/>
        <w:wordWrap/>
        <w:overflowPunct/>
        <w:topLinePunct w:val="0"/>
        <w:autoSpaceDE/>
        <w:autoSpaceDN/>
        <w:bidi w:val="0"/>
        <w:adjustRightInd/>
        <w:spacing w:line="360" w:lineRule="auto"/>
        <w:ind w:firstLine="562" w:firstLineChars="200"/>
        <w:jc w:val="left"/>
        <w:textAlignment w:val="auto"/>
        <w:outlineLvl w:val="1"/>
        <w:rPr>
          <w:rFonts w:hint="eastAsia" w:ascii="黑体" w:eastAsia="黑体"/>
          <w:b/>
          <w:bCs/>
          <w:color w:val="auto"/>
          <w:sz w:val="28"/>
          <w:szCs w:val="28"/>
          <w:highlight w:val="none"/>
        </w:rPr>
      </w:pPr>
      <w:r>
        <w:rPr>
          <w:rFonts w:hint="eastAsia" w:ascii="黑体" w:eastAsia="黑体"/>
          <w:b/>
          <w:bCs/>
          <w:color w:val="auto"/>
          <w:sz w:val="28"/>
          <w:szCs w:val="28"/>
          <w:highlight w:val="none"/>
        </w:rPr>
        <w:t>三、投标文件的编制</w:t>
      </w:r>
      <w:bookmarkEnd w:id="229"/>
      <w:bookmarkEnd w:id="230"/>
      <w:bookmarkEnd w:id="231"/>
      <w:bookmarkEnd w:id="232"/>
      <w:bookmarkEnd w:id="233"/>
      <w:bookmarkEnd w:id="234"/>
      <w:bookmarkEnd w:id="235"/>
      <w:bookmarkEnd w:id="236"/>
      <w:bookmarkEnd w:id="237"/>
    </w:p>
    <w:p w14:paraId="7301DEF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注：投标人应保证所提供文件资料的真实性，所有文件资料必须是针对本次投标的。如发现投标人提供了虚假文件资料，其投标将被拒绝，并自行承担相应的法律责任。</w:t>
      </w:r>
    </w:p>
    <w:p w14:paraId="2BE8498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outlineLvl w:val="2"/>
        <w:rPr>
          <w:rFonts w:hint="eastAsia" w:ascii="宋体" w:hAnsi="宋体" w:eastAsia="宋体" w:cs="宋体"/>
          <w:b w:val="0"/>
          <w:bCs/>
          <w:color w:val="auto"/>
          <w:sz w:val="24"/>
          <w:szCs w:val="24"/>
          <w:highlight w:val="none"/>
        </w:rPr>
      </w:pPr>
      <w:bookmarkStart w:id="238" w:name="_Toc985"/>
      <w:bookmarkStart w:id="239" w:name="_Toc6708"/>
      <w:bookmarkStart w:id="240" w:name="_Toc1643"/>
      <w:r>
        <w:rPr>
          <w:rFonts w:hint="eastAsia" w:ascii="宋体" w:hAnsi="宋体" w:eastAsia="宋体" w:cs="宋体"/>
          <w:b w:val="0"/>
          <w:bCs/>
          <w:color w:val="auto"/>
          <w:sz w:val="24"/>
          <w:szCs w:val="24"/>
          <w:highlight w:val="none"/>
        </w:rPr>
        <w:t>（一）投标文件的形式和效力</w:t>
      </w:r>
      <w:bookmarkEnd w:id="238"/>
      <w:bookmarkEnd w:id="239"/>
      <w:bookmarkEnd w:id="240"/>
    </w:p>
    <w:p w14:paraId="680FDA7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b w:val="0"/>
          <w:bCs/>
          <w:color w:val="auto"/>
          <w:sz w:val="24"/>
          <w:szCs w:val="24"/>
          <w:highlight w:val="none"/>
        </w:rPr>
      </w:pPr>
      <w:bookmarkStart w:id="241" w:name="_Toc14660"/>
      <w:bookmarkStart w:id="242" w:name="_Toc1160"/>
      <w:bookmarkStart w:id="243" w:name="_Toc15545"/>
      <w:r>
        <w:rPr>
          <w:rFonts w:hint="eastAsia" w:ascii="宋体" w:hAnsi="宋体" w:eastAsia="宋体" w:cs="宋体"/>
          <w:b w:val="0"/>
          <w:bCs/>
          <w:color w:val="auto"/>
          <w:sz w:val="24"/>
          <w:szCs w:val="24"/>
          <w:highlight w:val="none"/>
        </w:rPr>
        <w:t>1. 投标文件分为电子投标文件以及备份投标文件，备份文件分为备份电子投标文件和纸质备份投标文件两部分。（其中备份投标文件的提供与否不做强制性要求）</w:t>
      </w:r>
      <w:bookmarkEnd w:id="241"/>
      <w:bookmarkEnd w:id="242"/>
      <w:bookmarkEnd w:id="243"/>
    </w:p>
    <w:p w14:paraId="4BBF00B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b w:val="0"/>
          <w:bCs/>
          <w:color w:val="auto"/>
          <w:sz w:val="24"/>
          <w:szCs w:val="24"/>
          <w:highlight w:val="none"/>
        </w:rPr>
      </w:pPr>
      <w:bookmarkStart w:id="244" w:name="_Toc8383"/>
      <w:bookmarkStart w:id="245" w:name="_Toc20478"/>
      <w:bookmarkStart w:id="246" w:name="_Toc23694"/>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电子投标文件编制请按政府采购云平台供应商项目采购－电子招投标操作指南</w:t>
      </w:r>
      <w:r>
        <w:rPr>
          <w:rFonts w:hint="eastAsia" w:ascii="宋体" w:hAnsi="宋体" w:eastAsia="宋体" w:cs="宋体"/>
          <w:b w:val="0"/>
          <w:bCs/>
          <w:color w:val="auto"/>
          <w:spacing w:val="-11"/>
          <w:sz w:val="24"/>
          <w:szCs w:val="24"/>
          <w:highlight w:val="none"/>
        </w:rPr>
        <w:t>（</w:t>
      </w:r>
      <w:r>
        <w:rPr>
          <w:rFonts w:hint="eastAsia" w:ascii="宋体" w:hAnsi="宋体" w:eastAsia="宋体" w:cs="宋体"/>
          <w:b w:val="0"/>
          <w:bCs/>
          <w:color w:val="auto"/>
          <w:spacing w:val="-11"/>
          <w:sz w:val="24"/>
          <w:szCs w:val="24"/>
          <w:highlight w:val="none"/>
        </w:rPr>
        <w:fldChar w:fldCharType="begin"/>
      </w:r>
      <w:r>
        <w:rPr>
          <w:rFonts w:hint="eastAsia" w:ascii="宋体" w:hAnsi="宋体" w:eastAsia="宋体" w:cs="宋体"/>
          <w:b w:val="0"/>
          <w:bCs/>
          <w:color w:val="auto"/>
          <w:spacing w:val="-11"/>
          <w:sz w:val="24"/>
          <w:szCs w:val="24"/>
          <w:highlight w:val="none"/>
        </w:rPr>
        <w:instrText xml:space="preserve"> HYPERLINK "https://service.zcygov.cn/" \l "/knowledges/CW1EtGwBFdiHxlNd6I3m/6IMVAG0BFdiHxlNdQ8Na" </w:instrText>
      </w:r>
      <w:r>
        <w:rPr>
          <w:rFonts w:hint="eastAsia" w:ascii="宋体" w:hAnsi="宋体" w:eastAsia="宋体" w:cs="宋体"/>
          <w:b w:val="0"/>
          <w:bCs/>
          <w:color w:val="auto"/>
          <w:spacing w:val="-11"/>
          <w:sz w:val="24"/>
          <w:szCs w:val="24"/>
          <w:highlight w:val="none"/>
        </w:rPr>
        <w:fldChar w:fldCharType="separate"/>
      </w:r>
      <w:r>
        <w:rPr>
          <w:rStyle w:val="65"/>
          <w:rFonts w:hint="eastAsia" w:ascii="宋体" w:hAnsi="宋体" w:eastAsia="宋体" w:cs="宋体"/>
          <w:b w:val="0"/>
          <w:bCs/>
          <w:color w:val="auto"/>
          <w:spacing w:val="-11"/>
          <w:sz w:val="24"/>
          <w:szCs w:val="24"/>
          <w:highlight w:val="none"/>
        </w:rPr>
        <w:t>https://service.zcygov.cn/#/knowledges/CW1EtGwBFdiHxlNd6I3m/6ImVAG0BFdiHxlNdQ8Na</w:t>
      </w:r>
      <w:r>
        <w:rPr>
          <w:rFonts w:hint="eastAsia" w:ascii="宋体" w:hAnsi="宋体" w:eastAsia="宋体" w:cs="宋体"/>
          <w:b w:val="0"/>
          <w:bCs/>
          <w:color w:val="auto"/>
          <w:spacing w:val="-11"/>
          <w:sz w:val="24"/>
          <w:szCs w:val="24"/>
          <w:highlight w:val="none"/>
        </w:rPr>
        <w:fldChar w:fldCharType="end"/>
      </w:r>
      <w:r>
        <w:rPr>
          <w:rFonts w:hint="eastAsia" w:ascii="宋体" w:hAnsi="宋体" w:eastAsia="宋体" w:cs="宋体"/>
          <w:b w:val="0"/>
          <w:bCs/>
          <w:color w:val="auto"/>
          <w:spacing w:val="-11"/>
          <w:sz w:val="24"/>
          <w:szCs w:val="24"/>
          <w:highlight w:val="none"/>
          <w:lang w:eastAsia="zh-CN"/>
        </w:rPr>
        <w:t>）</w:t>
      </w:r>
      <w:r>
        <w:rPr>
          <w:rFonts w:hint="eastAsia" w:ascii="宋体" w:hAnsi="宋体" w:eastAsia="宋体" w:cs="宋体"/>
          <w:b w:val="0"/>
          <w:bCs/>
          <w:color w:val="auto"/>
          <w:sz w:val="24"/>
          <w:szCs w:val="24"/>
          <w:highlight w:val="none"/>
        </w:rPr>
        <w:t>和本招标文件要求编制并进行关联定位。</w:t>
      </w:r>
      <w:bookmarkEnd w:id="244"/>
      <w:bookmarkEnd w:id="245"/>
      <w:bookmarkEnd w:id="246"/>
    </w:p>
    <w:p w14:paraId="459D9BD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b w:val="0"/>
          <w:bCs/>
          <w:color w:val="auto"/>
          <w:sz w:val="24"/>
          <w:szCs w:val="24"/>
          <w:highlight w:val="none"/>
        </w:rPr>
      </w:pPr>
      <w:bookmarkStart w:id="247" w:name="_Toc22499"/>
      <w:bookmarkStart w:id="248" w:name="_Toc13124"/>
      <w:bookmarkStart w:id="249" w:name="_Toc2210"/>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 xml:space="preserve"> 备份电子投标文件：即电子投标文件按“政采云供应商项目采购－电子招投标操作指南”制作的备份文件。</w:t>
      </w:r>
      <w:bookmarkEnd w:id="247"/>
      <w:bookmarkEnd w:id="248"/>
      <w:bookmarkEnd w:id="249"/>
    </w:p>
    <w:p w14:paraId="5F5464D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b w:val="0"/>
          <w:bCs/>
          <w:color w:val="auto"/>
          <w:sz w:val="24"/>
          <w:szCs w:val="24"/>
          <w:highlight w:val="none"/>
        </w:rPr>
      </w:pPr>
      <w:bookmarkStart w:id="250" w:name="_Toc21980"/>
      <w:bookmarkStart w:id="251" w:name="_Toc24783"/>
      <w:bookmarkStart w:id="252" w:name="_Toc3026"/>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 xml:space="preserve"> 纸质备份投标文件：系电子投标文件纸质版，按照“（二）投标文件的组成”要求制作。</w:t>
      </w:r>
      <w:bookmarkEnd w:id="250"/>
      <w:bookmarkEnd w:id="251"/>
      <w:bookmarkEnd w:id="252"/>
    </w:p>
    <w:p w14:paraId="536CD8E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b w:val="0"/>
          <w:bCs/>
          <w:color w:val="auto"/>
          <w:sz w:val="24"/>
          <w:szCs w:val="24"/>
          <w:highlight w:val="none"/>
        </w:rPr>
      </w:pPr>
      <w:bookmarkStart w:id="253" w:name="_Toc20678"/>
      <w:bookmarkStart w:id="254" w:name="_Toc1528"/>
      <w:bookmarkStart w:id="255" w:name="_Toc25995"/>
      <w:r>
        <w:rPr>
          <w:rFonts w:hint="eastAsia" w:ascii="宋体" w:hAnsi="宋体" w:eastAsia="宋体" w:cs="宋体"/>
          <w:b w:val="0"/>
          <w:bCs/>
          <w:color w:val="auto"/>
          <w:sz w:val="24"/>
          <w:szCs w:val="24"/>
          <w:highlight w:val="none"/>
        </w:rPr>
        <w:t>2.投标文件的效力</w:t>
      </w:r>
      <w:bookmarkEnd w:id="253"/>
      <w:bookmarkEnd w:id="254"/>
      <w:bookmarkEnd w:id="255"/>
    </w:p>
    <w:p w14:paraId="7924785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b w:val="0"/>
          <w:bCs/>
          <w:color w:val="auto"/>
          <w:sz w:val="24"/>
          <w:szCs w:val="24"/>
          <w:highlight w:val="none"/>
        </w:rPr>
      </w:pPr>
      <w:bookmarkStart w:id="256" w:name="_Toc10246"/>
      <w:bookmarkStart w:id="257" w:name="_Toc23835"/>
      <w:bookmarkStart w:id="258" w:name="_Toc13794"/>
      <w:r>
        <w:rPr>
          <w:rFonts w:hint="eastAsia" w:ascii="宋体" w:hAnsi="宋体" w:eastAsia="宋体" w:cs="宋体"/>
          <w:b w:val="0"/>
          <w:bCs/>
          <w:color w:val="auto"/>
          <w:sz w:val="24"/>
          <w:szCs w:val="24"/>
          <w:highlight w:val="none"/>
        </w:rPr>
        <w:t>投标文件的启用，按先后顺序分别为电子投标文件、备份电子投标文件、纸质备份投标文件。因网络或者其他非投标人问题造成电子投标文件无法正常解密的，方可启用备份投标文件。若正常解密成功，则备份电子投标文件和纸质备份文件均不予以开启。在下一顺位的投标文件启用时，前一顺位的投标文件自动失效。</w:t>
      </w:r>
      <w:bookmarkEnd w:id="256"/>
      <w:bookmarkEnd w:id="257"/>
      <w:bookmarkEnd w:id="258"/>
    </w:p>
    <w:p w14:paraId="789449D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outlineLvl w:val="2"/>
        <w:rPr>
          <w:rFonts w:hint="eastAsia" w:ascii="宋体" w:hAnsi="宋体" w:eastAsia="宋体" w:cs="宋体"/>
          <w:b w:val="0"/>
          <w:bCs/>
          <w:color w:val="auto"/>
          <w:sz w:val="24"/>
          <w:szCs w:val="24"/>
          <w:highlight w:val="none"/>
        </w:rPr>
      </w:pPr>
      <w:bookmarkStart w:id="259" w:name="_Toc7298"/>
      <w:bookmarkStart w:id="260" w:name="_Toc14880"/>
      <w:bookmarkStart w:id="261" w:name="_Toc27236"/>
      <w:r>
        <w:rPr>
          <w:rFonts w:hint="eastAsia" w:ascii="宋体" w:hAnsi="宋体" w:eastAsia="宋体" w:cs="宋体"/>
          <w:b w:val="0"/>
          <w:bCs/>
          <w:color w:val="auto"/>
          <w:sz w:val="24"/>
          <w:szCs w:val="24"/>
          <w:highlight w:val="none"/>
        </w:rPr>
        <w:t>（二）投标文件的组成</w:t>
      </w:r>
      <w:bookmarkEnd w:id="259"/>
      <w:bookmarkEnd w:id="260"/>
      <w:bookmarkEnd w:id="261"/>
    </w:p>
    <w:p w14:paraId="46F22296">
      <w:pPr>
        <w:snapToGrid w:val="0"/>
        <w:spacing w:line="480" w:lineRule="exact"/>
        <w:ind w:firstLine="470" w:firstLineChars="196"/>
        <w:jc w:val="left"/>
        <w:rPr>
          <w:rFonts w:hint="eastAsia" w:ascii="宋体" w:hAnsi="宋体" w:eastAsia="宋体" w:cs="宋体"/>
          <w:b w:val="0"/>
          <w:bCs/>
          <w:color w:val="auto"/>
          <w:sz w:val="24"/>
          <w:szCs w:val="24"/>
          <w:highlight w:val="none"/>
        </w:rPr>
      </w:pPr>
      <w:bookmarkStart w:id="262" w:name="_Toc22737"/>
      <w:bookmarkStart w:id="263" w:name="_Toc23987"/>
      <w:bookmarkStart w:id="264" w:name="_Toc24122"/>
      <w:r>
        <w:rPr>
          <w:rFonts w:hint="eastAsia" w:ascii="宋体" w:hAnsi="宋体" w:eastAsia="宋体" w:cs="宋体"/>
          <w:b w:val="0"/>
          <w:bCs/>
          <w:color w:val="auto"/>
          <w:sz w:val="24"/>
          <w:szCs w:val="24"/>
          <w:highlight w:val="none"/>
        </w:rPr>
        <w:t>投标文件（包括电子投标文件和备份投标文件）由</w:t>
      </w:r>
      <w:r>
        <w:rPr>
          <w:rFonts w:hint="eastAsia" w:ascii="宋体" w:hAnsi="宋体" w:eastAsia="宋体" w:cs="宋体"/>
          <w:b/>
          <w:bCs w:val="0"/>
          <w:color w:val="auto"/>
          <w:sz w:val="24"/>
          <w:szCs w:val="24"/>
          <w:highlight w:val="none"/>
        </w:rPr>
        <w:t>资格审查文件</w:t>
      </w:r>
      <w:r>
        <w:rPr>
          <w:rFonts w:hint="eastAsia" w:ascii="宋体" w:hAnsi="宋体" w:eastAsia="宋体" w:cs="宋体"/>
          <w:b w:val="0"/>
          <w:bCs/>
          <w:color w:val="auto"/>
          <w:sz w:val="24"/>
          <w:szCs w:val="24"/>
          <w:highlight w:val="none"/>
        </w:rPr>
        <w:t>、</w:t>
      </w:r>
      <w:r>
        <w:rPr>
          <w:rFonts w:hint="eastAsia" w:ascii="宋体" w:hAnsi="宋体" w:eastAsia="宋体" w:cs="宋体"/>
          <w:b/>
          <w:bCs w:val="0"/>
          <w:color w:val="auto"/>
          <w:sz w:val="24"/>
          <w:szCs w:val="24"/>
          <w:highlight w:val="none"/>
        </w:rPr>
        <w:t>技术商务文件</w:t>
      </w:r>
      <w:r>
        <w:rPr>
          <w:rFonts w:hint="eastAsia" w:ascii="宋体" w:hAnsi="宋体" w:eastAsia="宋体" w:cs="宋体"/>
          <w:b w:val="0"/>
          <w:bCs/>
          <w:color w:val="auto"/>
          <w:sz w:val="24"/>
          <w:szCs w:val="24"/>
          <w:highlight w:val="none"/>
          <w:lang w:eastAsia="zh-CN"/>
        </w:rPr>
        <w:t>和</w:t>
      </w:r>
      <w:r>
        <w:rPr>
          <w:rFonts w:hint="eastAsia" w:ascii="宋体" w:hAnsi="宋体" w:eastAsia="宋体" w:cs="宋体"/>
          <w:b/>
          <w:bCs w:val="0"/>
          <w:color w:val="auto"/>
          <w:sz w:val="24"/>
          <w:szCs w:val="24"/>
          <w:highlight w:val="none"/>
        </w:rPr>
        <w:t>报价文件</w:t>
      </w:r>
      <w:r>
        <w:rPr>
          <w:rFonts w:hint="eastAsia" w:ascii="宋体" w:hAnsi="宋体" w:eastAsia="宋体" w:cs="宋体"/>
          <w:b w:val="0"/>
          <w:bCs/>
          <w:color w:val="auto"/>
          <w:sz w:val="24"/>
          <w:szCs w:val="24"/>
          <w:highlight w:val="none"/>
        </w:rPr>
        <w:t>三部分组成。</w:t>
      </w:r>
      <w:bookmarkEnd w:id="262"/>
      <w:bookmarkEnd w:id="263"/>
      <w:bookmarkEnd w:id="264"/>
      <w:bookmarkStart w:id="265" w:name="_Toc23514"/>
      <w:bookmarkStart w:id="266" w:name="_Toc23025"/>
      <w:bookmarkStart w:id="267" w:name="_Toc13109"/>
      <w:r>
        <w:rPr>
          <w:rFonts w:hint="eastAsia" w:ascii="宋体" w:hAnsi="宋体" w:eastAsia="宋体" w:cs="宋体"/>
          <w:b w:val="0"/>
          <w:bCs/>
          <w:color w:val="auto"/>
          <w:sz w:val="24"/>
          <w:szCs w:val="24"/>
          <w:highlight w:val="none"/>
        </w:rPr>
        <w:t>备份电子投标文件，按政采云平台项目采购－电子招投标操作指南中上传的电子投标文件格式，以光盘或U盘形式提供。数量为1份。</w:t>
      </w:r>
      <w:bookmarkEnd w:id="265"/>
      <w:bookmarkEnd w:id="266"/>
      <w:bookmarkEnd w:id="267"/>
    </w:p>
    <w:p w14:paraId="4CE72260">
      <w:pPr>
        <w:snapToGrid w:val="0"/>
        <w:spacing w:line="480" w:lineRule="exact"/>
        <w:ind w:firstLine="472" w:firstLineChars="196"/>
        <w:jc w:val="left"/>
        <w:rPr>
          <w:rFonts w:hint="eastAsia"/>
          <w:b/>
          <w:bCs/>
          <w:color w:val="auto"/>
          <w:highlight w:val="none"/>
        </w:rPr>
      </w:pPr>
      <w:r>
        <w:rPr>
          <w:rFonts w:hint="eastAsia" w:ascii="宋体" w:hAnsi="宋体" w:cs="宋体"/>
          <w:b/>
          <w:bCs/>
          <w:color w:val="auto"/>
          <w:sz w:val="24"/>
          <w:highlight w:val="none"/>
        </w:rPr>
        <w:t>1.资格审查文件</w:t>
      </w:r>
    </w:p>
    <w:tbl>
      <w:tblPr>
        <w:tblStyle w:val="5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399"/>
      </w:tblGrid>
      <w:tr w14:paraId="0BD10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70E8DB93">
            <w:pPr>
              <w:autoSpaceDE w:val="0"/>
              <w:autoSpaceDN w:val="0"/>
              <w:adjustRightInd w:val="0"/>
              <w:snapToGrid w:val="0"/>
              <w:spacing w:line="430" w:lineRule="atLeast"/>
              <w:jc w:val="center"/>
              <w:rPr>
                <w:rFonts w:hint="eastAsia" w:ascii="宋体" w:hAnsi="宋体" w:cs="Courier New"/>
                <w:color w:val="auto"/>
                <w:kern w:val="0"/>
                <w:sz w:val="22"/>
                <w:szCs w:val="22"/>
                <w:highlight w:val="none"/>
              </w:rPr>
            </w:pPr>
            <w:r>
              <w:rPr>
                <w:rFonts w:hint="eastAsia" w:ascii="宋体" w:hAnsi="宋体" w:cs="Courier New"/>
                <w:color w:val="auto"/>
                <w:kern w:val="0"/>
                <w:sz w:val="22"/>
                <w:szCs w:val="22"/>
                <w:highlight w:val="none"/>
                <w:lang w:val="zh-CN"/>
              </w:rPr>
              <w:t>序号</w:t>
            </w:r>
          </w:p>
        </w:tc>
        <w:tc>
          <w:tcPr>
            <w:tcW w:w="8399" w:type="dxa"/>
          </w:tcPr>
          <w:p w14:paraId="2E717F92">
            <w:pPr>
              <w:autoSpaceDE w:val="0"/>
              <w:autoSpaceDN w:val="0"/>
              <w:adjustRightInd w:val="0"/>
              <w:snapToGrid w:val="0"/>
              <w:spacing w:line="430" w:lineRule="atLeast"/>
              <w:rPr>
                <w:rFonts w:hint="eastAsia" w:ascii="宋体" w:hAnsi="宋体" w:cs="Courier New"/>
                <w:color w:val="auto"/>
                <w:kern w:val="0"/>
                <w:sz w:val="22"/>
                <w:szCs w:val="22"/>
                <w:highlight w:val="none"/>
              </w:rPr>
            </w:pPr>
            <w:r>
              <w:rPr>
                <w:rFonts w:hint="eastAsia" w:ascii="宋体" w:hAnsi="宋体" w:cs="Courier New"/>
                <w:color w:val="auto"/>
                <w:kern w:val="0"/>
                <w:sz w:val="22"/>
                <w:szCs w:val="22"/>
                <w:highlight w:val="none"/>
                <w:lang w:val="zh-CN"/>
              </w:rPr>
              <w:t>内容（</w:t>
            </w:r>
            <w:r>
              <w:rPr>
                <w:rFonts w:hint="eastAsia" w:ascii="宋体" w:hAnsi="宋体" w:cs="Courier New"/>
                <w:b/>
                <w:color w:val="auto"/>
                <w:kern w:val="0"/>
                <w:sz w:val="22"/>
                <w:szCs w:val="22"/>
                <w:highlight w:val="none"/>
                <w:lang w:val="zh-CN"/>
              </w:rPr>
              <w:t>以下内容投标供应商必须提供，否则不能通过资格审查的，责任自负。</w:t>
            </w:r>
            <w:r>
              <w:rPr>
                <w:rFonts w:hint="eastAsia" w:ascii="宋体" w:hAnsi="宋体" w:cs="Courier New"/>
                <w:color w:val="auto"/>
                <w:kern w:val="0"/>
                <w:sz w:val="22"/>
                <w:szCs w:val="22"/>
                <w:highlight w:val="none"/>
                <w:lang w:val="zh-CN"/>
              </w:rPr>
              <w:t>）</w:t>
            </w:r>
          </w:p>
        </w:tc>
      </w:tr>
      <w:tr w14:paraId="0EEAA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776681E1">
            <w:pPr>
              <w:autoSpaceDE w:val="0"/>
              <w:autoSpaceDN w:val="0"/>
              <w:adjustRightInd w:val="0"/>
              <w:snapToGrid w:val="0"/>
              <w:spacing w:line="430" w:lineRule="atLeast"/>
              <w:jc w:val="center"/>
              <w:rPr>
                <w:rFonts w:ascii="宋体" w:hAnsi="宋体" w:cs="Courier New"/>
                <w:color w:val="auto"/>
                <w:kern w:val="0"/>
                <w:sz w:val="22"/>
                <w:szCs w:val="22"/>
                <w:highlight w:val="none"/>
              </w:rPr>
            </w:pPr>
            <w:r>
              <w:rPr>
                <w:rFonts w:hint="eastAsia" w:ascii="宋体" w:hAnsi="宋体" w:cs="Courier New"/>
                <w:color w:val="auto"/>
                <w:kern w:val="0"/>
                <w:sz w:val="22"/>
                <w:szCs w:val="22"/>
                <w:highlight w:val="none"/>
              </w:rPr>
              <w:t>1</w:t>
            </w:r>
          </w:p>
        </w:tc>
        <w:tc>
          <w:tcPr>
            <w:tcW w:w="8399" w:type="dxa"/>
          </w:tcPr>
          <w:p w14:paraId="6C7B47FB">
            <w:pPr>
              <w:autoSpaceDE w:val="0"/>
              <w:autoSpaceDN w:val="0"/>
              <w:adjustRightInd w:val="0"/>
              <w:snapToGrid w:val="0"/>
              <w:spacing w:line="430" w:lineRule="atLeast"/>
              <w:rPr>
                <w:rFonts w:hint="eastAsia" w:ascii="宋体" w:hAnsi="宋体" w:cs="Courier New"/>
                <w:color w:val="auto"/>
                <w:kern w:val="0"/>
                <w:sz w:val="22"/>
                <w:szCs w:val="22"/>
                <w:highlight w:val="none"/>
                <w:lang w:val="zh-CN"/>
              </w:rPr>
            </w:pPr>
            <w:r>
              <w:rPr>
                <w:rFonts w:hint="eastAsia" w:ascii="宋体" w:hAnsi="宋体" w:cs="宋体"/>
                <w:color w:val="auto"/>
                <w:sz w:val="22"/>
                <w:szCs w:val="22"/>
                <w:highlight w:val="none"/>
              </w:rPr>
              <w:t>投标函</w:t>
            </w:r>
          </w:p>
        </w:tc>
      </w:tr>
      <w:tr w14:paraId="10FE1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00F1E1F5">
            <w:pPr>
              <w:autoSpaceDE w:val="0"/>
              <w:autoSpaceDN w:val="0"/>
              <w:adjustRightInd w:val="0"/>
              <w:snapToGrid w:val="0"/>
              <w:spacing w:line="430" w:lineRule="atLeast"/>
              <w:jc w:val="center"/>
              <w:rPr>
                <w:rFonts w:hint="eastAsia" w:ascii="宋体" w:hAnsi="宋体" w:cs="Courier New"/>
                <w:color w:val="auto"/>
                <w:kern w:val="0"/>
                <w:sz w:val="22"/>
                <w:szCs w:val="22"/>
                <w:highlight w:val="none"/>
              </w:rPr>
            </w:pPr>
            <w:r>
              <w:rPr>
                <w:rFonts w:hint="eastAsia" w:ascii="宋体" w:hAnsi="宋体" w:cs="Courier New"/>
                <w:color w:val="auto"/>
                <w:kern w:val="0"/>
                <w:sz w:val="22"/>
                <w:szCs w:val="22"/>
                <w:highlight w:val="none"/>
              </w:rPr>
              <w:t>2</w:t>
            </w:r>
          </w:p>
        </w:tc>
        <w:tc>
          <w:tcPr>
            <w:tcW w:w="8399" w:type="dxa"/>
          </w:tcPr>
          <w:p w14:paraId="6F5ADCA5">
            <w:pPr>
              <w:autoSpaceDE w:val="0"/>
              <w:autoSpaceDN w:val="0"/>
              <w:adjustRightInd w:val="0"/>
              <w:snapToGrid w:val="0"/>
              <w:spacing w:line="430" w:lineRule="atLeast"/>
              <w:rPr>
                <w:rFonts w:hint="eastAsia" w:ascii="宋体" w:hAnsi="宋体" w:cs="宋体"/>
                <w:color w:val="auto"/>
                <w:kern w:val="2"/>
                <w:sz w:val="22"/>
                <w:szCs w:val="22"/>
                <w:highlight w:val="none"/>
                <w:lang w:val="zh-CN" w:eastAsia="zh-CN" w:bidi="ar-SA"/>
              </w:rPr>
            </w:pPr>
            <w:r>
              <w:rPr>
                <w:rFonts w:hint="eastAsia" w:ascii="宋体" w:hAnsi="宋体" w:cs="Courier New"/>
                <w:color w:val="auto"/>
                <w:kern w:val="0"/>
                <w:sz w:val="22"/>
                <w:szCs w:val="22"/>
                <w:highlight w:val="none"/>
              </w:rPr>
              <w:t>投标单位情况表</w:t>
            </w:r>
          </w:p>
        </w:tc>
      </w:tr>
      <w:tr w14:paraId="6B290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3EE3BF47">
            <w:pPr>
              <w:autoSpaceDE w:val="0"/>
              <w:autoSpaceDN w:val="0"/>
              <w:adjustRightInd w:val="0"/>
              <w:snapToGrid w:val="0"/>
              <w:spacing w:line="430" w:lineRule="atLeast"/>
              <w:jc w:val="center"/>
              <w:rPr>
                <w:rFonts w:ascii="宋体" w:hAnsi="宋体" w:cs="Courier New"/>
                <w:color w:val="auto"/>
                <w:kern w:val="0"/>
                <w:sz w:val="22"/>
                <w:szCs w:val="22"/>
                <w:highlight w:val="none"/>
              </w:rPr>
            </w:pPr>
            <w:r>
              <w:rPr>
                <w:rFonts w:hint="eastAsia" w:ascii="宋体" w:hAnsi="宋体" w:cs="Courier New"/>
                <w:color w:val="auto"/>
                <w:kern w:val="0"/>
                <w:sz w:val="22"/>
                <w:szCs w:val="22"/>
                <w:highlight w:val="none"/>
              </w:rPr>
              <w:t>3</w:t>
            </w:r>
          </w:p>
        </w:tc>
        <w:tc>
          <w:tcPr>
            <w:tcW w:w="8399" w:type="dxa"/>
          </w:tcPr>
          <w:p w14:paraId="2E6FD3DC">
            <w:pPr>
              <w:autoSpaceDE w:val="0"/>
              <w:autoSpaceDN w:val="0"/>
              <w:adjustRightInd w:val="0"/>
              <w:snapToGrid w:val="0"/>
              <w:spacing w:line="440" w:lineRule="exact"/>
              <w:rPr>
                <w:rFonts w:hint="eastAsia" w:ascii="宋体" w:hAnsi="宋体" w:cs="Courier New"/>
                <w:color w:val="auto"/>
                <w:kern w:val="0"/>
                <w:sz w:val="22"/>
                <w:szCs w:val="22"/>
                <w:highlight w:val="none"/>
                <w:lang w:val="en-US" w:eastAsia="zh-CN" w:bidi="ar-SA"/>
              </w:rPr>
            </w:pPr>
            <w:r>
              <w:rPr>
                <w:rFonts w:hint="eastAsia" w:ascii="宋体" w:hAnsi="宋体" w:cs="Courier New"/>
                <w:color w:val="auto"/>
                <w:kern w:val="0"/>
                <w:sz w:val="22"/>
                <w:szCs w:val="22"/>
                <w:highlight w:val="none"/>
              </w:rPr>
              <w:t>投标供应商的营业执照（若联合体投标，联合体各方均需提供，扫描件加盖公章）</w:t>
            </w:r>
          </w:p>
        </w:tc>
      </w:tr>
      <w:tr w14:paraId="440C1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6604ABD1">
            <w:pPr>
              <w:autoSpaceDE w:val="0"/>
              <w:autoSpaceDN w:val="0"/>
              <w:adjustRightInd w:val="0"/>
              <w:snapToGrid w:val="0"/>
              <w:spacing w:line="440" w:lineRule="exact"/>
              <w:jc w:val="center"/>
              <w:rPr>
                <w:rFonts w:hint="eastAsia" w:ascii="宋体" w:hAnsi="宋体" w:cs="Courier New"/>
                <w:color w:val="auto"/>
                <w:kern w:val="0"/>
                <w:sz w:val="22"/>
                <w:szCs w:val="22"/>
                <w:highlight w:val="none"/>
                <w:lang w:val="zh-CN"/>
              </w:rPr>
            </w:pPr>
            <w:r>
              <w:rPr>
                <w:rFonts w:hint="eastAsia" w:ascii="宋体" w:hAnsi="宋体" w:cs="Courier New"/>
                <w:color w:val="auto"/>
                <w:kern w:val="0"/>
                <w:sz w:val="22"/>
                <w:szCs w:val="22"/>
                <w:highlight w:val="none"/>
              </w:rPr>
              <w:t>4</w:t>
            </w:r>
          </w:p>
        </w:tc>
        <w:tc>
          <w:tcPr>
            <w:tcW w:w="8399" w:type="dxa"/>
          </w:tcPr>
          <w:p w14:paraId="4B66A380">
            <w:pPr>
              <w:autoSpaceDE w:val="0"/>
              <w:autoSpaceDN w:val="0"/>
              <w:adjustRightInd w:val="0"/>
              <w:snapToGrid w:val="0"/>
              <w:spacing w:line="440" w:lineRule="exact"/>
              <w:rPr>
                <w:rFonts w:ascii="宋体" w:hAnsi="宋体" w:cs="Courier New"/>
                <w:color w:val="auto"/>
                <w:kern w:val="0"/>
                <w:sz w:val="22"/>
                <w:szCs w:val="22"/>
                <w:highlight w:val="none"/>
                <w:lang w:val="en-US" w:eastAsia="zh-CN" w:bidi="ar-SA"/>
              </w:rPr>
            </w:pPr>
            <w:r>
              <w:rPr>
                <w:rFonts w:hint="eastAsia" w:ascii="宋体" w:hAnsi="宋体" w:cs="Courier New"/>
                <w:color w:val="auto"/>
                <w:kern w:val="0"/>
                <w:sz w:val="22"/>
                <w:szCs w:val="22"/>
                <w:highlight w:val="none"/>
              </w:rPr>
              <w:t>政府采购供应商诚信承诺书（若联合体投标，联合体各方均需提供）</w:t>
            </w:r>
          </w:p>
        </w:tc>
      </w:tr>
      <w:tr w14:paraId="398D1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08BE74F7">
            <w:pPr>
              <w:autoSpaceDE w:val="0"/>
              <w:autoSpaceDN w:val="0"/>
              <w:adjustRightInd w:val="0"/>
              <w:snapToGrid w:val="0"/>
              <w:spacing w:line="440" w:lineRule="exact"/>
              <w:jc w:val="center"/>
              <w:rPr>
                <w:rFonts w:hint="eastAsia" w:ascii="宋体" w:hAnsi="宋体" w:cs="Courier New"/>
                <w:color w:val="auto"/>
                <w:kern w:val="0"/>
                <w:sz w:val="22"/>
                <w:szCs w:val="22"/>
                <w:highlight w:val="none"/>
              </w:rPr>
            </w:pPr>
            <w:r>
              <w:rPr>
                <w:rFonts w:hint="eastAsia" w:ascii="宋体" w:hAnsi="宋体" w:cs="Courier New"/>
                <w:color w:val="auto"/>
                <w:kern w:val="0"/>
                <w:sz w:val="22"/>
                <w:szCs w:val="22"/>
                <w:highlight w:val="none"/>
              </w:rPr>
              <w:t>5</w:t>
            </w:r>
          </w:p>
        </w:tc>
        <w:tc>
          <w:tcPr>
            <w:tcW w:w="8399" w:type="dxa"/>
            <w:vAlign w:val="center"/>
          </w:tcPr>
          <w:p w14:paraId="52A2663C">
            <w:pPr>
              <w:autoSpaceDE w:val="0"/>
              <w:autoSpaceDN w:val="0"/>
              <w:adjustRightInd w:val="0"/>
              <w:snapToGrid w:val="0"/>
              <w:spacing w:line="440" w:lineRule="exact"/>
              <w:rPr>
                <w:rFonts w:ascii="宋体" w:hAnsi="宋体" w:cs="Courier New"/>
                <w:color w:val="auto"/>
                <w:kern w:val="0"/>
                <w:sz w:val="22"/>
                <w:szCs w:val="22"/>
                <w:highlight w:val="none"/>
                <w:lang w:val="en-US" w:eastAsia="zh-CN" w:bidi="ar-SA"/>
              </w:rPr>
            </w:pPr>
            <w:r>
              <w:rPr>
                <w:rFonts w:hint="eastAsia" w:ascii="宋体" w:hAnsi="宋体" w:cs="宋体"/>
                <w:color w:val="auto"/>
                <w:kern w:val="0"/>
                <w:sz w:val="22"/>
                <w:szCs w:val="22"/>
                <w:highlight w:val="none"/>
              </w:rPr>
              <w:t>无围标串标等负面行为承诺书</w:t>
            </w:r>
            <w:r>
              <w:rPr>
                <w:rFonts w:hint="eastAsia" w:ascii="宋体" w:hAnsi="宋体" w:cs="Courier New"/>
                <w:color w:val="auto"/>
                <w:kern w:val="0"/>
                <w:sz w:val="22"/>
                <w:szCs w:val="22"/>
                <w:highlight w:val="none"/>
              </w:rPr>
              <w:t>、</w:t>
            </w:r>
            <w:r>
              <w:rPr>
                <w:rFonts w:hint="eastAsia" w:ascii="宋体" w:hAnsi="宋体" w:cs="宋体"/>
                <w:color w:val="auto"/>
                <w:kern w:val="0"/>
                <w:sz w:val="22"/>
                <w:szCs w:val="22"/>
                <w:highlight w:val="none"/>
              </w:rPr>
              <w:t>《供应商市场行为信誉情况承诺书》</w:t>
            </w:r>
            <w:r>
              <w:rPr>
                <w:rFonts w:hint="eastAsia" w:ascii="宋体" w:hAnsi="宋体" w:cs="Courier New"/>
                <w:color w:val="auto"/>
                <w:kern w:val="0"/>
                <w:sz w:val="22"/>
                <w:szCs w:val="22"/>
                <w:highlight w:val="none"/>
              </w:rPr>
              <w:t>（若联合体投标，联合体各方均需提供）</w:t>
            </w:r>
          </w:p>
        </w:tc>
      </w:tr>
      <w:tr w14:paraId="405E5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30AA6EBA">
            <w:pPr>
              <w:autoSpaceDE w:val="0"/>
              <w:autoSpaceDN w:val="0"/>
              <w:adjustRightInd w:val="0"/>
              <w:snapToGrid w:val="0"/>
              <w:spacing w:line="440" w:lineRule="exact"/>
              <w:jc w:val="center"/>
              <w:rPr>
                <w:rFonts w:hint="eastAsia" w:ascii="宋体" w:hAnsi="宋体" w:cs="Courier New"/>
                <w:color w:val="auto"/>
                <w:kern w:val="0"/>
                <w:sz w:val="22"/>
                <w:szCs w:val="22"/>
                <w:highlight w:val="none"/>
                <w:lang w:val="zh-CN"/>
              </w:rPr>
            </w:pPr>
            <w:r>
              <w:rPr>
                <w:rFonts w:hint="eastAsia" w:ascii="宋体" w:hAnsi="宋体" w:cs="宋体"/>
                <w:color w:val="auto"/>
                <w:kern w:val="0"/>
                <w:sz w:val="22"/>
                <w:szCs w:val="22"/>
                <w:highlight w:val="none"/>
              </w:rPr>
              <w:t>6</w:t>
            </w:r>
          </w:p>
        </w:tc>
        <w:tc>
          <w:tcPr>
            <w:tcW w:w="8399" w:type="dxa"/>
            <w:vAlign w:val="center"/>
          </w:tcPr>
          <w:p w14:paraId="26203E1A">
            <w:pPr>
              <w:autoSpaceDE w:val="0"/>
              <w:autoSpaceDN w:val="0"/>
              <w:adjustRightInd w:val="0"/>
              <w:snapToGrid w:val="0"/>
              <w:spacing w:line="440" w:lineRule="exact"/>
              <w:rPr>
                <w:rFonts w:hint="eastAsia" w:ascii="宋体" w:hAnsi="宋体" w:cs="宋体"/>
                <w:color w:val="auto"/>
                <w:kern w:val="0"/>
                <w:sz w:val="22"/>
                <w:szCs w:val="22"/>
                <w:highlight w:val="none"/>
                <w:lang w:val="en-US" w:eastAsia="zh-CN" w:bidi="ar-SA"/>
              </w:rPr>
            </w:pPr>
            <w:r>
              <w:rPr>
                <w:rFonts w:hint="eastAsia" w:ascii="宋体" w:hAnsi="宋体" w:cs="宋体"/>
                <w:color w:val="auto"/>
                <w:sz w:val="22"/>
                <w:szCs w:val="22"/>
                <w:highlight w:val="none"/>
              </w:rPr>
              <w:t>投标供应商“信用中国”(www.creditchina.gov.cn)；“中国政府采购网”（www.ccgp.gov.cn）信用记录查询网页截图（招标公告发布之日至投标截止时间前）</w:t>
            </w:r>
          </w:p>
        </w:tc>
      </w:tr>
      <w:tr w14:paraId="18CE3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467C330F">
            <w:pPr>
              <w:autoSpaceDE w:val="0"/>
              <w:autoSpaceDN w:val="0"/>
              <w:adjustRightInd w:val="0"/>
              <w:snapToGrid w:val="0"/>
              <w:spacing w:line="44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7</w:t>
            </w:r>
          </w:p>
        </w:tc>
        <w:tc>
          <w:tcPr>
            <w:tcW w:w="8399" w:type="dxa"/>
          </w:tcPr>
          <w:p w14:paraId="6AB3A11A">
            <w:pPr>
              <w:autoSpaceDE w:val="0"/>
              <w:autoSpaceDN w:val="0"/>
              <w:adjustRightInd w:val="0"/>
              <w:snapToGrid w:val="0"/>
              <w:spacing w:line="430" w:lineRule="atLeast"/>
              <w:jc w:val="left"/>
              <w:rPr>
                <w:rFonts w:hint="eastAsia" w:ascii="宋体" w:hAnsi="宋体" w:cs="宋体"/>
                <w:color w:val="auto"/>
                <w:kern w:val="2"/>
                <w:sz w:val="22"/>
                <w:szCs w:val="22"/>
                <w:highlight w:val="none"/>
                <w:lang w:val="en-US" w:eastAsia="zh-CN" w:bidi="ar-SA"/>
              </w:rPr>
            </w:pPr>
            <w:r>
              <w:rPr>
                <w:rFonts w:hint="eastAsia" w:ascii="宋体" w:hAnsi="宋体" w:cs="宋体"/>
                <w:color w:val="auto"/>
                <w:sz w:val="22"/>
                <w:szCs w:val="22"/>
                <w:highlight w:val="none"/>
              </w:rPr>
              <w:t>与参加本次项目同一合同项下政府采购活动的其他供应商不存在单位负责人为同一人或者直接控股、管理关系的承诺函</w:t>
            </w:r>
          </w:p>
        </w:tc>
      </w:tr>
      <w:tr w14:paraId="5357D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27B183F3">
            <w:pPr>
              <w:autoSpaceDE w:val="0"/>
              <w:autoSpaceDN w:val="0"/>
              <w:adjustRightInd w:val="0"/>
              <w:snapToGrid w:val="0"/>
              <w:spacing w:line="430" w:lineRule="atLeast"/>
              <w:jc w:val="center"/>
              <w:rPr>
                <w:rFonts w:hint="eastAsia" w:ascii="宋体" w:hAnsi="宋体" w:cs="Courier New"/>
                <w:color w:val="auto"/>
                <w:kern w:val="0"/>
                <w:sz w:val="22"/>
                <w:szCs w:val="20"/>
                <w:highlight w:val="none"/>
              </w:rPr>
            </w:pPr>
            <w:r>
              <w:rPr>
                <w:rFonts w:hint="eastAsia" w:ascii="宋体" w:hAnsi="宋体" w:cs="Courier New"/>
                <w:color w:val="auto"/>
                <w:kern w:val="0"/>
                <w:sz w:val="22"/>
                <w:szCs w:val="20"/>
                <w:highlight w:val="none"/>
              </w:rPr>
              <w:t>8</w:t>
            </w:r>
          </w:p>
        </w:tc>
        <w:tc>
          <w:tcPr>
            <w:tcW w:w="8399" w:type="dxa"/>
            <w:vAlign w:val="center"/>
          </w:tcPr>
          <w:p w14:paraId="16BE9FFE">
            <w:pPr>
              <w:autoSpaceDE w:val="0"/>
              <w:autoSpaceDN w:val="0"/>
              <w:adjustRightInd w:val="0"/>
              <w:snapToGrid w:val="0"/>
              <w:spacing w:line="440" w:lineRule="exact"/>
              <w:rPr>
                <w:rFonts w:hint="eastAsia" w:ascii="宋体" w:hAnsi="宋体" w:cs="宋体"/>
                <w:color w:val="auto"/>
                <w:kern w:val="0"/>
                <w:sz w:val="22"/>
                <w:szCs w:val="22"/>
                <w:highlight w:val="none"/>
                <w:lang w:val="en-US" w:eastAsia="zh-CN" w:bidi="ar-SA"/>
              </w:rPr>
            </w:pPr>
            <w:r>
              <w:rPr>
                <w:rFonts w:hint="eastAsia" w:ascii="宋体" w:hAnsi="宋体" w:cs="宋体"/>
                <w:color w:val="auto"/>
                <w:kern w:val="0"/>
                <w:sz w:val="22"/>
                <w:szCs w:val="22"/>
                <w:highlight w:val="none"/>
              </w:rPr>
              <w:t>法定代表人授权书，法定代表人参与投标的需提供法人身份证及法定代表人的身份证扫描件</w:t>
            </w:r>
            <w:r>
              <w:rPr>
                <w:rFonts w:hint="eastAsia" w:ascii="宋体" w:hAnsi="宋体" w:cs="Courier New"/>
                <w:color w:val="auto"/>
                <w:kern w:val="0"/>
                <w:sz w:val="22"/>
                <w:szCs w:val="22"/>
                <w:highlight w:val="none"/>
              </w:rPr>
              <w:t>（联合体牵头方提供）</w:t>
            </w:r>
          </w:p>
        </w:tc>
      </w:tr>
      <w:tr w14:paraId="0BBFE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33982D55">
            <w:pPr>
              <w:autoSpaceDE w:val="0"/>
              <w:autoSpaceDN w:val="0"/>
              <w:adjustRightInd w:val="0"/>
              <w:snapToGrid w:val="0"/>
              <w:spacing w:line="44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9</w:t>
            </w:r>
          </w:p>
        </w:tc>
        <w:tc>
          <w:tcPr>
            <w:tcW w:w="8399" w:type="dxa"/>
          </w:tcPr>
          <w:p w14:paraId="15697DD5">
            <w:pPr>
              <w:autoSpaceDE w:val="0"/>
              <w:autoSpaceDN w:val="0"/>
              <w:adjustRightInd w:val="0"/>
              <w:snapToGrid w:val="0"/>
              <w:spacing w:line="440" w:lineRule="exact"/>
              <w:rPr>
                <w:rFonts w:hint="eastAsia" w:ascii="宋体" w:hAnsi="宋体" w:cs="Courier New"/>
                <w:color w:val="auto"/>
                <w:kern w:val="0"/>
                <w:sz w:val="22"/>
                <w:szCs w:val="22"/>
                <w:highlight w:val="none"/>
                <w:lang w:val="en-US" w:eastAsia="zh-CN" w:bidi="ar-SA"/>
              </w:rPr>
            </w:pPr>
            <w:r>
              <w:rPr>
                <w:rFonts w:hint="eastAsia" w:ascii="宋体" w:hAnsi="宋体" w:cs="Courier New"/>
                <w:color w:val="auto"/>
                <w:kern w:val="0"/>
                <w:sz w:val="22"/>
                <w:szCs w:val="22"/>
                <w:highlight w:val="none"/>
              </w:rPr>
              <w:t>符合参加政府采购活动应当具备的一般条件的承诺函（联合体各方均需提供）</w:t>
            </w:r>
          </w:p>
        </w:tc>
      </w:tr>
      <w:tr w14:paraId="3AC68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1AB4ACA">
            <w:pPr>
              <w:autoSpaceDE w:val="0"/>
              <w:autoSpaceDN w:val="0"/>
              <w:adjustRightInd w:val="0"/>
              <w:snapToGrid w:val="0"/>
              <w:spacing w:line="440" w:lineRule="exact"/>
              <w:jc w:val="center"/>
              <w:rPr>
                <w:rFonts w:ascii="宋体" w:hAnsi="宋体" w:cs="Courier New"/>
                <w:color w:val="auto"/>
                <w:kern w:val="0"/>
                <w:sz w:val="22"/>
                <w:szCs w:val="22"/>
                <w:highlight w:val="none"/>
              </w:rPr>
            </w:pPr>
            <w:r>
              <w:rPr>
                <w:rFonts w:hint="eastAsia" w:ascii="宋体" w:hAnsi="宋体" w:cs="Courier New"/>
                <w:color w:val="auto"/>
                <w:kern w:val="0"/>
                <w:sz w:val="22"/>
                <w:szCs w:val="22"/>
                <w:highlight w:val="none"/>
              </w:rPr>
              <w:t>10</w:t>
            </w:r>
          </w:p>
        </w:tc>
        <w:tc>
          <w:tcPr>
            <w:tcW w:w="8399" w:type="dxa"/>
          </w:tcPr>
          <w:p w14:paraId="1CB600BD">
            <w:pPr>
              <w:autoSpaceDE w:val="0"/>
              <w:autoSpaceDN w:val="0"/>
              <w:adjustRightInd w:val="0"/>
              <w:snapToGrid w:val="0"/>
              <w:spacing w:line="440" w:lineRule="exact"/>
              <w:rPr>
                <w:rFonts w:hint="eastAsia" w:ascii="宋体" w:hAnsi="宋体" w:cs="Courier New"/>
                <w:color w:val="auto"/>
                <w:kern w:val="0"/>
                <w:sz w:val="22"/>
                <w:szCs w:val="22"/>
                <w:highlight w:val="none"/>
                <w:lang w:val="en-US" w:eastAsia="zh-CN" w:bidi="ar-SA"/>
              </w:rPr>
            </w:pPr>
            <w:r>
              <w:rPr>
                <w:rFonts w:hint="eastAsia" w:ascii="宋体" w:hAnsi="宋体" w:cs="Courier New"/>
                <w:color w:val="auto"/>
                <w:kern w:val="0"/>
                <w:sz w:val="22"/>
                <w:szCs w:val="22"/>
                <w:highlight w:val="none"/>
              </w:rPr>
              <w:t>联合投标协议书（若联合体投标，需提供）</w:t>
            </w:r>
          </w:p>
        </w:tc>
      </w:tr>
      <w:tr w14:paraId="72703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2DFADCD7">
            <w:pPr>
              <w:autoSpaceDE w:val="0"/>
              <w:autoSpaceDN w:val="0"/>
              <w:adjustRightInd w:val="0"/>
              <w:snapToGrid w:val="0"/>
              <w:spacing w:line="440" w:lineRule="exact"/>
              <w:jc w:val="center"/>
              <w:rPr>
                <w:rFonts w:ascii="宋体" w:hAnsi="宋体" w:cs="Courier New"/>
                <w:color w:val="auto"/>
                <w:kern w:val="0"/>
                <w:sz w:val="22"/>
                <w:szCs w:val="22"/>
                <w:highlight w:val="none"/>
              </w:rPr>
            </w:pPr>
            <w:r>
              <w:rPr>
                <w:rFonts w:hint="eastAsia" w:ascii="宋体" w:hAnsi="宋体" w:cs="Courier New"/>
                <w:color w:val="auto"/>
                <w:kern w:val="0"/>
                <w:sz w:val="22"/>
                <w:szCs w:val="22"/>
                <w:highlight w:val="none"/>
              </w:rPr>
              <w:t>11</w:t>
            </w:r>
          </w:p>
        </w:tc>
        <w:tc>
          <w:tcPr>
            <w:tcW w:w="8399" w:type="dxa"/>
          </w:tcPr>
          <w:p w14:paraId="366A7A78">
            <w:pPr>
              <w:autoSpaceDE w:val="0"/>
              <w:autoSpaceDN w:val="0"/>
              <w:adjustRightInd w:val="0"/>
              <w:snapToGrid w:val="0"/>
              <w:spacing w:line="440" w:lineRule="exact"/>
              <w:rPr>
                <w:rFonts w:hint="eastAsia" w:ascii="宋体" w:hAnsi="宋体" w:eastAsia="宋体" w:cs="Courier New"/>
                <w:color w:val="auto"/>
                <w:kern w:val="0"/>
                <w:sz w:val="22"/>
                <w:szCs w:val="22"/>
                <w:highlight w:val="none"/>
                <w:lang w:val="en-US" w:eastAsia="zh-CN" w:bidi="ar-SA"/>
              </w:rPr>
            </w:pPr>
            <w:r>
              <w:rPr>
                <w:rFonts w:hint="eastAsia" w:ascii="宋体" w:hAnsi="宋体" w:cs="Courier New"/>
                <w:color w:val="auto"/>
                <w:kern w:val="0"/>
                <w:sz w:val="22"/>
                <w:szCs w:val="22"/>
                <w:highlight w:val="none"/>
              </w:rPr>
              <w:t>中小企业相关材料（小微企业、监狱企业、残疾人福利性单位）</w:t>
            </w:r>
            <w:r>
              <w:rPr>
                <w:rFonts w:hint="eastAsia" w:ascii="宋体" w:hAnsi="宋体" w:cs="Courier New"/>
                <w:color w:val="auto"/>
                <w:kern w:val="0"/>
                <w:sz w:val="22"/>
                <w:szCs w:val="22"/>
                <w:highlight w:val="none"/>
                <w:lang w:eastAsia="zh-CN"/>
              </w:rPr>
              <w:t>面向中小企业采购时必须在资格审查文件中提供，非面向中小企业采购时在报价文件中提供。</w:t>
            </w:r>
          </w:p>
        </w:tc>
      </w:tr>
      <w:tr w14:paraId="2F679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2C81EB3E">
            <w:pPr>
              <w:autoSpaceDE w:val="0"/>
              <w:autoSpaceDN w:val="0"/>
              <w:adjustRightInd w:val="0"/>
              <w:snapToGrid w:val="0"/>
              <w:spacing w:line="440" w:lineRule="exact"/>
              <w:jc w:val="center"/>
              <w:rPr>
                <w:rFonts w:ascii="宋体" w:hAnsi="宋体" w:cs="Courier New"/>
                <w:color w:val="auto"/>
                <w:kern w:val="0"/>
                <w:sz w:val="22"/>
                <w:szCs w:val="22"/>
                <w:highlight w:val="none"/>
              </w:rPr>
            </w:pPr>
            <w:r>
              <w:rPr>
                <w:rFonts w:hint="eastAsia" w:ascii="宋体" w:hAnsi="宋体" w:cs="Courier New"/>
                <w:color w:val="auto"/>
                <w:kern w:val="0"/>
                <w:sz w:val="22"/>
                <w:szCs w:val="22"/>
                <w:highlight w:val="none"/>
              </w:rPr>
              <w:t>12</w:t>
            </w:r>
          </w:p>
        </w:tc>
        <w:tc>
          <w:tcPr>
            <w:tcW w:w="8399" w:type="dxa"/>
          </w:tcPr>
          <w:p w14:paraId="564136D4">
            <w:pPr>
              <w:autoSpaceDE w:val="0"/>
              <w:autoSpaceDN w:val="0"/>
              <w:adjustRightInd w:val="0"/>
              <w:snapToGrid w:val="0"/>
              <w:spacing w:line="430" w:lineRule="atLeast"/>
              <w:jc w:val="left"/>
              <w:rPr>
                <w:rFonts w:hint="default" w:ascii="宋体" w:hAnsi="宋体" w:cs="宋体"/>
                <w:color w:val="auto"/>
                <w:kern w:val="2"/>
                <w:sz w:val="22"/>
                <w:szCs w:val="22"/>
                <w:highlight w:val="none"/>
                <w:lang w:val="en-US" w:eastAsia="zh-CN" w:bidi="ar-SA"/>
              </w:rPr>
            </w:pPr>
            <w:r>
              <w:rPr>
                <w:rFonts w:hint="eastAsia" w:ascii="宋体" w:hAnsi="宋体" w:cs="宋体"/>
                <w:color w:val="auto"/>
                <w:sz w:val="22"/>
                <w:szCs w:val="22"/>
                <w:highlight w:val="none"/>
              </w:rPr>
              <w:t>投标人认为有必要提供的其它文件（格式自拟）</w:t>
            </w:r>
          </w:p>
        </w:tc>
      </w:tr>
    </w:tbl>
    <w:p w14:paraId="5F984688">
      <w:pPr>
        <w:spacing w:line="440" w:lineRule="exact"/>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2.技术商务文件</w:t>
      </w:r>
    </w:p>
    <w:tbl>
      <w:tblPr>
        <w:tblStyle w:val="5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388"/>
      </w:tblGrid>
      <w:tr w14:paraId="0E465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4AC420B4">
            <w:pPr>
              <w:autoSpaceDE w:val="0"/>
              <w:autoSpaceDN w:val="0"/>
              <w:adjustRightInd w:val="0"/>
              <w:snapToGrid w:val="0"/>
              <w:spacing w:line="440" w:lineRule="exact"/>
              <w:rPr>
                <w:rFonts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序号</w:t>
            </w:r>
          </w:p>
        </w:tc>
        <w:tc>
          <w:tcPr>
            <w:tcW w:w="8388" w:type="dxa"/>
          </w:tcPr>
          <w:p w14:paraId="03028848">
            <w:pPr>
              <w:autoSpaceDE w:val="0"/>
              <w:autoSpaceDN w:val="0"/>
              <w:adjustRightInd w:val="0"/>
              <w:snapToGrid w:val="0"/>
              <w:spacing w:line="440" w:lineRule="exact"/>
              <w:rPr>
                <w:rFonts w:ascii="宋体" w:hAnsi="宋体" w:cs="宋体"/>
                <w:color w:val="auto"/>
                <w:kern w:val="0"/>
                <w:sz w:val="20"/>
                <w:szCs w:val="20"/>
                <w:highlight w:val="none"/>
                <w:lang w:val="zh-CN"/>
              </w:rPr>
            </w:pPr>
            <w:r>
              <w:rPr>
                <w:rFonts w:hint="eastAsia" w:ascii="宋体" w:hAnsi="宋体" w:cs="宋体"/>
                <w:color w:val="auto"/>
                <w:kern w:val="0"/>
                <w:sz w:val="20"/>
                <w:szCs w:val="20"/>
                <w:highlight w:val="none"/>
                <w:lang w:val="zh-CN"/>
              </w:rPr>
              <w:t>内容</w:t>
            </w:r>
          </w:p>
        </w:tc>
      </w:tr>
      <w:tr w14:paraId="3AB4D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0C4BBD3A">
            <w:pPr>
              <w:autoSpaceDE w:val="0"/>
              <w:autoSpaceDN w:val="0"/>
              <w:adjustRightInd w:val="0"/>
              <w:snapToGrid w:val="0"/>
              <w:spacing w:line="440" w:lineRule="exact"/>
              <w:jc w:val="center"/>
              <w:rPr>
                <w:rFonts w:hint="eastAsia" w:ascii="宋体" w:hAnsi="宋体" w:cs="Courier New"/>
                <w:color w:val="auto"/>
                <w:kern w:val="0"/>
                <w:sz w:val="20"/>
                <w:szCs w:val="20"/>
                <w:highlight w:val="none"/>
              </w:rPr>
            </w:pPr>
            <w:r>
              <w:rPr>
                <w:rFonts w:hint="eastAsia" w:ascii="宋体" w:hAnsi="宋体" w:cs="Courier New"/>
                <w:color w:val="auto"/>
                <w:kern w:val="0"/>
                <w:sz w:val="20"/>
                <w:szCs w:val="20"/>
                <w:highlight w:val="none"/>
              </w:rPr>
              <w:t>1</w:t>
            </w:r>
          </w:p>
        </w:tc>
        <w:tc>
          <w:tcPr>
            <w:tcW w:w="8388" w:type="dxa"/>
          </w:tcPr>
          <w:p w14:paraId="4EA62E45">
            <w:pPr>
              <w:autoSpaceDE w:val="0"/>
              <w:autoSpaceDN w:val="0"/>
              <w:adjustRightInd w:val="0"/>
              <w:snapToGrid w:val="0"/>
              <w:spacing w:line="440" w:lineRule="exact"/>
              <w:jc w:val="left"/>
              <w:rPr>
                <w:rFonts w:hint="eastAsia" w:ascii="宋体" w:hAnsi="宋体" w:cs="宋体"/>
                <w:color w:val="auto"/>
                <w:sz w:val="20"/>
                <w:szCs w:val="20"/>
                <w:highlight w:val="none"/>
                <w:lang w:val="zh-CN"/>
              </w:rPr>
            </w:pPr>
            <w:r>
              <w:rPr>
                <w:rFonts w:hint="eastAsia" w:ascii="宋体" w:hAnsi="宋体" w:cs="宋体"/>
                <w:color w:val="auto"/>
                <w:sz w:val="20"/>
                <w:szCs w:val="20"/>
                <w:highlight w:val="none"/>
              </w:rPr>
              <w:t>评分响应表（</w:t>
            </w:r>
            <w:r>
              <w:rPr>
                <w:rFonts w:hint="eastAsia" w:ascii="宋体" w:hAnsi="宋体" w:cs="Courier New"/>
                <w:color w:val="auto"/>
                <w:kern w:val="0"/>
                <w:sz w:val="20"/>
                <w:szCs w:val="20"/>
                <w:highlight w:val="none"/>
              </w:rPr>
              <w:t>联合体牵头方提供</w:t>
            </w:r>
            <w:r>
              <w:rPr>
                <w:rFonts w:hint="eastAsia" w:ascii="宋体" w:hAnsi="宋体" w:cs="宋体"/>
                <w:color w:val="auto"/>
                <w:sz w:val="20"/>
                <w:szCs w:val="20"/>
                <w:highlight w:val="none"/>
              </w:rPr>
              <w:t>）</w:t>
            </w:r>
          </w:p>
        </w:tc>
      </w:tr>
      <w:tr w14:paraId="55425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7D34BBE4">
            <w:pPr>
              <w:autoSpaceDE w:val="0"/>
              <w:autoSpaceDN w:val="0"/>
              <w:adjustRightInd w:val="0"/>
              <w:snapToGrid w:val="0"/>
              <w:spacing w:line="440" w:lineRule="exact"/>
              <w:jc w:val="center"/>
              <w:rPr>
                <w:rFonts w:hint="eastAsia" w:ascii="宋体" w:hAnsi="宋体" w:cs="Courier New"/>
                <w:color w:val="auto"/>
                <w:kern w:val="0"/>
                <w:sz w:val="20"/>
                <w:szCs w:val="20"/>
                <w:highlight w:val="none"/>
                <w:lang w:val="zh-CN"/>
              </w:rPr>
            </w:pPr>
            <w:r>
              <w:rPr>
                <w:rFonts w:hint="eastAsia" w:ascii="宋体" w:hAnsi="宋体" w:cs="Courier New"/>
                <w:color w:val="auto"/>
                <w:kern w:val="0"/>
                <w:sz w:val="20"/>
                <w:szCs w:val="20"/>
                <w:highlight w:val="none"/>
              </w:rPr>
              <w:t>2</w:t>
            </w:r>
          </w:p>
        </w:tc>
        <w:tc>
          <w:tcPr>
            <w:tcW w:w="8388" w:type="dxa"/>
            <w:vAlign w:val="center"/>
          </w:tcPr>
          <w:p w14:paraId="16501514">
            <w:pPr>
              <w:autoSpaceDE w:val="0"/>
              <w:autoSpaceDN w:val="0"/>
              <w:adjustRightInd w:val="0"/>
              <w:snapToGrid w:val="0"/>
              <w:spacing w:line="440" w:lineRule="exact"/>
              <w:jc w:val="left"/>
              <w:rPr>
                <w:rFonts w:hint="eastAsia" w:ascii="宋体" w:hAnsi="宋体" w:cs="宋体"/>
                <w:color w:val="auto"/>
                <w:sz w:val="20"/>
                <w:szCs w:val="20"/>
                <w:highlight w:val="none"/>
              </w:rPr>
            </w:pPr>
            <w:r>
              <w:rPr>
                <w:rFonts w:hint="eastAsia" w:ascii="宋体" w:hAnsi="宋体" w:cs="宋体"/>
                <w:color w:val="auto"/>
                <w:sz w:val="20"/>
                <w:szCs w:val="20"/>
                <w:highlight w:val="none"/>
              </w:rPr>
              <w:t>投标声明书(</w:t>
            </w:r>
            <w:r>
              <w:rPr>
                <w:rFonts w:hint="eastAsia" w:ascii="宋体" w:hAnsi="宋体" w:cs="Courier New"/>
                <w:color w:val="auto"/>
                <w:kern w:val="0"/>
                <w:sz w:val="20"/>
                <w:szCs w:val="20"/>
                <w:highlight w:val="none"/>
              </w:rPr>
              <w:t>联合体各方均需提供</w:t>
            </w:r>
            <w:r>
              <w:rPr>
                <w:rFonts w:hint="eastAsia" w:ascii="宋体" w:hAnsi="宋体" w:cs="宋体"/>
                <w:color w:val="auto"/>
                <w:sz w:val="20"/>
                <w:szCs w:val="20"/>
                <w:highlight w:val="none"/>
              </w:rPr>
              <w:t>）</w:t>
            </w:r>
          </w:p>
        </w:tc>
      </w:tr>
      <w:tr w14:paraId="003FD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E99C500">
            <w:pPr>
              <w:autoSpaceDE w:val="0"/>
              <w:autoSpaceDN w:val="0"/>
              <w:adjustRightInd w:val="0"/>
              <w:snapToGrid w:val="0"/>
              <w:spacing w:line="440" w:lineRule="exact"/>
              <w:jc w:val="center"/>
              <w:rPr>
                <w:rFonts w:hint="eastAsia" w:ascii="宋体" w:hAnsi="宋体" w:cs="Courier New"/>
                <w:color w:val="auto"/>
                <w:kern w:val="0"/>
                <w:sz w:val="20"/>
                <w:szCs w:val="20"/>
                <w:highlight w:val="none"/>
              </w:rPr>
            </w:pPr>
            <w:r>
              <w:rPr>
                <w:rFonts w:hint="eastAsia" w:ascii="宋体" w:hAnsi="宋体" w:cs="Courier New"/>
                <w:color w:val="auto"/>
                <w:kern w:val="0"/>
                <w:sz w:val="20"/>
                <w:szCs w:val="20"/>
                <w:highlight w:val="none"/>
              </w:rPr>
              <w:t>3</w:t>
            </w:r>
          </w:p>
        </w:tc>
        <w:tc>
          <w:tcPr>
            <w:tcW w:w="8388" w:type="dxa"/>
            <w:vAlign w:val="center"/>
          </w:tcPr>
          <w:p w14:paraId="24EA4B52">
            <w:pPr>
              <w:autoSpaceDE w:val="0"/>
              <w:autoSpaceDN w:val="0"/>
              <w:adjustRightInd w:val="0"/>
              <w:snapToGrid w:val="0"/>
              <w:spacing w:line="440" w:lineRule="exact"/>
              <w:jc w:val="left"/>
              <w:rPr>
                <w:rFonts w:hint="eastAsia" w:ascii="宋体" w:hAnsi="宋体" w:cs="宋体"/>
                <w:color w:val="auto"/>
                <w:sz w:val="20"/>
                <w:szCs w:val="20"/>
                <w:highlight w:val="none"/>
              </w:rPr>
            </w:pPr>
            <w:r>
              <w:rPr>
                <w:rFonts w:hint="eastAsia" w:ascii="宋体" w:hAnsi="宋体" w:cs="宋体"/>
                <w:color w:val="auto"/>
                <w:sz w:val="20"/>
                <w:szCs w:val="20"/>
                <w:highlight w:val="none"/>
              </w:rPr>
              <w:t>产品技术指标响应情况</w:t>
            </w:r>
          </w:p>
        </w:tc>
      </w:tr>
      <w:tr w14:paraId="0238F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7AB28761">
            <w:pPr>
              <w:autoSpaceDE w:val="0"/>
              <w:autoSpaceDN w:val="0"/>
              <w:adjustRightInd w:val="0"/>
              <w:snapToGrid w:val="0"/>
              <w:spacing w:line="440" w:lineRule="exact"/>
              <w:jc w:val="center"/>
              <w:rPr>
                <w:rFonts w:hint="eastAsia" w:ascii="宋体" w:hAnsi="宋体" w:cs="Courier New"/>
                <w:color w:val="auto"/>
                <w:kern w:val="0"/>
                <w:sz w:val="20"/>
                <w:szCs w:val="20"/>
                <w:highlight w:val="none"/>
              </w:rPr>
            </w:pPr>
            <w:r>
              <w:rPr>
                <w:rFonts w:hint="eastAsia" w:ascii="宋体" w:hAnsi="宋体" w:cs="Courier New"/>
                <w:color w:val="auto"/>
                <w:kern w:val="0"/>
                <w:sz w:val="20"/>
                <w:szCs w:val="20"/>
                <w:highlight w:val="none"/>
              </w:rPr>
              <w:t>4</w:t>
            </w:r>
          </w:p>
        </w:tc>
        <w:tc>
          <w:tcPr>
            <w:tcW w:w="8388" w:type="dxa"/>
            <w:vAlign w:val="center"/>
          </w:tcPr>
          <w:p w14:paraId="162D4A53">
            <w:pPr>
              <w:autoSpaceDE w:val="0"/>
              <w:autoSpaceDN w:val="0"/>
              <w:adjustRightInd w:val="0"/>
              <w:snapToGrid w:val="0"/>
              <w:spacing w:line="440" w:lineRule="exact"/>
              <w:jc w:val="left"/>
              <w:rPr>
                <w:rFonts w:hint="eastAsia" w:ascii="宋体" w:hAnsi="宋体" w:eastAsia="宋体" w:cs="宋体"/>
                <w:color w:val="auto"/>
                <w:sz w:val="20"/>
                <w:szCs w:val="20"/>
                <w:highlight w:val="none"/>
                <w:lang w:eastAsia="zh-CN"/>
              </w:rPr>
            </w:pPr>
            <w:r>
              <w:rPr>
                <w:rFonts w:hint="eastAsia" w:ascii="宋体" w:hAnsi="宋体" w:cs="宋体"/>
                <w:color w:val="auto"/>
                <w:sz w:val="20"/>
                <w:szCs w:val="20"/>
                <w:highlight w:val="none"/>
              </w:rPr>
              <w:t>评审办法和评分标准</w:t>
            </w:r>
            <w:r>
              <w:rPr>
                <w:rFonts w:hint="eastAsia" w:ascii="宋体" w:hAnsi="宋体" w:cs="宋体"/>
                <w:color w:val="auto"/>
                <w:sz w:val="20"/>
                <w:szCs w:val="20"/>
                <w:highlight w:val="none"/>
                <w:lang w:eastAsia="zh-CN"/>
              </w:rPr>
              <w:t>中的评分内容（</w:t>
            </w:r>
            <w:r>
              <w:rPr>
                <w:rFonts w:hint="eastAsia" w:ascii="宋体" w:hAnsi="宋体" w:cs="宋体"/>
                <w:color w:val="auto"/>
                <w:sz w:val="20"/>
                <w:szCs w:val="20"/>
                <w:highlight w:val="none"/>
                <w:lang w:val="en-US" w:eastAsia="zh-CN"/>
              </w:rPr>
              <w:t>1，2，3，4，5，6......</w:t>
            </w:r>
            <w:r>
              <w:rPr>
                <w:rFonts w:hint="eastAsia" w:ascii="宋体" w:hAnsi="宋体" w:cs="宋体"/>
                <w:color w:val="auto"/>
                <w:sz w:val="20"/>
                <w:szCs w:val="20"/>
                <w:highlight w:val="none"/>
                <w:lang w:eastAsia="zh-CN"/>
              </w:rPr>
              <w:t>）尽量按序排列</w:t>
            </w:r>
          </w:p>
        </w:tc>
      </w:tr>
      <w:tr w14:paraId="4E70B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78120DF2">
            <w:pPr>
              <w:autoSpaceDE w:val="0"/>
              <w:autoSpaceDN w:val="0"/>
              <w:adjustRightInd w:val="0"/>
              <w:snapToGrid w:val="0"/>
              <w:spacing w:line="440" w:lineRule="exact"/>
              <w:jc w:val="center"/>
              <w:rPr>
                <w:rFonts w:hint="eastAsia" w:ascii="宋体" w:hAnsi="宋体" w:eastAsia="宋体" w:cs="Courier New"/>
                <w:color w:val="auto"/>
                <w:kern w:val="0"/>
                <w:sz w:val="20"/>
                <w:szCs w:val="20"/>
                <w:highlight w:val="none"/>
                <w:lang w:eastAsia="zh-CN"/>
              </w:rPr>
            </w:pPr>
            <w:r>
              <w:rPr>
                <w:rFonts w:hint="eastAsia" w:ascii="宋体" w:hAnsi="宋体" w:cs="Courier New"/>
                <w:color w:val="auto"/>
                <w:kern w:val="0"/>
                <w:sz w:val="20"/>
                <w:szCs w:val="20"/>
                <w:highlight w:val="none"/>
                <w:lang w:val="en-US" w:eastAsia="zh-CN"/>
              </w:rPr>
              <w:t>5</w:t>
            </w:r>
          </w:p>
        </w:tc>
        <w:tc>
          <w:tcPr>
            <w:tcW w:w="8388" w:type="dxa"/>
          </w:tcPr>
          <w:p w14:paraId="7900130E">
            <w:pPr>
              <w:autoSpaceDE w:val="0"/>
              <w:autoSpaceDN w:val="0"/>
              <w:adjustRightInd w:val="0"/>
              <w:snapToGrid w:val="0"/>
              <w:spacing w:line="440" w:lineRule="exact"/>
              <w:jc w:val="left"/>
              <w:rPr>
                <w:rFonts w:hint="eastAsia" w:ascii="宋体" w:hAnsi="宋体" w:cs="宋体"/>
                <w:color w:val="auto"/>
                <w:sz w:val="20"/>
                <w:szCs w:val="20"/>
                <w:highlight w:val="none"/>
              </w:rPr>
            </w:pPr>
            <w:r>
              <w:rPr>
                <w:rFonts w:hint="eastAsia" w:ascii="宋体" w:hAnsi="宋体" w:cs="宋体"/>
                <w:color w:val="auto"/>
                <w:sz w:val="20"/>
                <w:szCs w:val="20"/>
                <w:highlight w:val="none"/>
              </w:rPr>
              <w:t>根据招标文件要求，其他需说明的资料。(格式自拟）</w:t>
            </w:r>
          </w:p>
        </w:tc>
      </w:tr>
      <w:tr w14:paraId="72EB0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0455BD52">
            <w:pPr>
              <w:autoSpaceDE w:val="0"/>
              <w:autoSpaceDN w:val="0"/>
              <w:adjustRightInd w:val="0"/>
              <w:snapToGrid w:val="0"/>
              <w:spacing w:line="440" w:lineRule="exact"/>
              <w:jc w:val="center"/>
              <w:rPr>
                <w:rFonts w:hint="eastAsia" w:ascii="宋体" w:hAnsi="宋体" w:eastAsia="宋体" w:cs="Courier New"/>
                <w:color w:val="auto"/>
                <w:kern w:val="0"/>
                <w:sz w:val="20"/>
                <w:szCs w:val="20"/>
                <w:highlight w:val="none"/>
                <w:lang w:eastAsia="zh-CN"/>
              </w:rPr>
            </w:pPr>
            <w:r>
              <w:rPr>
                <w:rFonts w:hint="eastAsia" w:ascii="宋体" w:hAnsi="宋体" w:cs="Courier New"/>
                <w:color w:val="auto"/>
                <w:kern w:val="0"/>
                <w:sz w:val="20"/>
                <w:szCs w:val="20"/>
                <w:highlight w:val="none"/>
                <w:lang w:val="en-US" w:eastAsia="zh-CN"/>
              </w:rPr>
              <w:t>6</w:t>
            </w:r>
          </w:p>
        </w:tc>
        <w:tc>
          <w:tcPr>
            <w:tcW w:w="8388" w:type="dxa"/>
          </w:tcPr>
          <w:p w14:paraId="35A4B731">
            <w:pPr>
              <w:autoSpaceDE w:val="0"/>
              <w:autoSpaceDN w:val="0"/>
              <w:adjustRightInd w:val="0"/>
              <w:snapToGrid w:val="0"/>
              <w:spacing w:line="440" w:lineRule="exact"/>
              <w:jc w:val="left"/>
              <w:rPr>
                <w:rFonts w:hint="eastAsia" w:ascii="宋体" w:hAnsi="宋体" w:cs="宋体"/>
                <w:color w:val="auto"/>
                <w:sz w:val="20"/>
                <w:szCs w:val="20"/>
                <w:highlight w:val="none"/>
              </w:rPr>
            </w:pPr>
            <w:r>
              <w:rPr>
                <w:rFonts w:hint="eastAsia" w:ascii="宋体" w:hAnsi="宋体" w:cs="宋体"/>
                <w:color w:val="auto"/>
                <w:sz w:val="20"/>
                <w:szCs w:val="20"/>
                <w:highlight w:val="none"/>
              </w:rPr>
              <w:t>投标人认为需提供的其他资料。(格式自拟）</w:t>
            </w:r>
          </w:p>
        </w:tc>
      </w:tr>
    </w:tbl>
    <w:p w14:paraId="4A7ABAFA">
      <w:pPr>
        <w:snapToGrid w:val="0"/>
        <w:spacing w:line="440" w:lineRule="exact"/>
        <w:ind w:firstLine="482" w:firstLineChars="200"/>
        <w:jc w:val="left"/>
        <w:rPr>
          <w:rFonts w:hint="eastAsia" w:ascii="宋体" w:hAnsi="宋体" w:cs="宋体"/>
          <w:b/>
          <w:bCs/>
          <w:color w:val="auto"/>
          <w:sz w:val="24"/>
          <w:highlight w:val="none"/>
        </w:rPr>
      </w:pPr>
      <w:r>
        <w:rPr>
          <w:rFonts w:hint="eastAsia" w:ascii="宋体" w:hAnsi="宋体" w:cs="宋体"/>
          <w:b/>
          <w:bCs/>
          <w:color w:val="auto"/>
          <w:sz w:val="24"/>
          <w:highlight w:val="none"/>
        </w:rPr>
        <w:t>3.报价文件</w:t>
      </w:r>
    </w:p>
    <w:tbl>
      <w:tblPr>
        <w:tblStyle w:val="5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8432"/>
      </w:tblGrid>
      <w:tr w14:paraId="5E451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680CD2B6">
            <w:pPr>
              <w:autoSpaceDE w:val="0"/>
              <w:autoSpaceDN w:val="0"/>
              <w:adjustRightInd w:val="0"/>
              <w:snapToGrid w:val="0"/>
              <w:spacing w:line="440" w:lineRule="exact"/>
              <w:jc w:val="center"/>
              <w:rPr>
                <w:rFonts w:ascii="宋体" w:hAnsi="宋体" w:cs="宋体"/>
                <w:color w:val="auto"/>
                <w:kern w:val="0"/>
                <w:sz w:val="22"/>
                <w:szCs w:val="22"/>
                <w:highlight w:val="none"/>
                <w:lang w:val="zh-CN"/>
              </w:rPr>
            </w:pPr>
            <w:bookmarkStart w:id="268" w:name="_Toc11861"/>
            <w:bookmarkStart w:id="269" w:name="_Toc16950"/>
            <w:bookmarkStart w:id="270" w:name="_Toc27491"/>
            <w:bookmarkStart w:id="271" w:name="_Toc31427"/>
            <w:bookmarkStart w:id="272" w:name="_Toc15007"/>
            <w:bookmarkStart w:id="273" w:name="_Toc14946"/>
            <w:bookmarkStart w:id="274" w:name="_Toc20239"/>
            <w:bookmarkStart w:id="275" w:name="_Toc3284"/>
            <w:r>
              <w:rPr>
                <w:rFonts w:hint="eastAsia" w:ascii="宋体" w:hAnsi="宋体" w:cs="宋体"/>
                <w:color w:val="auto"/>
                <w:kern w:val="0"/>
                <w:sz w:val="22"/>
                <w:szCs w:val="22"/>
                <w:highlight w:val="none"/>
                <w:lang w:val="zh-CN"/>
              </w:rPr>
              <w:t>序号</w:t>
            </w:r>
          </w:p>
        </w:tc>
        <w:tc>
          <w:tcPr>
            <w:tcW w:w="8432" w:type="dxa"/>
          </w:tcPr>
          <w:p w14:paraId="395C77DA">
            <w:pPr>
              <w:autoSpaceDE w:val="0"/>
              <w:autoSpaceDN w:val="0"/>
              <w:adjustRightInd w:val="0"/>
              <w:snapToGrid w:val="0"/>
              <w:spacing w:line="44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内容（</w:t>
            </w:r>
            <w:r>
              <w:rPr>
                <w:rFonts w:hint="eastAsia" w:ascii="宋体" w:hAnsi="宋体" w:cs="宋体"/>
                <w:b/>
                <w:color w:val="auto"/>
                <w:kern w:val="0"/>
                <w:sz w:val="22"/>
                <w:szCs w:val="22"/>
                <w:highlight w:val="none"/>
                <w:lang w:val="zh-CN"/>
              </w:rPr>
              <w:t>序号</w:t>
            </w:r>
            <w:r>
              <w:rPr>
                <w:rFonts w:hint="eastAsia" w:ascii="宋体" w:hAnsi="宋体" w:cs="宋体"/>
                <w:b/>
                <w:color w:val="auto"/>
                <w:kern w:val="0"/>
                <w:sz w:val="22"/>
                <w:szCs w:val="22"/>
                <w:highlight w:val="none"/>
              </w:rPr>
              <w:t>1</w:t>
            </w:r>
            <w:r>
              <w:rPr>
                <w:rFonts w:hint="eastAsia" w:ascii="宋体" w:hAnsi="宋体" w:cs="宋体"/>
                <w:b/>
                <w:color w:val="auto"/>
                <w:kern w:val="0"/>
                <w:sz w:val="22"/>
                <w:szCs w:val="22"/>
                <w:highlight w:val="none"/>
                <w:lang w:val="zh-CN"/>
              </w:rPr>
              <w:t>-</w:t>
            </w:r>
            <w:r>
              <w:rPr>
                <w:rFonts w:hint="eastAsia" w:ascii="宋体" w:hAnsi="宋体" w:cs="宋体"/>
                <w:b/>
                <w:color w:val="auto"/>
                <w:kern w:val="0"/>
                <w:sz w:val="22"/>
                <w:szCs w:val="22"/>
                <w:highlight w:val="none"/>
              </w:rPr>
              <w:t>3</w:t>
            </w:r>
            <w:r>
              <w:rPr>
                <w:rFonts w:hint="eastAsia" w:ascii="宋体" w:hAnsi="宋体" w:cs="宋体"/>
                <w:b/>
                <w:color w:val="auto"/>
                <w:kern w:val="0"/>
                <w:sz w:val="22"/>
                <w:szCs w:val="22"/>
                <w:highlight w:val="none"/>
                <w:lang w:val="zh-CN"/>
              </w:rPr>
              <w:t>项投标供应商必须提供，否则不能通过审查</w:t>
            </w:r>
            <w:r>
              <w:rPr>
                <w:rFonts w:hint="eastAsia" w:ascii="宋体" w:hAnsi="宋体" w:cs="宋体"/>
                <w:b/>
                <w:color w:val="auto"/>
                <w:kern w:val="0"/>
                <w:sz w:val="22"/>
                <w:szCs w:val="22"/>
                <w:highlight w:val="none"/>
              </w:rPr>
              <w:t>的</w:t>
            </w:r>
            <w:r>
              <w:rPr>
                <w:rFonts w:hint="eastAsia" w:ascii="宋体" w:hAnsi="宋体" w:cs="宋体"/>
                <w:b/>
                <w:color w:val="auto"/>
                <w:kern w:val="0"/>
                <w:sz w:val="22"/>
                <w:szCs w:val="22"/>
                <w:highlight w:val="none"/>
                <w:lang w:val="zh-CN"/>
              </w:rPr>
              <w:t>，责任自负。</w:t>
            </w:r>
            <w:r>
              <w:rPr>
                <w:rFonts w:hint="eastAsia" w:ascii="宋体" w:hAnsi="宋体" w:cs="宋体"/>
                <w:color w:val="auto"/>
                <w:kern w:val="0"/>
                <w:sz w:val="22"/>
                <w:szCs w:val="22"/>
                <w:highlight w:val="none"/>
                <w:lang w:val="zh-CN"/>
              </w:rPr>
              <w:t>）</w:t>
            </w:r>
          </w:p>
        </w:tc>
      </w:tr>
      <w:tr w14:paraId="5E5E1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08055511">
            <w:pPr>
              <w:autoSpaceDE w:val="0"/>
              <w:autoSpaceDN w:val="0"/>
              <w:adjustRightInd w:val="0"/>
              <w:snapToGrid w:val="0"/>
              <w:spacing w:line="44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w:t>
            </w:r>
          </w:p>
        </w:tc>
        <w:tc>
          <w:tcPr>
            <w:tcW w:w="8432" w:type="dxa"/>
          </w:tcPr>
          <w:p w14:paraId="5DB92300">
            <w:pPr>
              <w:autoSpaceDE w:val="0"/>
              <w:autoSpaceDN w:val="0"/>
              <w:adjustRightInd w:val="0"/>
              <w:spacing w:line="440" w:lineRule="exact"/>
              <w:textAlignment w:val="bottom"/>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rPr>
              <w:t>投标函（</w:t>
            </w:r>
            <w:r>
              <w:rPr>
                <w:rFonts w:hint="eastAsia" w:ascii="宋体" w:hAnsi="宋体" w:cs="Courier New"/>
                <w:color w:val="auto"/>
                <w:kern w:val="0"/>
                <w:sz w:val="22"/>
                <w:szCs w:val="22"/>
                <w:highlight w:val="none"/>
              </w:rPr>
              <w:t>联合体牵头方提供</w:t>
            </w:r>
            <w:r>
              <w:rPr>
                <w:rFonts w:hint="eastAsia" w:ascii="宋体" w:hAnsi="宋体" w:cs="宋体"/>
                <w:color w:val="auto"/>
                <w:kern w:val="0"/>
                <w:sz w:val="22"/>
                <w:szCs w:val="22"/>
                <w:highlight w:val="none"/>
              </w:rPr>
              <w:t>）</w:t>
            </w:r>
          </w:p>
        </w:tc>
      </w:tr>
      <w:tr w14:paraId="33152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0E16669F">
            <w:pPr>
              <w:autoSpaceDE w:val="0"/>
              <w:autoSpaceDN w:val="0"/>
              <w:adjustRightInd w:val="0"/>
              <w:snapToGrid w:val="0"/>
              <w:spacing w:line="440" w:lineRule="exact"/>
              <w:jc w:val="center"/>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w:t>
            </w:r>
          </w:p>
        </w:tc>
        <w:tc>
          <w:tcPr>
            <w:tcW w:w="8432" w:type="dxa"/>
          </w:tcPr>
          <w:p w14:paraId="5AD19605">
            <w:pPr>
              <w:autoSpaceDE w:val="0"/>
              <w:autoSpaceDN w:val="0"/>
              <w:adjustRightInd w:val="0"/>
              <w:spacing w:line="440" w:lineRule="exact"/>
              <w:textAlignment w:val="bottom"/>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开标一览表（</w:t>
            </w:r>
            <w:r>
              <w:rPr>
                <w:rFonts w:hint="eastAsia" w:ascii="宋体" w:hAnsi="宋体" w:cs="Courier New"/>
                <w:color w:val="auto"/>
                <w:kern w:val="0"/>
                <w:sz w:val="22"/>
                <w:szCs w:val="22"/>
                <w:highlight w:val="none"/>
              </w:rPr>
              <w:t>联合体牵头方提供</w:t>
            </w:r>
            <w:r>
              <w:rPr>
                <w:rFonts w:hint="eastAsia" w:ascii="宋体" w:hAnsi="宋体" w:cs="宋体"/>
                <w:color w:val="auto"/>
                <w:kern w:val="0"/>
                <w:sz w:val="22"/>
                <w:szCs w:val="22"/>
                <w:highlight w:val="none"/>
              </w:rPr>
              <w:t>）</w:t>
            </w:r>
          </w:p>
        </w:tc>
      </w:tr>
      <w:tr w14:paraId="4911A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12D9C86F">
            <w:pPr>
              <w:autoSpaceDE w:val="0"/>
              <w:autoSpaceDN w:val="0"/>
              <w:adjustRightInd w:val="0"/>
              <w:snapToGrid w:val="0"/>
              <w:spacing w:line="440" w:lineRule="exact"/>
              <w:jc w:val="center"/>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rPr>
              <w:t>3</w:t>
            </w:r>
          </w:p>
        </w:tc>
        <w:tc>
          <w:tcPr>
            <w:tcW w:w="8432" w:type="dxa"/>
          </w:tcPr>
          <w:p w14:paraId="5F5294AB">
            <w:pPr>
              <w:autoSpaceDE w:val="0"/>
              <w:autoSpaceDN w:val="0"/>
              <w:adjustRightInd w:val="0"/>
              <w:spacing w:line="440" w:lineRule="exact"/>
              <w:textAlignment w:val="bottom"/>
              <w:rPr>
                <w:rFonts w:hint="eastAsia" w:ascii="宋体" w:hAnsi="宋体" w:eastAsia="宋体" w:cs="宋体"/>
                <w:color w:val="auto"/>
                <w:kern w:val="0"/>
                <w:sz w:val="22"/>
                <w:szCs w:val="22"/>
                <w:highlight w:val="none"/>
                <w:lang w:val="zh-CN" w:eastAsia="zh-CN"/>
              </w:rPr>
            </w:pPr>
            <w:r>
              <w:rPr>
                <w:rFonts w:hint="eastAsia" w:ascii="宋体" w:hAnsi="宋体" w:cs="宋体"/>
                <w:color w:val="auto"/>
                <w:kern w:val="0"/>
                <w:sz w:val="22"/>
                <w:szCs w:val="22"/>
                <w:highlight w:val="none"/>
              </w:rPr>
              <w:t>投标分项报价表（</w:t>
            </w:r>
            <w:r>
              <w:rPr>
                <w:rFonts w:hint="eastAsia" w:ascii="宋体" w:hAnsi="宋体" w:cs="Courier New"/>
                <w:color w:val="auto"/>
                <w:kern w:val="0"/>
                <w:sz w:val="22"/>
                <w:szCs w:val="22"/>
                <w:highlight w:val="none"/>
              </w:rPr>
              <w:t>联合体牵头方提供</w:t>
            </w:r>
            <w:r>
              <w:rPr>
                <w:rFonts w:hint="eastAsia" w:ascii="宋体" w:hAnsi="宋体" w:cs="宋体"/>
                <w:color w:val="auto"/>
                <w:kern w:val="0"/>
                <w:sz w:val="22"/>
                <w:szCs w:val="22"/>
                <w:highlight w:val="none"/>
              </w:rPr>
              <w:t>）</w:t>
            </w:r>
          </w:p>
        </w:tc>
      </w:tr>
      <w:tr w14:paraId="01EB3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6C2EAB8E">
            <w:pPr>
              <w:autoSpaceDE w:val="0"/>
              <w:autoSpaceDN w:val="0"/>
              <w:adjustRightInd w:val="0"/>
              <w:snapToGrid w:val="0"/>
              <w:spacing w:line="430" w:lineRule="atLeast"/>
              <w:jc w:val="center"/>
              <w:rPr>
                <w:rFonts w:hint="eastAsia" w:ascii="宋体" w:hAnsi="宋体" w:cs="宋体"/>
                <w:color w:val="auto"/>
                <w:kern w:val="0"/>
                <w:sz w:val="22"/>
                <w:szCs w:val="20"/>
                <w:highlight w:val="none"/>
              </w:rPr>
            </w:pPr>
            <w:r>
              <w:rPr>
                <w:rFonts w:hint="eastAsia" w:ascii="宋体" w:hAnsi="宋体" w:cs="宋体"/>
                <w:color w:val="auto"/>
                <w:kern w:val="0"/>
                <w:sz w:val="22"/>
                <w:szCs w:val="20"/>
                <w:highlight w:val="none"/>
              </w:rPr>
              <w:t>4</w:t>
            </w:r>
          </w:p>
        </w:tc>
        <w:tc>
          <w:tcPr>
            <w:tcW w:w="8432" w:type="dxa"/>
          </w:tcPr>
          <w:p w14:paraId="3CFCE4FF">
            <w:pPr>
              <w:autoSpaceDE w:val="0"/>
              <w:autoSpaceDN w:val="0"/>
              <w:adjustRightInd w:val="0"/>
              <w:spacing w:line="430" w:lineRule="atLeast"/>
              <w:textAlignment w:val="bottom"/>
              <w:rPr>
                <w:rFonts w:hint="eastAsia" w:ascii="宋体" w:hAnsi="宋体" w:cs="宋体"/>
                <w:color w:val="auto"/>
                <w:kern w:val="0"/>
                <w:sz w:val="22"/>
                <w:szCs w:val="20"/>
                <w:highlight w:val="none"/>
              </w:rPr>
            </w:pPr>
            <w:r>
              <w:rPr>
                <w:rFonts w:hint="eastAsia" w:ascii="宋体" w:hAnsi="宋体" w:cs="宋体"/>
                <w:color w:val="auto"/>
                <w:kern w:val="0"/>
                <w:sz w:val="22"/>
                <w:szCs w:val="20"/>
                <w:highlight w:val="none"/>
              </w:rPr>
              <w:t>享受价格优惠的相应材料（小微企业、监狱企业、残疾人福利性单位）如有则提供</w:t>
            </w:r>
          </w:p>
        </w:tc>
      </w:tr>
      <w:tr w14:paraId="5943B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072DF84C">
            <w:pPr>
              <w:autoSpaceDE w:val="0"/>
              <w:autoSpaceDN w:val="0"/>
              <w:adjustRightInd w:val="0"/>
              <w:snapToGrid w:val="0"/>
              <w:spacing w:line="440" w:lineRule="exact"/>
              <w:jc w:val="center"/>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rPr>
              <w:t>5</w:t>
            </w:r>
          </w:p>
        </w:tc>
        <w:tc>
          <w:tcPr>
            <w:tcW w:w="8432" w:type="dxa"/>
          </w:tcPr>
          <w:p w14:paraId="1AD165C8">
            <w:pPr>
              <w:autoSpaceDE w:val="0"/>
              <w:autoSpaceDN w:val="0"/>
              <w:adjustRightInd w:val="0"/>
              <w:spacing w:line="440" w:lineRule="exact"/>
              <w:textAlignment w:val="bottom"/>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投标人针对报价需要说明的其他文件和资料（格式自拟）</w:t>
            </w:r>
          </w:p>
        </w:tc>
      </w:tr>
    </w:tbl>
    <w:p w14:paraId="120DFB82">
      <w:pPr>
        <w:pStyle w:val="30"/>
        <w:snapToGrid w:val="0"/>
        <w:spacing w:before="120" w:after="120"/>
        <w:ind w:firstLine="442" w:firstLineChars="200"/>
        <w:jc w:val="left"/>
        <w:rPr>
          <w:rFonts w:hint="eastAsia" w:hAnsi="宋体" w:cs="宋体"/>
          <w:color w:val="auto"/>
          <w:kern w:val="0"/>
          <w:sz w:val="22"/>
          <w:szCs w:val="20"/>
          <w:highlight w:val="none"/>
        </w:rPr>
      </w:pPr>
      <w:r>
        <w:rPr>
          <w:rFonts w:hint="eastAsia" w:hAnsi="宋体" w:cs="宋体"/>
          <w:b/>
          <w:bCs/>
          <w:color w:val="auto"/>
          <w:kern w:val="0"/>
          <w:sz w:val="22"/>
          <w:szCs w:val="20"/>
          <w:highlight w:val="none"/>
        </w:rPr>
        <w:t>注：（1）以上要求提供的内容附件中如有格式，按招标文件格式，若未提供则格式自拟。</w:t>
      </w:r>
    </w:p>
    <w:p w14:paraId="13A24B85">
      <w:pPr>
        <w:pStyle w:val="30"/>
        <w:snapToGrid w:val="0"/>
        <w:spacing w:before="120" w:after="120"/>
        <w:ind w:firstLine="440" w:firstLineChars="200"/>
        <w:jc w:val="left"/>
        <w:rPr>
          <w:rFonts w:hint="eastAsia" w:hAnsi="宋体" w:cs="宋体"/>
          <w:color w:val="auto"/>
          <w:kern w:val="0"/>
          <w:sz w:val="22"/>
          <w:szCs w:val="20"/>
          <w:highlight w:val="none"/>
        </w:rPr>
      </w:pPr>
      <w:r>
        <w:rPr>
          <w:rFonts w:hint="eastAsia" w:hAnsi="宋体" w:cs="宋体"/>
          <w:color w:val="auto"/>
          <w:kern w:val="0"/>
          <w:sz w:val="22"/>
          <w:szCs w:val="20"/>
          <w:highlight w:val="none"/>
        </w:rPr>
        <w:t>（2）填写报价表格时，各项费用应如实填写，如已含在产品价格中，则填“含”，</w:t>
      </w:r>
      <w:r>
        <w:rPr>
          <w:rFonts w:hint="eastAsia" w:hAnsi="宋体" w:cs="宋体"/>
          <w:color w:val="auto"/>
          <w:kern w:val="0"/>
          <w:sz w:val="22"/>
          <w:szCs w:val="20"/>
          <w:highlight w:val="none"/>
          <w:lang w:eastAsia="zh-CN"/>
        </w:rPr>
        <w:t>不允许</w:t>
      </w:r>
      <w:r>
        <w:rPr>
          <w:rFonts w:hint="eastAsia" w:hAnsi="宋体" w:cs="宋体"/>
          <w:color w:val="auto"/>
          <w:kern w:val="0"/>
          <w:sz w:val="22"/>
          <w:szCs w:val="20"/>
          <w:highlight w:val="none"/>
        </w:rPr>
        <w:t>免费</w:t>
      </w:r>
      <w:r>
        <w:rPr>
          <w:rFonts w:hint="eastAsia" w:hAnsi="宋体" w:cs="宋体"/>
          <w:color w:val="auto"/>
          <w:kern w:val="0"/>
          <w:sz w:val="22"/>
          <w:szCs w:val="20"/>
          <w:highlight w:val="none"/>
          <w:lang w:eastAsia="zh-CN"/>
        </w:rPr>
        <w:t>赠送</w:t>
      </w:r>
      <w:r>
        <w:rPr>
          <w:rFonts w:hint="eastAsia" w:hAnsi="宋体" w:cs="宋体"/>
          <w:color w:val="auto"/>
          <w:kern w:val="0"/>
          <w:sz w:val="22"/>
          <w:szCs w:val="20"/>
          <w:highlight w:val="none"/>
        </w:rPr>
        <w:t>，不允许空白。供应商在总价中应充分考虑作业期间成本投入的市场风险、政策性调整及服务期间的不可预见因素，今后不再作调整，采购人要求变动的内容除外。供应商在报价中应充分考虑所有可能发生的费用。</w:t>
      </w:r>
    </w:p>
    <w:p w14:paraId="74436C49">
      <w:pPr>
        <w:pStyle w:val="30"/>
        <w:snapToGrid w:val="0"/>
        <w:spacing w:before="120" w:after="120"/>
        <w:ind w:firstLine="440" w:firstLineChars="200"/>
        <w:jc w:val="left"/>
        <w:rPr>
          <w:rFonts w:hint="eastAsia" w:hAnsi="宋体" w:cs="宋体"/>
          <w:color w:val="auto"/>
          <w:kern w:val="0"/>
          <w:sz w:val="22"/>
          <w:szCs w:val="20"/>
          <w:highlight w:val="none"/>
        </w:rPr>
      </w:pPr>
      <w:r>
        <w:rPr>
          <w:rFonts w:hint="eastAsia" w:hAnsi="宋体" w:cs="宋体"/>
          <w:color w:val="auto"/>
          <w:kern w:val="0"/>
          <w:sz w:val="22"/>
          <w:szCs w:val="20"/>
          <w:highlight w:val="none"/>
        </w:rPr>
        <w:t>（3）采购人不接受任何有选择的报价，少报、漏报的投标报价无效。供应商的投标报价包括涉及本项目所发生的一切费用，实行固定费用总包干，供应商在投标报价中应充分考虑所有可能发生的费用，否则采购人将视投标总价中已包括所有费用。</w:t>
      </w:r>
    </w:p>
    <w:p w14:paraId="2D229D79">
      <w:pPr>
        <w:pStyle w:val="30"/>
        <w:snapToGrid w:val="0"/>
        <w:spacing w:before="120" w:after="120"/>
        <w:ind w:firstLine="440" w:firstLineChars="200"/>
        <w:jc w:val="left"/>
        <w:rPr>
          <w:rFonts w:hint="eastAsia" w:hAnsi="宋体" w:cs="宋体"/>
          <w:color w:val="auto"/>
          <w:kern w:val="0"/>
          <w:sz w:val="22"/>
          <w:szCs w:val="20"/>
          <w:highlight w:val="none"/>
        </w:rPr>
      </w:pPr>
      <w:r>
        <w:rPr>
          <w:rFonts w:hint="eastAsia" w:hAnsi="宋体" w:cs="宋体"/>
          <w:color w:val="auto"/>
          <w:kern w:val="0"/>
          <w:sz w:val="22"/>
          <w:szCs w:val="20"/>
          <w:highlight w:val="none"/>
        </w:rPr>
        <w:t>（4）投标商对在合同执行中，除上述费用及招标文件规定的由中标人负责的工作范围以外需要买方协调或提供便利的工作应当在投标文件中说明。</w:t>
      </w:r>
    </w:p>
    <w:p w14:paraId="15B6FE2D">
      <w:pPr>
        <w:pStyle w:val="30"/>
        <w:snapToGrid w:val="0"/>
        <w:spacing w:before="120" w:after="120" w:line="440" w:lineRule="exact"/>
        <w:ind w:firstLine="442" w:firstLineChars="200"/>
        <w:jc w:val="left"/>
        <w:rPr>
          <w:rFonts w:hint="eastAsia" w:hAnsi="宋体" w:cs="宋体"/>
          <w:b/>
          <w:bCs/>
          <w:color w:val="auto"/>
          <w:highlight w:val="none"/>
        </w:rPr>
      </w:pPr>
      <w:r>
        <w:rPr>
          <w:rFonts w:hint="eastAsia" w:hAnsi="宋体" w:cs="宋体"/>
          <w:b/>
          <w:bCs/>
          <w:color w:val="auto"/>
          <w:kern w:val="0"/>
          <w:sz w:val="22"/>
          <w:szCs w:val="20"/>
          <w:highlight w:val="none"/>
        </w:rPr>
        <w:t>（5）</w:t>
      </w:r>
      <w:r>
        <w:rPr>
          <w:rFonts w:hint="eastAsia" w:hAnsi="宋体"/>
          <w:b/>
          <w:color w:val="auto"/>
          <w:highlight w:val="none"/>
        </w:rPr>
        <w:t>关于本项目投标价格的信息只允许出现在“报价文件”中，不得出现在技术标及商务标中。如提供纸质备份文件的，报价文件须单独密封。</w:t>
      </w:r>
    </w:p>
    <w:p w14:paraId="3FFC3C15">
      <w:pPr>
        <w:snapToGrid w:val="0"/>
        <w:spacing w:line="460" w:lineRule="exact"/>
        <w:ind w:firstLine="482" w:firstLineChars="200"/>
        <w:jc w:val="left"/>
        <w:rPr>
          <w:rFonts w:hint="eastAsia" w:ascii="宋体" w:hAnsi="宋体" w:cs="宋体"/>
          <w:b/>
          <w:bCs/>
          <w:color w:val="auto"/>
          <w:sz w:val="24"/>
          <w:highlight w:val="none"/>
        </w:rPr>
      </w:pPr>
      <w:r>
        <w:rPr>
          <w:rFonts w:hint="eastAsia" w:ascii="宋体" w:hAnsi="宋体" w:cs="宋体"/>
          <w:b/>
          <w:bCs/>
          <w:color w:val="auto"/>
          <w:sz w:val="24"/>
          <w:highlight w:val="none"/>
        </w:rPr>
        <w:t>（二）投标文件的语言及计量</w:t>
      </w:r>
      <w:bookmarkEnd w:id="268"/>
      <w:bookmarkEnd w:id="269"/>
      <w:bookmarkEnd w:id="270"/>
      <w:bookmarkEnd w:id="271"/>
      <w:bookmarkEnd w:id="272"/>
      <w:bookmarkEnd w:id="273"/>
      <w:bookmarkEnd w:id="274"/>
      <w:bookmarkEnd w:id="275"/>
    </w:p>
    <w:p w14:paraId="4828B1BA">
      <w:pPr>
        <w:snapToGrid w:val="0"/>
        <w:spacing w:line="460" w:lineRule="exact"/>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▲1.投标文件以及投标方与招标方就有关投标事宜的所有来往函电，均应以中文汉语书写。除签名、盖章、专用名称等特殊情形外，以中文汉语以外的文字表述的投标文件视同未提供。</w:t>
      </w:r>
    </w:p>
    <w:p w14:paraId="68F685BB">
      <w:pPr>
        <w:snapToGrid w:val="0"/>
        <w:spacing w:line="460" w:lineRule="exact"/>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▲2.投标计量单位，应采用中华人民共和国法定计量单位（货币单位：人民币元），否则视同未响应。</w:t>
      </w:r>
    </w:p>
    <w:p w14:paraId="52E70B91">
      <w:pPr>
        <w:snapToGrid w:val="0"/>
        <w:spacing w:line="460" w:lineRule="exact"/>
        <w:ind w:firstLine="482" w:firstLineChars="200"/>
        <w:jc w:val="left"/>
        <w:rPr>
          <w:rFonts w:hint="eastAsia" w:ascii="宋体" w:hAnsi="宋体" w:cs="宋体"/>
          <w:b/>
          <w:bCs/>
          <w:color w:val="auto"/>
          <w:sz w:val="24"/>
          <w:highlight w:val="none"/>
        </w:rPr>
      </w:pPr>
      <w:bookmarkStart w:id="276" w:name="_Toc32223"/>
      <w:bookmarkStart w:id="277" w:name="_Toc24316"/>
      <w:bookmarkStart w:id="278" w:name="_Toc20145"/>
      <w:bookmarkStart w:id="279" w:name="_Toc15337"/>
      <w:bookmarkStart w:id="280" w:name="_Toc5952"/>
      <w:bookmarkStart w:id="281" w:name="_Toc30164"/>
      <w:bookmarkStart w:id="282" w:name="_Toc24256"/>
      <w:bookmarkStart w:id="283" w:name="_Toc3387"/>
      <w:r>
        <w:rPr>
          <w:rFonts w:hint="eastAsia" w:ascii="宋体" w:hAnsi="宋体" w:cs="宋体"/>
          <w:b/>
          <w:bCs/>
          <w:color w:val="auto"/>
          <w:sz w:val="24"/>
          <w:highlight w:val="none"/>
        </w:rPr>
        <w:t>（三）投标报价</w:t>
      </w:r>
      <w:bookmarkEnd w:id="276"/>
      <w:bookmarkEnd w:id="277"/>
      <w:bookmarkEnd w:id="278"/>
      <w:bookmarkEnd w:id="279"/>
      <w:bookmarkEnd w:id="280"/>
      <w:bookmarkEnd w:id="281"/>
      <w:bookmarkEnd w:id="282"/>
      <w:bookmarkEnd w:id="283"/>
    </w:p>
    <w:p w14:paraId="4CB2F2AA">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hint="eastAsia" w:ascii="宋体" w:hAnsi="宋体"/>
          <w:color w:val="auto"/>
          <w:sz w:val="24"/>
          <w:highlight w:val="none"/>
        </w:rPr>
      </w:pPr>
      <w:bookmarkStart w:id="284" w:name="_Toc28306"/>
      <w:bookmarkStart w:id="285" w:name="_Toc26142"/>
      <w:bookmarkStart w:id="286" w:name="_Toc105"/>
      <w:bookmarkStart w:id="287" w:name="_Toc13772"/>
      <w:bookmarkStart w:id="288" w:name="_Toc26005"/>
      <w:bookmarkStart w:id="289" w:name="_Toc12502"/>
      <w:bookmarkStart w:id="290" w:name="_Toc4546"/>
      <w:bookmarkStart w:id="291" w:name="_Toc1595"/>
      <w:r>
        <w:rPr>
          <w:rFonts w:hint="eastAsia" w:ascii="宋体" w:hAnsi="宋体"/>
          <w:color w:val="auto"/>
          <w:sz w:val="24"/>
          <w:highlight w:val="none"/>
        </w:rPr>
        <w:t>1.本次招标的投标报价以总价方式报价，投标单位应在招标文件中相关附表格式中明确本次投标报价，任何有选择的报价将不予接受。</w:t>
      </w:r>
      <w:r>
        <w:rPr>
          <w:rFonts w:hint="eastAsia" w:ascii="宋体" w:hAnsi="宋体" w:cs="宋体"/>
          <w:b/>
          <w:color w:val="auto"/>
          <w:sz w:val="24"/>
          <w:highlight w:val="none"/>
        </w:rPr>
        <w:t>（</w:t>
      </w:r>
      <w:r>
        <w:rPr>
          <w:rFonts w:hint="eastAsia" w:ascii="宋体" w:hAnsi="宋体" w:cs="宋体"/>
          <w:b/>
          <w:bCs/>
          <w:color w:val="auto"/>
          <w:sz w:val="24"/>
          <w:highlight w:val="none"/>
        </w:rPr>
        <w:t>本项目设有最高限价</w:t>
      </w:r>
      <w:r>
        <w:rPr>
          <w:rFonts w:hint="eastAsia" w:ascii="宋体" w:hAnsi="宋体" w:cs="宋体"/>
          <w:b/>
          <w:bCs/>
          <w:color w:val="auto"/>
          <w:sz w:val="24"/>
          <w:highlight w:val="none"/>
          <w:lang w:val="en-US" w:eastAsia="zh-CN"/>
        </w:rPr>
        <w:t>即预算价</w:t>
      </w:r>
      <w:r>
        <w:rPr>
          <w:rFonts w:hint="eastAsia" w:ascii="宋体" w:hAnsi="宋体" w:cs="宋体"/>
          <w:b/>
          <w:bCs/>
          <w:color w:val="auto"/>
          <w:sz w:val="24"/>
          <w:highlight w:val="none"/>
        </w:rPr>
        <w:t>，高于最高限价的投标报价为无效报价，作无效投标处理。</w:t>
      </w:r>
      <w:r>
        <w:rPr>
          <w:rFonts w:hint="eastAsia" w:ascii="宋体" w:hAnsi="宋体" w:cs="宋体"/>
          <w:b/>
          <w:color w:val="auto"/>
          <w:sz w:val="24"/>
          <w:highlight w:val="none"/>
        </w:rPr>
        <w:t>）</w:t>
      </w:r>
    </w:p>
    <w:p w14:paraId="51E08400">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投标报价是履行合同的最终价格，</w:t>
      </w:r>
      <w:r>
        <w:rPr>
          <w:rFonts w:hint="eastAsia" w:ascii="宋体" w:hAnsi="宋体"/>
          <w:color w:val="auto"/>
          <w:sz w:val="24"/>
          <w:highlight w:val="none"/>
        </w:rPr>
        <w:t>应包括</w:t>
      </w:r>
      <w:r>
        <w:rPr>
          <w:rFonts w:hint="eastAsia" w:ascii="宋体" w:hAnsi="宋体" w:cs="宋体"/>
          <w:color w:val="auto"/>
          <w:sz w:val="24"/>
          <w:highlight w:val="none"/>
          <w:lang w:val="en-US" w:eastAsia="zh-CN"/>
        </w:rPr>
        <w:t>人工</w:t>
      </w:r>
      <w:r>
        <w:rPr>
          <w:rFonts w:hint="eastAsia" w:hAnsi="宋体" w:eastAsia="宋体" w:cs="宋体"/>
          <w:color w:val="auto"/>
          <w:kern w:val="0"/>
          <w:sz w:val="24"/>
          <w:szCs w:val="24"/>
          <w:highlight w:val="none"/>
          <w:lang w:eastAsia="zh-CN"/>
        </w:rPr>
        <w:t>、</w:t>
      </w:r>
      <w:r>
        <w:rPr>
          <w:rFonts w:hint="eastAsia" w:hAnsi="宋体" w:eastAsia="宋体" w:cs="宋体"/>
          <w:color w:val="auto"/>
          <w:kern w:val="0"/>
          <w:sz w:val="24"/>
          <w:szCs w:val="24"/>
          <w:highlight w:val="none"/>
          <w:lang w:val="en-US" w:eastAsia="zh-CN"/>
        </w:rPr>
        <w:t>专业设备、必要耗材费、</w:t>
      </w:r>
      <w:r>
        <w:rPr>
          <w:rFonts w:hint="eastAsia" w:ascii="宋体" w:hAnsi="宋体" w:cs="宋体"/>
          <w:color w:val="auto"/>
          <w:sz w:val="24"/>
          <w:highlight w:val="none"/>
        </w:rPr>
        <w:t>保险</w:t>
      </w:r>
      <w:r>
        <w:rPr>
          <w:rFonts w:hint="eastAsia" w:ascii="宋体" w:hAnsi="宋体"/>
          <w:color w:val="auto"/>
          <w:sz w:val="24"/>
          <w:highlight w:val="none"/>
        </w:rPr>
        <w:t>、税金、合理利润、完成本项目的其它费用以及采购代理服务费等所有费用。</w:t>
      </w:r>
    </w:p>
    <w:p w14:paraId="4F615833">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3.投标人的报价一旦确定就不再更改。投标人的报价如有缺漏项，也将被视为投标优惠，已包含在总价范围内。结算时，不得以任何理由调整价格。</w:t>
      </w:r>
    </w:p>
    <w:p w14:paraId="36C8DD2F">
      <w:pPr>
        <w:snapToGrid w:val="0"/>
        <w:spacing w:line="400" w:lineRule="exact"/>
        <w:ind w:firstLine="482" w:firstLineChars="200"/>
        <w:rPr>
          <w:rFonts w:hint="eastAsia" w:ascii="宋体" w:hAnsi="宋体"/>
          <w:b/>
          <w:bCs/>
          <w:color w:val="auto"/>
          <w:sz w:val="24"/>
          <w:highlight w:val="none"/>
        </w:rPr>
      </w:pPr>
      <w:r>
        <w:rPr>
          <w:rFonts w:hint="eastAsia" w:ascii="宋体" w:hAnsi="宋体"/>
          <w:b/>
          <w:bCs/>
          <w:color w:val="auto"/>
          <w:sz w:val="24"/>
          <w:highlight w:val="none"/>
        </w:rPr>
        <w:t>4.供应商不得进行影响产品质量或者诚信履约的恶意报价。供应商在项目评审前准备好报价核算、报价明细、报价说明等材料，以备评审专家核查。供应商报价低于项目预算50%的，应当在报价文件中详细阐述不影响产品质量或者诚信履约的具体原因。</w:t>
      </w:r>
    </w:p>
    <w:p w14:paraId="2B2DD55D">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5.</w:t>
      </w:r>
      <w:r>
        <w:rPr>
          <w:rFonts w:hint="eastAsia" w:ascii="宋体" w:hAnsi="宋体"/>
          <w:color w:val="auto"/>
          <w:sz w:val="24"/>
          <w:highlight w:val="none"/>
        </w:rPr>
        <w:t>政府采购合同履行中，采购人需追加与合同标的相同的货物、工程或者服务的，在不改变合同其他条款的前提下，可以与供应商协商签订补充合同，但所有补充合同的采购金额不得超过原合同采购金额的百分之十。</w:t>
      </w:r>
    </w:p>
    <w:p w14:paraId="33E9155B">
      <w:pPr>
        <w:snapToGrid w:val="0"/>
        <w:spacing w:line="480" w:lineRule="exact"/>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（四）投标文件的有效期</w:t>
      </w:r>
      <w:bookmarkEnd w:id="284"/>
      <w:bookmarkEnd w:id="285"/>
      <w:bookmarkEnd w:id="286"/>
      <w:bookmarkEnd w:id="287"/>
      <w:bookmarkEnd w:id="288"/>
      <w:bookmarkEnd w:id="289"/>
      <w:bookmarkEnd w:id="290"/>
      <w:bookmarkEnd w:id="291"/>
    </w:p>
    <w:p w14:paraId="666E7727">
      <w:pPr>
        <w:snapToGrid w:val="0"/>
        <w:spacing w:line="480" w:lineRule="exact"/>
        <w:ind w:firstLine="470" w:firstLineChars="196"/>
        <w:jc w:val="left"/>
        <w:rPr>
          <w:rFonts w:hint="eastAsia" w:ascii="宋体" w:hAnsi="宋体"/>
          <w:color w:val="auto"/>
          <w:sz w:val="24"/>
          <w:highlight w:val="none"/>
        </w:rPr>
      </w:pPr>
      <w:bookmarkStart w:id="292" w:name="_Toc6910"/>
      <w:bookmarkStart w:id="293" w:name="_Toc11775"/>
      <w:bookmarkStart w:id="294" w:name="_Toc16094"/>
      <w:bookmarkStart w:id="295" w:name="_Toc20104"/>
      <w:bookmarkStart w:id="296" w:name="_Toc2492"/>
      <w:bookmarkStart w:id="297" w:name="_Toc30936"/>
      <w:bookmarkStart w:id="298" w:name="_Toc3352"/>
      <w:bookmarkStart w:id="299" w:name="_Toc11741"/>
      <w:bookmarkStart w:id="300" w:name="_Toc12000"/>
      <w:bookmarkStart w:id="301" w:name="_Toc20729"/>
      <w:bookmarkStart w:id="302" w:name="_Toc21755"/>
      <w:r>
        <w:rPr>
          <w:rFonts w:hint="eastAsia" w:ascii="宋体" w:hAnsi="宋体"/>
          <w:color w:val="auto"/>
          <w:sz w:val="24"/>
          <w:highlight w:val="none"/>
        </w:rPr>
        <w:t>▲1.自投标截止日起60天投标文件应保持有效</w:t>
      </w:r>
      <w:bookmarkEnd w:id="292"/>
      <w:bookmarkEnd w:id="293"/>
      <w:bookmarkEnd w:id="294"/>
      <w:bookmarkEnd w:id="295"/>
      <w:bookmarkEnd w:id="296"/>
      <w:bookmarkEnd w:id="297"/>
      <w:bookmarkEnd w:id="298"/>
      <w:bookmarkEnd w:id="299"/>
      <w:r>
        <w:rPr>
          <w:rFonts w:hint="eastAsia" w:ascii="宋体" w:hAnsi="宋体"/>
          <w:color w:val="auto"/>
          <w:sz w:val="24"/>
          <w:highlight w:val="none"/>
        </w:rPr>
        <w:t>，</w:t>
      </w:r>
      <w:r>
        <w:rPr>
          <w:rFonts w:hint="eastAsia" w:ascii="宋体" w:hAnsi="宋体" w:cs="宋体"/>
          <w:b/>
          <w:color w:val="auto"/>
          <w:sz w:val="24"/>
          <w:highlight w:val="none"/>
        </w:rPr>
        <w:t>投标人的投标文件中承诺的投标有效期少于招标文件中载明的投标有效期的，投标无效。</w:t>
      </w:r>
      <w:bookmarkEnd w:id="300"/>
      <w:bookmarkEnd w:id="301"/>
      <w:bookmarkEnd w:id="302"/>
    </w:p>
    <w:p w14:paraId="5E282C69">
      <w:pPr>
        <w:widowControl/>
        <w:spacing w:line="48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2.在特殊情况下，招标人可与投标人协商延长投标书的有效期，这种要求和答复均以书面形式进行。</w:t>
      </w:r>
    </w:p>
    <w:p w14:paraId="429E38C4">
      <w:pPr>
        <w:widowControl/>
        <w:spacing w:line="46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3.中标人的投标文件自开标之日起至合同履行完毕止均应保持有效。</w:t>
      </w:r>
    </w:p>
    <w:p w14:paraId="284E0302">
      <w:pPr>
        <w:widowControl/>
        <w:spacing w:line="460" w:lineRule="exact"/>
        <w:ind w:firstLine="482" w:firstLineChars="200"/>
        <w:jc w:val="left"/>
        <w:rPr>
          <w:rFonts w:hint="eastAsia" w:ascii="宋体" w:hAnsi="宋体"/>
          <w:b/>
          <w:bCs/>
          <w:color w:val="auto"/>
          <w:sz w:val="24"/>
          <w:highlight w:val="none"/>
        </w:rPr>
      </w:pPr>
      <w:bookmarkStart w:id="303" w:name="_Toc22132"/>
      <w:bookmarkStart w:id="304" w:name="_Toc14156"/>
      <w:bookmarkStart w:id="305" w:name="_Toc23456"/>
      <w:bookmarkStart w:id="306" w:name="_Toc2438"/>
      <w:bookmarkStart w:id="307" w:name="_Toc29474"/>
      <w:bookmarkStart w:id="308" w:name="_Toc27608"/>
      <w:bookmarkStart w:id="309" w:name="_Toc13842"/>
      <w:bookmarkStart w:id="310" w:name="_Toc32250"/>
      <w:r>
        <w:rPr>
          <w:rFonts w:hint="eastAsia" w:ascii="宋体" w:hAnsi="宋体"/>
          <w:b/>
          <w:bCs/>
          <w:color w:val="auto"/>
          <w:sz w:val="24"/>
          <w:highlight w:val="none"/>
        </w:rPr>
        <w:t>（五）投标文件的签署和份数</w:t>
      </w:r>
      <w:bookmarkEnd w:id="303"/>
      <w:bookmarkEnd w:id="304"/>
      <w:bookmarkEnd w:id="305"/>
      <w:bookmarkEnd w:id="306"/>
      <w:bookmarkEnd w:id="307"/>
      <w:bookmarkEnd w:id="308"/>
      <w:bookmarkEnd w:id="309"/>
      <w:bookmarkEnd w:id="310"/>
    </w:p>
    <w:p w14:paraId="491D5B42">
      <w:pPr>
        <w:spacing w:line="480" w:lineRule="exact"/>
        <w:ind w:firstLine="482" w:firstLineChars="200"/>
        <w:rPr>
          <w:rFonts w:ascii="宋体" w:hAnsi="宋体"/>
          <w:b/>
          <w:color w:val="auto"/>
          <w:sz w:val="24"/>
          <w:highlight w:val="none"/>
        </w:rPr>
      </w:pPr>
      <w:r>
        <w:rPr>
          <w:rFonts w:hint="eastAsia" w:ascii="宋体" w:hAnsi="宋体"/>
          <w:b/>
          <w:color w:val="auto"/>
          <w:sz w:val="24"/>
          <w:highlight w:val="none"/>
        </w:rPr>
        <w:t>1.电子投标文件部分：</w:t>
      </w:r>
    </w:p>
    <w:p w14:paraId="35B66FED">
      <w:pPr>
        <w:spacing w:line="480" w:lineRule="exact"/>
        <w:ind w:firstLine="482" w:firstLineChars="200"/>
        <w:rPr>
          <w:rFonts w:ascii="宋体" w:hAnsi="宋体"/>
          <w:b/>
          <w:color w:val="auto"/>
          <w:sz w:val="24"/>
          <w:highlight w:val="none"/>
        </w:rPr>
      </w:pPr>
      <w:r>
        <w:rPr>
          <w:rFonts w:hint="eastAsia" w:ascii="宋体" w:hAnsi="宋体"/>
          <w:b/>
          <w:color w:val="auto"/>
          <w:sz w:val="24"/>
          <w:highlight w:val="none"/>
        </w:rPr>
        <w:t>投标人应根据“政采云供应商项目采购－电子招投标操作指南”及本招标文件规定的格式和顺序编制电子投标文件并进行关联定位。</w:t>
      </w:r>
    </w:p>
    <w:p w14:paraId="36DE730E">
      <w:pPr>
        <w:spacing w:line="480" w:lineRule="exact"/>
        <w:ind w:firstLine="482" w:firstLineChars="200"/>
        <w:rPr>
          <w:rFonts w:ascii="宋体" w:hAnsi="宋体"/>
          <w:b/>
          <w:color w:val="auto"/>
          <w:sz w:val="24"/>
          <w:highlight w:val="none"/>
        </w:rPr>
      </w:pPr>
      <w:r>
        <w:rPr>
          <w:rFonts w:hint="eastAsia" w:ascii="宋体" w:hAnsi="宋体"/>
          <w:b/>
          <w:color w:val="auto"/>
          <w:sz w:val="24"/>
          <w:highlight w:val="none"/>
        </w:rPr>
        <w:t>2.备份电子投标文件部分：</w:t>
      </w:r>
    </w:p>
    <w:p w14:paraId="1DABD1EA">
      <w:pPr>
        <w:spacing w:line="480" w:lineRule="exact"/>
        <w:ind w:firstLine="482" w:firstLineChars="200"/>
        <w:rPr>
          <w:rFonts w:hint="eastAsia" w:ascii="宋体" w:hAnsi="宋体"/>
          <w:b/>
          <w:color w:val="auto"/>
          <w:sz w:val="24"/>
          <w:highlight w:val="none"/>
        </w:rPr>
      </w:pPr>
      <w:r>
        <w:rPr>
          <w:rFonts w:hint="eastAsia" w:ascii="宋体" w:hAnsi="宋体"/>
          <w:b/>
          <w:color w:val="auto"/>
          <w:sz w:val="24"/>
          <w:highlight w:val="none"/>
        </w:rPr>
        <w:t>电子投标文件的备份文件，以光盘或U盘形式存储，并单独密封递交。数量为1份。</w:t>
      </w:r>
    </w:p>
    <w:p w14:paraId="48B67300">
      <w:pPr>
        <w:snapToGrid w:val="0"/>
        <w:spacing w:line="480" w:lineRule="exact"/>
        <w:ind w:firstLine="482" w:firstLineChars="200"/>
        <w:jc w:val="left"/>
        <w:rPr>
          <w:rFonts w:hint="eastAsia" w:ascii="宋体" w:hAnsi="宋体"/>
          <w:b/>
          <w:bCs/>
          <w:color w:val="auto"/>
          <w:sz w:val="24"/>
          <w:highlight w:val="none"/>
        </w:rPr>
      </w:pPr>
      <w:r>
        <w:rPr>
          <w:rFonts w:hint="eastAsia" w:ascii="宋体" w:hAnsi="宋体"/>
          <w:b/>
          <w:bCs/>
          <w:color w:val="auto"/>
          <w:sz w:val="24"/>
          <w:highlight w:val="none"/>
        </w:rPr>
        <w:t>3.纸质备份投标文件部分：</w:t>
      </w:r>
    </w:p>
    <w:p w14:paraId="59ADF965">
      <w:pPr>
        <w:snapToGrid w:val="0"/>
        <w:spacing w:line="480" w:lineRule="exact"/>
        <w:ind w:firstLine="482" w:firstLineChars="200"/>
        <w:jc w:val="left"/>
        <w:rPr>
          <w:rFonts w:hint="eastAsia" w:ascii="宋体" w:hAnsi="宋体"/>
          <w:b/>
          <w:color w:val="auto"/>
          <w:sz w:val="24"/>
          <w:highlight w:val="none"/>
        </w:rPr>
      </w:pPr>
      <w:r>
        <w:rPr>
          <w:rFonts w:hint="eastAsia" w:ascii="宋体" w:hAnsi="宋体"/>
          <w:b/>
          <w:color w:val="auto"/>
          <w:sz w:val="24"/>
          <w:highlight w:val="none"/>
        </w:rPr>
        <w:t xml:space="preserve">纸质备份投标文件：技术商务文件1份、报价文件1份。 </w:t>
      </w:r>
    </w:p>
    <w:p w14:paraId="058E012E">
      <w:pPr>
        <w:snapToGrid w:val="0"/>
        <w:spacing w:line="480" w:lineRule="exact"/>
        <w:ind w:firstLine="470" w:firstLineChars="196"/>
        <w:jc w:val="left"/>
        <w:rPr>
          <w:color w:val="auto"/>
          <w:highlight w:val="none"/>
        </w:rPr>
      </w:pPr>
      <w:r>
        <w:rPr>
          <w:rFonts w:hint="eastAsia" w:ascii="宋体" w:hAnsi="宋体" w:cs="宋体"/>
          <w:color w:val="auto"/>
          <w:sz w:val="24"/>
          <w:highlight w:val="none"/>
        </w:rPr>
        <w:t>备份投标文件须在“政采云投标客户端”制作生成，并储存在DVD光盘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cs="宋体"/>
          <w:b/>
          <w:bCs/>
          <w:color w:val="auto"/>
          <w:sz w:val="24"/>
          <w:highlight w:val="none"/>
        </w:rPr>
        <w:t>不符合上述制作、存储、密封规定的备份投标文件将被视为无效或者被拒绝接收。</w:t>
      </w:r>
    </w:p>
    <w:p w14:paraId="52235B3C">
      <w:pPr>
        <w:snapToGrid w:val="0"/>
        <w:spacing w:line="480" w:lineRule="exact"/>
        <w:ind w:firstLine="482" w:firstLineChars="200"/>
        <w:jc w:val="left"/>
        <w:rPr>
          <w:rFonts w:ascii="宋体" w:hAnsi="宋体"/>
          <w:color w:val="auto"/>
          <w:sz w:val="24"/>
          <w:highlight w:val="none"/>
        </w:rPr>
      </w:pPr>
      <w:r>
        <w:rPr>
          <w:rFonts w:hint="eastAsia" w:ascii="宋体" w:hAnsi="宋体"/>
          <w:b/>
          <w:color w:val="auto"/>
          <w:sz w:val="24"/>
          <w:highlight w:val="none"/>
        </w:rPr>
        <w:t>以上所称的备份投标文件（即备份电子投标文件和纸质备份投标文件）的提供与否不做强制性要求，由投标人自行考虑相关利弊因素自主决定。</w:t>
      </w:r>
    </w:p>
    <w:p w14:paraId="6141B0E6">
      <w:pPr>
        <w:snapToGrid w:val="0"/>
        <w:spacing w:line="480" w:lineRule="exact"/>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（六）投标文件的包装、递交、修改和撤回</w:t>
      </w:r>
    </w:p>
    <w:p w14:paraId="2CFA3F20">
      <w:pPr>
        <w:snapToGrid w:val="0"/>
        <w:spacing w:line="480" w:lineRule="exact"/>
        <w:ind w:firstLine="480" w:firstLineChars="200"/>
        <w:rPr>
          <w:rFonts w:ascii="宋体" w:hAnsi="宋体"/>
          <w:bCs/>
          <w:color w:val="auto"/>
          <w:sz w:val="24"/>
          <w:highlight w:val="none"/>
        </w:rPr>
      </w:pPr>
      <w:bookmarkStart w:id="311" w:name="_Toc11169"/>
      <w:bookmarkStart w:id="312" w:name="_Toc20991"/>
      <w:r>
        <w:rPr>
          <w:rFonts w:hint="eastAsia" w:ascii="宋体" w:hAnsi="宋体"/>
          <w:bCs/>
          <w:color w:val="auto"/>
          <w:sz w:val="24"/>
          <w:highlight w:val="none"/>
        </w:rPr>
        <w:t>1.以介质存储的数据电文形式的电子备份投标文件用封袋密封包装。</w:t>
      </w:r>
    </w:p>
    <w:p w14:paraId="5EE97871">
      <w:pPr>
        <w:snapToGrid w:val="0"/>
        <w:spacing w:line="480" w:lineRule="exact"/>
        <w:ind w:firstLine="480" w:firstLineChars="200"/>
        <w:rPr>
          <w:rFonts w:ascii="宋体" w:hAnsi="宋体"/>
          <w:bCs/>
          <w:color w:val="auto"/>
          <w:sz w:val="24"/>
          <w:highlight w:val="none"/>
        </w:rPr>
      </w:pPr>
      <w:r>
        <w:rPr>
          <w:rFonts w:hint="eastAsia" w:ascii="宋体" w:hAnsi="宋体"/>
          <w:bCs/>
          <w:color w:val="auto"/>
          <w:sz w:val="24"/>
          <w:highlight w:val="none"/>
        </w:rPr>
        <w:t>2.纸质备份投标文件，要求按</w:t>
      </w:r>
      <w:r>
        <w:rPr>
          <w:rFonts w:hint="eastAsia" w:ascii="宋体" w:hAnsi="宋体" w:cs="宋体"/>
          <w:b/>
          <w:bCs/>
          <w:color w:val="auto"/>
          <w:sz w:val="24"/>
          <w:highlight w:val="none"/>
        </w:rPr>
        <w:t>技术商务文件和报价文件分</w:t>
      </w:r>
      <w:r>
        <w:rPr>
          <w:rFonts w:hint="eastAsia" w:ascii="宋体" w:hAnsi="宋体"/>
          <w:bCs/>
          <w:color w:val="auto"/>
          <w:sz w:val="24"/>
          <w:highlight w:val="none"/>
        </w:rPr>
        <w:t>别密封包装。</w:t>
      </w:r>
    </w:p>
    <w:p w14:paraId="63EF2F29">
      <w:pPr>
        <w:snapToGrid w:val="0"/>
        <w:spacing w:line="480" w:lineRule="exact"/>
        <w:ind w:firstLine="480" w:firstLineChars="200"/>
        <w:rPr>
          <w:rFonts w:ascii="宋体" w:hAnsi="宋体"/>
          <w:bCs/>
          <w:color w:val="auto"/>
          <w:sz w:val="24"/>
          <w:highlight w:val="none"/>
        </w:rPr>
      </w:pPr>
      <w:r>
        <w:rPr>
          <w:rFonts w:hint="eastAsia" w:ascii="宋体" w:hAnsi="宋体"/>
          <w:bCs/>
          <w:color w:val="auto"/>
          <w:sz w:val="24"/>
          <w:highlight w:val="none"/>
        </w:rPr>
        <w:t>3.投标文件的包封应密封完好，正确标明投标文件名称（电子备份投标文件/技术商务文件/报价文件</w:t>
      </w:r>
      <w:r>
        <w:rPr>
          <w:rFonts w:ascii="宋体" w:hAnsi="宋体"/>
          <w:bCs/>
          <w:color w:val="auto"/>
          <w:sz w:val="24"/>
          <w:highlight w:val="none"/>
        </w:rPr>
        <w:t>）</w:t>
      </w:r>
      <w:r>
        <w:rPr>
          <w:rFonts w:hint="eastAsia" w:ascii="宋体" w:hAnsi="宋体"/>
          <w:bCs/>
          <w:color w:val="auto"/>
          <w:sz w:val="24"/>
          <w:highlight w:val="none"/>
        </w:rPr>
        <w:t>、投标项目名称、项目编号及投标人名称。</w:t>
      </w:r>
      <w:r>
        <w:rPr>
          <w:rFonts w:hint="eastAsia" w:ascii="宋体" w:hAnsi="宋体" w:cs="宋体"/>
          <w:b/>
          <w:bCs/>
          <w:color w:val="auto"/>
          <w:sz w:val="24"/>
          <w:highlight w:val="none"/>
        </w:rPr>
        <w:t>电子投标文件须根据评分标准进行关联定位。</w:t>
      </w:r>
    </w:p>
    <w:p w14:paraId="522E7CC3">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4.招标文件对签字、盖章有特别要求的地方，纸质版本投标文件无论正本或副本（副本可以是正本的复印件）必须由投标人法定代表人或法定代表人的授权委托人签署并加盖单位公章。电子投标文件中，投标人可以将扫描件上传至政采云系统，采用CA签章。投标人应写全称。</w:t>
      </w:r>
    </w:p>
    <w:p w14:paraId="5FCC7F69">
      <w:pPr>
        <w:snapToGrid w:val="0"/>
        <w:spacing w:line="480" w:lineRule="exact"/>
        <w:ind w:firstLine="480" w:firstLineChars="200"/>
        <w:rPr>
          <w:rFonts w:ascii="宋体" w:hAnsi="宋体"/>
          <w:bCs/>
          <w:color w:val="auto"/>
          <w:sz w:val="24"/>
          <w:highlight w:val="none"/>
        </w:rPr>
      </w:pPr>
      <w:r>
        <w:rPr>
          <w:rFonts w:hint="eastAsia" w:ascii="宋体" w:hAnsi="宋体"/>
          <w:bCs/>
          <w:color w:val="auto"/>
          <w:sz w:val="24"/>
          <w:highlight w:val="none"/>
        </w:rPr>
        <w:t>5.纸质投标文件须与电子投标文件保持一致。如有篡改，一经发现，将被列入不良行为。</w:t>
      </w:r>
    </w:p>
    <w:p w14:paraId="3F5F0290">
      <w:pPr>
        <w:snapToGrid w:val="0"/>
        <w:spacing w:line="480" w:lineRule="exact"/>
        <w:ind w:firstLine="480" w:firstLineChars="200"/>
        <w:rPr>
          <w:rFonts w:ascii="宋体" w:hAnsi="宋体"/>
          <w:bCs/>
          <w:color w:val="auto"/>
          <w:sz w:val="24"/>
          <w:highlight w:val="none"/>
        </w:rPr>
      </w:pPr>
      <w:r>
        <w:rPr>
          <w:rFonts w:hint="eastAsia" w:ascii="宋体" w:hAnsi="宋体"/>
          <w:bCs/>
          <w:color w:val="auto"/>
          <w:sz w:val="24"/>
          <w:highlight w:val="none"/>
        </w:rPr>
        <w:t>6.</w:t>
      </w:r>
      <w:r>
        <w:rPr>
          <w:rFonts w:hint="eastAsia" w:ascii="宋体" w:hAnsi="宋体" w:cs="宋体"/>
          <w:color w:val="auto"/>
          <w:sz w:val="24"/>
          <w:highlight w:val="none"/>
        </w:rPr>
        <w:t>电子投标文件（</w:t>
      </w:r>
      <w:r>
        <w:rPr>
          <w:rFonts w:hint="eastAsia" w:ascii="宋体" w:hAnsi="宋体" w:cs="宋体"/>
          <w:b/>
          <w:bCs/>
          <w:color w:val="auto"/>
          <w:sz w:val="24"/>
          <w:highlight w:val="none"/>
        </w:rPr>
        <w:t>包括技术商务文件和报价文件</w:t>
      </w:r>
      <w:r>
        <w:rPr>
          <w:rFonts w:hint="eastAsia" w:ascii="宋体" w:hAnsi="宋体" w:cs="宋体"/>
          <w:color w:val="auto"/>
          <w:sz w:val="24"/>
          <w:highlight w:val="none"/>
        </w:rPr>
        <w:t>）中招标文件要求加盖公章的部分均采用CA签章。</w:t>
      </w:r>
    </w:p>
    <w:p w14:paraId="50335380">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7.投标文件未按时解密，供应商提供了备份投标文件的，以备份投标文件作为依据，否则视为投标文件撤回。投标文件已按时解密的，备份投标文件自动失效。</w:t>
      </w:r>
    </w:p>
    <w:p w14:paraId="7642BF9A">
      <w:pPr>
        <w:snapToGrid w:val="0"/>
        <w:spacing w:line="480" w:lineRule="exact"/>
        <w:ind w:firstLine="482" w:firstLineChars="200"/>
        <w:rPr>
          <w:rFonts w:hint="eastAsia" w:ascii="宋体" w:hAnsi="宋体"/>
          <w:b/>
          <w:color w:val="auto"/>
          <w:sz w:val="24"/>
          <w:highlight w:val="none"/>
        </w:rPr>
      </w:pPr>
      <w:r>
        <w:rPr>
          <w:rFonts w:hint="eastAsia" w:ascii="宋体" w:hAnsi="宋体"/>
          <w:b/>
          <w:color w:val="auto"/>
          <w:sz w:val="24"/>
          <w:highlight w:val="none"/>
        </w:rPr>
        <w:t>8.中标方在领取中标通知书前，须向</w:t>
      </w:r>
      <w:r>
        <w:rPr>
          <w:rFonts w:hint="eastAsia" w:ascii="宋体" w:hAnsi="宋体"/>
          <w:b/>
          <w:color w:val="auto"/>
          <w:sz w:val="24"/>
          <w:highlight w:val="none"/>
          <w:lang w:eastAsia="zh-CN"/>
        </w:rPr>
        <w:t>代理单位</w:t>
      </w:r>
      <w:r>
        <w:rPr>
          <w:rFonts w:hint="eastAsia" w:ascii="宋体" w:hAnsi="宋体"/>
          <w:b/>
          <w:color w:val="auto"/>
          <w:sz w:val="24"/>
          <w:highlight w:val="none"/>
        </w:rPr>
        <w:t>提供纸质投标文件1套，按</w:t>
      </w:r>
      <w:r>
        <w:rPr>
          <w:rFonts w:hint="eastAsia" w:ascii="宋体" w:hAnsi="宋体" w:cs="宋体"/>
          <w:b/>
          <w:color w:val="auto"/>
          <w:sz w:val="24"/>
          <w:highlight w:val="none"/>
        </w:rPr>
        <w:t>技术商务文件和报价文件</w:t>
      </w:r>
      <w:r>
        <w:rPr>
          <w:rFonts w:hint="eastAsia" w:ascii="宋体" w:hAnsi="宋体"/>
          <w:b/>
          <w:color w:val="auto"/>
          <w:sz w:val="24"/>
          <w:highlight w:val="none"/>
        </w:rPr>
        <w:t>分别编制并单独装订成册。（递交或邮寄地址：磐安县安文街道花月路211号建设大厦</w:t>
      </w:r>
      <w:r>
        <w:rPr>
          <w:rFonts w:hint="eastAsia" w:ascii="宋体" w:hAnsi="宋体"/>
          <w:b/>
          <w:color w:val="auto"/>
          <w:sz w:val="24"/>
          <w:highlight w:val="none"/>
          <w:lang w:val="en-US" w:eastAsia="zh-CN"/>
        </w:rPr>
        <w:t>12</w:t>
      </w:r>
      <w:r>
        <w:rPr>
          <w:rFonts w:hint="eastAsia" w:ascii="宋体" w:hAnsi="宋体"/>
          <w:b/>
          <w:color w:val="auto"/>
          <w:sz w:val="24"/>
          <w:highlight w:val="none"/>
        </w:rPr>
        <w:t>楼；电话：</w:t>
      </w:r>
      <w:r>
        <w:rPr>
          <w:rFonts w:hint="eastAsia" w:ascii="宋体" w:hAnsi="宋体"/>
          <w:b/>
          <w:color w:val="auto"/>
          <w:sz w:val="24"/>
          <w:highlight w:val="none"/>
          <w:lang w:val="en-US" w:eastAsia="zh-CN"/>
        </w:rPr>
        <w:t>05</w:t>
      </w:r>
      <w:r>
        <w:rPr>
          <w:rFonts w:hint="eastAsia" w:ascii="宋体" w:hAnsi="宋体"/>
          <w:b/>
          <w:color w:val="auto"/>
          <w:sz w:val="24"/>
          <w:highlight w:val="none"/>
        </w:rPr>
        <w:t>79-8466</w:t>
      </w:r>
      <w:r>
        <w:rPr>
          <w:rFonts w:hint="eastAsia" w:ascii="宋体" w:hAnsi="宋体"/>
          <w:b/>
          <w:color w:val="auto"/>
          <w:sz w:val="24"/>
          <w:highlight w:val="none"/>
          <w:lang w:val="en-US" w:eastAsia="zh-CN"/>
        </w:rPr>
        <w:t>9847</w:t>
      </w:r>
      <w:r>
        <w:rPr>
          <w:rFonts w:hint="eastAsia" w:ascii="宋体" w:hAnsi="宋体"/>
          <w:b/>
          <w:color w:val="auto"/>
          <w:sz w:val="24"/>
          <w:highlight w:val="none"/>
        </w:rPr>
        <w:t>）</w:t>
      </w:r>
    </w:p>
    <w:p w14:paraId="6F9133AA">
      <w:pPr>
        <w:snapToGrid w:val="0"/>
        <w:spacing w:line="480" w:lineRule="exact"/>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（七）供应商有下列情形之一的，列入失信名单，同时依照《政府采购法》第七十七条及《中华人民共和国政府采购法实施条例》第七十二条规定处罚并追究法律责任。</w:t>
      </w:r>
      <w:bookmarkEnd w:id="311"/>
      <w:bookmarkEnd w:id="312"/>
    </w:p>
    <w:p w14:paraId="3BD92CAD">
      <w:pPr>
        <w:snapToGrid w:val="0"/>
        <w:spacing w:line="480" w:lineRule="exact"/>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lang w:val="en-US" w:eastAsia="zh-CN"/>
        </w:rPr>
        <w:t>1.</w:t>
      </w:r>
      <w:r>
        <w:rPr>
          <w:rFonts w:hint="eastAsia" w:ascii="宋体" w:hAnsi="宋体" w:eastAsia="宋体" w:cs="Times New Roman"/>
          <w:bCs/>
          <w:color w:val="auto"/>
          <w:sz w:val="24"/>
          <w:highlight w:val="none"/>
        </w:rPr>
        <w:t>不同供应商的电子投标(响应）文件上传计算机的网卡MAC地址、CPU序列号和硬盘序列号等硬件信息相同的；</w:t>
      </w:r>
    </w:p>
    <w:p w14:paraId="01CFB2DB">
      <w:pPr>
        <w:snapToGrid w:val="0"/>
        <w:spacing w:line="480" w:lineRule="exact"/>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lang w:val="en-US" w:eastAsia="zh-CN"/>
        </w:rPr>
        <w:t>2.</w:t>
      </w:r>
      <w:r>
        <w:rPr>
          <w:rFonts w:hint="eastAsia" w:ascii="宋体" w:hAnsi="宋体" w:eastAsia="宋体" w:cs="Times New Roman"/>
          <w:bCs/>
          <w:color w:val="auto"/>
          <w:sz w:val="24"/>
          <w:highlight w:val="none"/>
        </w:rPr>
        <w:t>不同供应商的投标(响应）文件由同一电子设备编制、打印加密或者上传；</w:t>
      </w:r>
    </w:p>
    <w:p w14:paraId="420F5871">
      <w:pPr>
        <w:snapToGrid w:val="0"/>
        <w:spacing w:line="480" w:lineRule="exact"/>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lang w:val="en-US" w:eastAsia="zh-CN"/>
        </w:rPr>
        <w:t>3.</w:t>
      </w:r>
      <w:r>
        <w:rPr>
          <w:rFonts w:hint="eastAsia" w:ascii="宋体" w:hAnsi="宋体" w:eastAsia="宋体" w:cs="Times New Roman"/>
          <w:bCs/>
          <w:color w:val="auto"/>
          <w:sz w:val="24"/>
          <w:highlight w:val="none"/>
        </w:rPr>
        <w:t>不同供应商的投标(响应）文件由同一电子设备打印、复印；</w:t>
      </w:r>
    </w:p>
    <w:p w14:paraId="152C7891">
      <w:pPr>
        <w:snapToGrid w:val="0"/>
        <w:spacing w:line="480" w:lineRule="exact"/>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lang w:val="en-US" w:eastAsia="zh-CN"/>
        </w:rPr>
        <w:t>4.</w:t>
      </w:r>
      <w:r>
        <w:rPr>
          <w:rFonts w:hint="eastAsia" w:ascii="宋体" w:hAnsi="宋体" w:eastAsia="宋体" w:cs="Times New Roman"/>
          <w:bCs/>
          <w:color w:val="auto"/>
          <w:sz w:val="24"/>
          <w:highlight w:val="none"/>
        </w:rPr>
        <w:t>不同供应商的投标(响应）文件由同一人送达或者分发，或者不同供应商联系人为同一人或不同联系人的联系电话一致的；</w:t>
      </w:r>
    </w:p>
    <w:p w14:paraId="6F3AC160">
      <w:pPr>
        <w:snapToGrid w:val="0"/>
        <w:spacing w:line="480" w:lineRule="exact"/>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lang w:val="en-US" w:eastAsia="zh-CN"/>
        </w:rPr>
        <w:t>5.</w:t>
      </w:r>
      <w:r>
        <w:rPr>
          <w:rFonts w:hint="eastAsia" w:ascii="宋体" w:hAnsi="宋体" w:eastAsia="宋体" w:cs="Times New Roman"/>
          <w:bCs/>
          <w:color w:val="auto"/>
          <w:sz w:val="24"/>
          <w:highlight w:val="none"/>
        </w:rPr>
        <w:t>不同供应商的投标(响应）文件的内容存在两处以上细节错误一致；</w:t>
      </w:r>
    </w:p>
    <w:p w14:paraId="5312513B">
      <w:pPr>
        <w:snapToGrid w:val="0"/>
        <w:spacing w:line="480" w:lineRule="exact"/>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lang w:val="en-US" w:eastAsia="zh-CN"/>
        </w:rPr>
        <w:t>6.</w:t>
      </w:r>
      <w:r>
        <w:rPr>
          <w:rFonts w:hint="eastAsia" w:ascii="宋体" w:hAnsi="宋体" w:eastAsia="宋体" w:cs="Times New Roman"/>
          <w:bCs/>
          <w:color w:val="auto"/>
          <w:sz w:val="24"/>
          <w:highlight w:val="none"/>
        </w:rPr>
        <w:t>不同供应商的法定代表人、委托代理人、项目经理、项目负责人等由同一个单位缴纳社会保险或者领取报酬的；</w:t>
      </w:r>
    </w:p>
    <w:p w14:paraId="740CF51F">
      <w:pPr>
        <w:snapToGrid w:val="0"/>
        <w:spacing w:line="480" w:lineRule="exact"/>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lang w:val="en-US" w:eastAsia="zh-CN"/>
        </w:rPr>
        <w:t>7.</w:t>
      </w:r>
      <w:r>
        <w:rPr>
          <w:rFonts w:hint="eastAsia" w:ascii="宋体" w:hAnsi="宋体" w:eastAsia="宋体" w:cs="Times New Roman"/>
          <w:bCs/>
          <w:color w:val="auto"/>
          <w:sz w:val="24"/>
          <w:highlight w:val="none"/>
        </w:rPr>
        <w:t>不同供应商投标(响应）文件中法定代表人或者负责人签字出自同一人之手；</w:t>
      </w:r>
    </w:p>
    <w:p w14:paraId="6A55C0FA">
      <w:pPr>
        <w:snapToGrid w:val="0"/>
        <w:spacing w:line="480" w:lineRule="exact"/>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lang w:val="en-US" w:eastAsia="zh-CN"/>
        </w:rPr>
        <w:t>8.</w:t>
      </w:r>
      <w:r>
        <w:rPr>
          <w:rFonts w:hint="eastAsia" w:ascii="宋体" w:hAnsi="宋体" w:eastAsia="宋体" w:cs="Times New Roman"/>
          <w:bCs/>
          <w:color w:val="auto"/>
          <w:sz w:val="24"/>
          <w:highlight w:val="none"/>
        </w:rPr>
        <w:t>投标人在投标有效期内撤销投标文件的及其它涉嫌串通的情形。</w:t>
      </w:r>
    </w:p>
    <w:p w14:paraId="0BD029EB">
      <w:pPr>
        <w:snapToGrid w:val="0"/>
        <w:spacing w:line="460" w:lineRule="exact"/>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（八）投标无效的情形</w:t>
      </w:r>
    </w:p>
    <w:p w14:paraId="6DCD4A47">
      <w:pPr>
        <w:snapToGrid w:val="0"/>
        <w:spacing w:line="480" w:lineRule="exact"/>
        <w:ind w:firstLine="482" w:firstLineChars="200"/>
        <w:rPr>
          <w:rFonts w:hint="eastAsia" w:ascii="宋体" w:hAnsi="宋体"/>
          <w:bCs/>
          <w:color w:val="auto"/>
          <w:sz w:val="24"/>
          <w:highlight w:val="none"/>
        </w:rPr>
      </w:pPr>
      <w:bookmarkStart w:id="313" w:name="_Toc19269"/>
      <w:bookmarkStart w:id="314" w:name="_Toc13143"/>
      <w:bookmarkStart w:id="315" w:name="_Toc6623"/>
      <w:bookmarkStart w:id="316" w:name="_Toc28701"/>
      <w:bookmarkStart w:id="317" w:name="_Toc25820"/>
      <w:bookmarkStart w:id="318" w:name="_Toc26260"/>
      <w:bookmarkStart w:id="319" w:name="_Toc11970"/>
      <w:bookmarkStart w:id="320" w:name="_Toc1053"/>
      <w:bookmarkStart w:id="321" w:name="_Toc11776"/>
      <w:bookmarkStart w:id="322" w:name="_Toc91899903"/>
      <w:r>
        <w:rPr>
          <w:rFonts w:hint="eastAsia" w:ascii="宋体" w:hAnsi="宋体"/>
          <w:b/>
          <w:color w:val="auto"/>
          <w:sz w:val="24"/>
          <w:highlight w:val="none"/>
        </w:rPr>
        <w:t>有下列情况之一的，投标无效</w:t>
      </w:r>
      <w:r>
        <w:rPr>
          <w:rFonts w:hint="eastAsia" w:ascii="宋体" w:hAnsi="宋体"/>
          <w:bCs/>
          <w:color w:val="auto"/>
          <w:sz w:val="24"/>
          <w:highlight w:val="none"/>
        </w:rPr>
        <w:t>：</w:t>
      </w:r>
    </w:p>
    <w:p w14:paraId="7B372B0D">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1.投标人不具备招标文件中规定的资格要求的（投标人未提供有效的资格文件的，视为投标人不具备招标文件中规定的资格要求）；</w:t>
      </w:r>
    </w:p>
    <w:p w14:paraId="2B5FB798">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2.投标文件未按照招标文件要求签署、盖章的；</w:t>
      </w:r>
    </w:p>
    <w:p w14:paraId="45ED1351">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3.采购人拟采购的产品属于政府强制采购的节能产品品目清单范围的，投标人未按招标文件要求提供国家确定的认证机构出具的、处于有效期之内的节能产品认证证书的；</w:t>
      </w:r>
    </w:p>
    <w:p w14:paraId="64E93FAD">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4.投标文件含有采购人不能接受的附加条件的；</w:t>
      </w:r>
    </w:p>
    <w:p w14:paraId="4B9A252A">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5.投标文件中承诺的投标有效期少于招标文件中载明的投标有效期的；</w:t>
      </w:r>
    </w:p>
    <w:p w14:paraId="365CA45F">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6.投标文件出现不是唯一的、有选择性投标报价的；</w:t>
      </w:r>
    </w:p>
    <w:p w14:paraId="3E69C035">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7.投标报价超过招标文件中规定的预算金额或者最高限价的；</w:t>
      </w:r>
    </w:p>
    <w:p w14:paraId="19E7719E">
      <w:pPr>
        <w:adjustRightInd w:val="0"/>
        <w:snapToGrid w:val="0"/>
        <w:spacing w:line="480" w:lineRule="exact"/>
        <w:ind w:firstLine="480" w:firstLineChars="200"/>
        <w:rPr>
          <w:rFonts w:hint="eastAsia" w:ascii="宋体" w:hAnsi="宋体"/>
          <w:b/>
          <w:color w:val="auto"/>
          <w:sz w:val="24"/>
          <w:highlight w:val="none"/>
        </w:rPr>
      </w:pPr>
      <w:r>
        <w:rPr>
          <w:rFonts w:hint="eastAsia" w:ascii="宋体" w:hAnsi="宋体"/>
          <w:bCs/>
          <w:color w:val="auto"/>
          <w:sz w:val="24"/>
          <w:highlight w:val="none"/>
        </w:rPr>
        <w:t>8.</w:t>
      </w:r>
      <w:r>
        <w:rPr>
          <w:rFonts w:hint="eastAsia" w:ascii="宋体" w:hAnsi="宋体"/>
          <w:b/>
          <w:color w:val="auto"/>
          <w:sz w:val="24"/>
          <w:highlight w:val="none"/>
        </w:rPr>
        <w:t>评标委员会认为投标人的报价明显低于其他通过符合性审查投标人的报价，有可能影响产品质量或者不能诚信履约的，应当要求其在合理的时间内提供说明，必要时提交相关材料；投标供应商不能说明其报价合理性的，评标委员会应当将其作为无效投标处理。</w:t>
      </w:r>
    </w:p>
    <w:p w14:paraId="43C2150D">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9.投标人对根据修正原则修正后的报价不确认的；</w:t>
      </w:r>
    </w:p>
    <w:p w14:paraId="48A77939">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10.投标人提供虚假材料投标的；</w:t>
      </w:r>
    </w:p>
    <w:p w14:paraId="35259905">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11.投标人有恶意串通、妨碍其他投标人的竞争行为、损害采购人或者其他投标人的合法权益情形的；</w:t>
      </w:r>
    </w:p>
    <w:p w14:paraId="33C8A028">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12.</w:t>
      </w:r>
      <w:r>
        <w:rPr>
          <w:rFonts w:hint="eastAsia" w:ascii="宋体" w:hAnsi="宋体"/>
          <w:b/>
          <w:color w:val="auto"/>
          <w:sz w:val="24"/>
          <w:highlight w:val="none"/>
        </w:rPr>
        <w:t>投标人仅提交备份投标文件，没有在电子交易平台传输递交投标文件的，投标无效；</w:t>
      </w:r>
    </w:p>
    <w:p w14:paraId="1C3341DE">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13.投标文件不满足招标文件的其他实质性要求的；</w:t>
      </w:r>
    </w:p>
    <w:p w14:paraId="00B6F856">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14.法律、法规、规章（适用本市的）及省级以上规范性文件（适用本市的）规定的其他无效情形。</w:t>
      </w:r>
    </w:p>
    <w:p w14:paraId="206B2766">
      <w:pPr>
        <w:snapToGrid w:val="0"/>
        <w:spacing w:line="480" w:lineRule="exact"/>
        <w:ind w:firstLine="482" w:firstLineChars="200"/>
        <w:rPr>
          <w:rFonts w:hint="eastAsia" w:ascii="宋体" w:hAnsi="宋体"/>
          <w:b/>
          <w:color w:val="auto"/>
          <w:sz w:val="24"/>
          <w:highlight w:val="none"/>
        </w:rPr>
      </w:pPr>
      <w:r>
        <w:rPr>
          <w:rFonts w:hint="eastAsia" w:ascii="宋体" w:hAnsi="宋体"/>
          <w:b/>
          <w:color w:val="auto"/>
          <w:sz w:val="24"/>
          <w:highlight w:val="none"/>
        </w:rPr>
        <w:t>废标的情形：</w:t>
      </w:r>
    </w:p>
    <w:p w14:paraId="738A51AA">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根据《中华人民共和国政府采购法》第三十六条之规定，在采购中，出现下列情形之一的，应予废标：</w:t>
      </w:r>
    </w:p>
    <w:p w14:paraId="53C1F7C7">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1.符合专业条件的供应商或者对招标文件作实质响应的供应商不足3家的；</w:t>
      </w:r>
    </w:p>
    <w:p w14:paraId="33CA1C05">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2.出现影响采购公正的违法、违规行为的；</w:t>
      </w:r>
    </w:p>
    <w:p w14:paraId="7E101B8F">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3.投标人的报价均超过了采购预算，采购人不能支付的；</w:t>
      </w:r>
    </w:p>
    <w:p w14:paraId="3A64E935">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4.因重大变故，采购任务取消的；</w:t>
      </w:r>
    </w:p>
    <w:p w14:paraId="3DA0CA88">
      <w:pPr>
        <w:snapToGrid w:val="0"/>
        <w:spacing w:line="48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废标后，采购机构应当将废标理由通知所有投标人。</w:t>
      </w:r>
    </w:p>
    <w:p w14:paraId="6C0555EA">
      <w:pPr>
        <w:pStyle w:val="23"/>
        <w:snapToGrid w:val="0"/>
        <w:spacing w:line="480" w:lineRule="exact"/>
        <w:ind w:firstLine="457" w:firstLineChars="196"/>
        <w:rPr>
          <w:rFonts w:hint="eastAsia" w:hAnsi="宋体" w:cs="宋体"/>
          <w:b/>
          <w:bCs/>
          <w:color w:val="auto"/>
          <w:sz w:val="24"/>
          <w:szCs w:val="24"/>
          <w:highlight w:val="none"/>
        </w:rPr>
      </w:pPr>
      <w:r>
        <w:rPr>
          <w:rFonts w:hint="eastAsia" w:hAnsi="宋体" w:cs="宋体"/>
          <w:b/>
          <w:bCs/>
          <w:color w:val="auto"/>
          <w:sz w:val="24"/>
          <w:szCs w:val="24"/>
          <w:highlight w:val="none"/>
        </w:rPr>
        <w:t>如有下列情形之一的，可中止电子交易活动的情形：</w:t>
      </w:r>
    </w:p>
    <w:p w14:paraId="078F79CF">
      <w:pPr>
        <w:pStyle w:val="23"/>
        <w:snapToGrid w:val="0"/>
        <w:spacing w:line="480" w:lineRule="exact"/>
        <w:ind w:firstLine="454" w:firstLineChars="196"/>
        <w:rPr>
          <w:rFonts w:hint="eastAsia" w:hAnsi="宋体" w:cs="宋体"/>
          <w:color w:val="auto"/>
          <w:sz w:val="24"/>
          <w:highlight w:val="none"/>
        </w:rPr>
      </w:pPr>
      <w:r>
        <w:rPr>
          <w:rFonts w:hint="eastAsia" w:hAnsi="宋体" w:cs="宋体"/>
          <w:color w:val="auto"/>
          <w:sz w:val="24"/>
          <w:highlight w:val="none"/>
        </w:rPr>
        <w:t>招标过程中出现以下情形，导致政府采购云平台无法正常运行，或者无法保证电子交易的公平、公正和安全时，采购代理机构将中止电子交易活动：</w:t>
      </w:r>
    </w:p>
    <w:p w14:paraId="3CC8C590">
      <w:pPr>
        <w:pStyle w:val="23"/>
        <w:snapToGrid w:val="0"/>
        <w:spacing w:line="480" w:lineRule="exact"/>
        <w:ind w:firstLine="464" w:firstLineChars="200"/>
        <w:rPr>
          <w:rFonts w:hint="eastAsia" w:hAnsi="宋体" w:cs="宋体"/>
          <w:color w:val="auto"/>
          <w:sz w:val="24"/>
          <w:highlight w:val="none"/>
        </w:rPr>
      </w:pPr>
      <w:r>
        <w:rPr>
          <w:rFonts w:hint="eastAsia" w:hAnsi="宋体" w:cs="宋体"/>
          <w:color w:val="auto"/>
          <w:sz w:val="24"/>
          <w:highlight w:val="none"/>
          <w:lang w:val="en-US" w:eastAsia="zh-CN"/>
        </w:rPr>
        <w:t>1.</w:t>
      </w:r>
      <w:r>
        <w:rPr>
          <w:rFonts w:hint="eastAsia" w:hAnsi="宋体" w:cs="宋体"/>
          <w:color w:val="auto"/>
          <w:sz w:val="24"/>
          <w:highlight w:val="none"/>
        </w:rPr>
        <w:t>电子交易平台发生故障而无法登录访问的；</w:t>
      </w:r>
    </w:p>
    <w:p w14:paraId="4F5D7120">
      <w:pPr>
        <w:pStyle w:val="23"/>
        <w:snapToGrid w:val="0"/>
        <w:spacing w:line="480" w:lineRule="exact"/>
        <w:ind w:firstLine="454" w:firstLineChars="196"/>
        <w:rPr>
          <w:rFonts w:hint="eastAsia" w:hAnsi="宋体" w:cs="宋体"/>
          <w:color w:val="auto"/>
          <w:sz w:val="24"/>
          <w:highlight w:val="none"/>
        </w:rPr>
      </w:pPr>
      <w:r>
        <w:rPr>
          <w:rFonts w:hint="eastAsia" w:hAnsi="宋体" w:cs="宋体"/>
          <w:color w:val="auto"/>
          <w:sz w:val="24"/>
          <w:highlight w:val="none"/>
          <w:lang w:val="en-US" w:eastAsia="zh-CN"/>
        </w:rPr>
        <w:t>2.</w:t>
      </w:r>
      <w:r>
        <w:rPr>
          <w:rFonts w:hint="eastAsia" w:hAnsi="宋体" w:cs="宋体"/>
          <w:color w:val="auto"/>
          <w:sz w:val="24"/>
          <w:highlight w:val="none"/>
        </w:rPr>
        <w:t>电子交易平台应用或数据库出现错误，不能进行正常操作的；</w:t>
      </w:r>
    </w:p>
    <w:p w14:paraId="38D507ED">
      <w:pPr>
        <w:pStyle w:val="23"/>
        <w:snapToGrid w:val="0"/>
        <w:spacing w:line="480" w:lineRule="exact"/>
        <w:ind w:firstLine="454" w:firstLineChars="196"/>
        <w:rPr>
          <w:rFonts w:hint="eastAsia" w:hAnsi="宋体" w:cs="宋体"/>
          <w:color w:val="auto"/>
          <w:sz w:val="24"/>
          <w:highlight w:val="none"/>
        </w:rPr>
      </w:pPr>
      <w:r>
        <w:rPr>
          <w:rFonts w:hint="eastAsia" w:hAnsi="宋体" w:cs="宋体"/>
          <w:color w:val="auto"/>
          <w:sz w:val="24"/>
          <w:highlight w:val="none"/>
          <w:lang w:val="en-US" w:eastAsia="zh-CN"/>
        </w:rPr>
        <w:t>3.</w:t>
      </w:r>
      <w:r>
        <w:rPr>
          <w:rFonts w:hint="eastAsia" w:hAnsi="宋体" w:cs="宋体"/>
          <w:color w:val="auto"/>
          <w:sz w:val="24"/>
          <w:highlight w:val="none"/>
        </w:rPr>
        <w:t>电子交易平台发现严重安全漏洞，有潜在泄密危险的；</w:t>
      </w:r>
    </w:p>
    <w:p w14:paraId="2629B013">
      <w:pPr>
        <w:pStyle w:val="23"/>
        <w:snapToGrid w:val="0"/>
        <w:spacing w:line="480" w:lineRule="exact"/>
        <w:ind w:firstLine="454" w:firstLineChars="196"/>
        <w:rPr>
          <w:rFonts w:hint="eastAsia" w:hAnsi="宋体" w:cs="宋体"/>
          <w:color w:val="auto"/>
          <w:sz w:val="24"/>
          <w:highlight w:val="none"/>
        </w:rPr>
      </w:pPr>
      <w:r>
        <w:rPr>
          <w:rFonts w:hint="eastAsia" w:hAnsi="宋体" w:cs="宋体"/>
          <w:color w:val="auto"/>
          <w:sz w:val="24"/>
          <w:highlight w:val="none"/>
          <w:lang w:val="en-US" w:eastAsia="zh-CN"/>
        </w:rPr>
        <w:t>4.</w:t>
      </w:r>
      <w:r>
        <w:rPr>
          <w:rFonts w:hint="eastAsia" w:hAnsi="宋体" w:cs="宋体"/>
          <w:color w:val="auto"/>
          <w:sz w:val="24"/>
          <w:highlight w:val="none"/>
        </w:rPr>
        <w:t xml:space="preserve">病毒发作导致不能进行正常操作的； </w:t>
      </w:r>
    </w:p>
    <w:p w14:paraId="76C3ECBD">
      <w:pPr>
        <w:pStyle w:val="23"/>
        <w:snapToGrid w:val="0"/>
        <w:spacing w:line="480" w:lineRule="exact"/>
        <w:ind w:firstLine="454" w:firstLineChars="196"/>
        <w:rPr>
          <w:rFonts w:hint="eastAsia" w:hAnsi="宋体" w:cs="宋体"/>
          <w:color w:val="auto"/>
          <w:sz w:val="24"/>
          <w:highlight w:val="none"/>
        </w:rPr>
      </w:pPr>
      <w:r>
        <w:rPr>
          <w:rFonts w:hint="eastAsia" w:hAnsi="宋体" w:cs="宋体"/>
          <w:color w:val="auto"/>
          <w:sz w:val="24"/>
          <w:highlight w:val="none"/>
          <w:lang w:val="en-US" w:eastAsia="zh-CN"/>
        </w:rPr>
        <w:t>5.</w:t>
      </w:r>
      <w:r>
        <w:rPr>
          <w:rFonts w:hint="eastAsia" w:hAnsi="宋体" w:cs="宋体"/>
          <w:color w:val="auto"/>
          <w:sz w:val="24"/>
          <w:highlight w:val="none"/>
        </w:rPr>
        <w:t>其他无法保证电子交易的公平、公正和安全的情况。</w:t>
      </w:r>
    </w:p>
    <w:p w14:paraId="3682E1F2">
      <w:pPr>
        <w:pStyle w:val="23"/>
        <w:snapToGrid w:val="0"/>
        <w:spacing w:line="480" w:lineRule="exact"/>
        <w:ind w:firstLine="457" w:firstLineChars="196"/>
        <w:rPr>
          <w:rFonts w:hint="eastAsia"/>
          <w:color w:val="auto"/>
          <w:highlight w:val="none"/>
        </w:rPr>
      </w:pPr>
      <w:r>
        <w:rPr>
          <w:rFonts w:hint="eastAsia" w:hAnsi="宋体" w:cs="宋体"/>
          <w:b/>
          <w:color w:val="auto"/>
          <w:sz w:val="24"/>
          <w:szCs w:val="24"/>
          <w:highlight w:val="none"/>
        </w:rPr>
        <w:t>出现上述规定情形，不影响采购公平、公正性的，采购代理机构可以待上述情形消除后继续组织电子交易活动；影响或可能影响采购公平、公正性的，应当重新组织采购。</w:t>
      </w:r>
    </w:p>
    <w:p w14:paraId="3AA85A2B">
      <w:pPr>
        <w:widowControl/>
        <w:spacing w:line="480" w:lineRule="exact"/>
        <w:ind w:firstLine="562" w:firstLineChars="200"/>
        <w:jc w:val="left"/>
        <w:outlineLvl w:val="1"/>
        <w:rPr>
          <w:rFonts w:hint="eastAsia" w:ascii="黑体" w:eastAsia="黑体"/>
          <w:b/>
          <w:bCs/>
          <w:color w:val="auto"/>
          <w:sz w:val="28"/>
          <w:szCs w:val="28"/>
          <w:highlight w:val="none"/>
        </w:rPr>
      </w:pPr>
      <w:r>
        <w:rPr>
          <w:rFonts w:hint="eastAsia" w:ascii="黑体" w:eastAsia="黑体"/>
          <w:b/>
          <w:bCs/>
          <w:color w:val="auto"/>
          <w:sz w:val="28"/>
          <w:szCs w:val="28"/>
          <w:highlight w:val="none"/>
        </w:rPr>
        <w:t>四、开标</w:t>
      </w:r>
      <w:bookmarkEnd w:id="313"/>
      <w:bookmarkEnd w:id="314"/>
      <w:bookmarkEnd w:id="315"/>
      <w:bookmarkEnd w:id="316"/>
      <w:bookmarkEnd w:id="317"/>
      <w:bookmarkEnd w:id="318"/>
      <w:bookmarkEnd w:id="319"/>
      <w:bookmarkEnd w:id="320"/>
      <w:bookmarkEnd w:id="321"/>
    </w:p>
    <w:p w14:paraId="34B112FE">
      <w:pPr>
        <w:snapToGrid w:val="0"/>
        <w:spacing w:line="480" w:lineRule="exact"/>
        <w:ind w:firstLine="482" w:firstLineChars="200"/>
        <w:outlineLvl w:val="2"/>
        <w:rPr>
          <w:rFonts w:hint="eastAsia" w:ascii="宋体" w:hAnsi="宋体" w:cs="宋体"/>
          <w:b/>
          <w:color w:val="auto"/>
          <w:sz w:val="24"/>
          <w:highlight w:val="none"/>
        </w:rPr>
      </w:pPr>
      <w:r>
        <w:rPr>
          <w:rFonts w:hint="eastAsia" w:ascii="宋体" w:hAnsi="宋体" w:cs="宋体"/>
          <w:b/>
          <w:color w:val="auto"/>
          <w:sz w:val="24"/>
          <w:highlight w:val="none"/>
        </w:rPr>
        <w:t>（一）开标准备</w:t>
      </w:r>
    </w:p>
    <w:p w14:paraId="2D8141A3">
      <w:pPr>
        <w:snapToGrid w:val="0"/>
        <w:spacing w:line="460" w:lineRule="exact"/>
        <w:ind w:firstLine="480" w:firstLineChars="200"/>
        <w:rPr>
          <w:rFonts w:hint="eastAsia" w:ascii="宋体" w:hAnsi="宋体" w:cs="宋体"/>
          <w:bCs/>
          <w:color w:val="auto"/>
          <w:sz w:val="24"/>
          <w:highlight w:val="none"/>
        </w:rPr>
      </w:pPr>
      <w:r>
        <w:rPr>
          <w:rFonts w:hint="eastAsia" w:ascii="宋体" w:hAnsi="宋体" w:cs="宋体"/>
          <w:color w:val="auto"/>
          <w:sz w:val="24"/>
          <w:highlight w:val="none"/>
        </w:rPr>
        <w:t>采购代理机构将在规定的时间和地点进行开标，本项目实行不见面开标，投标人无需前往开标场地，只需在开标时间做好开标准备（如投标文件的解密和投标价格的确认），确保联系方式的畅通。</w:t>
      </w:r>
    </w:p>
    <w:p w14:paraId="0C6E610E">
      <w:pPr>
        <w:snapToGrid w:val="0"/>
        <w:spacing w:line="460" w:lineRule="exact"/>
        <w:ind w:firstLine="482" w:firstLineChars="200"/>
        <w:outlineLvl w:val="2"/>
        <w:rPr>
          <w:rFonts w:hint="eastAsia" w:ascii="宋体" w:hAnsi="宋体" w:cs="宋体"/>
          <w:b/>
          <w:color w:val="auto"/>
          <w:sz w:val="24"/>
          <w:highlight w:val="none"/>
        </w:rPr>
      </w:pPr>
      <w:r>
        <w:rPr>
          <w:rFonts w:hint="eastAsia" w:ascii="宋体" w:hAnsi="宋体" w:cs="宋体"/>
          <w:b/>
          <w:color w:val="auto"/>
          <w:sz w:val="24"/>
          <w:highlight w:val="none"/>
        </w:rPr>
        <w:t>（二）开标程序</w:t>
      </w:r>
    </w:p>
    <w:p w14:paraId="536B25B0">
      <w:pPr>
        <w:snapToGrid w:val="0"/>
        <w:spacing w:line="4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1.本项目原则上采用政采云电子招投标系统进行开标及评审，但有下情形之一的，按以下情况处理：</w:t>
      </w:r>
    </w:p>
    <w:p w14:paraId="40E48D61">
      <w:pPr>
        <w:snapToGrid w:val="0"/>
        <w:spacing w:line="4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（1）若投标人的电子投标文件在规定时间内无法解密或解密失败，工作人员将开启投标人递交的电子备份投标文件，以完成开标。</w:t>
      </w:r>
    </w:p>
    <w:p w14:paraId="16E2D7F9">
      <w:pPr>
        <w:snapToGrid w:val="0"/>
        <w:spacing w:line="4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（2）若投标人的电子投标文件在规定时间内无法解密或解密失败，或者因政采云平台原因无法读取或电子开评标无法正常进行时，工作人员将上传投标人的电子备份投标文件，以完成开标。</w:t>
      </w:r>
    </w:p>
    <w:p w14:paraId="44A5D420">
      <w:pPr>
        <w:snapToGrid w:val="0"/>
        <w:spacing w:line="4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2.开标及评审程序</w:t>
      </w:r>
    </w:p>
    <w:p w14:paraId="5984A929">
      <w:pPr>
        <w:snapToGrid w:val="0"/>
        <w:spacing w:line="480" w:lineRule="exact"/>
        <w:ind w:firstLine="470" w:firstLineChars="196"/>
        <w:rPr>
          <w:rFonts w:hint="eastAsia" w:ascii="宋体" w:hAnsi="宋体" w:cs="宋体"/>
          <w:color w:val="auto"/>
          <w:sz w:val="24"/>
          <w:highlight w:val="none"/>
        </w:rPr>
      </w:pPr>
      <w:r>
        <w:rPr>
          <w:rFonts w:hint="eastAsia" w:ascii="宋体" w:hAnsi="宋体" w:cs="宋体"/>
          <w:color w:val="auto"/>
          <w:sz w:val="24"/>
          <w:highlight w:val="none"/>
        </w:rPr>
        <w:t>（1）投标截止时间后，投标人须登录政采云平台，用“项目采购－开标评标”功能对电子投标文件进行在线解密。在线解密电子投标文件时间为投标截止时间起半个小时内。</w:t>
      </w:r>
    </w:p>
    <w:p w14:paraId="7BA9AFDB">
      <w:pPr>
        <w:snapToGrid w:val="0"/>
        <w:spacing w:line="480" w:lineRule="exact"/>
        <w:ind w:firstLine="470" w:firstLineChars="196"/>
        <w:rPr>
          <w:rFonts w:hint="eastAsia" w:ascii="宋体" w:hAnsi="宋体" w:cs="宋体"/>
          <w:color w:val="auto"/>
          <w:sz w:val="24"/>
          <w:highlight w:val="none"/>
        </w:rPr>
      </w:pPr>
      <w:r>
        <w:rPr>
          <w:rFonts w:hint="eastAsia" w:ascii="宋体" w:hAnsi="宋体" w:cs="宋体"/>
          <w:color w:val="auto"/>
          <w:sz w:val="24"/>
          <w:highlight w:val="none"/>
        </w:rPr>
        <w:t>（2）由采购人代表对资格审查文件进行评审，评标委员会对商务技术响应文件进行评审；</w:t>
      </w:r>
    </w:p>
    <w:p w14:paraId="473B7FA1">
      <w:pPr>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（3）在系统上公开资格审查和技术商务评审结果；</w:t>
      </w:r>
    </w:p>
    <w:p w14:paraId="7638C8FE">
      <w:pPr>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（4）在系统上公开报价开标情况；</w:t>
      </w:r>
    </w:p>
    <w:p w14:paraId="14B6D270">
      <w:pPr>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（5）评标委员会对报价情况进行评审；</w:t>
      </w:r>
    </w:p>
    <w:p w14:paraId="1B0C55B2">
      <w:pPr>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（6）在系统上公布评审结果。</w:t>
      </w:r>
    </w:p>
    <w:p w14:paraId="146B58BE">
      <w:pPr>
        <w:snapToGrid w:val="0"/>
        <w:spacing w:line="460" w:lineRule="exact"/>
        <w:ind w:firstLine="480" w:firstLineChars="200"/>
        <w:rPr>
          <w:rFonts w:hint="eastAsia" w:hAnsi="宋体"/>
          <w:b/>
          <w:bCs/>
          <w:color w:val="auto"/>
          <w:sz w:val="24"/>
          <w:highlight w:val="none"/>
        </w:rPr>
      </w:pPr>
      <w:r>
        <w:rPr>
          <w:rFonts w:hint="eastAsia" w:ascii="宋体" w:hAnsi="宋体" w:cs="宋体"/>
          <w:bCs/>
          <w:color w:val="auto"/>
          <w:sz w:val="24"/>
          <w:highlight w:val="none"/>
        </w:rPr>
        <w:t>特别说明：政采云公司如对电子化开标及评审程序有调整的，按调整后的程序操作。</w:t>
      </w:r>
      <w:bookmarkStart w:id="323" w:name="_Toc6545"/>
      <w:bookmarkStart w:id="324" w:name="_Toc14743"/>
      <w:bookmarkStart w:id="325" w:name="_Toc23660"/>
      <w:bookmarkStart w:id="326" w:name="_Toc10390"/>
      <w:bookmarkStart w:id="327" w:name="_Toc21636"/>
    </w:p>
    <w:p w14:paraId="1B5267EB">
      <w:pPr>
        <w:adjustRightInd w:val="0"/>
        <w:snapToGrid w:val="0"/>
        <w:spacing w:line="460" w:lineRule="exact"/>
        <w:ind w:firstLine="482" w:firstLineChars="200"/>
        <w:rPr>
          <w:rFonts w:hint="eastAsia" w:hAnsi="宋体"/>
          <w:b/>
          <w:bCs/>
          <w:color w:val="auto"/>
          <w:sz w:val="24"/>
          <w:highlight w:val="none"/>
        </w:rPr>
      </w:pPr>
      <w:r>
        <w:rPr>
          <w:rFonts w:hint="eastAsia" w:hAnsi="宋体"/>
          <w:b/>
          <w:bCs/>
          <w:color w:val="auto"/>
          <w:sz w:val="24"/>
          <w:highlight w:val="none"/>
        </w:rPr>
        <w:t>电子招投标开标及评审程序</w:t>
      </w:r>
      <w:bookmarkEnd w:id="323"/>
      <w:bookmarkEnd w:id="324"/>
      <w:bookmarkEnd w:id="325"/>
      <w:bookmarkEnd w:id="326"/>
      <w:bookmarkEnd w:id="327"/>
    </w:p>
    <w:p w14:paraId="0FD00898">
      <w:pPr>
        <w:adjustRightInd w:val="0"/>
        <w:snapToGrid w:val="0"/>
        <w:spacing w:line="460" w:lineRule="exact"/>
        <w:ind w:firstLine="482" w:firstLineChars="200"/>
        <w:rPr>
          <w:rFonts w:hint="eastAsia" w:hAnsi="宋体"/>
          <w:b/>
          <w:bCs/>
          <w:color w:val="auto"/>
          <w:sz w:val="24"/>
          <w:highlight w:val="none"/>
        </w:rPr>
      </w:pPr>
      <w:bookmarkStart w:id="328" w:name="_Toc19339"/>
      <w:bookmarkStart w:id="329" w:name="_Toc18188"/>
      <w:bookmarkStart w:id="330" w:name="_Toc4002"/>
      <w:bookmarkStart w:id="331" w:name="_Toc29198"/>
      <w:bookmarkStart w:id="332" w:name="_Toc20711"/>
      <w:r>
        <w:rPr>
          <w:rFonts w:hint="eastAsia" w:hAnsi="宋体"/>
          <w:b/>
          <w:bCs/>
          <w:color w:val="auto"/>
          <w:sz w:val="24"/>
          <w:highlight w:val="none"/>
        </w:rPr>
        <w:t>1.开标第一阶段</w:t>
      </w:r>
      <w:bookmarkEnd w:id="328"/>
      <w:bookmarkEnd w:id="329"/>
      <w:bookmarkEnd w:id="330"/>
      <w:bookmarkEnd w:id="331"/>
      <w:bookmarkEnd w:id="332"/>
    </w:p>
    <w:p w14:paraId="3F2C2DB8">
      <w:pPr>
        <w:snapToGrid w:val="0"/>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1）向各投标人发出电子加密投标文件【开始解密】通知，各投标人代表应当在接到解密通知后30分钟内自行完成“电子加密投标文件”的在线解密。投标人在规定的时间内无法完成“电子加密投标文件”解密的，如投标人按规定递交 “电子备份投标文件”的，则由采购组织机构按“政府采购云平台”操作规范将“电子备份投标文件”上传至“政府采购云平台”。上传成功后，以“电子备份投标文件”参与评标，“电子加密投标文件”自动失效。如投标人未按规定递交“电子备份投标文件”的，视为投标文件撤回。</w:t>
      </w:r>
    </w:p>
    <w:p w14:paraId="13469392">
      <w:pPr>
        <w:snapToGrid w:val="0"/>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（2）开启资格文件、技术商务文件。</w:t>
      </w:r>
    </w:p>
    <w:p w14:paraId="22C50816">
      <w:pPr>
        <w:snapToGrid w:val="0"/>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（3）进行资格审查。对通过资格审查的投标人进行符合性审查、技术商务评审；</w:t>
      </w:r>
    </w:p>
    <w:p w14:paraId="71202B91">
      <w:pPr>
        <w:adjustRightInd w:val="0"/>
        <w:snapToGrid w:val="0"/>
        <w:spacing w:line="460" w:lineRule="exact"/>
        <w:ind w:firstLine="482" w:firstLineChars="200"/>
        <w:rPr>
          <w:rFonts w:hint="eastAsia" w:hAnsi="宋体"/>
          <w:b/>
          <w:bCs/>
          <w:color w:val="auto"/>
          <w:sz w:val="24"/>
          <w:highlight w:val="none"/>
        </w:rPr>
      </w:pPr>
      <w:bookmarkStart w:id="333" w:name="_Toc2285"/>
      <w:bookmarkStart w:id="334" w:name="_Toc13812"/>
      <w:bookmarkStart w:id="335" w:name="_Toc24502"/>
      <w:bookmarkStart w:id="336" w:name="_Toc28938"/>
      <w:bookmarkStart w:id="337" w:name="_Toc27486"/>
      <w:r>
        <w:rPr>
          <w:rFonts w:hint="eastAsia" w:hAnsi="宋体"/>
          <w:b/>
          <w:bCs/>
          <w:color w:val="auto"/>
          <w:sz w:val="24"/>
          <w:highlight w:val="none"/>
        </w:rPr>
        <w:t>2.开标第二阶段</w:t>
      </w:r>
      <w:bookmarkEnd w:id="333"/>
      <w:bookmarkEnd w:id="334"/>
      <w:bookmarkEnd w:id="335"/>
      <w:bookmarkEnd w:id="336"/>
      <w:bookmarkEnd w:id="337"/>
    </w:p>
    <w:p w14:paraId="3F34E600">
      <w:pPr>
        <w:snapToGrid w:val="0"/>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（1）资格审查、符合性审查、技术商务评审结束后，进入开标第二阶段。</w:t>
      </w:r>
    </w:p>
    <w:p w14:paraId="705C6C95">
      <w:pPr>
        <w:snapToGrid w:val="0"/>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（2）通过电子交易平台公布无效供应商名单及导致无效的原因；公布有效供应商的名单及其技术商务得分。</w:t>
      </w:r>
    </w:p>
    <w:p w14:paraId="572072F0">
      <w:pPr>
        <w:snapToGrid w:val="0"/>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（3）开启有效供应商的《报价文件》，系统形成开标记录。</w:t>
      </w:r>
    </w:p>
    <w:p w14:paraId="10A43FD3">
      <w:pPr>
        <w:snapToGrid w:val="0"/>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（4）价格评审。价格评审结束后，通过电子交易平台公布中标候选供应商名单。</w:t>
      </w:r>
    </w:p>
    <w:p w14:paraId="2E7F8B59">
      <w:pPr>
        <w:snapToGrid w:val="0"/>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本项目原则上采用政采云电子招投标开标及评审程序，但若投标人在规定时间内无法解密或解密失败，采购代理机构将开启该投标人递交的备份电子投标文件，上传至政采云平台项目采购模块，以完成开标，原电子投标文件自动失效。</w:t>
      </w:r>
    </w:p>
    <w:p w14:paraId="330B90D9">
      <w:pPr>
        <w:widowControl/>
        <w:spacing w:line="460" w:lineRule="exact"/>
        <w:ind w:firstLine="562" w:firstLineChars="200"/>
        <w:jc w:val="left"/>
        <w:outlineLvl w:val="1"/>
        <w:rPr>
          <w:rFonts w:hint="eastAsia" w:ascii="黑体" w:eastAsia="黑体"/>
          <w:b/>
          <w:bCs/>
          <w:color w:val="auto"/>
          <w:sz w:val="28"/>
          <w:szCs w:val="28"/>
          <w:highlight w:val="none"/>
        </w:rPr>
      </w:pPr>
      <w:bookmarkStart w:id="338" w:name="_Toc6712"/>
      <w:bookmarkStart w:id="339" w:name="_Toc26702"/>
      <w:bookmarkStart w:id="340" w:name="_Toc18085"/>
      <w:bookmarkStart w:id="341" w:name="_Toc22281"/>
      <w:bookmarkStart w:id="342" w:name="_Toc8808"/>
      <w:bookmarkStart w:id="343" w:name="_Toc1416"/>
      <w:bookmarkStart w:id="344" w:name="_Toc14300"/>
      <w:bookmarkStart w:id="345" w:name="_Toc1556"/>
      <w:bookmarkStart w:id="346" w:name="_Toc21931"/>
      <w:bookmarkStart w:id="347" w:name="_Toc10900"/>
      <w:r>
        <w:rPr>
          <w:rFonts w:hint="eastAsia" w:ascii="黑体" w:eastAsia="黑体"/>
          <w:b/>
          <w:bCs/>
          <w:color w:val="auto"/>
          <w:sz w:val="28"/>
          <w:szCs w:val="28"/>
          <w:highlight w:val="none"/>
        </w:rPr>
        <w:t>五、评标</w:t>
      </w:r>
      <w:bookmarkEnd w:id="338"/>
      <w:bookmarkEnd w:id="339"/>
      <w:bookmarkEnd w:id="340"/>
      <w:bookmarkEnd w:id="341"/>
      <w:bookmarkEnd w:id="342"/>
      <w:bookmarkEnd w:id="343"/>
      <w:bookmarkEnd w:id="344"/>
      <w:bookmarkEnd w:id="345"/>
      <w:bookmarkEnd w:id="346"/>
      <w:bookmarkEnd w:id="347"/>
    </w:p>
    <w:p w14:paraId="294B5F03">
      <w:pPr>
        <w:keepLines/>
        <w:spacing w:line="460" w:lineRule="exact"/>
        <w:ind w:firstLine="482" w:firstLineChars="200"/>
        <w:contextualSpacing/>
        <w:jc w:val="left"/>
        <w:outlineLvl w:val="2"/>
        <w:rPr>
          <w:rFonts w:hint="eastAsia" w:ascii="宋体" w:hAnsi="宋体" w:cs="宋体"/>
          <w:b/>
          <w:color w:val="auto"/>
          <w:kern w:val="0"/>
          <w:sz w:val="24"/>
          <w:highlight w:val="none"/>
          <w:lang w:bidi="en-US"/>
        </w:rPr>
      </w:pPr>
      <w:bookmarkStart w:id="348" w:name="_Toc30349"/>
      <w:bookmarkStart w:id="349" w:name="_Toc19693"/>
      <w:r>
        <w:rPr>
          <w:rFonts w:hint="eastAsia" w:ascii="宋体" w:hAnsi="宋体" w:cs="宋体"/>
          <w:b/>
          <w:color w:val="auto"/>
          <w:kern w:val="0"/>
          <w:sz w:val="24"/>
          <w:highlight w:val="none"/>
          <w:lang w:bidi="en-US"/>
        </w:rPr>
        <w:t>（一）组建评标委员会</w:t>
      </w:r>
      <w:bookmarkEnd w:id="348"/>
      <w:bookmarkEnd w:id="349"/>
    </w:p>
    <w:p w14:paraId="503073A2">
      <w:pPr>
        <w:pStyle w:val="30"/>
        <w:tabs>
          <w:tab w:val="left" w:pos="1200"/>
        </w:tabs>
        <w:snapToGrid w:val="0"/>
        <w:spacing w:before="0" w:after="0" w:line="460" w:lineRule="exact"/>
        <w:ind w:firstLine="480" w:firstLineChars="200"/>
        <w:rPr>
          <w:rFonts w:hint="eastAsia" w:hAnsi="宋体" w:cs="宋体"/>
          <w:color w:val="auto"/>
          <w:highlight w:val="none"/>
        </w:rPr>
      </w:pPr>
      <w:r>
        <w:rPr>
          <w:rFonts w:hint="eastAsia" w:hAnsi="宋体" w:cs="宋体"/>
          <w:color w:val="auto"/>
          <w:highlight w:val="none"/>
        </w:rPr>
        <w:t>本项目评标委员会由政府采购评审专家≧5人单数组成，其中采购人代表不超过评委总数的1/3。</w:t>
      </w:r>
    </w:p>
    <w:p w14:paraId="36DEFC8E">
      <w:pPr>
        <w:keepLines/>
        <w:spacing w:line="460" w:lineRule="exact"/>
        <w:ind w:firstLine="482" w:firstLineChars="200"/>
        <w:contextualSpacing/>
        <w:jc w:val="left"/>
        <w:outlineLvl w:val="2"/>
        <w:rPr>
          <w:rFonts w:hint="eastAsia" w:ascii="宋体" w:hAnsi="宋体" w:cs="宋体"/>
          <w:b/>
          <w:color w:val="auto"/>
          <w:kern w:val="0"/>
          <w:sz w:val="24"/>
          <w:highlight w:val="none"/>
          <w:lang w:bidi="en-US"/>
        </w:rPr>
      </w:pPr>
      <w:bookmarkStart w:id="350" w:name="_Toc25842"/>
      <w:bookmarkStart w:id="351" w:name="_Toc9863"/>
      <w:r>
        <w:rPr>
          <w:rFonts w:hint="eastAsia" w:ascii="宋体" w:hAnsi="宋体" w:cs="宋体"/>
          <w:b/>
          <w:color w:val="auto"/>
          <w:kern w:val="0"/>
          <w:sz w:val="24"/>
          <w:highlight w:val="none"/>
          <w:lang w:bidi="en-US"/>
        </w:rPr>
        <w:t>（二）评标的方式</w:t>
      </w:r>
      <w:bookmarkEnd w:id="350"/>
      <w:bookmarkEnd w:id="351"/>
    </w:p>
    <w:p w14:paraId="3866EE4D">
      <w:pPr>
        <w:pStyle w:val="30"/>
        <w:tabs>
          <w:tab w:val="left" w:pos="1200"/>
        </w:tabs>
        <w:snapToGrid w:val="0"/>
        <w:spacing w:before="0" w:after="0" w:line="460" w:lineRule="exact"/>
        <w:ind w:firstLine="480" w:firstLineChars="200"/>
        <w:rPr>
          <w:rFonts w:hint="eastAsia" w:hAnsi="宋体" w:cs="宋体"/>
          <w:color w:val="auto"/>
          <w:highlight w:val="none"/>
        </w:rPr>
      </w:pPr>
      <w:r>
        <w:rPr>
          <w:rFonts w:hint="eastAsia" w:hAnsi="宋体" w:cs="宋体"/>
          <w:color w:val="auto"/>
          <w:highlight w:val="none"/>
        </w:rPr>
        <w:t>本项目采用不公开方式评标，评标的依据为招标文件和投标文件。</w:t>
      </w:r>
    </w:p>
    <w:p w14:paraId="3266E038">
      <w:pPr>
        <w:snapToGrid w:val="0"/>
        <w:spacing w:line="460" w:lineRule="exact"/>
        <w:ind w:firstLine="482" w:firstLineChars="200"/>
        <w:outlineLvl w:val="2"/>
        <w:rPr>
          <w:rFonts w:hint="eastAsia" w:ascii="宋体" w:hAnsi="宋体" w:cs="宋体"/>
          <w:b/>
          <w:bCs/>
          <w:color w:val="auto"/>
          <w:sz w:val="24"/>
          <w:highlight w:val="none"/>
        </w:rPr>
      </w:pPr>
      <w:r>
        <w:rPr>
          <w:rFonts w:hint="eastAsia" w:ascii="宋体" w:hAnsi="宋体" w:cs="宋体"/>
          <w:b/>
          <w:color w:val="auto"/>
          <w:sz w:val="24"/>
          <w:highlight w:val="none"/>
        </w:rPr>
        <w:t>（三）组织</w:t>
      </w:r>
      <w:r>
        <w:rPr>
          <w:rFonts w:hint="eastAsia" w:ascii="宋体" w:hAnsi="宋体" w:cs="宋体"/>
          <w:b/>
          <w:bCs/>
          <w:color w:val="auto"/>
          <w:sz w:val="24"/>
          <w:highlight w:val="none"/>
        </w:rPr>
        <w:t>评标程序</w:t>
      </w:r>
    </w:p>
    <w:p w14:paraId="461C71BE">
      <w:pPr>
        <w:keepLines/>
        <w:spacing w:line="460" w:lineRule="exact"/>
        <w:ind w:firstLine="480" w:firstLineChars="200"/>
        <w:contextualSpacing/>
        <w:jc w:val="left"/>
        <w:rPr>
          <w:rFonts w:hint="eastAsia" w:ascii="宋体" w:hAnsi="宋体" w:cs="宋体"/>
          <w:color w:val="auto"/>
          <w:sz w:val="24"/>
          <w:highlight w:val="none"/>
        </w:rPr>
      </w:pPr>
      <w:bookmarkStart w:id="352" w:name="_Toc26259"/>
      <w:bookmarkStart w:id="353" w:name="_Toc7123"/>
      <w:r>
        <w:rPr>
          <w:rFonts w:hint="eastAsia" w:ascii="宋体" w:hAnsi="宋体" w:cs="宋体"/>
          <w:color w:val="auto"/>
          <w:sz w:val="24"/>
          <w:highlight w:val="none"/>
        </w:rPr>
        <w:t>1.向各投标</w:t>
      </w:r>
      <w:r>
        <w:rPr>
          <w:rFonts w:hint="eastAsia" w:ascii="宋体" w:hAnsi="宋体"/>
          <w:color w:val="auto"/>
          <w:sz w:val="24"/>
          <w:highlight w:val="none"/>
        </w:rPr>
        <w:t>人</w:t>
      </w:r>
      <w:r>
        <w:rPr>
          <w:rFonts w:hint="eastAsia" w:ascii="宋体" w:hAnsi="宋体" w:cs="宋体"/>
          <w:color w:val="auto"/>
          <w:sz w:val="24"/>
          <w:highlight w:val="none"/>
        </w:rPr>
        <w:t>发出电子加密投标文件【开始解密】通知，由供应商按招标文件规定的时间内自行进行投标文件解密。投标</w:t>
      </w:r>
      <w:r>
        <w:rPr>
          <w:rFonts w:hint="eastAsia" w:ascii="宋体" w:hAnsi="宋体"/>
          <w:color w:val="auto"/>
          <w:sz w:val="24"/>
          <w:highlight w:val="none"/>
        </w:rPr>
        <w:t>人</w:t>
      </w:r>
      <w:r>
        <w:rPr>
          <w:rFonts w:hint="eastAsia" w:ascii="宋体" w:hAnsi="宋体" w:cs="宋体"/>
          <w:color w:val="auto"/>
          <w:sz w:val="24"/>
          <w:highlight w:val="none"/>
        </w:rPr>
        <w:t>在规定的时间内无法完成已递交的“电子加密投标文件”解密的，其投标文件按拒收处理。</w:t>
      </w:r>
      <w:bookmarkEnd w:id="352"/>
      <w:bookmarkEnd w:id="353"/>
    </w:p>
    <w:p w14:paraId="1A70638D">
      <w:pPr>
        <w:keepLines/>
        <w:spacing w:line="460" w:lineRule="exact"/>
        <w:ind w:firstLine="480" w:firstLineChars="200"/>
        <w:contextualSpacing/>
        <w:jc w:val="left"/>
        <w:rPr>
          <w:rFonts w:hint="eastAsia" w:ascii="宋体" w:hAnsi="宋体" w:cs="宋体"/>
          <w:color w:val="auto"/>
          <w:sz w:val="24"/>
          <w:highlight w:val="none"/>
        </w:rPr>
      </w:pPr>
      <w:bookmarkStart w:id="354" w:name="_Toc26963"/>
      <w:bookmarkStart w:id="355" w:name="_Toc31218"/>
      <w:r>
        <w:rPr>
          <w:rFonts w:hint="eastAsia" w:ascii="宋体" w:hAnsi="宋体" w:cs="宋体"/>
          <w:color w:val="auto"/>
          <w:sz w:val="24"/>
          <w:highlight w:val="none"/>
        </w:rPr>
        <w:t>2.投标文件解密结束，开启资格文件，进入资格审查环节，采购人将依法对投标</w:t>
      </w:r>
      <w:r>
        <w:rPr>
          <w:rFonts w:hint="eastAsia" w:ascii="宋体" w:hAnsi="宋体"/>
          <w:color w:val="auto"/>
          <w:sz w:val="24"/>
          <w:highlight w:val="none"/>
        </w:rPr>
        <w:t>人</w:t>
      </w:r>
      <w:r>
        <w:rPr>
          <w:rFonts w:hint="eastAsia" w:ascii="宋体" w:hAnsi="宋体" w:cs="宋体"/>
          <w:color w:val="auto"/>
          <w:sz w:val="24"/>
          <w:highlight w:val="none"/>
        </w:rPr>
        <w:t>的资格进行审查。</w:t>
      </w:r>
      <w:bookmarkEnd w:id="354"/>
      <w:bookmarkEnd w:id="355"/>
    </w:p>
    <w:p w14:paraId="3680B949">
      <w:pPr>
        <w:keepLines/>
        <w:spacing w:line="460" w:lineRule="exact"/>
        <w:ind w:firstLine="480" w:firstLineChars="200"/>
        <w:contextualSpacing/>
        <w:jc w:val="left"/>
        <w:rPr>
          <w:rFonts w:hint="eastAsia" w:ascii="宋体" w:hAnsi="宋体" w:cs="宋体"/>
          <w:color w:val="auto"/>
          <w:sz w:val="24"/>
          <w:highlight w:val="none"/>
        </w:rPr>
      </w:pPr>
      <w:bookmarkStart w:id="356" w:name="_Toc7579"/>
      <w:bookmarkStart w:id="357" w:name="_Toc15105"/>
      <w:r>
        <w:rPr>
          <w:rFonts w:hint="eastAsia" w:ascii="宋体" w:hAnsi="宋体" w:cs="宋体"/>
          <w:color w:val="auto"/>
          <w:sz w:val="24"/>
          <w:highlight w:val="none"/>
        </w:rPr>
        <w:t>3.开启资格审查通过的投标</w:t>
      </w:r>
      <w:r>
        <w:rPr>
          <w:rFonts w:hint="eastAsia" w:ascii="宋体" w:hAnsi="宋体"/>
          <w:color w:val="auto"/>
          <w:sz w:val="24"/>
          <w:highlight w:val="none"/>
        </w:rPr>
        <w:t>人</w:t>
      </w:r>
      <w:r>
        <w:rPr>
          <w:rFonts w:hint="eastAsia" w:ascii="宋体" w:hAnsi="宋体" w:cs="宋体"/>
          <w:color w:val="auto"/>
          <w:sz w:val="24"/>
          <w:highlight w:val="none"/>
        </w:rPr>
        <w:t>的商务技术文件进入符合性审查及商务技术评审。</w:t>
      </w:r>
      <w:bookmarkEnd w:id="356"/>
      <w:bookmarkEnd w:id="357"/>
    </w:p>
    <w:p w14:paraId="27802C61">
      <w:pPr>
        <w:keepLines/>
        <w:spacing w:line="460" w:lineRule="exact"/>
        <w:ind w:firstLine="480" w:firstLineChars="200"/>
        <w:contextualSpacing/>
        <w:jc w:val="left"/>
        <w:rPr>
          <w:rFonts w:hint="eastAsia" w:ascii="宋体" w:hAnsi="宋体" w:cs="宋体"/>
          <w:color w:val="auto"/>
          <w:sz w:val="24"/>
          <w:highlight w:val="none"/>
        </w:rPr>
      </w:pPr>
      <w:bookmarkStart w:id="358" w:name="_Toc4317"/>
      <w:bookmarkStart w:id="359" w:name="_Toc25921"/>
      <w:r>
        <w:rPr>
          <w:rFonts w:hint="eastAsia" w:ascii="宋体" w:hAnsi="宋体" w:cs="宋体"/>
          <w:color w:val="auto"/>
          <w:sz w:val="24"/>
          <w:highlight w:val="none"/>
        </w:rPr>
        <w:t>4.符合性审查、商务技术评审结束后，开启符合性审查、商务技术评审有效投标</w:t>
      </w:r>
      <w:r>
        <w:rPr>
          <w:rFonts w:hint="eastAsia" w:ascii="宋体" w:hAnsi="宋体"/>
          <w:color w:val="auto"/>
          <w:sz w:val="24"/>
          <w:highlight w:val="none"/>
        </w:rPr>
        <w:t>人</w:t>
      </w:r>
      <w:r>
        <w:rPr>
          <w:rFonts w:hint="eastAsia" w:ascii="宋体" w:hAnsi="宋体" w:cs="宋体"/>
          <w:color w:val="auto"/>
          <w:sz w:val="24"/>
          <w:highlight w:val="none"/>
        </w:rPr>
        <w:t>的报价文件。由评标委员会对报价文件的符合性等进行审查核实，对报价进行得分计算。</w:t>
      </w:r>
      <w:bookmarkEnd w:id="358"/>
      <w:bookmarkEnd w:id="359"/>
    </w:p>
    <w:p w14:paraId="48A77E58">
      <w:pPr>
        <w:keepLines/>
        <w:spacing w:line="460" w:lineRule="exact"/>
        <w:ind w:firstLine="480" w:firstLineChars="200"/>
        <w:contextualSpacing/>
        <w:jc w:val="left"/>
        <w:rPr>
          <w:rFonts w:hint="eastAsia" w:ascii="宋体" w:hAnsi="宋体" w:cs="宋体"/>
          <w:color w:val="auto"/>
          <w:sz w:val="24"/>
          <w:highlight w:val="none"/>
        </w:rPr>
      </w:pPr>
      <w:bookmarkStart w:id="360" w:name="_Toc4982"/>
      <w:bookmarkStart w:id="361" w:name="_Toc16740"/>
      <w:r>
        <w:rPr>
          <w:rFonts w:hint="eastAsia" w:ascii="宋体" w:hAnsi="宋体" w:cs="宋体"/>
          <w:color w:val="auto"/>
          <w:sz w:val="24"/>
          <w:highlight w:val="none"/>
        </w:rPr>
        <w:t>5.根据各投标供应商综合得分从高到低进行排序，推荐中标候选</w:t>
      </w:r>
      <w:r>
        <w:rPr>
          <w:rFonts w:hint="eastAsia" w:ascii="宋体" w:hAnsi="宋体"/>
          <w:color w:val="auto"/>
          <w:sz w:val="24"/>
          <w:highlight w:val="none"/>
        </w:rPr>
        <w:t>人</w:t>
      </w:r>
      <w:r>
        <w:rPr>
          <w:rFonts w:hint="eastAsia" w:ascii="宋体" w:hAnsi="宋体" w:cs="宋体"/>
          <w:color w:val="auto"/>
          <w:sz w:val="24"/>
          <w:highlight w:val="none"/>
        </w:rPr>
        <w:t>；综合得分最高的供应商推荐为中标</w:t>
      </w:r>
      <w:r>
        <w:rPr>
          <w:rFonts w:hint="eastAsia" w:ascii="宋体" w:hAnsi="宋体"/>
          <w:color w:val="auto"/>
          <w:sz w:val="24"/>
          <w:highlight w:val="none"/>
        </w:rPr>
        <w:t>人</w:t>
      </w:r>
      <w:r>
        <w:rPr>
          <w:rFonts w:hint="eastAsia" w:ascii="宋体" w:hAnsi="宋体" w:cs="宋体"/>
          <w:color w:val="auto"/>
          <w:sz w:val="24"/>
          <w:highlight w:val="none"/>
        </w:rPr>
        <w:t>。</w:t>
      </w:r>
      <w:bookmarkEnd w:id="360"/>
      <w:bookmarkEnd w:id="361"/>
    </w:p>
    <w:p w14:paraId="3DDB140C">
      <w:pPr>
        <w:keepLines/>
        <w:spacing w:line="460" w:lineRule="exact"/>
        <w:ind w:firstLine="480" w:firstLineChars="200"/>
        <w:contextualSpacing/>
        <w:jc w:val="left"/>
        <w:rPr>
          <w:rFonts w:hint="eastAsia" w:ascii="宋体" w:hAnsi="宋体" w:cs="宋体"/>
          <w:color w:val="auto"/>
          <w:sz w:val="24"/>
          <w:highlight w:val="none"/>
        </w:rPr>
      </w:pPr>
      <w:bookmarkStart w:id="362" w:name="_Toc32009"/>
      <w:bookmarkStart w:id="363" w:name="_Toc18939"/>
      <w:r>
        <w:rPr>
          <w:rFonts w:hint="eastAsia" w:ascii="宋体" w:hAnsi="宋体" w:cs="宋体"/>
          <w:color w:val="auto"/>
          <w:sz w:val="24"/>
          <w:highlight w:val="none"/>
        </w:rPr>
        <w:t>6.由评标委员会向采购人推荐综合得分第一名的供应商为中标</w:t>
      </w:r>
      <w:r>
        <w:rPr>
          <w:rFonts w:hint="eastAsia" w:ascii="宋体" w:hAnsi="宋体"/>
          <w:color w:val="auto"/>
          <w:sz w:val="24"/>
          <w:highlight w:val="none"/>
        </w:rPr>
        <w:t>人</w:t>
      </w:r>
      <w:r>
        <w:rPr>
          <w:rFonts w:hint="eastAsia" w:ascii="宋体" w:hAnsi="宋体" w:cs="宋体"/>
          <w:color w:val="auto"/>
          <w:sz w:val="24"/>
          <w:highlight w:val="none"/>
        </w:rPr>
        <w:t>，并提交评审报告。得分相同的，按投标报价由低到高顺序排列。得分且投标报价相同的并列。投标文件满足招标文件全部实质性要求，且按照评审因素的量化指标评审得分最高的投标人为排名第一的中标候选人。</w:t>
      </w:r>
    </w:p>
    <w:p w14:paraId="6E039CB2">
      <w:pPr>
        <w:keepLines/>
        <w:spacing w:line="460" w:lineRule="exact"/>
        <w:ind w:firstLine="480" w:firstLineChars="200"/>
        <w:contextualSpacing/>
        <w:jc w:val="left"/>
        <w:rPr>
          <w:rFonts w:hint="eastAsia" w:ascii="宋体" w:hAnsi="宋体" w:cs="宋体"/>
          <w:b/>
          <w:color w:val="auto"/>
          <w:kern w:val="0"/>
          <w:sz w:val="24"/>
          <w:highlight w:val="none"/>
          <w:lang w:bidi="en-US"/>
        </w:rPr>
      </w:pPr>
      <w:r>
        <w:rPr>
          <w:rFonts w:hint="eastAsia" w:ascii="宋体" w:hAnsi="宋体" w:cs="宋体"/>
          <w:color w:val="auto"/>
          <w:sz w:val="24"/>
          <w:highlight w:val="none"/>
        </w:rPr>
        <w:t>7.评审结束后，公布采购结果。</w:t>
      </w:r>
      <w:bookmarkEnd w:id="362"/>
      <w:bookmarkEnd w:id="363"/>
    </w:p>
    <w:p w14:paraId="5B717114">
      <w:pPr>
        <w:widowControl/>
        <w:spacing w:line="440" w:lineRule="exact"/>
        <w:ind w:firstLine="482" w:firstLineChars="200"/>
        <w:jc w:val="left"/>
        <w:outlineLvl w:val="2"/>
        <w:rPr>
          <w:rFonts w:hint="eastAsia" w:ascii="宋体" w:hAnsi="宋体"/>
          <w:b/>
          <w:bCs/>
          <w:color w:val="auto"/>
          <w:sz w:val="24"/>
          <w:highlight w:val="none"/>
        </w:rPr>
      </w:pPr>
      <w:r>
        <w:rPr>
          <w:rFonts w:hint="eastAsia" w:ascii="宋体" w:hAnsi="宋体"/>
          <w:b/>
          <w:bCs/>
          <w:color w:val="auto"/>
          <w:sz w:val="24"/>
          <w:highlight w:val="none"/>
        </w:rPr>
        <w:t>（四）</w:t>
      </w:r>
      <w:r>
        <w:rPr>
          <w:rFonts w:hint="eastAsia" w:ascii="宋体" w:hAnsi="宋体" w:cs="宋体"/>
          <w:b/>
          <w:color w:val="auto"/>
          <w:kern w:val="0"/>
          <w:sz w:val="24"/>
          <w:highlight w:val="none"/>
          <w:lang w:bidi="en-US"/>
        </w:rPr>
        <w:t>评审纪律和要求</w:t>
      </w:r>
    </w:p>
    <w:p w14:paraId="6D4C2C9B">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1.评审专家必须公平、公正评审，遵纪守法，客观、廉洁地履行职责。</w:t>
      </w:r>
    </w:p>
    <w:p w14:paraId="69269331">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2.评审专家在评审开始前，应关闭并上交随身携带的各种通信工具。</w:t>
      </w:r>
    </w:p>
    <w:p w14:paraId="1EC5AF3C">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3.评审专家在评审过程中，未经许可不得中途离开评审现场，不得迟到早退。</w:t>
      </w:r>
    </w:p>
    <w:p w14:paraId="6F970F3E">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4.评审专家和工作人员不得透露评审过程中的讨论情况和评审结果。</w:t>
      </w:r>
    </w:p>
    <w:p w14:paraId="3C69A2CD">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66927189">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6.采购人、采购代理机构不得向评审委员会的评审专家作倾向性、误导性的解释或者说明。</w:t>
      </w:r>
    </w:p>
    <w:p w14:paraId="0F085A2F">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39E502DA">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8.评审专家在评审过程中不得将自己的观点强加给其他评审专家，评审专家应自主发表见解，对评审意见承担个人责任。</w:t>
      </w:r>
    </w:p>
    <w:p w14:paraId="2D2A58C1">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6CCA560C">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10.评审专家应当独立、客观、公正地提出评审意见，不得带有倾向性，不得影响其他评审专家评审，并在评审报告上签字；如对评审报告有异议的，可在报告上签署不同意见，并说明理由，否则将视为同意。</w:t>
      </w:r>
    </w:p>
    <w:p w14:paraId="507D57A7">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11.评审专家应当遵守评审工作纪律，不得泄露评审文件、评审情况和评审中获悉的商业秘密。</w:t>
      </w:r>
    </w:p>
    <w:p w14:paraId="763E0602">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评审委员会在评审过程中发现投标人有行贿、提供虚假材料或者串通等违法行为的，应当及时向财政部门报告。</w:t>
      </w:r>
    </w:p>
    <w:p w14:paraId="3CA3AD68">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12.招标文件内容违反国家有关强制性规定的，评审委员会应当停止评审并向采购代理机构说明情况。</w:t>
      </w:r>
    </w:p>
    <w:p w14:paraId="79ADDEA4">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13.评审专家应当配合采购代理机构答复投标人提出的质疑。</w:t>
      </w:r>
    </w:p>
    <w:p w14:paraId="768C3FB6">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14.评审专家应当配合财政部门的投诉处理工作。</w:t>
      </w:r>
    </w:p>
    <w:p w14:paraId="142EFCEB">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15.评审专家有如下行为之一的，责令改正，给予警告，可以并处一千元以下的罚款：</w:t>
      </w:r>
    </w:p>
    <w:p w14:paraId="6F16755F">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①明知应当回避而未主动回避的；</w:t>
      </w:r>
    </w:p>
    <w:p w14:paraId="131DE0A2">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②在得知自己为评审专家身份后至评审结束前时段内私下接触投标人的；</w:t>
      </w:r>
    </w:p>
    <w:p w14:paraId="3C6A8F74">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③在评审过程中擅离职守，影响评审程序正常进行的；</w:t>
      </w:r>
    </w:p>
    <w:p w14:paraId="5BE7662A">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④在评审过程有明显不合理或者不正当倾向性的；</w:t>
      </w:r>
    </w:p>
    <w:p w14:paraId="0DD9EA40">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⑤未按招标文件规定的评审方法和标准进行评审的。</w:t>
      </w:r>
    </w:p>
    <w:p w14:paraId="3A84E190">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⑥上述①至⑤行为影响中标结果的，中标结果无效。</w:t>
      </w:r>
    </w:p>
    <w:p w14:paraId="13B6027D">
      <w:pPr>
        <w:pStyle w:val="527"/>
        <w:spacing w:before="0" w:after="0" w:line="440" w:lineRule="exact"/>
        <w:ind w:firstLine="480" w:firstLineChars="200"/>
        <w:rPr>
          <w:rFonts w:hint="eastAsia"/>
          <w:color w:val="auto"/>
          <w:highlight w:val="none"/>
        </w:rPr>
      </w:pPr>
      <w:r>
        <w:rPr>
          <w:rFonts w:hint="eastAsia" w:ascii="宋体" w:hAnsi="宋体" w:cs="宋体"/>
          <w:color w:val="auto"/>
          <w:highlight w:val="none"/>
        </w:rPr>
        <w:t>16.政府采购评审专家未按照招标文件规定的评审程序、评审方法和评审标准进行独立评审或者泄露评审文件、评审</w:t>
      </w:r>
      <w:r>
        <w:rPr>
          <w:rFonts w:hint="eastAsia"/>
          <w:color w:val="auto"/>
          <w:highlight w:val="none"/>
        </w:rPr>
        <w:t>情况的，由财政部门给予警告，并处2000元以上2万元以下的罚款；影响中标、成交结果的，处2万元以上5万元以下的罚款，禁止其参加政府采购评审活动。</w:t>
      </w:r>
    </w:p>
    <w:p w14:paraId="7F5612D5">
      <w:pPr>
        <w:pStyle w:val="527"/>
        <w:spacing w:before="0" w:after="0" w:line="440" w:lineRule="exact"/>
        <w:ind w:firstLine="480" w:firstLineChars="200"/>
        <w:rPr>
          <w:rFonts w:hint="eastAsia"/>
          <w:color w:val="auto"/>
          <w:highlight w:val="none"/>
        </w:rPr>
      </w:pPr>
      <w:r>
        <w:rPr>
          <w:rFonts w:hint="eastAsia"/>
          <w:color w:val="auto"/>
          <w:highlight w:val="none"/>
        </w:rPr>
        <w:t>政府采购评审专家与投标人存在利害关系未回避的，处2万元以上5万元以下的罚款，禁止其参加政府采购评审活动。</w:t>
      </w:r>
    </w:p>
    <w:p w14:paraId="68ED297A">
      <w:pPr>
        <w:pStyle w:val="527"/>
        <w:spacing w:before="0" w:after="0" w:line="440" w:lineRule="exact"/>
        <w:ind w:firstLine="480" w:firstLineChars="200"/>
        <w:rPr>
          <w:rFonts w:hint="eastAsia"/>
          <w:color w:val="auto"/>
          <w:highlight w:val="none"/>
        </w:rPr>
      </w:pPr>
      <w:r>
        <w:rPr>
          <w:rFonts w:hint="eastAsia"/>
          <w:color w:val="auto"/>
          <w:highlight w:val="none"/>
        </w:rPr>
        <w:t>政府采购评审专家收受采购人、采购代理机构、投标人贿赂或者获取其他不正当利益，构成犯罪的，依法追究刑事责任；尚不构成犯罪的，处2万元以上5万元以下的罚款，禁止其参加政府采购评审活动。</w:t>
      </w:r>
    </w:p>
    <w:p w14:paraId="0CC11BF0">
      <w:pPr>
        <w:pStyle w:val="527"/>
        <w:spacing w:before="0" w:after="0" w:line="440" w:lineRule="exact"/>
        <w:ind w:firstLine="480" w:firstLineChars="200"/>
        <w:rPr>
          <w:rFonts w:hint="eastAsia" w:ascii="宋体" w:hAnsi="宋体"/>
          <w:b/>
          <w:bCs/>
          <w:color w:val="auto"/>
          <w:highlight w:val="none"/>
        </w:rPr>
      </w:pPr>
      <w:r>
        <w:rPr>
          <w:rFonts w:hint="eastAsia"/>
          <w:color w:val="auto"/>
          <w:highlight w:val="none"/>
        </w:rPr>
        <w:t>政府采购评审专家有上述违法行为的，其评审意见无效，不得获取评审费；有违法所得的，没收违法所得；给他人造成损失的，依法承担民事责任。</w:t>
      </w:r>
    </w:p>
    <w:p w14:paraId="59364D9B">
      <w:pPr>
        <w:widowControl/>
        <w:spacing w:line="460" w:lineRule="exact"/>
        <w:ind w:firstLine="482" w:firstLineChars="200"/>
        <w:jc w:val="left"/>
        <w:outlineLvl w:val="2"/>
        <w:rPr>
          <w:rFonts w:hint="eastAsia" w:ascii="宋体" w:hAnsi="宋体"/>
          <w:b/>
          <w:bCs/>
          <w:color w:val="auto"/>
          <w:sz w:val="24"/>
          <w:highlight w:val="none"/>
        </w:rPr>
      </w:pPr>
      <w:r>
        <w:rPr>
          <w:rFonts w:hint="eastAsia" w:ascii="宋体" w:hAnsi="宋体"/>
          <w:b/>
          <w:bCs/>
          <w:color w:val="auto"/>
          <w:sz w:val="24"/>
          <w:highlight w:val="none"/>
        </w:rPr>
        <w:t>（五）澄清问题的形式</w:t>
      </w:r>
    </w:p>
    <w:p w14:paraId="4ABDE497">
      <w:pPr>
        <w:widowControl/>
        <w:spacing w:line="460" w:lineRule="exact"/>
        <w:ind w:firstLine="480" w:firstLineChars="200"/>
        <w:jc w:val="left"/>
        <w:rPr>
          <w:rFonts w:hint="eastAsia" w:ascii="宋体" w:hAnsi="宋体"/>
          <w:color w:val="auto"/>
          <w:sz w:val="24"/>
          <w:highlight w:val="none"/>
        </w:rPr>
      </w:pPr>
      <w:bookmarkStart w:id="364" w:name="_Toc30178"/>
      <w:bookmarkStart w:id="365" w:name="_Toc32057"/>
      <w:bookmarkStart w:id="366" w:name="_Toc12786"/>
      <w:bookmarkStart w:id="367" w:name="_Toc3131"/>
      <w:bookmarkStart w:id="368" w:name="_Toc24183"/>
      <w:r>
        <w:rPr>
          <w:rFonts w:hint="eastAsia" w:ascii="宋体" w:hAnsi="宋体"/>
          <w:color w:val="auto"/>
          <w:sz w:val="24"/>
          <w:highlight w:val="none"/>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bookmarkEnd w:id="364"/>
      <w:bookmarkEnd w:id="365"/>
      <w:bookmarkEnd w:id="366"/>
      <w:bookmarkEnd w:id="367"/>
      <w:bookmarkEnd w:id="368"/>
    </w:p>
    <w:p w14:paraId="56153B98">
      <w:pPr>
        <w:keepLines/>
        <w:spacing w:line="460" w:lineRule="exact"/>
        <w:ind w:firstLine="482" w:firstLineChars="200"/>
        <w:contextualSpacing/>
        <w:jc w:val="left"/>
        <w:outlineLvl w:val="2"/>
        <w:rPr>
          <w:rFonts w:ascii="宋体" w:hAnsi="宋体"/>
          <w:b/>
          <w:color w:val="auto"/>
          <w:kern w:val="0"/>
          <w:sz w:val="24"/>
          <w:highlight w:val="none"/>
          <w:lang w:bidi="en-US"/>
        </w:rPr>
      </w:pPr>
      <w:bookmarkStart w:id="369" w:name="_Toc4098"/>
      <w:bookmarkStart w:id="370" w:name="_Toc21438"/>
      <w:r>
        <w:rPr>
          <w:rFonts w:ascii="宋体" w:hAnsi="宋体"/>
          <w:b/>
          <w:color w:val="auto"/>
          <w:kern w:val="0"/>
          <w:sz w:val="24"/>
          <w:highlight w:val="none"/>
          <w:lang w:bidi="en-US"/>
        </w:rPr>
        <w:t>（</w:t>
      </w:r>
      <w:r>
        <w:rPr>
          <w:rFonts w:hint="eastAsia" w:ascii="宋体" w:hAnsi="宋体"/>
          <w:b/>
          <w:color w:val="auto"/>
          <w:kern w:val="0"/>
          <w:sz w:val="24"/>
          <w:highlight w:val="none"/>
          <w:lang w:bidi="en-US"/>
        </w:rPr>
        <w:t>六</w:t>
      </w:r>
      <w:r>
        <w:rPr>
          <w:rFonts w:ascii="宋体" w:hAnsi="宋体"/>
          <w:b/>
          <w:color w:val="auto"/>
          <w:kern w:val="0"/>
          <w:sz w:val="24"/>
          <w:highlight w:val="none"/>
          <w:lang w:bidi="en-US"/>
        </w:rPr>
        <w:t>）错误修正</w:t>
      </w:r>
      <w:bookmarkEnd w:id="369"/>
      <w:bookmarkEnd w:id="370"/>
    </w:p>
    <w:p w14:paraId="1385E633">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投标文件如果出现计算或表达上的错误，修正错误的原则如下：</w:t>
      </w:r>
    </w:p>
    <w:p w14:paraId="04CF032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1.开标一览表总价与投标报价明细表汇总数不一致的，以开标一览表为准；</w:t>
      </w:r>
    </w:p>
    <w:p w14:paraId="1B1F8A8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2.投标文件的大写金额和小写金额不一致的，以大写金额为准；</w:t>
      </w:r>
    </w:p>
    <w:p w14:paraId="0242953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3.单价金额小数点或者百分比有明显错位的，以开标一览表的总价为准，并修改单价；</w:t>
      </w:r>
    </w:p>
    <w:p w14:paraId="131A1E5E">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4.总价金额与按单价汇总金额不一致的，以单价金额计算结果为准；</w:t>
      </w:r>
    </w:p>
    <w:p w14:paraId="7D5FC5A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5.对不同文字文本投标文件的解释发生异议的，以中文文本为准。</w:t>
      </w:r>
      <w:bookmarkStart w:id="371" w:name="_Toc32392"/>
      <w:bookmarkStart w:id="372" w:name="_Toc5602"/>
    </w:p>
    <w:p w14:paraId="0045CD1F">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6.在电子投标系统中显示的金额与投标文件的金额不一致时，以投标文件的金额为准。</w:t>
      </w:r>
    </w:p>
    <w:p w14:paraId="11B9B28F">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按上述修正错误的原则及方法调整或修正投标文件的投标报价，投标人同意并签字确认后，调整后的投标报价对投标人具有约束作用。如果投标人不接受修正后的报价，则其投标将作为无效投标处理。</w:t>
      </w:r>
      <w:bookmarkEnd w:id="371"/>
      <w:bookmarkEnd w:id="372"/>
      <w:bookmarkStart w:id="373" w:name="_Toc9938"/>
      <w:bookmarkStart w:id="374" w:name="_Toc16478"/>
      <w:bookmarkStart w:id="375" w:name="_Toc29304"/>
      <w:bookmarkStart w:id="376" w:name="_Toc23938"/>
      <w:bookmarkStart w:id="377" w:name="_Toc21770"/>
      <w:bookmarkStart w:id="378" w:name="_Toc12959"/>
      <w:bookmarkStart w:id="379" w:name="_Toc6194"/>
      <w:bookmarkStart w:id="380" w:name="_Toc8736"/>
      <w:bookmarkStart w:id="381" w:name="_Toc31002"/>
      <w:bookmarkStart w:id="382" w:name="_Toc23828"/>
    </w:p>
    <w:p w14:paraId="74733FAB">
      <w:pPr>
        <w:snapToGrid w:val="0"/>
        <w:spacing w:line="400" w:lineRule="exact"/>
        <w:ind w:firstLine="482" w:firstLineChars="200"/>
        <w:outlineLvl w:val="2"/>
        <w:rPr>
          <w:rFonts w:hint="eastAsia" w:ascii="宋体" w:hAnsi="宋体"/>
          <w:b/>
          <w:bCs/>
          <w:color w:val="auto"/>
          <w:sz w:val="24"/>
          <w:highlight w:val="none"/>
        </w:rPr>
      </w:pPr>
      <w:r>
        <w:rPr>
          <w:rFonts w:hint="eastAsia" w:ascii="宋体" w:hAnsi="宋体"/>
          <w:b/>
          <w:bCs/>
          <w:color w:val="auto"/>
          <w:sz w:val="24"/>
          <w:highlight w:val="none"/>
        </w:rPr>
        <w:t>（七）评标原则和评标办法</w:t>
      </w:r>
    </w:p>
    <w:p w14:paraId="62757475">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05DB23A9">
      <w:pPr>
        <w:pStyle w:val="527"/>
        <w:spacing w:before="0" w:after="0" w:line="440" w:lineRule="exact"/>
        <w:ind w:firstLine="480" w:firstLineChars="200"/>
        <w:rPr>
          <w:rFonts w:hint="eastAsia" w:ascii="宋体" w:hAnsi="宋体" w:cs="宋体"/>
          <w:color w:val="auto"/>
          <w:highlight w:val="none"/>
        </w:rPr>
      </w:pPr>
      <w:r>
        <w:rPr>
          <w:rFonts w:hint="eastAsia" w:ascii="宋体" w:hAnsi="宋体" w:cs="宋体"/>
          <w:color w:val="auto"/>
          <w:highlight w:val="none"/>
        </w:rPr>
        <w:t>2.评标办法。本项目评标办法是 综合评分法 ，具体评标内容及评分标准等详见《评标办法及评分标准》。</w:t>
      </w:r>
    </w:p>
    <w:p w14:paraId="1E0095A3">
      <w:pPr>
        <w:widowControl/>
        <w:spacing w:line="460" w:lineRule="exact"/>
        <w:ind w:firstLine="562" w:firstLineChars="200"/>
        <w:jc w:val="left"/>
        <w:outlineLvl w:val="1"/>
        <w:rPr>
          <w:rFonts w:hint="eastAsia" w:ascii="黑体" w:eastAsia="黑体"/>
          <w:b/>
          <w:bCs/>
          <w:color w:val="auto"/>
          <w:sz w:val="28"/>
          <w:szCs w:val="28"/>
          <w:highlight w:val="none"/>
        </w:rPr>
      </w:pPr>
      <w:r>
        <w:rPr>
          <w:rFonts w:hint="eastAsia" w:ascii="黑体" w:eastAsia="黑体"/>
          <w:b/>
          <w:bCs/>
          <w:color w:val="auto"/>
          <w:sz w:val="28"/>
          <w:szCs w:val="28"/>
          <w:highlight w:val="none"/>
        </w:rPr>
        <w:t>六、采购方式变更</w:t>
      </w:r>
      <w:bookmarkEnd w:id="373"/>
      <w:bookmarkEnd w:id="374"/>
      <w:bookmarkEnd w:id="375"/>
      <w:bookmarkEnd w:id="376"/>
      <w:bookmarkEnd w:id="377"/>
      <w:bookmarkEnd w:id="378"/>
      <w:bookmarkEnd w:id="379"/>
      <w:bookmarkEnd w:id="380"/>
      <w:bookmarkEnd w:id="381"/>
      <w:bookmarkEnd w:id="382"/>
    </w:p>
    <w:p w14:paraId="61270562">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采购响应截止时间止或评审期间，出现参与采购响应或者对招标文件作出实质性响应的供应商不足3家的情况，原则上应终止采购活动，重新组织采购。</w:t>
      </w:r>
    </w:p>
    <w:p w14:paraId="6D28C2F3">
      <w:pPr>
        <w:widowControl/>
        <w:spacing w:line="460" w:lineRule="exact"/>
        <w:ind w:firstLine="562" w:firstLineChars="200"/>
        <w:jc w:val="left"/>
        <w:outlineLvl w:val="1"/>
        <w:rPr>
          <w:rFonts w:hint="eastAsia" w:ascii="黑体" w:eastAsia="黑体"/>
          <w:b/>
          <w:bCs/>
          <w:color w:val="auto"/>
          <w:sz w:val="28"/>
          <w:szCs w:val="28"/>
          <w:highlight w:val="none"/>
        </w:rPr>
      </w:pPr>
      <w:bookmarkStart w:id="383" w:name="_Toc14572"/>
      <w:bookmarkStart w:id="384" w:name="_Toc27001"/>
      <w:bookmarkStart w:id="385" w:name="_Toc11020"/>
      <w:bookmarkStart w:id="386" w:name="_Toc1505"/>
      <w:bookmarkStart w:id="387" w:name="_Toc23525"/>
      <w:bookmarkStart w:id="388" w:name="_Toc1684"/>
      <w:bookmarkStart w:id="389" w:name="_Toc21419"/>
      <w:bookmarkStart w:id="390" w:name="_Toc14250"/>
      <w:bookmarkStart w:id="391" w:name="_Toc11850"/>
      <w:bookmarkStart w:id="392" w:name="_Toc15643"/>
      <w:r>
        <w:rPr>
          <w:rFonts w:hint="eastAsia" w:ascii="黑体" w:eastAsia="黑体"/>
          <w:b/>
          <w:bCs/>
          <w:color w:val="auto"/>
          <w:sz w:val="28"/>
          <w:szCs w:val="28"/>
          <w:highlight w:val="none"/>
        </w:rPr>
        <w:t>七、定标</w:t>
      </w:r>
      <w:bookmarkEnd w:id="383"/>
      <w:bookmarkEnd w:id="384"/>
      <w:bookmarkEnd w:id="385"/>
      <w:bookmarkEnd w:id="386"/>
      <w:bookmarkEnd w:id="387"/>
      <w:bookmarkEnd w:id="388"/>
      <w:bookmarkEnd w:id="389"/>
      <w:bookmarkEnd w:id="390"/>
      <w:bookmarkEnd w:id="391"/>
      <w:bookmarkEnd w:id="392"/>
    </w:p>
    <w:p w14:paraId="30214269">
      <w:pPr>
        <w:snapToGrid w:val="0"/>
        <w:spacing w:line="440" w:lineRule="exact"/>
        <w:ind w:firstLine="482" w:firstLineChars="200"/>
        <w:rPr>
          <w:rStyle w:val="201"/>
          <w:rFonts w:hint="eastAsia" w:ascii="宋体" w:hAnsi="宋体"/>
          <w:b/>
          <w:bCs/>
          <w:color w:val="auto"/>
          <w:sz w:val="24"/>
          <w:highlight w:val="none"/>
        </w:rPr>
      </w:pPr>
      <w:r>
        <w:rPr>
          <w:rStyle w:val="201"/>
          <w:rFonts w:hint="eastAsia" w:ascii="宋体" w:hAnsi="宋体"/>
          <w:b/>
          <w:bCs/>
          <w:color w:val="auto"/>
          <w:sz w:val="24"/>
          <w:highlight w:val="none"/>
        </w:rPr>
        <w:t>（一）采购项目需要落实的政府采购政策</w:t>
      </w:r>
    </w:p>
    <w:p w14:paraId="7735882A">
      <w:pPr>
        <w:spacing w:line="440" w:lineRule="exact"/>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30B379A6">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2.支持绿色发展</w:t>
      </w:r>
    </w:p>
    <w:p w14:paraId="63A017BE">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p>
    <w:p w14:paraId="408310F2">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0819670">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3.支持创新发展</w:t>
      </w:r>
    </w:p>
    <w:p w14:paraId="586B65C1">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3.1 采购人优先采购被认定为首台套产品和“制造精品”的自主创新产品。</w:t>
      </w:r>
    </w:p>
    <w:p w14:paraId="264EF4AB">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3.2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52280D08">
      <w:pPr>
        <w:spacing w:line="440" w:lineRule="exact"/>
        <w:ind w:firstLine="480" w:firstLineChars="200"/>
        <w:rPr>
          <w:rStyle w:val="201"/>
          <w:rFonts w:ascii="宋体" w:hAnsi="宋体"/>
          <w:b/>
          <w:bCs/>
          <w:color w:val="auto"/>
          <w:sz w:val="24"/>
          <w:highlight w:val="none"/>
        </w:rPr>
      </w:pPr>
      <w:r>
        <w:rPr>
          <w:rFonts w:hint="eastAsia" w:ascii="宋体" w:hAnsi="宋体"/>
          <w:color w:val="auto"/>
          <w:sz w:val="24"/>
          <w:highlight w:val="none"/>
        </w:rPr>
        <w:t>4.中小企业信用融资：为支持和促进中小企业发展，进一步发挥政府采购政策功能，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 https://www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6483D37B">
      <w:pPr>
        <w:snapToGrid w:val="0"/>
        <w:spacing w:line="460" w:lineRule="exact"/>
        <w:ind w:firstLine="482" w:firstLineChars="200"/>
        <w:rPr>
          <w:rStyle w:val="201"/>
          <w:rFonts w:ascii="宋体" w:hAnsi="宋体"/>
          <w:b/>
          <w:bCs/>
          <w:color w:val="auto"/>
          <w:sz w:val="24"/>
          <w:highlight w:val="none"/>
        </w:rPr>
      </w:pPr>
      <w:r>
        <w:rPr>
          <w:rStyle w:val="201"/>
          <w:rFonts w:ascii="宋体" w:hAnsi="宋体"/>
          <w:b/>
          <w:bCs/>
          <w:color w:val="auto"/>
          <w:sz w:val="24"/>
          <w:highlight w:val="none"/>
        </w:rPr>
        <w:t>（</w:t>
      </w:r>
      <w:r>
        <w:rPr>
          <w:rStyle w:val="201"/>
          <w:rFonts w:hint="eastAsia" w:ascii="宋体" w:hAnsi="宋体"/>
          <w:b/>
          <w:bCs/>
          <w:color w:val="auto"/>
          <w:sz w:val="24"/>
          <w:highlight w:val="none"/>
        </w:rPr>
        <w:t>二</w:t>
      </w:r>
      <w:r>
        <w:rPr>
          <w:rStyle w:val="201"/>
          <w:rFonts w:ascii="宋体" w:hAnsi="宋体"/>
          <w:b/>
          <w:bCs/>
          <w:color w:val="auto"/>
          <w:sz w:val="24"/>
          <w:highlight w:val="none"/>
        </w:rPr>
        <w:t>）</w:t>
      </w:r>
      <w:r>
        <w:rPr>
          <w:rFonts w:hint="eastAsia" w:ascii="宋体" w:hAnsi="宋体"/>
          <w:b/>
          <w:bCs/>
          <w:color w:val="auto"/>
          <w:sz w:val="24"/>
          <w:highlight w:val="none"/>
        </w:rPr>
        <w:t>确定中标人。本项目由采购人（或采购人事先授权评标委员会）确定中标人。</w:t>
      </w:r>
    </w:p>
    <w:p w14:paraId="2161079E">
      <w:pPr>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1．出现下列情形之一的，采购人或者采购人授权的评标委员会可以按照评审报告推荐的中标或者成交候选人名单排序，确定下一候选人为中标或者成交供应商，也可以重新开展政府采购活动。</w:t>
      </w:r>
    </w:p>
    <w:p w14:paraId="2E1EE850">
      <w:pPr>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（1）排名第一的候选供应商，因自身原因放弃中标或因不可抗力不能履行合同的；</w:t>
      </w:r>
    </w:p>
    <w:p w14:paraId="7D2C7C52">
      <w:pPr>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（2）经质疑，采购人审查确认因排名第一的候选供应商在本次采购活动中存在违法违规行为或其他原因使质疑成立的。</w:t>
      </w:r>
    </w:p>
    <w:p w14:paraId="7F74D199">
      <w:pPr>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2.采购人应当自收到评审报告之日起5个工作日内在评审报告推荐的中标或者成交候选人中按顺序确定中标或者成交供应商。如有投标人对评标结果提出质疑的，采购人可在质疑处理完毕后确定中标人。</w:t>
      </w:r>
    </w:p>
    <w:p w14:paraId="0D0979DF">
      <w:pPr>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3.采购人或采购代理机构应当自中标、成交供应商确定之日起2个工作日内，发出中标、成交通知书，并在省级以上人民政府财政部门指定的媒体上公告中标、成交结果。</w:t>
      </w:r>
    </w:p>
    <w:p w14:paraId="4337CBE7">
      <w:pPr>
        <w:widowControl/>
        <w:spacing w:line="460" w:lineRule="exact"/>
        <w:ind w:firstLine="562" w:firstLineChars="200"/>
        <w:jc w:val="left"/>
        <w:outlineLvl w:val="1"/>
        <w:rPr>
          <w:rFonts w:hint="eastAsia" w:ascii="黑体" w:eastAsia="黑体"/>
          <w:b/>
          <w:bCs/>
          <w:color w:val="auto"/>
          <w:sz w:val="28"/>
          <w:szCs w:val="28"/>
          <w:highlight w:val="none"/>
        </w:rPr>
      </w:pPr>
      <w:bookmarkStart w:id="393" w:name="_Toc27066"/>
      <w:bookmarkStart w:id="394" w:name="_Toc2686"/>
      <w:bookmarkStart w:id="395" w:name="_Toc21600"/>
      <w:bookmarkStart w:id="396" w:name="_Toc5149"/>
      <w:bookmarkStart w:id="397" w:name="_Toc5811"/>
      <w:bookmarkStart w:id="398" w:name="_Toc26656"/>
      <w:bookmarkStart w:id="399" w:name="_Toc25532"/>
      <w:bookmarkStart w:id="400" w:name="_Toc3374"/>
      <w:bookmarkStart w:id="401" w:name="_Toc14974"/>
      <w:bookmarkStart w:id="402" w:name="_Toc9407"/>
      <w:r>
        <w:rPr>
          <w:rFonts w:hint="eastAsia" w:ascii="黑体" w:eastAsia="黑体"/>
          <w:b/>
          <w:bCs/>
          <w:color w:val="auto"/>
          <w:sz w:val="28"/>
          <w:szCs w:val="28"/>
          <w:highlight w:val="none"/>
        </w:rPr>
        <w:t>八、合同授予</w:t>
      </w:r>
      <w:bookmarkEnd w:id="393"/>
      <w:bookmarkEnd w:id="394"/>
      <w:bookmarkEnd w:id="395"/>
      <w:bookmarkEnd w:id="396"/>
      <w:bookmarkEnd w:id="397"/>
      <w:bookmarkEnd w:id="398"/>
      <w:bookmarkEnd w:id="399"/>
      <w:bookmarkEnd w:id="400"/>
      <w:bookmarkEnd w:id="401"/>
      <w:bookmarkEnd w:id="402"/>
    </w:p>
    <w:p w14:paraId="2022E439">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1. 合同的签订</w:t>
      </w:r>
    </w:p>
    <w:p w14:paraId="06F66809">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1.1除不可抗力等特殊情况外，采购人原则上应当在中标通知书发出之日起5日内，与成交人按照采购文件确定的事项签订政府采购合同，并在签订之日起2个工作日内将政府采购合同在浙江政府采购网上公告。</w:t>
      </w:r>
    </w:p>
    <w:p w14:paraId="22AB5041">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zh-CN"/>
        </w:rPr>
        <w:t>.2成交人按规定的日期、时间、地点，由法定代表人或其授权代表与采购人代表签订合同。如成交人为联合体的，由联合体成员各方法定代表人或其授权代表与采购人代表签订合同。</w:t>
      </w:r>
    </w:p>
    <w:p w14:paraId="328A11BE">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1.3如签订合同并生效后，供应商无故拒绝或延期，除按照合同条款处理外，列入不良行为记录一次，并给予通报。</w:t>
      </w:r>
    </w:p>
    <w:p w14:paraId="541F5A1C">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1.4成交人拒绝与采购人签订合同的，采购人可以按照评审报告推荐的中标或者成交候选人名单排序，确定下一候选人为成交人，也可以重新开展政府采购活动。</w:t>
      </w:r>
    </w:p>
    <w:p w14:paraId="2F9DE450">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1.5采购合同由采购人与成交人根据采购文件、投标响应文件等内容通过政府采购电子交易平台在线签订，自动备案。</w:t>
      </w:r>
    </w:p>
    <w:p w14:paraId="5AD4A84F">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1.6政府采购货物和服务项目不得收取质量保证金。政府采购工程以及与工程建设有关的货物、服务，采用招标方式采购的，按国家和省有关规定执行。</w:t>
      </w:r>
    </w:p>
    <w:p w14:paraId="3EC32721">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2.履约保证金</w:t>
      </w:r>
    </w:p>
    <w:p w14:paraId="237DA341">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拟签订的合同文本要求成交人提交履约保证金的，供应商应当以支票、汇票、本票或者金融机构、担保机构出具的保函等非现金形式提交。履约保证金的数额不得超过政府采购合同金额的1%。鼓励和支持供应商以履约保函形式提供履约保证金。</w:t>
      </w:r>
    </w:p>
    <w:p w14:paraId="0BB96040">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24DEF4FF">
      <w:pPr>
        <w:snapToGrid w:val="0"/>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3.采购人与中标人应当在《中标通知书》发出之日起30日内签订政府采购合同。同时，采购代理机构对合同内容进行审查，如发现与采购结果和投标承诺内容不一致的，应予以纠正。</w:t>
      </w:r>
    </w:p>
    <w:p w14:paraId="06B0D657">
      <w:pPr>
        <w:snapToGrid w:val="0"/>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4.合同正本一式六份，采购单位与中标人各执两份，</w:t>
      </w:r>
      <w:r>
        <w:rPr>
          <w:rFonts w:hint="eastAsia" w:ascii="宋体" w:hAnsi="宋体"/>
          <w:color w:val="auto"/>
          <w:sz w:val="24"/>
          <w:highlight w:val="none"/>
          <w:lang w:eastAsia="zh-CN"/>
        </w:rPr>
        <w:t>浙江展图工程咨询有限公司</w:t>
      </w:r>
      <w:r>
        <w:rPr>
          <w:rFonts w:hint="eastAsia" w:ascii="宋体" w:hAnsi="宋体"/>
          <w:color w:val="auto"/>
          <w:sz w:val="24"/>
          <w:highlight w:val="none"/>
        </w:rPr>
        <w:t>、磐安县财政局采购监管科各执一份。</w:t>
      </w:r>
    </w:p>
    <w:p w14:paraId="2ED1E298">
      <w:pPr>
        <w:snapToGrid w:val="0"/>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5.中标人拖延、拒签合同的，将被取消中标资格。</w:t>
      </w:r>
    </w:p>
    <w:p w14:paraId="7905919A">
      <w:pPr>
        <w:widowControl/>
        <w:spacing w:line="460" w:lineRule="exact"/>
        <w:ind w:firstLine="562" w:firstLineChars="200"/>
        <w:jc w:val="left"/>
        <w:outlineLvl w:val="1"/>
        <w:rPr>
          <w:rFonts w:hint="eastAsia" w:ascii="黑体" w:eastAsia="黑体"/>
          <w:b/>
          <w:bCs/>
          <w:color w:val="auto"/>
          <w:sz w:val="28"/>
          <w:szCs w:val="28"/>
          <w:highlight w:val="none"/>
        </w:rPr>
      </w:pPr>
      <w:bookmarkStart w:id="403" w:name="_Toc20978"/>
      <w:bookmarkStart w:id="404" w:name="_Toc22294"/>
      <w:bookmarkStart w:id="405" w:name="_Toc19699"/>
      <w:bookmarkStart w:id="406" w:name="_Toc32478"/>
      <w:bookmarkStart w:id="407" w:name="_Toc21062"/>
      <w:bookmarkStart w:id="408" w:name="_Toc25670"/>
      <w:bookmarkStart w:id="409" w:name="_Toc22748"/>
      <w:bookmarkStart w:id="410" w:name="_Toc23229"/>
      <w:bookmarkStart w:id="411" w:name="_Toc9798"/>
      <w:bookmarkStart w:id="412" w:name="_Toc11661"/>
      <w:r>
        <w:rPr>
          <w:rFonts w:hint="eastAsia" w:ascii="黑体" w:eastAsia="黑体"/>
          <w:b/>
          <w:bCs/>
          <w:color w:val="auto"/>
          <w:sz w:val="28"/>
          <w:szCs w:val="28"/>
          <w:highlight w:val="none"/>
        </w:rPr>
        <w:t>九、质疑与投诉</w:t>
      </w:r>
      <w:bookmarkEnd w:id="403"/>
      <w:bookmarkEnd w:id="404"/>
      <w:bookmarkEnd w:id="405"/>
      <w:bookmarkEnd w:id="406"/>
      <w:bookmarkEnd w:id="407"/>
      <w:bookmarkEnd w:id="408"/>
      <w:bookmarkEnd w:id="409"/>
      <w:bookmarkEnd w:id="410"/>
      <w:bookmarkEnd w:id="411"/>
      <w:bookmarkEnd w:id="412"/>
    </w:p>
    <w:p w14:paraId="2F3D7DD7">
      <w:pPr>
        <w:pStyle w:val="527"/>
        <w:spacing w:before="0" w:after="0" w:line="460" w:lineRule="exact"/>
        <w:ind w:firstLine="480" w:firstLineChars="200"/>
        <w:rPr>
          <w:rFonts w:hint="eastAsia"/>
          <w:color w:val="auto"/>
          <w:highlight w:val="none"/>
        </w:rPr>
      </w:pPr>
      <w:r>
        <w:rPr>
          <w:rFonts w:hint="eastAsia"/>
          <w:color w:val="auto"/>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bookmarkEnd w:id="322"/>
    </w:p>
    <w:p w14:paraId="689488A0">
      <w:pPr>
        <w:pStyle w:val="2"/>
        <w:spacing w:line="360" w:lineRule="auto"/>
        <w:jc w:val="center"/>
        <w:rPr>
          <w:rFonts w:hint="eastAsia" w:ascii="宋体" w:hAnsi="宋体" w:cs="宋体"/>
          <w:b w:val="0"/>
          <w:color w:val="auto"/>
          <w:sz w:val="30"/>
          <w:szCs w:val="30"/>
          <w:highlight w:val="none"/>
        </w:rPr>
      </w:pPr>
      <w:r>
        <w:rPr>
          <w:rFonts w:hint="eastAsia" w:ascii="黑体" w:hAnsi="黑体" w:eastAsia="黑体" w:cs="黑体"/>
          <w:b w:val="0"/>
          <w:color w:val="auto"/>
          <w:sz w:val="30"/>
          <w:szCs w:val="30"/>
          <w:highlight w:val="none"/>
        </w:rPr>
        <w:br w:type="page"/>
      </w:r>
      <w:bookmarkStart w:id="413" w:name="_Toc5992"/>
      <w:bookmarkStart w:id="414" w:name="_Toc11683"/>
      <w:bookmarkStart w:id="415" w:name="_Toc1727"/>
      <w:bookmarkStart w:id="416" w:name="_Toc23902"/>
      <w:r>
        <w:rPr>
          <w:rFonts w:hint="eastAsia"/>
          <w:color w:val="auto"/>
          <w:highlight w:val="none"/>
        </w:rPr>
        <w:t>第四章  评审办法</w:t>
      </w:r>
      <w:bookmarkEnd w:id="413"/>
      <w:bookmarkEnd w:id="414"/>
      <w:r>
        <w:rPr>
          <w:rFonts w:hint="eastAsia"/>
          <w:color w:val="auto"/>
          <w:highlight w:val="none"/>
        </w:rPr>
        <w:t>和评分标准</w:t>
      </w:r>
      <w:bookmarkEnd w:id="415"/>
      <w:bookmarkEnd w:id="416"/>
    </w:p>
    <w:p w14:paraId="38372420">
      <w:pPr>
        <w:spacing w:line="360" w:lineRule="auto"/>
        <w:ind w:right="218" w:rightChars="104" w:firstLine="480" w:firstLineChars="200"/>
        <w:rPr>
          <w:rFonts w:hint="eastAsia" w:ascii="宋体" w:hAnsi="宋体" w:cs="宋体"/>
          <w:color w:val="auto"/>
          <w:sz w:val="24"/>
          <w:highlight w:val="none"/>
        </w:rPr>
      </w:pPr>
      <w:r>
        <w:rPr>
          <w:rFonts w:hint="eastAsia" w:ascii="宋体" w:hAnsi="宋体" w:cs="宋体"/>
          <w:color w:val="auto"/>
          <w:sz w:val="24"/>
          <w:highlight w:val="none"/>
        </w:rPr>
        <w:t>为公正、公平、科学地选择中标人，根据《中华人民共和国政府采购法》等有关法律法规的规定，并结合本项目的实际，制定本办法。</w:t>
      </w:r>
    </w:p>
    <w:p w14:paraId="0380F4B0">
      <w:pPr>
        <w:spacing w:line="450" w:lineRule="exact"/>
        <w:ind w:right="218" w:rightChars="104" w:firstLine="420"/>
        <w:rPr>
          <w:rFonts w:hint="eastAsia" w:ascii="宋体" w:hAnsi="宋体" w:cs="宋体"/>
          <w:b/>
          <w:bCs/>
          <w:color w:val="auto"/>
          <w:sz w:val="24"/>
          <w:highlight w:val="none"/>
        </w:rPr>
      </w:pPr>
      <w:r>
        <w:rPr>
          <w:rFonts w:hint="eastAsia" w:ascii="宋体" w:hAnsi="宋体" w:cs="宋体"/>
          <w:b/>
          <w:color w:val="auto"/>
          <w:sz w:val="24"/>
          <w:highlight w:val="none"/>
        </w:rPr>
        <w:t>本办法适用于</w:t>
      </w:r>
      <w:r>
        <w:rPr>
          <w:rFonts w:hint="eastAsia" w:ascii="宋体" w:hAnsi="宋体" w:cs="宋体"/>
          <w:b/>
          <w:color w:val="auto"/>
          <w:sz w:val="24"/>
          <w:highlight w:val="none"/>
          <w:lang w:eastAsia="zh-CN"/>
        </w:rPr>
        <w:t>磐安县中医院互联网医院中医药综合信息平台项目</w:t>
      </w:r>
      <w:r>
        <w:rPr>
          <w:rFonts w:hint="eastAsia" w:ascii="宋体" w:hAnsi="宋体" w:cs="宋体"/>
          <w:b/>
          <w:bCs/>
          <w:color w:val="auto"/>
          <w:sz w:val="24"/>
          <w:highlight w:val="none"/>
        </w:rPr>
        <w:t>公开招标文件</w:t>
      </w:r>
      <w:r>
        <w:rPr>
          <w:rFonts w:hint="eastAsia" w:ascii="宋体" w:hAnsi="宋体" w:cs="宋体"/>
          <w:b/>
          <w:color w:val="auto"/>
          <w:sz w:val="24"/>
          <w:highlight w:val="none"/>
        </w:rPr>
        <w:t>的评</w:t>
      </w:r>
      <w:r>
        <w:rPr>
          <w:rFonts w:hint="eastAsia" w:ascii="宋体" w:hAnsi="宋体" w:cs="宋体"/>
          <w:b/>
          <w:bCs/>
          <w:color w:val="auto"/>
          <w:sz w:val="24"/>
          <w:highlight w:val="none"/>
        </w:rPr>
        <w:t>标。</w:t>
      </w:r>
    </w:p>
    <w:p w14:paraId="2596A9F9">
      <w:pPr>
        <w:spacing w:line="450" w:lineRule="exact"/>
        <w:ind w:firstLine="482" w:firstLineChars="200"/>
        <w:outlineLvl w:val="1"/>
        <w:rPr>
          <w:rFonts w:hint="eastAsia" w:ascii="宋体" w:hAnsi="宋体" w:cs="宋体"/>
          <w:b/>
          <w:color w:val="auto"/>
          <w:sz w:val="24"/>
          <w:highlight w:val="none"/>
        </w:rPr>
      </w:pPr>
      <w:r>
        <w:rPr>
          <w:rFonts w:hint="eastAsia" w:ascii="宋体" w:hAnsi="宋体" w:cs="宋体"/>
          <w:b/>
          <w:color w:val="auto"/>
          <w:sz w:val="24"/>
          <w:highlight w:val="none"/>
        </w:rPr>
        <w:t>一、评标</w:t>
      </w:r>
    </w:p>
    <w:p w14:paraId="742383D7">
      <w:pPr>
        <w:pStyle w:val="30"/>
        <w:spacing w:before="0" w:after="0" w:line="450" w:lineRule="exact"/>
        <w:ind w:firstLine="480" w:firstLineChars="200"/>
        <w:rPr>
          <w:rFonts w:hint="eastAsia" w:hAnsi="宋体" w:cs="宋体"/>
          <w:color w:val="auto"/>
          <w:highlight w:val="none"/>
        </w:rPr>
      </w:pPr>
      <w:r>
        <w:rPr>
          <w:rFonts w:hint="eastAsia" w:hAnsi="宋体" w:cs="宋体"/>
          <w:color w:val="auto"/>
          <w:highlight w:val="none"/>
        </w:rPr>
        <w:t>本次评标采用综合评分法，总分为100分。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过程中采用四舍五入法，并保留两位小数。</w:t>
      </w:r>
    </w:p>
    <w:p w14:paraId="252DCB47">
      <w:pPr>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技术商务分按照评标委员会成员的独立评分结果汇总后的算术平均分计算，计算公式为：</w:t>
      </w:r>
    </w:p>
    <w:p w14:paraId="00A730C3">
      <w:pPr>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技术商务分=评标委员会所有成员评分合计数/评标委员会组成人员数</w:t>
      </w:r>
    </w:p>
    <w:p w14:paraId="590769E1">
      <w:pPr>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投标人评标综合得分=报价分+技术商务分</w:t>
      </w:r>
    </w:p>
    <w:p w14:paraId="5ACB3FE4">
      <w:pPr>
        <w:spacing w:line="450" w:lineRule="exact"/>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投标报价超出最高限价的，其投标按无效投标处理。</w:t>
      </w:r>
    </w:p>
    <w:p w14:paraId="0D4E2629">
      <w:pPr>
        <w:spacing w:line="450" w:lineRule="exact"/>
        <w:rPr>
          <w:rFonts w:hint="eastAsia" w:ascii="宋体" w:hAnsi="宋体" w:cs="宋体"/>
          <w:b/>
          <w:color w:val="auto"/>
          <w:sz w:val="24"/>
          <w:highlight w:val="none"/>
        </w:rPr>
      </w:pPr>
      <w:r>
        <w:rPr>
          <w:rFonts w:hint="eastAsia" w:ascii="宋体" w:hAnsi="宋体" w:cs="宋体"/>
          <w:b/>
          <w:color w:val="auto"/>
          <w:sz w:val="24"/>
          <w:highlight w:val="none"/>
        </w:rPr>
        <w:t>评标细则如下：（技术商务</w:t>
      </w:r>
      <w:r>
        <w:rPr>
          <w:rFonts w:hint="eastAsia" w:ascii="宋体" w:hAnsi="宋体" w:cs="宋体"/>
          <w:b/>
          <w:color w:val="auto"/>
          <w:sz w:val="24"/>
          <w:highlight w:val="none"/>
          <w:lang w:val="en-US" w:eastAsia="zh-CN"/>
        </w:rPr>
        <w:t>80</w:t>
      </w:r>
      <w:r>
        <w:rPr>
          <w:rFonts w:hint="eastAsia" w:ascii="宋体" w:hAnsi="宋体" w:cs="宋体"/>
          <w:b/>
          <w:color w:val="auto"/>
          <w:sz w:val="24"/>
          <w:highlight w:val="none"/>
        </w:rPr>
        <w:t>分及</w:t>
      </w:r>
      <w:r>
        <w:rPr>
          <w:rFonts w:hint="eastAsia" w:ascii="宋体" w:hAnsi="宋体" w:cs="宋体"/>
          <w:b/>
          <w:color w:val="auto"/>
          <w:kern w:val="0"/>
          <w:sz w:val="24"/>
          <w:highlight w:val="none"/>
        </w:rPr>
        <w:t>价格</w:t>
      </w:r>
      <w:r>
        <w:rPr>
          <w:rFonts w:hint="eastAsia" w:ascii="宋体" w:hAnsi="宋体" w:cs="宋体"/>
          <w:b/>
          <w:color w:val="auto"/>
          <w:sz w:val="24"/>
          <w:highlight w:val="none"/>
        </w:rPr>
        <w:t>分</w:t>
      </w:r>
      <w:r>
        <w:rPr>
          <w:rFonts w:hint="eastAsia" w:ascii="宋体" w:hAnsi="宋体" w:cs="宋体"/>
          <w:b/>
          <w:color w:val="auto"/>
          <w:sz w:val="24"/>
          <w:highlight w:val="none"/>
          <w:lang w:val="en-US" w:eastAsia="zh-CN"/>
        </w:rPr>
        <w:t>20</w:t>
      </w:r>
      <w:r>
        <w:rPr>
          <w:rFonts w:hint="eastAsia" w:ascii="宋体" w:hAnsi="宋体" w:cs="宋体"/>
          <w:b/>
          <w:color w:val="auto"/>
          <w:sz w:val="24"/>
          <w:highlight w:val="none"/>
        </w:rPr>
        <w:t>分，共100分）</w:t>
      </w:r>
    </w:p>
    <w:tbl>
      <w:tblPr>
        <w:tblStyle w:val="54"/>
        <w:tblW w:w="486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56"/>
        <w:gridCol w:w="6735"/>
        <w:gridCol w:w="832"/>
      </w:tblGrid>
      <w:tr w14:paraId="4229B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39" w:type="pct"/>
            <w:shd w:val="clear" w:color="auto" w:fill="auto"/>
            <w:noWrap/>
            <w:vAlign w:val="center"/>
          </w:tcPr>
          <w:p w14:paraId="4B9DECEE">
            <w:pPr>
              <w:widowControl/>
              <w:jc w:val="center"/>
              <w:textAlignment w:val="center"/>
              <w:rPr>
                <w:rFonts w:hAnsi="宋体" w:cs="宋体"/>
                <w:color w:val="000000"/>
                <w:sz w:val="22"/>
                <w:szCs w:val="22"/>
              </w:rPr>
            </w:pPr>
            <w:r>
              <w:rPr>
                <w:rFonts w:hint="eastAsia" w:hAnsi="宋体" w:cs="宋体"/>
                <w:color w:val="000000"/>
                <w:sz w:val="22"/>
                <w:szCs w:val="22"/>
                <w:lang w:bidi="ar"/>
              </w:rPr>
              <w:t>评标因素</w:t>
            </w:r>
          </w:p>
        </w:tc>
        <w:tc>
          <w:tcPr>
            <w:tcW w:w="3613" w:type="pct"/>
            <w:shd w:val="clear" w:color="auto" w:fill="auto"/>
            <w:noWrap/>
            <w:vAlign w:val="center"/>
          </w:tcPr>
          <w:p w14:paraId="7287D401">
            <w:pPr>
              <w:widowControl/>
              <w:jc w:val="center"/>
              <w:textAlignment w:val="center"/>
              <w:rPr>
                <w:rFonts w:hAnsi="宋体" w:cs="宋体"/>
                <w:color w:val="000000"/>
                <w:sz w:val="22"/>
                <w:szCs w:val="22"/>
              </w:rPr>
            </w:pPr>
            <w:r>
              <w:rPr>
                <w:rFonts w:hint="eastAsia" w:hAnsi="宋体" w:cs="宋体"/>
                <w:color w:val="000000"/>
                <w:sz w:val="22"/>
                <w:szCs w:val="22"/>
                <w:lang w:bidi="ar"/>
              </w:rPr>
              <w:t>评分细则</w:t>
            </w:r>
          </w:p>
        </w:tc>
        <w:tc>
          <w:tcPr>
            <w:tcW w:w="447" w:type="pct"/>
            <w:shd w:val="clear" w:color="auto" w:fill="auto"/>
            <w:noWrap/>
            <w:vAlign w:val="center"/>
          </w:tcPr>
          <w:p w14:paraId="33226C8D">
            <w:pPr>
              <w:widowControl/>
              <w:jc w:val="center"/>
              <w:textAlignment w:val="center"/>
              <w:rPr>
                <w:rFonts w:hAnsi="宋体" w:cs="宋体"/>
                <w:color w:val="000000"/>
                <w:sz w:val="22"/>
                <w:szCs w:val="22"/>
              </w:rPr>
            </w:pPr>
            <w:r>
              <w:rPr>
                <w:rFonts w:hint="eastAsia" w:hAnsi="宋体" w:cs="宋体"/>
                <w:color w:val="000000"/>
                <w:sz w:val="22"/>
                <w:szCs w:val="22"/>
                <w:lang w:bidi="ar"/>
              </w:rPr>
              <w:t>分值</w:t>
            </w:r>
          </w:p>
        </w:tc>
      </w:tr>
      <w:tr w14:paraId="5F733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39" w:type="pct"/>
            <w:shd w:val="clear" w:color="auto" w:fill="auto"/>
            <w:noWrap/>
            <w:vAlign w:val="center"/>
          </w:tcPr>
          <w:p w14:paraId="3950E667">
            <w:pPr>
              <w:widowControl/>
              <w:jc w:val="center"/>
              <w:textAlignment w:val="center"/>
              <w:rPr>
                <w:rFonts w:hAnsi="宋体" w:cs="宋体"/>
                <w:color w:val="000000"/>
                <w:sz w:val="22"/>
                <w:szCs w:val="22"/>
              </w:rPr>
            </w:pPr>
            <w:r>
              <w:rPr>
                <w:rFonts w:hint="eastAsia" w:hAnsi="宋体" w:cs="宋体"/>
                <w:color w:val="000000"/>
                <w:sz w:val="22"/>
                <w:szCs w:val="22"/>
                <w:lang w:bidi="ar"/>
              </w:rPr>
              <w:t>企业实力</w:t>
            </w:r>
          </w:p>
        </w:tc>
        <w:tc>
          <w:tcPr>
            <w:tcW w:w="3613" w:type="pct"/>
            <w:shd w:val="clear" w:color="auto" w:fill="auto"/>
            <w:vAlign w:val="center"/>
          </w:tcPr>
          <w:p w14:paraId="170DC2D5">
            <w:pPr>
              <w:widowControl/>
              <w:jc w:val="left"/>
              <w:textAlignment w:val="center"/>
              <w:rPr>
                <w:rFonts w:hAnsi="宋体" w:cs="宋体"/>
                <w:color w:val="000000"/>
                <w:sz w:val="22"/>
                <w:szCs w:val="22"/>
              </w:rPr>
            </w:pPr>
            <w:r>
              <w:rPr>
                <w:rFonts w:hint="eastAsia" w:hAnsi="宋体" w:cs="宋体"/>
                <w:color w:val="000000"/>
                <w:sz w:val="22"/>
                <w:szCs w:val="22"/>
                <w:lang w:bidi="ar"/>
              </w:rPr>
              <w:t>投标人具有数据安全能力成熟度模型等级三级证书、CCID信息系统服务交付能力一级（五星）资质证书、信息化工程与技术服务能力评价（1级）证书、CS4-信息系统建设和服务能力等级证书，每提供一个得1分，最高得</w:t>
            </w:r>
            <w:r>
              <w:rPr>
                <w:rFonts w:hint="eastAsia" w:hAnsi="宋体" w:cs="宋体"/>
                <w:color w:val="000000"/>
                <w:sz w:val="22"/>
                <w:szCs w:val="22"/>
                <w:lang w:val="en-US" w:eastAsia="zh-CN" w:bidi="ar"/>
              </w:rPr>
              <w:t>4</w:t>
            </w:r>
            <w:r>
              <w:rPr>
                <w:rFonts w:hint="eastAsia" w:hAnsi="宋体" w:cs="宋体"/>
                <w:color w:val="000000"/>
                <w:sz w:val="22"/>
                <w:szCs w:val="22"/>
                <w:lang w:bidi="ar"/>
              </w:rPr>
              <w:t>分。</w:t>
            </w:r>
          </w:p>
        </w:tc>
        <w:tc>
          <w:tcPr>
            <w:tcW w:w="447" w:type="pct"/>
            <w:shd w:val="clear" w:color="auto" w:fill="auto"/>
            <w:noWrap/>
            <w:vAlign w:val="center"/>
          </w:tcPr>
          <w:p w14:paraId="4BC17F4B">
            <w:pPr>
              <w:widowControl/>
              <w:jc w:val="center"/>
              <w:textAlignment w:val="center"/>
              <w:rPr>
                <w:rFonts w:hint="eastAsia" w:hAnsi="宋体" w:eastAsia="宋体" w:cs="宋体"/>
                <w:color w:val="000000"/>
                <w:sz w:val="22"/>
                <w:szCs w:val="22"/>
                <w:lang w:eastAsia="zh-CN"/>
              </w:rPr>
            </w:pPr>
            <w:r>
              <w:rPr>
                <w:rFonts w:hint="eastAsia" w:hAnsi="宋体" w:cs="宋体"/>
                <w:color w:val="000000"/>
                <w:sz w:val="22"/>
                <w:szCs w:val="22"/>
                <w:lang w:val="en-US" w:eastAsia="zh-CN" w:bidi="ar"/>
              </w:rPr>
              <w:t>4</w:t>
            </w:r>
          </w:p>
        </w:tc>
      </w:tr>
      <w:tr w14:paraId="3A473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39" w:type="pct"/>
            <w:shd w:val="clear" w:color="auto" w:fill="auto"/>
            <w:noWrap/>
            <w:vAlign w:val="center"/>
          </w:tcPr>
          <w:p w14:paraId="441CEBEC">
            <w:pPr>
              <w:widowControl/>
              <w:jc w:val="center"/>
              <w:textAlignment w:val="center"/>
              <w:rPr>
                <w:rFonts w:hAnsi="宋体" w:cs="宋体"/>
                <w:color w:val="000000"/>
                <w:sz w:val="22"/>
                <w:szCs w:val="22"/>
              </w:rPr>
            </w:pPr>
            <w:r>
              <w:rPr>
                <w:rFonts w:hint="eastAsia" w:hAnsi="宋体" w:cs="宋体"/>
                <w:color w:val="000000"/>
                <w:sz w:val="22"/>
                <w:szCs w:val="22"/>
                <w:lang w:bidi="ar"/>
              </w:rPr>
              <w:t>业绩</w:t>
            </w:r>
          </w:p>
        </w:tc>
        <w:tc>
          <w:tcPr>
            <w:tcW w:w="3613" w:type="pct"/>
            <w:shd w:val="clear" w:color="auto" w:fill="auto"/>
            <w:vAlign w:val="center"/>
          </w:tcPr>
          <w:p w14:paraId="2B49A448">
            <w:pPr>
              <w:widowControl/>
              <w:jc w:val="left"/>
              <w:textAlignment w:val="center"/>
              <w:rPr>
                <w:rFonts w:hAnsi="宋体" w:cs="宋体"/>
                <w:color w:val="000000"/>
                <w:sz w:val="22"/>
                <w:szCs w:val="22"/>
              </w:rPr>
            </w:pPr>
            <w:r>
              <w:rPr>
                <w:rFonts w:hint="eastAsia" w:hAnsi="宋体" w:cs="宋体"/>
                <w:color w:val="000000"/>
                <w:sz w:val="22"/>
                <w:szCs w:val="22"/>
                <w:lang w:bidi="ar"/>
              </w:rPr>
              <w:t>投标人自202</w:t>
            </w:r>
            <w:r>
              <w:rPr>
                <w:rFonts w:hAnsi="宋体" w:cs="宋体"/>
                <w:color w:val="000000"/>
                <w:sz w:val="22"/>
                <w:szCs w:val="22"/>
                <w:lang w:bidi="ar"/>
              </w:rPr>
              <w:t>1</w:t>
            </w:r>
            <w:r>
              <w:rPr>
                <w:rFonts w:hint="eastAsia" w:hAnsi="宋体" w:cs="宋体"/>
                <w:color w:val="000000"/>
                <w:sz w:val="22"/>
                <w:szCs w:val="22"/>
                <w:lang w:bidi="ar"/>
              </w:rPr>
              <w:t>年1月1日以来（以合同签订时间为准）类似项目业绩：每提供1个得1分（最高得2分），提供合同</w:t>
            </w:r>
            <w:r>
              <w:rPr>
                <w:rFonts w:hint="eastAsia" w:hAnsi="宋体" w:cs="宋体"/>
                <w:color w:val="000000"/>
                <w:sz w:val="22"/>
                <w:szCs w:val="22"/>
                <w:lang w:eastAsia="zh-CN" w:bidi="ar"/>
              </w:rPr>
              <w:t>扫描</w:t>
            </w:r>
            <w:r>
              <w:rPr>
                <w:rFonts w:hint="eastAsia" w:hAnsi="宋体" w:cs="宋体"/>
                <w:color w:val="000000"/>
                <w:sz w:val="22"/>
                <w:szCs w:val="22"/>
                <w:lang w:bidi="ar"/>
              </w:rPr>
              <w:t>件。</w:t>
            </w:r>
          </w:p>
        </w:tc>
        <w:tc>
          <w:tcPr>
            <w:tcW w:w="447" w:type="pct"/>
            <w:shd w:val="clear" w:color="auto" w:fill="auto"/>
            <w:noWrap/>
            <w:vAlign w:val="center"/>
          </w:tcPr>
          <w:p w14:paraId="25AAD862">
            <w:pPr>
              <w:widowControl/>
              <w:jc w:val="center"/>
              <w:textAlignment w:val="center"/>
              <w:rPr>
                <w:rFonts w:hAnsi="宋体" w:cs="宋体"/>
                <w:color w:val="000000"/>
                <w:sz w:val="22"/>
                <w:szCs w:val="22"/>
              </w:rPr>
            </w:pPr>
            <w:r>
              <w:rPr>
                <w:rFonts w:hint="eastAsia" w:hAnsi="宋体" w:cs="宋体"/>
                <w:color w:val="000000"/>
                <w:sz w:val="22"/>
                <w:szCs w:val="22"/>
                <w:lang w:bidi="ar"/>
              </w:rPr>
              <w:t>2</w:t>
            </w:r>
          </w:p>
        </w:tc>
      </w:tr>
      <w:tr w14:paraId="22FCF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39" w:type="pct"/>
            <w:shd w:val="clear" w:color="auto" w:fill="auto"/>
            <w:noWrap/>
            <w:vAlign w:val="center"/>
          </w:tcPr>
          <w:p w14:paraId="7040F001">
            <w:pPr>
              <w:widowControl/>
              <w:jc w:val="center"/>
              <w:textAlignment w:val="center"/>
              <w:rPr>
                <w:rFonts w:hAnsi="宋体" w:cs="宋体"/>
                <w:color w:val="000000"/>
                <w:sz w:val="22"/>
                <w:szCs w:val="22"/>
              </w:rPr>
            </w:pPr>
            <w:r>
              <w:rPr>
                <w:rFonts w:hint="eastAsia" w:hAnsi="宋体" w:cs="宋体"/>
                <w:color w:val="000000"/>
                <w:sz w:val="22"/>
                <w:szCs w:val="22"/>
                <w:lang w:bidi="ar"/>
              </w:rPr>
              <w:t>响应程度</w:t>
            </w:r>
          </w:p>
        </w:tc>
        <w:tc>
          <w:tcPr>
            <w:tcW w:w="3613" w:type="pct"/>
            <w:shd w:val="clear" w:color="auto" w:fill="auto"/>
            <w:vAlign w:val="center"/>
          </w:tcPr>
          <w:p w14:paraId="03C2F986">
            <w:pPr>
              <w:widowControl/>
              <w:spacing w:line="320" w:lineRule="exact"/>
              <w:jc w:val="left"/>
              <w:textAlignment w:val="center"/>
              <w:rPr>
                <w:rFonts w:hAnsi="宋体" w:cs="宋体"/>
                <w:color w:val="000000"/>
                <w:sz w:val="22"/>
                <w:szCs w:val="22"/>
              </w:rPr>
            </w:pPr>
            <w:r>
              <w:rPr>
                <w:rFonts w:hint="eastAsia" w:hAnsi="宋体" w:cs="宋体"/>
                <w:sz w:val="22"/>
                <w:szCs w:val="22"/>
                <w:lang w:bidi="ar"/>
              </w:rPr>
              <w:t>根据投标方提供的建设清单进行打分，完全满足招标文件要求的得1</w:t>
            </w:r>
            <w:r>
              <w:rPr>
                <w:rFonts w:hAnsi="宋体" w:cs="宋体"/>
                <w:sz w:val="22"/>
                <w:szCs w:val="22"/>
                <w:lang w:bidi="ar"/>
              </w:rPr>
              <w:t>2</w:t>
            </w:r>
            <w:r>
              <w:rPr>
                <w:rFonts w:hint="eastAsia" w:hAnsi="宋体" w:cs="宋体"/>
                <w:sz w:val="22"/>
                <w:szCs w:val="22"/>
                <w:lang w:bidi="ar"/>
              </w:rPr>
              <w:t>分；</w:t>
            </w:r>
            <w:r>
              <w:rPr>
                <w:rFonts w:hint="eastAsia" w:hAnsi="宋体" w:cs="宋体"/>
                <w:color w:val="000000"/>
                <w:sz w:val="22"/>
                <w:szCs w:val="22"/>
                <w:lang w:bidi="ar"/>
              </w:rPr>
              <w:t>对软件功能参数偏离情况进行综合打分，</w:t>
            </w:r>
            <w:r>
              <w:rPr>
                <w:rFonts w:hint="eastAsia" w:hAnsi="宋体" w:cs="宋体"/>
                <w:sz w:val="22"/>
                <w:szCs w:val="22"/>
                <w:lang w:bidi="ar"/>
              </w:rPr>
              <w:t>带“★”的参数不满足每条扣1分；不带“★”的参数每不满足一项扣0.2分，扣完为止。</w:t>
            </w:r>
          </w:p>
        </w:tc>
        <w:tc>
          <w:tcPr>
            <w:tcW w:w="447" w:type="pct"/>
            <w:shd w:val="clear" w:color="auto" w:fill="auto"/>
            <w:noWrap/>
            <w:vAlign w:val="center"/>
          </w:tcPr>
          <w:p w14:paraId="5788AD9B">
            <w:pPr>
              <w:widowControl/>
              <w:jc w:val="center"/>
              <w:textAlignment w:val="center"/>
              <w:rPr>
                <w:rFonts w:hAnsi="宋体" w:cs="宋体"/>
                <w:color w:val="000000"/>
                <w:sz w:val="22"/>
                <w:szCs w:val="22"/>
              </w:rPr>
            </w:pPr>
            <w:r>
              <w:rPr>
                <w:rFonts w:hint="eastAsia" w:hAnsi="宋体" w:cs="宋体"/>
                <w:color w:val="000000"/>
                <w:sz w:val="22"/>
                <w:szCs w:val="22"/>
                <w:lang w:bidi="ar"/>
              </w:rPr>
              <w:t>12</w:t>
            </w:r>
          </w:p>
        </w:tc>
      </w:tr>
      <w:tr w14:paraId="1D9AD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39" w:type="pct"/>
            <w:vMerge w:val="restart"/>
            <w:shd w:val="clear" w:color="auto" w:fill="auto"/>
            <w:noWrap/>
            <w:vAlign w:val="center"/>
          </w:tcPr>
          <w:p w14:paraId="3FFEC8D7">
            <w:pPr>
              <w:widowControl/>
              <w:jc w:val="center"/>
              <w:textAlignment w:val="center"/>
              <w:rPr>
                <w:rFonts w:hAnsi="宋体" w:cs="宋体"/>
                <w:color w:val="000000"/>
                <w:sz w:val="22"/>
                <w:szCs w:val="22"/>
              </w:rPr>
            </w:pPr>
            <w:r>
              <w:rPr>
                <w:rFonts w:hint="eastAsia" w:hAnsi="宋体" w:cs="宋体"/>
                <w:color w:val="000000"/>
                <w:sz w:val="22"/>
                <w:szCs w:val="22"/>
                <w:lang w:bidi="ar"/>
              </w:rPr>
              <w:t>技术方案</w:t>
            </w:r>
          </w:p>
        </w:tc>
        <w:tc>
          <w:tcPr>
            <w:tcW w:w="3613" w:type="pct"/>
            <w:shd w:val="clear" w:color="auto" w:fill="auto"/>
            <w:vAlign w:val="center"/>
          </w:tcPr>
          <w:p w14:paraId="6EAF0C9E">
            <w:pPr>
              <w:widowControl/>
              <w:jc w:val="left"/>
              <w:textAlignment w:val="center"/>
              <w:rPr>
                <w:rFonts w:hint="default" w:hAnsi="宋体" w:eastAsia="宋体" w:cs="宋体"/>
                <w:color w:val="000000"/>
                <w:sz w:val="22"/>
                <w:szCs w:val="22"/>
                <w:lang w:val="en-US" w:eastAsia="zh-CN"/>
              </w:rPr>
            </w:pPr>
            <w:r>
              <w:rPr>
                <w:rFonts w:hint="eastAsia" w:hAnsi="宋体" w:cs="宋体"/>
                <w:color w:val="000000"/>
                <w:sz w:val="22"/>
                <w:szCs w:val="22"/>
                <w:lang w:bidi="ar"/>
              </w:rPr>
              <w:t>根据投标人对本项目建设的需求、目标、建设成效的理解情况</w:t>
            </w:r>
            <w:r>
              <w:rPr>
                <w:rFonts w:hint="eastAsia" w:hAnsi="宋体" w:cs="宋体"/>
                <w:color w:val="000000"/>
                <w:sz w:val="22"/>
                <w:szCs w:val="22"/>
                <w:lang w:eastAsia="zh-CN" w:bidi="ar"/>
              </w:rPr>
              <w:t>综合</w:t>
            </w:r>
            <w:r>
              <w:rPr>
                <w:rFonts w:hint="eastAsia" w:hAnsi="宋体" w:cs="宋体"/>
                <w:color w:val="000000"/>
                <w:sz w:val="22"/>
                <w:szCs w:val="22"/>
                <w:lang w:bidi="ar"/>
              </w:rPr>
              <w:t>评分，</w:t>
            </w:r>
            <w:r>
              <w:rPr>
                <w:rFonts w:hint="eastAsia" w:hAnsi="宋体" w:cs="宋体"/>
                <w:color w:val="000000"/>
                <w:sz w:val="22"/>
                <w:szCs w:val="22"/>
                <w:lang w:val="en-US" w:eastAsia="zh-CN" w:bidi="ar"/>
              </w:rPr>
              <w:t>0-4分。</w:t>
            </w:r>
          </w:p>
        </w:tc>
        <w:tc>
          <w:tcPr>
            <w:tcW w:w="447" w:type="pct"/>
            <w:shd w:val="clear" w:color="auto" w:fill="auto"/>
            <w:noWrap/>
            <w:vAlign w:val="center"/>
          </w:tcPr>
          <w:p w14:paraId="173D2FB1">
            <w:pPr>
              <w:widowControl/>
              <w:jc w:val="center"/>
              <w:textAlignment w:val="center"/>
              <w:rPr>
                <w:rFonts w:hAnsi="宋体" w:cs="宋体"/>
                <w:color w:val="000000"/>
                <w:sz w:val="22"/>
                <w:szCs w:val="22"/>
              </w:rPr>
            </w:pPr>
            <w:r>
              <w:rPr>
                <w:rFonts w:hint="eastAsia" w:hAnsi="宋体" w:cs="宋体"/>
                <w:color w:val="000000"/>
                <w:sz w:val="22"/>
                <w:szCs w:val="22"/>
                <w:lang w:bidi="ar"/>
              </w:rPr>
              <w:t>4</w:t>
            </w:r>
          </w:p>
        </w:tc>
      </w:tr>
      <w:tr w14:paraId="7110F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39" w:type="pct"/>
            <w:vMerge w:val="continue"/>
            <w:shd w:val="clear" w:color="auto" w:fill="auto"/>
            <w:noWrap/>
            <w:vAlign w:val="center"/>
          </w:tcPr>
          <w:p w14:paraId="17191298">
            <w:pPr>
              <w:jc w:val="center"/>
              <w:rPr>
                <w:rFonts w:hAnsi="宋体" w:cs="宋体"/>
                <w:color w:val="000000"/>
                <w:sz w:val="22"/>
                <w:szCs w:val="22"/>
              </w:rPr>
            </w:pPr>
          </w:p>
        </w:tc>
        <w:tc>
          <w:tcPr>
            <w:tcW w:w="3613" w:type="pct"/>
            <w:shd w:val="clear" w:color="auto" w:fill="auto"/>
            <w:vAlign w:val="center"/>
          </w:tcPr>
          <w:p w14:paraId="6307D3F7">
            <w:pPr>
              <w:widowControl/>
              <w:jc w:val="left"/>
              <w:textAlignment w:val="center"/>
              <w:rPr>
                <w:rFonts w:hint="default" w:hAnsi="宋体" w:eastAsia="宋体" w:cs="宋体"/>
                <w:color w:val="000000"/>
                <w:sz w:val="22"/>
                <w:szCs w:val="22"/>
                <w:lang w:val="en-US" w:eastAsia="zh-CN"/>
              </w:rPr>
            </w:pPr>
            <w:r>
              <w:rPr>
                <w:rFonts w:hint="eastAsia" w:hAnsi="宋体" w:cs="宋体"/>
                <w:color w:val="000000"/>
                <w:sz w:val="22"/>
                <w:szCs w:val="22"/>
                <w:lang w:bidi="ar"/>
              </w:rPr>
              <w:t>根据投标人针对本项目的整体方案架构、技术架构</w:t>
            </w:r>
            <w:r>
              <w:rPr>
                <w:rFonts w:hint="eastAsia" w:hAnsi="宋体" w:cs="宋体"/>
                <w:color w:val="000000"/>
                <w:sz w:val="22"/>
                <w:szCs w:val="22"/>
                <w:lang w:eastAsia="zh-CN" w:bidi="ar"/>
              </w:rPr>
              <w:t>综合</w:t>
            </w:r>
            <w:r>
              <w:rPr>
                <w:rFonts w:hint="eastAsia" w:hAnsi="宋体" w:cs="宋体"/>
                <w:color w:val="000000"/>
                <w:sz w:val="22"/>
                <w:szCs w:val="22"/>
                <w:lang w:bidi="ar"/>
              </w:rPr>
              <w:t>评分</w:t>
            </w:r>
            <w:r>
              <w:rPr>
                <w:rFonts w:hint="eastAsia" w:hAnsi="宋体" w:cs="宋体"/>
                <w:color w:val="000000"/>
                <w:sz w:val="22"/>
                <w:szCs w:val="22"/>
                <w:lang w:val="en-US" w:eastAsia="zh-CN" w:bidi="ar"/>
              </w:rPr>
              <w:t>0-4分。</w:t>
            </w:r>
          </w:p>
        </w:tc>
        <w:tc>
          <w:tcPr>
            <w:tcW w:w="447" w:type="pct"/>
            <w:shd w:val="clear" w:color="auto" w:fill="auto"/>
            <w:noWrap/>
            <w:vAlign w:val="center"/>
          </w:tcPr>
          <w:p w14:paraId="712D7443">
            <w:pPr>
              <w:widowControl/>
              <w:jc w:val="center"/>
              <w:textAlignment w:val="center"/>
              <w:rPr>
                <w:rFonts w:hAnsi="宋体" w:cs="宋体"/>
                <w:color w:val="000000"/>
                <w:sz w:val="22"/>
                <w:szCs w:val="22"/>
              </w:rPr>
            </w:pPr>
            <w:r>
              <w:rPr>
                <w:rFonts w:hint="eastAsia" w:hAnsi="宋体" w:cs="宋体"/>
                <w:color w:val="000000"/>
                <w:sz w:val="22"/>
                <w:szCs w:val="22"/>
                <w:lang w:bidi="ar"/>
              </w:rPr>
              <w:t>4</w:t>
            </w:r>
          </w:p>
        </w:tc>
      </w:tr>
      <w:tr w14:paraId="20541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jc w:val="center"/>
        </w:trPr>
        <w:tc>
          <w:tcPr>
            <w:tcW w:w="939" w:type="pct"/>
            <w:vMerge w:val="continue"/>
            <w:shd w:val="clear" w:color="auto" w:fill="auto"/>
            <w:noWrap/>
            <w:vAlign w:val="center"/>
          </w:tcPr>
          <w:p w14:paraId="59DDF597">
            <w:pPr>
              <w:jc w:val="center"/>
              <w:rPr>
                <w:rFonts w:hAnsi="宋体" w:cs="宋体"/>
                <w:color w:val="000000"/>
                <w:sz w:val="22"/>
                <w:szCs w:val="22"/>
              </w:rPr>
            </w:pPr>
          </w:p>
        </w:tc>
        <w:tc>
          <w:tcPr>
            <w:tcW w:w="3613" w:type="pct"/>
            <w:shd w:val="clear" w:color="auto" w:fill="auto"/>
            <w:vAlign w:val="center"/>
          </w:tcPr>
          <w:p w14:paraId="7BF6C6DF">
            <w:pPr>
              <w:widowControl/>
              <w:jc w:val="left"/>
              <w:textAlignment w:val="center"/>
              <w:rPr>
                <w:rFonts w:hint="eastAsia" w:hAnsi="宋体" w:eastAsia="宋体" w:cs="宋体"/>
                <w:color w:val="000000"/>
                <w:sz w:val="22"/>
                <w:szCs w:val="22"/>
                <w:lang w:eastAsia="zh-CN"/>
              </w:rPr>
            </w:pPr>
            <w:r>
              <w:rPr>
                <w:rFonts w:hint="eastAsia" w:hAnsi="宋体" w:cs="宋体"/>
                <w:color w:val="000000"/>
                <w:sz w:val="22"/>
                <w:szCs w:val="22"/>
                <w:lang w:bidi="ar"/>
              </w:rPr>
              <w:t>根据投标人针对本项目软件平台的详细功能设计方案</w:t>
            </w:r>
            <w:r>
              <w:rPr>
                <w:rFonts w:hint="eastAsia" w:hAnsi="宋体" w:cs="宋体"/>
                <w:color w:val="000000"/>
                <w:sz w:val="22"/>
                <w:szCs w:val="22"/>
                <w:lang w:eastAsia="zh-CN" w:bidi="ar"/>
              </w:rPr>
              <w:t>综合</w:t>
            </w:r>
            <w:r>
              <w:rPr>
                <w:rFonts w:hint="eastAsia" w:hAnsi="宋体" w:cs="宋体"/>
                <w:color w:val="000000"/>
                <w:sz w:val="22"/>
                <w:szCs w:val="22"/>
                <w:lang w:bidi="ar"/>
              </w:rPr>
              <w:t>评分。互联网中医就医服务平台（0-</w:t>
            </w:r>
            <w:r>
              <w:rPr>
                <w:rFonts w:hint="eastAsia" w:hAnsi="宋体" w:cs="宋体"/>
                <w:color w:val="000000"/>
                <w:sz w:val="22"/>
                <w:szCs w:val="22"/>
                <w:lang w:val="en-US" w:eastAsia="zh-CN" w:bidi="ar"/>
              </w:rPr>
              <w:t>3</w:t>
            </w:r>
            <w:r>
              <w:rPr>
                <w:rFonts w:hint="eastAsia" w:hAnsi="宋体" w:cs="宋体"/>
                <w:color w:val="000000"/>
                <w:sz w:val="22"/>
                <w:szCs w:val="22"/>
                <w:lang w:bidi="ar"/>
              </w:rPr>
              <w:t>分）、互联网中医诊疗服务平台（0-</w:t>
            </w:r>
            <w:r>
              <w:rPr>
                <w:rFonts w:hint="eastAsia" w:hAnsi="宋体" w:cs="宋体"/>
                <w:color w:val="000000"/>
                <w:sz w:val="22"/>
                <w:szCs w:val="22"/>
                <w:lang w:val="en-US" w:eastAsia="zh-CN" w:bidi="ar"/>
              </w:rPr>
              <w:t>3</w:t>
            </w:r>
            <w:r>
              <w:rPr>
                <w:rFonts w:hint="eastAsia" w:hAnsi="宋体" w:cs="宋体"/>
                <w:color w:val="000000"/>
                <w:sz w:val="22"/>
                <w:szCs w:val="22"/>
                <w:lang w:bidi="ar"/>
              </w:rPr>
              <w:t>分）、互联网中医线上名医工作室（0-</w:t>
            </w:r>
            <w:r>
              <w:rPr>
                <w:rFonts w:hint="eastAsia" w:hAnsi="宋体" w:cs="宋体"/>
                <w:color w:val="000000"/>
                <w:sz w:val="22"/>
                <w:szCs w:val="22"/>
                <w:lang w:val="en-US" w:eastAsia="zh-CN" w:bidi="ar"/>
              </w:rPr>
              <w:t>3</w:t>
            </w:r>
            <w:r>
              <w:rPr>
                <w:rFonts w:hint="eastAsia" w:hAnsi="宋体" w:cs="宋体"/>
                <w:color w:val="000000"/>
                <w:sz w:val="22"/>
                <w:szCs w:val="22"/>
                <w:lang w:bidi="ar"/>
              </w:rPr>
              <w:t>分）、互联网中医健康管理平台（0-</w:t>
            </w:r>
            <w:r>
              <w:rPr>
                <w:rFonts w:hint="eastAsia" w:hAnsi="宋体" w:cs="宋体"/>
                <w:color w:val="000000"/>
                <w:sz w:val="22"/>
                <w:szCs w:val="22"/>
                <w:lang w:val="en-US" w:eastAsia="zh-CN" w:bidi="ar"/>
              </w:rPr>
              <w:t>3</w:t>
            </w:r>
            <w:r>
              <w:rPr>
                <w:rFonts w:hint="eastAsia" w:hAnsi="宋体" w:cs="宋体"/>
                <w:color w:val="000000"/>
                <w:sz w:val="22"/>
                <w:szCs w:val="22"/>
                <w:lang w:bidi="ar"/>
              </w:rPr>
              <w:t>分）、互联网智慧共享中药房（0-</w:t>
            </w:r>
            <w:r>
              <w:rPr>
                <w:rFonts w:hint="eastAsia" w:hAnsi="宋体" w:cs="宋体"/>
                <w:color w:val="000000"/>
                <w:sz w:val="22"/>
                <w:szCs w:val="22"/>
                <w:lang w:val="en-US" w:eastAsia="zh-CN" w:bidi="ar"/>
              </w:rPr>
              <w:t>2</w:t>
            </w:r>
            <w:r>
              <w:rPr>
                <w:rFonts w:hint="eastAsia" w:hAnsi="宋体" w:cs="宋体"/>
                <w:color w:val="000000"/>
                <w:sz w:val="22"/>
                <w:szCs w:val="22"/>
                <w:lang w:bidi="ar"/>
              </w:rPr>
              <w:t>分）、互联网中医健康商城（0-2分）</w:t>
            </w:r>
            <w:r>
              <w:rPr>
                <w:rFonts w:hint="eastAsia" w:hAnsi="宋体" w:cs="宋体"/>
                <w:color w:val="000000"/>
                <w:sz w:val="22"/>
                <w:szCs w:val="22"/>
                <w:lang w:eastAsia="zh-CN" w:bidi="ar"/>
              </w:rPr>
              <w:t>、</w:t>
            </w:r>
            <w:r>
              <w:rPr>
                <w:rFonts w:hint="eastAsia" w:hAnsi="宋体" w:cs="宋体"/>
                <w:color w:val="000000"/>
                <w:sz w:val="22"/>
                <w:szCs w:val="22"/>
                <w:lang w:val="en-US" w:eastAsia="zh-CN" w:bidi="ar"/>
              </w:rPr>
              <w:t>分级诊疗平台功能（0-2分）</w:t>
            </w:r>
            <w:r>
              <w:rPr>
                <w:rFonts w:hint="eastAsia" w:hAnsi="宋体" w:cs="宋体"/>
                <w:color w:val="000000"/>
                <w:sz w:val="22"/>
                <w:szCs w:val="22"/>
                <w:lang w:eastAsia="zh-CN" w:bidi="ar"/>
              </w:rPr>
              <w:t>。</w:t>
            </w:r>
          </w:p>
        </w:tc>
        <w:tc>
          <w:tcPr>
            <w:tcW w:w="447" w:type="pct"/>
            <w:shd w:val="clear" w:color="auto" w:fill="auto"/>
            <w:noWrap/>
            <w:vAlign w:val="center"/>
          </w:tcPr>
          <w:p w14:paraId="6E96BFE1">
            <w:pPr>
              <w:widowControl/>
              <w:jc w:val="center"/>
              <w:textAlignment w:val="center"/>
              <w:rPr>
                <w:rFonts w:hint="default" w:hAnsi="宋体" w:eastAsia="宋体" w:cs="宋体"/>
                <w:color w:val="000000"/>
                <w:sz w:val="22"/>
                <w:szCs w:val="22"/>
                <w:lang w:val="en-US" w:eastAsia="zh-CN"/>
              </w:rPr>
            </w:pPr>
            <w:r>
              <w:rPr>
                <w:rFonts w:hint="eastAsia" w:hAnsi="宋体" w:cs="宋体"/>
                <w:color w:val="000000"/>
                <w:sz w:val="22"/>
                <w:szCs w:val="22"/>
                <w:lang w:val="en-US" w:eastAsia="zh-CN" w:bidi="ar"/>
              </w:rPr>
              <w:t>18</w:t>
            </w:r>
          </w:p>
        </w:tc>
      </w:tr>
      <w:tr w14:paraId="55293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39" w:type="pct"/>
            <w:vMerge w:val="continue"/>
            <w:shd w:val="clear" w:color="auto" w:fill="auto"/>
            <w:noWrap/>
            <w:vAlign w:val="center"/>
          </w:tcPr>
          <w:p w14:paraId="20EE719F">
            <w:pPr>
              <w:jc w:val="center"/>
              <w:rPr>
                <w:rFonts w:hAnsi="宋体" w:cs="宋体"/>
                <w:color w:val="000000"/>
                <w:sz w:val="22"/>
                <w:szCs w:val="22"/>
              </w:rPr>
            </w:pPr>
          </w:p>
        </w:tc>
        <w:tc>
          <w:tcPr>
            <w:tcW w:w="3613" w:type="pct"/>
            <w:shd w:val="clear" w:color="auto" w:fill="auto"/>
            <w:vAlign w:val="center"/>
          </w:tcPr>
          <w:p w14:paraId="61A3A6DC">
            <w:pPr>
              <w:widowControl/>
              <w:jc w:val="left"/>
              <w:textAlignment w:val="center"/>
              <w:rPr>
                <w:rFonts w:hAnsi="宋体" w:cs="宋体"/>
                <w:color w:val="000000"/>
                <w:sz w:val="22"/>
                <w:szCs w:val="22"/>
              </w:rPr>
            </w:pPr>
            <w:r>
              <w:rPr>
                <w:rFonts w:hint="eastAsia" w:hAnsi="宋体" w:cs="宋体"/>
                <w:color w:val="000000"/>
                <w:sz w:val="22"/>
                <w:szCs w:val="22"/>
                <w:lang w:bidi="ar"/>
              </w:rPr>
              <w:t>根据投标人提供的数据对接方案和网络安全方案</w:t>
            </w:r>
            <w:r>
              <w:rPr>
                <w:rFonts w:hint="eastAsia" w:hAnsi="宋体" w:cs="宋体"/>
                <w:color w:val="000000"/>
                <w:sz w:val="22"/>
                <w:szCs w:val="22"/>
                <w:lang w:eastAsia="zh-CN" w:bidi="ar"/>
              </w:rPr>
              <w:t>综合</w:t>
            </w:r>
            <w:r>
              <w:rPr>
                <w:rFonts w:hint="eastAsia" w:hAnsi="宋体" w:cs="宋体"/>
                <w:color w:val="000000"/>
                <w:sz w:val="22"/>
                <w:szCs w:val="22"/>
                <w:lang w:bidi="ar"/>
              </w:rPr>
              <w:t>评分</w:t>
            </w:r>
            <w:r>
              <w:rPr>
                <w:rFonts w:hint="eastAsia" w:hAnsi="宋体" w:cs="宋体"/>
                <w:color w:val="000000"/>
                <w:sz w:val="22"/>
                <w:szCs w:val="22"/>
                <w:lang w:eastAsia="zh-CN" w:bidi="ar"/>
              </w:rPr>
              <w:t>，</w:t>
            </w:r>
            <w:r>
              <w:rPr>
                <w:rFonts w:hint="eastAsia" w:hAnsi="宋体" w:cs="宋体"/>
                <w:color w:val="000000"/>
                <w:sz w:val="22"/>
                <w:szCs w:val="22"/>
                <w:lang w:val="en-US" w:eastAsia="zh-CN" w:bidi="ar"/>
              </w:rPr>
              <w:t>0-4</w:t>
            </w:r>
            <w:r>
              <w:rPr>
                <w:rFonts w:hint="eastAsia" w:hAnsi="宋体" w:cs="宋体"/>
                <w:color w:val="000000"/>
                <w:sz w:val="22"/>
                <w:szCs w:val="22"/>
                <w:lang w:bidi="ar"/>
              </w:rPr>
              <w:t>分。</w:t>
            </w:r>
          </w:p>
        </w:tc>
        <w:tc>
          <w:tcPr>
            <w:tcW w:w="447" w:type="pct"/>
            <w:shd w:val="clear" w:color="auto" w:fill="auto"/>
            <w:noWrap/>
            <w:vAlign w:val="center"/>
          </w:tcPr>
          <w:p w14:paraId="73A1C251">
            <w:pPr>
              <w:widowControl/>
              <w:jc w:val="center"/>
              <w:textAlignment w:val="center"/>
              <w:rPr>
                <w:rFonts w:hint="eastAsia" w:hAnsi="宋体" w:eastAsia="宋体" w:cs="宋体"/>
                <w:color w:val="000000"/>
                <w:sz w:val="22"/>
                <w:szCs w:val="22"/>
                <w:lang w:val="en-US" w:eastAsia="zh-CN"/>
              </w:rPr>
            </w:pPr>
            <w:r>
              <w:rPr>
                <w:rFonts w:hint="eastAsia" w:hAnsi="宋体" w:cs="宋体"/>
                <w:color w:val="000000"/>
                <w:sz w:val="22"/>
                <w:szCs w:val="22"/>
                <w:lang w:val="en-US" w:eastAsia="zh-CN"/>
              </w:rPr>
              <w:t>4</w:t>
            </w:r>
          </w:p>
        </w:tc>
      </w:tr>
      <w:tr w14:paraId="42514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39" w:type="pct"/>
            <w:shd w:val="clear" w:color="auto" w:fill="auto"/>
            <w:noWrap/>
            <w:vAlign w:val="center"/>
          </w:tcPr>
          <w:p w14:paraId="771EFF89">
            <w:pPr>
              <w:widowControl/>
              <w:jc w:val="center"/>
              <w:textAlignment w:val="center"/>
              <w:rPr>
                <w:rFonts w:hAnsi="宋体" w:cs="宋体"/>
                <w:color w:val="000000"/>
                <w:sz w:val="22"/>
                <w:szCs w:val="22"/>
              </w:rPr>
            </w:pPr>
            <w:r>
              <w:rPr>
                <w:rFonts w:hint="eastAsia" w:hAnsi="宋体" w:cs="宋体"/>
                <w:color w:val="000000"/>
                <w:sz w:val="22"/>
                <w:szCs w:val="22"/>
                <w:lang w:bidi="ar"/>
              </w:rPr>
              <w:t>产品安全性</w:t>
            </w:r>
          </w:p>
        </w:tc>
        <w:tc>
          <w:tcPr>
            <w:tcW w:w="3613" w:type="pct"/>
            <w:shd w:val="clear" w:color="auto" w:fill="auto"/>
            <w:vAlign w:val="center"/>
          </w:tcPr>
          <w:p w14:paraId="572EC137">
            <w:pPr>
              <w:widowControl/>
              <w:jc w:val="left"/>
              <w:textAlignment w:val="center"/>
              <w:rPr>
                <w:rFonts w:hAnsi="宋体" w:cs="宋体"/>
                <w:color w:val="000000"/>
                <w:sz w:val="22"/>
                <w:szCs w:val="22"/>
              </w:rPr>
            </w:pPr>
            <w:r>
              <w:rPr>
                <w:rFonts w:hint="eastAsia" w:hAnsi="宋体" w:cs="宋体"/>
                <w:color w:val="000000"/>
                <w:sz w:val="22"/>
                <w:szCs w:val="22"/>
                <w:lang w:bidi="ar"/>
              </w:rPr>
              <w:t>为保证医院数据安全，要求本项目所投产品采用自主、安全、可控的成熟国产中间件技术应用服务器技术来提供安全保障，提供国产中间件技术软件著作权的，得1分。</w:t>
            </w:r>
          </w:p>
        </w:tc>
        <w:tc>
          <w:tcPr>
            <w:tcW w:w="447" w:type="pct"/>
            <w:shd w:val="clear" w:color="auto" w:fill="auto"/>
            <w:noWrap/>
            <w:vAlign w:val="center"/>
          </w:tcPr>
          <w:p w14:paraId="200DAC8D">
            <w:pPr>
              <w:widowControl/>
              <w:jc w:val="center"/>
              <w:textAlignment w:val="center"/>
              <w:rPr>
                <w:rFonts w:hAnsi="宋体" w:cs="宋体"/>
                <w:color w:val="000000"/>
                <w:sz w:val="22"/>
                <w:szCs w:val="22"/>
              </w:rPr>
            </w:pPr>
            <w:r>
              <w:rPr>
                <w:rFonts w:hint="eastAsia" w:hAnsi="宋体" w:cs="宋体"/>
                <w:color w:val="000000"/>
                <w:sz w:val="22"/>
                <w:szCs w:val="22"/>
                <w:lang w:bidi="ar"/>
              </w:rPr>
              <w:t>1</w:t>
            </w:r>
          </w:p>
        </w:tc>
      </w:tr>
      <w:tr w14:paraId="54308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4" w:hRule="atLeast"/>
          <w:jc w:val="center"/>
        </w:trPr>
        <w:tc>
          <w:tcPr>
            <w:tcW w:w="939" w:type="pct"/>
            <w:shd w:val="clear" w:color="auto" w:fill="auto"/>
            <w:noWrap/>
            <w:vAlign w:val="center"/>
          </w:tcPr>
          <w:p w14:paraId="0C74E420">
            <w:pPr>
              <w:widowControl/>
              <w:jc w:val="center"/>
              <w:textAlignment w:val="center"/>
              <w:rPr>
                <w:rFonts w:hAnsi="宋体" w:cs="宋体"/>
                <w:color w:val="000000"/>
                <w:sz w:val="22"/>
                <w:szCs w:val="22"/>
              </w:rPr>
            </w:pPr>
            <w:r>
              <w:rPr>
                <w:rFonts w:hint="eastAsia" w:hAnsi="宋体" w:cs="宋体"/>
                <w:color w:val="000000"/>
                <w:sz w:val="22"/>
                <w:szCs w:val="22"/>
                <w:lang w:bidi="ar"/>
              </w:rPr>
              <w:t>产品成熟度</w:t>
            </w:r>
          </w:p>
        </w:tc>
        <w:tc>
          <w:tcPr>
            <w:tcW w:w="3613" w:type="pct"/>
            <w:shd w:val="clear" w:color="auto" w:fill="auto"/>
            <w:vAlign w:val="center"/>
          </w:tcPr>
          <w:p w14:paraId="751FE531">
            <w:pPr>
              <w:widowControl/>
              <w:jc w:val="left"/>
              <w:textAlignment w:val="center"/>
              <w:rPr>
                <w:rFonts w:hint="eastAsia" w:hAnsi="宋体" w:cs="宋体"/>
                <w:color w:val="000000"/>
                <w:sz w:val="22"/>
                <w:szCs w:val="22"/>
                <w:lang w:bidi="ar"/>
              </w:rPr>
            </w:pPr>
            <w:r>
              <w:rPr>
                <w:rFonts w:hint="eastAsia" w:hAnsi="宋体" w:cs="宋体"/>
                <w:color w:val="000000"/>
                <w:sz w:val="22"/>
                <w:szCs w:val="22"/>
                <w:lang w:bidi="ar"/>
              </w:rPr>
              <w:t>投标产品的生产厂家须具备互联网医院诊疗平台软件、远程会诊软件、双向转诊软件著作权证书</w:t>
            </w:r>
            <w:r>
              <w:rPr>
                <w:rFonts w:hint="eastAsia" w:hAnsi="宋体" w:cs="宋体"/>
                <w:color w:val="000000"/>
                <w:sz w:val="22"/>
                <w:szCs w:val="22"/>
                <w:lang w:eastAsia="zh-CN" w:bidi="ar"/>
              </w:rPr>
              <w:t>、患者移动服务软件、便民服务软件、互联网医院基础平台</w:t>
            </w:r>
            <w:r>
              <w:rPr>
                <w:rFonts w:hint="eastAsia" w:hAnsi="宋体" w:cs="宋体"/>
                <w:color w:val="000000"/>
                <w:sz w:val="22"/>
                <w:szCs w:val="22"/>
                <w:lang w:bidi="ar"/>
              </w:rPr>
              <w:t>每</w:t>
            </w:r>
            <w:r>
              <w:rPr>
                <w:rFonts w:hint="eastAsia" w:hAnsi="宋体" w:cs="宋体"/>
                <w:color w:val="000000"/>
                <w:sz w:val="22"/>
                <w:szCs w:val="22"/>
                <w:lang w:val="en-US" w:eastAsia="zh-CN" w:bidi="ar"/>
              </w:rPr>
              <w:t>证</w:t>
            </w:r>
            <w:r>
              <w:rPr>
                <w:rFonts w:hint="eastAsia" w:hAnsi="宋体" w:cs="宋体"/>
                <w:color w:val="000000"/>
                <w:sz w:val="22"/>
                <w:szCs w:val="22"/>
                <w:lang w:bidi="ar"/>
              </w:rPr>
              <w:t>得1分，最高3分。</w:t>
            </w:r>
          </w:p>
          <w:p w14:paraId="7A2CB4F4">
            <w:pPr>
              <w:widowControl/>
              <w:jc w:val="left"/>
              <w:textAlignment w:val="center"/>
              <w:rPr>
                <w:rFonts w:hAnsi="宋体" w:cs="宋体"/>
                <w:color w:val="000000"/>
                <w:sz w:val="22"/>
                <w:szCs w:val="22"/>
              </w:rPr>
            </w:pPr>
            <w:r>
              <w:rPr>
                <w:rFonts w:hint="eastAsia" w:hAnsi="宋体" w:cs="宋体"/>
                <w:color w:val="000000"/>
                <w:sz w:val="22"/>
                <w:szCs w:val="22"/>
                <w:lang w:bidi="ar"/>
              </w:rPr>
              <w:t>注：提供的著作权证书名称可与上述名称略有不同，但所表达涵义应相同，否则不得分。多个同类证书，只能算一类计分。</w:t>
            </w:r>
          </w:p>
        </w:tc>
        <w:tc>
          <w:tcPr>
            <w:tcW w:w="447" w:type="pct"/>
            <w:shd w:val="clear" w:color="auto" w:fill="auto"/>
            <w:noWrap/>
            <w:vAlign w:val="center"/>
          </w:tcPr>
          <w:p w14:paraId="28E2CF66">
            <w:pPr>
              <w:widowControl/>
              <w:jc w:val="center"/>
              <w:textAlignment w:val="center"/>
              <w:rPr>
                <w:rFonts w:hAnsi="宋体" w:cs="宋体"/>
                <w:color w:val="000000"/>
                <w:sz w:val="22"/>
                <w:szCs w:val="22"/>
              </w:rPr>
            </w:pPr>
            <w:r>
              <w:rPr>
                <w:rFonts w:hint="eastAsia" w:hAnsi="宋体" w:cs="宋体"/>
                <w:color w:val="000000"/>
                <w:sz w:val="22"/>
                <w:szCs w:val="22"/>
                <w:lang w:bidi="ar"/>
              </w:rPr>
              <w:t>3</w:t>
            </w:r>
          </w:p>
        </w:tc>
      </w:tr>
      <w:tr w14:paraId="74693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39" w:type="pct"/>
            <w:shd w:val="clear" w:color="auto" w:fill="auto"/>
            <w:noWrap/>
            <w:vAlign w:val="center"/>
          </w:tcPr>
          <w:p w14:paraId="3FA20262">
            <w:pPr>
              <w:widowControl/>
              <w:jc w:val="center"/>
              <w:textAlignment w:val="center"/>
              <w:rPr>
                <w:rFonts w:hAnsi="宋体" w:cs="宋体"/>
                <w:color w:val="000000"/>
                <w:sz w:val="22"/>
                <w:szCs w:val="22"/>
              </w:rPr>
            </w:pPr>
            <w:r>
              <w:rPr>
                <w:rFonts w:hint="eastAsia" w:hAnsi="宋体" w:cs="宋体"/>
                <w:color w:val="000000"/>
                <w:sz w:val="22"/>
                <w:szCs w:val="22"/>
                <w:lang w:bidi="ar"/>
              </w:rPr>
              <w:t>项目团队</w:t>
            </w:r>
          </w:p>
        </w:tc>
        <w:tc>
          <w:tcPr>
            <w:tcW w:w="3613" w:type="pct"/>
            <w:shd w:val="clear" w:color="auto" w:fill="auto"/>
            <w:vAlign w:val="center"/>
          </w:tcPr>
          <w:p w14:paraId="6ADEAA0A">
            <w:pPr>
              <w:widowControl/>
              <w:jc w:val="left"/>
              <w:textAlignment w:val="center"/>
              <w:rPr>
                <w:rFonts w:hAnsi="宋体" w:cs="宋体"/>
                <w:color w:val="000000"/>
                <w:sz w:val="22"/>
                <w:szCs w:val="22"/>
                <w:highlight w:val="none"/>
                <w:lang w:bidi="ar"/>
              </w:rPr>
            </w:pPr>
            <w:r>
              <w:rPr>
                <w:rFonts w:hint="eastAsia" w:hAnsi="宋体" w:cs="宋体"/>
                <w:color w:val="000000"/>
                <w:sz w:val="22"/>
                <w:szCs w:val="22"/>
                <w:highlight w:val="none"/>
                <w:lang w:bidi="ar"/>
              </w:rPr>
              <w:t>为保证项目实施的技术力量和人力资源安排，根据投标人针对本项目需求状况配备人员数量及技术能力情况进行评分：</w:t>
            </w:r>
          </w:p>
          <w:p w14:paraId="13AA6880">
            <w:pPr>
              <w:widowControl/>
              <w:numPr>
                <w:ilvl w:val="0"/>
                <w:numId w:val="31"/>
              </w:numPr>
              <w:jc w:val="left"/>
              <w:textAlignment w:val="center"/>
              <w:rPr>
                <w:rFonts w:hAnsi="宋体" w:cs="宋体"/>
                <w:color w:val="000000"/>
                <w:sz w:val="22"/>
                <w:szCs w:val="22"/>
                <w:highlight w:val="none"/>
                <w:lang w:bidi="ar"/>
              </w:rPr>
            </w:pPr>
            <w:r>
              <w:rPr>
                <w:rFonts w:hint="eastAsia" w:hAnsi="宋体" w:cs="宋体"/>
                <w:color w:val="000000"/>
                <w:sz w:val="22"/>
                <w:szCs w:val="22"/>
                <w:highlight w:val="none"/>
                <w:lang w:bidi="ar"/>
              </w:rPr>
              <w:t>拟派项目负责人具有系统分析师、软件设计师、信息安全保障人员认证（</w:t>
            </w:r>
            <w:r>
              <w:rPr>
                <w:rFonts w:hAnsi="宋体" w:cs="宋体"/>
                <w:color w:val="000000"/>
                <w:sz w:val="22"/>
                <w:szCs w:val="22"/>
                <w:highlight w:val="none"/>
                <w:lang w:bidi="ar"/>
              </w:rPr>
              <w:t>CISAW）证书的</w:t>
            </w:r>
            <w:r>
              <w:rPr>
                <w:rFonts w:hint="eastAsia" w:hAnsi="宋体" w:cs="宋体"/>
                <w:color w:val="000000"/>
                <w:sz w:val="22"/>
                <w:szCs w:val="22"/>
                <w:highlight w:val="none"/>
                <w:lang w:eastAsia="zh-CN" w:bidi="ar"/>
              </w:rPr>
              <w:t>，</w:t>
            </w:r>
            <w:r>
              <w:rPr>
                <w:rFonts w:hint="eastAsia" w:hAnsi="宋体" w:cs="宋体"/>
                <w:color w:val="000000"/>
                <w:sz w:val="22"/>
                <w:szCs w:val="22"/>
                <w:highlight w:val="none"/>
                <w:lang w:val="en-US" w:eastAsia="zh-CN" w:bidi="ar"/>
              </w:rPr>
              <w:t>每证</w:t>
            </w:r>
            <w:r>
              <w:rPr>
                <w:rFonts w:hAnsi="宋体" w:cs="宋体"/>
                <w:color w:val="000000"/>
                <w:sz w:val="22"/>
                <w:szCs w:val="22"/>
                <w:highlight w:val="none"/>
                <w:lang w:bidi="ar"/>
              </w:rPr>
              <w:t>得</w:t>
            </w:r>
            <w:r>
              <w:rPr>
                <w:rFonts w:hint="eastAsia" w:hAnsi="宋体" w:cs="宋体"/>
                <w:color w:val="000000"/>
                <w:sz w:val="22"/>
                <w:szCs w:val="22"/>
                <w:highlight w:val="none"/>
                <w:lang w:val="en-US" w:eastAsia="zh-CN" w:bidi="ar"/>
              </w:rPr>
              <w:t>1</w:t>
            </w:r>
            <w:r>
              <w:rPr>
                <w:rFonts w:hAnsi="宋体" w:cs="宋体"/>
                <w:color w:val="000000"/>
                <w:sz w:val="22"/>
                <w:szCs w:val="22"/>
                <w:highlight w:val="none"/>
                <w:lang w:bidi="ar"/>
              </w:rPr>
              <w:t>分，</w:t>
            </w:r>
            <w:r>
              <w:rPr>
                <w:rFonts w:hint="eastAsia" w:hAnsi="宋体" w:cs="宋体"/>
                <w:color w:val="000000"/>
                <w:sz w:val="22"/>
                <w:szCs w:val="22"/>
                <w:highlight w:val="none"/>
                <w:lang w:val="en-US" w:eastAsia="zh-CN" w:bidi="ar"/>
              </w:rPr>
              <w:t>最高得3分</w:t>
            </w:r>
            <w:r>
              <w:rPr>
                <w:rFonts w:hAnsi="宋体" w:cs="宋体"/>
                <w:color w:val="000000"/>
                <w:sz w:val="22"/>
                <w:szCs w:val="22"/>
                <w:highlight w:val="none"/>
                <w:lang w:bidi="ar"/>
              </w:rPr>
              <w:t>。</w:t>
            </w:r>
          </w:p>
          <w:p w14:paraId="116D4E0B">
            <w:pPr>
              <w:widowControl/>
              <w:numPr>
                <w:ilvl w:val="0"/>
                <w:numId w:val="31"/>
              </w:numPr>
              <w:jc w:val="left"/>
              <w:textAlignment w:val="center"/>
              <w:rPr>
                <w:rFonts w:hAnsi="宋体" w:cs="宋体"/>
                <w:color w:val="000000"/>
                <w:sz w:val="22"/>
                <w:szCs w:val="22"/>
                <w:highlight w:val="none"/>
                <w:lang w:bidi="ar"/>
              </w:rPr>
            </w:pPr>
            <w:r>
              <w:rPr>
                <w:rFonts w:hint="eastAsia" w:hAnsi="宋体" w:cs="宋体"/>
                <w:color w:val="000000"/>
                <w:sz w:val="22"/>
                <w:szCs w:val="22"/>
                <w:highlight w:val="none"/>
                <w:lang w:bidi="ar"/>
              </w:rPr>
              <w:t>拟派项目技术负责人具有信息系统项目管理师证书、数据库系统工程师证书、软件架构高级测评证书的</w:t>
            </w:r>
            <w:r>
              <w:rPr>
                <w:rFonts w:hint="eastAsia" w:hAnsi="宋体" w:cs="宋体"/>
                <w:color w:val="000000"/>
                <w:sz w:val="22"/>
                <w:szCs w:val="22"/>
                <w:highlight w:val="none"/>
                <w:lang w:eastAsia="zh-CN" w:bidi="ar"/>
              </w:rPr>
              <w:t>，</w:t>
            </w:r>
            <w:r>
              <w:rPr>
                <w:rFonts w:hint="eastAsia" w:hAnsi="宋体" w:cs="宋体"/>
                <w:color w:val="000000"/>
                <w:sz w:val="22"/>
                <w:szCs w:val="22"/>
                <w:highlight w:val="none"/>
                <w:lang w:val="en-US" w:eastAsia="zh-CN" w:bidi="ar"/>
              </w:rPr>
              <w:t>每证</w:t>
            </w:r>
            <w:r>
              <w:rPr>
                <w:rFonts w:hAnsi="宋体" w:cs="宋体"/>
                <w:color w:val="000000"/>
                <w:sz w:val="22"/>
                <w:szCs w:val="22"/>
                <w:highlight w:val="none"/>
                <w:lang w:bidi="ar"/>
              </w:rPr>
              <w:t>得</w:t>
            </w:r>
            <w:r>
              <w:rPr>
                <w:rFonts w:hint="eastAsia" w:hAnsi="宋体" w:cs="宋体"/>
                <w:color w:val="000000"/>
                <w:sz w:val="22"/>
                <w:szCs w:val="22"/>
                <w:highlight w:val="none"/>
                <w:lang w:val="en-US" w:eastAsia="zh-CN" w:bidi="ar"/>
              </w:rPr>
              <w:t>1</w:t>
            </w:r>
            <w:r>
              <w:rPr>
                <w:rFonts w:hAnsi="宋体" w:cs="宋体"/>
                <w:color w:val="000000"/>
                <w:sz w:val="22"/>
                <w:szCs w:val="22"/>
                <w:highlight w:val="none"/>
                <w:lang w:bidi="ar"/>
              </w:rPr>
              <w:t>分，</w:t>
            </w:r>
            <w:r>
              <w:rPr>
                <w:rFonts w:hint="eastAsia" w:hAnsi="宋体" w:cs="宋体"/>
                <w:color w:val="000000"/>
                <w:sz w:val="22"/>
                <w:szCs w:val="22"/>
                <w:highlight w:val="none"/>
                <w:lang w:val="en-US" w:eastAsia="zh-CN" w:bidi="ar"/>
              </w:rPr>
              <w:t>最高得3分</w:t>
            </w:r>
            <w:r>
              <w:rPr>
                <w:rFonts w:hAnsi="宋体" w:cs="宋体"/>
                <w:color w:val="000000"/>
                <w:sz w:val="22"/>
                <w:szCs w:val="22"/>
                <w:highlight w:val="none"/>
                <w:lang w:bidi="ar"/>
              </w:rPr>
              <w:t>。</w:t>
            </w:r>
          </w:p>
          <w:p w14:paraId="07AE2C9A">
            <w:pPr>
              <w:widowControl/>
              <w:numPr>
                <w:ilvl w:val="0"/>
                <w:numId w:val="31"/>
              </w:numPr>
              <w:jc w:val="left"/>
              <w:textAlignment w:val="center"/>
              <w:rPr>
                <w:rFonts w:hAnsi="宋体" w:cs="宋体"/>
                <w:color w:val="000000"/>
                <w:sz w:val="22"/>
                <w:szCs w:val="22"/>
                <w:highlight w:val="none"/>
                <w:lang w:bidi="ar"/>
              </w:rPr>
            </w:pPr>
            <w:r>
              <w:rPr>
                <w:rFonts w:hint="eastAsia" w:hAnsi="宋体" w:cs="宋体"/>
                <w:color w:val="000000"/>
                <w:sz w:val="22"/>
                <w:szCs w:val="22"/>
                <w:highlight w:val="none"/>
                <w:lang w:bidi="ar"/>
              </w:rPr>
              <w:t>项目成员（项目负责人、技术负责人除外）具有信息系统项目管理师证书、注册信息安全专业人员（</w:t>
            </w:r>
            <w:r>
              <w:rPr>
                <w:rFonts w:hAnsi="宋体" w:cs="宋体"/>
                <w:color w:val="000000"/>
                <w:sz w:val="22"/>
                <w:szCs w:val="22"/>
                <w:highlight w:val="none"/>
                <w:lang w:bidi="ar"/>
              </w:rPr>
              <w:t>CISP）证书、系统架构设计师证书</w:t>
            </w:r>
            <w:r>
              <w:rPr>
                <w:rFonts w:hint="eastAsia" w:hAnsi="宋体" w:cs="宋体"/>
                <w:color w:val="000000"/>
                <w:sz w:val="22"/>
                <w:szCs w:val="22"/>
                <w:highlight w:val="none"/>
                <w:lang w:bidi="ar"/>
              </w:rPr>
              <w:t>、数据分析师（高级）证书、</w:t>
            </w:r>
            <w:r>
              <w:rPr>
                <w:rFonts w:hAnsi="宋体" w:cs="宋体"/>
                <w:color w:val="000000"/>
                <w:sz w:val="22"/>
                <w:szCs w:val="22"/>
                <w:highlight w:val="none"/>
                <w:lang w:bidi="ar"/>
              </w:rPr>
              <w:t>IT服务项目经理证书的，每提供1本得</w:t>
            </w:r>
            <w:r>
              <w:rPr>
                <w:rFonts w:hint="eastAsia" w:hAnsi="宋体" w:cs="宋体"/>
                <w:color w:val="000000"/>
                <w:sz w:val="22"/>
                <w:szCs w:val="22"/>
                <w:highlight w:val="none"/>
                <w:lang w:val="en-US" w:eastAsia="zh-CN" w:bidi="ar"/>
              </w:rPr>
              <w:t>0.5</w:t>
            </w:r>
            <w:r>
              <w:rPr>
                <w:rFonts w:hAnsi="宋体" w:cs="宋体"/>
                <w:color w:val="000000"/>
                <w:sz w:val="22"/>
                <w:szCs w:val="22"/>
                <w:highlight w:val="none"/>
                <w:lang w:bidi="ar"/>
              </w:rPr>
              <w:t>分，最高得3分</w:t>
            </w:r>
            <w:r>
              <w:rPr>
                <w:rFonts w:hint="eastAsia" w:hAnsi="宋体" w:cs="宋体"/>
                <w:color w:val="000000"/>
                <w:sz w:val="22"/>
                <w:szCs w:val="22"/>
                <w:highlight w:val="none"/>
                <w:lang w:bidi="ar"/>
              </w:rPr>
              <w:t>。</w:t>
            </w:r>
          </w:p>
          <w:p w14:paraId="701A2EE8">
            <w:pPr>
              <w:widowControl/>
              <w:jc w:val="left"/>
              <w:textAlignment w:val="center"/>
              <w:rPr>
                <w:rFonts w:hAnsi="宋体" w:cs="宋体"/>
                <w:color w:val="000000"/>
                <w:sz w:val="22"/>
                <w:szCs w:val="22"/>
                <w:highlight w:val="none"/>
                <w:lang w:bidi="ar"/>
              </w:rPr>
            </w:pPr>
            <w:r>
              <w:rPr>
                <w:rFonts w:hint="eastAsia" w:hAnsi="宋体" w:cs="宋体"/>
                <w:color w:val="000000"/>
                <w:sz w:val="22"/>
                <w:szCs w:val="22"/>
                <w:highlight w:val="none"/>
                <w:lang w:bidi="ar"/>
              </w:rPr>
              <w:t>注：以上各项的项目人员必须为投标人的在职人员，提供近3个月的社保材料（参保单位名称与投标人名称一致），及人员的证书扫描件，否则对应项不得分。</w:t>
            </w:r>
          </w:p>
        </w:tc>
        <w:tc>
          <w:tcPr>
            <w:tcW w:w="447" w:type="pct"/>
            <w:shd w:val="clear" w:color="auto" w:fill="auto"/>
            <w:noWrap/>
            <w:vAlign w:val="center"/>
          </w:tcPr>
          <w:p w14:paraId="5D4E30E7">
            <w:pPr>
              <w:widowControl/>
              <w:jc w:val="center"/>
              <w:textAlignment w:val="center"/>
              <w:rPr>
                <w:rFonts w:hint="eastAsia" w:hAnsi="宋体" w:eastAsia="宋体" w:cs="宋体"/>
                <w:color w:val="000000"/>
                <w:sz w:val="22"/>
                <w:szCs w:val="22"/>
                <w:lang w:eastAsia="zh-CN"/>
              </w:rPr>
            </w:pPr>
            <w:r>
              <w:rPr>
                <w:rFonts w:hint="eastAsia" w:hAnsi="宋体" w:cs="宋体"/>
                <w:color w:val="000000"/>
                <w:sz w:val="22"/>
                <w:szCs w:val="22"/>
                <w:lang w:val="en-US" w:eastAsia="zh-CN" w:bidi="ar"/>
              </w:rPr>
              <w:t>9</w:t>
            </w:r>
          </w:p>
        </w:tc>
      </w:tr>
      <w:tr w14:paraId="35413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39" w:type="pct"/>
            <w:shd w:val="clear" w:color="auto" w:fill="auto"/>
            <w:noWrap/>
            <w:vAlign w:val="center"/>
          </w:tcPr>
          <w:p w14:paraId="141A9D79">
            <w:pPr>
              <w:widowControl/>
              <w:jc w:val="center"/>
              <w:textAlignment w:val="center"/>
              <w:rPr>
                <w:rFonts w:hAnsi="宋体" w:cs="宋体"/>
                <w:color w:val="000000"/>
                <w:sz w:val="22"/>
                <w:szCs w:val="22"/>
              </w:rPr>
            </w:pPr>
            <w:r>
              <w:rPr>
                <w:rFonts w:hint="eastAsia" w:hAnsi="宋体" w:cs="宋体"/>
                <w:color w:val="000000"/>
                <w:sz w:val="22"/>
                <w:szCs w:val="22"/>
                <w:lang w:bidi="ar"/>
              </w:rPr>
              <w:t>实施方案</w:t>
            </w:r>
          </w:p>
        </w:tc>
        <w:tc>
          <w:tcPr>
            <w:tcW w:w="3613" w:type="pct"/>
            <w:shd w:val="clear" w:color="auto" w:fill="auto"/>
            <w:vAlign w:val="center"/>
          </w:tcPr>
          <w:p w14:paraId="59E53939">
            <w:pPr>
              <w:widowControl/>
              <w:jc w:val="left"/>
              <w:textAlignment w:val="center"/>
              <w:rPr>
                <w:rFonts w:hAnsi="宋体" w:cs="宋体"/>
                <w:color w:val="000000"/>
                <w:sz w:val="22"/>
                <w:szCs w:val="22"/>
              </w:rPr>
            </w:pPr>
            <w:r>
              <w:rPr>
                <w:rFonts w:hint="eastAsia" w:hAnsi="宋体" w:cs="宋体"/>
                <w:color w:val="000000"/>
                <w:sz w:val="22"/>
                <w:szCs w:val="22"/>
                <w:lang w:bidi="ar"/>
              </w:rPr>
              <w:t>投标人提供本项目组织实施方案，包括①进度计划及保障措施（0-</w:t>
            </w:r>
            <w:r>
              <w:rPr>
                <w:rFonts w:hint="eastAsia" w:hAnsi="宋体" w:cs="宋体"/>
                <w:color w:val="000000"/>
                <w:sz w:val="22"/>
                <w:szCs w:val="22"/>
                <w:lang w:val="en-US" w:eastAsia="zh-CN" w:bidi="ar"/>
              </w:rPr>
              <w:t>1</w:t>
            </w:r>
            <w:r>
              <w:rPr>
                <w:rFonts w:hint="eastAsia" w:hAnsi="宋体" w:cs="宋体"/>
                <w:color w:val="000000"/>
                <w:sz w:val="22"/>
                <w:szCs w:val="22"/>
                <w:lang w:bidi="ar"/>
              </w:rPr>
              <w:t>分）、②项目管理机构（0-</w:t>
            </w:r>
            <w:r>
              <w:rPr>
                <w:rFonts w:hint="eastAsia" w:hAnsi="宋体" w:cs="宋体"/>
                <w:color w:val="000000"/>
                <w:sz w:val="22"/>
                <w:szCs w:val="22"/>
                <w:lang w:val="en-US" w:eastAsia="zh-CN" w:bidi="ar"/>
              </w:rPr>
              <w:t>1</w:t>
            </w:r>
            <w:r>
              <w:rPr>
                <w:rFonts w:hint="eastAsia" w:hAnsi="宋体" w:cs="宋体"/>
                <w:color w:val="000000"/>
                <w:sz w:val="22"/>
                <w:szCs w:val="22"/>
                <w:lang w:bidi="ar"/>
              </w:rPr>
              <w:t>分）、③试运行方案（0-</w:t>
            </w:r>
            <w:r>
              <w:rPr>
                <w:rFonts w:hint="eastAsia" w:hAnsi="宋体" w:cs="宋体"/>
                <w:color w:val="000000"/>
                <w:sz w:val="22"/>
                <w:szCs w:val="22"/>
                <w:lang w:val="en-US" w:eastAsia="zh-CN" w:bidi="ar"/>
              </w:rPr>
              <w:t>1</w:t>
            </w:r>
            <w:r>
              <w:rPr>
                <w:rFonts w:hint="eastAsia" w:hAnsi="宋体" w:cs="宋体"/>
                <w:color w:val="000000"/>
                <w:sz w:val="22"/>
                <w:szCs w:val="22"/>
                <w:lang w:bidi="ar"/>
              </w:rPr>
              <w:t>分）、④项目验收方案（0-</w:t>
            </w:r>
            <w:r>
              <w:rPr>
                <w:rFonts w:hint="eastAsia" w:hAnsi="宋体" w:cs="宋体"/>
                <w:color w:val="000000"/>
                <w:sz w:val="22"/>
                <w:szCs w:val="22"/>
                <w:lang w:val="en-US" w:eastAsia="zh-CN" w:bidi="ar"/>
              </w:rPr>
              <w:t>1</w:t>
            </w:r>
            <w:r>
              <w:rPr>
                <w:rFonts w:hint="eastAsia" w:hAnsi="宋体" w:cs="宋体"/>
                <w:color w:val="000000"/>
                <w:sz w:val="22"/>
                <w:szCs w:val="22"/>
                <w:lang w:bidi="ar"/>
              </w:rPr>
              <w:t>分）、⑤质量目标及保证措施（0-</w:t>
            </w:r>
            <w:r>
              <w:rPr>
                <w:rFonts w:hint="eastAsia" w:hAnsi="宋体" w:cs="宋体"/>
                <w:color w:val="000000"/>
                <w:sz w:val="22"/>
                <w:szCs w:val="22"/>
                <w:lang w:val="en-US" w:eastAsia="zh-CN" w:bidi="ar"/>
              </w:rPr>
              <w:t>1</w:t>
            </w:r>
            <w:r>
              <w:rPr>
                <w:rFonts w:hint="eastAsia" w:hAnsi="宋体" w:cs="宋体"/>
                <w:color w:val="000000"/>
                <w:sz w:val="22"/>
                <w:szCs w:val="22"/>
                <w:lang w:bidi="ar"/>
              </w:rPr>
              <w:t>分）等进行综合评分，最高得</w:t>
            </w:r>
            <w:r>
              <w:rPr>
                <w:rFonts w:hint="eastAsia" w:hAnsi="宋体" w:cs="宋体"/>
                <w:color w:val="000000"/>
                <w:sz w:val="22"/>
                <w:szCs w:val="22"/>
                <w:lang w:val="en-US" w:eastAsia="zh-CN" w:bidi="ar"/>
              </w:rPr>
              <w:t>5</w:t>
            </w:r>
            <w:r>
              <w:rPr>
                <w:rFonts w:hint="eastAsia" w:hAnsi="宋体" w:cs="宋体"/>
                <w:color w:val="000000"/>
                <w:sz w:val="22"/>
                <w:szCs w:val="22"/>
                <w:lang w:bidi="ar"/>
              </w:rPr>
              <w:t>分。</w:t>
            </w:r>
          </w:p>
        </w:tc>
        <w:tc>
          <w:tcPr>
            <w:tcW w:w="447" w:type="pct"/>
            <w:shd w:val="clear" w:color="auto" w:fill="auto"/>
            <w:noWrap/>
            <w:vAlign w:val="center"/>
          </w:tcPr>
          <w:p w14:paraId="0D146ACB">
            <w:pPr>
              <w:widowControl/>
              <w:jc w:val="center"/>
              <w:textAlignment w:val="center"/>
              <w:rPr>
                <w:rFonts w:hint="eastAsia" w:hAnsi="宋体" w:eastAsia="宋体" w:cs="宋体"/>
                <w:color w:val="000000"/>
                <w:sz w:val="22"/>
                <w:szCs w:val="22"/>
                <w:lang w:eastAsia="zh-CN"/>
              </w:rPr>
            </w:pPr>
            <w:r>
              <w:rPr>
                <w:rFonts w:hint="eastAsia" w:hAnsi="宋体" w:cs="宋体"/>
                <w:color w:val="000000"/>
                <w:sz w:val="22"/>
                <w:szCs w:val="22"/>
                <w:lang w:val="en-US" w:eastAsia="zh-CN" w:bidi="ar"/>
              </w:rPr>
              <w:t>5</w:t>
            </w:r>
          </w:p>
        </w:tc>
      </w:tr>
      <w:tr w14:paraId="50097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39" w:type="pct"/>
            <w:shd w:val="clear" w:color="auto" w:fill="auto"/>
            <w:noWrap/>
            <w:vAlign w:val="center"/>
          </w:tcPr>
          <w:p w14:paraId="1E572642">
            <w:pPr>
              <w:widowControl/>
              <w:jc w:val="center"/>
              <w:textAlignment w:val="center"/>
              <w:rPr>
                <w:rFonts w:hAnsi="宋体" w:cs="宋体"/>
                <w:color w:val="000000"/>
                <w:sz w:val="22"/>
                <w:szCs w:val="22"/>
              </w:rPr>
            </w:pPr>
            <w:r>
              <w:rPr>
                <w:rFonts w:hint="eastAsia" w:hAnsi="宋体" w:cs="宋体"/>
                <w:color w:val="000000"/>
                <w:sz w:val="22"/>
                <w:szCs w:val="22"/>
                <w:lang w:bidi="ar"/>
              </w:rPr>
              <w:t>售后服务及培训</w:t>
            </w:r>
          </w:p>
        </w:tc>
        <w:tc>
          <w:tcPr>
            <w:tcW w:w="3613" w:type="pct"/>
            <w:shd w:val="clear" w:color="auto" w:fill="auto"/>
            <w:vAlign w:val="center"/>
          </w:tcPr>
          <w:p w14:paraId="6A98C006">
            <w:pPr>
              <w:widowControl/>
              <w:jc w:val="left"/>
              <w:textAlignment w:val="center"/>
              <w:rPr>
                <w:rFonts w:hAnsi="宋体" w:cs="宋体"/>
                <w:color w:val="000000"/>
                <w:sz w:val="22"/>
                <w:szCs w:val="22"/>
              </w:rPr>
            </w:pPr>
            <w:r>
              <w:rPr>
                <w:rFonts w:hint="eastAsia" w:hAnsi="宋体" w:cs="宋体"/>
                <w:color w:val="000000"/>
                <w:sz w:val="22"/>
                <w:szCs w:val="22"/>
                <w:lang w:bidi="ar"/>
              </w:rPr>
              <w:t>根据投标人提供的售后服务和培训方案，包括对故障的响应时间和修复时间承诺、售后服务内容、技术服务方式与内容、培训内容、方式等由专家</w:t>
            </w:r>
            <w:r>
              <w:rPr>
                <w:rFonts w:hint="eastAsia" w:hAnsi="宋体" w:cs="宋体"/>
                <w:color w:val="000000"/>
                <w:sz w:val="22"/>
                <w:szCs w:val="22"/>
                <w:lang w:eastAsia="zh-CN" w:bidi="ar"/>
              </w:rPr>
              <w:t>综合</w:t>
            </w:r>
            <w:r>
              <w:rPr>
                <w:rFonts w:hint="eastAsia" w:hAnsi="宋体" w:cs="宋体"/>
                <w:color w:val="000000"/>
                <w:sz w:val="22"/>
                <w:szCs w:val="22"/>
                <w:lang w:bidi="ar"/>
              </w:rPr>
              <w:t>评分，最高4分。</w:t>
            </w:r>
          </w:p>
        </w:tc>
        <w:tc>
          <w:tcPr>
            <w:tcW w:w="447" w:type="pct"/>
            <w:shd w:val="clear" w:color="auto" w:fill="auto"/>
            <w:noWrap/>
            <w:vAlign w:val="center"/>
          </w:tcPr>
          <w:p w14:paraId="4864D3E9">
            <w:pPr>
              <w:widowControl/>
              <w:jc w:val="center"/>
              <w:textAlignment w:val="center"/>
              <w:rPr>
                <w:rFonts w:hAnsi="宋体" w:cs="宋体"/>
                <w:color w:val="000000"/>
                <w:sz w:val="22"/>
                <w:szCs w:val="22"/>
              </w:rPr>
            </w:pPr>
            <w:r>
              <w:rPr>
                <w:rFonts w:hint="eastAsia" w:hAnsi="宋体" w:cs="宋体"/>
                <w:color w:val="000000"/>
                <w:sz w:val="22"/>
                <w:szCs w:val="22"/>
                <w:lang w:bidi="ar"/>
              </w:rPr>
              <w:t>4</w:t>
            </w:r>
          </w:p>
        </w:tc>
      </w:tr>
      <w:tr w14:paraId="0F169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39" w:type="pct"/>
            <w:shd w:val="clear" w:color="auto" w:fill="auto"/>
            <w:noWrap/>
            <w:vAlign w:val="center"/>
          </w:tcPr>
          <w:p w14:paraId="75FFAB93">
            <w:pPr>
              <w:widowControl/>
              <w:jc w:val="center"/>
              <w:textAlignment w:val="center"/>
              <w:rPr>
                <w:rFonts w:hint="default" w:hAnsi="宋体" w:eastAsia="宋体" w:cs="宋体"/>
                <w:color w:val="000000"/>
                <w:sz w:val="22"/>
                <w:szCs w:val="22"/>
                <w:lang w:val="en-US" w:eastAsia="zh-CN" w:bidi="ar"/>
              </w:rPr>
            </w:pPr>
            <w:r>
              <w:rPr>
                <w:rFonts w:hint="eastAsia" w:hAnsi="宋体" w:cs="宋体"/>
                <w:color w:val="000000"/>
                <w:sz w:val="22"/>
                <w:szCs w:val="22"/>
                <w:lang w:val="en-US" w:eastAsia="zh-CN" w:bidi="ar"/>
              </w:rPr>
              <w:t>系统演示</w:t>
            </w:r>
          </w:p>
        </w:tc>
        <w:tc>
          <w:tcPr>
            <w:tcW w:w="3613" w:type="pct"/>
            <w:shd w:val="clear" w:color="auto" w:fill="auto"/>
            <w:vAlign w:val="center"/>
          </w:tcPr>
          <w:p w14:paraId="626B5F0D">
            <w:pPr>
              <w:widowControl/>
              <w:jc w:val="left"/>
              <w:textAlignment w:val="center"/>
              <w:rPr>
                <w:rFonts w:hint="eastAsia" w:hAnsi="宋体" w:cs="宋体"/>
                <w:color w:val="000000"/>
                <w:sz w:val="22"/>
                <w:szCs w:val="22"/>
                <w:lang w:val="en-US" w:eastAsia="zh-CN" w:bidi="ar"/>
              </w:rPr>
            </w:pPr>
            <w:r>
              <w:rPr>
                <w:rFonts w:hint="eastAsia" w:hAnsi="宋体" w:cs="宋体"/>
                <w:color w:val="000000"/>
                <w:sz w:val="22"/>
                <w:szCs w:val="22"/>
                <w:lang w:val="en-US" w:eastAsia="zh-CN" w:bidi="ar"/>
              </w:rPr>
              <w:t>演示要求：</w:t>
            </w:r>
          </w:p>
          <w:p w14:paraId="36227382">
            <w:pPr>
              <w:widowControl/>
              <w:jc w:val="left"/>
              <w:textAlignment w:val="center"/>
              <w:rPr>
                <w:rFonts w:hint="eastAsia" w:hAnsi="宋体" w:cs="宋体"/>
                <w:color w:val="000000"/>
                <w:sz w:val="22"/>
                <w:szCs w:val="22"/>
                <w:lang w:val="en-US" w:eastAsia="zh-CN" w:bidi="ar"/>
              </w:rPr>
            </w:pPr>
            <w:r>
              <w:rPr>
                <w:rFonts w:hint="eastAsia" w:hAnsi="宋体" w:cs="宋体"/>
                <w:color w:val="000000"/>
                <w:sz w:val="22"/>
                <w:szCs w:val="22"/>
                <w:lang w:val="en-US" w:eastAsia="zh-CN" w:bidi="ar"/>
              </w:rPr>
              <w:t>1、演示患者端。患者选择医生，填写相关信息与诊疗记录，完成进行线上视频复诊的下单。（</w:t>
            </w:r>
            <w:r>
              <w:rPr>
                <w:rFonts w:hint="default" w:hAnsi="宋体" w:cs="宋体"/>
                <w:color w:val="000000"/>
                <w:sz w:val="22"/>
                <w:szCs w:val="22"/>
                <w:lang w:val="en-US" w:eastAsia="zh-CN" w:bidi="ar"/>
              </w:rPr>
              <w:t>0-</w:t>
            </w:r>
            <w:r>
              <w:rPr>
                <w:rFonts w:hint="eastAsia" w:hAnsi="宋体" w:cs="宋体"/>
                <w:color w:val="000000"/>
                <w:sz w:val="22"/>
                <w:szCs w:val="22"/>
                <w:lang w:val="en-US" w:eastAsia="zh-CN" w:bidi="ar"/>
              </w:rPr>
              <w:t>4分）</w:t>
            </w:r>
          </w:p>
          <w:p w14:paraId="5885631D">
            <w:pPr>
              <w:widowControl/>
              <w:jc w:val="left"/>
              <w:textAlignment w:val="center"/>
              <w:rPr>
                <w:rFonts w:hint="eastAsia" w:hAnsi="宋体" w:cs="宋体"/>
                <w:color w:val="000000"/>
                <w:sz w:val="22"/>
                <w:szCs w:val="22"/>
                <w:lang w:val="en-US" w:eastAsia="zh-CN" w:bidi="ar"/>
              </w:rPr>
            </w:pPr>
            <w:r>
              <w:rPr>
                <w:rFonts w:hint="eastAsia" w:hAnsi="宋体" w:cs="宋体"/>
                <w:color w:val="000000"/>
                <w:sz w:val="22"/>
                <w:szCs w:val="22"/>
                <w:lang w:val="en-US" w:eastAsia="zh-CN" w:bidi="ar"/>
              </w:rPr>
              <w:t>2、查看管理后台。查看互联网医院的签约医生情况，支持查看医生的基本信息、开通状态、下载医生专属二维码并生成医生台卡的功能情况。（</w:t>
            </w:r>
            <w:r>
              <w:rPr>
                <w:rFonts w:hint="default" w:hAnsi="宋体" w:cs="宋体"/>
                <w:color w:val="000000"/>
                <w:sz w:val="22"/>
                <w:szCs w:val="22"/>
                <w:lang w:val="en-US" w:eastAsia="zh-CN" w:bidi="ar"/>
              </w:rPr>
              <w:t>0-</w:t>
            </w:r>
            <w:r>
              <w:rPr>
                <w:rFonts w:hint="eastAsia" w:hAnsi="宋体" w:cs="宋体"/>
                <w:color w:val="000000"/>
                <w:sz w:val="22"/>
                <w:szCs w:val="22"/>
                <w:lang w:val="en-US" w:eastAsia="zh-CN" w:bidi="ar"/>
              </w:rPr>
              <w:t>4分）</w:t>
            </w:r>
          </w:p>
          <w:p w14:paraId="56CC7BF0">
            <w:pPr>
              <w:widowControl/>
              <w:jc w:val="left"/>
              <w:textAlignment w:val="center"/>
              <w:rPr>
                <w:rFonts w:hint="eastAsia" w:hAnsi="宋体" w:cs="宋体"/>
                <w:color w:val="000000"/>
                <w:sz w:val="22"/>
                <w:szCs w:val="22"/>
                <w:lang w:val="en-US" w:eastAsia="zh-CN" w:bidi="ar"/>
              </w:rPr>
            </w:pPr>
            <w:r>
              <w:rPr>
                <w:rFonts w:hint="eastAsia" w:hAnsi="宋体" w:cs="宋体"/>
                <w:color w:val="000000"/>
                <w:sz w:val="22"/>
                <w:szCs w:val="22"/>
                <w:lang w:val="en-US" w:eastAsia="zh-CN" w:bidi="ar"/>
              </w:rPr>
              <w:t>3、查看管理后台。查看互联网医院的问诊订单情况，支持按照科室、医生、订单时间等内容进行搜索，能够查看订单详情。（</w:t>
            </w:r>
            <w:r>
              <w:rPr>
                <w:rFonts w:hint="default" w:hAnsi="宋体" w:cs="宋体"/>
                <w:color w:val="000000"/>
                <w:sz w:val="22"/>
                <w:szCs w:val="22"/>
                <w:lang w:val="en-US" w:eastAsia="zh-CN" w:bidi="ar"/>
              </w:rPr>
              <w:t>0-</w:t>
            </w:r>
            <w:r>
              <w:rPr>
                <w:rFonts w:hint="eastAsia" w:hAnsi="宋体" w:cs="宋体"/>
                <w:color w:val="000000"/>
                <w:sz w:val="22"/>
                <w:szCs w:val="22"/>
                <w:lang w:val="en-US" w:eastAsia="zh-CN" w:bidi="ar"/>
              </w:rPr>
              <w:t>2分）</w:t>
            </w:r>
          </w:p>
          <w:p w14:paraId="611FDC34">
            <w:pPr>
              <w:widowControl/>
              <w:jc w:val="left"/>
              <w:textAlignment w:val="center"/>
              <w:rPr>
                <w:rFonts w:hint="default" w:hAnsi="宋体" w:eastAsia="宋体" w:cs="宋体"/>
                <w:color w:val="000000"/>
                <w:sz w:val="22"/>
                <w:szCs w:val="22"/>
                <w:lang w:val="en-US" w:eastAsia="zh-CN" w:bidi="ar"/>
              </w:rPr>
            </w:pPr>
            <w:r>
              <w:rPr>
                <w:rFonts w:hint="eastAsia" w:hAnsi="宋体" w:cs="宋体"/>
                <w:color w:val="000000"/>
                <w:sz w:val="22"/>
                <w:szCs w:val="22"/>
                <w:lang w:val="en-US" w:eastAsia="zh-CN" w:bidi="ar"/>
              </w:rPr>
              <w:t>注：支持以录制视频或PPT展示等”</w:t>
            </w:r>
            <w:r>
              <w:rPr>
                <w:rFonts w:hint="eastAsia"/>
                <w:lang w:val="en-US" w:eastAsia="zh-CN"/>
              </w:rPr>
              <w:t>(PPT演示最高得5分，录制视频最高得10分）（演示提供U盘或发邮箱1024241019@qq.com)</w:t>
            </w:r>
          </w:p>
        </w:tc>
        <w:tc>
          <w:tcPr>
            <w:tcW w:w="447" w:type="pct"/>
            <w:shd w:val="clear" w:color="auto" w:fill="auto"/>
            <w:noWrap/>
            <w:vAlign w:val="center"/>
          </w:tcPr>
          <w:p w14:paraId="26479F79">
            <w:pPr>
              <w:widowControl/>
              <w:jc w:val="center"/>
              <w:textAlignment w:val="center"/>
              <w:rPr>
                <w:rFonts w:hint="default" w:hAnsi="宋体" w:eastAsia="宋体" w:cs="宋体"/>
                <w:color w:val="000000"/>
                <w:sz w:val="22"/>
                <w:szCs w:val="22"/>
                <w:lang w:val="en-US" w:eastAsia="zh-CN" w:bidi="ar"/>
              </w:rPr>
            </w:pPr>
            <w:r>
              <w:rPr>
                <w:rFonts w:hint="eastAsia" w:hAnsi="宋体" w:cs="宋体"/>
                <w:color w:val="000000"/>
                <w:sz w:val="22"/>
                <w:szCs w:val="22"/>
                <w:lang w:val="en-US" w:eastAsia="zh-CN" w:bidi="ar"/>
              </w:rPr>
              <w:t>10</w:t>
            </w:r>
          </w:p>
        </w:tc>
      </w:tr>
    </w:tbl>
    <w:p w14:paraId="7DFD1B2E">
      <w:pPr>
        <w:spacing w:line="450" w:lineRule="exact"/>
        <w:jc w:val="left"/>
        <w:rPr>
          <w:rFonts w:hint="eastAsia" w:ascii="宋体" w:hAnsi="宋体" w:cs="宋体"/>
          <w:b/>
          <w:color w:val="auto"/>
          <w:kern w:val="0"/>
          <w:sz w:val="24"/>
          <w:highlight w:val="none"/>
        </w:rPr>
      </w:pPr>
      <w:r>
        <w:rPr>
          <w:rFonts w:hint="eastAsia" w:ascii="宋体" w:hAnsi="宋体" w:cs="宋体"/>
          <w:b/>
          <w:bCs/>
          <w:color w:val="auto"/>
          <w:sz w:val="24"/>
          <w:highlight w:val="none"/>
        </w:rPr>
        <w:t>注：1.如发现标书中有</w:t>
      </w:r>
      <w:r>
        <w:rPr>
          <w:rFonts w:hint="eastAsia" w:ascii="宋体" w:hAnsi="宋体" w:cs="宋体"/>
          <w:b/>
          <w:color w:val="auto"/>
          <w:kern w:val="0"/>
          <w:sz w:val="24"/>
          <w:highlight w:val="none"/>
        </w:rPr>
        <w:t>虚假响应的，一经采购单位查实，将上报给县政府采购监管部门，建议取消其采购资格。</w:t>
      </w:r>
    </w:p>
    <w:p w14:paraId="748945AC">
      <w:pPr>
        <w:spacing w:line="450" w:lineRule="exact"/>
        <w:ind w:firstLine="482" w:firstLineChars="200"/>
        <w:jc w:val="left"/>
        <w:rPr>
          <w:rFonts w:hint="eastAsia"/>
          <w:color w:val="auto"/>
          <w:highlight w:val="none"/>
        </w:rPr>
      </w:pPr>
      <w:r>
        <w:rPr>
          <w:rFonts w:hint="eastAsia" w:ascii="宋体" w:hAnsi="宋体" w:cs="宋体"/>
          <w:b/>
          <w:bCs/>
          <w:color w:val="auto"/>
          <w:sz w:val="24"/>
          <w:highlight w:val="none"/>
        </w:rPr>
        <w:t xml:space="preserve">2.以上评分涉及到证书、证件的均需编入技术商务标中，并加盖单位CA章，并提供彩色扫描件（原文件黑白的除外），否则不得分。 </w:t>
      </w:r>
    </w:p>
    <w:p w14:paraId="36B7CDB7">
      <w:pPr>
        <w:spacing w:line="450" w:lineRule="exact"/>
        <w:ind w:firstLine="482" w:firstLineChars="200"/>
        <w:outlineLvl w:val="1"/>
        <w:rPr>
          <w:rFonts w:hint="eastAsia" w:ascii="宋体" w:hAnsi="宋体" w:cs="宋体"/>
          <w:b/>
          <w:color w:val="auto"/>
          <w:sz w:val="24"/>
          <w:highlight w:val="none"/>
        </w:rPr>
      </w:pPr>
      <w:r>
        <w:rPr>
          <w:rFonts w:hint="eastAsia" w:ascii="宋体" w:hAnsi="宋体" w:cs="宋体"/>
          <w:b/>
          <w:color w:val="auto"/>
          <w:sz w:val="24"/>
          <w:highlight w:val="none"/>
        </w:rPr>
        <w:t>二、投标报价拆封</w:t>
      </w:r>
    </w:p>
    <w:p w14:paraId="18930A95">
      <w:pPr>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有效投标人确定后，将对有效投标人投标报价进行启封，进入价格评分，报价得分最高</w:t>
      </w:r>
      <w:r>
        <w:rPr>
          <w:rFonts w:hint="eastAsia" w:ascii="宋体" w:hAnsi="宋体" w:cs="宋体"/>
          <w:color w:val="auto"/>
          <w:sz w:val="24"/>
          <w:highlight w:val="none"/>
          <w:lang w:val="en-US" w:eastAsia="zh-CN"/>
        </w:rPr>
        <w:t>20</w:t>
      </w:r>
      <w:r>
        <w:rPr>
          <w:rFonts w:hint="eastAsia" w:ascii="宋体" w:hAnsi="宋体" w:cs="宋体"/>
          <w:color w:val="auto"/>
          <w:sz w:val="24"/>
          <w:highlight w:val="none"/>
        </w:rPr>
        <w:t>分。报价超过最高限价的投标无效。投标文件中投标报价不明确的投标无效。</w:t>
      </w:r>
    </w:p>
    <w:p w14:paraId="4AC9184A">
      <w:pPr>
        <w:spacing w:line="450" w:lineRule="exact"/>
        <w:ind w:firstLine="482" w:firstLineChars="200"/>
        <w:outlineLvl w:val="1"/>
        <w:rPr>
          <w:rFonts w:hint="eastAsia" w:ascii="宋体" w:hAnsi="宋体" w:cs="宋体"/>
          <w:b/>
          <w:color w:val="auto"/>
          <w:sz w:val="24"/>
          <w:highlight w:val="none"/>
        </w:rPr>
      </w:pPr>
      <w:r>
        <w:rPr>
          <w:rFonts w:hint="eastAsia" w:ascii="宋体" w:hAnsi="宋体" w:cs="宋体"/>
          <w:b/>
          <w:color w:val="auto"/>
          <w:sz w:val="24"/>
          <w:highlight w:val="none"/>
        </w:rPr>
        <w:t>三、报价部分（</w:t>
      </w:r>
      <w:r>
        <w:rPr>
          <w:rFonts w:hint="eastAsia" w:ascii="宋体" w:hAnsi="宋体" w:cs="宋体"/>
          <w:b/>
          <w:color w:val="auto"/>
          <w:sz w:val="24"/>
          <w:highlight w:val="none"/>
          <w:lang w:val="en-US" w:eastAsia="zh-CN"/>
        </w:rPr>
        <w:t>20</w:t>
      </w:r>
      <w:r>
        <w:rPr>
          <w:rFonts w:hint="eastAsia" w:ascii="宋体" w:hAnsi="宋体" w:cs="宋体"/>
          <w:b/>
          <w:color w:val="auto"/>
          <w:sz w:val="24"/>
          <w:highlight w:val="none"/>
        </w:rPr>
        <w:t>分）</w:t>
      </w:r>
    </w:p>
    <w:p w14:paraId="7C6D08C1">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1.评定评审基准价：对有效投标人的最低报价作为评标基准价，其报价为满分。</w:t>
      </w:r>
    </w:p>
    <w:p w14:paraId="0E62A2F2">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2.报价得分=（评标基准价/投标报价）×</w:t>
      </w:r>
      <w:r>
        <w:rPr>
          <w:rFonts w:hint="eastAsia" w:ascii="宋体" w:hAnsi="宋体" w:cs="宋体"/>
          <w:color w:val="auto"/>
          <w:sz w:val="24"/>
          <w:highlight w:val="none"/>
          <w:lang w:val="en-US" w:eastAsia="zh-CN"/>
        </w:rPr>
        <w:t>20</w:t>
      </w:r>
    </w:p>
    <w:p w14:paraId="44377538">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计算报价得分保留小数2位。</w:t>
      </w:r>
    </w:p>
    <w:p w14:paraId="74A54C51">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3.分析总报价及各个分项报价是否合理、报价范围是否完整、有否重大错漏项。如专家小组一致认为最低投标报价或某些分项明显不合理，有降低质量、不能诚信履约的可能时，专家小组有权通知投标方限期进行解释。如投标方未在规定期限内作出解释，或所作解释不合理，经专家小组取得一致意见后，可确定该投标为无效标。</w:t>
      </w:r>
    </w:p>
    <w:p w14:paraId="78007064">
      <w:pPr>
        <w:pStyle w:val="107"/>
        <w:keepNext w:val="0"/>
        <w:keepLines w:val="0"/>
        <w:pageBreakBefore w:val="0"/>
        <w:kinsoku/>
        <w:wordWrap/>
        <w:overflowPunct/>
        <w:topLinePunct w:val="0"/>
        <w:autoSpaceDE/>
        <w:autoSpaceDN/>
        <w:bidi w:val="0"/>
        <w:adjustRightInd/>
        <w:spacing w:line="360" w:lineRule="auto"/>
        <w:ind w:left="0" w:firstLine="480" w:firstLineChars="200"/>
        <w:textAlignment w:val="auto"/>
        <w:rPr>
          <w:color w:val="auto"/>
          <w:highlight w:val="none"/>
        </w:rPr>
      </w:pPr>
      <w:r>
        <w:rPr>
          <w:rFonts w:hint="eastAsia" w:ascii="宋体" w:hAnsi="宋体" w:cs="宋体"/>
          <w:color w:val="auto"/>
          <w:kern w:val="2"/>
          <w:sz w:val="24"/>
          <w:szCs w:val="24"/>
          <w:highlight w:val="none"/>
        </w:rPr>
        <w:t>4.报价评审优惠按文件相关规定执行。</w:t>
      </w:r>
    </w:p>
    <w:p w14:paraId="3BFE8527">
      <w:pPr>
        <w:spacing w:line="450" w:lineRule="exact"/>
        <w:ind w:firstLine="482" w:firstLineChars="200"/>
        <w:outlineLvl w:val="1"/>
        <w:rPr>
          <w:rFonts w:hint="eastAsia" w:ascii="宋体" w:hAnsi="宋体" w:cs="宋体"/>
          <w:b/>
          <w:color w:val="auto"/>
          <w:sz w:val="24"/>
          <w:highlight w:val="none"/>
        </w:rPr>
      </w:pPr>
      <w:r>
        <w:rPr>
          <w:rFonts w:hint="eastAsia" w:ascii="宋体" w:hAnsi="宋体" w:cs="宋体"/>
          <w:b/>
          <w:color w:val="auto"/>
          <w:sz w:val="24"/>
          <w:highlight w:val="none"/>
        </w:rPr>
        <w:t>四、计算总分（满分为100分）</w:t>
      </w:r>
    </w:p>
    <w:p w14:paraId="45CC1468">
      <w:pPr>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计算方法：总分 = 技术商务得分+报价得分</w:t>
      </w:r>
    </w:p>
    <w:p w14:paraId="7469E487">
      <w:pPr>
        <w:spacing w:line="450" w:lineRule="exact"/>
        <w:ind w:firstLine="482" w:firstLineChars="200"/>
        <w:outlineLvl w:val="1"/>
        <w:rPr>
          <w:rFonts w:hint="eastAsia" w:ascii="宋体" w:hAnsi="宋体" w:cs="宋体"/>
          <w:b/>
          <w:color w:val="auto"/>
          <w:sz w:val="24"/>
          <w:highlight w:val="none"/>
        </w:rPr>
      </w:pPr>
      <w:r>
        <w:rPr>
          <w:rFonts w:hint="eastAsia" w:ascii="宋体" w:hAnsi="宋体" w:cs="宋体"/>
          <w:b/>
          <w:color w:val="auto"/>
          <w:sz w:val="24"/>
          <w:highlight w:val="none"/>
        </w:rPr>
        <w:t>五、授予合同</w:t>
      </w:r>
    </w:p>
    <w:p w14:paraId="310A5596">
      <w:pPr>
        <w:spacing w:line="450" w:lineRule="exact"/>
        <w:ind w:firstLine="480" w:firstLineChars="200"/>
        <w:outlineLvl w:val="2"/>
        <w:rPr>
          <w:rFonts w:hint="eastAsia" w:ascii="宋体" w:hAnsi="宋体" w:cs="宋体"/>
          <w:color w:val="auto"/>
          <w:sz w:val="24"/>
          <w:highlight w:val="none"/>
        </w:rPr>
      </w:pPr>
      <w:r>
        <w:rPr>
          <w:rFonts w:hint="eastAsia" w:ascii="宋体" w:hAnsi="宋体" w:cs="宋体"/>
          <w:color w:val="auto"/>
          <w:sz w:val="24"/>
          <w:highlight w:val="none"/>
        </w:rPr>
        <w:t>（一）中标结果公示、中标通知书</w:t>
      </w:r>
    </w:p>
    <w:p w14:paraId="632B3C44">
      <w:pPr>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招标评审结束后确定的拟中标人报采购人确认，经确认后在指定的媒体上进行公示，公示7个工作日后无异议的，由采购人与采购代理机构共同以书面形式发出《中标通知书》并报县财政局政府采购监管科备案。投标人有权在公示期内对评标结果进行投诉或质疑，但需对投诉或质疑内容的真实性承担责任。</w:t>
      </w:r>
    </w:p>
    <w:p w14:paraId="3E9C5508">
      <w:pPr>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2.《中标通知书》一经发出即发生法律效力，采购人改变中标结果或中标人放弃中标项目的，应当依法承担法律责任。</w:t>
      </w:r>
    </w:p>
    <w:p w14:paraId="2A8D1981">
      <w:pPr>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3.《中标通知书》将作为签订合同的依据。</w:t>
      </w:r>
    </w:p>
    <w:p w14:paraId="583C2332">
      <w:pPr>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4.发布评标结果公示的媒体为：浙江省政府采购网</w:t>
      </w:r>
    </w:p>
    <w:p w14:paraId="11206F38">
      <w:pPr>
        <w:spacing w:line="450" w:lineRule="exact"/>
        <w:ind w:left="-141" w:leftChars="-67" w:firstLine="480" w:firstLineChars="200"/>
        <w:outlineLvl w:val="2"/>
        <w:rPr>
          <w:rFonts w:ascii="宋体" w:hAnsi="宋体" w:cs="宋体"/>
          <w:color w:val="auto"/>
          <w:sz w:val="24"/>
          <w:highlight w:val="none"/>
        </w:rPr>
      </w:pPr>
      <w:r>
        <w:rPr>
          <w:rFonts w:hint="eastAsia" w:ascii="宋体" w:hAnsi="宋体" w:cs="宋体"/>
          <w:color w:val="auto"/>
          <w:sz w:val="24"/>
          <w:highlight w:val="none"/>
        </w:rPr>
        <w:t>（二）签订合同</w:t>
      </w:r>
    </w:p>
    <w:p w14:paraId="75DB02BB">
      <w:pPr>
        <w:spacing w:line="450" w:lineRule="exact"/>
        <w:ind w:firstLine="458" w:firstLineChars="191"/>
        <w:rPr>
          <w:rFonts w:hint="eastAsia" w:ascii="宋体" w:hAnsi="宋体" w:cs="宋体"/>
          <w:color w:val="auto"/>
          <w:sz w:val="24"/>
          <w:highlight w:val="none"/>
        </w:rPr>
      </w:pPr>
      <w:r>
        <w:rPr>
          <w:rFonts w:hint="eastAsia" w:ascii="宋体" w:hAnsi="宋体" w:cs="宋体"/>
          <w:color w:val="auto"/>
          <w:sz w:val="24"/>
          <w:highlight w:val="none"/>
        </w:rPr>
        <w:t>1.中标人自接到《中标通知书》后应在规定的时间内，按指定的地点与采购人签订合同。</w:t>
      </w:r>
    </w:p>
    <w:p w14:paraId="53491FF2">
      <w:pPr>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2.招标文件、中标人的投标文件、评标过程中投标人在询标时作出的承诺及其澄清文件、中标通知书等，均为合同的组成部分。</w:t>
      </w:r>
    </w:p>
    <w:p w14:paraId="063F0ACC">
      <w:pPr>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中标人不遵守招标文件和投标文件的要约及承诺、擅自修改报价，或在接到《中标通知书》后20日内借故拖延、拒签合同的，取消该投标人的中标权。该投标人应当承担相应的法律责任及对采购人进行经济赔偿。在此情况下，采购人可以依次类推，由第二预中标人中标或重新组织招标，对受影响的投标人不承担任何责任。</w:t>
      </w:r>
    </w:p>
    <w:p w14:paraId="0D553F39">
      <w:pPr>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4.采购人和采购代理机构对评标结果不负责解释。</w:t>
      </w:r>
    </w:p>
    <w:p w14:paraId="2AA4682A">
      <w:pPr>
        <w:snapToGrid w:val="0"/>
        <w:spacing w:before="50" w:after="50" w:line="276" w:lineRule="auto"/>
        <w:rPr>
          <w:rFonts w:ascii="宋体" w:hAnsi="宋体"/>
          <w:b/>
          <w:color w:val="auto"/>
          <w:sz w:val="24"/>
          <w:highlight w:val="none"/>
        </w:rPr>
      </w:pPr>
    </w:p>
    <w:p w14:paraId="2864E514">
      <w:pPr>
        <w:pStyle w:val="2"/>
        <w:spacing w:line="360" w:lineRule="auto"/>
        <w:jc w:val="center"/>
        <w:rPr>
          <w:rFonts w:hint="eastAsia" w:ascii="黑体" w:hAnsi="宋体" w:eastAsia="黑体"/>
          <w:bCs w:val="0"/>
          <w:color w:val="auto"/>
          <w:sz w:val="30"/>
          <w:szCs w:val="30"/>
          <w:highlight w:val="none"/>
        </w:rPr>
      </w:pPr>
      <w:r>
        <w:rPr>
          <w:rFonts w:hint="eastAsia" w:ascii="黑体" w:hAnsi="宋体" w:eastAsia="黑体"/>
          <w:color w:val="auto"/>
          <w:sz w:val="30"/>
          <w:szCs w:val="30"/>
          <w:highlight w:val="none"/>
        </w:rPr>
        <w:br w:type="page"/>
      </w:r>
      <w:bookmarkStart w:id="417" w:name="_Toc10104"/>
      <w:bookmarkStart w:id="418" w:name="_Toc7205"/>
      <w:bookmarkStart w:id="419" w:name="_Toc32161"/>
      <w:bookmarkStart w:id="420" w:name="_Toc19042"/>
      <w:bookmarkStart w:id="421" w:name="_Toc22538"/>
      <w:bookmarkStart w:id="422" w:name="_Toc18751"/>
      <w:bookmarkStart w:id="423" w:name="_Toc19256"/>
      <w:bookmarkStart w:id="424" w:name="_Toc8707"/>
      <w:bookmarkStart w:id="425" w:name="_Toc30214"/>
      <w:bookmarkStart w:id="426" w:name="_Toc31404"/>
      <w:bookmarkStart w:id="427" w:name="_Toc9019"/>
      <w:bookmarkStart w:id="428" w:name="_Toc19627"/>
      <w:bookmarkStart w:id="429" w:name="_Toc5751"/>
      <w:bookmarkStart w:id="430" w:name="_Toc23240"/>
      <w:bookmarkStart w:id="431" w:name="_Toc32133"/>
      <w:bookmarkStart w:id="432" w:name="_Toc6920"/>
      <w:bookmarkStart w:id="433" w:name="_Toc14958"/>
      <w:bookmarkStart w:id="434" w:name="_Toc25439"/>
      <w:r>
        <w:rPr>
          <w:rFonts w:hint="eastAsia"/>
          <w:color w:val="auto"/>
          <w:highlight w:val="none"/>
        </w:rPr>
        <w:t>第五章  政府采购政策相关说明</w:t>
      </w:r>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p>
    <w:p w14:paraId="64D8CA2D">
      <w:pPr>
        <w:keepNext w:val="0"/>
        <w:keepLines w:val="0"/>
        <w:pageBreakBefore w:val="0"/>
        <w:widowControl/>
        <w:kinsoku/>
        <w:wordWrap/>
        <w:overflowPunct/>
        <w:topLinePunct w:val="0"/>
        <w:autoSpaceDE/>
        <w:autoSpaceDN/>
        <w:bidi w:val="0"/>
        <w:adjustRightInd/>
        <w:snapToGrid/>
        <w:spacing w:line="360" w:lineRule="auto"/>
        <w:ind w:firstLine="562" w:firstLineChars="200"/>
        <w:jc w:val="left"/>
        <w:textAlignment w:val="auto"/>
        <w:outlineLvl w:val="1"/>
        <w:rPr>
          <w:rFonts w:hint="eastAsia" w:ascii="黑体" w:eastAsia="黑体"/>
          <w:b/>
          <w:bCs/>
          <w:color w:val="auto"/>
          <w:sz w:val="28"/>
          <w:szCs w:val="28"/>
          <w:highlight w:val="none"/>
        </w:rPr>
      </w:pPr>
      <w:bookmarkStart w:id="435" w:name="_Toc19921"/>
      <w:bookmarkStart w:id="436" w:name="_Toc9215"/>
      <w:bookmarkStart w:id="437" w:name="_Toc30418"/>
      <w:bookmarkStart w:id="438" w:name="_Toc20757"/>
      <w:bookmarkStart w:id="439" w:name="_Toc23523"/>
      <w:bookmarkStart w:id="440" w:name="_Toc17234"/>
      <w:bookmarkStart w:id="441" w:name="_Toc5036"/>
      <w:bookmarkStart w:id="442" w:name="_Toc13627"/>
      <w:bookmarkStart w:id="443" w:name="_Toc25133"/>
      <w:r>
        <w:rPr>
          <w:rFonts w:hint="eastAsia" w:ascii="黑体" w:eastAsia="黑体"/>
          <w:b/>
          <w:bCs/>
          <w:color w:val="auto"/>
          <w:sz w:val="28"/>
          <w:szCs w:val="28"/>
          <w:highlight w:val="none"/>
        </w:rPr>
        <w:t>一、政策优惠说明</w:t>
      </w:r>
      <w:bookmarkEnd w:id="435"/>
      <w:bookmarkEnd w:id="436"/>
      <w:bookmarkEnd w:id="437"/>
      <w:bookmarkEnd w:id="438"/>
      <w:bookmarkEnd w:id="439"/>
      <w:bookmarkEnd w:id="440"/>
    </w:p>
    <w:p w14:paraId="1E59C0CF">
      <w:pPr>
        <w:widowControl/>
        <w:spacing w:line="360" w:lineRule="auto"/>
        <w:ind w:firstLine="480" w:firstLineChars="200"/>
        <w:jc w:val="left"/>
        <w:rPr>
          <w:rFonts w:hint="eastAsia" w:ascii="宋体" w:hAnsi="宋体" w:cs="宋体"/>
          <w:color w:val="auto"/>
          <w:sz w:val="24"/>
          <w:highlight w:val="none"/>
          <w:lang w:eastAsia="zh-CN"/>
        </w:rPr>
      </w:pPr>
      <w:r>
        <w:rPr>
          <w:rFonts w:hint="eastAsia" w:ascii="宋体" w:hAnsi="宋体" w:cs="宋体"/>
          <w:color w:val="auto"/>
          <w:sz w:val="24"/>
          <w:highlight w:val="none"/>
        </w:rPr>
        <w:t>根据</w:t>
      </w:r>
      <w:r>
        <w:rPr>
          <w:rFonts w:hint="eastAsia" w:ascii="宋体" w:hAnsi="宋体" w:cs="宋体"/>
          <w:color w:val="auto"/>
          <w:sz w:val="24"/>
          <w:highlight w:val="none"/>
          <w:lang w:eastAsia="zh-CN"/>
        </w:rPr>
        <w:t>财库（</w:t>
      </w:r>
      <w:r>
        <w:rPr>
          <w:rFonts w:hint="eastAsia" w:ascii="宋体" w:hAnsi="宋体" w:cs="宋体"/>
          <w:color w:val="auto"/>
          <w:sz w:val="24"/>
          <w:highlight w:val="none"/>
          <w:lang w:val="en-US" w:eastAsia="zh-CN"/>
        </w:rPr>
        <w:t>2020</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46号、财库（2022）19号、</w:t>
      </w:r>
      <w:r>
        <w:rPr>
          <w:rFonts w:hint="eastAsia" w:ascii="宋体" w:hAnsi="宋体" w:cs="宋体"/>
          <w:color w:val="auto"/>
          <w:sz w:val="24"/>
          <w:highlight w:val="none"/>
        </w:rPr>
        <w:t>浙财采监（2022）3号</w:t>
      </w:r>
      <w:r>
        <w:rPr>
          <w:rFonts w:hint="eastAsia" w:ascii="宋体" w:hAnsi="宋体" w:cs="宋体"/>
          <w:color w:val="auto"/>
          <w:sz w:val="24"/>
          <w:highlight w:val="none"/>
          <w:lang w:eastAsia="zh-CN"/>
        </w:rPr>
        <w:t>和</w:t>
      </w:r>
      <w:r>
        <w:rPr>
          <w:rFonts w:hint="eastAsia" w:ascii="宋体" w:hAnsi="宋体" w:cs="宋体"/>
          <w:color w:val="auto"/>
          <w:sz w:val="24"/>
          <w:highlight w:val="none"/>
        </w:rPr>
        <w:t>浙财采监（2022）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号</w:t>
      </w:r>
      <w:r>
        <w:rPr>
          <w:rFonts w:hint="eastAsia" w:ascii="宋体" w:hAnsi="宋体" w:cs="宋体"/>
          <w:color w:val="auto"/>
          <w:sz w:val="24"/>
          <w:highlight w:val="none"/>
          <w:lang w:eastAsia="zh-CN"/>
        </w:rPr>
        <w:t>等</w:t>
      </w:r>
      <w:r>
        <w:rPr>
          <w:rFonts w:hint="eastAsia" w:ascii="宋体" w:hAnsi="宋体" w:cs="宋体"/>
          <w:color w:val="auto"/>
          <w:sz w:val="24"/>
          <w:highlight w:val="none"/>
        </w:rPr>
        <w:t>相关规定，未预留份额专门面向中小企业采购的采购项目，以及预留份额项目中的非预留部分标段，在评审时享受规定的中小企业扶持政策</w:t>
      </w:r>
      <w:r>
        <w:rPr>
          <w:rFonts w:hint="eastAsia" w:ascii="宋体" w:hAnsi="宋体" w:cs="宋体"/>
          <w:color w:val="auto"/>
          <w:sz w:val="24"/>
          <w:highlight w:val="none"/>
          <w:lang w:eastAsia="zh-CN"/>
        </w:rPr>
        <w:t>。</w:t>
      </w:r>
    </w:p>
    <w:p w14:paraId="50878481">
      <w:pPr>
        <w:widowControl/>
        <w:spacing w:line="360" w:lineRule="auto"/>
        <w:ind w:firstLine="482" w:firstLineChars="200"/>
        <w:jc w:val="left"/>
        <w:rPr>
          <w:rFonts w:hint="eastAsia" w:ascii="宋体" w:hAnsi="宋体" w:cs="宋体"/>
          <w:color w:val="auto"/>
          <w:sz w:val="24"/>
          <w:highlight w:val="none"/>
          <w:lang w:eastAsia="zh-CN"/>
        </w:rPr>
      </w:pPr>
      <w:r>
        <w:rPr>
          <w:rFonts w:hint="eastAsia" w:ascii="宋体" w:hAnsi="宋体" w:cs="宋体"/>
          <w:b/>
          <w:bCs/>
          <w:color w:val="auto"/>
          <w:sz w:val="24"/>
          <w:highlight w:val="none"/>
          <w:lang w:eastAsia="zh-CN"/>
        </w:rPr>
        <w:t>货物、服务采购项目，</w:t>
      </w:r>
      <w:r>
        <w:rPr>
          <w:rFonts w:hint="eastAsia" w:ascii="宋体" w:hAnsi="宋体" w:cs="宋体"/>
          <w:color w:val="auto"/>
          <w:sz w:val="24"/>
          <w:highlight w:val="none"/>
          <w:lang w:eastAsia="zh-CN"/>
        </w:rPr>
        <w:t>对小微企业报价给予</w:t>
      </w:r>
      <w:r>
        <w:rPr>
          <w:rFonts w:hint="eastAsia" w:ascii="宋体" w:hAnsi="宋体" w:cs="宋体"/>
          <w:b/>
          <w:bCs/>
          <w:color w:val="auto"/>
          <w:sz w:val="24"/>
          <w:highlight w:val="none"/>
          <w:lang w:val="en-US" w:eastAsia="zh-CN"/>
        </w:rPr>
        <w:t xml:space="preserve">10% </w:t>
      </w:r>
      <w:r>
        <w:rPr>
          <w:rFonts w:hint="eastAsia" w:ascii="宋体" w:hAnsi="宋体" w:cs="宋体"/>
          <w:color w:val="auto"/>
          <w:sz w:val="24"/>
          <w:highlight w:val="none"/>
          <w:lang w:val="en-US" w:eastAsia="zh-CN"/>
        </w:rPr>
        <w:t>的</w:t>
      </w:r>
      <w:r>
        <w:rPr>
          <w:rFonts w:hint="eastAsia" w:ascii="宋体" w:hAnsi="宋体" w:cs="宋体"/>
          <w:color w:val="auto"/>
          <w:sz w:val="24"/>
          <w:highlight w:val="none"/>
          <w:lang w:eastAsia="zh-CN"/>
        </w:rPr>
        <w:t>扣除，用扣除后的价格参加评审。接受大中型企业与小微企业组成联合体或者允许大中型企业向一家或者多家小微企业分包的采购项目，对于联合协议或者分包意向协议约定小微企业的合同份额占到合同总金额 30%以上的，其报价给予</w:t>
      </w:r>
      <w:r>
        <w:rPr>
          <w:rFonts w:hint="eastAsia" w:ascii="宋体" w:hAnsi="宋体" w:cs="宋体"/>
          <w:b/>
          <w:bCs/>
          <w:color w:val="auto"/>
          <w:sz w:val="24"/>
          <w:highlight w:val="none"/>
          <w:lang w:eastAsia="zh-CN"/>
        </w:rPr>
        <w:t>4%</w:t>
      </w:r>
      <w:r>
        <w:rPr>
          <w:rFonts w:hint="eastAsia" w:ascii="宋体" w:hAnsi="宋体" w:cs="宋体"/>
          <w:b/>
          <w:bCs/>
          <w:color w:val="auto"/>
          <w:sz w:val="24"/>
          <w:highlight w:val="none"/>
          <w:lang w:val="en-US" w:eastAsia="zh-CN"/>
        </w:rPr>
        <w:t xml:space="preserve"> </w:t>
      </w:r>
      <w:r>
        <w:rPr>
          <w:rFonts w:hint="eastAsia" w:ascii="宋体" w:hAnsi="宋体" w:cs="宋体"/>
          <w:color w:val="auto"/>
          <w:sz w:val="24"/>
          <w:highlight w:val="none"/>
          <w:lang w:eastAsia="zh-CN"/>
        </w:rPr>
        <w:t>的扣除，用扣除后的价格参加评审。</w:t>
      </w:r>
    </w:p>
    <w:p w14:paraId="16D9218D">
      <w:pPr>
        <w:widowControl/>
        <w:spacing w:line="360" w:lineRule="auto"/>
        <w:ind w:firstLine="482" w:firstLineChars="200"/>
        <w:jc w:val="left"/>
        <w:rPr>
          <w:rFonts w:hint="eastAsia" w:ascii="宋体" w:hAnsi="宋体" w:cs="宋体"/>
          <w:color w:val="auto"/>
          <w:sz w:val="24"/>
          <w:highlight w:val="none"/>
          <w:lang w:eastAsia="zh-CN"/>
        </w:rPr>
      </w:pPr>
      <w:r>
        <w:rPr>
          <w:rFonts w:hint="eastAsia" w:ascii="宋体" w:hAnsi="宋体" w:cs="宋体"/>
          <w:b/>
          <w:bCs/>
          <w:color w:val="auto"/>
          <w:sz w:val="24"/>
          <w:highlight w:val="none"/>
          <w:lang w:eastAsia="zh-CN"/>
        </w:rPr>
        <w:t>政府采购工程项目，</w:t>
      </w:r>
      <w:r>
        <w:rPr>
          <w:rFonts w:hint="eastAsia" w:ascii="宋体" w:hAnsi="宋体" w:cs="宋体"/>
          <w:color w:val="auto"/>
          <w:sz w:val="24"/>
          <w:highlight w:val="none"/>
          <w:lang w:eastAsia="zh-CN"/>
        </w:rPr>
        <w:t>对小微企业报价给予</w:t>
      </w:r>
      <w:r>
        <w:rPr>
          <w:rFonts w:hint="eastAsia" w:ascii="宋体" w:hAnsi="宋体" w:eastAsia="宋体" w:cs="宋体"/>
          <w:b/>
          <w:bCs/>
          <w:color w:val="auto"/>
          <w:sz w:val="24"/>
          <w:highlight w:val="none"/>
          <w:lang w:val="en-US" w:eastAsia="zh-CN"/>
        </w:rPr>
        <w:t xml:space="preserve">3% </w:t>
      </w:r>
      <w:r>
        <w:rPr>
          <w:rFonts w:hint="eastAsia" w:ascii="宋体" w:hAnsi="宋体" w:cs="宋体"/>
          <w:color w:val="auto"/>
          <w:sz w:val="24"/>
          <w:highlight w:val="none"/>
          <w:lang w:val="en-US" w:eastAsia="zh-CN"/>
        </w:rPr>
        <w:t>的</w:t>
      </w:r>
      <w:r>
        <w:rPr>
          <w:rFonts w:hint="eastAsia" w:ascii="宋体" w:hAnsi="宋体" w:cs="宋体"/>
          <w:color w:val="auto"/>
          <w:sz w:val="24"/>
          <w:highlight w:val="none"/>
          <w:lang w:eastAsia="zh-CN"/>
        </w:rPr>
        <w:t>扣除，用扣除后的价格参加评审。接受大中型企业与小微企业组成联合体或者允许大中型企业向一家或者多家小微企业分包的采购项目，对于联合协议或者分包意向协议约定小微企业的合同份额占到合同总金额 30%以上的，其报价给予</w:t>
      </w: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lang w:val="en-US" w:eastAsia="zh-CN"/>
        </w:rPr>
        <w:t xml:space="preserve"> </w:t>
      </w:r>
      <w:r>
        <w:rPr>
          <w:rFonts w:hint="eastAsia" w:ascii="宋体" w:hAnsi="宋体" w:cs="宋体"/>
          <w:color w:val="auto"/>
          <w:sz w:val="24"/>
          <w:highlight w:val="none"/>
          <w:lang w:eastAsia="zh-CN"/>
        </w:rPr>
        <w:t>的扣除，用扣除后的价格参加评审。</w:t>
      </w:r>
    </w:p>
    <w:p w14:paraId="647837A4">
      <w:pPr>
        <w:widowControl/>
        <w:spacing w:line="360" w:lineRule="auto"/>
        <w:ind w:firstLine="482" w:firstLineChars="200"/>
        <w:jc w:val="left"/>
        <w:rPr>
          <w:rFonts w:hint="eastAsia" w:ascii="宋体" w:hAnsi="宋体" w:cs="宋体"/>
          <w:color w:val="auto"/>
          <w:sz w:val="24"/>
          <w:highlight w:val="none"/>
        </w:rPr>
      </w:pPr>
      <w:r>
        <w:rPr>
          <w:rFonts w:hint="eastAsia" w:ascii="宋体" w:hAnsi="宋体" w:cs="宋体"/>
          <w:b/>
          <w:bCs/>
          <w:color w:val="auto"/>
          <w:sz w:val="24"/>
          <w:highlight w:val="none"/>
        </w:rPr>
        <w:t>取扣除后的价格作为评审投标报价</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rPr>
        <w:t>此评审投标报价仅在评标时使用。</w:t>
      </w:r>
      <w:r>
        <w:rPr>
          <w:rFonts w:hint="eastAsia" w:ascii="宋体" w:hAnsi="宋体" w:cs="宋体"/>
          <w:color w:val="auto"/>
          <w:sz w:val="24"/>
          <w:highlight w:val="none"/>
        </w:rPr>
        <w:t>享受相关中小企业扶持政策的投标人，必须在投标文件中提供《中小企业声明函》。</w:t>
      </w:r>
    </w:p>
    <w:p w14:paraId="1ACEFE1A">
      <w:pPr>
        <w:keepNext w:val="0"/>
        <w:keepLines w:val="0"/>
        <w:pageBreakBefore w:val="0"/>
        <w:widowControl/>
        <w:kinsoku/>
        <w:wordWrap/>
        <w:overflowPunct/>
        <w:topLinePunct w:val="0"/>
        <w:autoSpaceDE/>
        <w:autoSpaceDN/>
        <w:bidi w:val="0"/>
        <w:adjustRightInd/>
        <w:snapToGrid/>
        <w:spacing w:line="360" w:lineRule="auto"/>
        <w:ind w:firstLine="562" w:firstLineChars="200"/>
        <w:jc w:val="left"/>
        <w:textAlignment w:val="auto"/>
        <w:outlineLvl w:val="1"/>
        <w:rPr>
          <w:rFonts w:hint="eastAsia" w:ascii="黑体" w:hAnsi="Times New Roman" w:eastAsia="黑体" w:cs="Times New Roman"/>
          <w:b/>
          <w:bCs/>
          <w:color w:val="auto"/>
          <w:sz w:val="28"/>
          <w:szCs w:val="28"/>
          <w:highlight w:val="none"/>
        </w:rPr>
      </w:pPr>
      <w:bookmarkStart w:id="444" w:name="_Toc3542"/>
      <w:bookmarkStart w:id="445" w:name="_Toc27858"/>
      <w:bookmarkStart w:id="446" w:name="_Toc2987"/>
      <w:bookmarkStart w:id="447" w:name="_Toc28014"/>
      <w:bookmarkStart w:id="448" w:name="_Toc6325"/>
      <w:bookmarkStart w:id="449" w:name="_Toc28349"/>
      <w:r>
        <w:rPr>
          <w:rFonts w:hint="eastAsia" w:ascii="黑体" w:hAnsi="Times New Roman" w:eastAsia="黑体" w:cs="Times New Roman"/>
          <w:b/>
          <w:bCs/>
          <w:color w:val="auto"/>
          <w:sz w:val="28"/>
          <w:szCs w:val="28"/>
          <w:highlight w:val="none"/>
        </w:rPr>
        <w:t>二、享受小微企业价格折扣应具备的条件</w:t>
      </w:r>
      <w:bookmarkEnd w:id="444"/>
      <w:bookmarkEnd w:id="445"/>
      <w:bookmarkEnd w:id="446"/>
      <w:bookmarkEnd w:id="447"/>
      <w:bookmarkEnd w:id="448"/>
      <w:bookmarkEnd w:id="449"/>
    </w:p>
    <w:p w14:paraId="3D1F6EF1">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《政府采购促进中小企业发展管理办法》第四条　在政府采购活动中，供应商提供的货物、工程或者服务符合下列情形的，享受本办法规定的中小企业扶持政策：</w:t>
      </w:r>
    </w:p>
    <w:p w14:paraId="0F0150FF">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（一）在货物采购项目中，货物由中小企业制造，即货物由中小企业生产且使用该中小企业商号或者注册商标；</w:t>
      </w:r>
    </w:p>
    <w:p w14:paraId="4F7B1E9A">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（二）在工程采购项目中，工程由中小企业承建，即工程施工单位为中小企业；</w:t>
      </w:r>
    </w:p>
    <w:p w14:paraId="1238A35B">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（三）在服务采购项目中，服务由中小企业承接，即提供服务的人员为中小企业依照《中华人民共和国劳动合同法》订立劳动合同的从业人员。</w:t>
      </w:r>
    </w:p>
    <w:p w14:paraId="58BA5796">
      <w:pPr>
        <w:widowControl/>
        <w:spacing w:line="360" w:lineRule="auto"/>
        <w:ind w:firstLine="482" w:firstLineChars="200"/>
        <w:jc w:val="left"/>
        <w:rPr>
          <w:rFonts w:hint="eastAsia" w:ascii="宋体" w:hAnsi="宋体" w:cs="宋体"/>
          <w:b/>
          <w:bCs/>
          <w:color w:val="auto"/>
          <w:sz w:val="24"/>
          <w:highlight w:val="none"/>
        </w:rPr>
      </w:pPr>
      <w:r>
        <w:rPr>
          <w:rFonts w:hint="eastAsia" w:ascii="宋体" w:hAnsi="宋体" w:cs="宋体"/>
          <w:b/>
          <w:bCs/>
          <w:color w:val="auto"/>
          <w:sz w:val="24"/>
          <w:highlight w:val="none"/>
        </w:rPr>
        <w:t>在货物采购项目中，供应商提供的货物既有中小企业制造货物，也有大型企业制造货物的，不享受本办法规定的中小企业扶持政策。</w:t>
      </w:r>
    </w:p>
    <w:p w14:paraId="44ECE9B3">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以联合体形式参加政府采购活动，联合体各方均为中小企业的，联合体视同中小企业。其中，联合体各方均为小微企业的，联合体视同小微企业。</w:t>
      </w:r>
    </w:p>
    <w:p w14:paraId="40801C76">
      <w:pPr>
        <w:keepNext w:val="0"/>
        <w:keepLines w:val="0"/>
        <w:pageBreakBefore w:val="0"/>
        <w:widowControl/>
        <w:kinsoku/>
        <w:wordWrap/>
        <w:overflowPunct/>
        <w:topLinePunct w:val="0"/>
        <w:autoSpaceDE/>
        <w:autoSpaceDN/>
        <w:bidi w:val="0"/>
        <w:adjustRightInd/>
        <w:snapToGrid/>
        <w:spacing w:line="360" w:lineRule="auto"/>
        <w:ind w:firstLine="562" w:firstLineChars="200"/>
        <w:jc w:val="left"/>
        <w:textAlignment w:val="auto"/>
        <w:outlineLvl w:val="1"/>
        <w:rPr>
          <w:rFonts w:hint="eastAsia" w:ascii="黑体" w:hAnsi="Times New Roman" w:eastAsia="黑体" w:cs="Times New Roman"/>
          <w:b/>
          <w:bCs/>
          <w:color w:val="auto"/>
          <w:sz w:val="28"/>
          <w:szCs w:val="28"/>
          <w:highlight w:val="none"/>
        </w:rPr>
      </w:pPr>
      <w:bookmarkStart w:id="450" w:name="_Toc31075"/>
      <w:bookmarkStart w:id="451" w:name="_Toc21917"/>
      <w:bookmarkStart w:id="452" w:name="_Toc27379"/>
      <w:bookmarkStart w:id="453" w:name="_Toc29759"/>
      <w:bookmarkStart w:id="454" w:name="_Toc15434"/>
      <w:bookmarkStart w:id="455" w:name="_Toc14044"/>
      <w:r>
        <w:rPr>
          <w:rFonts w:hint="eastAsia" w:ascii="黑体" w:hAnsi="Times New Roman" w:eastAsia="黑体" w:cs="Times New Roman"/>
          <w:b/>
          <w:bCs/>
          <w:color w:val="auto"/>
          <w:sz w:val="28"/>
          <w:szCs w:val="28"/>
          <w:highlight w:val="none"/>
        </w:rPr>
        <w:t>三、采购项目涉及中小企业采购的部分内容</w:t>
      </w:r>
      <w:bookmarkEnd w:id="450"/>
      <w:bookmarkEnd w:id="451"/>
      <w:bookmarkEnd w:id="452"/>
      <w:bookmarkEnd w:id="453"/>
      <w:bookmarkEnd w:id="454"/>
      <w:bookmarkEnd w:id="455"/>
    </w:p>
    <w:p w14:paraId="5C74A3F6">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《政府采购促进中小企业发展管理办法》第十二条  采购项目涉及中小企业采购的，采购文件应当明确以下内容：</w:t>
      </w:r>
    </w:p>
    <w:p w14:paraId="10D9223D">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（一）预留份额的采购项目或者采购包，明确该项目或相关采购包专门面向中小企业采购，以及相关标的及预算金额；</w:t>
      </w:r>
    </w:p>
    <w:p w14:paraId="3C518730">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（二）要求以联合体形式参加或者合同分包的，明确联合协议或者分包意向协议中中小企业合同金额应当达到的比例，并作为供应商资格条件；</w:t>
      </w:r>
    </w:p>
    <w:p w14:paraId="1F24D139">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 xml:space="preserve">（三）非预留份额的采购项目或者采购包，明确有关价格扣除比例或者价格分加分比例； </w:t>
      </w:r>
    </w:p>
    <w:p w14:paraId="5E8C5A15">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（四）规定依据本办法规定享受扶持政策获得政府采购合同的，小微企业不得将合同分包给大中型企业，中型企业不得将合同分包给大型企业；</w:t>
      </w:r>
    </w:p>
    <w:p w14:paraId="10EE15D0">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（五）采购人认为具备相关条件的，明确对中小企业在资金支付期限、预付款比例等方面的优惠措施；</w:t>
      </w:r>
    </w:p>
    <w:p w14:paraId="3B3819F3">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（六）明确采购标的对应的中小企业划分标准所属行业；</w:t>
      </w:r>
    </w:p>
    <w:p w14:paraId="46D8761E">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（七）法律法规和省级以上人民政府财政部门规定的其他事项。</w:t>
      </w:r>
    </w:p>
    <w:p w14:paraId="7CFABEF4">
      <w:pPr>
        <w:keepNext w:val="0"/>
        <w:keepLines w:val="0"/>
        <w:pageBreakBefore w:val="0"/>
        <w:widowControl/>
        <w:kinsoku/>
        <w:wordWrap/>
        <w:overflowPunct/>
        <w:topLinePunct w:val="0"/>
        <w:autoSpaceDE/>
        <w:autoSpaceDN/>
        <w:bidi w:val="0"/>
        <w:adjustRightInd/>
        <w:snapToGrid/>
        <w:spacing w:line="360" w:lineRule="auto"/>
        <w:ind w:firstLine="562" w:firstLineChars="200"/>
        <w:jc w:val="left"/>
        <w:textAlignment w:val="auto"/>
        <w:outlineLvl w:val="1"/>
        <w:rPr>
          <w:rFonts w:hint="eastAsia" w:ascii="黑体" w:hAnsi="Times New Roman" w:eastAsia="黑体" w:cs="Times New Roman"/>
          <w:b/>
          <w:bCs/>
          <w:color w:val="auto"/>
          <w:sz w:val="28"/>
          <w:szCs w:val="28"/>
          <w:highlight w:val="none"/>
        </w:rPr>
      </w:pPr>
      <w:bookmarkStart w:id="456" w:name="_Toc16467"/>
      <w:bookmarkStart w:id="457" w:name="_Toc13243"/>
      <w:r>
        <w:rPr>
          <w:rFonts w:hint="eastAsia" w:ascii="黑体" w:hAnsi="Times New Roman" w:eastAsia="黑体" w:cs="Times New Roman"/>
          <w:b/>
          <w:bCs/>
          <w:color w:val="auto"/>
          <w:sz w:val="28"/>
          <w:szCs w:val="28"/>
          <w:highlight w:val="none"/>
        </w:rPr>
        <w:t>四、投标供应商享受小微企业价格折扣应提供以下材料</w:t>
      </w:r>
      <w:bookmarkEnd w:id="456"/>
      <w:bookmarkEnd w:id="457"/>
    </w:p>
    <w:p w14:paraId="16DE8D0A">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《中小企业声明函》（加盖投标供应商公章，格式见附件）</w:t>
      </w:r>
      <w:r>
        <w:rPr>
          <w:rFonts w:hint="eastAsia" w:ascii="宋体" w:hAnsi="宋体" w:cs="宋体"/>
          <w:b/>
          <w:bCs/>
          <w:color w:val="auto"/>
          <w:sz w:val="24"/>
          <w:highlight w:val="none"/>
        </w:rPr>
        <w:t>（放在报价文件中，不提供的不享受价格折扣）</w:t>
      </w:r>
    </w:p>
    <w:p w14:paraId="32D8DEA2">
      <w:pPr>
        <w:keepNext w:val="0"/>
        <w:keepLines w:val="0"/>
        <w:pageBreakBefore w:val="0"/>
        <w:widowControl/>
        <w:kinsoku/>
        <w:wordWrap/>
        <w:overflowPunct/>
        <w:topLinePunct w:val="0"/>
        <w:autoSpaceDE/>
        <w:autoSpaceDN/>
        <w:bidi w:val="0"/>
        <w:adjustRightInd/>
        <w:snapToGrid/>
        <w:spacing w:line="360" w:lineRule="auto"/>
        <w:ind w:firstLine="562" w:firstLineChars="200"/>
        <w:jc w:val="left"/>
        <w:textAlignment w:val="auto"/>
        <w:outlineLvl w:val="1"/>
        <w:rPr>
          <w:rFonts w:hint="eastAsia" w:ascii="黑体" w:hAnsi="Times New Roman" w:eastAsia="黑体" w:cs="Times New Roman"/>
          <w:b/>
          <w:bCs/>
          <w:color w:val="auto"/>
          <w:sz w:val="28"/>
          <w:szCs w:val="28"/>
          <w:highlight w:val="none"/>
        </w:rPr>
      </w:pPr>
      <w:bookmarkStart w:id="458" w:name="_Toc21045"/>
      <w:bookmarkStart w:id="459" w:name="_Toc21336"/>
      <w:r>
        <w:rPr>
          <w:rFonts w:hint="eastAsia" w:ascii="黑体" w:hAnsi="Times New Roman" w:eastAsia="黑体" w:cs="Times New Roman"/>
          <w:b/>
          <w:bCs/>
          <w:color w:val="auto"/>
          <w:sz w:val="28"/>
          <w:szCs w:val="28"/>
          <w:highlight w:val="none"/>
        </w:rPr>
        <w:t>五、享受监狱企业价格折扣应提供以下材料</w:t>
      </w:r>
      <w:bookmarkEnd w:id="458"/>
      <w:bookmarkEnd w:id="459"/>
    </w:p>
    <w:p w14:paraId="31639696">
      <w:pPr>
        <w:widowControl/>
        <w:spacing w:line="360" w:lineRule="auto"/>
        <w:ind w:firstLine="480" w:firstLineChars="200"/>
        <w:jc w:val="left"/>
        <w:rPr>
          <w:rFonts w:hint="eastAsia" w:ascii="宋体" w:hAnsi="宋体" w:cs="宋体"/>
          <w:b/>
          <w:bCs/>
          <w:color w:val="auto"/>
          <w:sz w:val="24"/>
          <w:highlight w:val="none"/>
        </w:rPr>
      </w:pPr>
      <w:r>
        <w:rPr>
          <w:rFonts w:hint="eastAsia" w:ascii="宋体" w:hAnsi="宋体" w:cs="宋体"/>
          <w:color w:val="auto"/>
          <w:sz w:val="24"/>
          <w:highlight w:val="none"/>
        </w:rPr>
        <w:t>监狱企业参加政府采购活动时，应当提供由省级及以上监狱管理局、戒毒管理局(含新疆生产建设兵团）出具的属于监狱企业的文件（扫描件加盖投标供应商公章）。</w:t>
      </w:r>
      <w:r>
        <w:rPr>
          <w:rFonts w:hint="eastAsia" w:ascii="宋体" w:hAnsi="宋体" w:cs="宋体"/>
          <w:b/>
          <w:bCs/>
          <w:color w:val="auto"/>
          <w:sz w:val="24"/>
          <w:highlight w:val="none"/>
        </w:rPr>
        <w:t>（放在报价文件中，不提供的不享受价格折扣）</w:t>
      </w:r>
    </w:p>
    <w:p w14:paraId="343A301E">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在政府采购活动中，监狱企业视同小型、微型企业，享受评审中价格扣除政策。</w:t>
      </w:r>
    </w:p>
    <w:p w14:paraId="0DA1E79F">
      <w:pPr>
        <w:keepNext w:val="0"/>
        <w:keepLines w:val="0"/>
        <w:pageBreakBefore w:val="0"/>
        <w:widowControl/>
        <w:kinsoku/>
        <w:wordWrap/>
        <w:overflowPunct/>
        <w:topLinePunct w:val="0"/>
        <w:autoSpaceDE/>
        <w:autoSpaceDN/>
        <w:bidi w:val="0"/>
        <w:adjustRightInd/>
        <w:snapToGrid/>
        <w:spacing w:line="360" w:lineRule="auto"/>
        <w:ind w:firstLine="562" w:firstLineChars="200"/>
        <w:jc w:val="left"/>
        <w:textAlignment w:val="auto"/>
        <w:outlineLvl w:val="1"/>
        <w:rPr>
          <w:rFonts w:hint="eastAsia" w:ascii="黑体" w:hAnsi="Times New Roman" w:eastAsia="黑体" w:cs="Times New Roman"/>
          <w:b/>
          <w:bCs/>
          <w:color w:val="auto"/>
          <w:sz w:val="28"/>
          <w:szCs w:val="28"/>
          <w:highlight w:val="none"/>
        </w:rPr>
      </w:pPr>
      <w:bookmarkStart w:id="460" w:name="_Toc10187"/>
      <w:bookmarkStart w:id="461" w:name="_Toc17973"/>
      <w:r>
        <w:rPr>
          <w:rFonts w:hint="eastAsia" w:ascii="黑体" w:hAnsi="Times New Roman" w:eastAsia="黑体" w:cs="Times New Roman"/>
          <w:b/>
          <w:bCs/>
          <w:color w:val="auto"/>
          <w:sz w:val="28"/>
          <w:szCs w:val="28"/>
          <w:highlight w:val="none"/>
        </w:rPr>
        <w:t>六、享受残疾人福利性单位价格折扣应提供以下材料</w:t>
      </w:r>
      <w:bookmarkEnd w:id="460"/>
      <w:bookmarkEnd w:id="461"/>
    </w:p>
    <w:p w14:paraId="6DFF746D">
      <w:pPr>
        <w:widowControl/>
        <w:spacing w:line="360" w:lineRule="auto"/>
        <w:ind w:firstLine="480" w:firstLineChars="200"/>
        <w:jc w:val="left"/>
        <w:rPr>
          <w:rFonts w:hint="eastAsia" w:ascii="宋体" w:hAnsi="宋体" w:cs="宋体"/>
          <w:b/>
          <w:bCs/>
          <w:color w:val="auto"/>
          <w:sz w:val="24"/>
          <w:highlight w:val="none"/>
        </w:rPr>
      </w:pPr>
      <w:r>
        <w:rPr>
          <w:rFonts w:hint="eastAsia" w:ascii="宋体" w:hAnsi="宋体" w:cs="宋体"/>
          <w:color w:val="auto"/>
          <w:sz w:val="24"/>
          <w:highlight w:val="none"/>
        </w:rPr>
        <w:t>残疾人福利性单位声明函（加盖投标供应商公章，格式见附件）</w:t>
      </w:r>
      <w:r>
        <w:rPr>
          <w:rFonts w:hint="eastAsia" w:ascii="宋体" w:hAnsi="宋体" w:cs="宋体"/>
          <w:b/>
          <w:bCs/>
          <w:color w:val="auto"/>
          <w:sz w:val="24"/>
          <w:highlight w:val="none"/>
        </w:rPr>
        <w:t>（放在报价文件中，不提供的不享受价格折扣）</w:t>
      </w:r>
    </w:p>
    <w:p w14:paraId="68D0ABAA">
      <w:pPr>
        <w:widowControl/>
        <w:spacing w:line="360" w:lineRule="auto"/>
        <w:ind w:firstLine="480" w:firstLineChars="200"/>
        <w:jc w:val="left"/>
        <w:rPr>
          <w:rFonts w:hint="eastAsia" w:ascii="黑体" w:hAnsi="宋体" w:eastAsia="黑体"/>
          <w:color w:val="auto"/>
          <w:sz w:val="30"/>
          <w:szCs w:val="30"/>
          <w:highlight w:val="none"/>
        </w:rPr>
      </w:pPr>
      <w:r>
        <w:rPr>
          <w:rFonts w:hint="eastAsia" w:ascii="宋体" w:hAnsi="宋体" w:cs="宋体"/>
          <w:color w:val="auto"/>
          <w:sz w:val="24"/>
          <w:highlight w:val="none"/>
        </w:rPr>
        <w:t>在政府采购活动中，残疾人福利性单位视同小型、微型企业，享受评审中价格扣除政策。</w:t>
      </w:r>
    </w:p>
    <w:p w14:paraId="6F9F5007">
      <w:pPr>
        <w:snapToGrid w:val="0"/>
        <w:spacing w:before="50" w:after="50"/>
        <w:jc w:val="center"/>
        <w:rPr>
          <w:rFonts w:hint="eastAsia" w:ascii="仿宋" w:hAnsi="仿宋" w:eastAsia="仿宋"/>
          <w:b/>
          <w:color w:val="auto"/>
          <w:sz w:val="36"/>
          <w:szCs w:val="36"/>
          <w:highlight w:val="none"/>
        </w:rPr>
        <w:sectPr>
          <w:headerReference r:id="rId6" w:type="default"/>
          <w:footerReference r:id="rId7" w:type="default"/>
          <w:pgSz w:w="11906" w:h="16838"/>
          <w:pgMar w:top="1440" w:right="1106" w:bottom="1440" w:left="1440" w:header="851" w:footer="992" w:gutter="0"/>
          <w:cols w:space="720" w:num="1"/>
          <w:docGrid w:linePitch="312" w:charSpace="0"/>
        </w:sectPr>
      </w:pPr>
    </w:p>
    <w:p w14:paraId="34BD1ADC">
      <w:pPr>
        <w:snapToGrid w:val="0"/>
        <w:spacing w:before="50" w:after="50"/>
        <w:jc w:val="center"/>
        <w:rPr>
          <w:rFonts w:ascii="仿宋" w:hAnsi="仿宋" w:eastAsia="仿宋"/>
          <w:b/>
          <w:color w:val="auto"/>
          <w:sz w:val="36"/>
          <w:szCs w:val="36"/>
          <w:highlight w:val="none"/>
        </w:rPr>
      </w:pPr>
      <w:r>
        <w:rPr>
          <w:rFonts w:hint="eastAsia" w:ascii="仿宋" w:hAnsi="仿宋" w:eastAsia="仿宋"/>
          <w:b/>
          <w:color w:val="auto"/>
          <w:sz w:val="36"/>
          <w:szCs w:val="36"/>
          <w:highlight w:val="none"/>
        </w:rPr>
        <w:t>中小企业声明函（货物）</w:t>
      </w:r>
    </w:p>
    <w:p w14:paraId="6CA723A4">
      <w:pPr>
        <w:snapToGrid w:val="0"/>
        <w:spacing w:line="360" w:lineRule="auto"/>
        <w:rPr>
          <w:rFonts w:ascii="仿宋" w:hAnsi="仿宋" w:eastAsia="仿宋"/>
          <w:color w:val="auto"/>
          <w:sz w:val="28"/>
          <w:szCs w:val="28"/>
          <w:highlight w:val="none"/>
        </w:rPr>
      </w:pPr>
    </w:p>
    <w:p w14:paraId="660A8F66">
      <w:pPr>
        <w:snapToGrid w:val="0"/>
        <w:spacing w:line="360" w:lineRule="auto"/>
        <w:ind w:firstLine="560" w:firstLineChars="200"/>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本公司（联合体）郑重声明，根据《政府采购促进中小企业发展管理办法》（财库﹝2020﹞46 号）的规定，本公司（联合体）参加</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（单位名称）</w:t>
      </w:r>
      <w:r>
        <w:rPr>
          <w:rFonts w:hint="eastAsia" w:ascii="宋体" w:hAnsi="宋体" w:eastAsia="宋体" w:cs="宋体"/>
          <w:color w:val="auto"/>
          <w:sz w:val="28"/>
          <w:szCs w:val="28"/>
          <w:highlight w:val="none"/>
        </w:rPr>
        <w:t>的</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（项目名称）</w:t>
      </w:r>
      <w:r>
        <w:rPr>
          <w:rFonts w:hint="eastAsia" w:ascii="宋体" w:hAnsi="宋体" w:eastAsia="宋体" w:cs="宋体"/>
          <w:color w:val="auto"/>
          <w:sz w:val="28"/>
          <w:szCs w:val="28"/>
          <w:highlight w:val="none"/>
        </w:rPr>
        <w:t xml:space="preserve">采购活动，提供的货物全部由符合政策要求的中小企业制造。相关企业 （含联合体中的中小企业、签订分包意向协议的中小企业） 的具体情况如下： </w:t>
      </w:r>
    </w:p>
    <w:p w14:paraId="155EBFC8">
      <w:pPr>
        <w:numPr>
          <w:ilvl w:val="0"/>
          <w:numId w:val="32"/>
        </w:numPr>
        <w:snapToGrid w:val="0"/>
        <w:spacing w:line="360" w:lineRule="auto"/>
        <w:ind w:firstLine="560" w:firstLineChars="200"/>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（标的名称）</w:t>
      </w:r>
      <w:r>
        <w:rPr>
          <w:rFonts w:hint="eastAsia" w:ascii="宋体" w:hAnsi="宋体" w:eastAsia="宋体" w:cs="宋体"/>
          <w:color w:val="auto"/>
          <w:sz w:val="28"/>
          <w:szCs w:val="28"/>
          <w:highlight w:val="none"/>
        </w:rPr>
        <w:t>，属于</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（采购文件中明确的所属行业） 行业</w:t>
      </w:r>
      <w:r>
        <w:rPr>
          <w:rFonts w:hint="eastAsia" w:ascii="宋体" w:hAnsi="宋体" w:eastAsia="宋体" w:cs="宋体"/>
          <w:color w:val="auto"/>
          <w:sz w:val="28"/>
          <w:szCs w:val="28"/>
          <w:highlight w:val="none"/>
        </w:rPr>
        <w:t>；制造商为</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（企业名称）</w:t>
      </w:r>
      <w:r>
        <w:rPr>
          <w:rFonts w:hint="eastAsia" w:ascii="宋体" w:hAnsi="宋体" w:eastAsia="宋体" w:cs="宋体"/>
          <w:color w:val="auto"/>
          <w:sz w:val="28"/>
          <w:szCs w:val="28"/>
          <w:highlight w:val="none"/>
        </w:rPr>
        <w:t>，从业人员</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人，营业收入为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万元，资产总额为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万元</w:t>
      </w:r>
      <w:r>
        <w:rPr>
          <w:rFonts w:hint="eastAsia" w:ascii="宋体" w:hAnsi="宋体" w:eastAsia="宋体" w:cs="宋体"/>
          <w:color w:val="auto"/>
          <w:sz w:val="28"/>
          <w:szCs w:val="28"/>
          <w:highlight w:val="none"/>
          <w:vertAlign w:val="superscript"/>
        </w:rPr>
        <w:t xml:space="preserve"> </w:t>
      </w:r>
      <w:r>
        <w:rPr>
          <w:rFonts w:hint="eastAsia" w:ascii="宋体" w:hAnsi="宋体" w:eastAsia="宋体" w:cs="宋体"/>
          <w:color w:val="auto"/>
          <w:sz w:val="28"/>
          <w:szCs w:val="28"/>
          <w:highlight w:val="none"/>
        </w:rPr>
        <w:t>，属于</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（中型企业、小型企业、微型企业）</w:t>
      </w:r>
      <w:r>
        <w:rPr>
          <w:rFonts w:hint="eastAsia" w:ascii="宋体" w:hAnsi="宋体" w:eastAsia="宋体" w:cs="宋体"/>
          <w:color w:val="auto"/>
          <w:sz w:val="28"/>
          <w:szCs w:val="28"/>
          <w:highlight w:val="none"/>
        </w:rPr>
        <w:t xml:space="preserve">； </w:t>
      </w:r>
    </w:p>
    <w:p w14:paraId="6380FD1E">
      <w:pPr>
        <w:snapToGrid w:val="0"/>
        <w:spacing w:line="360" w:lineRule="auto"/>
        <w:ind w:firstLine="560" w:firstLineChars="200"/>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（标的名称）</w:t>
      </w:r>
      <w:r>
        <w:rPr>
          <w:rFonts w:hint="eastAsia" w:ascii="宋体" w:hAnsi="宋体" w:eastAsia="宋体" w:cs="宋体"/>
          <w:color w:val="auto"/>
          <w:sz w:val="28"/>
          <w:szCs w:val="28"/>
          <w:highlight w:val="none"/>
        </w:rPr>
        <w:t xml:space="preserve"> ，属于</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（采购文件中明确的所属行业） </w:t>
      </w:r>
      <w:r>
        <w:rPr>
          <w:rFonts w:hint="eastAsia" w:ascii="宋体" w:hAnsi="宋体" w:eastAsia="宋体" w:cs="宋体"/>
          <w:color w:val="auto"/>
          <w:sz w:val="28"/>
          <w:szCs w:val="28"/>
          <w:highlight w:val="none"/>
        </w:rPr>
        <w:t>行业；制造商为</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（企业名称）</w:t>
      </w:r>
      <w:r>
        <w:rPr>
          <w:rFonts w:hint="eastAsia" w:ascii="宋体" w:hAnsi="宋体" w:eastAsia="宋体" w:cs="宋体"/>
          <w:color w:val="auto"/>
          <w:sz w:val="28"/>
          <w:szCs w:val="28"/>
          <w:highlight w:val="none"/>
        </w:rPr>
        <w:t>，从业人员</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人，营业收入为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万元，资产总额为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万元，属于</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（中型企业、小型企业、微型企业）</w:t>
      </w:r>
      <w:r>
        <w:rPr>
          <w:rFonts w:hint="eastAsia" w:ascii="宋体" w:hAnsi="宋体" w:eastAsia="宋体" w:cs="宋体"/>
          <w:color w:val="auto"/>
          <w:sz w:val="28"/>
          <w:szCs w:val="28"/>
          <w:highlight w:val="none"/>
        </w:rPr>
        <w:t>；</w:t>
      </w:r>
    </w:p>
    <w:p w14:paraId="5EDEABE1">
      <w:pPr>
        <w:snapToGrid w:val="0"/>
        <w:spacing w:line="360" w:lineRule="auto"/>
        <w:ind w:firstLine="560" w:firstLineChars="200"/>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p w14:paraId="095C3E55">
      <w:pPr>
        <w:snapToGrid w:val="0"/>
        <w:spacing w:line="360" w:lineRule="auto"/>
        <w:ind w:firstLine="560" w:firstLineChars="200"/>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以上企业，不属于大企业的分支机构，不存在控股股东为大企业的情形，也不存在与大企业的负责人为同一人的情形。 </w:t>
      </w:r>
    </w:p>
    <w:p w14:paraId="57D08890">
      <w:pPr>
        <w:snapToGrid w:val="0"/>
        <w:spacing w:line="360" w:lineRule="auto"/>
        <w:ind w:firstLine="560" w:firstLineChars="200"/>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本企业对上述声明内容的真实性负责。如有虚假，将依法承担相应责任。</w:t>
      </w:r>
    </w:p>
    <w:p w14:paraId="16C74370">
      <w:pPr>
        <w:snapToGrid w:val="0"/>
        <w:spacing w:line="360" w:lineRule="auto"/>
        <w:ind w:left="3640" w:firstLine="560" w:firstLineChars="200"/>
        <w:jc w:val="left"/>
        <w:rPr>
          <w:rFonts w:hint="eastAsia" w:ascii="宋体" w:hAnsi="宋体" w:eastAsia="宋体" w:cs="宋体"/>
          <w:color w:val="auto"/>
          <w:sz w:val="28"/>
          <w:szCs w:val="28"/>
          <w:highlight w:val="none"/>
        </w:rPr>
      </w:pPr>
    </w:p>
    <w:p w14:paraId="1C9EF203">
      <w:pPr>
        <w:pStyle w:val="2"/>
        <w:rPr>
          <w:rFonts w:hint="eastAsia" w:ascii="宋体" w:hAnsi="宋体" w:eastAsia="宋体" w:cs="宋体"/>
          <w:color w:val="auto"/>
          <w:sz w:val="28"/>
          <w:szCs w:val="28"/>
          <w:highlight w:val="none"/>
        </w:rPr>
      </w:pPr>
      <w:r>
        <w:rPr>
          <w:rFonts w:hint="eastAsia" w:ascii="宋体" w:hAnsi="宋体" w:cs="宋体"/>
          <w:bCs w:val="0"/>
          <w:color w:val="auto"/>
          <w:sz w:val="24"/>
          <w:highlight w:val="none"/>
          <w:lang w:eastAsia="zh-CN"/>
        </w:rPr>
        <w:t>注：中小企业声明函随结果公告一同公示</w:t>
      </w:r>
    </w:p>
    <w:p w14:paraId="371B53D4">
      <w:pPr>
        <w:widowControl/>
        <w:adjustRightInd w:val="0"/>
        <w:spacing w:line="480" w:lineRule="exact"/>
        <w:ind w:firstLine="560" w:firstLineChars="200"/>
        <w:jc w:val="center"/>
        <w:rPr>
          <w:rFonts w:hint="eastAsia" w:ascii="宋体" w:hAnsi="宋体" w:eastAsia="宋体" w:cs="Times New Roman"/>
          <w:color w:val="auto"/>
          <w:sz w:val="28"/>
          <w:szCs w:val="28"/>
          <w:highlight w:val="none"/>
          <w:lang w:eastAsia="zh-CN"/>
        </w:rPr>
      </w:pPr>
      <w:r>
        <w:rPr>
          <w:rFonts w:hint="eastAsia" w:ascii="宋体" w:hAnsi="宋体" w:eastAsia="宋体" w:cs="Times New Roman"/>
          <w:color w:val="auto"/>
          <w:sz w:val="28"/>
          <w:szCs w:val="28"/>
          <w:highlight w:val="none"/>
          <w:lang w:val="en-US" w:eastAsia="zh-CN"/>
        </w:rPr>
        <w:t>企业名称（盖章）</w:t>
      </w:r>
      <w:r>
        <w:rPr>
          <w:rFonts w:hint="eastAsia" w:ascii="宋体" w:hAnsi="宋体" w:eastAsia="宋体" w:cs="Times New Roman"/>
          <w:color w:val="auto"/>
          <w:sz w:val="28"/>
          <w:szCs w:val="28"/>
          <w:highlight w:val="none"/>
          <w:lang w:eastAsia="zh-CN"/>
        </w:rPr>
        <w:t>：</w:t>
      </w:r>
    </w:p>
    <w:p w14:paraId="20EB39B2">
      <w:pPr>
        <w:widowControl/>
        <w:adjustRightInd w:val="0"/>
        <w:spacing w:line="480" w:lineRule="exact"/>
        <w:ind w:firstLine="560" w:firstLineChars="200"/>
        <w:jc w:val="center"/>
        <w:rPr>
          <w:rFonts w:hint="eastAsia" w:ascii="宋体" w:hAnsi="宋体" w:eastAsia="宋体" w:cs="Times New Roman"/>
          <w:color w:val="auto"/>
          <w:sz w:val="28"/>
          <w:szCs w:val="28"/>
          <w:highlight w:val="none"/>
        </w:rPr>
      </w:pPr>
      <w:r>
        <w:rPr>
          <w:rFonts w:hint="eastAsia" w:ascii="宋体" w:hAnsi="宋体" w:eastAsia="宋体" w:cs="Times New Roman"/>
          <w:color w:val="auto"/>
          <w:sz w:val="28"/>
          <w:szCs w:val="28"/>
          <w:highlight w:val="none"/>
        </w:rPr>
        <w:t>日  期：</w:t>
      </w:r>
    </w:p>
    <w:p w14:paraId="5BFE12BB">
      <w:pPr>
        <w:jc w:val="center"/>
        <w:rPr>
          <w:rFonts w:hint="eastAsia"/>
          <w:color w:val="auto"/>
          <w:sz w:val="28"/>
          <w:szCs w:val="28"/>
          <w:highlight w:val="none"/>
        </w:rPr>
      </w:pPr>
    </w:p>
    <w:p w14:paraId="042684D3">
      <w:pPr>
        <w:jc w:val="center"/>
        <w:rPr>
          <w:rFonts w:hint="eastAsia"/>
          <w:color w:val="auto"/>
          <w:sz w:val="28"/>
          <w:szCs w:val="28"/>
          <w:highlight w:val="none"/>
        </w:rPr>
      </w:pPr>
    </w:p>
    <w:p w14:paraId="0E0F2619">
      <w:pPr>
        <w:jc w:val="center"/>
        <w:rPr>
          <w:rFonts w:hint="eastAsia"/>
          <w:color w:val="auto"/>
          <w:sz w:val="28"/>
          <w:szCs w:val="28"/>
          <w:highlight w:val="none"/>
        </w:rPr>
      </w:pPr>
    </w:p>
    <w:p w14:paraId="347DD517">
      <w:pPr>
        <w:jc w:val="center"/>
        <w:rPr>
          <w:rFonts w:hint="eastAsia"/>
          <w:color w:val="auto"/>
          <w:sz w:val="28"/>
          <w:szCs w:val="28"/>
          <w:highlight w:val="none"/>
        </w:rPr>
      </w:pPr>
    </w:p>
    <w:p w14:paraId="587A594C">
      <w:pPr>
        <w:jc w:val="center"/>
        <w:rPr>
          <w:rFonts w:hint="eastAsia"/>
          <w:color w:val="auto"/>
          <w:sz w:val="28"/>
          <w:szCs w:val="28"/>
          <w:highlight w:val="none"/>
        </w:rPr>
      </w:pPr>
    </w:p>
    <w:p w14:paraId="6D7A51FE">
      <w:pPr>
        <w:jc w:val="center"/>
        <w:rPr>
          <w:rFonts w:hint="eastAsia"/>
          <w:color w:val="auto"/>
          <w:sz w:val="28"/>
          <w:szCs w:val="28"/>
          <w:highlight w:val="none"/>
        </w:rPr>
        <w:sectPr>
          <w:pgSz w:w="11906" w:h="16838"/>
          <w:pgMar w:top="1440" w:right="1106" w:bottom="1440" w:left="1440" w:header="851" w:footer="992" w:gutter="0"/>
          <w:cols w:space="720" w:num="1"/>
          <w:docGrid w:linePitch="312" w:charSpace="0"/>
        </w:sectPr>
      </w:pPr>
    </w:p>
    <w:p w14:paraId="3303708C">
      <w:pPr>
        <w:snapToGrid w:val="0"/>
        <w:spacing w:before="50" w:after="50"/>
        <w:jc w:val="center"/>
        <w:rPr>
          <w:rFonts w:hint="eastAsia" w:ascii="仿宋" w:hAnsi="仿宋" w:eastAsia="仿宋" w:cs="Times New Roman"/>
          <w:b/>
          <w:color w:val="auto"/>
          <w:sz w:val="36"/>
          <w:szCs w:val="36"/>
          <w:highlight w:val="none"/>
        </w:rPr>
      </w:pPr>
      <w:r>
        <w:rPr>
          <w:rFonts w:hint="eastAsia" w:ascii="仿宋" w:hAnsi="仿宋" w:eastAsia="仿宋" w:cs="Times New Roman"/>
          <w:b/>
          <w:color w:val="auto"/>
          <w:sz w:val="36"/>
          <w:szCs w:val="36"/>
          <w:highlight w:val="none"/>
        </w:rPr>
        <w:t>中小企业声明函（工程、服务）</w:t>
      </w:r>
    </w:p>
    <w:p w14:paraId="2400C9C8">
      <w:pPr>
        <w:widowControl/>
        <w:adjustRightInd w:val="0"/>
        <w:spacing w:line="360" w:lineRule="auto"/>
        <w:rPr>
          <w:rFonts w:ascii="宋体" w:hAnsi="宋体" w:cs="宋体"/>
          <w:bCs/>
          <w:color w:val="auto"/>
          <w:highlight w:val="none"/>
        </w:rPr>
      </w:pPr>
    </w:p>
    <w:p w14:paraId="4FA57AC4">
      <w:pPr>
        <w:widowControl/>
        <w:adjustRightInd w:val="0"/>
        <w:spacing w:line="480" w:lineRule="exact"/>
        <w:ind w:firstLine="560" w:firstLineChars="200"/>
        <w:rPr>
          <w:rFonts w:ascii="宋体" w:hAnsi="宋体" w:cs="宋体"/>
          <w:bCs/>
          <w:color w:val="auto"/>
          <w:sz w:val="28"/>
          <w:szCs w:val="28"/>
          <w:highlight w:val="none"/>
        </w:rPr>
      </w:pPr>
      <w:r>
        <w:rPr>
          <w:rFonts w:hint="eastAsia" w:ascii="宋体" w:hAnsi="宋体" w:cs="宋体"/>
          <w:bCs/>
          <w:color w:val="auto"/>
          <w:sz w:val="28"/>
          <w:szCs w:val="28"/>
          <w:highlight w:val="none"/>
        </w:rPr>
        <w:t>本公司（联合体）郑重声明，根据《政府采购促进中小企业发展管理办法》（财库﹝2020﹞46号）的规定，本公司（联合体）参加</w:t>
      </w:r>
      <w:r>
        <w:rPr>
          <w:rFonts w:hint="eastAsia" w:ascii="宋体" w:hAnsi="宋体" w:cs="宋体"/>
          <w:bCs/>
          <w:color w:val="auto"/>
          <w:sz w:val="28"/>
          <w:szCs w:val="28"/>
          <w:highlight w:val="none"/>
          <w:u w:val="single"/>
          <w:lang w:val="en-US" w:eastAsia="zh-CN"/>
        </w:rPr>
        <w:t xml:space="preserve">            </w:t>
      </w:r>
      <w:r>
        <w:rPr>
          <w:rFonts w:hint="eastAsia" w:ascii="宋体" w:hAnsi="宋体" w:cs="宋体"/>
          <w:bCs/>
          <w:color w:val="auto"/>
          <w:sz w:val="28"/>
          <w:szCs w:val="28"/>
          <w:highlight w:val="none"/>
          <w:u w:val="single"/>
        </w:rPr>
        <w:t>（单位名称）</w:t>
      </w:r>
      <w:r>
        <w:rPr>
          <w:rFonts w:hint="eastAsia" w:ascii="宋体" w:hAnsi="宋体" w:cs="宋体"/>
          <w:bCs/>
          <w:color w:val="auto"/>
          <w:sz w:val="28"/>
          <w:szCs w:val="28"/>
          <w:highlight w:val="none"/>
        </w:rPr>
        <w:t>的</w:t>
      </w:r>
      <w:r>
        <w:rPr>
          <w:rFonts w:hint="eastAsia" w:ascii="宋体" w:hAnsi="宋体" w:cs="宋体"/>
          <w:bCs/>
          <w:color w:val="auto"/>
          <w:sz w:val="28"/>
          <w:szCs w:val="28"/>
          <w:highlight w:val="none"/>
          <w:lang w:val="en-US" w:eastAsia="zh-CN"/>
        </w:rPr>
        <w:t xml:space="preserve"> </w:t>
      </w:r>
      <w:r>
        <w:rPr>
          <w:rFonts w:hint="eastAsia" w:ascii="宋体" w:hAnsi="宋体" w:cs="宋体"/>
          <w:bCs/>
          <w:color w:val="auto"/>
          <w:sz w:val="28"/>
          <w:szCs w:val="28"/>
          <w:highlight w:val="none"/>
          <w:u w:val="single"/>
          <w:lang w:val="en-US" w:eastAsia="zh-CN"/>
        </w:rPr>
        <w:t xml:space="preserve">         </w:t>
      </w:r>
      <w:r>
        <w:rPr>
          <w:rFonts w:hint="eastAsia" w:ascii="宋体" w:hAnsi="宋体" w:cs="宋体"/>
          <w:bCs/>
          <w:color w:val="auto"/>
          <w:sz w:val="28"/>
          <w:szCs w:val="28"/>
          <w:highlight w:val="none"/>
          <w:u w:val="single"/>
        </w:rPr>
        <w:t>（项目名称）</w:t>
      </w:r>
      <w:r>
        <w:rPr>
          <w:rFonts w:hint="eastAsia" w:ascii="宋体" w:hAnsi="宋体" w:cs="宋体"/>
          <w:bCs/>
          <w:color w:val="auto"/>
          <w:sz w:val="28"/>
          <w:szCs w:val="28"/>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C28F0F5">
      <w:pPr>
        <w:widowControl/>
        <w:numPr>
          <w:ilvl w:val="0"/>
          <w:numId w:val="33"/>
        </w:numPr>
        <w:adjustRightInd w:val="0"/>
        <w:spacing w:line="480" w:lineRule="exact"/>
        <w:ind w:firstLine="560" w:firstLineChars="200"/>
        <w:rPr>
          <w:rFonts w:ascii="宋体" w:hAnsi="宋体" w:cs="宋体"/>
          <w:bCs/>
          <w:color w:val="auto"/>
          <w:sz w:val="28"/>
          <w:szCs w:val="28"/>
          <w:highlight w:val="none"/>
        </w:rPr>
      </w:pPr>
      <w:r>
        <w:rPr>
          <w:rFonts w:hint="eastAsia" w:ascii="宋体" w:hAnsi="宋体" w:cs="宋体"/>
          <w:bCs/>
          <w:color w:val="auto"/>
          <w:sz w:val="28"/>
          <w:szCs w:val="28"/>
          <w:highlight w:val="none"/>
          <w:u w:val="single"/>
          <w:lang w:val="en-US" w:eastAsia="zh-CN"/>
        </w:rPr>
        <w:t xml:space="preserve">        </w:t>
      </w:r>
      <w:r>
        <w:rPr>
          <w:rFonts w:hint="eastAsia" w:ascii="宋体" w:hAnsi="宋体" w:cs="宋体"/>
          <w:bCs/>
          <w:color w:val="auto"/>
          <w:sz w:val="28"/>
          <w:szCs w:val="28"/>
          <w:highlight w:val="none"/>
          <w:u w:val="single"/>
        </w:rPr>
        <w:t>（标的名称）</w:t>
      </w:r>
      <w:r>
        <w:rPr>
          <w:rFonts w:hint="eastAsia" w:ascii="宋体" w:hAnsi="宋体" w:cs="宋体"/>
          <w:bCs/>
          <w:color w:val="auto"/>
          <w:sz w:val="28"/>
          <w:szCs w:val="28"/>
          <w:highlight w:val="none"/>
        </w:rPr>
        <w:t>，属于</w:t>
      </w:r>
      <w:r>
        <w:rPr>
          <w:rFonts w:hint="eastAsia" w:ascii="宋体" w:hAnsi="宋体" w:cs="宋体"/>
          <w:bCs/>
          <w:color w:val="auto"/>
          <w:sz w:val="28"/>
          <w:szCs w:val="28"/>
          <w:highlight w:val="none"/>
          <w:u w:val="single"/>
          <w:lang w:val="en-US" w:eastAsia="zh-CN"/>
        </w:rPr>
        <w:t xml:space="preserve">     </w:t>
      </w:r>
      <w:r>
        <w:rPr>
          <w:rFonts w:hint="eastAsia" w:ascii="宋体" w:hAnsi="宋体" w:cs="宋体"/>
          <w:bCs/>
          <w:color w:val="auto"/>
          <w:sz w:val="28"/>
          <w:szCs w:val="28"/>
          <w:highlight w:val="none"/>
          <w:u w:val="single"/>
        </w:rPr>
        <w:t>（采购文件中明确的所属行业）</w:t>
      </w:r>
      <w:r>
        <w:rPr>
          <w:rFonts w:hint="eastAsia" w:ascii="宋体" w:hAnsi="宋体" w:cs="宋体"/>
          <w:bCs/>
          <w:color w:val="auto"/>
          <w:sz w:val="28"/>
          <w:szCs w:val="28"/>
          <w:highlight w:val="none"/>
        </w:rPr>
        <w:t>；承建（承接）企业为</w:t>
      </w:r>
      <w:r>
        <w:rPr>
          <w:rFonts w:hint="eastAsia" w:ascii="宋体" w:hAnsi="宋体" w:cs="宋体"/>
          <w:bCs/>
          <w:color w:val="auto"/>
          <w:sz w:val="28"/>
          <w:szCs w:val="28"/>
          <w:highlight w:val="none"/>
          <w:u w:val="single"/>
          <w:lang w:val="en-US" w:eastAsia="zh-CN"/>
        </w:rPr>
        <w:t xml:space="preserve">      </w:t>
      </w:r>
      <w:r>
        <w:rPr>
          <w:rFonts w:hint="eastAsia" w:ascii="宋体" w:hAnsi="宋体" w:cs="宋体"/>
          <w:bCs/>
          <w:color w:val="auto"/>
          <w:sz w:val="28"/>
          <w:szCs w:val="28"/>
          <w:highlight w:val="none"/>
          <w:u w:val="single"/>
        </w:rPr>
        <w:t>（企业名称）</w:t>
      </w:r>
      <w:r>
        <w:rPr>
          <w:rFonts w:hint="eastAsia" w:ascii="宋体" w:hAnsi="宋体" w:cs="宋体"/>
          <w:bCs/>
          <w:color w:val="auto"/>
          <w:sz w:val="28"/>
          <w:szCs w:val="28"/>
          <w:highlight w:val="none"/>
        </w:rPr>
        <w:t>，从业人员</w:t>
      </w:r>
      <w:r>
        <w:rPr>
          <w:rFonts w:hint="eastAsia" w:ascii="宋体" w:hAnsi="宋体" w:cs="宋体"/>
          <w:bCs/>
          <w:color w:val="auto"/>
          <w:sz w:val="28"/>
          <w:szCs w:val="28"/>
          <w:highlight w:val="none"/>
          <w:u w:val="single"/>
        </w:rPr>
        <w:t xml:space="preserve"> </w:t>
      </w:r>
      <w:r>
        <w:rPr>
          <w:rFonts w:hint="eastAsia" w:ascii="宋体" w:hAnsi="宋体" w:cs="宋体"/>
          <w:bCs/>
          <w:color w:val="auto"/>
          <w:sz w:val="28"/>
          <w:szCs w:val="28"/>
          <w:highlight w:val="none"/>
          <w:u w:val="single"/>
          <w:lang w:val="en-US" w:eastAsia="zh-CN"/>
        </w:rPr>
        <w:t xml:space="preserve"> </w:t>
      </w:r>
      <w:r>
        <w:rPr>
          <w:rFonts w:hint="eastAsia" w:ascii="宋体" w:hAnsi="宋体" w:cs="宋体"/>
          <w:bCs/>
          <w:color w:val="auto"/>
          <w:sz w:val="28"/>
          <w:szCs w:val="28"/>
          <w:highlight w:val="none"/>
          <w:u w:val="single"/>
        </w:rPr>
        <w:t xml:space="preserve">   </w:t>
      </w:r>
      <w:r>
        <w:rPr>
          <w:rFonts w:hint="eastAsia" w:ascii="宋体" w:hAnsi="宋体" w:cs="宋体"/>
          <w:bCs/>
          <w:color w:val="auto"/>
          <w:sz w:val="28"/>
          <w:szCs w:val="28"/>
          <w:highlight w:val="none"/>
        </w:rPr>
        <w:t>人，营业收入为</w:t>
      </w:r>
      <w:r>
        <w:rPr>
          <w:rFonts w:hint="eastAsia" w:ascii="宋体" w:hAnsi="宋体" w:cs="宋体"/>
          <w:bCs/>
          <w:color w:val="auto"/>
          <w:sz w:val="28"/>
          <w:szCs w:val="28"/>
          <w:highlight w:val="none"/>
          <w:u w:val="single"/>
        </w:rPr>
        <w:t xml:space="preserve">   </w:t>
      </w:r>
      <w:r>
        <w:rPr>
          <w:rFonts w:hint="eastAsia" w:ascii="宋体" w:hAnsi="宋体" w:cs="宋体"/>
          <w:bCs/>
          <w:color w:val="auto"/>
          <w:sz w:val="28"/>
          <w:szCs w:val="28"/>
          <w:highlight w:val="none"/>
          <w:u w:val="single"/>
          <w:lang w:val="en-US" w:eastAsia="zh-CN"/>
        </w:rPr>
        <w:t xml:space="preserve"> </w:t>
      </w:r>
      <w:r>
        <w:rPr>
          <w:rFonts w:hint="eastAsia" w:ascii="宋体" w:hAnsi="宋体" w:cs="宋体"/>
          <w:bCs/>
          <w:color w:val="auto"/>
          <w:sz w:val="28"/>
          <w:szCs w:val="28"/>
          <w:highlight w:val="none"/>
          <w:u w:val="single"/>
        </w:rPr>
        <w:t xml:space="preserve"> </w:t>
      </w:r>
      <w:r>
        <w:rPr>
          <w:rFonts w:hint="eastAsia" w:ascii="宋体" w:hAnsi="宋体" w:cs="宋体"/>
          <w:bCs/>
          <w:color w:val="auto"/>
          <w:sz w:val="28"/>
          <w:szCs w:val="28"/>
          <w:highlight w:val="none"/>
        </w:rPr>
        <w:t>万元，资产总额为</w:t>
      </w:r>
      <w:r>
        <w:rPr>
          <w:rFonts w:hint="eastAsia" w:ascii="宋体" w:hAnsi="宋体" w:cs="宋体"/>
          <w:bCs/>
          <w:color w:val="auto"/>
          <w:sz w:val="28"/>
          <w:szCs w:val="28"/>
          <w:highlight w:val="none"/>
          <w:u w:val="single"/>
        </w:rPr>
        <w:t xml:space="preserve">  </w:t>
      </w:r>
      <w:r>
        <w:rPr>
          <w:rFonts w:hint="eastAsia" w:ascii="宋体" w:hAnsi="宋体" w:cs="宋体"/>
          <w:bCs/>
          <w:color w:val="auto"/>
          <w:sz w:val="28"/>
          <w:szCs w:val="28"/>
          <w:highlight w:val="none"/>
          <w:u w:val="single"/>
          <w:lang w:val="en-US" w:eastAsia="zh-CN"/>
        </w:rPr>
        <w:t xml:space="preserve"> </w:t>
      </w:r>
      <w:r>
        <w:rPr>
          <w:rFonts w:hint="eastAsia" w:ascii="宋体" w:hAnsi="宋体" w:cs="宋体"/>
          <w:bCs/>
          <w:color w:val="auto"/>
          <w:sz w:val="28"/>
          <w:szCs w:val="28"/>
          <w:highlight w:val="none"/>
          <w:u w:val="single"/>
        </w:rPr>
        <w:t xml:space="preserve">  </w:t>
      </w:r>
      <w:r>
        <w:rPr>
          <w:rFonts w:hint="eastAsia" w:ascii="宋体" w:hAnsi="宋体" w:cs="宋体"/>
          <w:bCs/>
          <w:color w:val="auto"/>
          <w:sz w:val="28"/>
          <w:szCs w:val="28"/>
          <w:highlight w:val="none"/>
        </w:rPr>
        <w:t>万元，属于</w:t>
      </w:r>
      <w:r>
        <w:rPr>
          <w:rFonts w:hint="eastAsia" w:ascii="宋体" w:hAnsi="宋体" w:cs="宋体"/>
          <w:bCs/>
          <w:color w:val="auto"/>
          <w:sz w:val="28"/>
          <w:szCs w:val="28"/>
          <w:highlight w:val="none"/>
          <w:u w:val="single"/>
          <w:lang w:val="en-US" w:eastAsia="zh-CN"/>
        </w:rPr>
        <w:t xml:space="preserve">       </w:t>
      </w:r>
      <w:r>
        <w:rPr>
          <w:rFonts w:hint="eastAsia" w:ascii="宋体" w:hAnsi="宋体" w:cs="宋体"/>
          <w:bCs/>
          <w:color w:val="auto"/>
          <w:sz w:val="28"/>
          <w:szCs w:val="28"/>
          <w:highlight w:val="none"/>
          <w:u w:val="single"/>
        </w:rPr>
        <w:t>（中型企业、小型企业、微型企业</w:t>
      </w:r>
      <w:r>
        <w:rPr>
          <w:rFonts w:hint="eastAsia" w:ascii="宋体" w:hAnsi="宋体" w:cs="宋体"/>
          <w:bCs/>
          <w:color w:val="auto"/>
          <w:sz w:val="28"/>
          <w:szCs w:val="28"/>
          <w:highlight w:val="none"/>
        </w:rPr>
        <w:t>）；</w:t>
      </w:r>
    </w:p>
    <w:p w14:paraId="0EC95FBA">
      <w:pPr>
        <w:widowControl/>
        <w:adjustRightInd w:val="0"/>
        <w:spacing w:line="480" w:lineRule="exact"/>
        <w:ind w:firstLine="560" w:firstLineChars="200"/>
        <w:rPr>
          <w:rFonts w:ascii="宋体" w:hAnsi="宋体" w:cs="宋体"/>
          <w:bCs/>
          <w:color w:val="auto"/>
          <w:sz w:val="28"/>
          <w:szCs w:val="28"/>
          <w:highlight w:val="none"/>
        </w:rPr>
      </w:pPr>
      <w:r>
        <w:rPr>
          <w:rFonts w:hint="eastAsia" w:ascii="宋体" w:hAnsi="宋体" w:cs="宋体"/>
          <w:bCs/>
          <w:color w:val="auto"/>
          <w:sz w:val="28"/>
          <w:szCs w:val="28"/>
          <w:highlight w:val="none"/>
        </w:rPr>
        <w:t>2.</w:t>
      </w:r>
      <w:r>
        <w:rPr>
          <w:rFonts w:hint="eastAsia" w:ascii="宋体" w:hAnsi="宋体" w:cs="宋体"/>
          <w:bCs/>
          <w:color w:val="auto"/>
          <w:sz w:val="28"/>
          <w:szCs w:val="28"/>
          <w:highlight w:val="none"/>
          <w:u w:val="none"/>
        </w:rPr>
        <w:t xml:space="preserve"> </w:t>
      </w:r>
      <w:r>
        <w:rPr>
          <w:rFonts w:hint="eastAsia" w:ascii="宋体" w:hAnsi="宋体" w:cs="宋体"/>
          <w:bCs/>
          <w:color w:val="auto"/>
          <w:sz w:val="28"/>
          <w:szCs w:val="28"/>
          <w:highlight w:val="none"/>
          <w:u w:val="single"/>
        </w:rPr>
        <w:t xml:space="preserve">      （标的名称）</w:t>
      </w:r>
      <w:r>
        <w:rPr>
          <w:rFonts w:hint="eastAsia" w:ascii="宋体" w:hAnsi="宋体" w:cs="宋体"/>
          <w:bCs/>
          <w:color w:val="auto"/>
          <w:sz w:val="28"/>
          <w:szCs w:val="28"/>
          <w:highlight w:val="none"/>
          <w:u w:val="none"/>
        </w:rPr>
        <w:t>，属于</w:t>
      </w:r>
      <w:r>
        <w:rPr>
          <w:rFonts w:hint="eastAsia" w:ascii="宋体" w:hAnsi="宋体" w:cs="宋体"/>
          <w:bCs/>
          <w:color w:val="auto"/>
          <w:sz w:val="28"/>
          <w:szCs w:val="28"/>
          <w:highlight w:val="none"/>
          <w:u w:val="single"/>
        </w:rPr>
        <w:t xml:space="preserve">   </w:t>
      </w:r>
      <w:r>
        <w:rPr>
          <w:rFonts w:hint="eastAsia" w:ascii="宋体" w:hAnsi="宋体" w:cs="宋体"/>
          <w:bCs/>
          <w:color w:val="auto"/>
          <w:sz w:val="28"/>
          <w:szCs w:val="28"/>
          <w:highlight w:val="none"/>
          <w:u w:val="single"/>
          <w:lang w:val="en-US" w:eastAsia="zh-CN"/>
        </w:rPr>
        <w:t xml:space="preserve">  </w:t>
      </w:r>
      <w:r>
        <w:rPr>
          <w:rFonts w:hint="eastAsia" w:ascii="宋体" w:hAnsi="宋体" w:cs="宋体"/>
          <w:bCs/>
          <w:color w:val="auto"/>
          <w:sz w:val="28"/>
          <w:szCs w:val="28"/>
          <w:highlight w:val="none"/>
          <w:u w:val="single"/>
        </w:rPr>
        <w:t>（采购文件中明确的所属行业）</w:t>
      </w:r>
      <w:r>
        <w:rPr>
          <w:rFonts w:hint="eastAsia" w:ascii="宋体" w:hAnsi="宋体" w:cs="宋体"/>
          <w:bCs/>
          <w:color w:val="auto"/>
          <w:sz w:val="28"/>
          <w:szCs w:val="28"/>
          <w:highlight w:val="none"/>
          <w:u w:val="none"/>
        </w:rPr>
        <w:t>；承建（承接）企业为</w:t>
      </w:r>
      <w:r>
        <w:rPr>
          <w:rFonts w:hint="eastAsia" w:ascii="宋体" w:hAnsi="宋体" w:cs="宋体"/>
          <w:bCs/>
          <w:color w:val="auto"/>
          <w:sz w:val="28"/>
          <w:szCs w:val="28"/>
          <w:highlight w:val="none"/>
          <w:u w:val="single"/>
        </w:rPr>
        <w:t xml:space="preserve">      （企业名称）</w:t>
      </w:r>
      <w:r>
        <w:rPr>
          <w:rFonts w:hint="eastAsia" w:ascii="宋体" w:hAnsi="宋体" w:cs="宋体"/>
          <w:bCs/>
          <w:color w:val="auto"/>
          <w:sz w:val="28"/>
          <w:szCs w:val="28"/>
          <w:highlight w:val="none"/>
          <w:u w:val="none"/>
        </w:rPr>
        <w:t>，从业人员</w:t>
      </w:r>
      <w:r>
        <w:rPr>
          <w:rFonts w:hint="eastAsia" w:ascii="宋体" w:hAnsi="宋体" w:cs="宋体"/>
          <w:bCs/>
          <w:color w:val="auto"/>
          <w:sz w:val="28"/>
          <w:szCs w:val="28"/>
          <w:highlight w:val="none"/>
          <w:u w:val="single"/>
        </w:rPr>
        <w:t xml:space="preserve">     </w:t>
      </w:r>
      <w:r>
        <w:rPr>
          <w:rFonts w:hint="eastAsia" w:ascii="宋体" w:hAnsi="宋体" w:cs="宋体"/>
          <w:bCs/>
          <w:color w:val="auto"/>
          <w:sz w:val="28"/>
          <w:szCs w:val="28"/>
          <w:highlight w:val="none"/>
          <w:u w:val="none"/>
        </w:rPr>
        <w:t>人，营业收入为</w:t>
      </w:r>
      <w:r>
        <w:rPr>
          <w:rFonts w:hint="eastAsia" w:ascii="宋体" w:hAnsi="宋体" w:cs="宋体"/>
          <w:bCs/>
          <w:color w:val="auto"/>
          <w:sz w:val="28"/>
          <w:szCs w:val="28"/>
          <w:highlight w:val="none"/>
          <w:u w:val="single"/>
        </w:rPr>
        <w:t xml:space="preserve">     </w:t>
      </w:r>
      <w:r>
        <w:rPr>
          <w:rFonts w:hint="eastAsia" w:ascii="宋体" w:hAnsi="宋体" w:cs="宋体"/>
          <w:bCs/>
          <w:color w:val="auto"/>
          <w:sz w:val="28"/>
          <w:szCs w:val="28"/>
          <w:highlight w:val="none"/>
          <w:u w:val="none"/>
        </w:rPr>
        <w:t>万元，资产总额为</w:t>
      </w:r>
      <w:r>
        <w:rPr>
          <w:rFonts w:hint="eastAsia" w:ascii="宋体" w:hAnsi="宋体" w:cs="宋体"/>
          <w:bCs/>
          <w:color w:val="auto"/>
          <w:sz w:val="28"/>
          <w:szCs w:val="28"/>
          <w:highlight w:val="none"/>
          <w:u w:val="single"/>
        </w:rPr>
        <w:t xml:space="preserve">     </w:t>
      </w:r>
      <w:r>
        <w:rPr>
          <w:rFonts w:hint="eastAsia" w:ascii="宋体" w:hAnsi="宋体" w:cs="宋体"/>
          <w:bCs/>
          <w:color w:val="auto"/>
          <w:sz w:val="28"/>
          <w:szCs w:val="28"/>
          <w:highlight w:val="none"/>
          <w:u w:val="none"/>
        </w:rPr>
        <w:t>万元，属于</w:t>
      </w:r>
      <w:r>
        <w:rPr>
          <w:rFonts w:hint="eastAsia" w:ascii="宋体" w:hAnsi="宋体" w:cs="宋体"/>
          <w:bCs/>
          <w:color w:val="auto"/>
          <w:sz w:val="28"/>
          <w:szCs w:val="28"/>
          <w:highlight w:val="none"/>
          <w:u w:val="single"/>
        </w:rPr>
        <w:t xml:space="preserve">        （中型企业、小型企业、微型企业）</w:t>
      </w:r>
      <w:r>
        <w:rPr>
          <w:rFonts w:hint="eastAsia" w:ascii="宋体" w:hAnsi="宋体" w:cs="宋体"/>
          <w:bCs/>
          <w:color w:val="auto"/>
          <w:sz w:val="28"/>
          <w:szCs w:val="28"/>
          <w:highlight w:val="none"/>
          <w:u w:val="none"/>
        </w:rPr>
        <w:t>；</w:t>
      </w:r>
    </w:p>
    <w:p w14:paraId="00B603FC">
      <w:pPr>
        <w:widowControl/>
        <w:adjustRightInd w:val="0"/>
        <w:spacing w:line="480" w:lineRule="exact"/>
        <w:ind w:firstLine="560" w:firstLineChars="200"/>
        <w:rPr>
          <w:rFonts w:ascii="宋体" w:hAnsi="宋体" w:cs="宋体"/>
          <w:bCs/>
          <w:color w:val="auto"/>
          <w:sz w:val="28"/>
          <w:szCs w:val="28"/>
          <w:highlight w:val="none"/>
        </w:rPr>
      </w:pPr>
      <w:r>
        <w:rPr>
          <w:rFonts w:hint="eastAsia" w:ascii="宋体" w:hAnsi="宋体" w:cs="宋体"/>
          <w:bCs/>
          <w:color w:val="auto"/>
          <w:sz w:val="28"/>
          <w:szCs w:val="28"/>
          <w:highlight w:val="none"/>
        </w:rPr>
        <w:t>……</w:t>
      </w:r>
    </w:p>
    <w:p w14:paraId="31E57CA2">
      <w:pPr>
        <w:widowControl/>
        <w:adjustRightInd w:val="0"/>
        <w:spacing w:line="480" w:lineRule="exact"/>
        <w:ind w:firstLine="562" w:firstLineChars="200"/>
        <w:rPr>
          <w:rFonts w:ascii="宋体" w:hAnsi="宋体" w:cs="宋体"/>
          <w:b/>
          <w:color w:val="auto"/>
          <w:sz w:val="28"/>
          <w:szCs w:val="28"/>
          <w:highlight w:val="none"/>
        </w:rPr>
      </w:pPr>
      <w:r>
        <w:rPr>
          <w:rFonts w:hint="eastAsia" w:ascii="宋体" w:hAnsi="宋体" w:cs="宋体"/>
          <w:b/>
          <w:color w:val="auto"/>
          <w:sz w:val="28"/>
          <w:szCs w:val="28"/>
          <w:highlight w:val="none"/>
        </w:rPr>
        <w:t>以上企业，不属于大企业的分支机构，不存在控股股东为大企业的情形，也不存在与大企业的负责人为同一人的情形。</w:t>
      </w:r>
    </w:p>
    <w:p w14:paraId="04952843">
      <w:pPr>
        <w:widowControl/>
        <w:adjustRightInd w:val="0"/>
        <w:spacing w:line="480" w:lineRule="exact"/>
        <w:ind w:firstLine="562" w:firstLineChars="200"/>
        <w:rPr>
          <w:rFonts w:ascii="宋体" w:hAnsi="宋体" w:cs="宋体"/>
          <w:b/>
          <w:color w:val="auto"/>
          <w:sz w:val="28"/>
          <w:szCs w:val="28"/>
          <w:highlight w:val="none"/>
        </w:rPr>
      </w:pPr>
      <w:r>
        <w:rPr>
          <w:rFonts w:hint="eastAsia" w:ascii="宋体" w:hAnsi="宋体" w:cs="宋体"/>
          <w:b/>
          <w:color w:val="auto"/>
          <w:sz w:val="28"/>
          <w:szCs w:val="28"/>
          <w:highlight w:val="none"/>
        </w:rPr>
        <w:t>本企业对上述声明内容的真实性负责。如有虚假，将依法承担相应责任。</w:t>
      </w:r>
    </w:p>
    <w:p w14:paraId="266F4F29">
      <w:pPr>
        <w:pStyle w:val="2"/>
        <w:rPr>
          <w:rFonts w:hint="eastAsia" w:ascii="宋体" w:hAnsi="宋体" w:cs="宋体"/>
          <w:bCs w:val="0"/>
          <w:color w:val="auto"/>
          <w:sz w:val="24"/>
          <w:highlight w:val="none"/>
          <w:lang w:eastAsia="zh-CN"/>
        </w:rPr>
      </w:pPr>
    </w:p>
    <w:p w14:paraId="32CA3306">
      <w:pPr>
        <w:pStyle w:val="2"/>
        <w:rPr>
          <w:rFonts w:hint="eastAsia" w:eastAsia="宋体"/>
          <w:color w:val="auto"/>
          <w:highlight w:val="none"/>
          <w:lang w:val="en-US" w:eastAsia="zh-CN"/>
        </w:rPr>
      </w:pPr>
      <w:r>
        <w:rPr>
          <w:rFonts w:hint="eastAsia" w:ascii="宋体" w:hAnsi="宋体" w:cs="宋体"/>
          <w:bCs w:val="0"/>
          <w:color w:val="auto"/>
          <w:sz w:val="24"/>
          <w:highlight w:val="none"/>
          <w:lang w:eastAsia="zh-CN"/>
        </w:rPr>
        <w:t>注：中小企业声明函随结果公告一同公示</w:t>
      </w:r>
    </w:p>
    <w:p w14:paraId="334755D5">
      <w:pPr>
        <w:pStyle w:val="2"/>
        <w:rPr>
          <w:rFonts w:ascii="宋体" w:hAnsi="宋体" w:cs="宋体"/>
          <w:bCs w:val="0"/>
          <w:color w:val="auto"/>
          <w:sz w:val="24"/>
          <w:highlight w:val="none"/>
        </w:rPr>
      </w:pPr>
    </w:p>
    <w:p w14:paraId="07174BB9">
      <w:pPr>
        <w:rPr>
          <w:color w:val="auto"/>
          <w:highlight w:val="none"/>
        </w:rPr>
      </w:pPr>
    </w:p>
    <w:p w14:paraId="4E750C69">
      <w:pPr>
        <w:widowControl/>
        <w:adjustRightInd w:val="0"/>
        <w:spacing w:line="480" w:lineRule="exact"/>
        <w:ind w:firstLine="560" w:firstLineChars="200"/>
        <w:jc w:val="center"/>
        <w:rPr>
          <w:rFonts w:hint="eastAsia" w:ascii="宋体" w:hAnsi="宋体" w:eastAsia="宋体"/>
          <w:color w:val="auto"/>
          <w:sz w:val="28"/>
          <w:szCs w:val="28"/>
          <w:highlight w:val="none"/>
          <w:lang w:eastAsia="zh-CN"/>
        </w:rPr>
      </w:pPr>
      <w:r>
        <w:rPr>
          <w:rFonts w:hint="eastAsia" w:ascii="宋体" w:hAnsi="宋体"/>
          <w:color w:val="auto"/>
          <w:sz w:val="28"/>
          <w:szCs w:val="28"/>
          <w:highlight w:val="none"/>
        </w:rPr>
        <w:t>企业名称（盖章）</w:t>
      </w:r>
      <w:r>
        <w:rPr>
          <w:rFonts w:hint="eastAsia" w:ascii="宋体" w:hAnsi="宋体"/>
          <w:color w:val="auto"/>
          <w:sz w:val="28"/>
          <w:szCs w:val="28"/>
          <w:highlight w:val="none"/>
          <w:lang w:eastAsia="zh-CN"/>
        </w:rPr>
        <w:t>：</w:t>
      </w:r>
    </w:p>
    <w:p w14:paraId="39529E28">
      <w:pPr>
        <w:widowControl/>
        <w:adjustRightInd w:val="0"/>
        <w:spacing w:line="480" w:lineRule="exact"/>
        <w:ind w:firstLine="560" w:firstLineChars="200"/>
        <w:jc w:val="center"/>
        <w:rPr>
          <w:rFonts w:ascii="宋体" w:hAnsi="宋体" w:cs="宋体"/>
          <w:bCs/>
          <w:color w:val="auto"/>
          <w:sz w:val="28"/>
          <w:szCs w:val="28"/>
          <w:highlight w:val="none"/>
        </w:rPr>
      </w:pPr>
      <w:r>
        <w:rPr>
          <w:rFonts w:hint="eastAsia" w:ascii="宋体" w:hAnsi="宋体" w:cs="宋体"/>
          <w:bCs/>
          <w:color w:val="auto"/>
          <w:sz w:val="28"/>
          <w:szCs w:val="28"/>
          <w:highlight w:val="none"/>
        </w:rPr>
        <w:t>日    期：</w:t>
      </w:r>
    </w:p>
    <w:p w14:paraId="535EFDC5">
      <w:pPr>
        <w:adjustRightInd w:val="0"/>
        <w:spacing w:line="400" w:lineRule="exact"/>
        <w:rPr>
          <w:rFonts w:hint="eastAsia" w:ascii="宋体" w:hAnsi="宋体" w:cs="宋体"/>
          <w:b/>
          <w:bCs/>
          <w:color w:val="auto"/>
          <w:sz w:val="24"/>
          <w:highlight w:val="none"/>
        </w:rPr>
        <w:sectPr>
          <w:pgSz w:w="11906" w:h="16838"/>
          <w:pgMar w:top="1440" w:right="1106" w:bottom="1440" w:left="1440" w:header="851" w:footer="992" w:gutter="0"/>
          <w:cols w:space="720" w:num="1"/>
          <w:docGrid w:linePitch="312" w:charSpace="0"/>
        </w:sectPr>
      </w:pPr>
    </w:p>
    <w:p w14:paraId="7EB50CA0">
      <w:pPr>
        <w:adjustRightInd w:val="0"/>
        <w:spacing w:line="400" w:lineRule="exact"/>
        <w:jc w:val="center"/>
        <w:rPr>
          <w:rFonts w:hint="eastAsia" w:ascii="仿宋" w:hAnsi="仿宋" w:eastAsia="仿宋" w:cs="Times New Roman"/>
          <w:b/>
          <w:color w:val="auto"/>
          <w:sz w:val="36"/>
          <w:szCs w:val="36"/>
          <w:highlight w:val="none"/>
          <w:lang w:eastAsia="zh-CN"/>
        </w:rPr>
      </w:pPr>
      <w:r>
        <w:rPr>
          <w:rFonts w:hint="eastAsia" w:ascii="仿宋" w:hAnsi="仿宋" w:eastAsia="仿宋" w:cs="Times New Roman"/>
          <w:b/>
          <w:color w:val="auto"/>
          <w:sz w:val="36"/>
          <w:szCs w:val="36"/>
          <w:highlight w:val="none"/>
        </w:rPr>
        <w:t>中小企业声明函</w:t>
      </w:r>
      <w:r>
        <w:rPr>
          <w:rFonts w:hint="eastAsia" w:ascii="仿宋" w:hAnsi="仿宋" w:eastAsia="仿宋" w:cs="Times New Roman"/>
          <w:b/>
          <w:color w:val="auto"/>
          <w:sz w:val="36"/>
          <w:szCs w:val="36"/>
          <w:highlight w:val="none"/>
          <w:lang w:eastAsia="zh-CN"/>
        </w:rPr>
        <w:t>填表说明</w:t>
      </w:r>
    </w:p>
    <w:p w14:paraId="6E7BD0AD">
      <w:pPr>
        <w:adjustRightInd w:val="0"/>
        <w:spacing w:line="400" w:lineRule="exact"/>
        <w:rPr>
          <w:rFonts w:hint="eastAsia" w:ascii="宋体" w:hAnsi="宋体" w:cs="宋体"/>
          <w:b/>
          <w:bCs/>
          <w:color w:val="auto"/>
          <w:sz w:val="24"/>
          <w:highlight w:val="none"/>
        </w:rPr>
      </w:pPr>
    </w:p>
    <w:p w14:paraId="59DE293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1.中小企业声明函由投标人提供，投标人向制造商或承建（承接）企业咨询相关数据。</w:t>
      </w:r>
    </w:p>
    <w:p w14:paraId="13787F81">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2.投标人应当按照前附表明确的项目属性选择相对应的中小企业声明函格式进行声明。</w:t>
      </w:r>
      <w:r>
        <w:rPr>
          <w:rFonts w:hint="eastAsia" w:ascii="宋体" w:hAnsi="宋体" w:eastAsia="宋体" w:cs="宋体"/>
          <w:color w:val="auto"/>
          <w:sz w:val="28"/>
          <w:szCs w:val="28"/>
          <w:highlight w:val="none"/>
        </w:rPr>
        <w:t>声明函应按上述内容及格式填写，不得修改。</w:t>
      </w:r>
    </w:p>
    <w:p w14:paraId="767CFF3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w:t>
      </w:r>
      <w:r>
        <w:rPr>
          <w:rFonts w:hint="eastAsia" w:ascii="宋体" w:hAnsi="宋体" w:eastAsia="宋体" w:cs="宋体"/>
          <w:b/>
          <w:bCs/>
          <w:color w:val="auto"/>
          <w:sz w:val="28"/>
          <w:szCs w:val="28"/>
          <w:highlight w:val="none"/>
          <w:lang w:val="en-US" w:eastAsia="zh-CN"/>
        </w:rPr>
        <w:t>单位名称和项目名称</w:t>
      </w:r>
      <w:r>
        <w:rPr>
          <w:rFonts w:hint="eastAsia" w:ascii="宋体" w:hAnsi="宋体" w:eastAsia="宋体" w:cs="宋体"/>
          <w:color w:val="auto"/>
          <w:sz w:val="28"/>
          <w:szCs w:val="28"/>
          <w:highlight w:val="none"/>
          <w:lang w:val="en-US" w:eastAsia="zh-CN"/>
        </w:rPr>
        <w:t>根据首页政府采购招标文件确认表填写采购单位名称和招标项目名称。</w:t>
      </w:r>
    </w:p>
    <w:p w14:paraId="7A643699">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b/>
          <w:bCs/>
          <w:color w:val="auto"/>
          <w:sz w:val="28"/>
          <w:szCs w:val="28"/>
          <w:highlight w:val="none"/>
          <w:lang w:val="en-US" w:eastAsia="zh-CN"/>
        </w:rPr>
      </w:pPr>
      <w:r>
        <w:rPr>
          <w:rFonts w:hint="eastAsia" w:ascii="宋体" w:hAnsi="宋体" w:eastAsia="宋体" w:cs="宋体"/>
          <w:color w:val="auto"/>
          <w:sz w:val="28"/>
          <w:szCs w:val="28"/>
          <w:highlight w:val="none"/>
          <w:lang w:val="en-US" w:eastAsia="zh-CN"/>
        </w:rPr>
        <w:t>4.</w:t>
      </w:r>
      <w:r>
        <w:rPr>
          <w:rFonts w:hint="eastAsia" w:ascii="宋体" w:hAnsi="宋体" w:eastAsia="宋体" w:cs="宋体"/>
          <w:b/>
          <w:bCs/>
          <w:color w:val="auto"/>
          <w:sz w:val="28"/>
          <w:szCs w:val="28"/>
          <w:highlight w:val="none"/>
          <w:lang w:val="en-US" w:eastAsia="zh-CN"/>
        </w:rPr>
        <w:t>标的名称</w:t>
      </w:r>
      <w:r>
        <w:rPr>
          <w:rFonts w:hint="eastAsia" w:ascii="宋体" w:hAnsi="宋体" w:eastAsia="宋体" w:cs="宋体"/>
          <w:color w:val="auto"/>
          <w:sz w:val="28"/>
          <w:szCs w:val="28"/>
          <w:highlight w:val="none"/>
          <w:lang w:val="en-US" w:eastAsia="zh-CN"/>
        </w:rPr>
        <w:t>应填写第二章中具体的采购的货物或服务名称，应按采购的具体货物或服务逐项罗列，</w:t>
      </w:r>
      <w:r>
        <w:rPr>
          <w:rFonts w:hint="eastAsia" w:ascii="宋体" w:hAnsi="宋体" w:eastAsia="宋体" w:cs="宋体"/>
          <w:b/>
          <w:bCs/>
          <w:color w:val="auto"/>
          <w:sz w:val="28"/>
          <w:szCs w:val="28"/>
          <w:highlight w:val="none"/>
          <w:lang w:val="en-US" w:eastAsia="zh-CN"/>
        </w:rPr>
        <w:t>仅以项目名称代替所有采购标的名称的，评审小组</w:t>
      </w:r>
      <w:r>
        <w:rPr>
          <w:rFonts w:hint="eastAsia" w:ascii="宋体" w:hAnsi="宋体" w:cs="宋体"/>
          <w:b/>
          <w:bCs/>
          <w:color w:val="auto"/>
          <w:sz w:val="28"/>
          <w:szCs w:val="28"/>
          <w:highlight w:val="none"/>
          <w:lang w:val="en-US" w:eastAsia="zh-CN"/>
        </w:rPr>
        <w:t>可</w:t>
      </w:r>
      <w:r>
        <w:rPr>
          <w:rFonts w:hint="eastAsia" w:ascii="宋体" w:hAnsi="宋体" w:eastAsia="宋体" w:cs="宋体"/>
          <w:b/>
          <w:bCs/>
          <w:color w:val="auto"/>
          <w:sz w:val="28"/>
          <w:szCs w:val="28"/>
          <w:highlight w:val="none"/>
          <w:lang w:val="en-US" w:eastAsia="zh-CN"/>
        </w:rPr>
        <w:t>不予认可其声明。</w:t>
      </w:r>
    </w:p>
    <w:p w14:paraId="7DE8826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default"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w:t>
      </w:r>
      <w:r>
        <w:rPr>
          <w:rFonts w:hint="eastAsia" w:ascii="宋体" w:hAnsi="宋体" w:eastAsia="宋体" w:cs="宋体"/>
          <w:b/>
          <w:bCs/>
          <w:color w:val="auto"/>
          <w:sz w:val="28"/>
          <w:szCs w:val="28"/>
          <w:highlight w:val="none"/>
          <w:lang w:val="en-US" w:eastAsia="zh-CN"/>
        </w:rPr>
        <w:t>采购文件中明确的所属行业</w:t>
      </w:r>
      <w:r>
        <w:rPr>
          <w:rFonts w:hint="eastAsia" w:ascii="宋体" w:hAnsi="宋体" w:eastAsia="宋体" w:cs="宋体"/>
          <w:color w:val="auto"/>
          <w:sz w:val="28"/>
          <w:szCs w:val="28"/>
          <w:highlight w:val="none"/>
          <w:lang w:val="en-US" w:eastAsia="zh-CN"/>
        </w:rPr>
        <w:t>根据第二章中采购的具体货物或服务逐项列明的所属行业填写。</w:t>
      </w:r>
    </w:p>
    <w:p w14:paraId="236ED96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default"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w:t>
      </w:r>
      <w:r>
        <w:rPr>
          <w:rFonts w:hint="eastAsia" w:ascii="宋体" w:hAnsi="宋体" w:eastAsia="宋体" w:cs="宋体"/>
          <w:b/>
          <w:bCs/>
          <w:color w:val="auto"/>
          <w:sz w:val="28"/>
          <w:szCs w:val="28"/>
          <w:highlight w:val="none"/>
          <w:lang w:val="en-US" w:eastAsia="zh-CN"/>
        </w:rPr>
        <w:t>企业名称</w:t>
      </w:r>
      <w:r>
        <w:rPr>
          <w:rFonts w:hint="eastAsia" w:ascii="宋体" w:hAnsi="宋体" w:eastAsia="宋体" w:cs="宋体"/>
          <w:color w:val="auto"/>
          <w:sz w:val="28"/>
          <w:szCs w:val="28"/>
          <w:highlight w:val="none"/>
          <w:lang w:val="en-US" w:eastAsia="zh-CN"/>
        </w:rPr>
        <w:t>处填写制造商或承建（承接）企业名称。</w:t>
      </w:r>
    </w:p>
    <w:p w14:paraId="22281A41">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6.</w:t>
      </w:r>
      <w:r>
        <w:rPr>
          <w:rFonts w:hint="eastAsia" w:ascii="宋体" w:hAnsi="宋体" w:eastAsia="宋体" w:cs="宋体"/>
          <w:b/>
          <w:bCs/>
          <w:color w:val="auto"/>
          <w:sz w:val="28"/>
          <w:szCs w:val="28"/>
          <w:highlight w:val="none"/>
        </w:rPr>
        <w:t>从业人员、营业收入、资产总额</w:t>
      </w:r>
      <w:r>
        <w:rPr>
          <w:rFonts w:hint="eastAsia" w:ascii="宋体" w:hAnsi="宋体" w:eastAsia="宋体" w:cs="宋体"/>
          <w:color w:val="auto"/>
          <w:sz w:val="28"/>
          <w:szCs w:val="28"/>
          <w:highlight w:val="none"/>
        </w:rPr>
        <w:t>填报制造商或承建（承接）企业上一年度数据，无上一年度数据的新成立企业可不填报。</w:t>
      </w:r>
    </w:p>
    <w:p w14:paraId="562152CE">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7.根据实际情况，在</w:t>
      </w:r>
      <w:r>
        <w:rPr>
          <w:rFonts w:hint="eastAsia" w:ascii="宋体" w:hAnsi="宋体" w:eastAsia="宋体" w:cs="宋体"/>
          <w:color w:val="auto"/>
          <w:sz w:val="28"/>
          <w:szCs w:val="28"/>
          <w:highlight w:val="none"/>
        </w:rPr>
        <w:t>中型企业、小型企业</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微型企业</w:t>
      </w:r>
      <w:r>
        <w:rPr>
          <w:rFonts w:hint="eastAsia" w:ascii="宋体" w:hAnsi="宋体" w:eastAsia="宋体" w:cs="宋体"/>
          <w:color w:val="auto"/>
          <w:sz w:val="28"/>
          <w:szCs w:val="28"/>
          <w:highlight w:val="none"/>
          <w:lang w:val="en-US" w:eastAsia="zh-CN"/>
        </w:rPr>
        <w:t>三中企业类型中三选一。</w:t>
      </w:r>
    </w:p>
    <w:p w14:paraId="4D9B2119">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textAlignment w:val="auto"/>
        <w:rPr>
          <w:rFonts w:ascii="宋体" w:hAnsi="宋体" w:cs="宋体"/>
          <w:b/>
          <w:bCs/>
          <w:color w:val="auto"/>
          <w:sz w:val="28"/>
          <w:szCs w:val="28"/>
          <w:highlight w:val="none"/>
        </w:rPr>
      </w:pPr>
      <w:r>
        <w:rPr>
          <w:rFonts w:hint="eastAsia" w:ascii="宋体" w:hAnsi="宋体" w:eastAsia="宋体" w:cs="宋体"/>
          <w:color w:val="auto"/>
          <w:sz w:val="28"/>
          <w:szCs w:val="28"/>
          <w:highlight w:val="none"/>
          <w:lang w:val="en-US" w:eastAsia="zh-CN"/>
        </w:rPr>
        <w:t>8.</w:t>
      </w:r>
      <w:r>
        <w:rPr>
          <w:rFonts w:hint="eastAsia" w:ascii="宋体" w:hAnsi="宋体" w:eastAsia="宋体" w:cs="宋体"/>
          <w:color w:val="auto"/>
          <w:sz w:val="28"/>
          <w:szCs w:val="28"/>
          <w:highlight w:val="none"/>
        </w:rPr>
        <w:t>以联合体形式参加政府采购活动，联合体各方均为中小企业的，联合体视同中小企业。其中，联合体各方均为小微企业的，联合体视同小微企业。</w:t>
      </w:r>
    </w:p>
    <w:p w14:paraId="5C0FA5E0">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2" w:firstLineChars="200"/>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9.</w:t>
      </w:r>
      <w:r>
        <w:rPr>
          <w:rFonts w:hint="eastAsia" w:ascii="宋体" w:hAnsi="宋体" w:eastAsia="宋体" w:cs="宋体"/>
          <w:b/>
          <w:bCs/>
          <w:color w:val="auto"/>
          <w:sz w:val="28"/>
          <w:szCs w:val="28"/>
          <w:highlight w:val="none"/>
        </w:rPr>
        <w:t>根据财库〔2020〕46号的第十三条、第二十条规定：中标供应商享受本办法规定的中小企业扶持政策的，采购人、采购代理机构应当随中标结果公开中标供应商的《中小企业声明函》。 供应商按照本办法规定提供声明函内容不实的，属于提供虚假材料谋取中标，依照《中华人民共和国政府采购法》等国家有关规定追究相应责任。</w:t>
      </w:r>
    </w:p>
    <w:p w14:paraId="54690A92">
      <w:pPr>
        <w:adjustRightInd w:val="0"/>
        <w:spacing w:line="400" w:lineRule="exact"/>
        <w:rPr>
          <w:rFonts w:ascii="宋体" w:hAnsi="宋体" w:cs="宋体"/>
          <w:bCs/>
          <w:color w:val="auto"/>
          <w:szCs w:val="22"/>
          <w:highlight w:val="none"/>
        </w:rPr>
      </w:pPr>
      <w:r>
        <w:rPr>
          <w:rFonts w:hint="eastAsia" w:ascii="宋体" w:hAnsi="宋体"/>
          <w:b/>
          <w:color w:val="auto"/>
          <w:highlight w:val="none"/>
        </w:rPr>
        <w:br w:type="page"/>
      </w:r>
      <w:r>
        <w:rPr>
          <w:rFonts w:hint="eastAsia" w:ascii="宋体" w:hAnsi="宋体" w:cs="宋体"/>
          <w:bCs/>
          <w:color w:val="auto"/>
          <w:szCs w:val="22"/>
          <w:highlight w:val="none"/>
        </w:rPr>
        <w:t>附件：根据《中小企业划型标准规定的通知》（工信部联企业〔2011〕300号）规定</w:t>
      </w:r>
    </w:p>
    <w:tbl>
      <w:tblPr>
        <w:tblStyle w:val="54"/>
        <w:tblW w:w="0" w:type="auto"/>
        <w:tblInd w:w="102" w:type="dxa"/>
        <w:tblLayout w:type="fixed"/>
        <w:tblCellMar>
          <w:top w:w="0" w:type="dxa"/>
          <w:left w:w="108" w:type="dxa"/>
          <w:bottom w:w="0" w:type="dxa"/>
          <w:right w:w="108" w:type="dxa"/>
        </w:tblCellMar>
      </w:tblPr>
      <w:tblGrid>
        <w:gridCol w:w="643"/>
        <w:gridCol w:w="967"/>
        <w:gridCol w:w="1329"/>
        <w:gridCol w:w="1755"/>
        <w:gridCol w:w="1755"/>
        <w:gridCol w:w="1905"/>
        <w:gridCol w:w="1590"/>
      </w:tblGrid>
      <w:tr w14:paraId="1935CFE0">
        <w:tblPrEx>
          <w:tblCellMar>
            <w:top w:w="0" w:type="dxa"/>
            <w:left w:w="108" w:type="dxa"/>
            <w:bottom w:w="0" w:type="dxa"/>
            <w:right w:w="108" w:type="dxa"/>
          </w:tblCellMar>
        </w:tblPrEx>
        <w:trPr>
          <w:trHeight w:val="442" w:hRule="atLeast"/>
          <w:tblHeader/>
        </w:trPr>
        <w:tc>
          <w:tcPr>
            <w:tcW w:w="643" w:type="dxa"/>
            <w:tcBorders>
              <w:top w:val="single" w:color="000000" w:sz="4" w:space="0"/>
              <w:left w:val="single" w:color="000000" w:sz="4" w:space="0"/>
              <w:bottom w:val="single" w:color="000000" w:sz="4" w:space="0"/>
              <w:right w:val="single" w:color="000000" w:sz="4" w:space="0"/>
            </w:tcBorders>
            <w:vAlign w:val="center"/>
          </w:tcPr>
          <w:p w14:paraId="176D381A">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序号</w:t>
            </w:r>
          </w:p>
        </w:tc>
        <w:tc>
          <w:tcPr>
            <w:tcW w:w="2296" w:type="dxa"/>
            <w:gridSpan w:val="2"/>
            <w:tcBorders>
              <w:top w:val="single" w:color="000000" w:sz="4" w:space="0"/>
              <w:left w:val="single" w:color="000000" w:sz="4" w:space="0"/>
              <w:bottom w:val="single" w:color="000000" w:sz="4" w:space="0"/>
              <w:right w:val="single" w:color="000000" w:sz="4" w:space="0"/>
            </w:tcBorders>
            <w:vAlign w:val="center"/>
          </w:tcPr>
          <w:p w14:paraId="05986CFD">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行业分类</w:t>
            </w:r>
          </w:p>
        </w:tc>
        <w:tc>
          <w:tcPr>
            <w:tcW w:w="1755" w:type="dxa"/>
            <w:tcBorders>
              <w:top w:val="single" w:color="000000" w:sz="4" w:space="0"/>
              <w:left w:val="single" w:color="000000" w:sz="4" w:space="0"/>
              <w:bottom w:val="single" w:color="000000" w:sz="4" w:space="0"/>
              <w:right w:val="single" w:color="000000" w:sz="4" w:space="0"/>
            </w:tcBorders>
            <w:vAlign w:val="center"/>
          </w:tcPr>
          <w:p w14:paraId="2CF3E63C">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中小微型企业总要求</w:t>
            </w:r>
          </w:p>
        </w:tc>
        <w:tc>
          <w:tcPr>
            <w:tcW w:w="1755" w:type="dxa"/>
            <w:tcBorders>
              <w:top w:val="single" w:color="000000" w:sz="4" w:space="0"/>
              <w:left w:val="single" w:color="000000" w:sz="4" w:space="0"/>
              <w:bottom w:val="single" w:color="000000" w:sz="4" w:space="0"/>
              <w:right w:val="single" w:color="000000" w:sz="4" w:space="0"/>
            </w:tcBorders>
            <w:vAlign w:val="center"/>
          </w:tcPr>
          <w:p w14:paraId="3F4D6CA8">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中型企业标准</w:t>
            </w:r>
          </w:p>
        </w:tc>
        <w:tc>
          <w:tcPr>
            <w:tcW w:w="1905" w:type="dxa"/>
            <w:tcBorders>
              <w:top w:val="single" w:color="000000" w:sz="4" w:space="0"/>
              <w:left w:val="single" w:color="000000" w:sz="4" w:space="0"/>
              <w:bottom w:val="single" w:color="000000" w:sz="4" w:space="0"/>
              <w:right w:val="single" w:color="000000" w:sz="4" w:space="0"/>
            </w:tcBorders>
            <w:vAlign w:val="center"/>
          </w:tcPr>
          <w:p w14:paraId="788EF65C">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小型企业标准</w:t>
            </w:r>
          </w:p>
        </w:tc>
        <w:tc>
          <w:tcPr>
            <w:tcW w:w="1590" w:type="dxa"/>
            <w:tcBorders>
              <w:top w:val="single" w:color="000000" w:sz="4" w:space="0"/>
              <w:left w:val="single" w:color="000000" w:sz="4" w:space="0"/>
              <w:bottom w:val="single" w:color="000000" w:sz="4" w:space="0"/>
              <w:right w:val="single" w:color="000000" w:sz="4" w:space="0"/>
            </w:tcBorders>
            <w:vAlign w:val="center"/>
          </w:tcPr>
          <w:p w14:paraId="482107A5">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微型企业标准</w:t>
            </w:r>
          </w:p>
        </w:tc>
      </w:tr>
      <w:tr w14:paraId="23C1D167">
        <w:tblPrEx>
          <w:tblCellMar>
            <w:top w:w="0" w:type="dxa"/>
            <w:left w:w="108" w:type="dxa"/>
            <w:bottom w:w="0" w:type="dxa"/>
            <w:right w:w="108" w:type="dxa"/>
          </w:tblCellMar>
        </w:tblPrEx>
        <w:trPr>
          <w:trHeight w:val="1000"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00EDEEF9">
            <w:pPr>
              <w:widowControl/>
              <w:spacing w:line="440" w:lineRule="exact"/>
              <w:jc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1</w:t>
            </w:r>
          </w:p>
        </w:tc>
        <w:tc>
          <w:tcPr>
            <w:tcW w:w="967" w:type="dxa"/>
            <w:tcBorders>
              <w:top w:val="single" w:color="000000" w:sz="4" w:space="0"/>
              <w:left w:val="single" w:color="000000" w:sz="4" w:space="0"/>
              <w:bottom w:val="single" w:color="000000" w:sz="4" w:space="0"/>
              <w:right w:val="single" w:color="000000" w:sz="4" w:space="0"/>
            </w:tcBorders>
            <w:vAlign w:val="center"/>
          </w:tcPr>
          <w:p w14:paraId="4090234C">
            <w:pPr>
              <w:widowControl/>
              <w:spacing w:line="440" w:lineRule="exact"/>
              <w:jc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农、林、牧、渔业</w:t>
            </w:r>
          </w:p>
        </w:tc>
        <w:tc>
          <w:tcPr>
            <w:tcW w:w="1329" w:type="dxa"/>
            <w:tcBorders>
              <w:left w:val="single" w:color="000000" w:sz="4" w:space="0"/>
              <w:bottom w:val="single" w:color="000000" w:sz="4" w:space="0"/>
              <w:right w:val="single" w:color="000000" w:sz="4" w:space="0"/>
            </w:tcBorders>
            <w:vAlign w:val="center"/>
          </w:tcPr>
          <w:p w14:paraId="11E04EF4">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营业收入（万元）</w:t>
            </w:r>
          </w:p>
        </w:tc>
        <w:tc>
          <w:tcPr>
            <w:tcW w:w="1755" w:type="dxa"/>
            <w:tcBorders>
              <w:left w:val="single" w:color="000000" w:sz="4" w:space="0"/>
              <w:bottom w:val="single" w:color="000000" w:sz="4" w:space="0"/>
              <w:right w:val="single" w:color="000000" w:sz="4" w:space="0"/>
            </w:tcBorders>
            <w:vAlign w:val="center"/>
          </w:tcPr>
          <w:p w14:paraId="775E0BFE">
            <w:pPr>
              <w:widowControl/>
              <w:spacing w:line="440" w:lineRule="exact"/>
              <w:jc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20000万以下</w:t>
            </w:r>
          </w:p>
        </w:tc>
        <w:tc>
          <w:tcPr>
            <w:tcW w:w="1755" w:type="dxa"/>
            <w:tcBorders>
              <w:top w:val="single" w:color="000000" w:sz="4" w:space="0"/>
              <w:left w:val="single" w:color="000000" w:sz="4" w:space="0"/>
              <w:bottom w:val="single" w:color="000000" w:sz="4" w:space="0"/>
              <w:right w:val="single" w:color="000000" w:sz="4" w:space="0"/>
            </w:tcBorders>
            <w:vAlign w:val="center"/>
          </w:tcPr>
          <w:p w14:paraId="7896B4D4">
            <w:pPr>
              <w:widowControl/>
              <w:spacing w:line="440" w:lineRule="exact"/>
              <w:jc w:val="center"/>
              <w:textAlignment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500万及以上</w:t>
            </w:r>
          </w:p>
        </w:tc>
        <w:tc>
          <w:tcPr>
            <w:tcW w:w="1905" w:type="dxa"/>
            <w:tcBorders>
              <w:top w:val="single" w:color="000000" w:sz="4" w:space="0"/>
              <w:left w:val="single" w:color="000000" w:sz="4" w:space="0"/>
              <w:bottom w:val="single" w:color="000000" w:sz="4" w:space="0"/>
              <w:right w:val="single" w:color="000000" w:sz="4" w:space="0"/>
            </w:tcBorders>
            <w:vAlign w:val="center"/>
          </w:tcPr>
          <w:p w14:paraId="13169EDD">
            <w:pPr>
              <w:widowControl/>
              <w:spacing w:line="440" w:lineRule="exact"/>
              <w:jc w:val="center"/>
              <w:textAlignment w:val="center"/>
              <w:rPr>
                <w:rFonts w:hint="eastAsia" w:ascii="宋体" w:hAnsi="宋体" w:cs="宋体"/>
                <w:color w:val="auto"/>
                <w:kern w:val="0"/>
                <w:sz w:val="18"/>
                <w:szCs w:val="18"/>
                <w:highlight w:val="none"/>
              </w:rPr>
            </w:pPr>
            <w:r>
              <w:rPr>
                <w:rFonts w:hint="eastAsia" w:ascii="宋体" w:hAnsi="宋体" w:cs="宋体"/>
                <w:bCs/>
                <w:color w:val="auto"/>
                <w:sz w:val="18"/>
                <w:szCs w:val="18"/>
                <w:highlight w:val="none"/>
              </w:rPr>
              <w:t>50万元及以上</w:t>
            </w:r>
          </w:p>
        </w:tc>
        <w:tc>
          <w:tcPr>
            <w:tcW w:w="1590" w:type="dxa"/>
            <w:tcBorders>
              <w:top w:val="single" w:color="000000" w:sz="4" w:space="0"/>
              <w:left w:val="single" w:color="000000" w:sz="4" w:space="0"/>
              <w:bottom w:val="single" w:color="000000" w:sz="4" w:space="0"/>
              <w:right w:val="single" w:color="000000" w:sz="4" w:space="0"/>
            </w:tcBorders>
            <w:vAlign w:val="center"/>
          </w:tcPr>
          <w:p w14:paraId="28D991DA">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bCs/>
                <w:color w:val="auto"/>
                <w:sz w:val="18"/>
                <w:szCs w:val="18"/>
                <w:highlight w:val="none"/>
              </w:rPr>
              <w:t>50万元以下</w:t>
            </w:r>
          </w:p>
        </w:tc>
      </w:tr>
      <w:tr w14:paraId="2AF60E57">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115BF2B2">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2</w:t>
            </w:r>
          </w:p>
        </w:tc>
        <w:tc>
          <w:tcPr>
            <w:tcW w:w="967" w:type="dxa"/>
            <w:tcBorders>
              <w:top w:val="single" w:color="000000" w:sz="4" w:space="0"/>
              <w:left w:val="single" w:color="000000" w:sz="4" w:space="0"/>
              <w:bottom w:val="single" w:color="000000" w:sz="4" w:space="0"/>
              <w:right w:val="single" w:color="000000" w:sz="4" w:space="0"/>
            </w:tcBorders>
            <w:vAlign w:val="center"/>
          </w:tcPr>
          <w:p w14:paraId="3957BA44">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工业</w:t>
            </w:r>
          </w:p>
        </w:tc>
        <w:tc>
          <w:tcPr>
            <w:tcW w:w="1329" w:type="dxa"/>
            <w:tcBorders>
              <w:left w:val="single" w:color="000000" w:sz="4" w:space="0"/>
              <w:bottom w:val="single" w:color="000000" w:sz="4" w:space="0"/>
              <w:right w:val="single" w:color="000000" w:sz="4" w:space="0"/>
            </w:tcBorders>
            <w:vAlign w:val="center"/>
          </w:tcPr>
          <w:p w14:paraId="641DCC3C">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从业人员(人）</w:t>
            </w:r>
          </w:p>
          <w:p w14:paraId="0E179212">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tc>
        <w:tc>
          <w:tcPr>
            <w:tcW w:w="1755" w:type="dxa"/>
            <w:tcBorders>
              <w:left w:val="single" w:color="000000" w:sz="4" w:space="0"/>
              <w:bottom w:val="single" w:color="000000" w:sz="4" w:space="0"/>
              <w:right w:val="single" w:color="000000" w:sz="4" w:space="0"/>
            </w:tcBorders>
            <w:vAlign w:val="center"/>
          </w:tcPr>
          <w:p w14:paraId="69599E99">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bCs/>
                <w:color w:val="auto"/>
                <w:sz w:val="18"/>
                <w:szCs w:val="18"/>
                <w:highlight w:val="none"/>
              </w:rPr>
              <w:t>从业人员1000人以下或营业收入40000万元以下</w:t>
            </w:r>
          </w:p>
        </w:tc>
        <w:tc>
          <w:tcPr>
            <w:tcW w:w="1755" w:type="dxa"/>
            <w:tcBorders>
              <w:top w:val="single" w:color="000000" w:sz="4" w:space="0"/>
              <w:left w:val="single" w:color="000000" w:sz="4" w:space="0"/>
              <w:bottom w:val="single" w:color="000000" w:sz="4" w:space="0"/>
              <w:right w:val="single" w:color="000000" w:sz="4" w:space="0"/>
            </w:tcBorders>
            <w:vAlign w:val="center"/>
          </w:tcPr>
          <w:p w14:paraId="0F965E17">
            <w:pPr>
              <w:widowControl/>
              <w:spacing w:line="440" w:lineRule="exact"/>
              <w:jc w:val="center"/>
              <w:textAlignment w:val="center"/>
              <w:rPr>
                <w:rFonts w:hint="eastAsia" w:ascii="宋体" w:hAnsi="宋体" w:cs="宋体"/>
                <w:color w:val="auto"/>
                <w:kern w:val="0"/>
                <w:sz w:val="18"/>
                <w:szCs w:val="18"/>
                <w:highlight w:val="none"/>
              </w:rPr>
            </w:pPr>
            <w:r>
              <w:rPr>
                <w:rFonts w:hint="eastAsia" w:ascii="宋体" w:hAnsi="宋体" w:cs="宋体"/>
                <w:bCs/>
                <w:color w:val="auto"/>
                <w:sz w:val="18"/>
                <w:szCs w:val="18"/>
                <w:highlight w:val="none"/>
              </w:rPr>
              <w:t>从业人员300人及以上，且营业收入2000万元及以上的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13F63309">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从业人员20人及以上，且营业收入300万元及以上的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50570B18">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从业人员20人以下或营业收入300万元以下</w:t>
            </w:r>
          </w:p>
        </w:tc>
      </w:tr>
      <w:tr w14:paraId="75EF213E">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374A27D1">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3</w:t>
            </w:r>
          </w:p>
        </w:tc>
        <w:tc>
          <w:tcPr>
            <w:tcW w:w="967" w:type="dxa"/>
            <w:tcBorders>
              <w:top w:val="single" w:color="000000" w:sz="4" w:space="0"/>
              <w:left w:val="single" w:color="000000" w:sz="4" w:space="0"/>
              <w:bottom w:val="single" w:color="000000" w:sz="4" w:space="0"/>
              <w:right w:val="single" w:color="000000" w:sz="4" w:space="0"/>
            </w:tcBorders>
            <w:vAlign w:val="center"/>
          </w:tcPr>
          <w:p w14:paraId="668F7A53">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建筑业</w:t>
            </w:r>
          </w:p>
        </w:tc>
        <w:tc>
          <w:tcPr>
            <w:tcW w:w="1329" w:type="dxa"/>
            <w:tcBorders>
              <w:left w:val="single" w:color="000000" w:sz="4" w:space="0"/>
              <w:bottom w:val="single" w:color="000000" w:sz="4" w:space="0"/>
              <w:right w:val="single" w:color="000000" w:sz="4" w:space="0"/>
            </w:tcBorders>
            <w:vAlign w:val="center"/>
          </w:tcPr>
          <w:p w14:paraId="7D1C5F16">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p w14:paraId="30E7AD34">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资产总额（万元）</w:t>
            </w:r>
          </w:p>
        </w:tc>
        <w:tc>
          <w:tcPr>
            <w:tcW w:w="1755" w:type="dxa"/>
            <w:tcBorders>
              <w:left w:val="single" w:color="000000" w:sz="4" w:space="0"/>
              <w:bottom w:val="single" w:color="000000" w:sz="4" w:space="0"/>
              <w:right w:val="single" w:color="000000" w:sz="4" w:space="0"/>
            </w:tcBorders>
            <w:vAlign w:val="center"/>
          </w:tcPr>
          <w:p w14:paraId="1AAE9DB0">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营业收入80000万元以下或资产总额80000万元以下的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6551ABFC">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营业收入6000万元及以上，且资产总额5000万元及以上的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4C27723D">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营业收入300万元及以上，且资产总额300万元及以上的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6629F949">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营业收入300万元以下或资产总额300万元以下的</w:t>
            </w:r>
          </w:p>
        </w:tc>
      </w:tr>
      <w:tr w14:paraId="656FF60D">
        <w:tblPrEx>
          <w:tblCellMar>
            <w:top w:w="0" w:type="dxa"/>
            <w:left w:w="108" w:type="dxa"/>
            <w:bottom w:w="0" w:type="dxa"/>
            <w:right w:w="108" w:type="dxa"/>
          </w:tblCellMar>
        </w:tblPrEx>
        <w:trPr>
          <w:trHeight w:val="1365"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132AFACA">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4</w:t>
            </w:r>
          </w:p>
        </w:tc>
        <w:tc>
          <w:tcPr>
            <w:tcW w:w="967" w:type="dxa"/>
            <w:tcBorders>
              <w:top w:val="single" w:color="000000" w:sz="4" w:space="0"/>
              <w:left w:val="single" w:color="000000" w:sz="4" w:space="0"/>
              <w:bottom w:val="single" w:color="000000" w:sz="4" w:space="0"/>
              <w:right w:val="single" w:color="000000" w:sz="4" w:space="0"/>
            </w:tcBorders>
            <w:vAlign w:val="center"/>
          </w:tcPr>
          <w:p w14:paraId="05F79B3E">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批发业</w:t>
            </w:r>
          </w:p>
        </w:tc>
        <w:tc>
          <w:tcPr>
            <w:tcW w:w="1329" w:type="dxa"/>
            <w:tcBorders>
              <w:left w:val="single" w:color="000000" w:sz="4" w:space="0"/>
              <w:bottom w:val="single" w:color="000000" w:sz="4" w:space="0"/>
              <w:right w:val="single" w:color="000000" w:sz="4" w:space="0"/>
            </w:tcBorders>
            <w:vAlign w:val="center"/>
          </w:tcPr>
          <w:p w14:paraId="1467188D">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从业人员(人）</w:t>
            </w:r>
          </w:p>
          <w:p w14:paraId="3B1CD7CA">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tc>
        <w:tc>
          <w:tcPr>
            <w:tcW w:w="1755" w:type="dxa"/>
            <w:tcBorders>
              <w:left w:val="single" w:color="000000" w:sz="4" w:space="0"/>
              <w:bottom w:val="single" w:color="000000" w:sz="4" w:space="0"/>
              <w:right w:val="single" w:color="000000" w:sz="4" w:space="0"/>
            </w:tcBorders>
            <w:vAlign w:val="center"/>
          </w:tcPr>
          <w:p w14:paraId="16164297">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从业人员200人以下或营业收入40000万元以下的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3FC40756">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从业人员20人及以上，且营业收入5000万元及以上的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7EEC907B">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从业人员5人及以上，且营业收入1000万元及以上的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1644FC9A">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从业人员5人以下或营业收入1000万元以下的</w:t>
            </w:r>
          </w:p>
        </w:tc>
      </w:tr>
      <w:tr w14:paraId="56463B7B">
        <w:tblPrEx>
          <w:tblCellMar>
            <w:top w:w="0" w:type="dxa"/>
            <w:left w:w="108" w:type="dxa"/>
            <w:bottom w:w="0" w:type="dxa"/>
            <w:right w:w="108" w:type="dxa"/>
          </w:tblCellMar>
        </w:tblPrEx>
        <w:trPr>
          <w:trHeight w:val="1350"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1E05D760">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5</w:t>
            </w:r>
          </w:p>
        </w:tc>
        <w:tc>
          <w:tcPr>
            <w:tcW w:w="967" w:type="dxa"/>
            <w:tcBorders>
              <w:top w:val="single" w:color="000000" w:sz="4" w:space="0"/>
              <w:left w:val="single" w:color="000000" w:sz="4" w:space="0"/>
              <w:bottom w:val="single" w:color="000000" w:sz="4" w:space="0"/>
              <w:right w:val="single" w:color="000000" w:sz="4" w:space="0"/>
            </w:tcBorders>
            <w:vAlign w:val="center"/>
          </w:tcPr>
          <w:p w14:paraId="19ED609D">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零售业</w:t>
            </w:r>
          </w:p>
        </w:tc>
        <w:tc>
          <w:tcPr>
            <w:tcW w:w="1329" w:type="dxa"/>
            <w:tcBorders>
              <w:left w:val="single" w:color="000000" w:sz="4" w:space="0"/>
              <w:bottom w:val="single" w:color="000000" w:sz="4" w:space="0"/>
              <w:right w:val="single" w:color="000000" w:sz="4" w:space="0"/>
            </w:tcBorders>
            <w:vAlign w:val="center"/>
          </w:tcPr>
          <w:p w14:paraId="10376D1C">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从业人员(人）</w:t>
            </w:r>
          </w:p>
          <w:p w14:paraId="0EC54386">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tc>
        <w:tc>
          <w:tcPr>
            <w:tcW w:w="1755" w:type="dxa"/>
            <w:tcBorders>
              <w:left w:val="single" w:color="000000" w:sz="4" w:space="0"/>
              <w:bottom w:val="single" w:color="000000" w:sz="4" w:space="0"/>
              <w:right w:val="single" w:color="000000" w:sz="4" w:space="0"/>
            </w:tcBorders>
            <w:vAlign w:val="center"/>
          </w:tcPr>
          <w:p w14:paraId="438D0C2A">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从业人员300人以下或营业收入20000万元以下的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5D26EDB6">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从业人员50人及以上，且营业收入500万元及以上的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32E74597">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5229C3FC">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从业人员10人以下或营业收入100万元以下的</w:t>
            </w:r>
          </w:p>
        </w:tc>
      </w:tr>
      <w:tr w14:paraId="296B56BE">
        <w:tblPrEx>
          <w:tblCellMar>
            <w:top w:w="0" w:type="dxa"/>
            <w:left w:w="108" w:type="dxa"/>
            <w:bottom w:w="0" w:type="dxa"/>
            <w:right w:w="108" w:type="dxa"/>
          </w:tblCellMar>
        </w:tblPrEx>
        <w:trPr>
          <w:trHeight w:val="1350"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02385258">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6</w:t>
            </w:r>
          </w:p>
        </w:tc>
        <w:tc>
          <w:tcPr>
            <w:tcW w:w="967" w:type="dxa"/>
            <w:tcBorders>
              <w:top w:val="single" w:color="000000" w:sz="4" w:space="0"/>
              <w:left w:val="single" w:color="000000" w:sz="4" w:space="0"/>
              <w:bottom w:val="single" w:color="000000" w:sz="4" w:space="0"/>
              <w:right w:val="single" w:color="000000" w:sz="4" w:space="0"/>
            </w:tcBorders>
            <w:vAlign w:val="center"/>
          </w:tcPr>
          <w:p w14:paraId="403BA502">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交通运输业</w:t>
            </w:r>
          </w:p>
        </w:tc>
        <w:tc>
          <w:tcPr>
            <w:tcW w:w="1329" w:type="dxa"/>
            <w:tcBorders>
              <w:left w:val="single" w:color="000000" w:sz="4" w:space="0"/>
              <w:bottom w:val="single" w:color="000000" w:sz="4" w:space="0"/>
              <w:right w:val="single" w:color="000000" w:sz="4" w:space="0"/>
            </w:tcBorders>
            <w:vAlign w:val="center"/>
          </w:tcPr>
          <w:p w14:paraId="27F11711">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从业人员(人）</w:t>
            </w:r>
          </w:p>
          <w:p w14:paraId="42677C3D">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tc>
        <w:tc>
          <w:tcPr>
            <w:tcW w:w="1755" w:type="dxa"/>
            <w:tcBorders>
              <w:left w:val="single" w:color="000000" w:sz="4" w:space="0"/>
              <w:bottom w:val="single" w:color="000000" w:sz="4" w:space="0"/>
              <w:right w:val="single" w:color="000000" w:sz="4" w:space="0"/>
            </w:tcBorders>
            <w:vAlign w:val="center"/>
          </w:tcPr>
          <w:p w14:paraId="7838A293">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从业人员1000人以下或营业收入30000万元以下的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40DFE8E3">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从业人员300人及以上，且营业收入3000万元及以上的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7B609F44">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从业人员20人及以上，且营业收入200万元及以上的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0243E26F">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从业人员20人以下或营业收入200万元以下的</w:t>
            </w:r>
          </w:p>
        </w:tc>
      </w:tr>
      <w:tr w14:paraId="00CE81C4">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76C029C1">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7</w:t>
            </w:r>
          </w:p>
        </w:tc>
        <w:tc>
          <w:tcPr>
            <w:tcW w:w="967" w:type="dxa"/>
            <w:tcBorders>
              <w:top w:val="single" w:color="000000" w:sz="4" w:space="0"/>
              <w:left w:val="single" w:color="000000" w:sz="4" w:space="0"/>
              <w:bottom w:val="single" w:color="000000" w:sz="4" w:space="0"/>
              <w:right w:val="single" w:color="000000" w:sz="4" w:space="0"/>
            </w:tcBorders>
            <w:vAlign w:val="center"/>
          </w:tcPr>
          <w:p w14:paraId="68291156">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仓储业</w:t>
            </w:r>
          </w:p>
        </w:tc>
        <w:tc>
          <w:tcPr>
            <w:tcW w:w="1329" w:type="dxa"/>
            <w:tcBorders>
              <w:left w:val="single" w:color="000000" w:sz="4" w:space="0"/>
              <w:bottom w:val="single" w:color="000000" w:sz="4" w:space="0"/>
              <w:right w:val="single" w:color="000000" w:sz="4" w:space="0"/>
            </w:tcBorders>
            <w:vAlign w:val="center"/>
          </w:tcPr>
          <w:p w14:paraId="04A5276E">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从业人员(人）</w:t>
            </w:r>
          </w:p>
          <w:p w14:paraId="3B8CA901">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tc>
        <w:tc>
          <w:tcPr>
            <w:tcW w:w="1755" w:type="dxa"/>
            <w:tcBorders>
              <w:left w:val="single" w:color="000000" w:sz="4" w:space="0"/>
              <w:bottom w:val="single" w:color="000000" w:sz="4" w:space="0"/>
              <w:right w:val="single" w:color="000000" w:sz="4" w:space="0"/>
            </w:tcBorders>
            <w:vAlign w:val="center"/>
          </w:tcPr>
          <w:p w14:paraId="73A2EBE0">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从业人员200人以下或营业收入30000万元以下的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7F11FBCE">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从业人员100人及以上，且营业收入1000万元及以上的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61266C36">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从业人员20人及以上，且营业收入100万元及以上的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120486AA">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从业人员20人以下或营业收入100万元以下的</w:t>
            </w:r>
          </w:p>
        </w:tc>
      </w:tr>
      <w:tr w14:paraId="202BCF2D">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69ACD55E">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8</w:t>
            </w:r>
          </w:p>
        </w:tc>
        <w:tc>
          <w:tcPr>
            <w:tcW w:w="967" w:type="dxa"/>
            <w:tcBorders>
              <w:top w:val="single" w:color="000000" w:sz="4" w:space="0"/>
              <w:left w:val="single" w:color="000000" w:sz="4" w:space="0"/>
              <w:bottom w:val="single" w:color="000000" w:sz="4" w:space="0"/>
              <w:right w:val="single" w:color="000000" w:sz="4" w:space="0"/>
            </w:tcBorders>
            <w:vAlign w:val="center"/>
          </w:tcPr>
          <w:p w14:paraId="22B8737F">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邮政业</w:t>
            </w:r>
          </w:p>
        </w:tc>
        <w:tc>
          <w:tcPr>
            <w:tcW w:w="1329" w:type="dxa"/>
            <w:tcBorders>
              <w:left w:val="single" w:color="000000" w:sz="4" w:space="0"/>
              <w:bottom w:val="single" w:color="000000" w:sz="4" w:space="0"/>
              <w:right w:val="single" w:color="000000" w:sz="4" w:space="0"/>
            </w:tcBorders>
            <w:vAlign w:val="center"/>
          </w:tcPr>
          <w:p w14:paraId="5768EE40">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从业人员(人）</w:t>
            </w:r>
          </w:p>
          <w:p w14:paraId="1A0A58DE">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tc>
        <w:tc>
          <w:tcPr>
            <w:tcW w:w="1755" w:type="dxa"/>
            <w:tcBorders>
              <w:left w:val="single" w:color="000000" w:sz="4" w:space="0"/>
              <w:bottom w:val="single" w:color="000000" w:sz="4" w:space="0"/>
              <w:right w:val="single" w:color="000000" w:sz="4" w:space="0"/>
            </w:tcBorders>
            <w:vAlign w:val="center"/>
          </w:tcPr>
          <w:p w14:paraId="587A6523">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从业人员1000人以下或营业收入30000万元以下的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4650EE31">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从业人员300人及以上，且营业收入2000万元及以上的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4D8DC8C9">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从业人员20人及以上，且营业收入100万元及以上的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54501BC6">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从业人员20人以下或营业收入100万元以下的</w:t>
            </w:r>
          </w:p>
        </w:tc>
      </w:tr>
      <w:tr w14:paraId="57F4D7B0">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6C167C3A">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9</w:t>
            </w:r>
          </w:p>
        </w:tc>
        <w:tc>
          <w:tcPr>
            <w:tcW w:w="967" w:type="dxa"/>
            <w:tcBorders>
              <w:top w:val="single" w:color="000000" w:sz="4" w:space="0"/>
              <w:left w:val="single" w:color="000000" w:sz="4" w:space="0"/>
              <w:bottom w:val="single" w:color="000000" w:sz="4" w:space="0"/>
              <w:right w:val="single" w:color="000000" w:sz="4" w:space="0"/>
            </w:tcBorders>
            <w:vAlign w:val="center"/>
          </w:tcPr>
          <w:p w14:paraId="4C880D54">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住宿业</w:t>
            </w:r>
          </w:p>
        </w:tc>
        <w:tc>
          <w:tcPr>
            <w:tcW w:w="1329" w:type="dxa"/>
            <w:tcBorders>
              <w:left w:val="single" w:color="000000" w:sz="4" w:space="0"/>
              <w:bottom w:val="single" w:color="000000" w:sz="4" w:space="0"/>
              <w:right w:val="single" w:color="000000" w:sz="4" w:space="0"/>
            </w:tcBorders>
            <w:vAlign w:val="center"/>
          </w:tcPr>
          <w:p w14:paraId="3DCA7F6C">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从业人员(人）</w:t>
            </w:r>
          </w:p>
          <w:p w14:paraId="78DD5336">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tc>
        <w:tc>
          <w:tcPr>
            <w:tcW w:w="1755" w:type="dxa"/>
            <w:tcBorders>
              <w:left w:val="single" w:color="000000" w:sz="4" w:space="0"/>
              <w:bottom w:val="single" w:color="000000" w:sz="4" w:space="0"/>
              <w:right w:val="single" w:color="000000" w:sz="4" w:space="0"/>
            </w:tcBorders>
            <w:vAlign w:val="center"/>
          </w:tcPr>
          <w:p w14:paraId="084ECDF4">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从业人员300人以下或营业收入10000万元以下的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1705F2A7">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从业人员100人及以上，且营业收入2000万元及以上的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1216BAC1">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3D51F915">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从业人员10人以下或营业收入100万元以下的</w:t>
            </w:r>
          </w:p>
        </w:tc>
      </w:tr>
      <w:tr w14:paraId="40D100C8">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179555D3">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10</w:t>
            </w:r>
          </w:p>
        </w:tc>
        <w:tc>
          <w:tcPr>
            <w:tcW w:w="967" w:type="dxa"/>
            <w:tcBorders>
              <w:top w:val="single" w:color="000000" w:sz="4" w:space="0"/>
              <w:left w:val="single" w:color="000000" w:sz="4" w:space="0"/>
              <w:bottom w:val="single" w:color="000000" w:sz="4" w:space="0"/>
              <w:right w:val="single" w:color="000000" w:sz="4" w:space="0"/>
            </w:tcBorders>
            <w:vAlign w:val="center"/>
          </w:tcPr>
          <w:p w14:paraId="0CB7D670">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餐饮业</w:t>
            </w:r>
          </w:p>
        </w:tc>
        <w:tc>
          <w:tcPr>
            <w:tcW w:w="1329" w:type="dxa"/>
            <w:tcBorders>
              <w:left w:val="single" w:color="000000" w:sz="4" w:space="0"/>
              <w:bottom w:val="single" w:color="000000" w:sz="4" w:space="0"/>
              <w:right w:val="single" w:color="000000" w:sz="4" w:space="0"/>
            </w:tcBorders>
            <w:vAlign w:val="center"/>
          </w:tcPr>
          <w:p w14:paraId="00C2402C">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从业人员(人）</w:t>
            </w:r>
          </w:p>
          <w:p w14:paraId="78059C12">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tc>
        <w:tc>
          <w:tcPr>
            <w:tcW w:w="1755" w:type="dxa"/>
            <w:tcBorders>
              <w:left w:val="single" w:color="000000" w:sz="4" w:space="0"/>
              <w:bottom w:val="single" w:color="000000" w:sz="4" w:space="0"/>
              <w:right w:val="single" w:color="000000" w:sz="4" w:space="0"/>
            </w:tcBorders>
            <w:vAlign w:val="center"/>
          </w:tcPr>
          <w:p w14:paraId="768982FD">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从业人员300人以下或营业收入10000万元以下的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58894F13">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从业人员100人及以上，且营业收入2000万元及以上的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418E4D5C">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4E42EDEB">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从业人员10人以下或营业收入100万元以下的</w:t>
            </w:r>
          </w:p>
        </w:tc>
      </w:tr>
      <w:tr w14:paraId="7A26781B">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7ADF403B">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11</w:t>
            </w:r>
          </w:p>
        </w:tc>
        <w:tc>
          <w:tcPr>
            <w:tcW w:w="967" w:type="dxa"/>
            <w:tcBorders>
              <w:top w:val="single" w:color="000000" w:sz="4" w:space="0"/>
              <w:left w:val="single" w:color="000000" w:sz="4" w:space="0"/>
              <w:bottom w:val="single" w:color="000000" w:sz="4" w:space="0"/>
              <w:right w:val="single" w:color="000000" w:sz="4" w:space="0"/>
            </w:tcBorders>
            <w:vAlign w:val="center"/>
          </w:tcPr>
          <w:p w14:paraId="12010F51">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信息传输业</w:t>
            </w:r>
          </w:p>
        </w:tc>
        <w:tc>
          <w:tcPr>
            <w:tcW w:w="1329" w:type="dxa"/>
            <w:tcBorders>
              <w:left w:val="single" w:color="000000" w:sz="4" w:space="0"/>
              <w:bottom w:val="single" w:color="000000" w:sz="4" w:space="0"/>
              <w:right w:val="single" w:color="000000" w:sz="4" w:space="0"/>
            </w:tcBorders>
            <w:vAlign w:val="center"/>
          </w:tcPr>
          <w:p w14:paraId="09248073">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从业人员(人）</w:t>
            </w:r>
          </w:p>
          <w:p w14:paraId="1FC1461F">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tc>
        <w:tc>
          <w:tcPr>
            <w:tcW w:w="1755" w:type="dxa"/>
            <w:tcBorders>
              <w:left w:val="single" w:color="000000" w:sz="4" w:space="0"/>
              <w:bottom w:val="single" w:color="000000" w:sz="4" w:space="0"/>
              <w:right w:val="single" w:color="000000" w:sz="4" w:space="0"/>
            </w:tcBorders>
            <w:vAlign w:val="center"/>
          </w:tcPr>
          <w:p w14:paraId="6D79DD3F">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从业人员2000人以下或营业收入100000万元以下的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10AF1259">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从业人员100人及以上，且营业收入1000万元及以上的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30741084">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6A1C6FEC">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从业人员10人以下或营业收入100万元以下的</w:t>
            </w:r>
          </w:p>
        </w:tc>
      </w:tr>
      <w:tr w14:paraId="157383C0">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4E16CD88">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12</w:t>
            </w:r>
          </w:p>
        </w:tc>
        <w:tc>
          <w:tcPr>
            <w:tcW w:w="967" w:type="dxa"/>
            <w:tcBorders>
              <w:top w:val="single" w:color="000000" w:sz="4" w:space="0"/>
              <w:left w:val="single" w:color="000000" w:sz="4" w:space="0"/>
              <w:bottom w:val="single" w:color="000000" w:sz="4" w:space="0"/>
              <w:right w:val="single" w:color="000000" w:sz="4" w:space="0"/>
            </w:tcBorders>
            <w:vAlign w:val="center"/>
          </w:tcPr>
          <w:p w14:paraId="66E13016">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软件和信息技术服务业</w:t>
            </w:r>
          </w:p>
        </w:tc>
        <w:tc>
          <w:tcPr>
            <w:tcW w:w="1329" w:type="dxa"/>
            <w:tcBorders>
              <w:left w:val="single" w:color="000000" w:sz="4" w:space="0"/>
              <w:bottom w:val="single" w:color="000000" w:sz="4" w:space="0"/>
              <w:right w:val="single" w:color="000000" w:sz="4" w:space="0"/>
            </w:tcBorders>
            <w:vAlign w:val="center"/>
          </w:tcPr>
          <w:p w14:paraId="154BAA62">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从业人员(人）</w:t>
            </w:r>
          </w:p>
          <w:p w14:paraId="01C1992F">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tc>
        <w:tc>
          <w:tcPr>
            <w:tcW w:w="1755" w:type="dxa"/>
            <w:tcBorders>
              <w:left w:val="single" w:color="000000" w:sz="4" w:space="0"/>
              <w:bottom w:val="single" w:color="000000" w:sz="4" w:space="0"/>
              <w:right w:val="single" w:color="000000" w:sz="4" w:space="0"/>
            </w:tcBorders>
            <w:vAlign w:val="center"/>
          </w:tcPr>
          <w:p w14:paraId="6AA200FB">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从业人员300人以下或营业收入10000万元以下的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3330F8FB">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从业人员100人及以上，且营业收入1000万元及以上的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1C0B977A">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从业人员10人及以上，且营业收入50万元及以上的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17BE1A8A">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从业人员10人以下或营业收入50万元以下的</w:t>
            </w:r>
          </w:p>
        </w:tc>
      </w:tr>
      <w:tr w14:paraId="10A4FF4F">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0806DAE9">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13</w:t>
            </w:r>
          </w:p>
        </w:tc>
        <w:tc>
          <w:tcPr>
            <w:tcW w:w="967" w:type="dxa"/>
            <w:tcBorders>
              <w:top w:val="single" w:color="000000" w:sz="4" w:space="0"/>
              <w:left w:val="single" w:color="000000" w:sz="4" w:space="0"/>
              <w:bottom w:val="single" w:color="000000" w:sz="4" w:space="0"/>
              <w:right w:val="single" w:color="000000" w:sz="4" w:space="0"/>
            </w:tcBorders>
            <w:vAlign w:val="center"/>
          </w:tcPr>
          <w:p w14:paraId="4CC3024F">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房地产开发经营</w:t>
            </w:r>
          </w:p>
        </w:tc>
        <w:tc>
          <w:tcPr>
            <w:tcW w:w="1329" w:type="dxa"/>
            <w:tcBorders>
              <w:left w:val="single" w:color="000000" w:sz="4" w:space="0"/>
              <w:bottom w:val="single" w:color="000000" w:sz="4" w:space="0"/>
              <w:right w:val="single" w:color="000000" w:sz="4" w:space="0"/>
            </w:tcBorders>
            <w:vAlign w:val="center"/>
          </w:tcPr>
          <w:p w14:paraId="24B0C27A">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p w14:paraId="421563C7">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资产总额（万元）</w:t>
            </w:r>
          </w:p>
        </w:tc>
        <w:tc>
          <w:tcPr>
            <w:tcW w:w="1755" w:type="dxa"/>
            <w:tcBorders>
              <w:left w:val="single" w:color="000000" w:sz="4" w:space="0"/>
              <w:bottom w:val="single" w:color="000000" w:sz="4" w:space="0"/>
              <w:right w:val="single" w:color="000000" w:sz="4" w:space="0"/>
            </w:tcBorders>
            <w:vAlign w:val="center"/>
          </w:tcPr>
          <w:p w14:paraId="1120FF2D">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营业收入200000万元以下或资产总额10000万元以下的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66535BC5">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营业收入1000万元及以上，且资产总额5000万元及以上的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4D1A3F93">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营业收入100万元及以上，且资产总额2000万元及以上的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4C9AAEB4">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营业收入100万元以下或资产总额2000万元以下的</w:t>
            </w:r>
          </w:p>
        </w:tc>
      </w:tr>
      <w:tr w14:paraId="66AF5760">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620E03FF">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14</w:t>
            </w:r>
          </w:p>
        </w:tc>
        <w:tc>
          <w:tcPr>
            <w:tcW w:w="967" w:type="dxa"/>
            <w:tcBorders>
              <w:top w:val="single" w:color="000000" w:sz="4" w:space="0"/>
              <w:left w:val="single" w:color="000000" w:sz="4" w:space="0"/>
              <w:bottom w:val="single" w:color="000000" w:sz="4" w:space="0"/>
              <w:right w:val="single" w:color="000000" w:sz="4" w:space="0"/>
            </w:tcBorders>
            <w:vAlign w:val="center"/>
          </w:tcPr>
          <w:p w14:paraId="3A1893FD">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物业管理</w:t>
            </w:r>
          </w:p>
        </w:tc>
        <w:tc>
          <w:tcPr>
            <w:tcW w:w="1329" w:type="dxa"/>
            <w:tcBorders>
              <w:left w:val="single" w:color="000000" w:sz="4" w:space="0"/>
              <w:bottom w:val="single" w:color="000000" w:sz="4" w:space="0"/>
              <w:right w:val="single" w:color="000000" w:sz="4" w:space="0"/>
            </w:tcBorders>
            <w:vAlign w:val="center"/>
          </w:tcPr>
          <w:p w14:paraId="29C751FB">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从业人员(人）</w:t>
            </w:r>
          </w:p>
          <w:p w14:paraId="48306A4C">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tc>
        <w:tc>
          <w:tcPr>
            <w:tcW w:w="1755" w:type="dxa"/>
            <w:tcBorders>
              <w:left w:val="single" w:color="000000" w:sz="4" w:space="0"/>
              <w:bottom w:val="single" w:color="000000" w:sz="4" w:space="0"/>
              <w:right w:val="single" w:color="000000" w:sz="4" w:space="0"/>
            </w:tcBorders>
            <w:vAlign w:val="center"/>
          </w:tcPr>
          <w:p w14:paraId="5AACC493">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从业人员1000人以下或营业收入5000万元以下的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6DC39B9E">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从业人员300人及以上，且营业收入1000万元及以上的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71332376">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从业人员100人及以上，且营业收入500万元及以上的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5716FE42">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从业人员100人以下或营业收入500万元以下的</w:t>
            </w:r>
          </w:p>
        </w:tc>
      </w:tr>
      <w:tr w14:paraId="5FB1AD48">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2F56DCE5">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15</w:t>
            </w:r>
          </w:p>
        </w:tc>
        <w:tc>
          <w:tcPr>
            <w:tcW w:w="967" w:type="dxa"/>
            <w:tcBorders>
              <w:top w:val="single" w:color="000000" w:sz="4" w:space="0"/>
              <w:left w:val="single" w:color="000000" w:sz="4" w:space="0"/>
              <w:bottom w:val="single" w:color="000000" w:sz="4" w:space="0"/>
              <w:right w:val="single" w:color="000000" w:sz="4" w:space="0"/>
            </w:tcBorders>
            <w:vAlign w:val="center"/>
          </w:tcPr>
          <w:p w14:paraId="50F760C9">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租赁和商务服务业</w:t>
            </w:r>
          </w:p>
        </w:tc>
        <w:tc>
          <w:tcPr>
            <w:tcW w:w="1329" w:type="dxa"/>
            <w:tcBorders>
              <w:left w:val="single" w:color="000000" w:sz="4" w:space="0"/>
              <w:bottom w:val="single" w:color="000000" w:sz="4" w:space="0"/>
              <w:right w:val="single" w:color="000000" w:sz="4" w:space="0"/>
            </w:tcBorders>
            <w:vAlign w:val="center"/>
          </w:tcPr>
          <w:p w14:paraId="77BCF2CF">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营业收入（万元）</w:t>
            </w:r>
          </w:p>
          <w:p w14:paraId="6908499E">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资产总额（万元）</w:t>
            </w:r>
          </w:p>
        </w:tc>
        <w:tc>
          <w:tcPr>
            <w:tcW w:w="1755" w:type="dxa"/>
            <w:tcBorders>
              <w:left w:val="single" w:color="000000" w:sz="4" w:space="0"/>
              <w:bottom w:val="single" w:color="000000" w:sz="4" w:space="0"/>
              <w:right w:val="single" w:color="000000" w:sz="4" w:space="0"/>
            </w:tcBorders>
            <w:vAlign w:val="center"/>
          </w:tcPr>
          <w:p w14:paraId="15BA2705">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从业人员300人以下或资产总额120000万元以下的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779CD55E">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从业人员100人及以上，且资产总额8000万元及以上的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23AB9830">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从业人员10人及以上，且资产总额100万元及以上的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5869FBF6">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从业人员10人以下或资产总额100万元以下的</w:t>
            </w:r>
          </w:p>
        </w:tc>
      </w:tr>
      <w:tr w14:paraId="23C268DA">
        <w:tblPrEx>
          <w:tblCellMar>
            <w:top w:w="0" w:type="dxa"/>
            <w:left w:w="108" w:type="dxa"/>
            <w:bottom w:w="0" w:type="dxa"/>
            <w:right w:w="108" w:type="dxa"/>
          </w:tblCellMar>
        </w:tblPrEx>
        <w:trPr>
          <w:trHeight w:val="444" w:hRule="atLeast"/>
        </w:trPr>
        <w:tc>
          <w:tcPr>
            <w:tcW w:w="643" w:type="dxa"/>
            <w:tcBorders>
              <w:top w:val="single" w:color="000000" w:sz="4" w:space="0"/>
              <w:left w:val="single" w:color="000000" w:sz="4" w:space="0"/>
              <w:bottom w:val="single" w:color="000000" w:sz="4" w:space="0"/>
              <w:right w:val="single" w:color="000000" w:sz="4" w:space="0"/>
            </w:tcBorders>
            <w:vAlign w:val="center"/>
          </w:tcPr>
          <w:p w14:paraId="56EB5A00">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16</w:t>
            </w:r>
          </w:p>
        </w:tc>
        <w:tc>
          <w:tcPr>
            <w:tcW w:w="967" w:type="dxa"/>
            <w:tcBorders>
              <w:top w:val="single" w:color="000000" w:sz="4" w:space="0"/>
              <w:left w:val="single" w:color="000000" w:sz="4" w:space="0"/>
              <w:bottom w:val="single" w:color="000000" w:sz="4" w:space="0"/>
              <w:right w:val="single" w:color="000000" w:sz="4" w:space="0"/>
            </w:tcBorders>
            <w:vAlign w:val="center"/>
          </w:tcPr>
          <w:p w14:paraId="7F254C6D">
            <w:pPr>
              <w:widowControl/>
              <w:spacing w:line="440" w:lineRule="exact"/>
              <w:jc w:val="center"/>
              <w:textAlignment w:val="center"/>
              <w:rPr>
                <w:rFonts w:hint="eastAsia" w:ascii="宋体" w:hAnsi="宋体" w:cs="宋体"/>
                <w:color w:val="auto"/>
                <w:sz w:val="18"/>
                <w:szCs w:val="18"/>
                <w:highlight w:val="none"/>
              </w:rPr>
            </w:pPr>
            <w:r>
              <w:rPr>
                <w:rFonts w:hint="eastAsia" w:ascii="宋体" w:hAnsi="宋体" w:cs="宋体"/>
                <w:color w:val="auto"/>
                <w:kern w:val="0"/>
                <w:sz w:val="18"/>
                <w:szCs w:val="18"/>
                <w:highlight w:val="none"/>
              </w:rPr>
              <w:t>其他未列明行业</w:t>
            </w:r>
          </w:p>
        </w:tc>
        <w:tc>
          <w:tcPr>
            <w:tcW w:w="1329" w:type="dxa"/>
            <w:tcBorders>
              <w:left w:val="single" w:color="000000" w:sz="4" w:space="0"/>
              <w:bottom w:val="single" w:color="000000" w:sz="4" w:space="0"/>
              <w:right w:val="single" w:color="000000" w:sz="4" w:space="0"/>
            </w:tcBorders>
            <w:vAlign w:val="center"/>
          </w:tcPr>
          <w:p w14:paraId="3A206D2A">
            <w:pPr>
              <w:widowControl/>
              <w:spacing w:line="440" w:lineRule="exact"/>
              <w:jc w:val="center"/>
              <w:rPr>
                <w:rFonts w:hint="eastAsia" w:ascii="宋体" w:hAnsi="宋体" w:cs="宋体"/>
                <w:color w:val="auto"/>
                <w:kern w:val="0"/>
                <w:sz w:val="18"/>
                <w:szCs w:val="18"/>
                <w:highlight w:val="none"/>
              </w:rPr>
            </w:pPr>
            <w:r>
              <w:rPr>
                <w:rFonts w:hint="eastAsia" w:ascii="宋体" w:hAnsi="宋体" w:cs="宋体"/>
                <w:color w:val="auto"/>
                <w:kern w:val="0"/>
                <w:sz w:val="18"/>
                <w:szCs w:val="18"/>
                <w:highlight w:val="none"/>
              </w:rPr>
              <w:t>从业人员(人）</w:t>
            </w:r>
          </w:p>
        </w:tc>
        <w:tc>
          <w:tcPr>
            <w:tcW w:w="1755" w:type="dxa"/>
            <w:tcBorders>
              <w:left w:val="single" w:color="000000" w:sz="4" w:space="0"/>
              <w:bottom w:val="single" w:color="000000" w:sz="4" w:space="0"/>
              <w:right w:val="single" w:color="000000" w:sz="4" w:space="0"/>
            </w:tcBorders>
            <w:vAlign w:val="center"/>
          </w:tcPr>
          <w:p w14:paraId="6C86317F">
            <w:pPr>
              <w:widowControl/>
              <w:spacing w:line="440" w:lineRule="exact"/>
              <w:jc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从业人员300人以下的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00015209">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从业人员100人及以上的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4288C7C6">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1A32E040">
            <w:pPr>
              <w:widowControl/>
              <w:spacing w:line="440" w:lineRule="exact"/>
              <w:jc w:val="center"/>
              <w:textAlignment w:val="center"/>
              <w:rPr>
                <w:rFonts w:hint="eastAsia" w:ascii="宋体" w:hAnsi="宋体" w:cs="宋体"/>
                <w:bCs/>
                <w:color w:val="auto"/>
                <w:sz w:val="18"/>
                <w:szCs w:val="18"/>
                <w:highlight w:val="none"/>
              </w:rPr>
            </w:pPr>
            <w:r>
              <w:rPr>
                <w:rFonts w:hint="eastAsia" w:ascii="宋体" w:hAnsi="宋体" w:cs="宋体"/>
                <w:bCs/>
                <w:color w:val="auto"/>
                <w:sz w:val="18"/>
                <w:szCs w:val="18"/>
                <w:highlight w:val="none"/>
              </w:rPr>
              <w:t>从业人员10人以下的</w:t>
            </w:r>
          </w:p>
        </w:tc>
      </w:tr>
    </w:tbl>
    <w:p w14:paraId="5502C3C8">
      <w:pPr>
        <w:rPr>
          <w:rFonts w:hint="eastAsia" w:ascii="宋体" w:hAnsi="宋体"/>
          <w:b/>
          <w:color w:val="auto"/>
          <w:highlight w:val="none"/>
        </w:rPr>
      </w:pPr>
    </w:p>
    <w:p w14:paraId="6783DF05">
      <w:pPr>
        <w:pStyle w:val="2"/>
        <w:spacing w:line="360" w:lineRule="auto"/>
        <w:jc w:val="center"/>
        <w:rPr>
          <w:rFonts w:ascii="黑体" w:hAnsi="宋体" w:eastAsia="黑体"/>
          <w:color w:val="auto"/>
          <w:sz w:val="30"/>
          <w:szCs w:val="30"/>
          <w:highlight w:val="none"/>
        </w:rPr>
      </w:pPr>
      <w:r>
        <w:rPr>
          <w:rFonts w:hint="eastAsia" w:ascii="黑体" w:eastAsia="黑体"/>
          <w:color w:val="auto"/>
          <w:sz w:val="30"/>
          <w:szCs w:val="30"/>
          <w:highlight w:val="none"/>
        </w:rPr>
        <w:br w:type="page"/>
      </w:r>
      <w:bookmarkEnd w:id="441"/>
      <w:bookmarkEnd w:id="442"/>
      <w:bookmarkEnd w:id="443"/>
      <w:bookmarkStart w:id="462" w:name="_Toc17300"/>
      <w:bookmarkStart w:id="463" w:name="_Toc2059"/>
      <w:bookmarkStart w:id="464" w:name="_Toc12357"/>
      <w:bookmarkStart w:id="465" w:name="_Toc16359"/>
      <w:r>
        <w:rPr>
          <w:rFonts w:hint="eastAsia"/>
          <w:color w:val="auto"/>
          <w:highlight w:val="none"/>
        </w:rPr>
        <w:t>第六章  拟签订合同主要条款</w:t>
      </w:r>
      <w:bookmarkEnd w:id="462"/>
      <w:bookmarkEnd w:id="463"/>
      <w:bookmarkEnd w:id="464"/>
      <w:bookmarkEnd w:id="465"/>
    </w:p>
    <w:p w14:paraId="632968D7">
      <w:pPr>
        <w:tabs>
          <w:tab w:val="left" w:pos="720"/>
          <w:tab w:val="left" w:pos="1154"/>
          <w:tab w:val="center" w:pos="4425"/>
        </w:tabs>
        <w:spacing w:line="440" w:lineRule="exact"/>
        <w:ind w:firstLine="2409" w:firstLineChars="1000"/>
        <w:jc w:val="left"/>
        <w:rPr>
          <w:rFonts w:ascii="宋体" w:hAnsi="宋体"/>
          <w:b/>
          <w:color w:val="auto"/>
          <w:sz w:val="24"/>
          <w:highlight w:val="none"/>
        </w:rPr>
      </w:pPr>
      <w:r>
        <w:rPr>
          <w:rFonts w:hint="eastAsia" w:ascii="宋体" w:hAnsi="宋体"/>
          <w:b/>
          <w:color w:val="auto"/>
          <w:sz w:val="24"/>
          <w:highlight w:val="none"/>
        </w:rPr>
        <w:t>（格式样本仅供参考，</w:t>
      </w:r>
      <w:r>
        <w:rPr>
          <w:rFonts w:hint="eastAsia" w:ascii="宋体" w:hAnsi="宋体"/>
          <w:b/>
          <w:color w:val="auto"/>
          <w:sz w:val="24"/>
          <w:highlight w:val="none"/>
          <w:lang w:eastAsia="zh-CN"/>
        </w:rPr>
        <w:t>可根据需要</w:t>
      </w:r>
      <w:r>
        <w:rPr>
          <w:rFonts w:hint="eastAsia" w:ascii="宋体" w:hAnsi="宋体"/>
          <w:b/>
          <w:color w:val="auto"/>
          <w:sz w:val="24"/>
          <w:highlight w:val="none"/>
        </w:rPr>
        <w:t>自行修改）</w:t>
      </w:r>
    </w:p>
    <w:p w14:paraId="1B8B7B29">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color w:val="auto"/>
          <w:sz w:val="24"/>
          <w:szCs w:val="32"/>
          <w:highlight w:val="none"/>
        </w:rPr>
      </w:pPr>
      <w:r>
        <w:rPr>
          <w:rFonts w:hint="eastAsia"/>
          <w:color w:val="auto"/>
          <w:sz w:val="24"/>
          <w:szCs w:val="32"/>
          <w:highlight w:val="none"/>
        </w:rPr>
        <w:t>甲方（采购人）：</w:t>
      </w:r>
    </w:p>
    <w:p w14:paraId="7144F2B0">
      <w:pPr>
        <w:pageBreakBefore w:val="0"/>
        <w:kinsoku/>
        <w:wordWrap/>
        <w:overflowPunct/>
        <w:topLinePunct w:val="0"/>
        <w:autoSpaceDE/>
        <w:autoSpaceDN/>
        <w:bidi w:val="0"/>
        <w:adjustRightInd/>
        <w:spacing w:line="400" w:lineRule="exact"/>
        <w:ind w:left="0" w:leftChars="0" w:right="0" w:rightChars="0" w:firstLine="480" w:firstLineChars="200"/>
        <w:textAlignment w:val="auto"/>
        <w:rPr>
          <w:color w:val="auto"/>
          <w:sz w:val="24"/>
          <w:szCs w:val="32"/>
          <w:highlight w:val="none"/>
        </w:rPr>
      </w:pPr>
      <w:r>
        <w:rPr>
          <w:rFonts w:hint="eastAsia"/>
          <w:color w:val="auto"/>
          <w:sz w:val="24"/>
          <w:szCs w:val="32"/>
          <w:highlight w:val="none"/>
        </w:rPr>
        <w:t>乙方（</w:t>
      </w:r>
      <w:r>
        <w:rPr>
          <w:rFonts w:hint="eastAsia"/>
          <w:color w:val="auto"/>
          <w:sz w:val="24"/>
          <w:szCs w:val="32"/>
          <w:highlight w:val="none"/>
          <w:lang w:val="en-US" w:eastAsia="zh-CN"/>
        </w:rPr>
        <w:t>中标人</w:t>
      </w:r>
      <w:r>
        <w:rPr>
          <w:rFonts w:hint="eastAsia"/>
          <w:color w:val="auto"/>
          <w:sz w:val="24"/>
          <w:szCs w:val="32"/>
          <w:highlight w:val="none"/>
        </w:rPr>
        <w:t>）：</w:t>
      </w:r>
    </w:p>
    <w:p w14:paraId="76EC8721">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根据《中华人民共和国民法典》《中华人民共和国政府采购法》等有关规定以及</w:t>
      </w:r>
      <w:r>
        <w:rPr>
          <w:rFonts w:hint="eastAsia" w:ascii="宋体" w:hAnsi="宋体" w:cs="宋体"/>
          <w:color w:val="auto"/>
          <w:sz w:val="24"/>
          <w:highlight w:val="none"/>
          <w:lang w:eastAsia="zh-CN"/>
        </w:rPr>
        <w:t>磐安县中医院互联网医院中医药综合信息平台项目</w:t>
      </w: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)公开招标结果，双方同意签订以下合同条款，以便双方共同遵守、履行合同。</w:t>
      </w:r>
    </w:p>
    <w:p w14:paraId="72343ED4">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cs="宋体"/>
          <w:b/>
          <w:color w:val="auto"/>
          <w:sz w:val="24"/>
          <w:highlight w:val="none"/>
        </w:rPr>
      </w:pPr>
      <w:r>
        <w:rPr>
          <w:rFonts w:hint="eastAsia" w:ascii="宋体" w:hAnsi="宋体" w:cs="宋体"/>
          <w:b/>
          <w:color w:val="auto"/>
          <w:sz w:val="24"/>
          <w:highlight w:val="none"/>
        </w:rPr>
        <w:t>第一条  合同文件：</w:t>
      </w:r>
      <w:r>
        <w:rPr>
          <w:rFonts w:hint="eastAsia" w:ascii="宋体" w:hAnsi="宋体" w:cs="宋体"/>
          <w:color w:val="auto"/>
          <w:sz w:val="24"/>
          <w:highlight w:val="none"/>
        </w:rPr>
        <w:t>与本项目相关的采购文件、投标文件、相应的承诺函等所有内容是构成合同不可分割的部分，与合同具有同等法律效力。</w:t>
      </w:r>
    </w:p>
    <w:p w14:paraId="67E44825">
      <w:pPr>
        <w:pStyle w:val="49"/>
        <w:pageBreakBefore w:val="0"/>
        <w:kinsoku/>
        <w:wordWrap/>
        <w:overflowPunct/>
        <w:topLinePunct w:val="0"/>
        <w:autoSpaceDE/>
        <w:autoSpaceDN/>
        <w:bidi w:val="0"/>
        <w:adjustRightInd/>
        <w:snapToGrid w:val="0"/>
        <w:spacing w:before="0" w:after="0" w:line="400" w:lineRule="exact"/>
        <w:ind w:left="0" w:leftChars="0" w:right="0" w:rightChars="0" w:firstLine="482" w:firstLineChars="200"/>
        <w:textAlignment w:val="auto"/>
        <w:rPr>
          <w:rFonts w:hint="eastAsia" w:ascii="宋体" w:hAnsi="宋体" w:cs="宋体"/>
          <w:b/>
          <w:bCs/>
          <w:color w:val="auto"/>
          <w:szCs w:val="21"/>
          <w:highlight w:val="none"/>
        </w:rPr>
      </w:pPr>
      <w:r>
        <w:rPr>
          <w:rFonts w:hint="eastAsia" w:ascii="宋体" w:hAnsi="宋体" w:cs="宋体"/>
          <w:b/>
          <w:color w:val="auto"/>
          <w:sz w:val="24"/>
          <w:highlight w:val="none"/>
        </w:rPr>
        <w:t xml:space="preserve">第二条  </w:t>
      </w:r>
      <w:r>
        <w:rPr>
          <w:rFonts w:hint="eastAsia" w:ascii="宋体" w:hAnsi="宋体" w:cs="宋体"/>
          <w:b/>
          <w:bCs/>
          <w:color w:val="auto"/>
          <w:szCs w:val="21"/>
          <w:highlight w:val="none"/>
        </w:rPr>
        <w:t>合同金额：</w:t>
      </w:r>
    </w:p>
    <w:p w14:paraId="5E732C95">
      <w:pPr>
        <w:pStyle w:val="49"/>
        <w:pageBreakBefore w:val="0"/>
        <w:kinsoku/>
        <w:wordWrap/>
        <w:overflowPunct/>
        <w:topLinePunct w:val="0"/>
        <w:autoSpaceDE/>
        <w:autoSpaceDN/>
        <w:bidi w:val="0"/>
        <w:adjustRightInd/>
        <w:snapToGrid w:val="0"/>
        <w:spacing w:before="0" w:after="0" w:line="400" w:lineRule="exact"/>
        <w:ind w:left="0" w:leftChars="0" w:right="0" w:rightChars="0" w:firstLine="480" w:firstLineChars="200"/>
        <w:textAlignment w:val="auto"/>
        <w:rPr>
          <w:rFonts w:hint="eastAsia" w:ascii="宋体" w:hAnsi="宋体" w:cs="宋体"/>
          <w:b w:val="0"/>
          <w:bCs w:val="0"/>
          <w:color w:val="auto"/>
          <w:szCs w:val="21"/>
          <w:highlight w:val="none"/>
        </w:rPr>
      </w:pPr>
      <w:r>
        <w:rPr>
          <w:rFonts w:hint="eastAsia" w:ascii="宋体" w:hAnsi="宋体" w:cs="宋体"/>
          <w:b w:val="0"/>
          <w:bCs w:val="0"/>
          <w:color w:val="auto"/>
          <w:szCs w:val="21"/>
          <w:highlight w:val="none"/>
        </w:rPr>
        <w:t xml:space="preserve">本合同金额为人民币(大写): </w:t>
      </w:r>
      <w:r>
        <w:rPr>
          <w:rFonts w:hint="eastAsia" w:ascii="宋体" w:hAnsi="宋体" w:cs="宋体"/>
          <w:b w:val="0"/>
          <w:bCs w:val="0"/>
          <w:color w:val="auto"/>
          <w:szCs w:val="21"/>
          <w:highlight w:val="none"/>
          <w:u w:val="single"/>
          <w:lang w:val="en-US" w:eastAsia="zh-CN"/>
        </w:rPr>
        <w:t xml:space="preserve">      </w:t>
      </w:r>
      <w:r>
        <w:rPr>
          <w:rFonts w:hint="eastAsia" w:ascii="宋体" w:hAnsi="宋体" w:cs="宋体"/>
          <w:b w:val="0"/>
          <w:bCs w:val="0"/>
          <w:color w:val="auto"/>
          <w:szCs w:val="21"/>
          <w:highlight w:val="none"/>
        </w:rPr>
        <w:t>圆整(¥</w:t>
      </w:r>
      <w:r>
        <w:rPr>
          <w:rFonts w:hint="eastAsia" w:ascii="宋体" w:hAnsi="宋体" w:cs="宋体"/>
          <w:b w:val="0"/>
          <w:bCs w:val="0"/>
          <w:color w:val="auto"/>
          <w:szCs w:val="21"/>
          <w:highlight w:val="none"/>
          <w:u w:val="single"/>
          <w:lang w:val="en-US" w:eastAsia="zh-CN"/>
        </w:rPr>
        <w:t xml:space="preserve">       </w:t>
      </w:r>
      <w:r>
        <w:rPr>
          <w:rFonts w:hint="eastAsia" w:ascii="宋体" w:hAnsi="宋体" w:cs="宋体"/>
          <w:b w:val="0"/>
          <w:bCs w:val="0"/>
          <w:color w:val="auto"/>
          <w:szCs w:val="21"/>
          <w:highlight w:val="none"/>
        </w:rPr>
        <w:t>.00元)。 合同价为完成本项目招标文件中提出的所有采购内容并完成合同约定的相应服务应支付的各项金额总和。凡乙方在报价中未列明但又为本次采购所必备的项目或遗漏项目，甲方将一律视为已包括在合同价中，在合同执行中将不予考虑。</w:t>
      </w:r>
    </w:p>
    <w:p w14:paraId="3653DCAF">
      <w:pPr>
        <w:pStyle w:val="49"/>
        <w:pageBreakBefore w:val="0"/>
        <w:numPr>
          <w:ilvl w:val="0"/>
          <w:numId w:val="34"/>
        </w:numPr>
        <w:kinsoku/>
        <w:wordWrap/>
        <w:overflowPunct/>
        <w:topLinePunct w:val="0"/>
        <w:autoSpaceDE/>
        <w:autoSpaceDN/>
        <w:bidi w:val="0"/>
        <w:adjustRightInd/>
        <w:snapToGrid w:val="0"/>
        <w:spacing w:before="0" w:after="0" w:line="400" w:lineRule="exact"/>
        <w:ind w:left="0" w:leftChars="0" w:right="0" w:rightChars="0" w:firstLine="482" w:firstLineChars="200"/>
        <w:textAlignment w:val="auto"/>
        <w:rPr>
          <w:rFonts w:hint="eastAsia" w:ascii="宋体" w:hAnsi="宋体" w:cs="宋体"/>
          <w:b/>
          <w:color w:val="auto"/>
          <w:sz w:val="24"/>
          <w:highlight w:val="none"/>
        </w:rPr>
      </w:pPr>
      <w:r>
        <w:rPr>
          <w:rFonts w:hint="eastAsia" w:ascii="宋体" w:hAnsi="宋体" w:cs="Courier New"/>
          <w:b/>
          <w:color w:val="auto"/>
          <w:highlight w:val="none"/>
        </w:rPr>
        <w:t xml:space="preserve"> </w:t>
      </w:r>
      <w:r>
        <w:rPr>
          <w:rFonts w:hint="eastAsia" w:ascii="宋体" w:hAnsi="宋体" w:cs="宋体"/>
          <w:b/>
          <w:color w:val="auto"/>
          <w:sz w:val="24"/>
          <w:highlight w:val="none"/>
        </w:rPr>
        <w:t>服务内容</w:t>
      </w:r>
      <w:r>
        <w:rPr>
          <w:rFonts w:hint="eastAsia" w:ascii="宋体" w:hAnsi="宋体" w:cs="宋体"/>
          <w:b/>
          <w:color w:val="auto"/>
          <w:sz w:val="24"/>
          <w:highlight w:val="none"/>
          <w:lang w:val="en-US" w:eastAsia="zh-CN"/>
        </w:rPr>
        <w:t>及要求</w:t>
      </w:r>
      <w:r>
        <w:rPr>
          <w:rFonts w:hint="eastAsia" w:ascii="宋体" w:hAnsi="宋体" w:cs="宋体"/>
          <w:b/>
          <w:color w:val="auto"/>
          <w:sz w:val="24"/>
          <w:highlight w:val="none"/>
        </w:rPr>
        <w:t>：</w:t>
      </w:r>
    </w:p>
    <w:p w14:paraId="08C645BE">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cs="Courier New"/>
          <w:b/>
          <w:color w:val="auto"/>
          <w:kern w:val="0"/>
          <w:sz w:val="24"/>
          <w:highlight w:val="none"/>
        </w:rPr>
      </w:pPr>
      <w:r>
        <w:rPr>
          <w:rFonts w:hint="eastAsia" w:ascii="宋体" w:hAnsi="宋体" w:cs="Courier New"/>
          <w:b/>
          <w:bCs w:val="0"/>
          <w:color w:val="auto"/>
          <w:kern w:val="0"/>
          <w:sz w:val="24"/>
          <w:szCs w:val="24"/>
          <w:highlight w:val="none"/>
        </w:rPr>
        <w:t xml:space="preserve">第四条 </w:t>
      </w:r>
      <w:r>
        <w:rPr>
          <w:rFonts w:hint="eastAsia" w:ascii="宋体" w:hAnsi="宋体" w:cs="Courier New"/>
          <w:b/>
          <w:bCs w:val="0"/>
          <w:color w:val="auto"/>
          <w:kern w:val="0"/>
          <w:sz w:val="24"/>
          <w:szCs w:val="24"/>
          <w:highlight w:val="none"/>
          <w:lang w:val="en-US" w:eastAsia="zh-CN"/>
        </w:rPr>
        <w:t xml:space="preserve"> </w:t>
      </w:r>
      <w:r>
        <w:rPr>
          <w:rFonts w:hint="eastAsia" w:ascii="宋体" w:hAnsi="宋体" w:cs="Courier New"/>
          <w:b/>
          <w:color w:val="auto"/>
          <w:kern w:val="0"/>
          <w:sz w:val="24"/>
          <w:highlight w:val="none"/>
        </w:rPr>
        <w:t>服务期限</w:t>
      </w:r>
      <w:r>
        <w:rPr>
          <w:rFonts w:hint="eastAsia" w:ascii="宋体" w:hAnsi="宋体" w:cs="Courier New"/>
          <w:b/>
          <w:color w:val="auto"/>
          <w:kern w:val="0"/>
          <w:sz w:val="24"/>
          <w:highlight w:val="none"/>
          <w:lang w:val="en-US" w:eastAsia="zh-CN"/>
        </w:rPr>
        <w:t>及地点</w:t>
      </w:r>
      <w:r>
        <w:rPr>
          <w:rFonts w:hint="eastAsia" w:ascii="宋体" w:hAnsi="宋体" w:cs="Courier New"/>
          <w:b/>
          <w:color w:val="auto"/>
          <w:kern w:val="0"/>
          <w:sz w:val="24"/>
          <w:highlight w:val="none"/>
        </w:rPr>
        <w:t>：</w:t>
      </w:r>
    </w:p>
    <w:p w14:paraId="54C00EA0">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b w:val="0"/>
          <w:color w:val="auto"/>
          <w:sz w:val="24"/>
          <w:szCs w:val="21"/>
          <w:highlight w:val="none"/>
          <w:lang w:eastAsia="zh-CN"/>
        </w:rPr>
      </w:pPr>
      <w:r>
        <w:rPr>
          <w:rFonts w:hint="eastAsia" w:ascii="宋体" w:hAnsi="宋体" w:cs="宋体"/>
          <w:b w:val="0"/>
          <w:color w:val="auto"/>
          <w:sz w:val="24"/>
          <w:szCs w:val="21"/>
          <w:highlight w:val="none"/>
          <w:lang w:val="en-US" w:eastAsia="zh-CN"/>
        </w:rPr>
        <w:t>1.</w:t>
      </w:r>
      <w:r>
        <w:rPr>
          <w:rFonts w:hint="eastAsia" w:ascii="宋体" w:hAnsi="宋体" w:cs="宋体"/>
          <w:b w:val="0"/>
          <w:color w:val="auto"/>
          <w:sz w:val="24"/>
          <w:szCs w:val="21"/>
          <w:highlight w:val="none"/>
        </w:rPr>
        <w:t>合同履约期限</w:t>
      </w:r>
      <w:r>
        <w:rPr>
          <w:rFonts w:hint="eastAsia" w:ascii="宋体" w:hAnsi="宋体" w:cs="宋体"/>
          <w:b w:val="0"/>
          <w:color w:val="auto"/>
          <w:sz w:val="24"/>
          <w:szCs w:val="21"/>
          <w:highlight w:val="none"/>
          <w:lang w:eastAsia="zh-CN"/>
        </w:rPr>
        <w:t>：</w:t>
      </w:r>
    </w:p>
    <w:p w14:paraId="59C123BC">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default" w:ascii="宋体" w:hAnsi="宋体" w:cs="宋体"/>
          <w:b w:val="0"/>
          <w:color w:val="auto"/>
          <w:sz w:val="24"/>
          <w:szCs w:val="21"/>
          <w:highlight w:val="none"/>
        </w:rPr>
      </w:pPr>
      <w:r>
        <w:rPr>
          <w:rFonts w:hint="eastAsia" w:ascii="宋体" w:hAnsi="宋体" w:cs="宋体"/>
          <w:b w:val="0"/>
          <w:color w:val="auto"/>
          <w:sz w:val="24"/>
          <w:szCs w:val="21"/>
          <w:highlight w:val="none"/>
          <w:lang w:val="en-US" w:eastAsia="zh-CN"/>
        </w:rPr>
        <w:t>2.履约地点：</w:t>
      </w:r>
    </w:p>
    <w:p w14:paraId="6D2F63C1">
      <w:pPr>
        <w:pStyle w:val="49"/>
        <w:pageBreakBefore w:val="0"/>
        <w:kinsoku/>
        <w:wordWrap/>
        <w:overflowPunct/>
        <w:topLinePunct w:val="0"/>
        <w:autoSpaceDE/>
        <w:autoSpaceDN/>
        <w:bidi w:val="0"/>
        <w:adjustRightInd/>
        <w:snapToGrid w:val="0"/>
        <w:spacing w:before="0" w:after="0" w:line="400" w:lineRule="exact"/>
        <w:ind w:left="0" w:leftChars="0" w:right="0" w:rightChars="0" w:firstLine="482" w:firstLineChars="200"/>
        <w:textAlignment w:val="auto"/>
        <w:rPr>
          <w:rFonts w:hint="default" w:ascii="宋体" w:hAnsi="宋体" w:eastAsia="宋体" w:cs="宋体"/>
          <w:b/>
          <w:bCs/>
          <w:color w:val="auto"/>
          <w:szCs w:val="21"/>
          <w:highlight w:val="none"/>
          <w:lang w:val="en-US" w:eastAsia="zh-CN"/>
        </w:rPr>
      </w:pPr>
      <w:r>
        <w:rPr>
          <w:rFonts w:hint="eastAsia" w:ascii="宋体" w:hAnsi="宋体" w:cs="宋体"/>
          <w:b/>
          <w:bCs/>
          <w:color w:val="auto"/>
          <w:szCs w:val="21"/>
          <w:highlight w:val="none"/>
        </w:rPr>
        <w:t xml:space="preserve"> </w:t>
      </w:r>
      <w:r>
        <w:rPr>
          <w:rFonts w:hint="eastAsia" w:ascii="宋体" w:hAnsi="宋体" w:eastAsia="宋体" w:cs="宋体"/>
          <w:b/>
          <w:bCs/>
          <w:color w:val="auto"/>
          <w:szCs w:val="21"/>
          <w:highlight w:val="none"/>
        </w:rPr>
        <w:t>第</w:t>
      </w:r>
      <w:r>
        <w:rPr>
          <w:rFonts w:hint="eastAsia" w:ascii="宋体" w:hAnsi="宋体" w:eastAsia="宋体" w:cs="宋体"/>
          <w:b/>
          <w:bCs/>
          <w:color w:val="auto"/>
          <w:szCs w:val="21"/>
          <w:highlight w:val="none"/>
          <w:lang w:eastAsia="zh-CN"/>
        </w:rPr>
        <w:t>五</w:t>
      </w:r>
      <w:r>
        <w:rPr>
          <w:rFonts w:hint="eastAsia" w:ascii="宋体" w:hAnsi="宋体" w:eastAsia="宋体" w:cs="宋体"/>
          <w:b/>
          <w:bCs/>
          <w:color w:val="auto"/>
          <w:szCs w:val="21"/>
          <w:highlight w:val="none"/>
        </w:rPr>
        <w:t>条 知识产权</w:t>
      </w:r>
      <w:r>
        <w:rPr>
          <w:rFonts w:hint="eastAsia" w:ascii="宋体" w:hAnsi="宋体" w:cs="宋体"/>
          <w:b/>
          <w:bCs/>
          <w:color w:val="auto"/>
          <w:szCs w:val="21"/>
          <w:highlight w:val="none"/>
          <w:lang w:val="en-US" w:eastAsia="zh-CN"/>
        </w:rPr>
        <w:t>及保密要求</w:t>
      </w:r>
    </w:p>
    <w:p w14:paraId="38E0A00C">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b w:val="0"/>
          <w:bCs w:val="0"/>
          <w:color w:val="auto"/>
          <w:kern w:val="2"/>
          <w:sz w:val="24"/>
          <w:szCs w:val="21"/>
          <w:highlight w:val="none"/>
          <w:lang w:val="en-US" w:eastAsia="zh-CN" w:bidi="ar-SA"/>
        </w:rPr>
      </w:pPr>
      <w:r>
        <w:rPr>
          <w:rFonts w:hint="eastAsia" w:ascii="宋体" w:hAnsi="宋体" w:eastAsia="宋体" w:cs="宋体"/>
          <w:b w:val="0"/>
          <w:bCs w:val="0"/>
          <w:color w:val="auto"/>
          <w:kern w:val="2"/>
          <w:sz w:val="24"/>
          <w:szCs w:val="21"/>
          <w:highlight w:val="none"/>
          <w:lang w:val="en-US" w:eastAsia="zh-CN" w:bidi="ar-SA"/>
        </w:rPr>
        <w:t>1.乙方保证，甲方在享受服务或者服务的任何一部分时，免受第三方提出的侵犯其专利权、商标权或其他知识产权的起诉。如发生此类纠纷，由乙方承担一切责任;如因此给甲方造成损失的，乙方负责全额赔偿。</w:t>
      </w:r>
    </w:p>
    <w:p w14:paraId="3244D6BE">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b w:val="0"/>
          <w:bCs w:val="0"/>
          <w:color w:val="auto"/>
          <w:kern w:val="2"/>
          <w:sz w:val="24"/>
          <w:szCs w:val="21"/>
          <w:highlight w:val="none"/>
          <w:lang w:val="en-US" w:eastAsia="zh-CN" w:bidi="ar-SA"/>
        </w:rPr>
      </w:pPr>
      <w:r>
        <w:rPr>
          <w:rFonts w:hint="eastAsia" w:ascii="宋体" w:hAnsi="宋体" w:eastAsia="宋体" w:cs="宋体"/>
          <w:b w:val="0"/>
          <w:bCs w:val="0"/>
          <w:color w:val="auto"/>
          <w:kern w:val="2"/>
          <w:sz w:val="24"/>
          <w:szCs w:val="21"/>
          <w:highlight w:val="none"/>
          <w:lang w:val="en-US" w:eastAsia="zh-CN" w:bidi="ar-SA"/>
        </w:rPr>
        <w:t>2.乙方在履行合同过程及完成本合同所涉项目服务后须承担与此有关的技术情报和数据资料的保密责任。乙方对本项目有关的资料及数据成果中涉及国家秘密的内容，均要求按照《中华人民共和国保守国家秘密法》及相关法律法规执行。否则，应承担相应的法律责任。</w:t>
      </w:r>
    </w:p>
    <w:p w14:paraId="639ABB20">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b w:val="0"/>
          <w:bCs w:val="0"/>
          <w:color w:val="auto"/>
          <w:kern w:val="2"/>
          <w:sz w:val="24"/>
          <w:szCs w:val="21"/>
          <w:highlight w:val="none"/>
          <w:lang w:val="en-US" w:eastAsia="zh-CN" w:bidi="ar-SA"/>
        </w:rPr>
      </w:pPr>
      <w:r>
        <w:rPr>
          <w:rFonts w:hint="eastAsia" w:ascii="宋体" w:hAnsi="宋体" w:eastAsia="宋体" w:cs="宋体"/>
          <w:b w:val="0"/>
          <w:bCs w:val="0"/>
          <w:color w:val="auto"/>
          <w:kern w:val="2"/>
          <w:sz w:val="24"/>
          <w:szCs w:val="21"/>
          <w:highlight w:val="none"/>
          <w:lang w:val="en-US" w:eastAsia="zh-CN" w:bidi="ar-SA"/>
        </w:rPr>
        <w:t>3.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422E2A85">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cs="宋体"/>
          <w:b/>
          <w:color w:val="auto"/>
          <w:sz w:val="24"/>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六</w:t>
      </w:r>
      <w:r>
        <w:rPr>
          <w:rFonts w:hint="eastAsia" w:ascii="宋体" w:hAnsi="宋体" w:cs="宋体"/>
          <w:b/>
          <w:bCs/>
          <w:color w:val="auto"/>
          <w:sz w:val="24"/>
          <w:highlight w:val="none"/>
        </w:rPr>
        <w:t>条 付款方式</w:t>
      </w:r>
      <w:r>
        <w:rPr>
          <w:rFonts w:hint="eastAsia" w:ascii="宋体" w:hAnsi="宋体" w:cs="宋体"/>
          <w:b/>
          <w:color w:val="auto"/>
          <w:sz w:val="24"/>
          <w:highlight w:val="none"/>
        </w:rPr>
        <w:t>：</w:t>
      </w:r>
    </w:p>
    <w:p w14:paraId="6B136F59">
      <w:pPr>
        <w:rPr>
          <w:rFonts w:hint="eastAsia"/>
          <w:color w:val="auto"/>
          <w:highlight w:val="none"/>
        </w:rPr>
      </w:pPr>
    </w:p>
    <w:p w14:paraId="5C6878D6">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第</w:t>
      </w:r>
      <w:r>
        <w:rPr>
          <w:rFonts w:hint="eastAsia" w:ascii="宋体" w:hAnsi="宋体" w:cs="宋体"/>
          <w:b/>
          <w:color w:val="auto"/>
          <w:sz w:val="24"/>
          <w:highlight w:val="none"/>
          <w:lang w:eastAsia="zh-CN"/>
        </w:rPr>
        <w:t>七</w:t>
      </w:r>
      <w:r>
        <w:rPr>
          <w:rFonts w:hint="eastAsia" w:ascii="宋体" w:hAnsi="宋体" w:cs="宋体"/>
          <w:b/>
          <w:color w:val="auto"/>
          <w:sz w:val="24"/>
          <w:highlight w:val="none"/>
        </w:rPr>
        <w:t xml:space="preserve">条  </w:t>
      </w:r>
      <w:r>
        <w:rPr>
          <w:rFonts w:hint="eastAsia" w:ascii="宋体" w:hAnsi="宋体" w:cs="宋体"/>
          <w:b/>
          <w:color w:val="auto"/>
          <w:sz w:val="24"/>
          <w:highlight w:val="none"/>
          <w:lang w:val="en-US" w:eastAsia="zh-CN"/>
        </w:rPr>
        <w:t>履约保证金</w:t>
      </w:r>
      <w:r>
        <w:rPr>
          <w:rFonts w:hint="eastAsia" w:ascii="宋体" w:hAnsi="宋体" w:cs="宋体"/>
          <w:b/>
          <w:color w:val="auto"/>
          <w:sz w:val="24"/>
          <w:highlight w:val="none"/>
        </w:rPr>
        <w:t>：</w:t>
      </w:r>
      <w:r>
        <w:rPr>
          <w:rFonts w:hint="eastAsia" w:ascii="宋体" w:hAnsi="宋体" w:cs="宋体"/>
          <w:b/>
          <w:color w:val="auto"/>
          <w:sz w:val="24"/>
          <w:highlight w:val="none"/>
          <w:lang w:eastAsia="zh-CN"/>
        </w:rPr>
        <w:t>按合同款的</w:t>
      </w:r>
      <w:r>
        <w:rPr>
          <w:rFonts w:hint="eastAsia" w:ascii="宋体" w:hAnsi="宋体" w:cs="宋体"/>
          <w:b/>
          <w:color w:val="auto"/>
          <w:sz w:val="24"/>
          <w:highlight w:val="none"/>
          <w:lang w:val="en-US" w:eastAsia="zh-CN"/>
        </w:rPr>
        <w:t>1%缴纳。</w:t>
      </w:r>
    </w:p>
    <w:p w14:paraId="5D28C6E6">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cs="宋体"/>
          <w:b/>
          <w:color w:val="auto"/>
          <w:sz w:val="24"/>
          <w:highlight w:val="none"/>
        </w:rPr>
      </w:pPr>
    </w:p>
    <w:p w14:paraId="49283CB7">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第</w:t>
      </w:r>
      <w:r>
        <w:rPr>
          <w:rFonts w:hint="eastAsia" w:ascii="宋体" w:hAnsi="宋体" w:cs="宋体"/>
          <w:b/>
          <w:color w:val="auto"/>
          <w:sz w:val="24"/>
          <w:highlight w:val="none"/>
          <w:lang w:val="en-US" w:eastAsia="zh-CN"/>
        </w:rPr>
        <w:t>八</w:t>
      </w:r>
      <w:r>
        <w:rPr>
          <w:rFonts w:hint="eastAsia" w:ascii="宋体" w:hAnsi="宋体" w:cs="宋体"/>
          <w:b/>
          <w:color w:val="auto"/>
          <w:sz w:val="24"/>
          <w:highlight w:val="none"/>
        </w:rPr>
        <w:t xml:space="preserve">条  </w:t>
      </w:r>
      <w:r>
        <w:rPr>
          <w:rFonts w:hint="eastAsia" w:ascii="宋体" w:hAnsi="宋体" w:cs="宋体"/>
          <w:b/>
          <w:color w:val="auto"/>
          <w:sz w:val="24"/>
          <w:highlight w:val="none"/>
          <w:lang w:val="en-US" w:eastAsia="zh-CN"/>
        </w:rPr>
        <w:t>售后服务及响应</w:t>
      </w:r>
      <w:r>
        <w:rPr>
          <w:rFonts w:hint="eastAsia" w:ascii="宋体" w:hAnsi="宋体" w:cs="宋体"/>
          <w:b/>
          <w:color w:val="auto"/>
          <w:sz w:val="24"/>
          <w:highlight w:val="none"/>
        </w:rPr>
        <w:t>：</w:t>
      </w:r>
      <w:r>
        <w:rPr>
          <w:rFonts w:hint="eastAsia" w:ascii="宋体" w:hAnsi="宋体" w:cs="宋体"/>
          <w:b/>
          <w:color w:val="auto"/>
          <w:sz w:val="24"/>
          <w:highlight w:val="none"/>
          <w:lang w:eastAsia="zh-CN"/>
        </w:rPr>
        <w:t>按招标文件与投标文件</w:t>
      </w:r>
      <w:r>
        <w:rPr>
          <w:rFonts w:hint="eastAsia" w:ascii="宋体" w:hAnsi="宋体" w:cs="宋体"/>
          <w:b/>
          <w:color w:val="auto"/>
          <w:sz w:val="24"/>
          <w:highlight w:val="none"/>
          <w:lang w:val="en-US" w:eastAsia="zh-CN"/>
        </w:rPr>
        <w:t xml:space="preserve"> </w:t>
      </w:r>
    </w:p>
    <w:p w14:paraId="72DFCD6D">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eastAsia="宋体" w:cs="宋体"/>
          <w:b/>
          <w:color w:val="auto"/>
          <w:sz w:val="24"/>
          <w:highlight w:val="none"/>
        </w:rPr>
      </w:pPr>
    </w:p>
    <w:p w14:paraId="42DE8FF5">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第</w:t>
      </w:r>
      <w:r>
        <w:rPr>
          <w:rFonts w:hint="eastAsia" w:ascii="宋体" w:hAnsi="宋体" w:eastAsia="宋体" w:cs="宋体"/>
          <w:b/>
          <w:color w:val="auto"/>
          <w:sz w:val="24"/>
          <w:highlight w:val="none"/>
          <w:lang w:val="en-US" w:eastAsia="zh-CN"/>
        </w:rPr>
        <w:t>九</w:t>
      </w:r>
      <w:r>
        <w:rPr>
          <w:rFonts w:hint="eastAsia" w:ascii="宋体" w:hAnsi="宋体" w:eastAsia="宋体" w:cs="宋体"/>
          <w:b/>
          <w:color w:val="auto"/>
          <w:sz w:val="24"/>
          <w:highlight w:val="none"/>
        </w:rPr>
        <w:t>条  税费</w:t>
      </w:r>
    </w:p>
    <w:p w14:paraId="24C2CDD7">
      <w:pPr>
        <w:pStyle w:val="3"/>
        <w:pageBreakBefore w:val="0"/>
        <w:tabs>
          <w:tab w:val="left" w:pos="840"/>
        </w:tabs>
        <w:kinsoku/>
        <w:wordWrap/>
        <w:overflowPunct/>
        <w:topLinePunct w:val="0"/>
        <w:autoSpaceDE/>
        <w:autoSpaceDN/>
        <w:bidi w:val="0"/>
        <w:adjustRightInd/>
        <w:spacing w:before="0" w:after="0" w:line="400" w:lineRule="exact"/>
        <w:ind w:left="0" w:leftChars="0" w:right="0" w:rightChars="0" w:firstLine="480" w:firstLineChars="200"/>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本合同执行中相关的一切税费均由乙方负担。</w:t>
      </w:r>
    </w:p>
    <w:p w14:paraId="2B7EAA56">
      <w:pPr>
        <w:pStyle w:val="49"/>
        <w:pageBreakBefore w:val="0"/>
        <w:kinsoku/>
        <w:wordWrap/>
        <w:overflowPunct/>
        <w:topLinePunct w:val="0"/>
        <w:autoSpaceDE/>
        <w:autoSpaceDN/>
        <w:bidi w:val="0"/>
        <w:adjustRightInd/>
        <w:snapToGrid w:val="0"/>
        <w:spacing w:before="0" w:after="0" w:line="400" w:lineRule="exact"/>
        <w:ind w:left="0" w:leftChars="0" w:right="0" w:rightChars="0" w:firstLine="482" w:firstLineChars="200"/>
        <w:textAlignment w:val="auto"/>
        <w:rPr>
          <w:rFonts w:hAnsi="宋体"/>
          <w:b/>
          <w:color w:val="auto"/>
          <w:highlight w:val="none"/>
        </w:rPr>
      </w:pPr>
      <w:r>
        <w:rPr>
          <w:rFonts w:hint="eastAsia" w:ascii="宋体" w:hAnsi="宋体" w:cs="Courier New"/>
          <w:b/>
          <w:color w:val="auto"/>
          <w:highlight w:val="none"/>
        </w:rPr>
        <w:t>第</w:t>
      </w:r>
      <w:r>
        <w:rPr>
          <w:rFonts w:hint="eastAsia" w:ascii="宋体" w:hAnsi="宋体" w:cs="Courier New"/>
          <w:b/>
          <w:color w:val="auto"/>
          <w:highlight w:val="none"/>
          <w:lang w:eastAsia="zh-CN"/>
        </w:rPr>
        <w:t>十</w:t>
      </w:r>
      <w:r>
        <w:rPr>
          <w:rFonts w:hint="eastAsia" w:ascii="宋体" w:hAnsi="宋体" w:cs="Courier New"/>
          <w:b/>
          <w:color w:val="auto"/>
          <w:highlight w:val="none"/>
        </w:rPr>
        <w:t>条  违约责任</w:t>
      </w:r>
    </w:p>
    <w:p w14:paraId="64F227F0">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1.违反本合同约定，造成本合同不能履行或不能完全履行，由违约方承担违约责任，违约方应按合同法赔偿对方经济损失。</w:t>
      </w:r>
    </w:p>
    <w:p w14:paraId="6A903885">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2.甲方无故逾期验收和办理支付手续的，甲方应按逾期付款总额每日万分之五向乙方支付违约金。</w:t>
      </w:r>
    </w:p>
    <w:p w14:paraId="1BA3572F">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3.乙方达不到项目要求，乙方应负责根据合同及甲方的要求采取相应的处理措施，并承担由此发生的一切损失和费用，整改延误的时间不作为整个项目工期延期的理由。</w:t>
      </w:r>
    </w:p>
    <w:p w14:paraId="0676B21D">
      <w:pPr>
        <w:pStyle w:val="21"/>
        <w:ind w:firstLine="480" w:firstLineChars="200"/>
        <w:rPr>
          <w:rFonts w:hint="eastAsia" w:eastAsia="宋体" w:cs="宋体"/>
          <w:color w:val="auto"/>
          <w:kern w:val="2"/>
          <w:highlight w:val="none"/>
          <w:lang w:val="en-US" w:eastAsia="zh-CN"/>
        </w:rPr>
      </w:pPr>
      <w:r>
        <w:rPr>
          <w:rFonts w:hint="eastAsia" w:cs="宋体"/>
          <w:color w:val="auto"/>
          <w:sz w:val="24"/>
          <w:highlight w:val="none"/>
          <w:lang w:val="en-US" w:eastAsia="zh-CN"/>
        </w:rPr>
        <w:t>4.</w:t>
      </w:r>
      <w:r>
        <w:rPr>
          <w:rFonts w:hint="eastAsia" w:cs="宋体"/>
          <w:color w:val="auto"/>
          <w:kern w:val="2"/>
          <w:sz w:val="24"/>
          <w:highlight w:val="none"/>
          <w:lang w:val="en-US" w:eastAsia="zh-CN"/>
        </w:rPr>
        <w:t>其他违约事项按考核办法执行。（见招标文件）</w:t>
      </w:r>
    </w:p>
    <w:p w14:paraId="436326F7">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cs="宋体"/>
          <w:b/>
          <w:bCs/>
          <w:color w:val="auto"/>
          <w:sz w:val="24"/>
          <w:highlight w:val="none"/>
        </w:rPr>
      </w:pPr>
      <w:r>
        <w:rPr>
          <w:rFonts w:hint="eastAsia" w:ascii="宋体" w:hAnsi="宋体" w:cs="宋体"/>
          <w:b/>
          <w:color w:val="auto"/>
          <w:sz w:val="24"/>
          <w:highlight w:val="none"/>
        </w:rPr>
        <w:t>第十</w:t>
      </w:r>
      <w:r>
        <w:rPr>
          <w:rFonts w:hint="eastAsia" w:ascii="宋体" w:hAnsi="宋体" w:cs="宋体"/>
          <w:b/>
          <w:color w:val="auto"/>
          <w:sz w:val="24"/>
          <w:highlight w:val="none"/>
          <w:lang w:val="en-US" w:eastAsia="zh-CN"/>
        </w:rPr>
        <w:t>一</w:t>
      </w:r>
      <w:r>
        <w:rPr>
          <w:rFonts w:hint="eastAsia" w:ascii="宋体" w:hAnsi="宋体" w:cs="宋体"/>
          <w:b/>
          <w:color w:val="auto"/>
          <w:sz w:val="24"/>
          <w:highlight w:val="none"/>
        </w:rPr>
        <w:t xml:space="preserve">条 </w:t>
      </w:r>
      <w:r>
        <w:rPr>
          <w:rFonts w:hint="eastAsia" w:ascii="宋体" w:hAnsi="宋体" w:cs="宋体"/>
          <w:b/>
          <w:bCs/>
          <w:color w:val="auto"/>
          <w:sz w:val="24"/>
          <w:highlight w:val="none"/>
        </w:rPr>
        <w:t>不可抗力事件处理：</w:t>
      </w:r>
    </w:p>
    <w:p w14:paraId="3CAEF375">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 1．在合同有效期内，任何一方因不可抗力事件导致不能履行合同，则合同履行期可延长，其延长期与不可抗力影响期相同。</w:t>
      </w:r>
    </w:p>
    <w:p w14:paraId="6A5ED88D">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 2．不可抗力事件发生后，应立即通知对方，并寄送有关权威机构出具的证明。</w:t>
      </w:r>
    </w:p>
    <w:p w14:paraId="7EB8C56A">
      <w:pPr>
        <w:pageBreakBefore w:val="0"/>
        <w:kinsoku/>
        <w:wordWrap/>
        <w:overflowPunct/>
        <w:topLinePunct w:val="0"/>
        <w:autoSpaceDE/>
        <w:autoSpaceDN/>
        <w:bidi w:val="0"/>
        <w:adjustRightInd/>
        <w:spacing w:line="400" w:lineRule="exact"/>
        <w:ind w:left="0" w:leftChars="0" w:right="0" w:righ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 3．不可抗力事件延续七天以上，双方应通过友好协商，确定是否继续履行合同。</w:t>
      </w:r>
    </w:p>
    <w:p w14:paraId="3FDE9A67">
      <w:pPr>
        <w:pStyle w:val="49"/>
        <w:pageBreakBefore w:val="0"/>
        <w:kinsoku/>
        <w:wordWrap/>
        <w:overflowPunct/>
        <w:topLinePunct w:val="0"/>
        <w:autoSpaceDE/>
        <w:autoSpaceDN/>
        <w:bidi w:val="0"/>
        <w:adjustRightInd/>
        <w:snapToGrid w:val="0"/>
        <w:spacing w:before="0" w:after="0" w:line="400" w:lineRule="exact"/>
        <w:ind w:left="0" w:leftChars="0" w:right="0" w:rightChars="0" w:firstLine="482" w:firstLineChars="200"/>
        <w:textAlignment w:val="auto"/>
        <w:rPr>
          <w:rFonts w:hAnsi="宋体" w:cs="Arial"/>
          <w:color w:val="auto"/>
          <w:highlight w:val="none"/>
        </w:rPr>
      </w:pPr>
      <w:r>
        <w:rPr>
          <w:rFonts w:hint="eastAsia" w:ascii="宋体" w:hAnsi="宋体" w:cs="宋体"/>
          <w:b/>
          <w:color w:val="auto"/>
          <w:sz w:val="24"/>
          <w:highlight w:val="none"/>
        </w:rPr>
        <w:t>第十</w:t>
      </w:r>
      <w:r>
        <w:rPr>
          <w:rFonts w:hint="eastAsia" w:ascii="宋体" w:hAnsi="宋体" w:cs="宋体"/>
          <w:b/>
          <w:color w:val="auto"/>
          <w:sz w:val="24"/>
          <w:highlight w:val="none"/>
          <w:lang w:val="en-US" w:eastAsia="zh-CN"/>
        </w:rPr>
        <w:t>二</w:t>
      </w:r>
      <w:r>
        <w:rPr>
          <w:rFonts w:hint="eastAsia" w:ascii="宋体" w:hAnsi="宋体" w:cs="宋体"/>
          <w:b/>
          <w:color w:val="auto"/>
          <w:sz w:val="24"/>
          <w:highlight w:val="none"/>
        </w:rPr>
        <w:t xml:space="preserve">条  </w:t>
      </w:r>
      <w:r>
        <w:rPr>
          <w:rFonts w:hint="eastAsia" w:ascii="宋体" w:hAnsi="宋体" w:cs="Arial"/>
          <w:b/>
          <w:color w:val="auto"/>
          <w:highlight w:val="none"/>
        </w:rPr>
        <w:t>保密条款：</w:t>
      </w:r>
    </w:p>
    <w:p w14:paraId="49EC34A6">
      <w:pPr>
        <w:pStyle w:val="49"/>
        <w:pageBreakBefore w:val="0"/>
        <w:kinsoku/>
        <w:wordWrap/>
        <w:overflowPunct/>
        <w:topLinePunct w:val="0"/>
        <w:autoSpaceDE/>
        <w:autoSpaceDN/>
        <w:bidi w:val="0"/>
        <w:adjustRightInd/>
        <w:snapToGrid w:val="0"/>
        <w:spacing w:before="0" w:after="0" w:line="400" w:lineRule="exact"/>
        <w:ind w:left="0" w:leftChars="0" w:right="0" w:rightChars="0" w:firstLine="480" w:firstLineChars="200"/>
        <w:textAlignment w:val="auto"/>
        <w:rPr>
          <w:rFonts w:hAnsi="宋体" w:cs="Arial"/>
          <w:color w:val="auto"/>
          <w:highlight w:val="none"/>
        </w:rPr>
      </w:pPr>
      <w:r>
        <w:rPr>
          <w:rFonts w:hint="eastAsia" w:ascii="宋体" w:hAnsi="宋体" w:cs="Arial"/>
          <w:color w:val="auto"/>
          <w:highlight w:val="none"/>
        </w:rPr>
        <w:t xml:space="preserve"> 乙方在工作过程中接触到的甲方任何资料、文件、数据、以及为甲方服务形成的任何交付物，负有为甲方保密的责任，未经甲方书面同意，不得以任何方式向第三方提供或透露。</w:t>
      </w:r>
    </w:p>
    <w:p w14:paraId="21D01C08">
      <w:pPr>
        <w:pStyle w:val="49"/>
        <w:pageBreakBefore w:val="0"/>
        <w:kinsoku/>
        <w:wordWrap/>
        <w:overflowPunct/>
        <w:topLinePunct w:val="0"/>
        <w:autoSpaceDE/>
        <w:autoSpaceDN/>
        <w:bidi w:val="0"/>
        <w:adjustRightInd/>
        <w:snapToGrid w:val="0"/>
        <w:spacing w:before="0" w:after="0" w:line="400" w:lineRule="exact"/>
        <w:ind w:left="0" w:leftChars="0" w:right="0" w:rightChars="0"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第十</w:t>
      </w:r>
      <w:r>
        <w:rPr>
          <w:rFonts w:hint="eastAsia" w:ascii="宋体" w:hAnsi="宋体" w:eastAsia="宋体" w:cs="宋体"/>
          <w:b/>
          <w:color w:val="auto"/>
          <w:sz w:val="24"/>
          <w:highlight w:val="none"/>
          <w:lang w:val="en-US" w:eastAsia="zh-CN"/>
        </w:rPr>
        <w:t>三</w:t>
      </w:r>
      <w:r>
        <w:rPr>
          <w:rFonts w:hint="eastAsia" w:ascii="宋体" w:hAnsi="宋体" w:eastAsia="宋体" w:cs="宋体"/>
          <w:b/>
          <w:color w:val="auto"/>
          <w:sz w:val="24"/>
          <w:highlight w:val="none"/>
        </w:rPr>
        <w:t>条  安全责任</w:t>
      </w:r>
    </w:p>
    <w:p w14:paraId="3960B831">
      <w:pPr>
        <w:pStyle w:val="49"/>
        <w:keepNext w:val="0"/>
        <w:keepLines w:val="0"/>
        <w:pageBreakBefore w:val="0"/>
        <w:widowControl w:val="0"/>
        <w:kinsoku/>
        <w:wordWrap/>
        <w:overflowPunct/>
        <w:topLinePunct w:val="0"/>
        <w:autoSpaceDE/>
        <w:autoSpaceDN/>
        <w:bidi w:val="0"/>
        <w:adjustRightInd/>
        <w:snapToGrid w:val="0"/>
        <w:spacing w:before="0" w:after="0" w:line="400" w:lineRule="exact"/>
        <w:ind w:left="0" w:leftChars="0" w:right="0" w:rightChars="0" w:firstLine="480" w:firstLineChars="200"/>
        <w:textAlignment w:val="auto"/>
        <w:rPr>
          <w:rFonts w:hint="eastAsia" w:ascii="宋体" w:hAnsi="宋体" w:eastAsia="宋体" w:cs="Arial"/>
          <w:color w:val="auto"/>
          <w:highlight w:val="none"/>
        </w:rPr>
      </w:pPr>
      <w:r>
        <w:rPr>
          <w:rFonts w:hint="eastAsia" w:ascii="宋体" w:hAnsi="宋体" w:eastAsia="宋体" w:cs="Arial"/>
          <w:color w:val="auto"/>
          <w:highlight w:val="none"/>
        </w:rPr>
        <w:t>在采购及合同执行过程中，乙方应承担由于其行为所造成的人身伤害、财产损失或损坏的责任，无论何种原因所造成，甲方均不负责。</w:t>
      </w:r>
    </w:p>
    <w:p w14:paraId="7B3E0938">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 xml:space="preserve"> </w:t>
      </w:r>
      <w:r>
        <w:rPr>
          <w:rFonts w:hint="eastAsia" w:ascii="宋体" w:hAnsi="宋体" w:cs="Arial"/>
          <w:b/>
          <w:color w:val="auto"/>
          <w:highlight w:val="none"/>
        </w:rPr>
        <w:t>第十</w:t>
      </w:r>
      <w:r>
        <w:rPr>
          <w:rFonts w:hint="eastAsia" w:ascii="宋体" w:hAnsi="宋体" w:cs="Arial"/>
          <w:b/>
          <w:color w:val="auto"/>
          <w:highlight w:val="none"/>
          <w:lang w:val="en-US" w:eastAsia="zh-CN"/>
        </w:rPr>
        <w:t>四</w:t>
      </w:r>
      <w:r>
        <w:rPr>
          <w:rFonts w:hint="eastAsia" w:ascii="宋体" w:hAnsi="宋体" w:cs="Arial"/>
          <w:b/>
          <w:color w:val="auto"/>
          <w:highlight w:val="none"/>
        </w:rPr>
        <w:t xml:space="preserve">条  </w:t>
      </w:r>
      <w:r>
        <w:rPr>
          <w:rFonts w:hint="eastAsia" w:ascii="宋体" w:hAnsi="宋体" w:cs="宋体"/>
          <w:b/>
          <w:bCs/>
          <w:color w:val="auto"/>
          <w:sz w:val="24"/>
          <w:highlight w:val="none"/>
        </w:rPr>
        <w:t xml:space="preserve"> 诉讼：</w:t>
      </w:r>
    </w:p>
    <w:p w14:paraId="74636504">
      <w:pPr>
        <w:pageBreakBefore w:val="0"/>
        <w:widowControl/>
        <w:kinsoku/>
        <w:wordWrap/>
        <w:overflowPunct/>
        <w:topLinePunct w:val="0"/>
        <w:autoSpaceDE/>
        <w:autoSpaceDN/>
        <w:bidi w:val="0"/>
        <w:adjustRightInd/>
        <w:snapToGrid w:val="0"/>
        <w:spacing w:line="400" w:lineRule="exact"/>
        <w:ind w:left="0" w:leftChars="0" w:right="0" w:rightChars="0" w:firstLine="480" w:firstLineChars="200"/>
        <w:jc w:val="left"/>
        <w:textAlignment w:val="auto"/>
        <w:rPr>
          <w:rFonts w:hint="eastAsia" w:ascii="宋体" w:hAnsi="宋体" w:cs="Arial"/>
          <w:color w:val="auto"/>
          <w:kern w:val="0"/>
          <w:sz w:val="24"/>
          <w:highlight w:val="none"/>
        </w:rPr>
      </w:pPr>
      <w:r>
        <w:rPr>
          <w:rFonts w:hint="eastAsia" w:ascii="宋体" w:hAnsi="宋体" w:cs="Arial"/>
          <w:color w:val="auto"/>
          <w:kern w:val="0"/>
          <w:sz w:val="24"/>
          <w:highlight w:val="none"/>
        </w:rPr>
        <w:t>本合同项目所在地为</w:t>
      </w:r>
      <w:r>
        <w:rPr>
          <w:rFonts w:hint="eastAsia" w:ascii="宋体" w:hAnsi="宋体" w:cs="Arial"/>
          <w:color w:val="auto"/>
          <w:kern w:val="0"/>
          <w:sz w:val="24"/>
          <w:highlight w:val="none"/>
          <w:lang w:eastAsia="zh-CN"/>
        </w:rPr>
        <w:t>磐安县</w:t>
      </w:r>
      <w:r>
        <w:rPr>
          <w:rFonts w:hint="eastAsia" w:ascii="宋体" w:hAnsi="宋体" w:cs="Arial"/>
          <w:color w:val="auto"/>
          <w:kern w:val="0"/>
          <w:sz w:val="24"/>
          <w:highlight w:val="none"/>
        </w:rPr>
        <w:t>，本合同发生争议产生的诉讼，可向项目所在地有管辖权的法院提起诉讼。</w:t>
      </w:r>
    </w:p>
    <w:p w14:paraId="77A0C037">
      <w:pPr>
        <w:pageBreakBefore w:val="0"/>
        <w:widowControl/>
        <w:kinsoku/>
        <w:wordWrap/>
        <w:overflowPunct/>
        <w:topLinePunct w:val="0"/>
        <w:autoSpaceDE/>
        <w:autoSpaceDN/>
        <w:bidi w:val="0"/>
        <w:adjustRightInd/>
        <w:snapToGrid w:val="0"/>
        <w:spacing w:line="400" w:lineRule="exact"/>
        <w:ind w:left="0" w:leftChars="0" w:right="0" w:rightChars="0" w:firstLine="482" w:firstLineChars="200"/>
        <w:jc w:val="left"/>
        <w:textAlignment w:val="auto"/>
        <w:rPr>
          <w:rFonts w:hint="eastAsia" w:ascii="宋体" w:hAnsi="宋体" w:cs="Arial"/>
          <w:b/>
          <w:color w:val="auto"/>
          <w:kern w:val="0"/>
          <w:sz w:val="24"/>
          <w:highlight w:val="none"/>
        </w:rPr>
      </w:pPr>
      <w:r>
        <w:rPr>
          <w:rFonts w:hint="eastAsia" w:ascii="宋体" w:hAnsi="宋体" w:cs="宋体"/>
          <w:b/>
          <w:bCs/>
          <w:color w:val="auto"/>
          <w:sz w:val="24"/>
          <w:highlight w:val="none"/>
        </w:rPr>
        <w:t>第十</w:t>
      </w:r>
      <w:r>
        <w:rPr>
          <w:rFonts w:hint="eastAsia" w:ascii="宋体" w:hAnsi="宋体" w:cs="宋体"/>
          <w:b/>
          <w:bCs/>
          <w:color w:val="auto"/>
          <w:sz w:val="24"/>
          <w:highlight w:val="none"/>
          <w:lang w:val="en-US" w:eastAsia="zh-CN"/>
        </w:rPr>
        <w:t>五</w:t>
      </w:r>
      <w:r>
        <w:rPr>
          <w:rFonts w:hint="eastAsia" w:ascii="宋体" w:hAnsi="宋体" w:cs="宋体"/>
          <w:b/>
          <w:bCs/>
          <w:color w:val="auto"/>
          <w:sz w:val="24"/>
          <w:highlight w:val="none"/>
        </w:rPr>
        <w:t xml:space="preserve">条 </w:t>
      </w:r>
      <w:r>
        <w:rPr>
          <w:rFonts w:hint="eastAsia" w:ascii="宋体" w:hAnsi="宋体" w:cs="Arial"/>
          <w:b/>
          <w:color w:val="auto"/>
          <w:kern w:val="0"/>
          <w:sz w:val="24"/>
          <w:highlight w:val="none"/>
        </w:rPr>
        <w:t>合同生效及其它：</w:t>
      </w:r>
    </w:p>
    <w:p w14:paraId="07E3D1DA">
      <w:pPr>
        <w:pageBreakBefore w:val="0"/>
        <w:widowControl/>
        <w:kinsoku/>
        <w:wordWrap/>
        <w:overflowPunct/>
        <w:topLinePunct w:val="0"/>
        <w:autoSpaceDE/>
        <w:autoSpaceDN/>
        <w:bidi w:val="0"/>
        <w:adjustRightInd/>
        <w:snapToGrid w:val="0"/>
        <w:spacing w:line="400" w:lineRule="exact"/>
        <w:ind w:left="0" w:leftChars="0" w:right="0" w:rightChars="0" w:firstLine="480" w:firstLineChars="200"/>
        <w:jc w:val="left"/>
        <w:textAlignment w:val="auto"/>
        <w:rPr>
          <w:rFonts w:hint="eastAsia" w:ascii="宋体" w:hAnsi="宋体" w:cs="Arial"/>
          <w:color w:val="auto"/>
          <w:kern w:val="0"/>
          <w:sz w:val="24"/>
          <w:highlight w:val="none"/>
        </w:rPr>
      </w:pPr>
      <w:r>
        <w:rPr>
          <w:rFonts w:hint="eastAsia" w:ascii="宋体" w:hAnsi="宋体" w:cs="Arial"/>
          <w:color w:val="auto"/>
          <w:kern w:val="0"/>
          <w:sz w:val="24"/>
          <w:highlight w:val="none"/>
        </w:rPr>
        <w:t>1．合同经双方法定代表人或授权代表签字并加盖单位公章后生效。</w:t>
      </w:r>
    </w:p>
    <w:p w14:paraId="0E3EC40D">
      <w:pPr>
        <w:pageBreakBefore w:val="0"/>
        <w:widowControl/>
        <w:kinsoku/>
        <w:wordWrap/>
        <w:overflowPunct/>
        <w:topLinePunct w:val="0"/>
        <w:autoSpaceDE/>
        <w:autoSpaceDN/>
        <w:bidi w:val="0"/>
        <w:adjustRightInd/>
        <w:snapToGrid w:val="0"/>
        <w:spacing w:line="400" w:lineRule="exact"/>
        <w:ind w:left="0" w:leftChars="0" w:right="0" w:rightChars="0" w:firstLine="480" w:firstLineChars="200"/>
        <w:jc w:val="left"/>
        <w:textAlignment w:val="auto"/>
        <w:rPr>
          <w:rFonts w:hint="eastAsia" w:ascii="宋体" w:hAnsi="宋体" w:cs="Arial"/>
          <w:color w:val="auto"/>
          <w:kern w:val="0"/>
          <w:sz w:val="24"/>
          <w:highlight w:val="none"/>
        </w:rPr>
      </w:pPr>
      <w:r>
        <w:rPr>
          <w:rFonts w:hint="eastAsia" w:ascii="宋体" w:hAnsi="宋体" w:cs="Arial"/>
          <w:color w:val="auto"/>
          <w:kern w:val="0"/>
          <w:sz w:val="24"/>
          <w:highlight w:val="none"/>
        </w:rPr>
        <w:t>2．本合同未尽事宜，遵照</w:t>
      </w:r>
      <w:r>
        <w:rPr>
          <w:rFonts w:ascii="宋体" w:hAnsi="宋体" w:cs="宋体"/>
          <w:color w:val="auto"/>
          <w:sz w:val="24"/>
          <w:highlight w:val="none"/>
        </w:rPr>
        <w:t>《中华人民共和国民法典》</w:t>
      </w:r>
      <w:r>
        <w:rPr>
          <w:rFonts w:hint="eastAsia" w:ascii="宋体" w:hAnsi="宋体" w:cs="Arial"/>
          <w:color w:val="auto"/>
          <w:kern w:val="0"/>
          <w:sz w:val="24"/>
          <w:highlight w:val="none"/>
        </w:rPr>
        <w:t>有关条文执行。</w:t>
      </w:r>
    </w:p>
    <w:p w14:paraId="5B07034B">
      <w:pPr>
        <w:pageBreakBefore w:val="0"/>
        <w:widowControl/>
        <w:kinsoku/>
        <w:wordWrap/>
        <w:overflowPunct/>
        <w:topLinePunct w:val="0"/>
        <w:autoSpaceDE/>
        <w:autoSpaceDN/>
        <w:bidi w:val="0"/>
        <w:adjustRightInd/>
        <w:spacing w:line="400" w:lineRule="exact"/>
        <w:ind w:left="0" w:leftChars="0" w:right="0" w:rightChars="0" w:firstLine="482" w:firstLineChars="200"/>
        <w:jc w:val="left"/>
        <w:textAlignment w:val="auto"/>
        <w:rPr>
          <w:rFonts w:hint="eastAsia" w:ascii="宋体" w:hAnsi="宋体" w:cs="Arial"/>
          <w:bCs/>
          <w:color w:val="auto"/>
          <w:kern w:val="0"/>
          <w:sz w:val="24"/>
          <w:highlight w:val="none"/>
        </w:rPr>
      </w:pPr>
      <w:r>
        <w:rPr>
          <w:rFonts w:hint="eastAsia" w:ascii="宋体" w:hAnsi="宋体" w:cs="Arial"/>
          <w:b/>
          <w:bCs/>
          <w:color w:val="auto"/>
          <w:kern w:val="0"/>
          <w:sz w:val="24"/>
          <w:highlight w:val="none"/>
        </w:rPr>
        <w:t>第十</w:t>
      </w:r>
      <w:r>
        <w:rPr>
          <w:rFonts w:hint="eastAsia" w:ascii="宋体" w:hAnsi="宋体" w:cs="Arial"/>
          <w:b/>
          <w:bCs/>
          <w:color w:val="auto"/>
          <w:kern w:val="0"/>
          <w:sz w:val="24"/>
          <w:highlight w:val="none"/>
          <w:lang w:val="en-US" w:eastAsia="zh-CN"/>
        </w:rPr>
        <w:t>六</w:t>
      </w:r>
      <w:r>
        <w:rPr>
          <w:rFonts w:hint="eastAsia" w:ascii="宋体" w:hAnsi="宋体" w:cs="Arial"/>
          <w:b/>
          <w:bCs/>
          <w:color w:val="auto"/>
          <w:kern w:val="0"/>
          <w:sz w:val="24"/>
          <w:highlight w:val="none"/>
        </w:rPr>
        <w:t xml:space="preserve">条  </w:t>
      </w:r>
      <w:r>
        <w:rPr>
          <w:rFonts w:hint="eastAsia" w:ascii="宋体" w:hAnsi="宋体" w:cs="Arial"/>
          <w:b/>
          <w:color w:val="auto"/>
          <w:kern w:val="0"/>
          <w:sz w:val="24"/>
          <w:highlight w:val="none"/>
        </w:rPr>
        <w:t>合同份数：</w:t>
      </w:r>
      <w:r>
        <w:rPr>
          <w:rFonts w:hint="eastAsia" w:ascii="宋体" w:hAnsi="宋体" w:cs="Arial"/>
          <w:bCs/>
          <w:color w:val="auto"/>
          <w:kern w:val="0"/>
          <w:sz w:val="24"/>
          <w:highlight w:val="none"/>
        </w:rPr>
        <w:t>本合同一式</w:t>
      </w:r>
      <w:r>
        <w:rPr>
          <w:rFonts w:hint="eastAsia" w:ascii="宋体" w:hAnsi="宋体" w:cs="Arial"/>
          <w:bCs/>
          <w:color w:val="auto"/>
          <w:kern w:val="0"/>
          <w:sz w:val="24"/>
          <w:highlight w:val="none"/>
          <w:u w:val="single"/>
        </w:rPr>
        <w:t>五</w:t>
      </w:r>
      <w:r>
        <w:rPr>
          <w:rFonts w:hint="eastAsia" w:ascii="宋体" w:hAnsi="宋体" w:cs="Arial"/>
          <w:bCs/>
          <w:color w:val="auto"/>
          <w:kern w:val="0"/>
          <w:sz w:val="24"/>
          <w:highlight w:val="none"/>
        </w:rPr>
        <w:t>份，甲、乙双方各执</w:t>
      </w:r>
      <w:r>
        <w:rPr>
          <w:rFonts w:hint="eastAsia" w:ascii="宋体" w:hAnsi="宋体" w:cs="Arial"/>
          <w:bCs/>
          <w:color w:val="auto"/>
          <w:kern w:val="0"/>
          <w:sz w:val="24"/>
          <w:highlight w:val="none"/>
          <w:u w:val="single"/>
        </w:rPr>
        <w:t>贰</w:t>
      </w:r>
      <w:r>
        <w:rPr>
          <w:rFonts w:hint="eastAsia" w:ascii="宋体" w:hAnsi="宋体" w:cs="Arial"/>
          <w:bCs/>
          <w:color w:val="auto"/>
          <w:kern w:val="0"/>
          <w:sz w:val="24"/>
          <w:highlight w:val="none"/>
        </w:rPr>
        <w:t>份，招标代理公司鉴证及备案壹份，均具同等效力。</w:t>
      </w:r>
    </w:p>
    <w:p w14:paraId="4738B1FE">
      <w:pPr>
        <w:pageBreakBefore w:val="0"/>
        <w:kinsoku/>
        <w:wordWrap/>
        <w:overflowPunct/>
        <w:topLinePunct w:val="0"/>
        <w:autoSpaceDE/>
        <w:autoSpaceDN/>
        <w:bidi w:val="0"/>
        <w:adjustRightInd/>
        <w:spacing w:line="400" w:lineRule="exact"/>
        <w:ind w:left="0" w:leftChars="0" w:right="0" w:rightChars="0" w:firstLine="482" w:firstLineChars="200"/>
        <w:textAlignment w:val="auto"/>
        <w:rPr>
          <w:rFonts w:ascii="宋体" w:hAnsi="宋体" w:cs="宋体"/>
          <w:color w:val="auto"/>
          <w:sz w:val="24"/>
          <w:highlight w:val="none"/>
        </w:rPr>
      </w:pPr>
      <w:r>
        <w:rPr>
          <w:rFonts w:hint="eastAsia" w:ascii="宋体" w:hAnsi="宋体" w:cs="Arial"/>
          <w:b/>
          <w:color w:val="auto"/>
          <w:kern w:val="0"/>
          <w:sz w:val="24"/>
          <w:highlight w:val="none"/>
        </w:rPr>
        <w:t>第十</w:t>
      </w:r>
      <w:r>
        <w:rPr>
          <w:rFonts w:hint="eastAsia" w:ascii="宋体" w:hAnsi="宋体" w:cs="Arial"/>
          <w:b/>
          <w:color w:val="auto"/>
          <w:kern w:val="0"/>
          <w:sz w:val="24"/>
          <w:highlight w:val="none"/>
          <w:lang w:val="en-US" w:eastAsia="zh-CN"/>
        </w:rPr>
        <w:t>七</w:t>
      </w:r>
      <w:r>
        <w:rPr>
          <w:rFonts w:hint="eastAsia" w:ascii="宋体" w:hAnsi="宋体" w:cs="Arial"/>
          <w:b/>
          <w:color w:val="auto"/>
          <w:kern w:val="0"/>
          <w:sz w:val="24"/>
          <w:highlight w:val="none"/>
        </w:rPr>
        <w:t xml:space="preserve">条  </w:t>
      </w:r>
      <w:r>
        <w:rPr>
          <w:rFonts w:ascii="宋体" w:hAnsi="宋体" w:cs="宋体"/>
          <w:color w:val="auto"/>
          <w:sz w:val="24"/>
          <w:highlight w:val="none"/>
        </w:rPr>
        <w:t xml:space="preserve">其他补充条款: </w:t>
      </w:r>
      <w:r>
        <w:rPr>
          <w:rFonts w:hint="eastAsia" w:ascii="宋体" w:hAnsi="宋体" w:cs="宋体"/>
          <w:color w:val="auto"/>
          <w:sz w:val="24"/>
          <w:highlight w:val="none"/>
          <w:u w:val="single"/>
        </w:rPr>
        <w:t xml:space="preserve">                   </w:t>
      </w:r>
      <w:r>
        <w:rPr>
          <w:rFonts w:ascii="宋体" w:hAnsi="宋体" w:cs="宋体"/>
          <w:color w:val="auto"/>
          <w:sz w:val="24"/>
          <w:highlight w:val="none"/>
        </w:rPr>
        <w:t xml:space="preserve"> 。</w:t>
      </w:r>
    </w:p>
    <w:tbl>
      <w:tblPr>
        <w:tblStyle w:val="54"/>
        <w:tblW w:w="9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26"/>
        <w:gridCol w:w="4613"/>
      </w:tblGrid>
      <w:tr w14:paraId="033A3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5" w:hRule="atLeast"/>
          <w:jc w:val="center"/>
        </w:trPr>
        <w:tc>
          <w:tcPr>
            <w:tcW w:w="4626" w:type="dxa"/>
          </w:tcPr>
          <w:p w14:paraId="56B581C3">
            <w:pPr>
              <w:keepNext w:val="0"/>
              <w:keepLines w:val="0"/>
              <w:suppressLineNumbers w:val="0"/>
              <w:spacing w:before="0" w:beforeAutospacing="0" w:after="0" w:afterAutospacing="0" w:line="440" w:lineRule="exact"/>
              <w:ind w:left="0" w:right="-105" w:rightChars="-50"/>
              <w:jc w:val="center"/>
              <w:rPr>
                <w:rFonts w:hint="eastAsia" w:ascii="宋体" w:hAnsi="宋体" w:cs="宋体"/>
                <w:b/>
                <w:bCs/>
                <w:color w:val="auto"/>
                <w:sz w:val="24"/>
                <w:highlight w:val="none"/>
              </w:rPr>
            </w:pPr>
            <w:r>
              <w:rPr>
                <w:rFonts w:hint="eastAsia" w:ascii="宋体" w:hAnsi="宋体" w:cs="宋体"/>
                <w:b/>
                <w:bCs/>
                <w:color w:val="auto"/>
                <w:sz w:val="24"/>
                <w:highlight w:val="none"/>
              </w:rPr>
              <w:t>甲  方</w:t>
            </w:r>
          </w:p>
          <w:p w14:paraId="41877014">
            <w:pPr>
              <w:keepNext w:val="0"/>
              <w:keepLines w:val="0"/>
              <w:suppressLineNumbers w:val="0"/>
              <w:spacing w:before="0" w:beforeAutospacing="0" w:after="0" w:afterAutospacing="0" w:line="440" w:lineRule="exact"/>
              <w:ind w:left="-11" w:right="-105" w:rightChars="-50" w:firstLine="3"/>
              <w:rPr>
                <w:rFonts w:hint="eastAsia" w:ascii="宋体" w:hAnsi="宋体" w:cs="宋体"/>
                <w:color w:val="auto"/>
                <w:sz w:val="24"/>
                <w:highlight w:val="none"/>
              </w:rPr>
            </w:pPr>
            <w:r>
              <w:rPr>
                <w:rFonts w:hint="eastAsia" w:ascii="宋体" w:hAnsi="宋体" w:cs="宋体"/>
                <w:color w:val="auto"/>
                <w:sz w:val="24"/>
                <w:highlight w:val="none"/>
              </w:rPr>
              <w:t>单位名称（章）：</w:t>
            </w:r>
            <w:r>
              <w:rPr>
                <w:rFonts w:hint="eastAsia" w:ascii="宋体" w:hAnsi="宋体" w:cs="Times New Roman"/>
                <w:b/>
                <w:bCs/>
                <w:color w:val="auto"/>
                <w:sz w:val="24"/>
                <w:highlight w:val="none"/>
              </w:rPr>
              <w:t xml:space="preserve"> </w:t>
            </w:r>
          </w:p>
          <w:p w14:paraId="62518A2E">
            <w:pPr>
              <w:keepNext w:val="0"/>
              <w:keepLines w:val="0"/>
              <w:suppressLineNumbers w:val="0"/>
              <w:spacing w:before="0" w:beforeAutospacing="0" w:after="0" w:afterAutospacing="0" w:line="440" w:lineRule="exact"/>
              <w:ind w:left="-171"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单位地址：</w:t>
            </w:r>
            <w:r>
              <w:rPr>
                <w:rFonts w:hint="eastAsia" w:ascii="宋体" w:hAnsi="宋体" w:cs="Times New Roman"/>
                <w:b/>
                <w:bCs/>
                <w:color w:val="auto"/>
                <w:sz w:val="24"/>
                <w:highlight w:val="none"/>
              </w:rPr>
              <w:t xml:space="preserve"> </w:t>
            </w:r>
          </w:p>
          <w:p w14:paraId="73B144BC">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法定代表人或委托代理人（签字）：</w:t>
            </w:r>
          </w:p>
          <w:p w14:paraId="2D3FAB63">
            <w:pPr>
              <w:pStyle w:val="53"/>
              <w:keepNext w:val="0"/>
              <w:keepLines w:val="0"/>
              <w:suppressLineNumbers w:val="0"/>
              <w:spacing w:before="0" w:beforeAutospacing="0" w:after="0" w:afterAutospacing="0" w:line="440" w:lineRule="exact"/>
              <w:ind w:left="0" w:right="0" w:firstLine="480"/>
              <w:rPr>
                <w:rFonts w:hint="eastAsia" w:ascii="Times New Roman" w:hAnsi="宋体" w:cs="宋体"/>
                <w:color w:val="auto"/>
                <w:sz w:val="24"/>
                <w:szCs w:val="24"/>
                <w:highlight w:val="none"/>
              </w:rPr>
            </w:pPr>
          </w:p>
          <w:p w14:paraId="645558D4">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电 话：</w:t>
            </w:r>
          </w:p>
          <w:p w14:paraId="120B7AEC">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开户银行：</w:t>
            </w:r>
          </w:p>
          <w:p w14:paraId="20ECF191">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账 号：</w:t>
            </w:r>
          </w:p>
          <w:p w14:paraId="76275A32">
            <w:pPr>
              <w:keepNext w:val="0"/>
              <w:keepLines w:val="0"/>
              <w:suppressLineNumbers w:val="0"/>
              <w:spacing w:before="0" w:beforeAutospacing="0" w:after="0" w:afterAutospacing="0" w:line="440" w:lineRule="exact"/>
              <w:ind w:left="-170" w:right="-105" w:rightChars="-50" w:firstLine="163" w:firstLineChars="68"/>
              <w:jc w:val="left"/>
              <w:rPr>
                <w:rFonts w:hint="eastAsia" w:ascii="宋体" w:hAnsi="宋体" w:cs="宋体"/>
                <w:color w:val="auto"/>
                <w:sz w:val="24"/>
                <w:highlight w:val="none"/>
              </w:rPr>
            </w:pPr>
          </w:p>
        </w:tc>
        <w:tc>
          <w:tcPr>
            <w:tcW w:w="4613" w:type="dxa"/>
          </w:tcPr>
          <w:p w14:paraId="1369E031">
            <w:pPr>
              <w:keepNext w:val="0"/>
              <w:keepLines w:val="0"/>
              <w:suppressLineNumbers w:val="0"/>
              <w:spacing w:before="0" w:beforeAutospacing="0" w:after="0" w:afterAutospacing="0" w:line="440" w:lineRule="exact"/>
              <w:ind w:left="0" w:right="-105" w:rightChars="-50"/>
              <w:jc w:val="center"/>
              <w:rPr>
                <w:rFonts w:hint="eastAsia" w:ascii="宋体" w:hAnsi="宋体" w:cs="宋体"/>
                <w:b/>
                <w:bCs/>
                <w:color w:val="auto"/>
                <w:sz w:val="24"/>
                <w:highlight w:val="none"/>
              </w:rPr>
            </w:pPr>
            <w:r>
              <w:rPr>
                <w:rFonts w:hint="eastAsia" w:ascii="宋体" w:hAnsi="宋体" w:cs="宋体"/>
                <w:b/>
                <w:bCs/>
                <w:color w:val="auto"/>
                <w:sz w:val="24"/>
                <w:highlight w:val="none"/>
              </w:rPr>
              <w:t>乙  方</w:t>
            </w:r>
          </w:p>
          <w:p w14:paraId="49BE0AED">
            <w:pPr>
              <w:keepNext w:val="0"/>
              <w:keepLines w:val="0"/>
              <w:suppressLineNumbers w:val="0"/>
              <w:spacing w:before="0" w:beforeAutospacing="0" w:after="0" w:afterAutospacing="0" w:line="440" w:lineRule="exact"/>
              <w:ind w:left="-11" w:right="-105" w:rightChars="-50" w:firstLine="3"/>
              <w:rPr>
                <w:rFonts w:hint="eastAsia" w:ascii="宋体" w:hAnsi="宋体" w:cs="宋体"/>
                <w:color w:val="auto"/>
                <w:sz w:val="24"/>
                <w:highlight w:val="none"/>
              </w:rPr>
            </w:pPr>
            <w:r>
              <w:rPr>
                <w:rFonts w:hint="eastAsia" w:ascii="宋体" w:hAnsi="宋体" w:cs="宋体"/>
                <w:color w:val="auto"/>
                <w:sz w:val="24"/>
                <w:highlight w:val="none"/>
              </w:rPr>
              <w:t>单位名称（章）：</w:t>
            </w:r>
            <w:r>
              <w:rPr>
                <w:rFonts w:hint="eastAsia" w:ascii="宋体" w:hAnsi="宋体" w:cs="Times New Roman"/>
                <w:b/>
                <w:bCs/>
                <w:color w:val="auto"/>
                <w:sz w:val="24"/>
                <w:highlight w:val="none"/>
              </w:rPr>
              <w:t xml:space="preserve"> </w:t>
            </w:r>
          </w:p>
          <w:p w14:paraId="3F01B2C3">
            <w:pPr>
              <w:keepNext w:val="0"/>
              <w:keepLines w:val="0"/>
              <w:suppressLineNumbers w:val="0"/>
              <w:spacing w:before="0" w:beforeAutospacing="0" w:after="0" w:afterAutospacing="0" w:line="440" w:lineRule="exact"/>
              <w:ind w:left="-11" w:right="-105" w:rightChars="-50" w:firstLine="3"/>
              <w:rPr>
                <w:rFonts w:hint="eastAsia" w:ascii="宋体" w:hAnsi="宋体" w:cs="宋体"/>
                <w:b/>
                <w:bCs/>
                <w:color w:val="auto"/>
                <w:sz w:val="24"/>
                <w:highlight w:val="none"/>
              </w:rPr>
            </w:pPr>
            <w:r>
              <w:rPr>
                <w:rFonts w:hint="eastAsia" w:ascii="宋体" w:hAnsi="宋体" w:cs="宋体"/>
                <w:color w:val="auto"/>
                <w:sz w:val="24"/>
                <w:highlight w:val="none"/>
              </w:rPr>
              <w:t>单位地址：</w:t>
            </w:r>
            <w:r>
              <w:rPr>
                <w:rFonts w:hint="eastAsia" w:ascii="宋体" w:hAnsi="宋体" w:cs="宋体"/>
                <w:b/>
                <w:bCs/>
                <w:color w:val="auto"/>
                <w:sz w:val="24"/>
                <w:highlight w:val="none"/>
              </w:rPr>
              <w:t xml:space="preserve"> </w:t>
            </w:r>
          </w:p>
          <w:p w14:paraId="43D58D40">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法定代表人或委托代理人（签字）：</w:t>
            </w:r>
          </w:p>
          <w:p w14:paraId="2F277902">
            <w:pPr>
              <w:pStyle w:val="53"/>
              <w:keepNext w:val="0"/>
              <w:keepLines w:val="0"/>
              <w:suppressLineNumbers w:val="0"/>
              <w:spacing w:before="0" w:beforeAutospacing="0" w:after="0" w:afterAutospacing="0" w:line="440" w:lineRule="exact"/>
              <w:ind w:left="0" w:right="0" w:firstLine="480"/>
              <w:rPr>
                <w:rFonts w:hint="eastAsia" w:ascii="Times New Roman" w:hAnsi="宋体" w:cs="宋体"/>
                <w:color w:val="auto"/>
                <w:sz w:val="24"/>
                <w:szCs w:val="24"/>
                <w:highlight w:val="none"/>
              </w:rPr>
            </w:pPr>
          </w:p>
          <w:p w14:paraId="77D3A5E2">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 xml:space="preserve">电 话： </w:t>
            </w:r>
          </w:p>
          <w:p w14:paraId="5716DF37">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 xml:space="preserve">开户银行： </w:t>
            </w:r>
          </w:p>
          <w:p w14:paraId="28853865">
            <w:pPr>
              <w:keepNext w:val="0"/>
              <w:keepLines w:val="0"/>
              <w:suppressLineNumbers w:val="0"/>
              <w:spacing w:before="0" w:beforeAutospacing="0" w:after="0" w:afterAutospacing="0"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 xml:space="preserve">账 号： </w:t>
            </w:r>
          </w:p>
          <w:p w14:paraId="6DFD7BEF">
            <w:pPr>
              <w:keepNext w:val="0"/>
              <w:keepLines w:val="0"/>
              <w:suppressLineNumbers w:val="0"/>
              <w:spacing w:before="0" w:beforeAutospacing="0" w:after="0" w:afterAutospacing="0" w:line="440" w:lineRule="exact"/>
              <w:ind w:left="-170" w:right="-105" w:rightChars="-50" w:firstLine="146" w:firstLineChars="61"/>
              <w:rPr>
                <w:rFonts w:hint="eastAsia" w:ascii="宋体" w:hAnsi="宋体" w:cs="宋体"/>
                <w:color w:val="auto"/>
                <w:sz w:val="24"/>
                <w:highlight w:val="none"/>
              </w:rPr>
            </w:pPr>
          </w:p>
        </w:tc>
      </w:tr>
    </w:tbl>
    <w:p w14:paraId="474B8232">
      <w:pPr>
        <w:spacing w:line="440" w:lineRule="exact"/>
        <w:ind w:left="-170" w:right="-105" w:rightChars="-50" w:firstLine="2320" w:firstLineChars="967"/>
        <w:rPr>
          <w:rFonts w:hint="eastAsia" w:ascii="宋体" w:hAnsi="宋体" w:cs="宋体"/>
          <w:color w:val="auto"/>
          <w:sz w:val="24"/>
          <w:highlight w:val="none"/>
        </w:rPr>
      </w:pPr>
    </w:p>
    <w:p w14:paraId="0ABE6BA9">
      <w:pPr>
        <w:spacing w:line="400" w:lineRule="exact"/>
        <w:ind w:firstLine="960" w:firstLineChars="400"/>
        <w:rPr>
          <w:rFonts w:hint="eastAsia" w:ascii="宋体" w:hAnsi="宋体" w:cs="宋体"/>
          <w:color w:val="auto"/>
          <w:sz w:val="24"/>
          <w:szCs w:val="24"/>
          <w:highlight w:val="none"/>
        </w:rPr>
      </w:pPr>
    </w:p>
    <w:p w14:paraId="28205FFC">
      <w:pPr>
        <w:spacing w:line="400" w:lineRule="exact"/>
        <w:ind w:firstLine="960" w:firstLineChars="4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签约时间：         </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签约地点：</w:t>
      </w:r>
    </w:p>
    <w:p w14:paraId="20236833">
      <w:pPr>
        <w:spacing w:line="240" w:lineRule="auto"/>
        <w:ind w:firstLine="0" w:firstLineChars="0"/>
        <w:rPr>
          <w:rFonts w:hint="eastAsia" w:ascii="宋体" w:hAnsi="宋体" w:cs="宋体"/>
          <w:color w:val="auto"/>
          <w:sz w:val="24"/>
          <w:szCs w:val="28"/>
          <w:highlight w:val="none"/>
          <w:lang w:eastAsia="zh-CN"/>
        </w:rPr>
      </w:pPr>
      <w:r>
        <w:rPr>
          <w:rFonts w:hint="eastAsia" w:ascii="宋体" w:hAnsi="宋体" w:cs="宋体"/>
          <w:color w:val="auto"/>
          <w:sz w:val="24"/>
          <w:szCs w:val="28"/>
          <w:highlight w:val="none"/>
          <w:lang w:eastAsia="zh-CN"/>
        </w:rPr>
        <w:br w:type="page"/>
      </w:r>
    </w:p>
    <w:p w14:paraId="21BF786D">
      <w:pPr>
        <w:pStyle w:val="2"/>
        <w:spacing w:line="360" w:lineRule="auto"/>
        <w:jc w:val="center"/>
        <w:rPr>
          <w:rFonts w:ascii="宋体" w:hAnsi="宋体"/>
          <w:b w:val="0"/>
          <w:color w:val="auto"/>
          <w:sz w:val="24"/>
          <w:highlight w:val="none"/>
        </w:rPr>
      </w:pPr>
      <w:bookmarkStart w:id="466" w:name="_Toc10096"/>
      <w:bookmarkStart w:id="467" w:name="_Toc2043"/>
      <w:bookmarkStart w:id="468" w:name="_Toc23553"/>
      <w:bookmarkStart w:id="469" w:name="_Toc10817"/>
      <w:bookmarkStart w:id="470" w:name="_Toc31227"/>
      <w:bookmarkStart w:id="471" w:name="_Toc29343"/>
      <w:bookmarkStart w:id="472" w:name="_Toc1096"/>
      <w:bookmarkStart w:id="473" w:name="_Toc26731"/>
      <w:bookmarkStart w:id="474" w:name="_Toc22229"/>
      <w:bookmarkStart w:id="475" w:name="_Toc26624"/>
      <w:bookmarkStart w:id="476" w:name="_Toc31833"/>
      <w:bookmarkStart w:id="477" w:name="_Toc24124"/>
      <w:bookmarkStart w:id="478" w:name="_Toc23075"/>
      <w:bookmarkStart w:id="479" w:name="_Toc21549"/>
      <w:bookmarkStart w:id="480" w:name="_Toc27150"/>
      <w:bookmarkStart w:id="481" w:name="_Toc21393"/>
      <w:bookmarkStart w:id="482" w:name="_Toc29138"/>
      <w:bookmarkStart w:id="483" w:name="_Toc27913"/>
      <w:r>
        <w:rPr>
          <w:rFonts w:hint="eastAsia"/>
          <w:color w:val="auto"/>
          <w:highlight w:val="none"/>
        </w:rPr>
        <w:t>第七章  投标文件格式</w:t>
      </w:r>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Start w:id="484" w:name="_Toc3737"/>
    </w:p>
    <w:p w14:paraId="75321100">
      <w:pPr>
        <w:rPr>
          <w:rFonts w:hint="eastAsia" w:ascii="宋体" w:hAnsi="宋体" w:cs="宋体"/>
          <w:color w:val="auto"/>
          <w:sz w:val="28"/>
          <w:szCs w:val="28"/>
          <w:highlight w:val="none"/>
        </w:rPr>
      </w:pPr>
      <w:bookmarkStart w:id="485" w:name="_Toc7840"/>
      <w:bookmarkStart w:id="486" w:name="_Toc27837"/>
      <w:bookmarkStart w:id="487" w:name="_Toc17813"/>
      <w:r>
        <w:rPr>
          <w:rFonts w:hint="eastAsia" w:ascii="宋体" w:hAnsi="宋体" w:cs="宋体"/>
          <w:color w:val="auto"/>
          <w:sz w:val="28"/>
          <w:szCs w:val="28"/>
          <w:highlight w:val="none"/>
        </w:rPr>
        <w:t>附件1：所有投标文件的外包装封面格式</w:t>
      </w:r>
      <w:bookmarkEnd w:id="484"/>
      <w:bookmarkEnd w:id="485"/>
      <w:bookmarkEnd w:id="486"/>
      <w:bookmarkEnd w:id="487"/>
    </w:p>
    <w:p w14:paraId="3D8C81E1">
      <w:pPr>
        <w:snapToGrid w:val="0"/>
        <w:spacing w:before="120" w:beforeLines="50" w:after="50" w:line="276" w:lineRule="auto"/>
        <w:jc w:val="center"/>
        <w:rPr>
          <w:rFonts w:hint="eastAsia" w:ascii="宋体" w:hAnsi="宋体" w:cs="宋体"/>
          <w:bCs/>
          <w:color w:val="auto"/>
          <w:sz w:val="30"/>
          <w:szCs w:val="30"/>
          <w:highlight w:val="none"/>
        </w:rPr>
      </w:pPr>
    </w:p>
    <w:p w14:paraId="74BCF356">
      <w:pPr>
        <w:snapToGrid w:val="0"/>
        <w:spacing w:before="120" w:beforeLines="50" w:after="50" w:line="276" w:lineRule="auto"/>
        <w:jc w:val="center"/>
        <w:rPr>
          <w:rFonts w:hint="eastAsia" w:ascii="宋体" w:hAnsi="宋体" w:cs="宋体"/>
          <w:bCs/>
          <w:color w:val="auto"/>
          <w:sz w:val="30"/>
          <w:szCs w:val="30"/>
          <w:highlight w:val="none"/>
        </w:rPr>
      </w:pPr>
    </w:p>
    <w:p w14:paraId="6AE8EEFC">
      <w:pPr>
        <w:snapToGrid w:val="0"/>
        <w:spacing w:before="120" w:beforeLines="50" w:after="50" w:line="276" w:lineRule="auto"/>
        <w:jc w:val="center"/>
        <w:rPr>
          <w:rFonts w:hint="eastAsia" w:ascii="宋体" w:hAnsi="宋体" w:cs="宋体"/>
          <w:bCs/>
          <w:color w:val="auto"/>
          <w:sz w:val="30"/>
          <w:szCs w:val="30"/>
          <w:highlight w:val="none"/>
          <w:lang w:eastAsia="zh-CN"/>
        </w:rPr>
      </w:pPr>
      <w:r>
        <w:rPr>
          <w:rFonts w:hint="eastAsia" w:ascii="宋体" w:hAnsi="宋体" w:cs="宋体"/>
          <w:bCs/>
          <w:color w:val="auto"/>
          <w:sz w:val="30"/>
          <w:szCs w:val="30"/>
          <w:highlight w:val="none"/>
          <w:lang w:eastAsia="zh-CN"/>
        </w:rPr>
        <w:t>磐安县中医院互联网医院中医药综合信息平台项目</w:t>
      </w:r>
    </w:p>
    <w:p w14:paraId="616F58A7">
      <w:pPr>
        <w:snapToGrid w:val="0"/>
        <w:spacing w:before="120" w:beforeLines="50" w:after="50" w:line="276" w:lineRule="auto"/>
        <w:jc w:val="center"/>
        <w:rPr>
          <w:rFonts w:ascii="宋体" w:hAnsi="宋体"/>
          <w:bCs/>
          <w:color w:val="auto"/>
          <w:sz w:val="24"/>
          <w:szCs w:val="20"/>
          <w:highlight w:val="none"/>
        </w:rPr>
      </w:pPr>
      <w:r>
        <w:rPr>
          <w:rFonts w:hint="eastAsia" w:ascii="宋体" w:hAnsi="宋体"/>
          <w:bCs/>
          <w:color w:val="auto"/>
          <w:sz w:val="24"/>
          <w:highlight w:val="none"/>
        </w:rPr>
        <w:t>投标文件</w:t>
      </w:r>
    </w:p>
    <w:p w14:paraId="2F4EA209">
      <w:pPr>
        <w:snapToGrid w:val="0"/>
        <w:spacing w:before="120" w:beforeLines="50" w:after="50" w:line="276" w:lineRule="auto"/>
        <w:rPr>
          <w:rFonts w:ascii="宋体" w:hAnsi="宋体"/>
          <w:bCs/>
          <w:color w:val="auto"/>
          <w:sz w:val="24"/>
          <w:szCs w:val="20"/>
          <w:highlight w:val="none"/>
        </w:rPr>
      </w:pPr>
    </w:p>
    <w:p w14:paraId="031517C5">
      <w:pPr>
        <w:snapToGrid w:val="0"/>
        <w:spacing w:before="120" w:beforeLines="50" w:after="50" w:line="276" w:lineRule="auto"/>
        <w:ind w:left="2267" w:leftChars="508" w:hanging="1200" w:hangingChars="500"/>
        <w:rPr>
          <w:rFonts w:ascii="宋体" w:hAnsi="宋体"/>
          <w:bCs/>
          <w:color w:val="auto"/>
          <w:sz w:val="24"/>
          <w:highlight w:val="none"/>
        </w:rPr>
      </w:pPr>
      <w:r>
        <w:rPr>
          <w:rFonts w:hint="eastAsia" w:ascii="宋体" w:hAnsi="宋体"/>
          <w:bCs/>
          <w:color w:val="auto"/>
          <w:sz w:val="24"/>
          <w:highlight w:val="none"/>
        </w:rPr>
        <w:t>项目名称：</w:t>
      </w:r>
    </w:p>
    <w:p w14:paraId="4109D578">
      <w:pPr>
        <w:snapToGrid w:val="0"/>
        <w:spacing w:before="120" w:beforeLines="50" w:after="50" w:line="276" w:lineRule="auto"/>
        <w:ind w:firstLine="1068" w:firstLineChars="445"/>
        <w:rPr>
          <w:rFonts w:ascii="宋体" w:hAnsi="宋体"/>
          <w:bCs/>
          <w:color w:val="auto"/>
          <w:sz w:val="24"/>
          <w:highlight w:val="none"/>
        </w:rPr>
      </w:pPr>
      <w:r>
        <w:rPr>
          <w:rFonts w:hint="eastAsia" w:ascii="宋体" w:hAnsi="宋体"/>
          <w:bCs/>
          <w:color w:val="auto"/>
          <w:sz w:val="24"/>
          <w:highlight w:val="none"/>
        </w:rPr>
        <w:t>项目编号：</w:t>
      </w:r>
    </w:p>
    <w:p w14:paraId="0BC97CA2">
      <w:pPr>
        <w:snapToGrid w:val="0"/>
        <w:spacing w:before="120" w:beforeLines="50" w:after="50" w:line="276" w:lineRule="auto"/>
        <w:ind w:firstLine="1068" w:firstLineChars="445"/>
        <w:rPr>
          <w:rFonts w:ascii="宋体" w:hAnsi="宋体"/>
          <w:bCs/>
          <w:color w:val="auto"/>
          <w:sz w:val="24"/>
          <w:highlight w:val="none"/>
        </w:rPr>
      </w:pPr>
      <w:r>
        <w:rPr>
          <w:rFonts w:hint="eastAsia" w:ascii="宋体" w:hAnsi="宋体"/>
          <w:bCs/>
          <w:color w:val="auto"/>
          <w:sz w:val="24"/>
          <w:highlight w:val="none"/>
        </w:rPr>
        <w:t>投标文件名称：资格审查文件/技术商务文件/报价文件/电子备份文件......</w:t>
      </w:r>
    </w:p>
    <w:p w14:paraId="6FDB9E7B">
      <w:pPr>
        <w:snapToGrid w:val="0"/>
        <w:spacing w:before="120" w:beforeLines="50" w:after="50" w:line="276" w:lineRule="auto"/>
        <w:ind w:firstLine="1068" w:firstLineChars="445"/>
        <w:rPr>
          <w:rFonts w:ascii="宋体" w:hAnsi="宋体"/>
          <w:bCs/>
          <w:color w:val="auto"/>
          <w:sz w:val="24"/>
          <w:highlight w:val="none"/>
        </w:rPr>
      </w:pPr>
      <w:r>
        <w:rPr>
          <w:rFonts w:hint="eastAsia" w:ascii="宋体" w:hAnsi="宋体"/>
          <w:bCs/>
          <w:color w:val="auto"/>
          <w:sz w:val="24"/>
          <w:highlight w:val="none"/>
        </w:rPr>
        <w:t>投标人名称：</w:t>
      </w:r>
    </w:p>
    <w:p w14:paraId="77CF557E">
      <w:pPr>
        <w:snapToGrid w:val="0"/>
        <w:spacing w:before="120" w:beforeLines="50" w:after="50" w:line="276" w:lineRule="auto"/>
        <w:ind w:firstLine="1068" w:firstLineChars="445"/>
        <w:rPr>
          <w:rFonts w:ascii="宋体" w:hAnsi="宋体"/>
          <w:bCs/>
          <w:color w:val="auto"/>
          <w:sz w:val="24"/>
          <w:highlight w:val="none"/>
        </w:rPr>
      </w:pPr>
      <w:r>
        <w:rPr>
          <w:rFonts w:hint="eastAsia" w:ascii="宋体" w:hAnsi="宋体"/>
          <w:bCs/>
          <w:color w:val="auto"/>
          <w:sz w:val="24"/>
          <w:highlight w:val="none"/>
        </w:rPr>
        <w:t>投标人地址：</w:t>
      </w:r>
    </w:p>
    <w:p w14:paraId="141F837D">
      <w:pPr>
        <w:snapToGrid w:val="0"/>
        <w:spacing w:before="120" w:beforeLines="50" w:after="50" w:line="276" w:lineRule="auto"/>
        <w:ind w:firstLine="1068" w:firstLineChars="445"/>
        <w:rPr>
          <w:rFonts w:ascii="宋体" w:hAnsi="宋体"/>
          <w:bCs/>
          <w:color w:val="auto"/>
          <w:sz w:val="24"/>
          <w:highlight w:val="none"/>
        </w:rPr>
      </w:pPr>
      <w:r>
        <w:rPr>
          <w:rFonts w:hint="eastAsia" w:ascii="宋体" w:hAnsi="宋体"/>
          <w:bCs/>
          <w:color w:val="auto"/>
          <w:sz w:val="24"/>
          <w:highlight w:val="none"/>
        </w:rPr>
        <w:t>在年月日时分之前不得启封</w:t>
      </w:r>
    </w:p>
    <w:p w14:paraId="4A065DB2">
      <w:pPr>
        <w:snapToGrid w:val="0"/>
        <w:spacing w:before="120" w:beforeLines="50" w:after="50" w:line="276" w:lineRule="auto"/>
        <w:ind w:firstLine="4080" w:firstLineChars="1700"/>
        <w:rPr>
          <w:rFonts w:ascii="宋体" w:hAnsi="宋体"/>
          <w:bCs/>
          <w:color w:val="auto"/>
          <w:sz w:val="24"/>
          <w:szCs w:val="20"/>
          <w:highlight w:val="none"/>
        </w:rPr>
      </w:pPr>
    </w:p>
    <w:p w14:paraId="6F305B8B">
      <w:pPr>
        <w:snapToGrid w:val="0"/>
        <w:spacing w:before="120" w:beforeLines="50" w:after="50" w:line="276" w:lineRule="auto"/>
        <w:ind w:firstLine="645"/>
        <w:jc w:val="center"/>
        <w:rPr>
          <w:rFonts w:hint="eastAsia" w:ascii="宋体" w:hAnsi="宋体"/>
          <w:bCs/>
          <w:color w:val="auto"/>
          <w:sz w:val="24"/>
          <w:highlight w:val="none"/>
        </w:rPr>
      </w:pPr>
      <w:r>
        <w:rPr>
          <w:rFonts w:hint="eastAsia" w:ascii="宋体" w:hAnsi="宋体"/>
          <w:bCs/>
          <w:color w:val="auto"/>
          <w:sz w:val="24"/>
          <w:highlight w:val="none"/>
        </w:rPr>
        <w:t>年   月    日</w:t>
      </w:r>
    </w:p>
    <w:p w14:paraId="4AF06B2A">
      <w:pPr>
        <w:snapToGrid w:val="0"/>
        <w:spacing w:before="120" w:beforeLines="50" w:after="50" w:line="276" w:lineRule="auto"/>
        <w:outlineLvl w:val="1"/>
        <w:rPr>
          <w:rFonts w:hint="eastAsia" w:ascii="宋体" w:hAnsi="宋体"/>
          <w:b/>
          <w:color w:val="auto"/>
          <w:sz w:val="24"/>
          <w:highlight w:val="none"/>
        </w:rPr>
        <w:sectPr>
          <w:pgSz w:w="11906" w:h="16838"/>
          <w:pgMar w:top="1440" w:right="1106" w:bottom="1440" w:left="1440" w:header="851" w:footer="992" w:gutter="0"/>
          <w:cols w:space="720" w:num="1"/>
          <w:docGrid w:linePitch="312" w:charSpace="0"/>
        </w:sectPr>
      </w:pPr>
      <w:bookmarkStart w:id="488" w:name="_Toc2787"/>
      <w:bookmarkStart w:id="489" w:name="_Toc16464"/>
      <w:bookmarkStart w:id="490" w:name="_Toc9790"/>
      <w:bookmarkStart w:id="491" w:name="_Toc10176"/>
    </w:p>
    <w:p w14:paraId="37FA1EE5">
      <w:pPr>
        <w:rPr>
          <w:rFonts w:hint="eastAsia" w:ascii="宋体" w:hAnsi="宋体" w:cs="宋体"/>
          <w:color w:val="auto"/>
          <w:sz w:val="28"/>
          <w:szCs w:val="28"/>
          <w:highlight w:val="none"/>
        </w:rPr>
      </w:pPr>
      <w:r>
        <w:rPr>
          <w:rFonts w:hint="eastAsia" w:ascii="宋体" w:hAnsi="宋体" w:cs="宋体"/>
          <w:color w:val="auto"/>
          <w:sz w:val="28"/>
          <w:szCs w:val="28"/>
          <w:highlight w:val="none"/>
        </w:rPr>
        <w:t>附件2：所有投标文件封面格式</w:t>
      </w:r>
      <w:bookmarkEnd w:id="488"/>
      <w:bookmarkEnd w:id="489"/>
      <w:bookmarkEnd w:id="490"/>
      <w:bookmarkEnd w:id="491"/>
    </w:p>
    <w:p w14:paraId="4E0D647A">
      <w:pPr>
        <w:snapToGrid w:val="0"/>
        <w:spacing w:before="120" w:beforeLines="50" w:after="50" w:line="276" w:lineRule="auto"/>
        <w:jc w:val="center"/>
        <w:outlineLvl w:val="1"/>
        <w:rPr>
          <w:rFonts w:hint="eastAsia" w:ascii="宋体" w:hAnsi="宋体" w:cs="宋体"/>
          <w:bCs/>
          <w:color w:val="auto"/>
          <w:sz w:val="30"/>
          <w:szCs w:val="30"/>
          <w:highlight w:val="none"/>
        </w:rPr>
      </w:pPr>
      <w:r>
        <w:rPr>
          <w:rFonts w:hint="eastAsia" w:ascii="宋体" w:hAnsi="宋体" w:cs="宋体"/>
          <w:bCs/>
          <w:color w:val="auto"/>
          <w:sz w:val="30"/>
          <w:szCs w:val="30"/>
          <w:highlight w:val="none"/>
        </w:rPr>
        <w:t xml:space="preserve">            </w:t>
      </w:r>
    </w:p>
    <w:p w14:paraId="4AF28CE4">
      <w:pPr>
        <w:snapToGrid w:val="0"/>
        <w:spacing w:before="120" w:beforeLines="50" w:after="50" w:line="276" w:lineRule="auto"/>
        <w:jc w:val="center"/>
        <w:outlineLvl w:val="1"/>
        <w:rPr>
          <w:rFonts w:hint="eastAsia" w:ascii="宋体" w:hAnsi="宋体" w:cs="宋体"/>
          <w:bCs/>
          <w:color w:val="auto"/>
          <w:sz w:val="30"/>
          <w:szCs w:val="30"/>
          <w:highlight w:val="none"/>
        </w:rPr>
      </w:pPr>
    </w:p>
    <w:p w14:paraId="103B0DF8">
      <w:pPr>
        <w:snapToGrid w:val="0"/>
        <w:spacing w:before="120" w:beforeLines="50" w:after="50" w:line="276" w:lineRule="auto"/>
        <w:jc w:val="center"/>
        <w:outlineLvl w:val="1"/>
        <w:rPr>
          <w:rFonts w:hint="eastAsia" w:ascii="宋体" w:hAnsi="宋体" w:cs="宋体"/>
          <w:bCs/>
          <w:color w:val="auto"/>
          <w:sz w:val="30"/>
          <w:szCs w:val="30"/>
          <w:highlight w:val="none"/>
        </w:rPr>
      </w:pPr>
    </w:p>
    <w:p w14:paraId="1C8383BE">
      <w:pPr>
        <w:snapToGrid w:val="0"/>
        <w:spacing w:before="120" w:beforeLines="50" w:after="50" w:line="276" w:lineRule="auto"/>
        <w:jc w:val="center"/>
        <w:outlineLvl w:val="1"/>
        <w:rPr>
          <w:rFonts w:hint="eastAsia" w:ascii="宋体" w:hAnsi="宋体" w:cs="宋体"/>
          <w:b/>
          <w:color w:val="auto"/>
          <w:sz w:val="24"/>
          <w:highlight w:val="none"/>
        </w:rPr>
      </w:pPr>
      <w:r>
        <w:rPr>
          <w:rFonts w:hint="eastAsia" w:ascii="宋体" w:hAnsi="宋体" w:cs="宋体"/>
          <w:bCs/>
          <w:color w:val="auto"/>
          <w:sz w:val="30"/>
          <w:szCs w:val="30"/>
          <w:highlight w:val="none"/>
        </w:rPr>
        <w:t xml:space="preserve">                  </w:t>
      </w:r>
      <w:r>
        <w:rPr>
          <w:rFonts w:hint="eastAsia" w:ascii="宋体" w:hAnsi="宋体" w:cs="宋体"/>
          <w:b/>
          <w:color w:val="auto"/>
          <w:sz w:val="24"/>
          <w:highlight w:val="none"/>
        </w:rPr>
        <w:t xml:space="preserve"> 正本/副本</w:t>
      </w:r>
    </w:p>
    <w:p w14:paraId="61DE61B4">
      <w:pPr>
        <w:snapToGrid w:val="0"/>
        <w:spacing w:before="120" w:beforeLines="50" w:after="50" w:line="276" w:lineRule="auto"/>
        <w:ind w:firstLine="1335" w:firstLineChars="445"/>
        <w:rPr>
          <w:rFonts w:hint="eastAsia" w:ascii="宋体" w:hAnsi="宋体" w:cs="宋体"/>
          <w:bCs/>
          <w:color w:val="auto"/>
          <w:sz w:val="30"/>
          <w:szCs w:val="30"/>
          <w:highlight w:val="none"/>
          <w:lang w:eastAsia="zh-CN"/>
        </w:rPr>
      </w:pPr>
      <w:r>
        <w:rPr>
          <w:rFonts w:hint="eastAsia" w:ascii="宋体" w:hAnsi="宋体" w:cs="宋体"/>
          <w:bCs/>
          <w:color w:val="auto"/>
          <w:sz w:val="30"/>
          <w:szCs w:val="30"/>
          <w:highlight w:val="none"/>
          <w:lang w:eastAsia="zh-CN"/>
        </w:rPr>
        <w:t>磐安县中医院互联网医院中医药综合信息平台项目</w:t>
      </w:r>
    </w:p>
    <w:p w14:paraId="5A19F483">
      <w:pPr>
        <w:snapToGrid w:val="0"/>
        <w:spacing w:before="120" w:beforeLines="50" w:after="50" w:line="276" w:lineRule="auto"/>
        <w:ind w:firstLine="1068" w:firstLineChars="445"/>
        <w:rPr>
          <w:rFonts w:ascii="宋体" w:hAnsi="宋体"/>
          <w:bCs/>
          <w:color w:val="auto"/>
          <w:sz w:val="24"/>
          <w:highlight w:val="none"/>
        </w:rPr>
      </w:pPr>
      <w:r>
        <w:rPr>
          <w:rFonts w:hint="eastAsia" w:ascii="宋体" w:hAnsi="宋体"/>
          <w:bCs/>
          <w:color w:val="auto"/>
          <w:sz w:val="24"/>
          <w:highlight w:val="none"/>
        </w:rPr>
        <w:t>资格审查文件/技术商务文件/报价文件/电子备份文件......</w:t>
      </w:r>
    </w:p>
    <w:p w14:paraId="099ADB5A">
      <w:pPr>
        <w:snapToGrid w:val="0"/>
        <w:spacing w:before="120" w:beforeLines="50" w:after="50" w:line="276" w:lineRule="auto"/>
        <w:rPr>
          <w:rFonts w:ascii="宋体" w:hAnsi="宋体"/>
          <w:bCs/>
          <w:color w:val="auto"/>
          <w:sz w:val="24"/>
          <w:highlight w:val="none"/>
        </w:rPr>
      </w:pPr>
    </w:p>
    <w:p w14:paraId="795DD511">
      <w:pPr>
        <w:snapToGrid w:val="0"/>
        <w:spacing w:before="120" w:beforeLines="50" w:after="50" w:line="276" w:lineRule="auto"/>
        <w:ind w:left="2267" w:leftChars="508" w:hanging="1200" w:hangingChars="500"/>
        <w:rPr>
          <w:rFonts w:ascii="宋体" w:hAnsi="宋体"/>
          <w:bCs/>
          <w:color w:val="auto"/>
          <w:sz w:val="24"/>
          <w:highlight w:val="none"/>
        </w:rPr>
      </w:pPr>
      <w:r>
        <w:rPr>
          <w:rFonts w:hint="eastAsia" w:ascii="宋体" w:hAnsi="宋体"/>
          <w:bCs/>
          <w:color w:val="auto"/>
          <w:sz w:val="24"/>
          <w:highlight w:val="none"/>
        </w:rPr>
        <w:t>项目名称：</w:t>
      </w:r>
    </w:p>
    <w:p w14:paraId="1BB950DD">
      <w:pPr>
        <w:snapToGrid w:val="0"/>
        <w:spacing w:before="120" w:beforeLines="50" w:after="50" w:line="276" w:lineRule="auto"/>
        <w:ind w:firstLine="1068" w:firstLineChars="445"/>
        <w:rPr>
          <w:rFonts w:ascii="宋体" w:hAnsi="宋体"/>
          <w:bCs/>
          <w:color w:val="auto"/>
          <w:sz w:val="24"/>
          <w:highlight w:val="none"/>
        </w:rPr>
      </w:pPr>
      <w:r>
        <w:rPr>
          <w:rFonts w:hint="eastAsia" w:ascii="宋体" w:hAnsi="宋体"/>
          <w:bCs/>
          <w:color w:val="auto"/>
          <w:sz w:val="24"/>
          <w:highlight w:val="none"/>
        </w:rPr>
        <w:t>项目编号：</w:t>
      </w:r>
    </w:p>
    <w:p w14:paraId="77B475EE">
      <w:pPr>
        <w:snapToGrid w:val="0"/>
        <w:spacing w:before="120" w:beforeLines="50" w:after="50" w:line="276" w:lineRule="auto"/>
        <w:ind w:firstLine="1068" w:firstLineChars="445"/>
        <w:rPr>
          <w:rFonts w:ascii="宋体" w:hAnsi="宋体"/>
          <w:bCs/>
          <w:color w:val="auto"/>
          <w:sz w:val="24"/>
          <w:highlight w:val="none"/>
        </w:rPr>
      </w:pPr>
      <w:r>
        <w:rPr>
          <w:rFonts w:hint="eastAsia" w:ascii="宋体" w:hAnsi="宋体"/>
          <w:bCs/>
          <w:color w:val="auto"/>
          <w:sz w:val="24"/>
          <w:highlight w:val="none"/>
        </w:rPr>
        <w:t>投标人名称：</w:t>
      </w:r>
    </w:p>
    <w:p w14:paraId="33EB74BA">
      <w:pPr>
        <w:snapToGrid w:val="0"/>
        <w:spacing w:before="120" w:beforeLines="50" w:after="50" w:line="276" w:lineRule="auto"/>
        <w:ind w:firstLine="1068" w:firstLineChars="445"/>
        <w:rPr>
          <w:rFonts w:ascii="宋体" w:hAnsi="宋体"/>
          <w:bCs/>
          <w:color w:val="auto"/>
          <w:sz w:val="24"/>
          <w:highlight w:val="none"/>
        </w:rPr>
      </w:pPr>
      <w:r>
        <w:rPr>
          <w:rFonts w:hint="eastAsia" w:ascii="宋体" w:hAnsi="宋体"/>
          <w:bCs/>
          <w:color w:val="auto"/>
          <w:sz w:val="24"/>
          <w:highlight w:val="none"/>
        </w:rPr>
        <w:t>投标人地址：</w:t>
      </w:r>
    </w:p>
    <w:p w14:paraId="05FBFFCA">
      <w:pPr>
        <w:snapToGrid w:val="0"/>
        <w:spacing w:before="120" w:beforeLines="50" w:after="50" w:line="276" w:lineRule="auto"/>
        <w:ind w:firstLine="4080" w:firstLineChars="1700"/>
        <w:rPr>
          <w:rFonts w:ascii="宋体" w:hAnsi="宋体"/>
          <w:color w:val="auto"/>
          <w:sz w:val="24"/>
          <w:szCs w:val="20"/>
          <w:highlight w:val="none"/>
        </w:rPr>
      </w:pPr>
    </w:p>
    <w:p w14:paraId="27D433FA">
      <w:pPr>
        <w:snapToGrid w:val="0"/>
        <w:spacing w:before="120" w:beforeLines="50" w:after="50" w:line="276" w:lineRule="auto"/>
        <w:ind w:firstLine="645"/>
        <w:jc w:val="center"/>
        <w:rPr>
          <w:rFonts w:ascii="宋体" w:hAnsi="宋体"/>
          <w:color w:val="auto"/>
          <w:sz w:val="24"/>
          <w:highlight w:val="none"/>
        </w:rPr>
      </w:pPr>
      <w:r>
        <w:rPr>
          <w:rFonts w:hint="eastAsia" w:ascii="宋体" w:hAnsi="宋体"/>
          <w:color w:val="auto"/>
          <w:sz w:val="24"/>
          <w:highlight w:val="none"/>
        </w:rPr>
        <w:t>年   月    日</w:t>
      </w:r>
    </w:p>
    <w:p w14:paraId="52CAA854">
      <w:pPr>
        <w:snapToGrid w:val="0"/>
        <w:spacing w:line="360" w:lineRule="exact"/>
        <w:jc w:val="left"/>
        <w:rPr>
          <w:rFonts w:ascii="宋体" w:hAnsi="宋体"/>
          <w:color w:val="auto"/>
          <w:sz w:val="24"/>
          <w:highlight w:val="none"/>
        </w:rPr>
      </w:pPr>
    </w:p>
    <w:p w14:paraId="20A4EFF1">
      <w:pPr>
        <w:pStyle w:val="107"/>
        <w:rPr>
          <w:color w:val="auto"/>
          <w:highlight w:val="none"/>
        </w:rPr>
      </w:pPr>
    </w:p>
    <w:p w14:paraId="54199D1D">
      <w:pPr>
        <w:snapToGrid w:val="0"/>
        <w:spacing w:line="276" w:lineRule="auto"/>
        <w:jc w:val="left"/>
        <w:rPr>
          <w:rFonts w:ascii="宋体" w:hAnsi="宋体"/>
          <w:color w:val="auto"/>
          <w:sz w:val="24"/>
          <w:highlight w:val="none"/>
        </w:rPr>
      </w:pPr>
    </w:p>
    <w:p w14:paraId="54BEF5A9">
      <w:pPr>
        <w:snapToGrid w:val="0"/>
        <w:spacing w:before="120" w:beforeLines="50" w:after="50"/>
        <w:outlineLvl w:val="0"/>
        <w:rPr>
          <w:rFonts w:hint="eastAsia" w:ascii="宋体" w:hAnsi="宋体"/>
          <w:b/>
          <w:color w:val="auto"/>
          <w:sz w:val="24"/>
          <w:highlight w:val="none"/>
        </w:rPr>
        <w:sectPr>
          <w:pgSz w:w="11906" w:h="16838"/>
          <w:pgMar w:top="1440" w:right="1106" w:bottom="1440" w:left="1440" w:header="851" w:footer="992" w:gutter="0"/>
          <w:cols w:space="720" w:num="1"/>
          <w:docGrid w:linePitch="312" w:charSpace="0"/>
        </w:sectPr>
      </w:pPr>
    </w:p>
    <w:p w14:paraId="475316E3">
      <w:pPr>
        <w:rPr>
          <w:rFonts w:hint="eastAsia" w:ascii="宋体" w:hAnsi="宋体"/>
          <w:b/>
          <w:color w:val="auto"/>
          <w:sz w:val="24"/>
          <w:highlight w:val="none"/>
        </w:rPr>
      </w:pPr>
      <w:r>
        <w:rPr>
          <w:rFonts w:hint="eastAsia" w:ascii="宋体" w:hAnsi="宋体" w:cs="宋体"/>
          <w:color w:val="auto"/>
          <w:sz w:val="28"/>
          <w:szCs w:val="28"/>
          <w:highlight w:val="none"/>
        </w:rPr>
        <w:t>附件3：政府采购供应商诚信承诺书</w:t>
      </w:r>
    </w:p>
    <w:p w14:paraId="4A337655">
      <w:pPr>
        <w:snapToGrid w:val="0"/>
        <w:spacing w:before="120" w:beforeLines="50" w:after="50" w:line="276" w:lineRule="auto"/>
        <w:jc w:val="center"/>
        <w:rPr>
          <w:rFonts w:ascii="宋体" w:hAnsi="宋体"/>
          <w:b/>
          <w:color w:val="auto"/>
          <w:sz w:val="24"/>
          <w:highlight w:val="none"/>
        </w:rPr>
      </w:pPr>
      <w:r>
        <w:rPr>
          <w:rFonts w:hint="eastAsia" w:ascii="宋体" w:hAnsi="宋体"/>
          <w:b/>
          <w:color w:val="auto"/>
          <w:sz w:val="24"/>
          <w:highlight w:val="none"/>
        </w:rPr>
        <w:t>政府采购供应商诚信承诺书</w:t>
      </w:r>
    </w:p>
    <w:p w14:paraId="2DEAB7BB">
      <w:pPr>
        <w:widowControl/>
        <w:spacing w:before="100" w:beforeAutospacing="1" w:after="190"/>
        <w:jc w:val="left"/>
        <w:rPr>
          <w:rFonts w:ascii="Arial" w:hAnsi="Arial" w:cs="Arial"/>
          <w:b/>
          <w:color w:val="auto"/>
          <w:kern w:val="0"/>
          <w:sz w:val="24"/>
          <w:highlight w:val="none"/>
        </w:rPr>
      </w:pPr>
      <w:r>
        <w:rPr>
          <w:rFonts w:hint="eastAsia" w:ascii="Arial" w:hAnsi="Arial" w:cs="Arial"/>
          <w:b/>
          <w:color w:val="auto"/>
          <w:kern w:val="0"/>
          <w:sz w:val="24"/>
          <w:highlight w:val="none"/>
          <w:lang w:eastAsia="zh-CN"/>
        </w:rPr>
        <w:t>浙江展图工程咨询有限公司</w:t>
      </w:r>
      <w:r>
        <w:rPr>
          <w:rFonts w:ascii="Arial" w:hAnsi="Arial" w:cs="Arial"/>
          <w:b/>
          <w:color w:val="auto"/>
          <w:kern w:val="0"/>
          <w:sz w:val="24"/>
          <w:highlight w:val="none"/>
        </w:rPr>
        <w:t>：</w:t>
      </w:r>
    </w:p>
    <w:p w14:paraId="3CA7653F">
      <w:pPr>
        <w:spacing w:line="400" w:lineRule="exact"/>
        <w:ind w:firstLine="480" w:firstLineChars="200"/>
        <w:rPr>
          <w:color w:val="auto"/>
          <w:sz w:val="24"/>
          <w:highlight w:val="none"/>
        </w:rPr>
      </w:pPr>
      <w:r>
        <w:rPr>
          <w:color w:val="auto"/>
          <w:kern w:val="0"/>
          <w:sz w:val="24"/>
          <w:highlight w:val="none"/>
        </w:rPr>
        <w:t>我公司自愿参与贵</w:t>
      </w:r>
      <w:r>
        <w:rPr>
          <w:rFonts w:hint="eastAsia"/>
          <w:color w:val="auto"/>
          <w:kern w:val="0"/>
          <w:sz w:val="24"/>
          <w:highlight w:val="none"/>
        </w:rPr>
        <w:t>公司</w:t>
      </w:r>
      <w:r>
        <w:rPr>
          <w:color w:val="auto"/>
          <w:kern w:val="0"/>
          <w:sz w:val="24"/>
          <w:highlight w:val="none"/>
        </w:rPr>
        <w:t>组织的</w:t>
      </w:r>
      <w:r>
        <w:rPr>
          <w:rFonts w:hint="eastAsia"/>
          <w:color w:val="auto"/>
          <w:kern w:val="0"/>
          <w:sz w:val="24"/>
          <w:highlight w:val="none"/>
          <w:u w:val="single"/>
        </w:rPr>
        <w:t xml:space="preserve">            </w:t>
      </w:r>
      <w:r>
        <w:rPr>
          <w:bCs/>
          <w:color w:val="auto"/>
          <w:kern w:val="0"/>
          <w:sz w:val="24"/>
          <w:highlight w:val="none"/>
          <w:u w:val="single"/>
        </w:rPr>
        <w:t>项目</w:t>
      </w:r>
      <w:r>
        <w:rPr>
          <w:rFonts w:hint="eastAsia"/>
          <w:b/>
          <w:color w:val="auto"/>
          <w:kern w:val="0"/>
          <w:sz w:val="24"/>
          <w:highlight w:val="none"/>
          <w:u w:val="single"/>
        </w:rPr>
        <w:t>（招标编号：     ）</w:t>
      </w:r>
      <w:r>
        <w:rPr>
          <w:color w:val="auto"/>
          <w:kern w:val="0"/>
          <w:sz w:val="24"/>
          <w:highlight w:val="none"/>
        </w:rPr>
        <w:t>采购活动，严格遵守《中华人民共和国</w:t>
      </w:r>
      <w:r>
        <w:rPr>
          <w:color w:val="auto"/>
          <w:sz w:val="24"/>
          <w:highlight w:val="none"/>
        </w:rPr>
        <w:t>政府采购法》等相关法律法规的规定，坚守公平竞争，并无条件地遵守本次采购活动各项规定。我们郑重承诺：如果在本次招标活动中有以下情形的，愿接受政府采购监管等部门给予相关处罚并承担法律责任。</w:t>
      </w:r>
    </w:p>
    <w:p w14:paraId="1FDA22B7">
      <w:pPr>
        <w:spacing w:line="400" w:lineRule="exact"/>
        <w:ind w:firstLine="480" w:firstLineChars="200"/>
        <w:rPr>
          <w:color w:val="auto"/>
          <w:sz w:val="24"/>
          <w:highlight w:val="none"/>
        </w:rPr>
      </w:pPr>
      <w:r>
        <w:rPr>
          <w:color w:val="auto"/>
          <w:sz w:val="24"/>
          <w:highlight w:val="none"/>
        </w:rPr>
        <w:t>（一）提供虚假材料谋取中标的；</w:t>
      </w:r>
    </w:p>
    <w:p w14:paraId="3A1DA156">
      <w:pPr>
        <w:spacing w:line="400" w:lineRule="exact"/>
        <w:ind w:firstLine="480" w:firstLineChars="200"/>
        <w:rPr>
          <w:color w:val="auto"/>
          <w:sz w:val="24"/>
          <w:highlight w:val="none"/>
        </w:rPr>
      </w:pPr>
      <w:r>
        <w:rPr>
          <w:color w:val="auto"/>
          <w:sz w:val="24"/>
          <w:highlight w:val="none"/>
        </w:rPr>
        <w:t>（二）采取不正当手段诋毁、排挤</w:t>
      </w:r>
      <w:r>
        <w:rPr>
          <w:color w:val="auto"/>
          <w:sz w:val="24"/>
          <w:highlight w:val="none"/>
        </w:rPr>
        <w:fldChar w:fldCharType="begin"/>
      </w:r>
      <w:r>
        <w:rPr>
          <w:color w:val="auto"/>
          <w:sz w:val="24"/>
          <w:highlight w:val="none"/>
        </w:rPr>
        <w:instrText xml:space="preserve"> HYPERLINK "http://www.oh100.com/qita/" \t "_blank"</w:instrText>
      </w:r>
      <w:r>
        <w:rPr>
          <w:color w:val="auto"/>
          <w:sz w:val="24"/>
          <w:highlight w:val="none"/>
        </w:rPr>
        <w:fldChar w:fldCharType="separate"/>
      </w:r>
      <w:r>
        <w:rPr>
          <w:color w:val="auto"/>
          <w:sz w:val="24"/>
          <w:highlight w:val="none"/>
        </w:rPr>
        <w:t>其他</w:t>
      </w:r>
      <w:r>
        <w:rPr>
          <w:color w:val="auto"/>
          <w:sz w:val="24"/>
          <w:highlight w:val="none"/>
        </w:rPr>
        <w:fldChar w:fldCharType="end"/>
      </w:r>
      <w:r>
        <w:rPr>
          <w:color w:val="auto"/>
          <w:sz w:val="24"/>
          <w:highlight w:val="none"/>
        </w:rPr>
        <w:t>供应商的；</w:t>
      </w:r>
    </w:p>
    <w:p w14:paraId="43A870A0">
      <w:pPr>
        <w:spacing w:line="400" w:lineRule="exact"/>
        <w:ind w:firstLine="480" w:firstLineChars="200"/>
        <w:rPr>
          <w:color w:val="auto"/>
          <w:sz w:val="24"/>
          <w:highlight w:val="none"/>
        </w:rPr>
      </w:pPr>
      <w:r>
        <w:rPr>
          <w:color w:val="auto"/>
          <w:sz w:val="24"/>
          <w:highlight w:val="none"/>
        </w:rPr>
        <w:t>（三）与招标采购单位、其他投标人恶意串通的；</w:t>
      </w:r>
    </w:p>
    <w:p w14:paraId="0D7351BC">
      <w:pPr>
        <w:spacing w:line="400" w:lineRule="exact"/>
        <w:ind w:firstLine="480" w:firstLineChars="200"/>
        <w:rPr>
          <w:color w:val="auto"/>
          <w:sz w:val="24"/>
          <w:highlight w:val="none"/>
        </w:rPr>
      </w:pPr>
      <w:r>
        <w:rPr>
          <w:color w:val="auto"/>
          <w:sz w:val="24"/>
          <w:highlight w:val="none"/>
        </w:rPr>
        <w:t>（四）向招标采购单位行贿或提供其他不正当利益的；</w:t>
      </w:r>
    </w:p>
    <w:p w14:paraId="5FA39224">
      <w:pPr>
        <w:spacing w:line="400" w:lineRule="exact"/>
        <w:ind w:firstLine="480" w:firstLineChars="200"/>
        <w:rPr>
          <w:color w:val="auto"/>
          <w:sz w:val="24"/>
          <w:highlight w:val="none"/>
        </w:rPr>
      </w:pPr>
      <w:r>
        <w:rPr>
          <w:color w:val="auto"/>
          <w:sz w:val="24"/>
          <w:highlight w:val="none"/>
        </w:rPr>
        <w:t>（五）在招标过程中与招标采购单位进行协商谈判、不按照招标文件和投标文件订立合同，或者与采购人另立背离合同实质性内容协议的；</w:t>
      </w:r>
    </w:p>
    <w:p w14:paraId="158D5F30">
      <w:pPr>
        <w:spacing w:line="400" w:lineRule="exact"/>
        <w:ind w:firstLine="480" w:firstLineChars="200"/>
        <w:rPr>
          <w:color w:val="auto"/>
          <w:sz w:val="24"/>
          <w:highlight w:val="none"/>
        </w:rPr>
      </w:pPr>
      <w:r>
        <w:rPr>
          <w:color w:val="auto"/>
          <w:sz w:val="24"/>
          <w:highlight w:val="none"/>
        </w:rPr>
        <w:t>（六）开标后擅自撤销投标，影响招标继续进行的；</w:t>
      </w:r>
    </w:p>
    <w:p w14:paraId="1E8E79AB">
      <w:pPr>
        <w:spacing w:line="400" w:lineRule="exact"/>
        <w:ind w:firstLine="480" w:firstLineChars="200"/>
        <w:rPr>
          <w:color w:val="auto"/>
          <w:sz w:val="24"/>
          <w:highlight w:val="none"/>
        </w:rPr>
      </w:pPr>
      <w:r>
        <w:rPr>
          <w:color w:val="auto"/>
          <w:sz w:val="24"/>
          <w:highlight w:val="none"/>
        </w:rPr>
        <w:t>（七）中标后无正当理由，在规定时间内不与采购单位签订合同的；</w:t>
      </w:r>
    </w:p>
    <w:p w14:paraId="18B1B3DF">
      <w:pPr>
        <w:spacing w:line="400" w:lineRule="exact"/>
        <w:ind w:firstLine="480" w:firstLineChars="200"/>
        <w:rPr>
          <w:color w:val="auto"/>
          <w:sz w:val="24"/>
          <w:highlight w:val="none"/>
        </w:rPr>
      </w:pPr>
      <w:r>
        <w:rPr>
          <w:color w:val="auto"/>
          <w:sz w:val="24"/>
          <w:highlight w:val="none"/>
        </w:rPr>
        <w:t>（八）将中标项目转让给他人或非法分包他人的；</w:t>
      </w:r>
    </w:p>
    <w:p w14:paraId="7ECF388D">
      <w:pPr>
        <w:spacing w:line="400" w:lineRule="exact"/>
        <w:ind w:firstLine="480" w:firstLineChars="200"/>
        <w:rPr>
          <w:color w:val="auto"/>
          <w:sz w:val="24"/>
          <w:highlight w:val="none"/>
        </w:rPr>
      </w:pPr>
      <w:r>
        <w:rPr>
          <w:color w:val="auto"/>
          <w:sz w:val="24"/>
          <w:highlight w:val="none"/>
        </w:rPr>
        <w:t>（九）无正当理由，拒绝履行合同义务的；</w:t>
      </w:r>
    </w:p>
    <w:p w14:paraId="6E5A0250">
      <w:pPr>
        <w:spacing w:line="400" w:lineRule="exact"/>
        <w:ind w:firstLine="480" w:firstLineChars="200"/>
        <w:rPr>
          <w:color w:val="auto"/>
          <w:sz w:val="24"/>
          <w:highlight w:val="none"/>
        </w:rPr>
      </w:pPr>
      <w:r>
        <w:rPr>
          <w:color w:val="auto"/>
          <w:sz w:val="24"/>
          <w:highlight w:val="none"/>
        </w:rPr>
        <w:t>（十）无正当理由放弃中标（成交）项目的；</w:t>
      </w:r>
    </w:p>
    <w:p w14:paraId="7DCBAB7B">
      <w:pPr>
        <w:spacing w:line="400" w:lineRule="exact"/>
        <w:ind w:firstLine="480" w:firstLineChars="200"/>
        <w:rPr>
          <w:color w:val="auto"/>
          <w:sz w:val="24"/>
          <w:highlight w:val="none"/>
        </w:rPr>
      </w:pPr>
      <w:r>
        <w:rPr>
          <w:color w:val="auto"/>
          <w:sz w:val="24"/>
          <w:highlight w:val="none"/>
        </w:rPr>
        <w:t>（十一）擅自或与采购人串通或接受采购人要求，在履约合同中通过减少货物数量，更换品牌、降低配置、技术要求、质量和服务标准等，却仍按原合同进行虚假验收或终止政府采购合同的；</w:t>
      </w:r>
    </w:p>
    <w:p w14:paraId="119247A2">
      <w:pPr>
        <w:spacing w:line="400" w:lineRule="exact"/>
        <w:ind w:firstLine="480" w:firstLineChars="200"/>
        <w:rPr>
          <w:color w:val="auto"/>
          <w:sz w:val="24"/>
          <w:highlight w:val="none"/>
        </w:rPr>
      </w:pPr>
      <w:r>
        <w:rPr>
          <w:color w:val="auto"/>
          <w:sz w:val="24"/>
          <w:highlight w:val="none"/>
        </w:rPr>
        <w:t>（十二）与采购人串通，对尚未履约完毕的采购项目出具虚假验收报告的；</w:t>
      </w:r>
    </w:p>
    <w:p w14:paraId="2E59303B">
      <w:pPr>
        <w:spacing w:line="400" w:lineRule="exact"/>
        <w:ind w:firstLine="480" w:firstLineChars="200"/>
        <w:rPr>
          <w:color w:val="auto"/>
          <w:sz w:val="24"/>
          <w:highlight w:val="none"/>
        </w:rPr>
      </w:pPr>
      <w:r>
        <w:rPr>
          <w:color w:val="auto"/>
          <w:sz w:val="24"/>
          <w:highlight w:val="none"/>
        </w:rPr>
        <w:t>（十三）无不可抗力因素，拒绝提供售后服务、售后服务态度恶劣、故意提高维修配件价格（高于市场平均价）的；</w:t>
      </w:r>
    </w:p>
    <w:p w14:paraId="136BDC6E">
      <w:pPr>
        <w:spacing w:line="400" w:lineRule="exact"/>
        <w:ind w:firstLine="480" w:firstLineChars="200"/>
        <w:rPr>
          <w:color w:val="auto"/>
          <w:sz w:val="24"/>
          <w:highlight w:val="none"/>
        </w:rPr>
      </w:pPr>
      <w:r>
        <w:rPr>
          <w:color w:val="auto"/>
          <w:sz w:val="24"/>
          <w:highlight w:val="none"/>
        </w:rPr>
        <w:t>（十四）开标后对招标文件的相关内容再进行质疑的；</w:t>
      </w:r>
    </w:p>
    <w:p w14:paraId="2D4169B5">
      <w:pPr>
        <w:spacing w:line="400" w:lineRule="exact"/>
        <w:ind w:firstLine="480" w:firstLineChars="200"/>
        <w:rPr>
          <w:color w:val="auto"/>
          <w:sz w:val="24"/>
          <w:highlight w:val="none"/>
        </w:rPr>
      </w:pPr>
      <w:r>
        <w:rPr>
          <w:color w:val="auto"/>
          <w:sz w:val="24"/>
          <w:highlight w:val="none"/>
        </w:rPr>
        <w:t>（十五）恶意投诉的行为：投诉经查无实据的、捏造事实或者提供虚假投诉材料的；</w:t>
      </w:r>
    </w:p>
    <w:p w14:paraId="0BBAED59">
      <w:pPr>
        <w:spacing w:line="400" w:lineRule="exact"/>
        <w:ind w:firstLine="480" w:firstLineChars="200"/>
        <w:rPr>
          <w:color w:val="auto"/>
          <w:sz w:val="24"/>
          <w:highlight w:val="none"/>
        </w:rPr>
      </w:pPr>
      <w:r>
        <w:rPr>
          <w:color w:val="auto"/>
          <w:sz w:val="24"/>
          <w:highlight w:val="none"/>
        </w:rPr>
        <w:t>（十六）拒绝有关部门监督检查或者提供虚假情况的；</w:t>
      </w:r>
    </w:p>
    <w:p w14:paraId="65A70217">
      <w:pPr>
        <w:spacing w:line="400" w:lineRule="exact"/>
        <w:ind w:firstLine="480" w:firstLineChars="200"/>
        <w:rPr>
          <w:color w:val="auto"/>
          <w:sz w:val="24"/>
          <w:highlight w:val="none"/>
        </w:rPr>
      </w:pPr>
      <w:r>
        <w:rPr>
          <w:color w:val="auto"/>
          <w:sz w:val="24"/>
          <w:highlight w:val="none"/>
        </w:rPr>
        <w:t>（十七）财政、监察部门认定的其他不诚信行为。</w:t>
      </w:r>
    </w:p>
    <w:p w14:paraId="179CD7D9">
      <w:pPr>
        <w:spacing w:line="400" w:lineRule="exact"/>
        <w:ind w:firstLine="480" w:firstLineChars="200"/>
        <w:rPr>
          <w:color w:val="auto"/>
          <w:sz w:val="24"/>
          <w:highlight w:val="none"/>
        </w:rPr>
      </w:pPr>
      <w:r>
        <w:rPr>
          <w:rFonts w:hint="eastAsia"/>
          <w:color w:val="auto"/>
          <w:sz w:val="24"/>
          <w:highlight w:val="none"/>
        </w:rPr>
        <w:t>（十八）招标文件规定的其他不诚信行为。</w:t>
      </w:r>
    </w:p>
    <w:p w14:paraId="691AD4BF">
      <w:pPr>
        <w:pStyle w:val="534"/>
        <w:snapToGrid w:val="0"/>
        <w:spacing w:before="120" w:line="360" w:lineRule="auto"/>
        <w:rPr>
          <w:rFonts w:hint="eastAsia" w:ascii="宋体" w:hAnsi="宋体" w:cs="宋体"/>
          <w:color w:val="auto"/>
          <w:szCs w:val="24"/>
          <w:highlight w:val="none"/>
        </w:rPr>
      </w:pPr>
      <w:r>
        <w:rPr>
          <w:rFonts w:hint="eastAsia" w:ascii="宋体" w:hAnsi="宋体" w:cs="宋体"/>
          <w:color w:val="auto"/>
          <w:szCs w:val="24"/>
          <w:highlight w:val="none"/>
        </w:rPr>
        <w:t>投标人全称（电子签章）：</w:t>
      </w:r>
      <w:r>
        <w:rPr>
          <w:rFonts w:hint="eastAsia" w:ascii="宋体" w:hAnsi="宋体" w:cs="宋体"/>
          <w:color w:val="auto"/>
          <w:szCs w:val="24"/>
          <w:highlight w:val="none"/>
          <w:u w:val="single"/>
        </w:rPr>
        <w:t xml:space="preserve">                         </w:t>
      </w:r>
    </w:p>
    <w:p w14:paraId="62E9B9D0">
      <w:pPr>
        <w:snapToGrid w:val="0"/>
        <w:spacing w:before="120" w:line="360" w:lineRule="auto"/>
        <w:ind w:right="600"/>
        <w:rPr>
          <w:rFonts w:hint="eastAsia" w:ascii="宋体" w:hAnsi="宋体" w:cs="宋体"/>
          <w:color w:val="auto"/>
          <w:sz w:val="24"/>
          <w:highlight w:val="none"/>
        </w:rPr>
      </w:pPr>
      <w:r>
        <w:rPr>
          <w:rFonts w:hint="eastAsia" w:ascii="宋体" w:hAnsi="宋体" w:cs="宋体"/>
          <w:color w:val="auto"/>
          <w:sz w:val="24"/>
          <w:highlight w:val="none"/>
        </w:rPr>
        <w:t>法定代表人或授权代表（签名或签章）：</w:t>
      </w:r>
      <w:r>
        <w:rPr>
          <w:rFonts w:hint="eastAsia" w:ascii="宋体" w:hAnsi="宋体" w:cs="宋体"/>
          <w:color w:val="auto"/>
          <w:sz w:val="24"/>
          <w:highlight w:val="none"/>
          <w:u w:val="single"/>
        </w:rPr>
        <w:t xml:space="preserve">             </w:t>
      </w:r>
    </w:p>
    <w:p w14:paraId="2CE0D851">
      <w:pPr>
        <w:snapToGrid w:val="0"/>
        <w:spacing w:before="120" w:line="360" w:lineRule="auto"/>
        <w:rPr>
          <w:rFonts w:hAnsi="宋体" w:cs="宋体"/>
          <w:color w:val="auto"/>
          <w:szCs w:val="21"/>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年    月    日</w:t>
      </w:r>
    </w:p>
    <w:p w14:paraId="5CF5C5BA">
      <w:pPr>
        <w:snapToGrid w:val="0"/>
        <w:spacing w:before="50" w:after="120" w:afterLines="50" w:line="276" w:lineRule="auto"/>
        <w:jc w:val="left"/>
        <w:outlineLvl w:val="0"/>
        <w:rPr>
          <w:rFonts w:hint="eastAsia" w:ascii="宋体" w:hAnsi="宋体"/>
          <w:b/>
          <w:color w:val="auto"/>
          <w:sz w:val="24"/>
          <w:highlight w:val="none"/>
        </w:rPr>
        <w:sectPr>
          <w:pgSz w:w="11906" w:h="16838"/>
          <w:pgMar w:top="1440" w:right="1106" w:bottom="1440" w:left="1440" w:header="851" w:footer="992" w:gutter="0"/>
          <w:cols w:space="720" w:num="1"/>
          <w:docGrid w:linePitch="312" w:charSpace="0"/>
        </w:sectPr>
      </w:pPr>
    </w:p>
    <w:p w14:paraId="6D8212A1">
      <w:pPr>
        <w:rPr>
          <w:rFonts w:hint="eastAsia" w:ascii="宋体" w:hAnsi="宋体" w:cs="宋体"/>
          <w:color w:val="auto"/>
          <w:sz w:val="28"/>
          <w:szCs w:val="28"/>
          <w:highlight w:val="none"/>
        </w:rPr>
      </w:pPr>
      <w:r>
        <w:rPr>
          <w:rFonts w:hint="eastAsia" w:ascii="宋体" w:hAnsi="宋体" w:cs="宋体"/>
          <w:color w:val="auto"/>
          <w:sz w:val="28"/>
          <w:szCs w:val="28"/>
          <w:highlight w:val="none"/>
        </w:rPr>
        <w:t>附件4：无围标串标等负面行为承诺书</w:t>
      </w:r>
    </w:p>
    <w:p w14:paraId="73BAA856">
      <w:pPr>
        <w:autoSpaceDE w:val="0"/>
        <w:autoSpaceDN w:val="0"/>
        <w:adjustRightInd w:val="0"/>
        <w:spacing w:line="360" w:lineRule="auto"/>
        <w:rPr>
          <w:rFonts w:ascii="黑体" w:hAnsi="黑体" w:eastAsia="黑体"/>
          <w:b/>
          <w:color w:val="auto"/>
          <w:sz w:val="36"/>
          <w:highlight w:val="none"/>
        </w:rPr>
      </w:pPr>
    </w:p>
    <w:p w14:paraId="17607E8D">
      <w:pPr>
        <w:autoSpaceDE w:val="0"/>
        <w:autoSpaceDN w:val="0"/>
        <w:adjustRightInd w:val="0"/>
        <w:spacing w:line="360" w:lineRule="auto"/>
        <w:jc w:val="center"/>
        <w:rPr>
          <w:rFonts w:ascii="黑体" w:hAnsi="黑体" w:eastAsia="黑体"/>
          <w:b/>
          <w:color w:val="auto"/>
          <w:sz w:val="36"/>
          <w:highlight w:val="none"/>
        </w:rPr>
      </w:pPr>
      <w:r>
        <w:rPr>
          <w:rFonts w:hint="eastAsia" w:ascii="黑体" w:hAnsi="黑体" w:eastAsia="黑体"/>
          <w:b/>
          <w:color w:val="auto"/>
          <w:sz w:val="36"/>
          <w:highlight w:val="none"/>
        </w:rPr>
        <w:t>无围标串标等负面行为承诺书</w:t>
      </w:r>
    </w:p>
    <w:p w14:paraId="1A2701BA">
      <w:pPr>
        <w:spacing w:line="560" w:lineRule="exact"/>
        <w:ind w:firstLine="480"/>
        <w:rPr>
          <w:rFonts w:ascii="宋体" w:hAnsi="宋体" w:cs="宋体"/>
          <w:color w:val="auto"/>
          <w:sz w:val="24"/>
          <w:highlight w:val="none"/>
        </w:rPr>
      </w:pPr>
      <w:r>
        <w:rPr>
          <w:rFonts w:hint="eastAsia" w:ascii="宋体" w:hAnsi="宋体" w:cs="宋体"/>
          <w:color w:val="auto"/>
          <w:sz w:val="24"/>
          <w:highlight w:val="none"/>
        </w:rPr>
        <w:t>本人作为经授权的投标人（或供应商、竞拍人等，下同）代表，清楚知晓我单位参与本项目投标（交易，下同），现对以下事项作出郑重承诺并签名：</w:t>
      </w:r>
    </w:p>
    <w:p w14:paraId="1F5EB3A5">
      <w:pPr>
        <w:spacing w:line="560" w:lineRule="exact"/>
        <w:ind w:firstLine="480"/>
        <w:rPr>
          <w:rFonts w:ascii="宋体" w:hAnsi="宋体" w:cs="宋体"/>
          <w:color w:val="auto"/>
          <w:sz w:val="24"/>
          <w:highlight w:val="none"/>
        </w:rPr>
      </w:pPr>
      <w:r>
        <w:rPr>
          <w:rFonts w:hint="eastAsia" w:ascii="宋体" w:hAnsi="宋体" w:cs="宋体"/>
          <w:color w:val="auto"/>
          <w:sz w:val="24"/>
          <w:highlight w:val="none"/>
        </w:rPr>
        <w:t>一、我单位和本人遵循公开、公平、公正、诚实守信的原则，所提供的一切材料均真实、有效、合法，依法依规参与本项目投标。</w:t>
      </w:r>
    </w:p>
    <w:p w14:paraId="44FBBBE9">
      <w:pPr>
        <w:spacing w:line="560" w:lineRule="exact"/>
        <w:ind w:firstLine="480"/>
        <w:rPr>
          <w:rFonts w:ascii="宋体" w:hAnsi="宋体" w:cs="宋体"/>
          <w:color w:val="auto"/>
          <w:sz w:val="24"/>
          <w:highlight w:val="none"/>
        </w:rPr>
      </w:pPr>
      <w:r>
        <w:rPr>
          <w:rFonts w:hint="eastAsia" w:ascii="宋体" w:hAnsi="宋体" w:cs="宋体"/>
          <w:color w:val="auto"/>
          <w:sz w:val="24"/>
          <w:highlight w:val="none"/>
        </w:rPr>
        <w:t>二、我单位和本人在本项目招标投标活动中，拒绝参与围标串标，决不损害其他投标人、招标人（或采购人、拍卖人等，下同）的合法权益。</w:t>
      </w:r>
    </w:p>
    <w:p w14:paraId="2CEED301">
      <w:pPr>
        <w:spacing w:line="560" w:lineRule="exact"/>
        <w:ind w:firstLine="480"/>
        <w:rPr>
          <w:rFonts w:ascii="宋体" w:hAnsi="宋体" w:cs="宋体"/>
          <w:color w:val="auto"/>
          <w:sz w:val="24"/>
          <w:highlight w:val="none"/>
        </w:rPr>
      </w:pPr>
      <w:r>
        <w:rPr>
          <w:rFonts w:hint="eastAsia" w:ascii="宋体" w:hAnsi="宋体" w:cs="宋体"/>
          <w:color w:val="auto"/>
          <w:sz w:val="24"/>
          <w:highlight w:val="none"/>
        </w:rPr>
        <w:t>三、我单位如被查实在本项目公共资源交易活动中存在围标串标等行为，本人作为违法行为直接责任人员，将承担被执行失信惩戒并被依法追究相关责任的后果。</w:t>
      </w:r>
    </w:p>
    <w:p w14:paraId="799346D4">
      <w:pPr>
        <w:spacing w:line="560" w:lineRule="exact"/>
        <w:ind w:firstLine="480"/>
        <w:rPr>
          <w:rFonts w:ascii="宋体" w:hAnsi="宋体" w:cs="宋体"/>
          <w:color w:val="auto"/>
          <w:sz w:val="24"/>
          <w:highlight w:val="none"/>
        </w:rPr>
      </w:pPr>
    </w:p>
    <w:p w14:paraId="090DD24C">
      <w:pPr>
        <w:spacing w:line="560" w:lineRule="exact"/>
        <w:ind w:firstLine="480"/>
        <w:rPr>
          <w:rFonts w:ascii="宋体" w:hAnsi="宋体" w:cs="宋体"/>
          <w:color w:val="auto"/>
          <w:sz w:val="24"/>
          <w:highlight w:val="none"/>
        </w:rPr>
      </w:pPr>
    </w:p>
    <w:p w14:paraId="13C583AB">
      <w:pPr>
        <w:pStyle w:val="534"/>
        <w:snapToGrid w:val="0"/>
        <w:spacing w:before="120" w:line="360" w:lineRule="auto"/>
        <w:rPr>
          <w:rFonts w:hint="eastAsia" w:ascii="宋体" w:hAnsi="宋体" w:cs="宋体"/>
          <w:color w:val="auto"/>
          <w:szCs w:val="24"/>
          <w:highlight w:val="none"/>
        </w:rPr>
      </w:pPr>
      <w:r>
        <w:rPr>
          <w:rFonts w:hint="eastAsia" w:ascii="宋体" w:hAnsi="宋体" w:cs="宋体"/>
          <w:color w:val="auto"/>
          <w:szCs w:val="24"/>
          <w:highlight w:val="none"/>
        </w:rPr>
        <w:t>投标人全称（电子签章）：</w:t>
      </w:r>
      <w:r>
        <w:rPr>
          <w:rFonts w:hint="eastAsia" w:ascii="宋体" w:hAnsi="宋体" w:cs="宋体"/>
          <w:color w:val="auto"/>
          <w:szCs w:val="24"/>
          <w:highlight w:val="none"/>
          <w:u w:val="single"/>
        </w:rPr>
        <w:t xml:space="preserve">                         </w:t>
      </w:r>
    </w:p>
    <w:p w14:paraId="403F08CF">
      <w:pPr>
        <w:snapToGrid w:val="0"/>
        <w:spacing w:before="120" w:line="360" w:lineRule="auto"/>
        <w:ind w:right="600"/>
        <w:rPr>
          <w:rFonts w:hint="eastAsia" w:ascii="宋体" w:hAnsi="宋体" w:cs="宋体"/>
          <w:color w:val="auto"/>
          <w:sz w:val="24"/>
          <w:highlight w:val="none"/>
        </w:rPr>
      </w:pPr>
      <w:r>
        <w:rPr>
          <w:rFonts w:hint="eastAsia" w:ascii="宋体" w:hAnsi="宋体" w:cs="宋体"/>
          <w:color w:val="auto"/>
          <w:sz w:val="24"/>
          <w:highlight w:val="none"/>
        </w:rPr>
        <w:t>法定代表人或授权代表（签名或签章）：</w:t>
      </w:r>
      <w:r>
        <w:rPr>
          <w:rFonts w:hint="eastAsia" w:ascii="宋体" w:hAnsi="宋体" w:cs="宋体"/>
          <w:color w:val="auto"/>
          <w:sz w:val="24"/>
          <w:highlight w:val="none"/>
          <w:u w:val="single"/>
        </w:rPr>
        <w:t xml:space="preserve">             </w:t>
      </w:r>
    </w:p>
    <w:p w14:paraId="44FE8DB9">
      <w:pPr>
        <w:snapToGrid w:val="0"/>
        <w:spacing w:before="120" w:line="360" w:lineRule="auto"/>
        <w:rPr>
          <w:rFonts w:hint="eastAsia" w:ascii="宋体" w:hAnsi="宋体" w:cs="宋体"/>
          <w:color w:val="auto"/>
          <w:sz w:val="24"/>
          <w:highlight w:val="none"/>
          <w:u w:val="singl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年    月    日</w:t>
      </w:r>
    </w:p>
    <w:p w14:paraId="796711CE">
      <w:pPr>
        <w:snapToGrid w:val="0"/>
        <w:jc w:val="left"/>
        <w:outlineLvl w:val="0"/>
        <w:rPr>
          <w:rFonts w:hint="eastAsia" w:ascii="宋体" w:hAnsi="宋体"/>
          <w:b/>
          <w:color w:val="auto"/>
          <w:sz w:val="24"/>
          <w:highlight w:val="none"/>
        </w:rPr>
        <w:sectPr>
          <w:pgSz w:w="11906" w:h="16838"/>
          <w:pgMar w:top="1440" w:right="1106" w:bottom="1440" w:left="1440" w:header="851" w:footer="992" w:gutter="0"/>
          <w:cols w:space="720" w:num="1"/>
          <w:docGrid w:linePitch="312" w:charSpace="0"/>
        </w:sectPr>
      </w:pPr>
    </w:p>
    <w:p w14:paraId="410187E1">
      <w:pPr>
        <w:rPr>
          <w:rFonts w:hint="eastAsia" w:ascii="宋体" w:hAnsi="宋体" w:cs="宋体"/>
          <w:color w:val="auto"/>
          <w:sz w:val="28"/>
          <w:szCs w:val="28"/>
          <w:highlight w:val="none"/>
        </w:rPr>
      </w:pPr>
      <w:r>
        <w:rPr>
          <w:rFonts w:hint="eastAsia" w:ascii="宋体" w:hAnsi="宋体" w:cs="宋体"/>
          <w:color w:val="auto"/>
          <w:sz w:val="28"/>
          <w:szCs w:val="28"/>
          <w:highlight w:val="none"/>
        </w:rPr>
        <w:t>附件5：《供应商市场行为信誉情况承诺书》：</w:t>
      </w:r>
    </w:p>
    <w:p w14:paraId="199D50B2">
      <w:pPr>
        <w:jc w:val="center"/>
        <w:rPr>
          <w:rFonts w:ascii="黑体" w:hAnsi="宋体" w:eastAsia="黑体"/>
          <w:b/>
          <w:bCs/>
          <w:color w:val="auto"/>
          <w:kern w:val="0"/>
          <w:sz w:val="32"/>
          <w:szCs w:val="32"/>
          <w:highlight w:val="none"/>
        </w:rPr>
      </w:pPr>
      <w:r>
        <w:rPr>
          <w:rFonts w:hint="eastAsia" w:ascii="黑体" w:hAnsi="宋体" w:eastAsia="黑体"/>
          <w:b/>
          <w:bCs/>
          <w:color w:val="auto"/>
          <w:kern w:val="0"/>
          <w:sz w:val="32"/>
          <w:szCs w:val="32"/>
          <w:highlight w:val="none"/>
        </w:rPr>
        <w:t>供应商市场行为信誉情况承诺书（申明书）</w:t>
      </w:r>
    </w:p>
    <w:tbl>
      <w:tblPr>
        <w:tblStyle w:val="5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8"/>
        <w:gridCol w:w="1310"/>
        <w:gridCol w:w="199"/>
        <w:gridCol w:w="2451"/>
        <w:gridCol w:w="523"/>
        <w:gridCol w:w="1892"/>
        <w:gridCol w:w="2373"/>
      </w:tblGrid>
      <w:tr w14:paraId="286D4F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2337" w:type="dxa"/>
            <w:gridSpan w:val="3"/>
            <w:tcBorders>
              <w:top w:val="single" w:color="auto" w:sz="4" w:space="0"/>
              <w:left w:val="single" w:color="auto" w:sz="4" w:space="0"/>
              <w:bottom w:val="dotted" w:color="auto" w:sz="4" w:space="0"/>
              <w:right w:val="dotted" w:color="auto" w:sz="4" w:space="0"/>
            </w:tcBorders>
            <w:vAlign w:val="center"/>
          </w:tcPr>
          <w:p w14:paraId="35570758">
            <w:pPr>
              <w:spacing w:before="100" w:beforeAutospacing="1" w:after="100" w:afterAutospacing="1" w:line="260" w:lineRule="exact"/>
              <w:jc w:val="center"/>
              <w:rPr>
                <w:rFonts w:ascii="宋体" w:hAnsi="宋体"/>
                <w:color w:val="auto"/>
                <w:sz w:val="24"/>
                <w:highlight w:val="none"/>
              </w:rPr>
            </w:pPr>
            <w:r>
              <w:rPr>
                <w:rFonts w:hint="eastAsia"/>
                <w:color w:val="auto"/>
                <w:highlight w:val="none"/>
              </w:rPr>
              <w:t>投（竞）标</w:t>
            </w:r>
            <w:r>
              <w:rPr>
                <w:rFonts w:hint="eastAsia"/>
                <w:b/>
                <w:bCs/>
                <w:color w:val="auto"/>
                <w:highlight w:val="none"/>
              </w:rPr>
              <w:t>供应商</w:t>
            </w:r>
            <w:r>
              <w:rPr>
                <w:rFonts w:hint="eastAsia"/>
                <w:color w:val="auto"/>
                <w:highlight w:val="none"/>
              </w:rPr>
              <w:t>名称</w:t>
            </w:r>
            <w:r>
              <w:rPr>
                <w:color w:val="auto"/>
                <w:highlight w:val="none"/>
              </w:rPr>
              <w:t xml:space="preserve"> </w:t>
            </w:r>
          </w:p>
        </w:tc>
        <w:tc>
          <w:tcPr>
            <w:tcW w:w="2974" w:type="dxa"/>
            <w:gridSpan w:val="2"/>
            <w:tcBorders>
              <w:top w:val="single" w:color="auto" w:sz="4" w:space="0"/>
              <w:left w:val="dotted" w:color="auto" w:sz="4" w:space="0"/>
              <w:bottom w:val="dotted" w:color="auto" w:sz="4" w:space="0"/>
              <w:right w:val="dotted" w:color="auto" w:sz="4" w:space="0"/>
            </w:tcBorders>
            <w:vAlign w:val="center"/>
          </w:tcPr>
          <w:p w14:paraId="70D87797">
            <w:pPr>
              <w:spacing w:line="260" w:lineRule="exact"/>
              <w:rPr>
                <w:rFonts w:ascii="宋体" w:hAnsi="宋体"/>
                <w:color w:val="auto"/>
                <w:sz w:val="18"/>
                <w:szCs w:val="18"/>
                <w:highlight w:val="none"/>
              </w:rPr>
            </w:pPr>
          </w:p>
        </w:tc>
        <w:tc>
          <w:tcPr>
            <w:tcW w:w="1892" w:type="dxa"/>
            <w:tcBorders>
              <w:top w:val="single" w:color="auto" w:sz="4" w:space="0"/>
              <w:left w:val="dotted" w:color="auto" w:sz="4" w:space="0"/>
              <w:bottom w:val="dotted" w:color="auto" w:sz="4" w:space="0"/>
              <w:right w:val="dotted" w:color="auto" w:sz="4" w:space="0"/>
            </w:tcBorders>
            <w:vAlign w:val="center"/>
          </w:tcPr>
          <w:p w14:paraId="0434C10C">
            <w:pPr>
              <w:spacing w:before="100" w:beforeAutospacing="1" w:after="100" w:afterAutospacing="1" w:line="260" w:lineRule="exact"/>
              <w:jc w:val="center"/>
              <w:rPr>
                <w:color w:val="auto"/>
                <w:highlight w:val="none"/>
              </w:rPr>
            </w:pPr>
            <w:r>
              <w:rPr>
                <w:rFonts w:hint="eastAsia"/>
                <w:color w:val="auto"/>
                <w:highlight w:val="none"/>
              </w:rPr>
              <w:t>企业资质等级</w:t>
            </w:r>
          </w:p>
          <w:p w14:paraId="2EF9E7E9">
            <w:pPr>
              <w:spacing w:before="100" w:beforeAutospacing="1" w:after="100" w:afterAutospacing="1" w:line="260" w:lineRule="exact"/>
              <w:jc w:val="center"/>
              <w:rPr>
                <w:rFonts w:ascii="宋体" w:hAnsi="宋体"/>
                <w:color w:val="auto"/>
                <w:sz w:val="24"/>
                <w:highlight w:val="none"/>
              </w:rPr>
            </w:pPr>
            <w:r>
              <w:rPr>
                <w:rFonts w:hint="eastAsia"/>
                <w:color w:val="auto"/>
                <w:highlight w:val="none"/>
              </w:rPr>
              <w:t>（如</w:t>
            </w:r>
            <w:r>
              <w:rPr>
                <w:color w:val="auto"/>
                <w:highlight w:val="none"/>
              </w:rPr>
              <w:t xml:space="preserve"> </w:t>
            </w:r>
            <w:r>
              <w:rPr>
                <w:rFonts w:hint="eastAsia"/>
                <w:color w:val="auto"/>
                <w:highlight w:val="none"/>
              </w:rPr>
              <w:t>有）</w:t>
            </w:r>
            <w:r>
              <w:rPr>
                <w:color w:val="auto"/>
                <w:highlight w:val="none"/>
              </w:rPr>
              <w:t xml:space="preserve"> </w:t>
            </w:r>
          </w:p>
        </w:tc>
        <w:tc>
          <w:tcPr>
            <w:tcW w:w="2373" w:type="dxa"/>
            <w:tcBorders>
              <w:top w:val="single" w:color="auto" w:sz="4" w:space="0"/>
              <w:left w:val="dotted" w:color="auto" w:sz="4" w:space="0"/>
              <w:bottom w:val="dotted" w:color="auto" w:sz="4" w:space="0"/>
              <w:right w:val="single" w:color="auto" w:sz="4" w:space="0"/>
            </w:tcBorders>
            <w:vAlign w:val="center"/>
          </w:tcPr>
          <w:p w14:paraId="3B891A6B">
            <w:pPr>
              <w:spacing w:line="260" w:lineRule="exact"/>
              <w:rPr>
                <w:rFonts w:ascii="宋体" w:hAnsi="宋体"/>
                <w:color w:val="auto"/>
                <w:sz w:val="18"/>
                <w:szCs w:val="18"/>
                <w:highlight w:val="none"/>
              </w:rPr>
            </w:pPr>
          </w:p>
        </w:tc>
      </w:tr>
      <w:tr w14:paraId="2C3D7A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2337" w:type="dxa"/>
            <w:gridSpan w:val="3"/>
            <w:tcBorders>
              <w:top w:val="dotted" w:color="auto" w:sz="4" w:space="0"/>
              <w:left w:val="single" w:color="auto" w:sz="4" w:space="0"/>
              <w:bottom w:val="dotted" w:color="auto" w:sz="4" w:space="0"/>
              <w:right w:val="dotted" w:color="auto" w:sz="4" w:space="0"/>
            </w:tcBorders>
            <w:vAlign w:val="center"/>
          </w:tcPr>
          <w:p w14:paraId="0CBCCF18">
            <w:pPr>
              <w:spacing w:before="100" w:beforeAutospacing="1" w:after="100" w:afterAutospacing="1" w:line="260" w:lineRule="exact"/>
              <w:jc w:val="center"/>
              <w:rPr>
                <w:rFonts w:ascii="宋体" w:hAnsi="宋体"/>
                <w:color w:val="auto"/>
                <w:sz w:val="24"/>
                <w:highlight w:val="none"/>
              </w:rPr>
            </w:pPr>
            <w:r>
              <w:rPr>
                <w:rFonts w:hint="eastAsia"/>
                <w:color w:val="auto"/>
                <w:highlight w:val="none"/>
              </w:rPr>
              <w:t>企</w:t>
            </w:r>
            <w:r>
              <w:rPr>
                <w:color w:val="auto"/>
                <w:highlight w:val="none"/>
              </w:rPr>
              <w:t xml:space="preserve"> </w:t>
            </w:r>
            <w:r>
              <w:rPr>
                <w:rFonts w:hint="eastAsia"/>
                <w:color w:val="auto"/>
                <w:highlight w:val="none"/>
              </w:rPr>
              <w:t>业</w:t>
            </w:r>
            <w:r>
              <w:rPr>
                <w:color w:val="auto"/>
                <w:highlight w:val="none"/>
              </w:rPr>
              <w:t xml:space="preserve"> </w:t>
            </w:r>
            <w:r>
              <w:rPr>
                <w:rFonts w:hint="eastAsia"/>
                <w:color w:val="auto"/>
                <w:highlight w:val="none"/>
              </w:rPr>
              <w:t>地</w:t>
            </w:r>
            <w:r>
              <w:rPr>
                <w:color w:val="auto"/>
                <w:highlight w:val="none"/>
              </w:rPr>
              <w:t xml:space="preserve"> </w:t>
            </w:r>
            <w:r>
              <w:rPr>
                <w:rFonts w:hint="eastAsia"/>
                <w:color w:val="auto"/>
                <w:highlight w:val="none"/>
              </w:rPr>
              <w:t>址</w:t>
            </w:r>
            <w:r>
              <w:rPr>
                <w:color w:val="auto"/>
                <w:highlight w:val="none"/>
              </w:rPr>
              <w:t xml:space="preserve"> </w:t>
            </w:r>
          </w:p>
        </w:tc>
        <w:tc>
          <w:tcPr>
            <w:tcW w:w="2974" w:type="dxa"/>
            <w:gridSpan w:val="2"/>
            <w:tcBorders>
              <w:top w:val="dotted" w:color="auto" w:sz="4" w:space="0"/>
              <w:left w:val="dotted" w:color="auto" w:sz="4" w:space="0"/>
              <w:bottom w:val="dotted" w:color="auto" w:sz="4" w:space="0"/>
              <w:right w:val="dotted" w:color="auto" w:sz="4" w:space="0"/>
            </w:tcBorders>
            <w:vAlign w:val="center"/>
          </w:tcPr>
          <w:p w14:paraId="5123CAD3">
            <w:pPr>
              <w:spacing w:line="260" w:lineRule="exact"/>
              <w:rPr>
                <w:rFonts w:ascii="宋体" w:hAnsi="宋体"/>
                <w:color w:val="auto"/>
                <w:sz w:val="18"/>
                <w:szCs w:val="18"/>
                <w:highlight w:val="none"/>
              </w:rPr>
            </w:pPr>
          </w:p>
        </w:tc>
        <w:tc>
          <w:tcPr>
            <w:tcW w:w="1892" w:type="dxa"/>
            <w:tcBorders>
              <w:top w:val="dotted" w:color="auto" w:sz="4" w:space="0"/>
              <w:left w:val="dotted" w:color="auto" w:sz="4" w:space="0"/>
              <w:bottom w:val="dotted" w:color="auto" w:sz="4" w:space="0"/>
              <w:right w:val="dotted" w:color="auto" w:sz="4" w:space="0"/>
            </w:tcBorders>
            <w:vAlign w:val="center"/>
          </w:tcPr>
          <w:p w14:paraId="7FB2D1C0">
            <w:pPr>
              <w:spacing w:before="100" w:beforeAutospacing="1" w:after="100" w:afterAutospacing="1" w:line="260" w:lineRule="exact"/>
              <w:jc w:val="center"/>
              <w:rPr>
                <w:rFonts w:ascii="宋体" w:hAnsi="宋体"/>
                <w:color w:val="auto"/>
                <w:sz w:val="24"/>
                <w:highlight w:val="none"/>
              </w:rPr>
            </w:pPr>
            <w:r>
              <w:rPr>
                <w:rFonts w:hint="eastAsia"/>
                <w:color w:val="auto"/>
                <w:highlight w:val="none"/>
              </w:rPr>
              <w:t>联</w:t>
            </w:r>
            <w:r>
              <w:rPr>
                <w:color w:val="auto"/>
                <w:highlight w:val="none"/>
              </w:rPr>
              <w:t xml:space="preserve"> </w:t>
            </w:r>
            <w:r>
              <w:rPr>
                <w:rFonts w:hint="eastAsia"/>
                <w:color w:val="auto"/>
                <w:highlight w:val="none"/>
              </w:rPr>
              <w:t>系</w:t>
            </w:r>
            <w:r>
              <w:rPr>
                <w:color w:val="auto"/>
                <w:highlight w:val="none"/>
              </w:rPr>
              <w:t xml:space="preserve"> </w:t>
            </w:r>
            <w:r>
              <w:rPr>
                <w:rFonts w:hint="eastAsia"/>
                <w:color w:val="auto"/>
                <w:highlight w:val="none"/>
              </w:rPr>
              <w:t>电</w:t>
            </w:r>
            <w:r>
              <w:rPr>
                <w:color w:val="auto"/>
                <w:highlight w:val="none"/>
              </w:rPr>
              <w:t xml:space="preserve"> </w:t>
            </w:r>
            <w:r>
              <w:rPr>
                <w:rFonts w:hint="eastAsia"/>
                <w:color w:val="auto"/>
                <w:highlight w:val="none"/>
              </w:rPr>
              <w:t>话</w:t>
            </w:r>
            <w:r>
              <w:rPr>
                <w:color w:val="auto"/>
                <w:highlight w:val="none"/>
              </w:rPr>
              <w:t xml:space="preserve"> </w:t>
            </w:r>
          </w:p>
        </w:tc>
        <w:tc>
          <w:tcPr>
            <w:tcW w:w="2373" w:type="dxa"/>
            <w:tcBorders>
              <w:top w:val="dotted" w:color="auto" w:sz="4" w:space="0"/>
              <w:left w:val="dotted" w:color="auto" w:sz="4" w:space="0"/>
              <w:bottom w:val="dotted" w:color="auto" w:sz="4" w:space="0"/>
              <w:right w:val="single" w:color="auto" w:sz="4" w:space="0"/>
            </w:tcBorders>
            <w:vAlign w:val="center"/>
          </w:tcPr>
          <w:p w14:paraId="69FC866E">
            <w:pPr>
              <w:spacing w:line="260" w:lineRule="exact"/>
              <w:rPr>
                <w:rFonts w:ascii="宋体" w:hAnsi="宋体"/>
                <w:color w:val="auto"/>
                <w:sz w:val="18"/>
                <w:szCs w:val="18"/>
                <w:highlight w:val="none"/>
              </w:rPr>
            </w:pPr>
          </w:p>
        </w:tc>
      </w:tr>
      <w:tr w14:paraId="0AD4CE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7" w:hRule="atLeast"/>
        </w:trPr>
        <w:tc>
          <w:tcPr>
            <w:tcW w:w="2337" w:type="dxa"/>
            <w:gridSpan w:val="3"/>
            <w:tcBorders>
              <w:top w:val="dotted" w:color="auto" w:sz="4" w:space="0"/>
              <w:left w:val="single" w:color="auto" w:sz="4" w:space="0"/>
              <w:bottom w:val="dotted" w:color="auto" w:sz="4" w:space="0"/>
              <w:right w:val="dotted" w:color="auto" w:sz="4" w:space="0"/>
            </w:tcBorders>
            <w:vAlign w:val="center"/>
          </w:tcPr>
          <w:p w14:paraId="490526CB">
            <w:pPr>
              <w:spacing w:before="100" w:beforeAutospacing="1" w:after="100" w:afterAutospacing="1" w:line="260" w:lineRule="exact"/>
              <w:jc w:val="center"/>
              <w:rPr>
                <w:rFonts w:ascii="宋体" w:hAnsi="宋体"/>
                <w:color w:val="auto"/>
                <w:sz w:val="24"/>
                <w:highlight w:val="none"/>
              </w:rPr>
            </w:pPr>
            <w:r>
              <w:rPr>
                <w:rFonts w:hint="eastAsia"/>
                <w:color w:val="auto"/>
                <w:highlight w:val="none"/>
              </w:rPr>
              <w:t>拟投（竞）标项目名称</w:t>
            </w:r>
            <w:r>
              <w:rPr>
                <w:color w:val="auto"/>
                <w:highlight w:val="none"/>
              </w:rPr>
              <w:t xml:space="preserve"> </w:t>
            </w:r>
          </w:p>
        </w:tc>
        <w:tc>
          <w:tcPr>
            <w:tcW w:w="2974" w:type="dxa"/>
            <w:gridSpan w:val="2"/>
            <w:tcBorders>
              <w:top w:val="dotted" w:color="auto" w:sz="4" w:space="0"/>
              <w:left w:val="dotted" w:color="auto" w:sz="4" w:space="0"/>
              <w:bottom w:val="dotted" w:color="auto" w:sz="4" w:space="0"/>
              <w:right w:val="dotted" w:color="auto" w:sz="4" w:space="0"/>
            </w:tcBorders>
            <w:vAlign w:val="center"/>
          </w:tcPr>
          <w:p w14:paraId="023B66A3">
            <w:pPr>
              <w:spacing w:line="260" w:lineRule="exact"/>
              <w:rPr>
                <w:rFonts w:ascii="宋体" w:hAnsi="宋体"/>
                <w:color w:val="auto"/>
                <w:sz w:val="18"/>
                <w:szCs w:val="18"/>
                <w:highlight w:val="none"/>
              </w:rPr>
            </w:pPr>
          </w:p>
        </w:tc>
        <w:tc>
          <w:tcPr>
            <w:tcW w:w="1892" w:type="dxa"/>
            <w:tcBorders>
              <w:top w:val="dotted" w:color="auto" w:sz="4" w:space="0"/>
              <w:left w:val="dotted" w:color="auto" w:sz="4" w:space="0"/>
              <w:bottom w:val="dotted" w:color="auto" w:sz="4" w:space="0"/>
              <w:right w:val="dotted" w:color="auto" w:sz="4" w:space="0"/>
            </w:tcBorders>
            <w:vAlign w:val="center"/>
          </w:tcPr>
          <w:p w14:paraId="0639AC6C">
            <w:pPr>
              <w:spacing w:before="100" w:beforeAutospacing="1" w:after="100" w:afterAutospacing="1" w:line="260" w:lineRule="exact"/>
              <w:jc w:val="center"/>
              <w:rPr>
                <w:rFonts w:ascii="宋体" w:hAnsi="宋体"/>
                <w:color w:val="auto"/>
                <w:sz w:val="24"/>
                <w:highlight w:val="none"/>
              </w:rPr>
            </w:pPr>
            <w:r>
              <w:rPr>
                <w:rFonts w:hint="eastAsia"/>
                <w:color w:val="auto"/>
                <w:highlight w:val="none"/>
              </w:rPr>
              <w:t>拟投标项目负责人姓名及资质</w:t>
            </w:r>
            <w:r>
              <w:rPr>
                <w:color w:val="auto"/>
                <w:highlight w:val="none"/>
              </w:rPr>
              <w:t xml:space="preserve"> </w:t>
            </w:r>
          </w:p>
        </w:tc>
        <w:tc>
          <w:tcPr>
            <w:tcW w:w="2373" w:type="dxa"/>
            <w:tcBorders>
              <w:top w:val="dotted" w:color="auto" w:sz="4" w:space="0"/>
              <w:left w:val="dotted" w:color="auto" w:sz="4" w:space="0"/>
              <w:bottom w:val="dotted" w:color="auto" w:sz="4" w:space="0"/>
              <w:right w:val="single" w:color="auto" w:sz="4" w:space="0"/>
            </w:tcBorders>
          </w:tcPr>
          <w:p w14:paraId="39BD2705">
            <w:pPr>
              <w:spacing w:line="260" w:lineRule="exact"/>
              <w:rPr>
                <w:rFonts w:ascii="宋体" w:hAnsi="宋体"/>
                <w:color w:val="auto"/>
                <w:sz w:val="18"/>
                <w:szCs w:val="18"/>
                <w:highlight w:val="none"/>
              </w:rPr>
            </w:pPr>
          </w:p>
        </w:tc>
      </w:tr>
      <w:tr w14:paraId="7C0544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3" w:hRule="atLeast"/>
        </w:trPr>
        <w:tc>
          <w:tcPr>
            <w:tcW w:w="828" w:type="dxa"/>
            <w:vMerge w:val="restart"/>
            <w:tcBorders>
              <w:top w:val="single" w:color="auto" w:sz="4" w:space="0"/>
              <w:left w:val="single" w:color="auto" w:sz="4" w:space="0"/>
              <w:bottom w:val="dotted" w:color="auto" w:sz="4" w:space="0"/>
              <w:right w:val="dotted" w:color="auto" w:sz="4" w:space="0"/>
            </w:tcBorders>
            <w:vAlign w:val="center"/>
          </w:tcPr>
          <w:p w14:paraId="31ADCE9E">
            <w:pPr>
              <w:spacing w:before="100" w:beforeAutospacing="1" w:after="100" w:afterAutospacing="1" w:line="260" w:lineRule="exact"/>
              <w:jc w:val="center"/>
              <w:rPr>
                <w:color w:val="auto"/>
                <w:sz w:val="24"/>
                <w:highlight w:val="none"/>
              </w:rPr>
            </w:pPr>
            <w:r>
              <w:rPr>
                <w:rFonts w:hint="eastAsia"/>
                <w:color w:val="auto"/>
                <w:highlight w:val="none"/>
              </w:rPr>
              <w:t>供应商</w:t>
            </w:r>
          </w:p>
          <w:p w14:paraId="062F5C69">
            <w:pPr>
              <w:spacing w:before="100" w:beforeAutospacing="1" w:after="100" w:afterAutospacing="1" w:line="260" w:lineRule="exact"/>
              <w:jc w:val="center"/>
              <w:rPr>
                <w:color w:val="auto"/>
                <w:sz w:val="24"/>
                <w:highlight w:val="none"/>
              </w:rPr>
            </w:pPr>
            <w:r>
              <w:rPr>
                <w:rFonts w:hint="eastAsia"/>
                <w:color w:val="auto"/>
                <w:highlight w:val="none"/>
              </w:rPr>
              <w:t>市场</w:t>
            </w:r>
          </w:p>
          <w:p w14:paraId="4CE206AF">
            <w:pPr>
              <w:spacing w:before="100" w:beforeAutospacing="1" w:after="100" w:afterAutospacing="1" w:line="260" w:lineRule="exact"/>
              <w:jc w:val="center"/>
              <w:rPr>
                <w:color w:val="auto"/>
                <w:sz w:val="24"/>
                <w:highlight w:val="none"/>
              </w:rPr>
            </w:pPr>
            <w:r>
              <w:rPr>
                <w:rFonts w:hint="eastAsia"/>
                <w:color w:val="auto"/>
                <w:highlight w:val="none"/>
              </w:rPr>
              <w:t>行为</w:t>
            </w:r>
          </w:p>
          <w:p w14:paraId="0D949FDC">
            <w:pPr>
              <w:spacing w:before="100" w:beforeAutospacing="1" w:after="100" w:afterAutospacing="1" w:line="260" w:lineRule="exact"/>
              <w:jc w:val="center"/>
              <w:rPr>
                <w:color w:val="auto"/>
                <w:sz w:val="24"/>
                <w:highlight w:val="none"/>
              </w:rPr>
            </w:pPr>
            <w:r>
              <w:rPr>
                <w:rFonts w:hint="eastAsia"/>
                <w:color w:val="auto"/>
                <w:highlight w:val="none"/>
              </w:rPr>
              <w:t>信用</w:t>
            </w:r>
          </w:p>
          <w:p w14:paraId="2D0A2B50">
            <w:pPr>
              <w:spacing w:before="100" w:beforeAutospacing="1" w:after="100" w:afterAutospacing="1" w:line="260" w:lineRule="exact"/>
              <w:jc w:val="center"/>
              <w:rPr>
                <w:color w:val="auto"/>
                <w:highlight w:val="none"/>
              </w:rPr>
            </w:pPr>
            <w:r>
              <w:rPr>
                <w:rFonts w:hint="eastAsia"/>
                <w:color w:val="auto"/>
                <w:highlight w:val="none"/>
              </w:rPr>
              <w:t>情况</w:t>
            </w:r>
          </w:p>
        </w:tc>
        <w:tc>
          <w:tcPr>
            <w:tcW w:w="3960" w:type="dxa"/>
            <w:gridSpan w:val="3"/>
            <w:tcBorders>
              <w:top w:val="single" w:color="auto" w:sz="4" w:space="0"/>
              <w:left w:val="dotted" w:color="auto" w:sz="4" w:space="0"/>
              <w:bottom w:val="dotted" w:color="auto" w:sz="4" w:space="0"/>
              <w:right w:val="dotted" w:color="auto" w:sz="4" w:space="0"/>
            </w:tcBorders>
            <w:vAlign w:val="center"/>
          </w:tcPr>
          <w:p w14:paraId="7984B9E7">
            <w:pPr>
              <w:spacing w:before="100" w:beforeAutospacing="1" w:after="100" w:afterAutospacing="1" w:line="260" w:lineRule="exact"/>
              <w:rPr>
                <w:color w:val="auto"/>
                <w:highlight w:val="none"/>
              </w:rPr>
            </w:pPr>
            <w:r>
              <w:rPr>
                <w:rFonts w:hint="eastAsia"/>
                <w:color w:val="auto"/>
                <w:highlight w:val="none"/>
              </w:rPr>
              <w:t>有无受到所在地检察机关行贿犯罪档案记录的。</w:t>
            </w:r>
          </w:p>
        </w:tc>
        <w:tc>
          <w:tcPr>
            <w:tcW w:w="4788" w:type="dxa"/>
            <w:gridSpan w:val="3"/>
            <w:tcBorders>
              <w:top w:val="single" w:color="auto" w:sz="4" w:space="0"/>
              <w:left w:val="dotted" w:color="auto" w:sz="4" w:space="0"/>
              <w:bottom w:val="dotted" w:color="auto" w:sz="4" w:space="0"/>
              <w:right w:val="single" w:color="auto" w:sz="4" w:space="0"/>
            </w:tcBorders>
            <w:vAlign w:val="center"/>
          </w:tcPr>
          <w:p w14:paraId="1C904B89">
            <w:pPr>
              <w:spacing w:line="260" w:lineRule="exact"/>
              <w:jc w:val="center"/>
              <w:rPr>
                <w:rFonts w:ascii="宋体" w:hAnsi="宋体"/>
                <w:color w:val="auto"/>
                <w:sz w:val="18"/>
                <w:szCs w:val="18"/>
                <w:highlight w:val="none"/>
              </w:rPr>
            </w:pPr>
          </w:p>
        </w:tc>
      </w:tr>
      <w:tr w14:paraId="755BCD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14:paraId="604C6468">
            <w:pPr>
              <w:widowControl/>
              <w:jc w:val="left"/>
              <w:rPr>
                <w:color w:val="auto"/>
                <w:highlight w:val="none"/>
              </w:rPr>
            </w:pPr>
          </w:p>
        </w:tc>
        <w:tc>
          <w:tcPr>
            <w:tcW w:w="3960" w:type="dxa"/>
            <w:gridSpan w:val="3"/>
            <w:tcBorders>
              <w:top w:val="single" w:color="auto" w:sz="4" w:space="0"/>
              <w:left w:val="dotted" w:color="auto" w:sz="4" w:space="0"/>
              <w:bottom w:val="dotted" w:color="auto" w:sz="4" w:space="0"/>
              <w:right w:val="dotted" w:color="auto" w:sz="4" w:space="0"/>
            </w:tcBorders>
            <w:vAlign w:val="center"/>
          </w:tcPr>
          <w:p w14:paraId="72703D53">
            <w:pPr>
              <w:spacing w:before="100" w:beforeAutospacing="1" w:after="100" w:afterAutospacing="1" w:line="260" w:lineRule="exact"/>
              <w:rPr>
                <w:color w:val="auto"/>
                <w:highlight w:val="none"/>
              </w:rPr>
            </w:pPr>
            <w:r>
              <w:rPr>
                <w:rFonts w:hint="eastAsia"/>
                <w:color w:val="auto"/>
                <w:highlight w:val="none"/>
              </w:rPr>
              <w:t>供应商或其法定代表人、董事、监事、高级管理人员有无被区县级及以上人民法院列入失信被执行人名单状态的</w:t>
            </w:r>
          </w:p>
        </w:tc>
        <w:tc>
          <w:tcPr>
            <w:tcW w:w="4788" w:type="dxa"/>
            <w:gridSpan w:val="3"/>
            <w:tcBorders>
              <w:top w:val="single" w:color="auto" w:sz="4" w:space="0"/>
              <w:left w:val="dotted" w:color="auto" w:sz="4" w:space="0"/>
              <w:bottom w:val="dotted" w:color="auto" w:sz="4" w:space="0"/>
              <w:right w:val="single" w:color="auto" w:sz="4" w:space="0"/>
            </w:tcBorders>
          </w:tcPr>
          <w:p w14:paraId="7AD9BBAC">
            <w:pPr>
              <w:spacing w:line="260" w:lineRule="exact"/>
              <w:rPr>
                <w:rFonts w:ascii="宋体" w:hAnsi="宋体"/>
                <w:color w:val="auto"/>
                <w:sz w:val="18"/>
                <w:szCs w:val="18"/>
                <w:highlight w:val="none"/>
              </w:rPr>
            </w:pPr>
          </w:p>
        </w:tc>
      </w:tr>
      <w:tr w14:paraId="19B3AA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14:paraId="39B1F87E">
            <w:pPr>
              <w:widowControl/>
              <w:jc w:val="left"/>
              <w:rPr>
                <w:color w:val="auto"/>
                <w:highlight w:val="none"/>
              </w:rPr>
            </w:pPr>
          </w:p>
        </w:tc>
        <w:tc>
          <w:tcPr>
            <w:tcW w:w="3960" w:type="dxa"/>
            <w:gridSpan w:val="3"/>
            <w:tcBorders>
              <w:top w:val="single" w:color="auto" w:sz="4" w:space="0"/>
              <w:left w:val="dotted" w:color="auto" w:sz="4" w:space="0"/>
              <w:bottom w:val="dotted" w:color="auto" w:sz="4" w:space="0"/>
              <w:right w:val="dotted" w:color="auto" w:sz="4" w:space="0"/>
            </w:tcBorders>
          </w:tcPr>
          <w:p w14:paraId="01AA6B18">
            <w:pPr>
              <w:spacing w:before="100" w:beforeAutospacing="1" w:after="100" w:afterAutospacing="1" w:line="260" w:lineRule="exact"/>
              <w:rPr>
                <w:rFonts w:hint="eastAsia"/>
                <w:color w:val="auto"/>
                <w:highlight w:val="none"/>
              </w:rPr>
            </w:pPr>
            <w:r>
              <w:rPr>
                <w:rFonts w:hint="eastAsia"/>
                <w:color w:val="auto"/>
                <w:highlight w:val="none"/>
              </w:rPr>
              <w:t>供应商或其法定代表人、董事、监事、高级管理人员有无被“信用浙江”网或“中国信用网”被列入不良行为记录的</w:t>
            </w:r>
          </w:p>
        </w:tc>
        <w:tc>
          <w:tcPr>
            <w:tcW w:w="4788" w:type="dxa"/>
            <w:gridSpan w:val="3"/>
            <w:tcBorders>
              <w:top w:val="single" w:color="auto" w:sz="4" w:space="0"/>
              <w:left w:val="dotted" w:color="auto" w:sz="4" w:space="0"/>
              <w:bottom w:val="dotted" w:color="auto" w:sz="4" w:space="0"/>
              <w:right w:val="single" w:color="auto" w:sz="4" w:space="0"/>
            </w:tcBorders>
          </w:tcPr>
          <w:p w14:paraId="1F8CE030">
            <w:pPr>
              <w:spacing w:line="260" w:lineRule="exact"/>
              <w:rPr>
                <w:rFonts w:ascii="宋体" w:hAnsi="宋体"/>
                <w:color w:val="auto"/>
                <w:sz w:val="18"/>
                <w:szCs w:val="18"/>
                <w:highlight w:val="none"/>
              </w:rPr>
            </w:pPr>
          </w:p>
        </w:tc>
      </w:tr>
      <w:tr w14:paraId="29EC91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16"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14:paraId="422444F0">
            <w:pPr>
              <w:widowControl/>
              <w:jc w:val="left"/>
              <w:rPr>
                <w:color w:val="auto"/>
                <w:highlight w:val="none"/>
              </w:rPr>
            </w:pPr>
          </w:p>
        </w:tc>
        <w:tc>
          <w:tcPr>
            <w:tcW w:w="3960" w:type="dxa"/>
            <w:gridSpan w:val="3"/>
            <w:tcBorders>
              <w:top w:val="dotted" w:color="auto" w:sz="4" w:space="0"/>
              <w:left w:val="dotted" w:color="auto" w:sz="4" w:space="0"/>
              <w:bottom w:val="nil"/>
              <w:right w:val="dotted" w:color="auto" w:sz="4" w:space="0"/>
            </w:tcBorders>
            <w:vAlign w:val="center"/>
          </w:tcPr>
          <w:p w14:paraId="65857570">
            <w:pPr>
              <w:spacing w:before="100" w:beforeAutospacing="1" w:after="100" w:afterAutospacing="1" w:line="260" w:lineRule="exact"/>
              <w:rPr>
                <w:rFonts w:ascii="宋体" w:hAnsi="宋体"/>
                <w:color w:val="auto"/>
                <w:sz w:val="24"/>
                <w:highlight w:val="none"/>
              </w:rPr>
            </w:pPr>
            <w:r>
              <w:rPr>
                <w:rFonts w:hint="eastAsia"/>
                <w:color w:val="auto"/>
                <w:highlight w:val="none"/>
              </w:rPr>
              <w:t>有无受到财政部门处理、公告的不良行为；有无受到司法机关、市场监管等部门不诚信公告（不在公告期但在三年内）</w:t>
            </w:r>
          </w:p>
        </w:tc>
        <w:tc>
          <w:tcPr>
            <w:tcW w:w="4788" w:type="dxa"/>
            <w:gridSpan w:val="3"/>
            <w:tcBorders>
              <w:top w:val="dotted" w:color="auto" w:sz="4" w:space="0"/>
              <w:left w:val="dotted" w:color="auto" w:sz="4" w:space="0"/>
              <w:bottom w:val="nil"/>
              <w:right w:val="single" w:color="auto" w:sz="4" w:space="0"/>
            </w:tcBorders>
          </w:tcPr>
          <w:p w14:paraId="0A0C0660">
            <w:pPr>
              <w:spacing w:line="260" w:lineRule="exact"/>
              <w:rPr>
                <w:rFonts w:ascii="宋体" w:hAnsi="宋体"/>
                <w:color w:val="auto"/>
                <w:sz w:val="18"/>
                <w:szCs w:val="18"/>
                <w:highlight w:val="none"/>
              </w:rPr>
            </w:pPr>
          </w:p>
        </w:tc>
      </w:tr>
      <w:tr w14:paraId="51FF50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03"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14:paraId="11EF29DE">
            <w:pPr>
              <w:widowControl/>
              <w:jc w:val="left"/>
              <w:rPr>
                <w:color w:val="auto"/>
                <w:highlight w:val="none"/>
              </w:rPr>
            </w:pPr>
          </w:p>
        </w:tc>
        <w:tc>
          <w:tcPr>
            <w:tcW w:w="3960" w:type="dxa"/>
            <w:gridSpan w:val="3"/>
            <w:tcBorders>
              <w:top w:val="dotted" w:color="auto" w:sz="4" w:space="0"/>
              <w:left w:val="dotted" w:color="auto" w:sz="4" w:space="0"/>
              <w:bottom w:val="dotted" w:color="auto" w:sz="4" w:space="0"/>
              <w:right w:val="dotted" w:color="auto" w:sz="4" w:space="0"/>
            </w:tcBorders>
            <w:vAlign w:val="center"/>
          </w:tcPr>
          <w:p w14:paraId="735E1615">
            <w:pPr>
              <w:spacing w:before="100" w:beforeAutospacing="1" w:after="100" w:afterAutospacing="1" w:line="260" w:lineRule="exact"/>
              <w:rPr>
                <w:color w:val="auto"/>
                <w:highlight w:val="none"/>
              </w:rPr>
            </w:pPr>
            <w:r>
              <w:rPr>
                <w:rFonts w:hint="eastAsia"/>
                <w:color w:val="auto"/>
                <w:highlight w:val="none"/>
              </w:rPr>
              <w:t>申请报名前三年内，在经营活动中有无重大违法记录（重大违法记录包括：（一）县级以上行政机关对供应商或其法定代表人、董事、监事、高级管理人员在经营活动中的违法行为做出的行政处罚决定，但警告和罚款额在（财库2022-3号）《关于较大数额罚款》以下的除外。（二）各级司法机关对供应商或其法定代表人、董事、监事、高级管理人员在经营活动中的违法行为做出的刑事判决）</w:t>
            </w:r>
          </w:p>
        </w:tc>
        <w:tc>
          <w:tcPr>
            <w:tcW w:w="4788" w:type="dxa"/>
            <w:gridSpan w:val="3"/>
            <w:tcBorders>
              <w:top w:val="dotted" w:color="auto" w:sz="4" w:space="0"/>
              <w:left w:val="dotted" w:color="auto" w:sz="4" w:space="0"/>
              <w:bottom w:val="dotted" w:color="auto" w:sz="4" w:space="0"/>
              <w:right w:val="single" w:color="auto" w:sz="4" w:space="0"/>
            </w:tcBorders>
          </w:tcPr>
          <w:p w14:paraId="461E6745">
            <w:pPr>
              <w:spacing w:line="260" w:lineRule="exact"/>
              <w:rPr>
                <w:rFonts w:ascii="宋体" w:hAnsi="宋体"/>
                <w:color w:val="auto"/>
                <w:sz w:val="18"/>
                <w:szCs w:val="18"/>
                <w:highlight w:val="none"/>
              </w:rPr>
            </w:pPr>
          </w:p>
        </w:tc>
      </w:tr>
      <w:tr w14:paraId="0B0C5F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82" w:hRule="atLeast"/>
        </w:trPr>
        <w:tc>
          <w:tcPr>
            <w:tcW w:w="2138" w:type="dxa"/>
            <w:gridSpan w:val="2"/>
            <w:tcBorders>
              <w:top w:val="dotted" w:color="auto" w:sz="4" w:space="0"/>
              <w:left w:val="single" w:color="auto" w:sz="4" w:space="0"/>
              <w:bottom w:val="single" w:color="auto" w:sz="4" w:space="0"/>
              <w:right w:val="dotted" w:color="auto" w:sz="4" w:space="0"/>
            </w:tcBorders>
            <w:vAlign w:val="center"/>
          </w:tcPr>
          <w:p w14:paraId="6EB11EC8">
            <w:pPr>
              <w:spacing w:before="100" w:beforeAutospacing="1" w:after="100" w:afterAutospacing="1" w:line="260" w:lineRule="exact"/>
              <w:jc w:val="center"/>
              <w:rPr>
                <w:color w:val="auto"/>
                <w:highlight w:val="none"/>
              </w:rPr>
            </w:pPr>
            <w:r>
              <w:rPr>
                <w:rFonts w:hint="eastAsia"/>
                <w:color w:val="auto"/>
                <w:highlight w:val="none"/>
              </w:rPr>
              <w:t>投标供应商</w:t>
            </w:r>
          </w:p>
          <w:p w14:paraId="772CA88B">
            <w:pPr>
              <w:spacing w:before="100" w:beforeAutospacing="1" w:after="100" w:afterAutospacing="1" w:line="260" w:lineRule="exact"/>
              <w:jc w:val="center"/>
              <w:rPr>
                <w:rFonts w:ascii="宋体" w:hAnsi="宋体"/>
                <w:color w:val="auto"/>
                <w:sz w:val="24"/>
                <w:highlight w:val="none"/>
              </w:rPr>
            </w:pPr>
            <w:r>
              <w:rPr>
                <w:color w:val="auto"/>
                <w:highlight w:val="none"/>
              </w:rPr>
              <w:t xml:space="preserve"> </w:t>
            </w:r>
            <w:r>
              <w:rPr>
                <w:rFonts w:hint="eastAsia"/>
                <w:color w:val="auto"/>
                <w:highlight w:val="none"/>
              </w:rPr>
              <w:t>声</w:t>
            </w:r>
            <w:r>
              <w:rPr>
                <w:color w:val="auto"/>
                <w:highlight w:val="none"/>
              </w:rPr>
              <w:t xml:space="preserve"> </w:t>
            </w:r>
            <w:r>
              <w:rPr>
                <w:rFonts w:hint="eastAsia"/>
                <w:color w:val="auto"/>
                <w:highlight w:val="none"/>
              </w:rPr>
              <w:t>明</w:t>
            </w:r>
            <w:r>
              <w:rPr>
                <w:color w:val="auto"/>
                <w:highlight w:val="none"/>
              </w:rPr>
              <w:t xml:space="preserve"> </w:t>
            </w:r>
          </w:p>
        </w:tc>
        <w:tc>
          <w:tcPr>
            <w:tcW w:w="7438" w:type="dxa"/>
            <w:gridSpan w:val="5"/>
            <w:tcBorders>
              <w:top w:val="dotted" w:color="auto" w:sz="4" w:space="0"/>
              <w:left w:val="dotted" w:color="auto" w:sz="4" w:space="0"/>
              <w:bottom w:val="single" w:color="auto" w:sz="4" w:space="0"/>
              <w:right w:val="single" w:color="auto" w:sz="4" w:space="0"/>
            </w:tcBorders>
          </w:tcPr>
          <w:p w14:paraId="532B7DE0">
            <w:pPr>
              <w:pStyle w:val="23"/>
              <w:spacing w:line="260" w:lineRule="exact"/>
              <w:ind w:left="420" w:firstLine="337" w:firstLineChars="196"/>
              <w:rPr>
                <w:color w:val="auto"/>
                <w:szCs w:val="18"/>
                <w:highlight w:val="none"/>
              </w:rPr>
            </w:pPr>
            <w:r>
              <w:rPr>
                <w:rFonts w:hint="eastAsia"/>
                <w:color w:val="auto"/>
                <w:szCs w:val="18"/>
                <w:highlight w:val="none"/>
              </w:rPr>
              <w:t>以上内容是本企业市场行为信用的真实反映，如有不实，愿取消本项目投标资格。</w:t>
            </w:r>
          </w:p>
          <w:p w14:paraId="66D7BB8C">
            <w:pPr>
              <w:spacing w:before="100" w:beforeAutospacing="1" w:after="100" w:afterAutospacing="1" w:line="260" w:lineRule="exact"/>
              <w:jc w:val="center"/>
              <w:rPr>
                <w:color w:val="auto"/>
                <w:sz w:val="24"/>
                <w:highlight w:val="none"/>
              </w:rPr>
            </w:pPr>
            <w:r>
              <w:rPr>
                <w:rFonts w:hint="eastAsia"/>
                <w:color w:val="auto"/>
                <w:highlight w:val="none"/>
              </w:rPr>
              <w:t>法定代表人签名：</w:t>
            </w:r>
            <w:r>
              <w:rPr>
                <w:rFonts w:hint="eastAsia"/>
                <w:color w:val="auto"/>
                <w:highlight w:val="none"/>
                <w:u w:val="single"/>
              </w:rPr>
              <w:t xml:space="preserve">            </w:t>
            </w:r>
            <w:r>
              <w:rPr>
                <w:color w:val="auto"/>
                <w:highlight w:val="none"/>
              </w:rPr>
              <w:t xml:space="preserve"> </w:t>
            </w:r>
          </w:p>
          <w:p w14:paraId="35A7F4DA">
            <w:pPr>
              <w:spacing w:before="100" w:beforeAutospacing="1" w:after="100" w:afterAutospacing="1" w:line="260" w:lineRule="exact"/>
              <w:jc w:val="center"/>
              <w:rPr>
                <w:color w:val="auto"/>
                <w:sz w:val="24"/>
                <w:highlight w:val="none"/>
              </w:rPr>
            </w:pPr>
            <w:r>
              <w:rPr>
                <w:color w:val="auto"/>
                <w:highlight w:val="none"/>
              </w:rPr>
              <w:t>(</w:t>
            </w:r>
            <w:r>
              <w:rPr>
                <w:rFonts w:hint="eastAsia"/>
                <w:color w:val="auto"/>
                <w:highlight w:val="none"/>
              </w:rPr>
              <w:t>电子签章）</w:t>
            </w:r>
            <w:r>
              <w:rPr>
                <w:color w:val="auto"/>
                <w:highlight w:val="none"/>
              </w:rPr>
              <w:t xml:space="preserve"> </w:t>
            </w:r>
          </w:p>
          <w:p w14:paraId="75D97D55">
            <w:pPr>
              <w:spacing w:before="100" w:beforeAutospacing="1" w:after="100" w:afterAutospacing="1" w:line="260" w:lineRule="exact"/>
              <w:jc w:val="center"/>
              <w:rPr>
                <w:rFonts w:ascii="宋体" w:hAnsi="宋体"/>
                <w:color w:val="auto"/>
                <w:sz w:val="24"/>
                <w:highlight w:val="none"/>
              </w:rPr>
            </w:pPr>
            <w:r>
              <w:rPr>
                <w:color w:val="auto"/>
                <w:highlight w:val="none"/>
              </w:rPr>
              <w:t xml:space="preserve">               </w:t>
            </w:r>
            <w:r>
              <w:rPr>
                <w:rFonts w:hint="eastAsia"/>
                <w:color w:val="auto"/>
                <w:highlight w:val="none"/>
              </w:rPr>
              <w:t>日</w:t>
            </w:r>
            <w:r>
              <w:rPr>
                <w:color w:val="auto"/>
                <w:highlight w:val="none"/>
              </w:rPr>
              <w:t xml:space="preserve"> </w:t>
            </w:r>
            <w:r>
              <w:rPr>
                <w:rFonts w:hint="eastAsia"/>
                <w:color w:val="auto"/>
                <w:highlight w:val="none"/>
              </w:rPr>
              <w:t>期：</w:t>
            </w:r>
            <w:r>
              <w:rPr>
                <w:color w:val="auto"/>
                <w:highlight w:val="none"/>
              </w:rPr>
              <w:t xml:space="preserve">    </w:t>
            </w:r>
            <w:r>
              <w:rPr>
                <w:rFonts w:hint="eastAsia"/>
                <w:color w:val="auto"/>
                <w:highlight w:val="none"/>
              </w:rPr>
              <w:t>年</w:t>
            </w:r>
            <w:r>
              <w:rPr>
                <w:color w:val="auto"/>
                <w:highlight w:val="none"/>
              </w:rPr>
              <w:t xml:space="preserve">  </w:t>
            </w:r>
            <w:r>
              <w:rPr>
                <w:rFonts w:hint="eastAsia"/>
                <w:color w:val="auto"/>
                <w:highlight w:val="none"/>
              </w:rPr>
              <w:t>月</w:t>
            </w:r>
            <w:r>
              <w:rPr>
                <w:color w:val="auto"/>
                <w:highlight w:val="none"/>
              </w:rPr>
              <w:t xml:space="preserve">   </w:t>
            </w:r>
            <w:r>
              <w:rPr>
                <w:rFonts w:hint="eastAsia"/>
                <w:color w:val="auto"/>
                <w:highlight w:val="none"/>
              </w:rPr>
              <w:t>日</w:t>
            </w:r>
            <w:r>
              <w:rPr>
                <w:color w:val="auto"/>
                <w:highlight w:val="none"/>
              </w:rPr>
              <w:t xml:space="preserve"> </w:t>
            </w:r>
          </w:p>
        </w:tc>
      </w:tr>
    </w:tbl>
    <w:p w14:paraId="4C97773C">
      <w:pPr>
        <w:rPr>
          <w:rFonts w:hint="eastAsia"/>
          <w:color w:val="auto"/>
          <w:highlight w:val="none"/>
        </w:rPr>
      </w:pPr>
      <w:r>
        <w:rPr>
          <w:rFonts w:hint="eastAsia"/>
          <w:color w:val="auto"/>
          <w:highlight w:val="none"/>
        </w:rPr>
        <w:t>注：</w:t>
      </w:r>
      <w:r>
        <w:rPr>
          <w:color w:val="auto"/>
          <w:highlight w:val="none"/>
        </w:rPr>
        <w:t>1</w:t>
      </w:r>
      <w:r>
        <w:rPr>
          <w:rFonts w:hint="eastAsia"/>
          <w:color w:val="auto"/>
          <w:highlight w:val="none"/>
        </w:rPr>
        <w:t>.本表格内容须如实填写；</w:t>
      </w:r>
    </w:p>
    <w:p w14:paraId="5F32DAEA">
      <w:pPr>
        <w:ind w:firstLine="420" w:firstLineChars="200"/>
        <w:rPr>
          <w:rFonts w:hint="eastAsia"/>
          <w:color w:val="auto"/>
          <w:highlight w:val="none"/>
        </w:rPr>
      </w:pPr>
      <w:r>
        <w:rPr>
          <w:rFonts w:hint="eastAsia"/>
          <w:color w:val="auto"/>
          <w:highlight w:val="none"/>
        </w:rPr>
        <w:t>2.本表格由供应商自己填写，若无表中所列情况，则在相应栏中写“无”，若有，须按具体次数分别说明（包括处罚时间、事由、处罚主体等）；</w:t>
      </w:r>
    </w:p>
    <w:p w14:paraId="49CACED3">
      <w:pPr>
        <w:snapToGrid w:val="0"/>
        <w:spacing w:before="50" w:after="120" w:afterLines="50" w:line="276" w:lineRule="auto"/>
        <w:jc w:val="left"/>
        <w:rPr>
          <w:rFonts w:hint="eastAsia" w:ascii="宋体" w:hAnsi="宋体"/>
          <w:b/>
          <w:color w:val="auto"/>
          <w:sz w:val="24"/>
          <w:highlight w:val="none"/>
        </w:rPr>
      </w:pPr>
    </w:p>
    <w:p w14:paraId="47C7169F">
      <w:pPr>
        <w:snapToGrid w:val="0"/>
        <w:spacing w:before="50" w:after="120" w:afterLines="50" w:line="276" w:lineRule="auto"/>
        <w:jc w:val="left"/>
        <w:rPr>
          <w:rFonts w:hint="eastAsia" w:ascii="宋体" w:hAnsi="宋体"/>
          <w:b/>
          <w:color w:val="auto"/>
          <w:sz w:val="24"/>
          <w:highlight w:val="none"/>
        </w:rPr>
      </w:pPr>
    </w:p>
    <w:p w14:paraId="57054900">
      <w:pPr>
        <w:snapToGrid w:val="0"/>
        <w:spacing w:before="50" w:after="120" w:afterLines="50" w:line="276" w:lineRule="auto"/>
        <w:jc w:val="left"/>
        <w:rPr>
          <w:rFonts w:hint="eastAsia" w:ascii="宋体" w:hAnsi="宋体"/>
          <w:b/>
          <w:color w:val="auto"/>
          <w:sz w:val="24"/>
          <w:highlight w:val="none"/>
        </w:rPr>
      </w:pPr>
    </w:p>
    <w:p w14:paraId="1DAFC708">
      <w:pPr>
        <w:rPr>
          <w:rFonts w:hint="eastAsia" w:ascii="宋体" w:hAnsi="宋体" w:cs="宋体"/>
          <w:color w:val="auto"/>
          <w:sz w:val="28"/>
          <w:szCs w:val="28"/>
          <w:highlight w:val="none"/>
        </w:rPr>
      </w:pPr>
      <w:r>
        <w:rPr>
          <w:rFonts w:hint="eastAsia" w:ascii="宋体" w:hAnsi="宋体" w:cs="宋体"/>
          <w:color w:val="auto"/>
          <w:sz w:val="28"/>
          <w:szCs w:val="28"/>
          <w:highlight w:val="none"/>
        </w:rPr>
        <w:t>附件6：投标单位情况表：</w:t>
      </w:r>
    </w:p>
    <w:p w14:paraId="412D48E9">
      <w:pPr>
        <w:snapToGrid w:val="0"/>
        <w:spacing w:before="120" w:beforeLines="50" w:after="50" w:line="276" w:lineRule="auto"/>
        <w:jc w:val="center"/>
        <w:rPr>
          <w:rFonts w:ascii="宋体" w:hAnsi="宋体"/>
          <w:b/>
          <w:color w:val="auto"/>
          <w:sz w:val="24"/>
          <w:highlight w:val="none"/>
        </w:rPr>
      </w:pPr>
      <w:r>
        <w:rPr>
          <w:rFonts w:hint="eastAsia" w:ascii="宋体" w:hAnsi="宋体"/>
          <w:b/>
          <w:color w:val="auto"/>
          <w:sz w:val="24"/>
          <w:highlight w:val="none"/>
        </w:rPr>
        <w:t>投标单位情况表</w:t>
      </w:r>
    </w:p>
    <w:p w14:paraId="020953BD">
      <w:pPr>
        <w:pStyle w:val="30"/>
        <w:spacing w:before="120" w:after="120" w:line="276" w:lineRule="auto"/>
        <w:rPr>
          <w:rFonts w:ascii="Times New Roman" w:hAnsi="Times New Roman"/>
          <w:color w:val="auto"/>
          <w:highlight w:val="none"/>
        </w:rPr>
      </w:pPr>
      <w:r>
        <w:rPr>
          <w:rFonts w:hint="eastAsia" w:ascii="Times New Roman" w:hAnsi="Times New Roman"/>
          <w:color w:val="auto"/>
          <w:highlight w:val="none"/>
        </w:rPr>
        <w:t>投标单位：                                        填表日期：</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300"/>
        <w:gridCol w:w="3385"/>
        <w:gridCol w:w="1260"/>
        <w:gridCol w:w="158"/>
        <w:gridCol w:w="2627"/>
      </w:tblGrid>
      <w:tr w14:paraId="56C3B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2146" w:type="dxa"/>
            <w:gridSpan w:val="2"/>
            <w:vAlign w:val="center"/>
          </w:tcPr>
          <w:p w14:paraId="34ABB650">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单位名称</w:t>
            </w:r>
          </w:p>
        </w:tc>
        <w:tc>
          <w:tcPr>
            <w:tcW w:w="3385" w:type="dxa"/>
            <w:vAlign w:val="center"/>
          </w:tcPr>
          <w:p w14:paraId="6065B573">
            <w:pPr>
              <w:widowControl/>
              <w:spacing w:line="276" w:lineRule="auto"/>
              <w:jc w:val="center"/>
              <w:rPr>
                <w:rFonts w:ascii="宋体" w:hAnsi="宋体"/>
                <w:color w:val="auto"/>
                <w:szCs w:val="21"/>
                <w:highlight w:val="none"/>
              </w:rPr>
            </w:pPr>
          </w:p>
        </w:tc>
        <w:tc>
          <w:tcPr>
            <w:tcW w:w="1418" w:type="dxa"/>
            <w:gridSpan w:val="2"/>
            <w:vAlign w:val="center"/>
          </w:tcPr>
          <w:p w14:paraId="5636559F">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电话</w:t>
            </w:r>
          </w:p>
        </w:tc>
        <w:tc>
          <w:tcPr>
            <w:tcW w:w="2627" w:type="dxa"/>
            <w:vAlign w:val="center"/>
          </w:tcPr>
          <w:p w14:paraId="2D5AD136">
            <w:pPr>
              <w:pStyle w:val="30"/>
              <w:spacing w:before="120" w:after="120" w:line="276" w:lineRule="auto"/>
              <w:jc w:val="center"/>
              <w:rPr>
                <w:rFonts w:hAnsi="宋体"/>
                <w:color w:val="auto"/>
                <w:sz w:val="21"/>
                <w:szCs w:val="21"/>
                <w:highlight w:val="none"/>
              </w:rPr>
            </w:pPr>
          </w:p>
        </w:tc>
      </w:tr>
      <w:tr w14:paraId="45841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2146" w:type="dxa"/>
            <w:gridSpan w:val="2"/>
            <w:vAlign w:val="center"/>
          </w:tcPr>
          <w:p w14:paraId="6BE8C304">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地址</w:t>
            </w:r>
          </w:p>
        </w:tc>
        <w:tc>
          <w:tcPr>
            <w:tcW w:w="3385" w:type="dxa"/>
            <w:vAlign w:val="center"/>
          </w:tcPr>
          <w:p w14:paraId="2428E35A">
            <w:pPr>
              <w:pStyle w:val="30"/>
              <w:spacing w:before="120" w:after="120" w:line="276" w:lineRule="auto"/>
              <w:jc w:val="center"/>
              <w:rPr>
                <w:rFonts w:hAnsi="宋体"/>
                <w:color w:val="auto"/>
                <w:sz w:val="21"/>
                <w:szCs w:val="21"/>
                <w:highlight w:val="none"/>
              </w:rPr>
            </w:pPr>
          </w:p>
        </w:tc>
        <w:tc>
          <w:tcPr>
            <w:tcW w:w="1418" w:type="dxa"/>
            <w:gridSpan w:val="2"/>
            <w:vAlign w:val="center"/>
          </w:tcPr>
          <w:p w14:paraId="0AEA37D3">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传真</w:t>
            </w:r>
          </w:p>
        </w:tc>
        <w:tc>
          <w:tcPr>
            <w:tcW w:w="2627" w:type="dxa"/>
            <w:vAlign w:val="center"/>
          </w:tcPr>
          <w:p w14:paraId="62A930C5">
            <w:pPr>
              <w:pStyle w:val="30"/>
              <w:spacing w:before="120" w:after="120" w:line="276" w:lineRule="auto"/>
              <w:jc w:val="center"/>
              <w:rPr>
                <w:rFonts w:hAnsi="宋体"/>
                <w:color w:val="auto"/>
                <w:sz w:val="21"/>
                <w:szCs w:val="21"/>
                <w:highlight w:val="none"/>
              </w:rPr>
            </w:pPr>
          </w:p>
        </w:tc>
      </w:tr>
      <w:tr w14:paraId="63285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2146" w:type="dxa"/>
            <w:gridSpan w:val="2"/>
            <w:vAlign w:val="center"/>
          </w:tcPr>
          <w:p w14:paraId="540D6B06">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主管部门</w:t>
            </w:r>
          </w:p>
        </w:tc>
        <w:tc>
          <w:tcPr>
            <w:tcW w:w="3385" w:type="dxa"/>
            <w:vAlign w:val="center"/>
          </w:tcPr>
          <w:p w14:paraId="26ED268A">
            <w:pPr>
              <w:pStyle w:val="30"/>
              <w:spacing w:before="120" w:after="120" w:line="276" w:lineRule="auto"/>
              <w:jc w:val="center"/>
              <w:rPr>
                <w:rFonts w:hAnsi="宋体"/>
                <w:color w:val="auto"/>
                <w:sz w:val="21"/>
                <w:szCs w:val="21"/>
                <w:highlight w:val="none"/>
              </w:rPr>
            </w:pPr>
          </w:p>
        </w:tc>
        <w:tc>
          <w:tcPr>
            <w:tcW w:w="1418" w:type="dxa"/>
            <w:gridSpan w:val="2"/>
            <w:vAlign w:val="center"/>
          </w:tcPr>
          <w:p w14:paraId="57326B4C">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企业性质</w:t>
            </w:r>
          </w:p>
        </w:tc>
        <w:tc>
          <w:tcPr>
            <w:tcW w:w="2627" w:type="dxa"/>
            <w:vAlign w:val="center"/>
          </w:tcPr>
          <w:p w14:paraId="7C165E04">
            <w:pPr>
              <w:pStyle w:val="30"/>
              <w:spacing w:before="120" w:after="120" w:line="276" w:lineRule="auto"/>
              <w:jc w:val="center"/>
              <w:rPr>
                <w:rFonts w:hAnsi="宋体"/>
                <w:color w:val="auto"/>
                <w:sz w:val="21"/>
                <w:szCs w:val="21"/>
                <w:highlight w:val="none"/>
              </w:rPr>
            </w:pPr>
          </w:p>
        </w:tc>
      </w:tr>
      <w:tr w14:paraId="24628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2146" w:type="dxa"/>
            <w:gridSpan w:val="2"/>
            <w:vAlign w:val="center"/>
          </w:tcPr>
          <w:p w14:paraId="3F7E52CD">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企业法人</w:t>
            </w:r>
          </w:p>
        </w:tc>
        <w:tc>
          <w:tcPr>
            <w:tcW w:w="3385" w:type="dxa"/>
            <w:vAlign w:val="center"/>
          </w:tcPr>
          <w:p w14:paraId="4812F10C">
            <w:pPr>
              <w:pStyle w:val="30"/>
              <w:spacing w:before="120" w:after="120" w:line="276" w:lineRule="auto"/>
              <w:jc w:val="center"/>
              <w:rPr>
                <w:rFonts w:hAnsi="宋体"/>
                <w:color w:val="auto"/>
                <w:sz w:val="21"/>
                <w:szCs w:val="21"/>
                <w:highlight w:val="none"/>
              </w:rPr>
            </w:pPr>
          </w:p>
        </w:tc>
        <w:tc>
          <w:tcPr>
            <w:tcW w:w="1418" w:type="dxa"/>
            <w:gridSpan w:val="2"/>
            <w:vAlign w:val="center"/>
          </w:tcPr>
          <w:p w14:paraId="526A22D5">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资质等级</w:t>
            </w:r>
          </w:p>
        </w:tc>
        <w:tc>
          <w:tcPr>
            <w:tcW w:w="2627" w:type="dxa"/>
            <w:vAlign w:val="center"/>
          </w:tcPr>
          <w:p w14:paraId="0ECA5FAB">
            <w:pPr>
              <w:pStyle w:val="30"/>
              <w:spacing w:before="120" w:after="120" w:line="276" w:lineRule="auto"/>
              <w:jc w:val="center"/>
              <w:rPr>
                <w:rFonts w:hAnsi="宋体"/>
                <w:color w:val="auto"/>
                <w:sz w:val="21"/>
                <w:szCs w:val="21"/>
                <w:highlight w:val="none"/>
              </w:rPr>
            </w:pPr>
          </w:p>
        </w:tc>
      </w:tr>
      <w:tr w14:paraId="25C21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2146" w:type="dxa"/>
            <w:gridSpan w:val="2"/>
            <w:vAlign w:val="center"/>
          </w:tcPr>
          <w:p w14:paraId="507D4FA3">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授权代表</w:t>
            </w:r>
          </w:p>
        </w:tc>
        <w:tc>
          <w:tcPr>
            <w:tcW w:w="3385" w:type="dxa"/>
            <w:vAlign w:val="center"/>
          </w:tcPr>
          <w:p w14:paraId="7287A943">
            <w:pPr>
              <w:pStyle w:val="30"/>
              <w:spacing w:before="120" w:after="120" w:line="276" w:lineRule="auto"/>
              <w:jc w:val="center"/>
              <w:rPr>
                <w:rFonts w:hAnsi="宋体"/>
                <w:color w:val="auto"/>
                <w:sz w:val="21"/>
                <w:szCs w:val="21"/>
                <w:highlight w:val="none"/>
              </w:rPr>
            </w:pPr>
          </w:p>
        </w:tc>
        <w:tc>
          <w:tcPr>
            <w:tcW w:w="1418" w:type="dxa"/>
            <w:gridSpan w:val="2"/>
            <w:vAlign w:val="center"/>
          </w:tcPr>
          <w:p w14:paraId="4FA972F6">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职务</w:t>
            </w:r>
          </w:p>
        </w:tc>
        <w:tc>
          <w:tcPr>
            <w:tcW w:w="2627" w:type="dxa"/>
            <w:vAlign w:val="center"/>
          </w:tcPr>
          <w:p w14:paraId="5A25D2DF">
            <w:pPr>
              <w:pStyle w:val="30"/>
              <w:spacing w:before="120" w:after="120" w:line="276" w:lineRule="auto"/>
              <w:jc w:val="center"/>
              <w:rPr>
                <w:rFonts w:hAnsi="宋体"/>
                <w:color w:val="auto"/>
                <w:sz w:val="21"/>
                <w:szCs w:val="21"/>
                <w:highlight w:val="none"/>
              </w:rPr>
            </w:pPr>
          </w:p>
        </w:tc>
      </w:tr>
      <w:tr w14:paraId="44B04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atLeast"/>
          <w:jc w:val="center"/>
        </w:trPr>
        <w:tc>
          <w:tcPr>
            <w:tcW w:w="846" w:type="dxa"/>
            <w:vMerge w:val="restart"/>
            <w:vAlign w:val="center"/>
          </w:tcPr>
          <w:p w14:paraId="16D51FDB">
            <w:pPr>
              <w:pStyle w:val="30"/>
              <w:spacing w:before="120" w:after="120" w:line="276" w:lineRule="auto"/>
              <w:ind w:firstLine="630" w:firstLineChars="300"/>
              <w:jc w:val="center"/>
              <w:rPr>
                <w:rFonts w:hAnsi="宋体"/>
                <w:color w:val="auto"/>
                <w:sz w:val="21"/>
                <w:szCs w:val="21"/>
                <w:highlight w:val="none"/>
              </w:rPr>
            </w:pPr>
          </w:p>
          <w:p w14:paraId="4E849F08">
            <w:pPr>
              <w:pStyle w:val="30"/>
              <w:spacing w:before="120" w:after="120" w:line="276" w:lineRule="auto"/>
              <w:jc w:val="center"/>
              <w:rPr>
                <w:rFonts w:hAnsi="宋体"/>
                <w:color w:val="auto"/>
                <w:sz w:val="21"/>
                <w:szCs w:val="21"/>
                <w:highlight w:val="none"/>
              </w:rPr>
            </w:pPr>
            <w:r>
              <w:rPr>
                <w:rFonts w:hint="eastAsia" w:hAnsi="宋体"/>
                <w:color w:val="auto"/>
                <w:sz w:val="21"/>
                <w:szCs w:val="21"/>
                <w:highlight w:val="none"/>
              </w:rPr>
              <w:t>单位</w:t>
            </w:r>
          </w:p>
          <w:p w14:paraId="65F7A49C">
            <w:pPr>
              <w:pStyle w:val="30"/>
              <w:spacing w:before="120" w:after="120" w:line="276" w:lineRule="auto"/>
              <w:jc w:val="center"/>
              <w:rPr>
                <w:rFonts w:hAnsi="宋体"/>
                <w:color w:val="auto"/>
                <w:sz w:val="21"/>
                <w:szCs w:val="21"/>
                <w:highlight w:val="none"/>
              </w:rPr>
            </w:pPr>
            <w:r>
              <w:rPr>
                <w:rFonts w:hint="eastAsia" w:hAnsi="宋体"/>
                <w:color w:val="auto"/>
                <w:sz w:val="21"/>
                <w:szCs w:val="21"/>
                <w:highlight w:val="none"/>
              </w:rPr>
              <w:t>概况</w:t>
            </w:r>
          </w:p>
          <w:p w14:paraId="22D7E151">
            <w:pPr>
              <w:pStyle w:val="30"/>
              <w:spacing w:before="120" w:after="120" w:line="276" w:lineRule="auto"/>
              <w:ind w:firstLine="630" w:firstLineChars="300"/>
              <w:jc w:val="center"/>
              <w:rPr>
                <w:rFonts w:hAnsi="宋体"/>
                <w:color w:val="auto"/>
                <w:sz w:val="21"/>
                <w:szCs w:val="21"/>
                <w:highlight w:val="none"/>
              </w:rPr>
            </w:pPr>
          </w:p>
          <w:p w14:paraId="306C6CD5">
            <w:pPr>
              <w:pStyle w:val="30"/>
              <w:spacing w:before="120" w:after="120" w:line="276" w:lineRule="auto"/>
              <w:ind w:firstLine="630" w:firstLineChars="300"/>
              <w:jc w:val="center"/>
              <w:rPr>
                <w:rFonts w:hAnsi="宋体"/>
                <w:color w:val="auto"/>
                <w:sz w:val="21"/>
                <w:szCs w:val="21"/>
                <w:highlight w:val="none"/>
              </w:rPr>
            </w:pPr>
          </w:p>
          <w:p w14:paraId="20ACE728">
            <w:pPr>
              <w:pStyle w:val="30"/>
              <w:spacing w:before="120" w:after="120" w:line="276" w:lineRule="auto"/>
              <w:ind w:firstLine="630" w:firstLineChars="300"/>
              <w:jc w:val="center"/>
              <w:rPr>
                <w:rFonts w:hAnsi="宋体"/>
                <w:color w:val="auto"/>
                <w:sz w:val="21"/>
                <w:szCs w:val="21"/>
                <w:highlight w:val="none"/>
              </w:rPr>
            </w:pPr>
          </w:p>
          <w:p w14:paraId="3EA2FE31">
            <w:pPr>
              <w:pStyle w:val="30"/>
              <w:spacing w:before="120" w:after="120" w:line="276" w:lineRule="auto"/>
              <w:ind w:firstLine="630" w:firstLineChars="300"/>
              <w:jc w:val="center"/>
              <w:rPr>
                <w:rFonts w:hAnsi="宋体"/>
                <w:color w:val="auto"/>
                <w:sz w:val="21"/>
                <w:szCs w:val="21"/>
                <w:highlight w:val="none"/>
              </w:rPr>
            </w:pPr>
          </w:p>
        </w:tc>
        <w:tc>
          <w:tcPr>
            <w:tcW w:w="1300" w:type="dxa"/>
            <w:vMerge w:val="restart"/>
            <w:vAlign w:val="center"/>
          </w:tcPr>
          <w:p w14:paraId="51458619">
            <w:pPr>
              <w:spacing w:line="276" w:lineRule="auto"/>
              <w:jc w:val="center"/>
              <w:rPr>
                <w:rFonts w:ascii="宋体" w:hAnsi="宋体"/>
                <w:color w:val="auto"/>
                <w:szCs w:val="21"/>
                <w:highlight w:val="none"/>
              </w:rPr>
            </w:pPr>
            <w:r>
              <w:rPr>
                <w:rFonts w:hint="eastAsia" w:ascii="宋体" w:hAnsi="宋体"/>
                <w:color w:val="auto"/>
                <w:szCs w:val="21"/>
                <w:highlight w:val="none"/>
              </w:rPr>
              <w:t>职工总数</w:t>
            </w:r>
          </w:p>
        </w:tc>
        <w:tc>
          <w:tcPr>
            <w:tcW w:w="3385" w:type="dxa"/>
            <w:vAlign w:val="center"/>
          </w:tcPr>
          <w:p w14:paraId="62E803C2">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员工：           人</w:t>
            </w:r>
          </w:p>
        </w:tc>
        <w:tc>
          <w:tcPr>
            <w:tcW w:w="4045" w:type="dxa"/>
            <w:gridSpan w:val="3"/>
            <w:vAlign w:val="center"/>
          </w:tcPr>
          <w:p w14:paraId="5324DA65">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技术工人：          人</w:t>
            </w:r>
          </w:p>
        </w:tc>
      </w:tr>
      <w:tr w14:paraId="1E53C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846" w:type="dxa"/>
            <w:vMerge w:val="continue"/>
            <w:vAlign w:val="center"/>
          </w:tcPr>
          <w:p w14:paraId="67AD65ED">
            <w:pPr>
              <w:pStyle w:val="30"/>
              <w:spacing w:before="120" w:after="120" w:line="276" w:lineRule="auto"/>
              <w:ind w:firstLine="630" w:firstLineChars="300"/>
              <w:jc w:val="center"/>
              <w:rPr>
                <w:rFonts w:hAnsi="宋体"/>
                <w:color w:val="auto"/>
                <w:sz w:val="21"/>
                <w:szCs w:val="21"/>
                <w:highlight w:val="none"/>
              </w:rPr>
            </w:pPr>
          </w:p>
        </w:tc>
        <w:tc>
          <w:tcPr>
            <w:tcW w:w="1300" w:type="dxa"/>
            <w:vMerge w:val="continue"/>
            <w:vAlign w:val="center"/>
          </w:tcPr>
          <w:p w14:paraId="2E217F3C">
            <w:pPr>
              <w:widowControl/>
              <w:spacing w:line="276" w:lineRule="auto"/>
              <w:jc w:val="center"/>
              <w:rPr>
                <w:rFonts w:ascii="宋体" w:hAnsi="宋体"/>
                <w:color w:val="auto"/>
                <w:szCs w:val="21"/>
                <w:highlight w:val="none"/>
              </w:rPr>
            </w:pPr>
          </w:p>
        </w:tc>
        <w:tc>
          <w:tcPr>
            <w:tcW w:w="3385" w:type="dxa"/>
            <w:vAlign w:val="center"/>
          </w:tcPr>
          <w:p w14:paraId="3A3BA9E9">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高级技师：       人</w:t>
            </w:r>
          </w:p>
        </w:tc>
        <w:tc>
          <w:tcPr>
            <w:tcW w:w="4045" w:type="dxa"/>
            <w:gridSpan w:val="3"/>
            <w:vAlign w:val="center"/>
          </w:tcPr>
          <w:p w14:paraId="289BF1C6">
            <w:pPr>
              <w:pStyle w:val="30"/>
              <w:spacing w:before="120" w:after="120" w:line="276" w:lineRule="auto"/>
              <w:rPr>
                <w:rFonts w:hAnsi="宋体"/>
                <w:color w:val="auto"/>
                <w:sz w:val="21"/>
                <w:szCs w:val="21"/>
                <w:highlight w:val="none"/>
              </w:rPr>
            </w:pPr>
            <w:r>
              <w:rPr>
                <w:rFonts w:hint="eastAsia" w:hAnsi="宋体"/>
                <w:color w:val="auto"/>
                <w:sz w:val="21"/>
                <w:szCs w:val="21"/>
                <w:highlight w:val="none"/>
              </w:rPr>
              <w:t>工程师：            人</w:t>
            </w:r>
          </w:p>
        </w:tc>
      </w:tr>
      <w:tr w14:paraId="4DC69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846" w:type="dxa"/>
            <w:vMerge w:val="continue"/>
            <w:vAlign w:val="center"/>
          </w:tcPr>
          <w:p w14:paraId="4E3DBEE7">
            <w:pPr>
              <w:pStyle w:val="30"/>
              <w:spacing w:before="120" w:after="120" w:line="276" w:lineRule="auto"/>
              <w:ind w:firstLine="630" w:firstLineChars="300"/>
              <w:jc w:val="center"/>
              <w:rPr>
                <w:rFonts w:hAnsi="宋体"/>
                <w:color w:val="auto"/>
                <w:sz w:val="21"/>
                <w:szCs w:val="21"/>
                <w:highlight w:val="none"/>
              </w:rPr>
            </w:pPr>
          </w:p>
        </w:tc>
        <w:tc>
          <w:tcPr>
            <w:tcW w:w="1300" w:type="dxa"/>
            <w:vAlign w:val="center"/>
          </w:tcPr>
          <w:p w14:paraId="55A35FE2">
            <w:pPr>
              <w:pStyle w:val="30"/>
              <w:spacing w:before="120" w:after="120" w:line="276" w:lineRule="auto"/>
              <w:jc w:val="center"/>
              <w:rPr>
                <w:rFonts w:hAnsi="宋体"/>
                <w:color w:val="auto"/>
                <w:sz w:val="21"/>
                <w:szCs w:val="21"/>
                <w:highlight w:val="none"/>
              </w:rPr>
            </w:pPr>
            <w:r>
              <w:rPr>
                <w:rFonts w:hint="eastAsia" w:hAnsi="宋体"/>
                <w:color w:val="auto"/>
                <w:sz w:val="21"/>
                <w:szCs w:val="21"/>
                <w:highlight w:val="none"/>
              </w:rPr>
              <w:t>流动资金</w:t>
            </w:r>
          </w:p>
        </w:tc>
        <w:tc>
          <w:tcPr>
            <w:tcW w:w="3385" w:type="dxa"/>
            <w:vAlign w:val="center"/>
          </w:tcPr>
          <w:p w14:paraId="765A1537">
            <w:pPr>
              <w:pStyle w:val="30"/>
              <w:spacing w:before="120" w:after="120" w:line="276" w:lineRule="auto"/>
              <w:jc w:val="center"/>
              <w:rPr>
                <w:rFonts w:hAnsi="宋体"/>
                <w:color w:val="auto"/>
                <w:sz w:val="21"/>
                <w:szCs w:val="21"/>
                <w:highlight w:val="none"/>
              </w:rPr>
            </w:pPr>
          </w:p>
        </w:tc>
        <w:tc>
          <w:tcPr>
            <w:tcW w:w="1260" w:type="dxa"/>
            <w:vAlign w:val="center"/>
          </w:tcPr>
          <w:p w14:paraId="359FA182">
            <w:pPr>
              <w:pStyle w:val="30"/>
              <w:spacing w:before="120" w:after="120" w:line="276" w:lineRule="auto"/>
              <w:jc w:val="center"/>
              <w:rPr>
                <w:rFonts w:hAnsi="宋体"/>
                <w:color w:val="auto"/>
                <w:sz w:val="21"/>
                <w:szCs w:val="21"/>
                <w:highlight w:val="none"/>
              </w:rPr>
            </w:pPr>
            <w:r>
              <w:rPr>
                <w:rFonts w:hint="eastAsia" w:hAnsi="宋体"/>
                <w:color w:val="auto"/>
                <w:sz w:val="21"/>
                <w:szCs w:val="21"/>
                <w:highlight w:val="none"/>
              </w:rPr>
              <w:t>营业面积</w:t>
            </w:r>
          </w:p>
        </w:tc>
        <w:tc>
          <w:tcPr>
            <w:tcW w:w="2785" w:type="dxa"/>
            <w:gridSpan w:val="2"/>
            <w:vAlign w:val="center"/>
          </w:tcPr>
          <w:p w14:paraId="59A28D87">
            <w:pPr>
              <w:pStyle w:val="30"/>
              <w:spacing w:before="120" w:after="120" w:line="276" w:lineRule="auto"/>
              <w:jc w:val="center"/>
              <w:rPr>
                <w:rFonts w:hAnsi="宋体"/>
                <w:color w:val="auto"/>
                <w:sz w:val="21"/>
                <w:szCs w:val="21"/>
                <w:highlight w:val="none"/>
              </w:rPr>
            </w:pPr>
          </w:p>
        </w:tc>
      </w:tr>
      <w:tr w14:paraId="5D22F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8" w:hRule="exact"/>
          <w:jc w:val="center"/>
        </w:trPr>
        <w:tc>
          <w:tcPr>
            <w:tcW w:w="846" w:type="dxa"/>
            <w:vMerge w:val="continue"/>
            <w:vAlign w:val="center"/>
          </w:tcPr>
          <w:p w14:paraId="79CE4717">
            <w:pPr>
              <w:pStyle w:val="30"/>
              <w:spacing w:before="120" w:after="120" w:line="276" w:lineRule="auto"/>
              <w:ind w:firstLine="630" w:firstLineChars="300"/>
              <w:jc w:val="center"/>
              <w:rPr>
                <w:rFonts w:hAnsi="宋体"/>
                <w:color w:val="auto"/>
                <w:sz w:val="21"/>
                <w:szCs w:val="21"/>
                <w:highlight w:val="none"/>
              </w:rPr>
            </w:pPr>
          </w:p>
        </w:tc>
        <w:tc>
          <w:tcPr>
            <w:tcW w:w="1300" w:type="dxa"/>
            <w:vAlign w:val="center"/>
          </w:tcPr>
          <w:p w14:paraId="63133E99">
            <w:pPr>
              <w:pStyle w:val="30"/>
              <w:spacing w:before="120" w:after="120" w:line="276" w:lineRule="auto"/>
              <w:jc w:val="center"/>
              <w:rPr>
                <w:rFonts w:hAnsi="宋体"/>
                <w:color w:val="auto"/>
                <w:sz w:val="21"/>
                <w:szCs w:val="21"/>
                <w:highlight w:val="none"/>
              </w:rPr>
            </w:pPr>
            <w:r>
              <w:rPr>
                <w:rFonts w:hint="eastAsia" w:hAnsi="宋体"/>
                <w:color w:val="auto"/>
                <w:sz w:val="21"/>
                <w:szCs w:val="21"/>
                <w:highlight w:val="none"/>
              </w:rPr>
              <w:t>固定资金</w:t>
            </w:r>
          </w:p>
        </w:tc>
        <w:tc>
          <w:tcPr>
            <w:tcW w:w="3385" w:type="dxa"/>
            <w:vAlign w:val="center"/>
          </w:tcPr>
          <w:p w14:paraId="5B912355">
            <w:pPr>
              <w:widowControl/>
              <w:spacing w:line="276" w:lineRule="auto"/>
              <w:jc w:val="center"/>
              <w:rPr>
                <w:rFonts w:ascii="宋体" w:hAnsi="宋体"/>
                <w:color w:val="auto"/>
                <w:szCs w:val="21"/>
                <w:highlight w:val="none"/>
              </w:rPr>
            </w:pPr>
          </w:p>
        </w:tc>
        <w:tc>
          <w:tcPr>
            <w:tcW w:w="1260" w:type="dxa"/>
            <w:vAlign w:val="center"/>
          </w:tcPr>
          <w:p w14:paraId="35C7FAA8">
            <w:pPr>
              <w:pStyle w:val="30"/>
              <w:spacing w:before="120" w:after="120" w:line="276" w:lineRule="auto"/>
              <w:jc w:val="center"/>
              <w:rPr>
                <w:rFonts w:hAnsi="宋体"/>
                <w:color w:val="auto"/>
                <w:sz w:val="21"/>
                <w:szCs w:val="21"/>
                <w:highlight w:val="none"/>
              </w:rPr>
            </w:pPr>
            <w:r>
              <w:rPr>
                <w:rFonts w:hint="eastAsia" w:hAnsi="宋体"/>
                <w:color w:val="auto"/>
                <w:sz w:val="21"/>
                <w:szCs w:val="21"/>
                <w:highlight w:val="none"/>
              </w:rPr>
              <w:t>维修网点</w:t>
            </w:r>
          </w:p>
        </w:tc>
        <w:tc>
          <w:tcPr>
            <w:tcW w:w="2785" w:type="dxa"/>
            <w:gridSpan w:val="2"/>
            <w:vAlign w:val="center"/>
          </w:tcPr>
          <w:p w14:paraId="0C2F0B16">
            <w:pPr>
              <w:widowControl/>
              <w:spacing w:line="276" w:lineRule="auto"/>
              <w:jc w:val="center"/>
              <w:rPr>
                <w:rFonts w:ascii="宋体" w:hAnsi="宋体"/>
                <w:color w:val="auto"/>
                <w:szCs w:val="21"/>
                <w:highlight w:val="none"/>
              </w:rPr>
            </w:pPr>
          </w:p>
        </w:tc>
      </w:tr>
      <w:tr w14:paraId="1E089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6" w:hRule="atLeast"/>
          <w:jc w:val="center"/>
        </w:trPr>
        <w:tc>
          <w:tcPr>
            <w:tcW w:w="846" w:type="dxa"/>
            <w:vAlign w:val="center"/>
          </w:tcPr>
          <w:p w14:paraId="581A2622">
            <w:pPr>
              <w:pStyle w:val="30"/>
              <w:spacing w:before="120" w:after="120" w:line="276" w:lineRule="auto"/>
              <w:jc w:val="center"/>
              <w:rPr>
                <w:rFonts w:hAnsi="宋体"/>
                <w:color w:val="auto"/>
                <w:sz w:val="21"/>
                <w:szCs w:val="21"/>
                <w:highlight w:val="none"/>
              </w:rPr>
            </w:pPr>
            <w:r>
              <w:rPr>
                <w:rFonts w:hint="eastAsia" w:hAnsi="宋体"/>
                <w:color w:val="auto"/>
                <w:sz w:val="21"/>
                <w:szCs w:val="21"/>
                <w:highlight w:val="none"/>
              </w:rPr>
              <w:t>单位简历</w:t>
            </w:r>
          </w:p>
        </w:tc>
        <w:tc>
          <w:tcPr>
            <w:tcW w:w="8730" w:type="dxa"/>
            <w:gridSpan w:val="5"/>
          </w:tcPr>
          <w:p w14:paraId="55ADCACC">
            <w:pPr>
              <w:spacing w:line="276" w:lineRule="auto"/>
              <w:jc w:val="left"/>
              <w:rPr>
                <w:rFonts w:ascii="宋体" w:hAnsi="宋体"/>
                <w:color w:val="auto"/>
                <w:szCs w:val="21"/>
                <w:highlight w:val="none"/>
              </w:rPr>
            </w:pPr>
          </w:p>
        </w:tc>
      </w:tr>
      <w:tr w14:paraId="663C4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2" w:hRule="atLeast"/>
          <w:jc w:val="center"/>
        </w:trPr>
        <w:tc>
          <w:tcPr>
            <w:tcW w:w="846" w:type="dxa"/>
            <w:vAlign w:val="center"/>
          </w:tcPr>
          <w:p w14:paraId="62B29D26">
            <w:pPr>
              <w:pStyle w:val="30"/>
              <w:spacing w:before="120" w:after="120" w:line="276" w:lineRule="auto"/>
              <w:jc w:val="center"/>
              <w:rPr>
                <w:rFonts w:hAnsi="宋体"/>
                <w:color w:val="auto"/>
                <w:sz w:val="21"/>
                <w:szCs w:val="21"/>
                <w:highlight w:val="none"/>
              </w:rPr>
            </w:pPr>
            <w:r>
              <w:rPr>
                <w:rFonts w:hint="eastAsia" w:hAnsi="宋体"/>
                <w:color w:val="auto"/>
                <w:sz w:val="21"/>
                <w:szCs w:val="21"/>
                <w:highlight w:val="none"/>
              </w:rPr>
              <w:t>优势及特长</w:t>
            </w:r>
          </w:p>
        </w:tc>
        <w:tc>
          <w:tcPr>
            <w:tcW w:w="8730" w:type="dxa"/>
            <w:gridSpan w:val="5"/>
          </w:tcPr>
          <w:p w14:paraId="48F005E3">
            <w:pPr>
              <w:spacing w:line="276" w:lineRule="auto"/>
              <w:jc w:val="left"/>
              <w:rPr>
                <w:rFonts w:ascii="宋体" w:hAnsi="宋体"/>
                <w:color w:val="auto"/>
                <w:szCs w:val="21"/>
                <w:highlight w:val="none"/>
              </w:rPr>
            </w:pPr>
          </w:p>
        </w:tc>
      </w:tr>
    </w:tbl>
    <w:p w14:paraId="5BF0DAC9">
      <w:pPr>
        <w:snapToGrid w:val="0"/>
        <w:spacing w:before="50" w:after="120" w:afterLines="50" w:line="276" w:lineRule="auto"/>
        <w:jc w:val="left"/>
        <w:rPr>
          <w:rFonts w:ascii="宋体" w:hAnsi="宋体"/>
          <w:b/>
          <w:color w:val="auto"/>
          <w:sz w:val="24"/>
          <w:highlight w:val="none"/>
        </w:rPr>
      </w:pPr>
    </w:p>
    <w:p w14:paraId="5AD5F3EF">
      <w:pPr>
        <w:snapToGrid w:val="0"/>
        <w:spacing w:before="50" w:after="120" w:afterLines="50" w:line="276" w:lineRule="auto"/>
        <w:jc w:val="left"/>
        <w:rPr>
          <w:rFonts w:hint="eastAsia" w:ascii="宋体" w:hAnsi="宋体"/>
          <w:b/>
          <w:color w:val="auto"/>
          <w:sz w:val="24"/>
          <w:highlight w:val="none"/>
        </w:rPr>
      </w:pPr>
    </w:p>
    <w:p w14:paraId="3F6437A0">
      <w:pPr>
        <w:rPr>
          <w:rFonts w:ascii="宋体" w:hAnsi="宋体"/>
          <w:b/>
          <w:color w:val="auto"/>
          <w:sz w:val="24"/>
          <w:highlight w:val="none"/>
        </w:rPr>
      </w:pPr>
      <w:r>
        <w:rPr>
          <w:rFonts w:hint="eastAsia" w:ascii="宋体" w:hAnsi="宋体"/>
          <w:b/>
          <w:color w:val="auto"/>
          <w:sz w:val="24"/>
          <w:highlight w:val="none"/>
        </w:rPr>
        <w:br w:type="page"/>
      </w:r>
      <w:bookmarkStart w:id="492" w:name="_Toc8679"/>
      <w:r>
        <w:rPr>
          <w:rFonts w:hint="eastAsia" w:ascii="宋体" w:hAnsi="宋体" w:cs="宋体"/>
          <w:color w:val="auto"/>
          <w:sz w:val="28"/>
          <w:szCs w:val="28"/>
          <w:highlight w:val="none"/>
        </w:rPr>
        <w:t>附件7：法定代表人授权委托书格式</w:t>
      </w:r>
      <w:bookmarkEnd w:id="492"/>
    </w:p>
    <w:p w14:paraId="4330777C">
      <w:pPr>
        <w:snapToGrid w:val="0"/>
        <w:spacing w:before="120" w:beforeLines="50" w:after="50" w:line="276" w:lineRule="auto"/>
        <w:jc w:val="center"/>
        <w:rPr>
          <w:rFonts w:ascii="宋体" w:hAnsi="宋体"/>
          <w:color w:val="auto"/>
          <w:sz w:val="30"/>
          <w:szCs w:val="20"/>
          <w:highlight w:val="none"/>
        </w:rPr>
      </w:pPr>
    </w:p>
    <w:p w14:paraId="48B4F272">
      <w:pPr>
        <w:snapToGrid w:val="0"/>
        <w:spacing w:before="120" w:beforeLines="50" w:after="50" w:line="276" w:lineRule="auto"/>
        <w:jc w:val="center"/>
        <w:rPr>
          <w:rFonts w:ascii="宋体" w:hAnsi="宋体"/>
          <w:b/>
          <w:color w:val="auto"/>
          <w:sz w:val="24"/>
          <w:szCs w:val="20"/>
          <w:highlight w:val="none"/>
        </w:rPr>
      </w:pPr>
      <w:r>
        <w:rPr>
          <w:rFonts w:hint="eastAsia" w:ascii="宋体" w:hAnsi="宋体"/>
          <w:b/>
          <w:color w:val="auto"/>
          <w:sz w:val="24"/>
          <w:highlight w:val="none"/>
        </w:rPr>
        <w:t>法定代表人授权委托书</w:t>
      </w:r>
    </w:p>
    <w:p w14:paraId="5C3A766C">
      <w:pPr>
        <w:snapToGrid w:val="0"/>
        <w:spacing w:line="360" w:lineRule="auto"/>
        <w:rPr>
          <w:rFonts w:ascii="宋体" w:hAnsi="宋体"/>
          <w:bCs/>
          <w:color w:val="auto"/>
          <w:sz w:val="24"/>
          <w:highlight w:val="none"/>
        </w:rPr>
      </w:pPr>
    </w:p>
    <w:p w14:paraId="04E53F9D">
      <w:pPr>
        <w:snapToGrid w:val="0"/>
        <w:spacing w:line="360" w:lineRule="auto"/>
        <w:rPr>
          <w:rFonts w:ascii="宋体" w:hAnsi="宋体"/>
          <w:b/>
          <w:bCs/>
          <w:color w:val="auto"/>
          <w:sz w:val="24"/>
          <w:highlight w:val="none"/>
        </w:rPr>
      </w:pPr>
      <w:r>
        <w:rPr>
          <w:rFonts w:hint="eastAsia" w:ascii="宋体" w:hAnsi="宋体"/>
          <w:bCs/>
          <w:color w:val="auto"/>
          <w:sz w:val="24"/>
          <w:highlight w:val="none"/>
        </w:rPr>
        <w:t>致：</w:t>
      </w:r>
      <w:r>
        <w:rPr>
          <w:rFonts w:hint="eastAsia" w:ascii="宋体" w:hAnsi="宋体"/>
          <w:bCs/>
          <w:color w:val="auto"/>
          <w:sz w:val="24"/>
          <w:highlight w:val="none"/>
          <w:u w:val="single"/>
        </w:rPr>
        <w:t xml:space="preserve">                   </w:t>
      </w:r>
      <w:r>
        <w:rPr>
          <w:rFonts w:hint="eastAsia" w:ascii="宋体" w:hAnsi="宋体"/>
          <w:color w:val="auto"/>
          <w:sz w:val="24"/>
          <w:highlight w:val="none"/>
        </w:rPr>
        <w:t>（招标采购单位名称）：</w:t>
      </w:r>
    </w:p>
    <w:p w14:paraId="05B78735">
      <w:pPr>
        <w:snapToGrid w:val="0"/>
        <w:spacing w:line="360" w:lineRule="auto"/>
        <w:ind w:firstLine="720" w:firstLineChars="300"/>
        <w:rPr>
          <w:rFonts w:ascii="宋体" w:hAnsi="宋体"/>
          <w:color w:val="auto"/>
          <w:sz w:val="24"/>
          <w:highlight w:val="none"/>
        </w:rPr>
      </w:pPr>
      <w:r>
        <w:rPr>
          <w:rFonts w:hint="eastAsia" w:ascii="宋体" w:hAnsi="宋体"/>
          <w:color w:val="auto"/>
          <w:sz w:val="24"/>
          <w:highlight w:val="none"/>
        </w:rPr>
        <w:t>我</w:t>
      </w:r>
      <w:r>
        <w:rPr>
          <w:rFonts w:hint="eastAsia" w:ascii="宋体" w:hAnsi="宋体"/>
          <w:color w:val="auto"/>
          <w:sz w:val="24"/>
          <w:highlight w:val="none"/>
          <w:u w:val="single"/>
        </w:rPr>
        <w:t xml:space="preserve">         </w:t>
      </w:r>
      <w:r>
        <w:rPr>
          <w:rFonts w:hint="eastAsia" w:ascii="宋体" w:hAnsi="宋体"/>
          <w:color w:val="auto"/>
          <w:sz w:val="24"/>
          <w:highlight w:val="none"/>
        </w:rPr>
        <w:t>（姓名）系</w:t>
      </w:r>
      <w:r>
        <w:rPr>
          <w:rFonts w:hint="eastAsia" w:ascii="宋体" w:hAnsi="宋体"/>
          <w:color w:val="auto"/>
          <w:sz w:val="24"/>
          <w:highlight w:val="none"/>
          <w:u w:val="single"/>
        </w:rPr>
        <w:t xml:space="preserve">                     </w:t>
      </w:r>
      <w:r>
        <w:rPr>
          <w:rFonts w:hint="eastAsia" w:ascii="宋体" w:hAnsi="宋体"/>
          <w:color w:val="auto"/>
          <w:sz w:val="24"/>
          <w:highlight w:val="none"/>
        </w:rPr>
        <w:t>（投标人名称）的法定代表人，现授权委托本单位在职职工</w:t>
      </w:r>
      <w:r>
        <w:rPr>
          <w:rFonts w:hint="eastAsia" w:ascii="宋体" w:hAnsi="宋体"/>
          <w:color w:val="auto"/>
          <w:sz w:val="24"/>
          <w:highlight w:val="none"/>
          <w:u w:val="single"/>
        </w:rPr>
        <w:t xml:space="preserve">             </w:t>
      </w:r>
      <w:r>
        <w:rPr>
          <w:rFonts w:hint="eastAsia" w:ascii="宋体" w:hAnsi="宋体"/>
          <w:color w:val="auto"/>
          <w:sz w:val="24"/>
          <w:highlight w:val="none"/>
        </w:rPr>
        <w:t>（姓名）以我方的名义参加</w:t>
      </w:r>
      <w:r>
        <w:rPr>
          <w:rFonts w:hint="eastAsia" w:ascii="宋体" w:hAnsi="宋体"/>
          <w:color w:val="auto"/>
          <w:sz w:val="24"/>
          <w:highlight w:val="none"/>
          <w:u w:val="single"/>
        </w:rPr>
        <w:t xml:space="preserve">                  </w:t>
      </w:r>
      <w:r>
        <w:rPr>
          <w:rFonts w:hint="eastAsia" w:ascii="宋体" w:hAnsi="宋体"/>
          <w:color w:val="auto"/>
          <w:sz w:val="24"/>
          <w:highlight w:val="none"/>
        </w:rPr>
        <w:t>项目的投标活动，并代表我方全权办理针对上述项目的投标、开标、评标、签约等具体事务和签署相关文件。</w:t>
      </w:r>
    </w:p>
    <w:p w14:paraId="24471FBD">
      <w:pPr>
        <w:snapToGrid w:val="0"/>
        <w:spacing w:line="360" w:lineRule="auto"/>
        <w:rPr>
          <w:rFonts w:ascii="宋体" w:hAnsi="宋体"/>
          <w:color w:val="auto"/>
          <w:sz w:val="24"/>
          <w:highlight w:val="none"/>
        </w:rPr>
      </w:pPr>
      <w:r>
        <w:rPr>
          <w:rFonts w:hint="eastAsia" w:ascii="宋体" w:hAnsi="宋体"/>
          <w:color w:val="auto"/>
          <w:sz w:val="24"/>
          <w:highlight w:val="none"/>
        </w:rPr>
        <w:t>我方对被授权人的签名事项负全部责任。</w:t>
      </w:r>
    </w:p>
    <w:p w14:paraId="01423219">
      <w:pPr>
        <w:snapToGrid w:val="0"/>
        <w:spacing w:line="360" w:lineRule="auto"/>
        <w:ind w:firstLine="480"/>
        <w:rPr>
          <w:rFonts w:ascii="宋体" w:hAnsi="宋体"/>
          <w:color w:val="auto"/>
          <w:sz w:val="24"/>
          <w:highlight w:val="none"/>
        </w:rPr>
      </w:pPr>
      <w:r>
        <w:rPr>
          <w:rFonts w:hint="eastAsia" w:ascii="宋体" w:hAnsi="宋体"/>
          <w:color w:val="auto"/>
          <w:sz w:val="24"/>
          <w:highlight w:val="none"/>
          <w:u w:val="single"/>
        </w:rPr>
        <w:t>在撤销授权的书面通知以前，本授权书一直有效。</w:t>
      </w:r>
      <w:r>
        <w:rPr>
          <w:rFonts w:hint="eastAsia" w:ascii="宋体" w:hAnsi="宋体"/>
          <w:color w:val="auto"/>
          <w:sz w:val="24"/>
          <w:highlight w:val="none"/>
        </w:rPr>
        <w:t>被授权人在授权书有效期内签署的所有文件不因授权的撤销而失效。</w:t>
      </w:r>
    </w:p>
    <w:p w14:paraId="1E6DD5EE">
      <w:pPr>
        <w:snapToGrid w:val="0"/>
        <w:spacing w:line="360" w:lineRule="auto"/>
        <w:ind w:firstLine="480"/>
        <w:rPr>
          <w:rFonts w:ascii="宋体" w:hAnsi="宋体"/>
          <w:color w:val="auto"/>
          <w:sz w:val="24"/>
          <w:highlight w:val="none"/>
        </w:rPr>
      </w:pPr>
      <w:r>
        <w:rPr>
          <w:rFonts w:hint="eastAsia" w:ascii="宋体" w:hAnsi="宋体"/>
          <w:color w:val="auto"/>
          <w:sz w:val="24"/>
          <w:highlight w:val="none"/>
        </w:rPr>
        <w:t>被授权人无转委托权，特此委托。</w:t>
      </w:r>
    </w:p>
    <w:p w14:paraId="7459AB33">
      <w:pPr>
        <w:snapToGrid w:val="0"/>
        <w:spacing w:line="360" w:lineRule="auto"/>
        <w:rPr>
          <w:rFonts w:ascii="宋体" w:hAnsi="宋体"/>
          <w:color w:val="auto"/>
          <w:sz w:val="24"/>
          <w:highlight w:val="none"/>
        </w:rPr>
      </w:pPr>
    </w:p>
    <w:p w14:paraId="09D9A1E7">
      <w:pPr>
        <w:snapToGrid w:val="0"/>
        <w:spacing w:line="360" w:lineRule="auto"/>
        <w:rPr>
          <w:rFonts w:ascii="宋体" w:hAnsi="宋体"/>
          <w:color w:val="auto"/>
          <w:sz w:val="24"/>
          <w:highlight w:val="none"/>
          <w:u w:val="single"/>
        </w:rPr>
      </w:pPr>
      <w:r>
        <w:rPr>
          <w:rFonts w:hint="eastAsia" w:ascii="宋体" w:hAnsi="宋体"/>
          <w:color w:val="auto"/>
          <w:sz w:val="24"/>
          <w:highlight w:val="none"/>
        </w:rPr>
        <w:t>被授权人签名：                          法定代表人签名：</w:t>
      </w:r>
    </w:p>
    <w:p w14:paraId="5D1DDE0F">
      <w:pPr>
        <w:snapToGrid w:val="0"/>
        <w:spacing w:line="360" w:lineRule="auto"/>
        <w:ind w:firstLine="960" w:firstLineChars="400"/>
        <w:rPr>
          <w:rFonts w:ascii="宋体" w:hAnsi="宋体"/>
          <w:color w:val="auto"/>
          <w:sz w:val="24"/>
          <w:highlight w:val="none"/>
        </w:rPr>
      </w:pPr>
      <w:r>
        <w:rPr>
          <w:rFonts w:hint="eastAsia" w:ascii="宋体" w:hAnsi="宋体"/>
          <w:color w:val="auto"/>
          <w:sz w:val="24"/>
          <w:highlight w:val="none"/>
        </w:rPr>
        <w:t>职务：                          职务：</w:t>
      </w:r>
    </w:p>
    <w:p w14:paraId="0DDCC319">
      <w:pPr>
        <w:snapToGrid w:val="0"/>
        <w:spacing w:line="360" w:lineRule="auto"/>
        <w:rPr>
          <w:rFonts w:hint="eastAsia" w:ascii="宋体" w:hAnsi="宋体"/>
          <w:color w:val="auto"/>
          <w:sz w:val="24"/>
          <w:highlight w:val="none"/>
        </w:rPr>
      </w:pPr>
    </w:p>
    <w:p w14:paraId="2851ED7B">
      <w:pPr>
        <w:snapToGrid w:val="0"/>
        <w:spacing w:line="360" w:lineRule="auto"/>
        <w:rPr>
          <w:rFonts w:ascii="宋体" w:hAnsi="宋体"/>
          <w:color w:val="auto"/>
          <w:sz w:val="24"/>
          <w:highlight w:val="none"/>
        </w:rPr>
      </w:pPr>
      <w:r>
        <w:rPr>
          <w:rFonts w:hint="eastAsia" w:ascii="宋体" w:hAnsi="宋体"/>
          <w:color w:val="auto"/>
          <w:sz w:val="24"/>
          <w:highlight w:val="none"/>
        </w:rPr>
        <w:t>被授权人身份证扫描件：</w:t>
      </w:r>
    </w:p>
    <w:p w14:paraId="38484058">
      <w:pPr>
        <w:snapToGrid w:val="0"/>
        <w:spacing w:line="360" w:lineRule="auto"/>
        <w:rPr>
          <w:rFonts w:ascii="宋体" w:hAnsi="宋体"/>
          <w:color w:val="auto"/>
          <w:sz w:val="24"/>
          <w:highlight w:val="none"/>
        </w:rPr>
      </w:pPr>
    </w:p>
    <w:p w14:paraId="73CEF5DE">
      <w:pPr>
        <w:snapToGrid w:val="0"/>
        <w:rPr>
          <w:rFonts w:ascii="宋体" w:hAnsi="宋体"/>
          <w:color w:val="auto"/>
          <w:sz w:val="24"/>
          <w:highlight w:val="none"/>
        </w:rPr>
      </w:pPr>
    </w:p>
    <w:p w14:paraId="24C5B4B3">
      <w:pPr>
        <w:snapToGrid w:val="0"/>
        <w:rPr>
          <w:rFonts w:ascii="宋体" w:hAnsi="宋体"/>
          <w:color w:val="auto"/>
          <w:sz w:val="24"/>
          <w:highlight w:val="none"/>
        </w:rPr>
      </w:pPr>
    </w:p>
    <w:p w14:paraId="39A77E53">
      <w:pPr>
        <w:pStyle w:val="35"/>
        <w:rPr>
          <w:color w:val="auto"/>
          <w:sz w:val="24"/>
          <w:highlight w:val="none"/>
        </w:rPr>
      </w:pPr>
    </w:p>
    <w:p w14:paraId="30A5DBA2">
      <w:pPr>
        <w:pStyle w:val="35"/>
        <w:rPr>
          <w:color w:val="auto"/>
          <w:sz w:val="24"/>
          <w:highlight w:val="none"/>
        </w:rPr>
      </w:pPr>
    </w:p>
    <w:p w14:paraId="53B2EDB3">
      <w:pPr>
        <w:pStyle w:val="35"/>
        <w:rPr>
          <w:color w:val="auto"/>
          <w:sz w:val="24"/>
          <w:highlight w:val="none"/>
        </w:rPr>
      </w:pPr>
    </w:p>
    <w:p w14:paraId="1269B482">
      <w:pPr>
        <w:snapToGrid w:val="0"/>
        <w:spacing w:line="360" w:lineRule="auto"/>
        <w:rPr>
          <w:rFonts w:ascii="宋体" w:hAnsi="宋体"/>
          <w:color w:val="auto"/>
          <w:sz w:val="24"/>
          <w:highlight w:val="none"/>
        </w:rPr>
      </w:pPr>
    </w:p>
    <w:p w14:paraId="1CE3A1B6">
      <w:pPr>
        <w:snapToGrid w:val="0"/>
        <w:spacing w:line="360" w:lineRule="auto"/>
        <w:rPr>
          <w:rFonts w:hint="eastAsia" w:ascii="宋体" w:hAnsi="宋体"/>
          <w:color w:val="auto"/>
          <w:sz w:val="24"/>
          <w:highlight w:val="none"/>
        </w:rPr>
      </w:pPr>
      <w:r>
        <w:rPr>
          <w:rFonts w:hint="eastAsia" w:ascii="宋体" w:hAnsi="宋体"/>
          <w:color w:val="auto"/>
          <w:sz w:val="24"/>
          <w:highlight w:val="none"/>
        </w:rPr>
        <w:t xml:space="preserve">      投标人电子签章：</w:t>
      </w:r>
    </w:p>
    <w:p w14:paraId="06C94379">
      <w:pPr>
        <w:pStyle w:val="21"/>
        <w:rPr>
          <w:color w:val="auto"/>
          <w:highlight w:val="none"/>
        </w:rPr>
      </w:pPr>
    </w:p>
    <w:p w14:paraId="78C95963">
      <w:pPr>
        <w:snapToGrid w:val="0"/>
        <w:spacing w:line="360" w:lineRule="auto"/>
        <w:jc w:val="center"/>
        <w:rPr>
          <w:rFonts w:hint="eastAsia" w:ascii="宋体" w:hAnsi="宋体"/>
          <w:color w:val="auto"/>
          <w:sz w:val="24"/>
          <w:highlight w:val="none"/>
        </w:rPr>
      </w:pPr>
      <w:r>
        <w:rPr>
          <w:rFonts w:hint="eastAsia" w:ascii="宋体" w:hAnsi="宋体"/>
          <w:color w:val="auto"/>
          <w:sz w:val="24"/>
          <w:highlight w:val="none"/>
        </w:rPr>
        <w:t xml:space="preserve">              年      月    日</w:t>
      </w:r>
    </w:p>
    <w:p w14:paraId="3FD771D1">
      <w:pPr>
        <w:snapToGrid w:val="0"/>
        <w:spacing w:line="360" w:lineRule="auto"/>
        <w:rPr>
          <w:rFonts w:ascii="宋体" w:hAnsi="宋体"/>
          <w:bCs/>
          <w:color w:val="auto"/>
          <w:sz w:val="24"/>
          <w:highlight w:val="none"/>
        </w:rPr>
      </w:pPr>
    </w:p>
    <w:p w14:paraId="4B7EF507">
      <w:pPr>
        <w:snapToGrid w:val="0"/>
        <w:spacing w:before="50" w:after="120" w:afterLines="50" w:line="276" w:lineRule="auto"/>
        <w:jc w:val="left"/>
        <w:rPr>
          <w:rFonts w:hint="eastAsia" w:ascii="宋体" w:hAnsi="宋体"/>
          <w:b/>
          <w:color w:val="auto"/>
          <w:sz w:val="24"/>
          <w:highlight w:val="none"/>
        </w:rPr>
      </w:pPr>
    </w:p>
    <w:p w14:paraId="7ED644C7">
      <w:pPr>
        <w:spacing w:line="400" w:lineRule="exact"/>
        <w:ind w:firstLine="482" w:firstLineChars="200"/>
        <w:rPr>
          <w:rFonts w:ascii="宋体" w:hAnsi="宋体"/>
          <w:b/>
          <w:color w:val="auto"/>
          <w:sz w:val="24"/>
          <w:highlight w:val="none"/>
        </w:rPr>
      </w:pPr>
      <w:r>
        <w:rPr>
          <w:rFonts w:hint="eastAsia" w:ascii="宋体" w:hAnsi="宋体"/>
          <w:b/>
          <w:color w:val="auto"/>
          <w:sz w:val="24"/>
          <w:highlight w:val="none"/>
        </w:rPr>
        <w:br w:type="page"/>
      </w:r>
      <w:bookmarkStart w:id="493" w:name="_Toc11297"/>
      <w:r>
        <w:rPr>
          <w:rFonts w:hint="eastAsia" w:ascii="宋体" w:hAnsi="宋体" w:cs="宋体"/>
          <w:color w:val="auto"/>
          <w:sz w:val="28"/>
          <w:szCs w:val="28"/>
          <w:highlight w:val="none"/>
        </w:rPr>
        <w:t>附件8：法人身份证相关材料</w:t>
      </w:r>
      <w:bookmarkEnd w:id="493"/>
    </w:p>
    <w:p w14:paraId="10862BFF">
      <w:pPr>
        <w:spacing w:line="400" w:lineRule="exact"/>
        <w:ind w:firstLine="482" w:firstLineChars="200"/>
        <w:rPr>
          <w:rFonts w:hint="eastAsia" w:ascii="宋体" w:hAnsi="宋体"/>
          <w:b/>
          <w:color w:val="auto"/>
          <w:sz w:val="24"/>
          <w:highlight w:val="none"/>
        </w:rPr>
      </w:pPr>
    </w:p>
    <w:p w14:paraId="3E1FE8BA">
      <w:pPr>
        <w:spacing w:line="400" w:lineRule="exact"/>
        <w:ind w:firstLine="482" w:firstLineChars="200"/>
        <w:jc w:val="center"/>
        <w:rPr>
          <w:rFonts w:ascii="宋体" w:hAnsi="宋体"/>
          <w:b/>
          <w:color w:val="auto"/>
          <w:sz w:val="24"/>
          <w:highlight w:val="none"/>
        </w:rPr>
      </w:pPr>
      <w:r>
        <w:rPr>
          <w:rFonts w:hint="eastAsia" w:ascii="宋体" w:hAnsi="宋体"/>
          <w:b/>
          <w:color w:val="auto"/>
          <w:sz w:val="24"/>
          <w:highlight w:val="none"/>
        </w:rPr>
        <w:t>法人身份证相关材料</w:t>
      </w:r>
    </w:p>
    <w:p w14:paraId="206C997A">
      <w:pPr>
        <w:spacing w:line="400" w:lineRule="exact"/>
        <w:ind w:firstLine="480" w:firstLineChars="200"/>
        <w:rPr>
          <w:rFonts w:hint="eastAsia" w:ascii="宋体" w:hAnsi="宋体" w:cs="宋体"/>
          <w:color w:val="auto"/>
          <w:sz w:val="24"/>
          <w:highlight w:val="none"/>
        </w:rPr>
      </w:pPr>
    </w:p>
    <w:p w14:paraId="334A4371">
      <w:pPr>
        <w:spacing w:line="40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单位名称：</w:t>
      </w:r>
    </w:p>
    <w:p w14:paraId="716B8931">
      <w:pPr>
        <w:spacing w:line="40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单位性质：</w:t>
      </w:r>
    </w:p>
    <w:p w14:paraId="774C23AC">
      <w:pPr>
        <w:spacing w:line="40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地    址：</w:t>
      </w:r>
    </w:p>
    <w:p w14:paraId="78D347E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成立时间： 年 月 日</w:t>
      </w:r>
    </w:p>
    <w:p w14:paraId="1E438F54">
      <w:pPr>
        <w:spacing w:line="40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经营期限：</w:t>
      </w:r>
    </w:p>
    <w:p w14:paraId="6AEC7C7B">
      <w:pPr>
        <w:spacing w:line="40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姓    名：    性别：     年龄：      职务：</w:t>
      </w:r>
    </w:p>
    <w:p w14:paraId="298E6D1C">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系 </w:t>
      </w:r>
      <w:r>
        <w:rPr>
          <w:rFonts w:hint="eastAsia" w:ascii="宋体" w:hAnsi="宋体" w:cs="宋体"/>
          <w:color w:val="auto"/>
          <w:sz w:val="24"/>
          <w:highlight w:val="none"/>
          <w:u w:val="single"/>
        </w:rPr>
        <w:t xml:space="preserve">           (供应商名称）                         </w:t>
      </w:r>
      <w:r>
        <w:rPr>
          <w:rFonts w:hint="eastAsia" w:ascii="宋体" w:hAnsi="宋体" w:cs="宋体"/>
          <w:color w:val="auto"/>
          <w:sz w:val="24"/>
          <w:highlight w:val="none"/>
        </w:rPr>
        <w:t>的法定代表人／负责人。</w:t>
      </w:r>
    </w:p>
    <w:p w14:paraId="014749AF">
      <w:pPr>
        <w:spacing w:line="400" w:lineRule="exact"/>
        <w:ind w:firstLine="480" w:firstLineChars="200"/>
        <w:rPr>
          <w:rFonts w:ascii="宋体" w:hAnsi="宋体" w:cs="宋体"/>
          <w:color w:val="auto"/>
          <w:sz w:val="24"/>
          <w:highlight w:val="none"/>
        </w:rPr>
      </w:pPr>
    </w:p>
    <w:p w14:paraId="49BBEAA0">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2E138BB9">
      <w:pPr>
        <w:spacing w:line="400" w:lineRule="exact"/>
        <w:rPr>
          <w:rFonts w:ascii="宋体" w:hAnsi="宋体" w:cs="宋体"/>
          <w:color w:val="auto"/>
          <w:sz w:val="24"/>
          <w:highlight w:val="none"/>
        </w:rPr>
      </w:pPr>
    </w:p>
    <w:p w14:paraId="0D4CCDE5">
      <w:pPr>
        <w:spacing w:line="400" w:lineRule="exact"/>
        <w:rPr>
          <w:rFonts w:ascii="宋体" w:hAnsi="宋体" w:cs="宋体"/>
          <w:color w:val="auto"/>
          <w:sz w:val="24"/>
          <w:highlight w:val="none"/>
        </w:rPr>
      </w:pPr>
    </w:p>
    <w:p w14:paraId="5E140A2B">
      <w:pPr>
        <w:spacing w:line="400" w:lineRule="exact"/>
        <w:ind w:firstLine="3360" w:firstLineChars="1400"/>
        <w:rPr>
          <w:rFonts w:ascii="宋体" w:hAnsi="宋体" w:cs="宋体"/>
          <w:color w:val="auto"/>
          <w:sz w:val="24"/>
          <w:highlight w:val="none"/>
          <w:u w:val="single"/>
        </w:rPr>
      </w:pPr>
      <w:r>
        <w:rPr>
          <w:rFonts w:hint="eastAsia" w:ascii="宋体" w:hAnsi="宋体" w:cs="宋体"/>
          <w:color w:val="auto"/>
          <w:sz w:val="24"/>
          <w:highlight w:val="none"/>
        </w:rPr>
        <w:t xml:space="preserve">  供应商：</w:t>
      </w:r>
      <w:r>
        <w:rPr>
          <w:rFonts w:hint="eastAsia" w:ascii="宋体" w:hAnsi="宋体" w:cs="宋体"/>
          <w:color w:val="auto"/>
          <w:sz w:val="24"/>
          <w:highlight w:val="none"/>
          <w:u w:val="single"/>
        </w:rPr>
        <w:t xml:space="preserve">                     (盖章）      </w:t>
      </w:r>
    </w:p>
    <w:p w14:paraId="4CAEF0E4">
      <w:pPr>
        <w:snapToGrid w:val="0"/>
        <w:spacing w:line="400" w:lineRule="exact"/>
        <w:jc w:val="left"/>
        <w:rPr>
          <w:rFonts w:ascii="宋体" w:hAnsi="宋体"/>
          <w:color w:val="auto"/>
          <w:sz w:val="24"/>
          <w:highlight w:val="none"/>
        </w:rPr>
      </w:pPr>
      <w:r>
        <w:rPr>
          <w:rFonts w:hint="eastAsia" w:ascii="宋体" w:hAnsi="宋体" w:cs="宋体"/>
          <w:color w:val="auto"/>
          <w:sz w:val="24"/>
          <w:highlight w:val="none"/>
        </w:rPr>
        <w:t xml:space="preserve">                              日  期：   年   月   日</w:t>
      </w:r>
    </w:p>
    <w:p w14:paraId="40625E3D">
      <w:pPr>
        <w:snapToGrid w:val="0"/>
        <w:spacing w:line="400" w:lineRule="exact"/>
        <w:rPr>
          <w:rFonts w:ascii="宋体" w:hAnsi="宋体"/>
          <w:color w:val="auto"/>
          <w:sz w:val="24"/>
          <w:highlight w:val="none"/>
        </w:rPr>
      </w:pPr>
    </w:p>
    <w:p w14:paraId="08135073">
      <w:pPr>
        <w:rPr>
          <w:color w:val="auto"/>
          <w:sz w:val="24"/>
          <w:highlight w:val="none"/>
        </w:rPr>
      </w:pPr>
    </w:p>
    <w:p w14:paraId="441028D9">
      <w:pPr>
        <w:snapToGrid w:val="0"/>
        <w:spacing w:before="120" w:beforeLines="50" w:after="50"/>
        <w:jc w:val="left"/>
        <w:rPr>
          <w:rFonts w:hAnsi="宋体" w:cs="宋体"/>
          <w:color w:val="auto"/>
          <w:sz w:val="24"/>
          <w:highlight w:val="none"/>
        </w:rPr>
      </w:pPr>
      <w:r>
        <w:rPr>
          <w:rFonts w:hint="eastAsia" w:hAnsi="宋体"/>
          <w:b/>
          <w:color w:val="auto"/>
          <w:sz w:val="24"/>
          <w:highlight w:val="none"/>
          <w:lang w:val="zh-CN"/>
        </w:rPr>
        <w:t>法定代表人身份证扫描件</w:t>
      </w:r>
    </w:p>
    <w:p w14:paraId="229EAB58">
      <w:pPr>
        <w:snapToGrid w:val="0"/>
        <w:spacing w:before="120" w:beforeLines="50" w:after="50"/>
        <w:jc w:val="left"/>
        <w:rPr>
          <w:rFonts w:hAnsi="宋体" w:cs="宋体"/>
          <w:color w:val="auto"/>
          <w:sz w:val="24"/>
          <w:highlight w:val="none"/>
        </w:rPr>
      </w:pPr>
    </w:p>
    <w:tbl>
      <w:tblPr>
        <w:tblStyle w:val="54"/>
        <w:tblpPr w:leftFromText="180" w:rightFromText="180" w:vertAnchor="text" w:tblpXSpec="left" w:tblpY="1"/>
        <w:tblOverlap w:val="never"/>
        <w:tblW w:w="0" w:type="auto"/>
        <w:tblInd w:w="0" w:type="dxa"/>
        <w:tblLayout w:type="fixed"/>
        <w:tblCellMar>
          <w:top w:w="0" w:type="dxa"/>
          <w:left w:w="108" w:type="dxa"/>
          <w:bottom w:w="0" w:type="dxa"/>
          <w:right w:w="108" w:type="dxa"/>
        </w:tblCellMar>
      </w:tblPr>
      <w:tblGrid>
        <w:gridCol w:w="3917"/>
      </w:tblGrid>
      <w:tr w14:paraId="6E8032E4">
        <w:trPr>
          <w:trHeight w:val="2359" w:hRule="atLeast"/>
        </w:trPr>
        <w:tc>
          <w:tcPr>
            <w:tcW w:w="3917" w:type="dxa"/>
            <w:vAlign w:val="center"/>
          </w:tcPr>
          <w:p w14:paraId="7CC5B519">
            <w:pPr>
              <w:snapToGrid w:val="0"/>
              <w:spacing w:before="120" w:beforeLines="50" w:after="50" w:line="200" w:lineRule="exact"/>
              <w:jc w:val="center"/>
              <w:rPr>
                <w:rFonts w:hAnsi="宋体" w:cs="宋体"/>
                <w:color w:val="auto"/>
                <w:sz w:val="24"/>
                <w:highlight w:val="none"/>
              </w:rPr>
            </w:pPr>
            <w:r>
              <w:rPr>
                <w:rFonts w:hint="eastAsia" w:hAnsi="宋体" w:cs="宋体"/>
                <w:color w:val="auto"/>
                <w:sz w:val="24"/>
                <w:highlight w:val="none"/>
              </w:rPr>
              <w:t>国徽面粘贴处</w:t>
            </w:r>
          </w:p>
        </w:tc>
      </w:tr>
    </w:tbl>
    <w:p w14:paraId="53ADA8CA">
      <w:pPr>
        <w:rPr>
          <w:vanish/>
          <w:color w:val="auto"/>
          <w:sz w:val="24"/>
          <w:highlight w:val="none"/>
        </w:rPr>
      </w:pPr>
    </w:p>
    <w:tbl>
      <w:tblPr>
        <w:tblStyle w:val="54"/>
        <w:tblpPr w:leftFromText="180" w:rightFromText="180" w:vertAnchor="text" w:horzAnchor="margin" w:tblpXSpec="right" w:tblpY="28"/>
        <w:tblOverlap w:val="never"/>
        <w:tblW w:w="0" w:type="auto"/>
        <w:tblInd w:w="0" w:type="dxa"/>
        <w:tblLayout w:type="fixed"/>
        <w:tblCellMar>
          <w:top w:w="0" w:type="dxa"/>
          <w:left w:w="108" w:type="dxa"/>
          <w:bottom w:w="0" w:type="dxa"/>
          <w:right w:w="108" w:type="dxa"/>
        </w:tblCellMar>
      </w:tblPr>
      <w:tblGrid>
        <w:gridCol w:w="3917"/>
      </w:tblGrid>
      <w:tr w14:paraId="2C5C1B0E">
        <w:tblPrEx>
          <w:tblCellMar>
            <w:top w:w="0" w:type="dxa"/>
            <w:left w:w="108" w:type="dxa"/>
            <w:bottom w:w="0" w:type="dxa"/>
            <w:right w:w="108" w:type="dxa"/>
          </w:tblCellMar>
        </w:tblPrEx>
        <w:trPr>
          <w:trHeight w:val="2359" w:hRule="atLeast"/>
        </w:trPr>
        <w:tc>
          <w:tcPr>
            <w:tcW w:w="3917" w:type="dxa"/>
            <w:vAlign w:val="center"/>
          </w:tcPr>
          <w:p w14:paraId="12840152">
            <w:pPr>
              <w:snapToGrid w:val="0"/>
              <w:spacing w:before="120" w:beforeLines="50" w:after="50"/>
              <w:jc w:val="center"/>
              <w:rPr>
                <w:rFonts w:hAnsi="宋体" w:cs="宋体"/>
                <w:color w:val="auto"/>
                <w:sz w:val="24"/>
                <w:highlight w:val="none"/>
              </w:rPr>
            </w:pPr>
            <w:r>
              <w:rPr>
                <w:rFonts w:hint="eastAsia" w:hAnsi="宋体"/>
                <w:color w:val="auto"/>
                <w:sz w:val="24"/>
                <w:highlight w:val="none"/>
              </w:rPr>
              <w:t>个人信息面粘贴处</w:t>
            </w:r>
          </w:p>
        </w:tc>
      </w:tr>
    </w:tbl>
    <w:p w14:paraId="61C8735E">
      <w:pPr>
        <w:snapToGrid w:val="0"/>
        <w:spacing w:before="50" w:after="120" w:afterLines="50" w:line="276" w:lineRule="auto"/>
        <w:jc w:val="left"/>
        <w:rPr>
          <w:rFonts w:hint="eastAsia" w:ascii="宋体" w:hAnsi="宋体"/>
          <w:b/>
          <w:color w:val="auto"/>
          <w:sz w:val="24"/>
          <w:highlight w:val="none"/>
        </w:rPr>
      </w:pPr>
      <w:bookmarkStart w:id="494" w:name="_Toc16897"/>
    </w:p>
    <w:p w14:paraId="3851CEEA">
      <w:pPr>
        <w:pStyle w:val="49"/>
        <w:adjustRightInd w:val="0"/>
        <w:snapToGrid w:val="0"/>
        <w:spacing w:beforeAutospacing="0" w:afterAutospacing="0" w:line="360" w:lineRule="auto"/>
        <w:rPr>
          <w:rFonts w:hint="eastAsia"/>
          <w:b/>
          <w:color w:val="auto"/>
          <w:highlight w:val="none"/>
        </w:rPr>
      </w:pPr>
      <w:r>
        <w:rPr>
          <w:rFonts w:hint="eastAsia"/>
          <w:b/>
          <w:color w:val="auto"/>
          <w:highlight w:val="none"/>
        </w:rPr>
        <w:br w:type="page"/>
      </w:r>
      <w:r>
        <w:rPr>
          <w:rFonts w:hint="eastAsia" w:cs="宋体"/>
          <w:color w:val="auto"/>
          <w:kern w:val="2"/>
          <w:sz w:val="28"/>
          <w:szCs w:val="28"/>
          <w:highlight w:val="none"/>
        </w:rPr>
        <w:t>附件9</w:t>
      </w:r>
    </w:p>
    <w:p w14:paraId="790F49B0">
      <w:pPr>
        <w:pStyle w:val="49"/>
        <w:adjustRightInd w:val="0"/>
        <w:snapToGrid w:val="0"/>
        <w:spacing w:beforeAutospacing="0" w:afterAutospacing="0" w:line="360" w:lineRule="auto"/>
        <w:ind w:left="419"/>
        <w:rPr>
          <w:rFonts w:hint="eastAsia"/>
          <w:b/>
          <w:color w:val="auto"/>
          <w:highlight w:val="none"/>
        </w:rPr>
      </w:pPr>
    </w:p>
    <w:p w14:paraId="2ED3085B">
      <w:pPr>
        <w:pStyle w:val="49"/>
        <w:adjustRightInd w:val="0"/>
        <w:snapToGrid w:val="0"/>
        <w:spacing w:beforeAutospacing="0" w:afterAutospacing="0" w:line="360" w:lineRule="auto"/>
        <w:ind w:left="419"/>
        <w:jc w:val="center"/>
        <w:rPr>
          <w:rFonts w:hint="eastAsia" w:ascii="黑体" w:hAnsi="黑体" w:eastAsia="黑体" w:cs="黑体"/>
          <w:color w:val="auto"/>
          <w:sz w:val="27"/>
          <w:szCs w:val="27"/>
          <w:highlight w:val="none"/>
        </w:rPr>
      </w:pPr>
      <w:r>
        <w:rPr>
          <w:rFonts w:hint="eastAsia" w:ascii="黑体" w:hAnsi="黑体" w:eastAsia="黑体" w:cs="黑体"/>
          <w:b/>
          <w:bCs/>
          <w:color w:val="auto"/>
          <w:sz w:val="27"/>
          <w:szCs w:val="27"/>
          <w:highlight w:val="none"/>
        </w:rPr>
        <w:t>符合参加政府采购活动应当具备的一般条件的承诺函</w:t>
      </w:r>
    </w:p>
    <w:p w14:paraId="2CEDE5E0">
      <w:pPr>
        <w:tabs>
          <w:tab w:val="left" w:pos="0"/>
        </w:tabs>
        <w:snapToGrid w:val="0"/>
        <w:spacing w:line="360" w:lineRule="auto"/>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（采购人）、（采购代理机构）：</w:t>
      </w:r>
    </w:p>
    <w:p w14:paraId="02A59148">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我方参与</w:t>
      </w:r>
      <w:r>
        <w:rPr>
          <w:rFonts w:hint="eastAsia" w:ascii="仿宋" w:hAnsi="仿宋" w:eastAsia="仿宋" w:cs="Helvetica"/>
          <w:color w:val="auto"/>
          <w:kern w:val="0"/>
          <w:sz w:val="24"/>
          <w:highlight w:val="none"/>
          <w:u w:val="single"/>
          <w:lang w:val="en-US" w:eastAsia="zh-CN"/>
        </w:rPr>
        <w:t xml:space="preserve">            </w:t>
      </w:r>
      <w:r>
        <w:rPr>
          <w:rFonts w:hint="eastAsia" w:ascii="仿宋" w:hAnsi="仿宋" w:eastAsia="仿宋" w:cs="Helvetica"/>
          <w:color w:val="auto"/>
          <w:kern w:val="0"/>
          <w:sz w:val="24"/>
          <w:highlight w:val="none"/>
        </w:rPr>
        <w:t>项目【项目编号：</w:t>
      </w:r>
      <w:r>
        <w:rPr>
          <w:rFonts w:hint="eastAsia" w:ascii="仿宋" w:hAnsi="仿宋" w:eastAsia="仿宋" w:cs="Helvetica"/>
          <w:color w:val="auto"/>
          <w:kern w:val="0"/>
          <w:sz w:val="24"/>
          <w:highlight w:val="none"/>
          <w:u w:val="single"/>
          <w:lang w:val="en-US" w:eastAsia="zh-CN"/>
        </w:rPr>
        <w:t xml:space="preserve">           </w:t>
      </w:r>
      <w:r>
        <w:rPr>
          <w:rFonts w:hint="eastAsia" w:ascii="仿宋" w:hAnsi="仿宋" w:eastAsia="仿宋" w:cs="Helvetica"/>
          <w:color w:val="auto"/>
          <w:kern w:val="0"/>
          <w:sz w:val="24"/>
          <w:highlight w:val="none"/>
          <w:lang w:val="en-US" w:eastAsia="zh-CN"/>
        </w:rPr>
        <w:t xml:space="preserve"> </w:t>
      </w:r>
      <w:r>
        <w:rPr>
          <w:rFonts w:hint="eastAsia" w:ascii="仿宋" w:hAnsi="仿宋" w:eastAsia="仿宋" w:cs="Helvetica"/>
          <w:color w:val="auto"/>
          <w:kern w:val="0"/>
          <w:sz w:val="24"/>
          <w:highlight w:val="none"/>
        </w:rPr>
        <w:t>】政府采购活动，郑重承诺：</w:t>
      </w:r>
    </w:p>
    <w:p w14:paraId="687A449C">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（一）具备《中华人民共和国政府采购法》第二十二条第一款规定的条件：</w:t>
      </w:r>
    </w:p>
    <w:p w14:paraId="6F6F15AC">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1.具有独立承担民事责任的能力；</w:t>
      </w:r>
    </w:p>
    <w:p w14:paraId="4F6AEBF8">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 xml:space="preserve">2.具有良好的商业信誉和健全的财务会计制度； </w:t>
      </w:r>
    </w:p>
    <w:p w14:paraId="5CABAB30">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3.具有履行合同所必需的设备和专业技术能力；</w:t>
      </w:r>
    </w:p>
    <w:p w14:paraId="34EABBE8">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4.有依法缴纳税收和社会保障资金的良好记录；</w:t>
      </w:r>
    </w:p>
    <w:p w14:paraId="4FF279D9">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5.参加政府采购活动前三年内，在经营活动中没有重大违法记录；</w:t>
      </w:r>
    </w:p>
    <w:p w14:paraId="5D6C76E6">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6.具有法律、行政法规规定的其他条件。</w:t>
      </w:r>
    </w:p>
    <w:p w14:paraId="67C548CA">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（二）未被信用中国(www.creditchina.gov.cn)、中国政府采购网（www.ccgp.gov.cn）列入失信被执行人、重大税收违法案件当事人名单、政府采购严重违法失信行为记录名单。</w:t>
      </w:r>
    </w:p>
    <w:p w14:paraId="638924E3">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（三）不存在以下情况：</w:t>
      </w:r>
    </w:p>
    <w:p w14:paraId="4215E22C">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1.单位负责人为同一人或者存在直接控股、管理关系的不同供应商参加同一合同项下的政府采购活动的；</w:t>
      </w:r>
    </w:p>
    <w:p w14:paraId="40CFEBCE">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2.为采购项目提供整体设计、规范编制或者项目管理、监理、检测等服务后再参加该采购项目的其他采购活动的。</w:t>
      </w:r>
    </w:p>
    <w:p w14:paraId="0DEBA39C">
      <w:pPr>
        <w:tabs>
          <w:tab w:val="left" w:pos="0"/>
        </w:tabs>
        <w:snapToGrid w:val="0"/>
        <w:spacing w:line="360" w:lineRule="auto"/>
        <w:ind w:firstLine="480"/>
        <w:rPr>
          <w:rFonts w:hint="eastAsia" w:ascii="仿宋" w:hAnsi="仿宋" w:eastAsia="仿宋" w:cs="Helvetica"/>
          <w:color w:val="auto"/>
          <w:kern w:val="0"/>
          <w:sz w:val="24"/>
          <w:highlight w:val="none"/>
        </w:rPr>
      </w:pPr>
    </w:p>
    <w:p w14:paraId="3B8B98ED">
      <w:pPr>
        <w:tabs>
          <w:tab w:val="left" w:pos="0"/>
        </w:tabs>
        <w:snapToGrid w:val="0"/>
        <w:spacing w:line="360" w:lineRule="auto"/>
        <w:ind w:firstLine="480"/>
        <w:rPr>
          <w:rFonts w:hint="eastAsia" w:ascii="仿宋" w:hAnsi="仿宋" w:eastAsia="仿宋" w:cs="Helvetica"/>
          <w:color w:val="auto"/>
          <w:kern w:val="0"/>
          <w:sz w:val="24"/>
          <w:highlight w:val="none"/>
        </w:rPr>
      </w:pPr>
    </w:p>
    <w:p w14:paraId="498B0A36">
      <w:pPr>
        <w:tabs>
          <w:tab w:val="left" w:pos="0"/>
        </w:tabs>
        <w:snapToGrid w:val="0"/>
        <w:spacing w:line="360" w:lineRule="auto"/>
        <w:ind w:firstLine="480"/>
        <w:rPr>
          <w:rFonts w:hint="eastAsia" w:ascii="仿宋" w:hAnsi="仿宋" w:eastAsia="仿宋" w:cs="Helvetica"/>
          <w:color w:val="auto"/>
          <w:kern w:val="0"/>
          <w:sz w:val="24"/>
          <w:highlight w:val="none"/>
        </w:rPr>
      </w:pPr>
    </w:p>
    <w:p w14:paraId="5D1E411A">
      <w:pPr>
        <w:tabs>
          <w:tab w:val="left" w:pos="0"/>
        </w:tabs>
        <w:snapToGrid w:val="0"/>
        <w:spacing w:line="360" w:lineRule="auto"/>
        <w:ind w:firstLine="480"/>
        <w:rPr>
          <w:rFonts w:hint="eastAsia" w:ascii="仿宋" w:hAnsi="仿宋" w:eastAsia="仿宋" w:cs="Helvetica"/>
          <w:color w:val="auto"/>
          <w:kern w:val="0"/>
          <w:sz w:val="24"/>
          <w:highlight w:val="none"/>
        </w:rPr>
      </w:pPr>
    </w:p>
    <w:p w14:paraId="05DC7035">
      <w:pPr>
        <w:tabs>
          <w:tab w:val="left" w:pos="0"/>
        </w:tabs>
        <w:snapToGrid w:val="0"/>
        <w:spacing w:line="360" w:lineRule="auto"/>
        <w:ind w:firstLine="5040" w:firstLineChars="210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投标人名称(电子签名）：</w:t>
      </w:r>
    </w:p>
    <w:p w14:paraId="47078599">
      <w:pPr>
        <w:tabs>
          <w:tab w:val="left" w:pos="0"/>
        </w:tabs>
        <w:snapToGrid w:val="0"/>
        <w:spacing w:line="360" w:lineRule="auto"/>
        <w:ind w:firstLine="480"/>
        <w:rPr>
          <w:rFonts w:hint="eastAsia" w:ascii="仿宋" w:hAnsi="仿宋" w:eastAsia="仿宋" w:cs="Helvetica"/>
          <w:color w:val="auto"/>
          <w:kern w:val="0"/>
          <w:sz w:val="24"/>
          <w:highlight w:val="none"/>
        </w:rPr>
      </w:pPr>
      <w:r>
        <w:rPr>
          <w:rFonts w:hint="eastAsia" w:ascii="仿宋" w:hAnsi="仿宋" w:eastAsia="仿宋" w:cs="Helvetica"/>
          <w:color w:val="auto"/>
          <w:kern w:val="0"/>
          <w:sz w:val="24"/>
          <w:highlight w:val="none"/>
        </w:rPr>
        <w:t xml:space="preserve">                                       日期：  年  月   日</w:t>
      </w:r>
    </w:p>
    <w:p w14:paraId="2F47EA40">
      <w:pPr>
        <w:snapToGrid w:val="0"/>
        <w:spacing w:line="400" w:lineRule="exact"/>
        <w:jc w:val="left"/>
        <w:rPr>
          <w:rFonts w:hint="eastAsia" w:ascii="宋体" w:hAnsi="宋体"/>
          <w:color w:val="auto"/>
          <w:sz w:val="24"/>
          <w:highlight w:val="none"/>
        </w:rPr>
      </w:pPr>
      <w:r>
        <w:rPr>
          <w:rFonts w:hint="eastAsia" w:ascii="宋体" w:hAnsi="宋体"/>
          <w:b/>
          <w:color w:val="auto"/>
          <w:sz w:val="24"/>
          <w:highlight w:val="none"/>
        </w:rPr>
        <w:br w:type="page"/>
      </w:r>
      <w:r>
        <w:rPr>
          <w:rFonts w:hint="eastAsia" w:ascii="宋体" w:hAnsi="宋体" w:cs="宋体"/>
          <w:color w:val="auto"/>
          <w:sz w:val="28"/>
          <w:szCs w:val="28"/>
          <w:highlight w:val="none"/>
        </w:rPr>
        <w:t>附件10:联合投标</w:t>
      </w:r>
      <w:r>
        <w:rPr>
          <w:rFonts w:hint="eastAsia" w:ascii="宋体" w:hAnsi="宋体" w:cs="宋体"/>
          <w:color w:val="auto"/>
          <w:sz w:val="28"/>
          <w:szCs w:val="28"/>
          <w:highlight w:val="none"/>
          <w:lang w:eastAsia="zh-CN"/>
        </w:rPr>
        <w:t>相关文件格式</w:t>
      </w:r>
      <w:r>
        <w:rPr>
          <w:rFonts w:hint="eastAsia" w:ascii="宋体" w:hAnsi="宋体" w:cs="宋体"/>
          <w:color w:val="auto"/>
          <w:sz w:val="28"/>
          <w:szCs w:val="28"/>
          <w:highlight w:val="none"/>
        </w:rPr>
        <w:t>（本表允许联合体投标时适用）</w:t>
      </w:r>
    </w:p>
    <w:p w14:paraId="53B57D45">
      <w:pPr>
        <w:snapToGrid w:val="0"/>
        <w:spacing w:line="460" w:lineRule="atLeast"/>
        <w:ind w:firstLine="538" w:firstLineChars="200"/>
        <w:jc w:val="center"/>
        <w:rPr>
          <w:rFonts w:ascii="宋体" w:hAnsi="宋体"/>
          <w:color w:val="auto"/>
          <w:spacing w:val="14"/>
          <w:kern w:val="24"/>
          <w:sz w:val="24"/>
          <w:highlight w:val="none"/>
        </w:rPr>
      </w:pPr>
      <w:r>
        <w:rPr>
          <w:rFonts w:ascii="宋体" w:hAnsi="宋体"/>
          <w:b/>
          <w:bCs/>
          <w:color w:val="auto"/>
          <w:spacing w:val="14"/>
          <w:kern w:val="24"/>
          <w:sz w:val="24"/>
          <w:highlight w:val="none"/>
        </w:rPr>
        <w:t>联合投标协议书</w:t>
      </w:r>
    </w:p>
    <w:p w14:paraId="473C06C3">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甲方：</w:t>
      </w:r>
    </w:p>
    <w:p w14:paraId="1DD17ABF">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乙方：</w:t>
      </w:r>
    </w:p>
    <w:p w14:paraId="026D5D1C">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（如果有的话，可按甲、乙、丙、丁…序列增加）</w:t>
      </w:r>
    </w:p>
    <w:p w14:paraId="560BBE3B">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 xml:space="preserve">各方经协商，就响应 </w:t>
      </w:r>
      <w:r>
        <w:rPr>
          <w:rFonts w:ascii="宋体" w:hAnsi="宋体"/>
          <w:color w:val="auto"/>
          <w:spacing w:val="14"/>
          <w:kern w:val="24"/>
          <w:sz w:val="24"/>
          <w:highlight w:val="none"/>
          <w:u w:val="single"/>
        </w:rPr>
        <w:t xml:space="preserve">                </w:t>
      </w:r>
      <w:r>
        <w:rPr>
          <w:rFonts w:ascii="宋体" w:hAnsi="宋体"/>
          <w:color w:val="auto"/>
          <w:spacing w:val="14"/>
          <w:kern w:val="24"/>
          <w:sz w:val="24"/>
          <w:highlight w:val="none"/>
        </w:rPr>
        <w:t>组织实施的编号为</w:t>
      </w:r>
      <w:r>
        <w:rPr>
          <w:rFonts w:ascii="宋体" w:hAnsi="宋体"/>
          <w:color w:val="auto"/>
          <w:spacing w:val="14"/>
          <w:kern w:val="24"/>
          <w:sz w:val="24"/>
          <w:highlight w:val="none"/>
          <w:u w:val="single"/>
        </w:rPr>
        <w:t xml:space="preserve">           </w:t>
      </w:r>
      <w:r>
        <w:rPr>
          <w:rFonts w:ascii="宋体" w:hAnsi="宋体"/>
          <w:color w:val="auto"/>
          <w:spacing w:val="14"/>
          <w:kern w:val="24"/>
          <w:sz w:val="24"/>
          <w:highlight w:val="none"/>
        </w:rPr>
        <w:t>号的招标活动联合进行投标之事宜，达成如下协议：</w:t>
      </w:r>
    </w:p>
    <w:p w14:paraId="6A5F1F98">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 xml:space="preserve">一、各方一致决定，以 </w:t>
      </w:r>
      <w:r>
        <w:rPr>
          <w:rFonts w:ascii="宋体" w:hAnsi="宋体"/>
          <w:color w:val="auto"/>
          <w:spacing w:val="14"/>
          <w:kern w:val="24"/>
          <w:sz w:val="24"/>
          <w:highlight w:val="none"/>
          <w:u w:val="single"/>
        </w:rPr>
        <w:t xml:space="preserve">                           </w:t>
      </w:r>
      <w:r>
        <w:rPr>
          <w:rFonts w:ascii="宋体" w:hAnsi="宋体"/>
          <w:color w:val="auto"/>
          <w:spacing w:val="14"/>
          <w:kern w:val="24"/>
          <w:sz w:val="24"/>
          <w:highlight w:val="none"/>
        </w:rPr>
        <w:t xml:space="preserve"> 为主办人进行投标，并按照招标文件的规定分别提交资格文件。</w:t>
      </w:r>
    </w:p>
    <w:p w14:paraId="53EC26F9">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二、在本次投标过程中，主办人的</w:t>
      </w:r>
      <w:r>
        <w:rPr>
          <w:rFonts w:ascii="宋体" w:hAnsi="宋体"/>
          <w:color w:val="auto"/>
          <w:spacing w:val="14"/>
          <w:kern w:val="24"/>
          <w:sz w:val="24"/>
          <w:highlight w:val="none"/>
          <w:u w:val="single"/>
        </w:rPr>
        <w:t>法定代表人或授权代理人</w:t>
      </w:r>
      <w:r>
        <w:rPr>
          <w:rFonts w:ascii="宋体" w:hAnsi="宋体"/>
          <w:color w:val="auto"/>
          <w:spacing w:val="14"/>
          <w:kern w:val="24"/>
          <w:sz w:val="24"/>
          <w:highlight w:val="none"/>
        </w:rPr>
        <w:t>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14:paraId="0FA17151">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三、联合投标其余各方保证对主办人为响应本次招标而提供的产品和服务提供全部质量保证及售后服务支持。</w:t>
      </w:r>
    </w:p>
    <w:p w14:paraId="5CE169D9">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四、本次联合投标中，</w:t>
      </w:r>
    </w:p>
    <w:p w14:paraId="3C3A081A">
      <w:pPr>
        <w:snapToGrid w:val="0"/>
        <w:spacing w:line="460" w:lineRule="atLeast"/>
        <w:ind w:firstLine="1072" w:firstLineChars="400"/>
        <w:rPr>
          <w:rFonts w:ascii="宋体" w:hAnsi="宋体"/>
          <w:color w:val="auto"/>
          <w:spacing w:val="14"/>
          <w:sz w:val="24"/>
          <w:highlight w:val="none"/>
        </w:rPr>
      </w:pPr>
      <w:r>
        <w:rPr>
          <w:rFonts w:ascii="宋体" w:hAnsi="宋体"/>
          <w:color w:val="auto"/>
          <w:spacing w:val="14"/>
          <w:kern w:val="24"/>
          <w:sz w:val="24"/>
          <w:highlight w:val="none"/>
        </w:rPr>
        <w:t>甲方承担的工作和义务为</w:t>
      </w:r>
      <w:r>
        <w:rPr>
          <w:rFonts w:hint="eastAsia" w:ascii="宋体" w:hAnsi="宋体"/>
          <w:color w:val="auto"/>
          <w:spacing w:val="14"/>
          <w:kern w:val="24"/>
          <w:sz w:val="24"/>
          <w:highlight w:val="none"/>
        </w:rPr>
        <w:t>：</w:t>
      </w:r>
    </w:p>
    <w:p w14:paraId="020DBEA6">
      <w:pPr>
        <w:snapToGrid w:val="0"/>
        <w:spacing w:line="460" w:lineRule="atLeast"/>
        <w:ind w:firstLine="536" w:firstLineChars="200"/>
        <w:rPr>
          <w:rFonts w:ascii="宋体" w:hAnsi="宋体"/>
          <w:color w:val="auto"/>
          <w:spacing w:val="14"/>
          <w:sz w:val="24"/>
          <w:highlight w:val="none"/>
        </w:rPr>
      </w:pPr>
      <w:r>
        <w:rPr>
          <w:rFonts w:ascii="宋体" w:hAnsi="宋体"/>
          <w:color w:val="auto"/>
          <w:spacing w:val="14"/>
          <w:kern w:val="24"/>
          <w:sz w:val="24"/>
          <w:highlight w:val="none"/>
        </w:rPr>
        <w:t xml:space="preserve">   乙方承担的工作和义务为：</w:t>
      </w:r>
    </w:p>
    <w:p w14:paraId="675960D8">
      <w:pPr>
        <w:snapToGrid w:val="0"/>
        <w:spacing w:line="460" w:lineRule="atLeast"/>
        <w:ind w:firstLine="538" w:firstLineChars="200"/>
        <w:rPr>
          <w:rFonts w:ascii="宋体" w:hAnsi="宋体"/>
          <w:b/>
          <w:bCs/>
          <w:color w:val="auto"/>
          <w:spacing w:val="14"/>
          <w:sz w:val="24"/>
          <w:highlight w:val="none"/>
        </w:rPr>
      </w:pPr>
      <w:r>
        <w:rPr>
          <w:rFonts w:hint="eastAsia" w:ascii="宋体" w:hAnsi="宋体"/>
          <w:b/>
          <w:bCs/>
          <w:color w:val="auto"/>
          <w:spacing w:val="14"/>
          <w:kern w:val="24"/>
          <w:sz w:val="24"/>
          <w:highlight w:val="none"/>
          <w:u w:val="single"/>
        </w:rPr>
        <w:t xml:space="preserve">    </w:t>
      </w:r>
      <w:r>
        <w:rPr>
          <w:rFonts w:hint="eastAsia" w:ascii="宋体" w:hAnsi="宋体"/>
          <w:b/>
          <w:bCs/>
          <w:color w:val="auto"/>
          <w:spacing w:val="14"/>
          <w:kern w:val="24"/>
          <w:sz w:val="24"/>
          <w:highlight w:val="none"/>
        </w:rPr>
        <w:t>方为</w:t>
      </w:r>
      <w:r>
        <w:rPr>
          <w:rFonts w:hint="eastAsia" w:ascii="宋体" w:hAnsi="宋体"/>
          <w:b/>
          <w:bCs/>
          <w:color w:val="auto"/>
          <w:spacing w:val="14"/>
          <w:kern w:val="24"/>
          <w:sz w:val="24"/>
          <w:highlight w:val="none"/>
          <w:u w:val="single"/>
        </w:rPr>
        <w:t xml:space="preserve">     </w:t>
      </w:r>
      <w:r>
        <w:rPr>
          <w:rFonts w:hint="eastAsia" w:ascii="宋体" w:hAnsi="宋体"/>
          <w:b/>
          <w:bCs/>
          <w:color w:val="auto"/>
          <w:spacing w:val="14"/>
          <w:kern w:val="24"/>
          <w:sz w:val="24"/>
          <w:highlight w:val="none"/>
        </w:rPr>
        <w:t>企业（此处填中型、小型、微型），预计本次承当的合同金额为</w:t>
      </w:r>
      <w:r>
        <w:rPr>
          <w:rFonts w:hint="eastAsia" w:ascii="宋体" w:hAnsi="宋体"/>
          <w:b/>
          <w:bCs/>
          <w:color w:val="auto"/>
          <w:spacing w:val="14"/>
          <w:kern w:val="24"/>
          <w:sz w:val="24"/>
          <w:highlight w:val="none"/>
          <w:u w:val="single"/>
        </w:rPr>
        <w:t xml:space="preserve">   </w:t>
      </w:r>
      <w:r>
        <w:rPr>
          <w:rFonts w:hint="eastAsia" w:ascii="宋体" w:hAnsi="宋体"/>
          <w:b/>
          <w:bCs/>
          <w:color w:val="auto"/>
          <w:spacing w:val="14"/>
          <w:kern w:val="24"/>
          <w:sz w:val="24"/>
          <w:highlight w:val="none"/>
        </w:rPr>
        <w:t>%。</w:t>
      </w:r>
    </w:p>
    <w:p w14:paraId="2A944C30">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五、有关本次联合投标的其他事宜：</w:t>
      </w:r>
    </w:p>
    <w:p w14:paraId="2B55F528">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六、本协议提交招标方后，联合投标各方不得以任何形式对上述实质内容进行修改或撤销。</w:t>
      </w:r>
    </w:p>
    <w:p w14:paraId="35EDF59B">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七、本协议</w:t>
      </w:r>
      <w:r>
        <w:rPr>
          <w:rFonts w:hint="eastAsia" w:ascii="宋体" w:hAnsi="宋体"/>
          <w:color w:val="auto"/>
          <w:spacing w:val="14"/>
          <w:kern w:val="24"/>
          <w:sz w:val="24"/>
          <w:highlight w:val="none"/>
        </w:rPr>
        <w:t>一式四份</w:t>
      </w:r>
      <w:r>
        <w:rPr>
          <w:rFonts w:ascii="宋体" w:hAnsi="宋体"/>
          <w:color w:val="auto"/>
          <w:spacing w:val="14"/>
          <w:kern w:val="24"/>
          <w:sz w:val="24"/>
          <w:highlight w:val="none"/>
        </w:rPr>
        <w:t>，签约各方各持一份，交政府采购管理部门及招标机构各一份。</w:t>
      </w:r>
    </w:p>
    <w:tbl>
      <w:tblPr>
        <w:tblStyle w:val="5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20" w:type="dxa"/>
          <w:left w:w="60" w:type="dxa"/>
          <w:bottom w:w="120" w:type="dxa"/>
          <w:right w:w="60" w:type="dxa"/>
        </w:tblCellMar>
      </w:tblPr>
      <w:tblGrid>
        <w:gridCol w:w="4260"/>
        <w:gridCol w:w="4260"/>
      </w:tblGrid>
      <w:tr w14:paraId="7CC45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1695" w:hRule="atLeast"/>
        </w:trPr>
        <w:tc>
          <w:tcPr>
            <w:tcW w:w="4260" w:type="dxa"/>
            <w:tcBorders>
              <w:top w:val="nil"/>
              <w:left w:val="nil"/>
              <w:bottom w:val="nil"/>
              <w:right w:val="nil"/>
            </w:tcBorders>
            <w:vAlign w:val="center"/>
          </w:tcPr>
          <w:p w14:paraId="02B27686">
            <w:pPr>
              <w:snapToGrid w:val="0"/>
              <w:spacing w:line="460" w:lineRule="atLeast"/>
              <w:ind w:firstLine="200"/>
              <w:rPr>
                <w:rFonts w:ascii="宋体" w:hAnsi="宋体"/>
                <w:color w:val="auto"/>
                <w:spacing w:val="14"/>
                <w:kern w:val="24"/>
                <w:sz w:val="24"/>
                <w:highlight w:val="none"/>
              </w:rPr>
            </w:pPr>
            <w:r>
              <w:rPr>
                <w:rFonts w:ascii="宋体" w:hAnsi="宋体"/>
                <w:color w:val="auto"/>
                <w:spacing w:val="14"/>
                <w:kern w:val="24"/>
                <w:sz w:val="24"/>
                <w:highlight w:val="none"/>
              </w:rPr>
              <w:t>甲方单位：          （公章）</w:t>
            </w:r>
          </w:p>
          <w:p w14:paraId="5469F61C">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法定代表人：（签章）</w:t>
            </w:r>
          </w:p>
          <w:p w14:paraId="78075BFA">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日期：    年   月   日</w:t>
            </w:r>
          </w:p>
        </w:tc>
        <w:tc>
          <w:tcPr>
            <w:tcW w:w="4260" w:type="dxa"/>
            <w:tcBorders>
              <w:top w:val="nil"/>
              <w:left w:val="nil"/>
              <w:bottom w:val="nil"/>
              <w:right w:val="nil"/>
            </w:tcBorders>
            <w:vAlign w:val="center"/>
          </w:tcPr>
          <w:p w14:paraId="339D3F63">
            <w:pPr>
              <w:snapToGrid w:val="0"/>
              <w:spacing w:line="460" w:lineRule="atLeast"/>
              <w:ind w:firstLine="200"/>
              <w:rPr>
                <w:rFonts w:ascii="宋体" w:hAnsi="宋体"/>
                <w:color w:val="auto"/>
                <w:spacing w:val="14"/>
                <w:kern w:val="24"/>
                <w:sz w:val="24"/>
                <w:highlight w:val="none"/>
              </w:rPr>
            </w:pPr>
            <w:r>
              <w:rPr>
                <w:rFonts w:ascii="宋体" w:hAnsi="宋体"/>
                <w:color w:val="auto"/>
                <w:spacing w:val="14"/>
                <w:kern w:val="24"/>
                <w:sz w:val="24"/>
                <w:highlight w:val="none"/>
              </w:rPr>
              <w:t>乙方单位：           （公章）</w:t>
            </w:r>
          </w:p>
          <w:p w14:paraId="05D36624">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法定代表人：（签章）</w:t>
            </w:r>
          </w:p>
          <w:p w14:paraId="6327E5AA">
            <w:pPr>
              <w:snapToGrid w:val="0"/>
              <w:spacing w:line="460" w:lineRule="atLeast"/>
              <w:ind w:firstLine="536" w:firstLineChars="200"/>
              <w:rPr>
                <w:rFonts w:ascii="宋体" w:hAnsi="宋体"/>
                <w:color w:val="auto"/>
                <w:spacing w:val="14"/>
                <w:kern w:val="24"/>
                <w:sz w:val="24"/>
                <w:highlight w:val="none"/>
              </w:rPr>
            </w:pPr>
            <w:r>
              <w:rPr>
                <w:rFonts w:ascii="宋体" w:hAnsi="宋体"/>
                <w:color w:val="auto"/>
                <w:spacing w:val="14"/>
                <w:kern w:val="24"/>
                <w:sz w:val="24"/>
                <w:highlight w:val="none"/>
              </w:rPr>
              <w:t>日期：   年   月   日</w:t>
            </w:r>
          </w:p>
        </w:tc>
      </w:tr>
    </w:tbl>
    <w:p w14:paraId="5934DA76">
      <w:pPr>
        <w:pStyle w:val="13"/>
        <w:overflowPunct w:val="0"/>
        <w:spacing w:line="460" w:lineRule="exact"/>
        <w:jc w:val="left"/>
        <w:rPr>
          <w:rFonts w:hint="default" w:ascii="宋体" w:hAnsi="宋体" w:eastAsia="宋体" w:cs="宋体"/>
          <w:color w:val="auto"/>
          <w:sz w:val="28"/>
          <w:szCs w:val="28"/>
          <w:highlight w:val="none"/>
          <w:lang w:val="en-US" w:eastAsia="zh-CN"/>
        </w:rPr>
      </w:pPr>
      <w:bookmarkStart w:id="495" w:name="_Toc19072"/>
      <w:bookmarkStart w:id="496" w:name="_Toc6151"/>
      <w:bookmarkStart w:id="497" w:name="_Toc25790"/>
      <w:r>
        <w:rPr>
          <w:rFonts w:hint="eastAsia" w:ascii="宋体" w:hAnsi="宋体" w:cs="宋体"/>
          <w:color w:val="auto"/>
          <w:sz w:val="28"/>
          <w:szCs w:val="28"/>
          <w:highlight w:val="none"/>
        </w:rPr>
        <w:t>附件</w:t>
      </w:r>
      <w:r>
        <w:rPr>
          <w:rFonts w:hint="eastAsia" w:ascii="宋体" w:hAnsi="宋体" w:cs="宋体"/>
          <w:color w:val="auto"/>
          <w:sz w:val="28"/>
          <w:szCs w:val="28"/>
          <w:highlight w:val="none"/>
          <w:lang w:val="en-US" w:eastAsia="zh-CN"/>
        </w:rPr>
        <w:t>11:</w:t>
      </w:r>
    </w:p>
    <w:p w14:paraId="1848E06E">
      <w:pPr>
        <w:pStyle w:val="13"/>
        <w:overflowPunct w:val="0"/>
        <w:spacing w:line="460" w:lineRule="exact"/>
        <w:jc w:val="center"/>
        <w:rPr>
          <w:rFonts w:ascii="仿宋" w:hAnsi="仿宋" w:eastAsia="仿宋"/>
          <w:b/>
          <w:color w:val="auto"/>
          <w:sz w:val="30"/>
          <w:szCs w:val="30"/>
          <w:highlight w:val="none"/>
        </w:rPr>
      </w:pPr>
      <w:r>
        <w:rPr>
          <w:rFonts w:hint="eastAsia" w:ascii="仿宋" w:hAnsi="仿宋" w:eastAsia="仿宋"/>
          <w:b/>
          <w:color w:val="auto"/>
          <w:sz w:val="30"/>
          <w:szCs w:val="30"/>
          <w:highlight w:val="none"/>
        </w:rPr>
        <w:t>联合投标授权委托书</w:t>
      </w:r>
    </w:p>
    <w:p w14:paraId="16BE06F2">
      <w:pPr>
        <w:pStyle w:val="13"/>
        <w:overflowPunct w:val="0"/>
        <w:spacing w:line="460" w:lineRule="exact"/>
        <w:rPr>
          <w:rFonts w:ascii="仿宋" w:hAnsi="仿宋" w:eastAsia="仿宋"/>
          <w:color w:val="auto"/>
          <w:sz w:val="30"/>
          <w:szCs w:val="30"/>
          <w:highlight w:val="none"/>
        </w:rPr>
      </w:pPr>
    </w:p>
    <w:p w14:paraId="23F22826">
      <w:pPr>
        <w:pStyle w:val="13"/>
        <w:overflowPunct w:val="0"/>
        <w:spacing w:line="460" w:lineRule="exact"/>
        <w:rPr>
          <w:rFonts w:ascii="仿宋" w:hAnsi="仿宋" w:eastAsia="仿宋"/>
          <w:color w:val="auto"/>
          <w:sz w:val="30"/>
          <w:szCs w:val="30"/>
          <w:highlight w:val="none"/>
        </w:rPr>
      </w:pPr>
      <w:r>
        <w:rPr>
          <w:rFonts w:hint="eastAsia" w:ascii="仿宋" w:hAnsi="仿宋" w:eastAsia="仿宋"/>
          <w:color w:val="auto"/>
          <w:sz w:val="30"/>
          <w:szCs w:val="30"/>
          <w:highlight w:val="none"/>
        </w:rPr>
        <w:t xml:space="preserve"> 本授权委托书声明：根据</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与签订的《联合投标协议书》的内容，主办人的法定代表人现授权</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为联合投标代理人，代理人在投标、开标、评标、合同谈判过程中所签署的一切文件和处理与这有关的一切事务， 联合投标各方均予以认可并遵守。</w:t>
      </w:r>
    </w:p>
    <w:p w14:paraId="5F58A96C">
      <w:pPr>
        <w:pStyle w:val="13"/>
        <w:overflowPunct w:val="0"/>
        <w:spacing w:line="460" w:lineRule="exact"/>
        <w:rPr>
          <w:rFonts w:ascii="仿宋" w:hAnsi="仿宋" w:eastAsia="仿宋"/>
          <w:color w:val="auto"/>
          <w:sz w:val="30"/>
          <w:szCs w:val="30"/>
          <w:highlight w:val="none"/>
        </w:rPr>
      </w:pPr>
      <w:r>
        <w:rPr>
          <w:rFonts w:hint="eastAsia" w:ascii="仿宋" w:hAnsi="仿宋" w:eastAsia="仿宋"/>
          <w:color w:val="auto"/>
          <w:sz w:val="30"/>
          <w:szCs w:val="30"/>
          <w:highlight w:val="none"/>
        </w:rPr>
        <w:t xml:space="preserve"> 特此委托。</w:t>
      </w:r>
    </w:p>
    <w:p w14:paraId="6489EDA9">
      <w:pPr>
        <w:pStyle w:val="13"/>
        <w:overflowPunct w:val="0"/>
        <w:spacing w:line="460" w:lineRule="exact"/>
        <w:rPr>
          <w:rFonts w:ascii="仿宋" w:hAnsi="仿宋" w:eastAsia="仿宋"/>
          <w:color w:val="auto"/>
          <w:sz w:val="30"/>
          <w:szCs w:val="30"/>
          <w:highlight w:val="none"/>
        </w:rPr>
      </w:pPr>
    </w:p>
    <w:p w14:paraId="06F11A9B">
      <w:pPr>
        <w:pStyle w:val="13"/>
        <w:overflowPunct w:val="0"/>
        <w:spacing w:line="460" w:lineRule="exact"/>
        <w:ind w:firstLine="600" w:firstLineChars="200"/>
        <w:rPr>
          <w:rFonts w:ascii="仿宋" w:hAnsi="仿宋" w:eastAsia="仿宋"/>
          <w:color w:val="auto"/>
          <w:sz w:val="30"/>
          <w:szCs w:val="30"/>
          <w:highlight w:val="none"/>
          <w:u w:val="single"/>
        </w:rPr>
      </w:pPr>
      <w:r>
        <w:rPr>
          <w:rFonts w:hint="eastAsia" w:ascii="仿宋" w:hAnsi="仿宋" w:eastAsia="仿宋"/>
          <w:color w:val="auto"/>
          <w:sz w:val="30"/>
          <w:szCs w:val="30"/>
          <w:highlight w:val="none"/>
        </w:rPr>
        <w:t>授权人（签名）：</w:t>
      </w:r>
      <w:r>
        <w:rPr>
          <w:rFonts w:hint="eastAsia" w:ascii="仿宋" w:hAnsi="仿宋" w:eastAsia="仿宋"/>
          <w:color w:val="auto"/>
          <w:sz w:val="30"/>
          <w:szCs w:val="30"/>
          <w:highlight w:val="none"/>
          <w:u w:val="single"/>
        </w:rPr>
        <w:t xml:space="preserve">               </w:t>
      </w:r>
    </w:p>
    <w:p w14:paraId="1B494303">
      <w:pPr>
        <w:pStyle w:val="13"/>
        <w:overflowPunct w:val="0"/>
        <w:spacing w:line="460" w:lineRule="exact"/>
        <w:ind w:firstLine="600" w:firstLineChars="200"/>
        <w:rPr>
          <w:rFonts w:ascii="仿宋" w:hAnsi="仿宋" w:eastAsia="仿宋"/>
          <w:color w:val="auto"/>
          <w:sz w:val="30"/>
          <w:szCs w:val="30"/>
          <w:highlight w:val="none"/>
        </w:rPr>
      </w:pPr>
    </w:p>
    <w:p w14:paraId="4E16E53E">
      <w:pPr>
        <w:pStyle w:val="13"/>
        <w:overflowPunct w:val="0"/>
        <w:spacing w:line="460" w:lineRule="exact"/>
        <w:ind w:left="420" w:leftChars="200" w:firstLine="150" w:firstLineChars="50"/>
        <w:rPr>
          <w:rFonts w:ascii="仿宋" w:hAnsi="仿宋" w:eastAsia="仿宋"/>
          <w:color w:val="auto"/>
          <w:sz w:val="30"/>
          <w:szCs w:val="30"/>
          <w:highlight w:val="none"/>
        </w:rPr>
      </w:pPr>
      <w:r>
        <w:rPr>
          <w:rFonts w:hint="eastAsia" w:ascii="仿宋" w:hAnsi="仿宋" w:eastAsia="仿宋"/>
          <w:color w:val="auto"/>
          <w:sz w:val="30"/>
          <w:szCs w:val="30"/>
          <w:highlight w:val="none"/>
        </w:rPr>
        <w:t>日期：</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年</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月</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日</w:t>
      </w:r>
    </w:p>
    <w:p w14:paraId="57202A52">
      <w:pPr>
        <w:pStyle w:val="13"/>
        <w:overflowPunct w:val="0"/>
        <w:spacing w:line="460" w:lineRule="exact"/>
        <w:rPr>
          <w:rFonts w:ascii="仿宋" w:hAnsi="仿宋" w:eastAsia="仿宋"/>
          <w:color w:val="auto"/>
          <w:sz w:val="30"/>
          <w:szCs w:val="30"/>
          <w:highlight w:val="none"/>
        </w:rPr>
      </w:pPr>
    </w:p>
    <w:p w14:paraId="60B3D6C6">
      <w:pPr>
        <w:pStyle w:val="13"/>
        <w:overflowPunct w:val="0"/>
        <w:spacing w:line="460" w:lineRule="exact"/>
        <w:ind w:firstLine="570" w:firstLineChars="190"/>
        <w:rPr>
          <w:rFonts w:ascii="仿宋" w:hAnsi="仿宋" w:eastAsia="仿宋"/>
          <w:color w:val="auto"/>
          <w:sz w:val="30"/>
          <w:szCs w:val="30"/>
          <w:highlight w:val="none"/>
          <w:u w:val="single"/>
        </w:rPr>
      </w:pPr>
      <w:r>
        <w:rPr>
          <w:rFonts w:hint="eastAsia" w:ascii="仿宋" w:hAnsi="仿宋" w:eastAsia="仿宋"/>
          <w:color w:val="auto"/>
          <w:sz w:val="30"/>
          <w:szCs w:val="30"/>
          <w:highlight w:val="none"/>
        </w:rPr>
        <w:t>授权代表（签名）；</w:t>
      </w:r>
      <w:r>
        <w:rPr>
          <w:rFonts w:hint="eastAsia" w:ascii="仿宋" w:hAnsi="仿宋" w:eastAsia="仿宋"/>
          <w:color w:val="auto"/>
          <w:sz w:val="30"/>
          <w:szCs w:val="30"/>
          <w:highlight w:val="none"/>
          <w:u w:val="single"/>
        </w:rPr>
        <w:t xml:space="preserve">              </w:t>
      </w:r>
    </w:p>
    <w:p w14:paraId="5038627C">
      <w:pPr>
        <w:pStyle w:val="13"/>
        <w:overflowPunct w:val="0"/>
        <w:spacing w:line="460" w:lineRule="exact"/>
        <w:ind w:firstLine="570" w:firstLineChars="190"/>
        <w:rPr>
          <w:rFonts w:ascii="仿宋" w:hAnsi="仿宋" w:eastAsia="仿宋"/>
          <w:color w:val="auto"/>
          <w:sz w:val="30"/>
          <w:szCs w:val="30"/>
          <w:highlight w:val="none"/>
        </w:rPr>
      </w:pPr>
    </w:p>
    <w:p w14:paraId="2C19BC4A">
      <w:pPr>
        <w:pStyle w:val="13"/>
        <w:overflowPunct w:val="0"/>
        <w:spacing w:line="460" w:lineRule="exact"/>
        <w:ind w:firstLine="570" w:firstLineChars="190"/>
        <w:rPr>
          <w:rFonts w:ascii="仿宋" w:hAnsi="仿宋" w:eastAsia="仿宋"/>
          <w:color w:val="auto"/>
          <w:sz w:val="30"/>
          <w:szCs w:val="30"/>
          <w:highlight w:val="none"/>
        </w:rPr>
      </w:pPr>
      <w:r>
        <w:rPr>
          <w:rFonts w:hint="eastAsia" w:ascii="仿宋" w:hAnsi="仿宋" w:eastAsia="仿宋"/>
          <w:color w:val="auto"/>
          <w:sz w:val="30"/>
          <w:szCs w:val="30"/>
          <w:highlight w:val="none"/>
        </w:rPr>
        <w:t>日期：</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年</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月</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日</w:t>
      </w:r>
    </w:p>
    <w:p w14:paraId="238608BD">
      <w:pPr>
        <w:tabs>
          <w:tab w:val="left" w:pos="606"/>
        </w:tabs>
        <w:spacing w:line="460" w:lineRule="exact"/>
        <w:rPr>
          <w:rFonts w:ascii="仿宋" w:hAnsi="仿宋" w:eastAsia="仿宋"/>
          <w:color w:val="auto"/>
          <w:spacing w:val="20"/>
          <w:sz w:val="30"/>
          <w:szCs w:val="30"/>
          <w:highlight w:val="none"/>
        </w:rPr>
      </w:pPr>
    </w:p>
    <w:p w14:paraId="76DCE9B8">
      <w:pPr>
        <w:tabs>
          <w:tab w:val="left" w:pos="606"/>
        </w:tabs>
        <w:spacing w:line="460" w:lineRule="exact"/>
        <w:rPr>
          <w:rFonts w:ascii="仿宋" w:hAnsi="仿宋" w:eastAsia="仿宋"/>
          <w:color w:val="auto"/>
          <w:spacing w:val="20"/>
          <w:sz w:val="30"/>
          <w:szCs w:val="30"/>
          <w:highlight w:val="none"/>
        </w:rPr>
      </w:pPr>
    </w:p>
    <w:tbl>
      <w:tblPr>
        <w:tblStyle w:val="54"/>
        <w:tblW w:w="8530" w:type="dxa"/>
        <w:jc w:val="center"/>
        <w:tblLayout w:type="fixed"/>
        <w:tblCellMar>
          <w:top w:w="0" w:type="dxa"/>
          <w:left w:w="108" w:type="dxa"/>
          <w:bottom w:w="0" w:type="dxa"/>
          <w:right w:w="108" w:type="dxa"/>
        </w:tblCellMar>
      </w:tblPr>
      <w:tblGrid>
        <w:gridCol w:w="4265"/>
        <w:gridCol w:w="4265"/>
      </w:tblGrid>
      <w:tr w14:paraId="78DE5BB2">
        <w:trPr>
          <w:trHeight w:val="1635" w:hRule="atLeast"/>
          <w:jc w:val="center"/>
        </w:trPr>
        <w:tc>
          <w:tcPr>
            <w:tcW w:w="4264" w:type="dxa"/>
          </w:tcPr>
          <w:p w14:paraId="00264DA3">
            <w:pPr>
              <w:pStyle w:val="13"/>
              <w:overflowPunct w:val="0"/>
              <w:spacing w:line="460" w:lineRule="exact"/>
              <w:ind w:firstLine="0"/>
              <w:rPr>
                <w:rFonts w:ascii="仿宋" w:hAnsi="仿宋" w:eastAsia="仿宋"/>
                <w:color w:val="auto"/>
                <w:sz w:val="30"/>
                <w:szCs w:val="30"/>
                <w:highlight w:val="none"/>
              </w:rPr>
            </w:pPr>
          </w:p>
          <w:p w14:paraId="6B615B3C">
            <w:pPr>
              <w:pStyle w:val="13"/>
              <w:overflowPunct w:val="0"/>
              <w:spacing w:line="460" w:lineRule="exact"/>
              <w:ind w:firstLine="0"/>
              <w:rPr>
                <w:rFonts w:ascii="仿宋" w:hAnsi="仿宋" w:eastAsia="仿宋"/>
                <w:color w:val="auto"/>
                <w:sz w:val="30"/>
                <w:szCs w:val="30"/>
                <w:highlight w:val="none"/>
              </w:rPr>
            </w:pPr>
          </w:p>
          <w:p w14:paraId="71911E1F">
            <w:pPr>
              <w:pStyle w:val="13"/>
              <w:overflowPunct w:val="0"/>
              <w:spacing w:line="460" w:lineRule="exact"/>
              <w:ind w:firstLine="0"/>
              <w:rPr>
                <w:rFonts w:ascii="仿宋" w:hAnsi="仿宋" w:eastAsia="仿宋"/>
                <w:color w:val="auto"/>
                <w:sz w:val="30"/>
                <w:szCs w:val="30"/>
                <w:highlight w:val="none"/>
              </w:rPr>
            </w:pPr>
            <w:r>
              <w:rPr>
                <w:rFonts w:hint="eastAsia" w:ascii="仿宋" w:hAnsi="仿宋" w:eastAsia="仿宋"/>
                <w:color w:val="auto"/>
                <w:sz w:val="30"/>
                <w:szCs w:val="30"/>
                <w:highlight w:val="none"/>
              </w:rPr>
              <w:t>联合体甲方单位：</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（公章）</w:t>
            </w:r>
          </w:p>
          <w:p w14:paraId="0E1B15EE">
            <w:pPr>
              <w:pStyle w:val="13"/>
              <w:overflowPunct w:val="0"/>
              <w:spacing w:line="460" w:lineRule="exact"/>
              <w:ind w:firstLine="0"/>
              <w:rPr>
                <w:rFonts w:ascii="仿宋" w:hAnsi="仿宋" w:eastAsia="仿宋"/>
                <w:color w:val="auto"/>
                <w:sz w:val="30"/>
                <w:szCs w:val="30"/>
                <w:highlight w:val="none"/>
              </w:rPr>
            </w:pPr>
          </w:p>
          <w:p w14:paraId="3E8E5FA6">
            <w:pPr>
              <w:pStyle w:val="13"/>
              <w:overflowPunct w:val="0"/>
              <w:spacing w:line="460" w:lineRule="exact"/>
              <w:ind w:firstLine="0"/>
              <w:rPr>
                <w:rFonts w:ascii="仿宋" w:hAnsi="仿宋" w:eastAsia="仿宋"/>
                <w:color w:val="auto"/>
                <w:sz w:val="30"/>
                <w:szCs w:val="30"/>
                <w:highlight w:val="none"/>
              </w:rPr>
            </w:pPr>
          </w:p>
          <w:p w14:paraId="378FA793">
            <w:pPr>
              <w:pStyle w:val="13"/>
              <w:overflowPunct w:val="0"/>
              <w:spacing w:line="460" w:lineRule="exact"/>
              <w:ind w:firstLine="0"/>
              <w:rPr>
                <w:rFonts w:ascii="仿宋" w:hAnsi="仿宋" w:eastAsia="仿宋"/>
                <w:color w:val="auto"/>
                <w:sz w:val="30"/>
                <w:szCs w:val="30"/>
                <w:highlight w:val="none"/>
              </w:rPr>
            </w:pPr>
            <w:r>
              <w:rPr>
                <w:rFonts w:hint="eastAsia" w:ascii="仿宋" w:hAnsi="仿宋" w:eastAsia="仿宋"/>
                <w:color w:val="auto"/>
                <w:sz w:val="30"/>
                <w:szCs w:val="30"/>
                <w:highlight w:val="none"/>
              </w:rPr>
              <w:t>法定代表人：</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（签章）</w:t>
            </w:r>
          </w:p>
          <w:p w14:paraId="3368C9CC">
            <w:pPr>
              <w:pStyle w:val="13"/>
              <w:overflowPunct w:val="0"/>
              <w:spacing w:line="460" w:lineRule="exact"/>
              <w:ind w:firstLine="0"/>
              <w:rPr>
                <w:rFonts w:ascii="仿宋" w:hAnsi="仿宋" w:eastAsia="仿宋"/>
                <w:color w:val="auto"/>
                <w:sz w:val="30"/>
                <w:szCs w:val="30"/>
                <w:highlight w:val="none"/>
              </w:rPr>
            </w:pPr>
          </w:p>
          <w:p w14:paraId="1F0964BA">
            <w:pPr>
              <w:pStyle w:val="13"/>
              <w:overflowPunct w:val="0"/>
              <w:spacing w:line="460" w:lineRule="exact"/>
              <w:ind w:firstLine="0"/>
              <w:rPr>
                <w:rFonts w:ascii="仿宋" w:hAnsi="仿宋" w:eastAsia="仿宋"/>
                <w:color w:val="auto"/>
                <w:sz w:val="30"/>
                <w:szCs w:val="30"/>
                <w:highlight w:val="none"/>
              </w:rPr>
            </w:pPr>
          </w:p>
          <w:p w14:paraId="1985BA20">
            <w:pPr>
              <w:pStyle w:val="13"/>
              <w:overflowPunct w:val="0"/>
              <w:spacing w:line="460" w:lineRule="exact"/>
              <w:ind w:firstLine="0"/>
              <w:rPr>
                <w:rFonts w:ascii="仿宋" w:hAnsi="仿宋" w:eastAsia="仿宋"/>
                <w:color w:val="auto"/>
                <w:sz w:val="30"/>
                <w:szCs w:val="30"/>
                <w:highlight w:val="none"/>
              </w:rPr>
            </w:pPr>
            <w:r>
              <w:rPr>
                <w:rFonts w:hint="eastAsia" w:ascii="仿宋" w:hAnsi="仿宋" w:eastAsia="仿宋"/>
                <w:color w:val="auto"/>
                <w:sz w:val="30"/>
                <w:szCs w:val="30"/>
                <w:highlight w:val="none"/>
              </w:rPr>
              <w:t>日  期：</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年</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月</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日</w:t>
            </w:r>
          </w:p>
        </w:tc>
        <w:tc>
          <w:tcPr>
            <w:tcW w:w="4264" w:type="dxa"/>
          </w:tcPr>
          <w:p w14:paraId="5FA9819A">
            <w:pPr>
              <w:pStyle w:val="13"/>
              <w:overflowPunct w:val="0"/>
              <w:spacing w:line="460" w:lineRule="exact"/>
              <w:ind w:firstLine="0"/>
              <w:rPr>
                <w:rFonts w:ascii="仿宋" w:hAnsi="仿宋" w:eastAsia="仿宋"/>
                <w:color w:val="auto"/>
                <w:sz w:val="30"/>
                <w:szCs w:val="30"/>
                <w:highlight w:val="none"/>
              </w:rPr>
            </w:pPr>
          </w:p>
          <w:p w14:paraId="1A751EC7">
            <w:pPr>
              <w:pStyle w:val="13"/>
              <w:overflowPunct w:val="0"/>
              <w:spacing w:line="460" w:lineRule="exact"/>
              <w:ind w:firstLine="0"/>
              <w:rPr>
                <w:rFonts w:ascii="仿宋" w:hAnsi="仿宋" w:eastAsia="仿宋"/>
                <w:color w:val="auto"/>
                <w:sz w:val="30"/>
                <w:szCs w:val="30"/>
                <w:highlight w:val="none"/>
              </w:rPr>
            </w:pPr>
          </w:p>
          <w:p w14:paraId="21C78F98">
            <w:pPr>
              <w:pStyle w:val="13"/>
              <w:overflowPunct w:val="0"/>
              <w:spacing w:line="460" w:lineRule="exact"/>
              <w:ind w:firstLine="0"/>
              <w:rPr>
                <w:rFonts w:ascii="仿宋" w:hAnsi="仿宋" w:eastAsia="仿宋"/>
                <w:color w:val="auto"/>
                <w:sz w:val="30"/>
                <w:szCs w:val="30"/>
                <w:highlight w:val="none"/>
              </w:rPr>
            </w:pPr>
            <w:r>
              <w:rPr>
                <w:rFonts w:hint="eastAsia" w:ascii="仿宋" w:hAnsi="仿宋" w:eastAsia="仿宋"/>
                <w:color w:val="auto"/>
                <w:sz w:val="30"/>
                <w:szCs w:val="30"/>
                <w:highlight w:val="none"/>
              </w:rPr>
              <w:t>联合体乙方单位：</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（公章）</w:t>
            </w:r>
          </w:p>
          <w:p w14:paraId="0B595022">
            <w:pPr>
              <w:pStyle w:val="13"/>
              <w:overflowPunct w:val="0"/>
              <w:spacing w:line="460" w:lineRule="exact"/>
              <w:ind w:firstLine="0"/>
              <w:rPr>
                <w:rFonts w:ascii="仿宋" w:hAnsi="仿宋" w:eastAsia="仿宋"/>
                <w:color w:val="auto"/>
                <w:sz w:val="30"/>
                <w:szCs w:val="30"/>
                <w:highlight w:val="none"/>
              </w:rPr>
            </w:pPr>
          </w:p>
          <w:p w14:paraId="1B0C87FD">
            <w:pPr>
              <w:pStyle w:val="13"/>
              <w:overflowPunct w:val="0"/>
              <w:spacing w:line="460" w:lineRule="exact"/>
              <w:ind w:firstLine="0"/>
              <w:rPr>
                <w:rFonts w:ascii="仿宋" w:hAnsi="仿宋" w:eastAsia="仿宋"/>
                <w:color w:val="auto"/>
                <w:sz w:val="30"/>
                <w:szCs w:val="30"/>
                <w:highlight w:val="none"/>
              </w:rPr>
            </w:pPr>
          </w:p>
          <w:p w14:paraId="50B516C1">
            <w:pPr>
              <w:pStyle w:val="13"/>
              <w:overflowPunct w:val="0"/>
              <w:spacing w:line="460" w:lineRule="exact"/>
              <w:ind w:firstLine="0"/>
              <w:rPr>
                <w:rFonts w:ascii="仿宋" w:hAnsi="仿宋" w:eastAsia="仿宋"/>
                <w:color w:val="auto"/>
                <w:sz w:val="30"/>
                <w:szCs w:val="30"/>
                <w:highlight w:val="none"/>
              </w:rPr>
            </w:pPr>
            <w:r>
              <w:rPr>
                <w:rFonts w:hint="eastAsia" w:ascii="仿宋" w:hAnsi="仿宋" w:eastAsia="仿宋"/>
                <w:color w:val="auto"/>
                <w:sz w:val="30"/>
                <w:szCs w:val="30"/>
                <w:highlight w:val="none"/>
              </w:rPr>
              <w:t>法定代表人：</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（签章）</w:t>
            </w:r>
          </w:p>
          <w:p w14:paraId="33D47D58">
            <w:pPr>
              <w:pStyle w:val="13"/>
              <w:overflowPunct w:val="0"/>
              <w:spacing w:line="460" w:lineRule="exact"/>
              <w:ind w:firstLine="0"/>
              <w:rPr>
                <w:rFonts w:ascii="仿宋" w:hAnsi="仿宋" w:eastAsia="仿宋"/>
                <w:color w:val="auto"/>
                <w:sz w:val="30"/>
                <w:szCs w:val="30"/>
                <w:highlight w:val="none"/>
              </w:rPr>
            </w:pPr>
          </w:p>
          <w:p w14:paraId="46A7D00B">
            <w:pPr>
              <w:pStyle w:val="13"/>
              <w:overflowPunct w:val="0"/>
              <w:spacing w:line="460" w:lineRule="exact"/>
              <w:ind w:firstLine="0"/>
              <w:rPr>
                <w:rFonts w:ascii="仿宋" w:hAnsi="仿宋" w:eastAsia="仿宋"/>
                <w:color w:val="auto"/>
                <w:sz w:val="30"/>
                <w:szCs w:val="30"/>
                <w:highlight w:val="none"/>
              </w:rPr>
            </w:pPr>
          </w:p>
          <w:p w14:paraId="53192D13">
            <w:pPr>
              <w:pStyle w:val="13"/>
              <w:overflowPunct w:val="0"/>
              <w:spacing w:line="460" w:lineRule="exact"/>
              <w:ind w:firstLine="0"/>
              <w:rPr>
                <w:rFonts w:ascii="仿宋" w:hAnsi="仿宋" w:eastAsia="仿宋"/>
                <w:color w:val="auto"/>
                <w:sz w:val="30"/>
                <w:szCs w:val="30"/>
                <w:highlight w:val="none"/>
              </w:rPr>
            </w:pPr>
            <w:r>
              <w:rPr>
                <w:rFonts w:hint="eastAsia" w:ascii="仿宋" w:hAnsi="仿宋" w:eastAsia="仿宋"/>
                <w:color w:val="auto"/>
                <w:sz w:val="30"/>
                <w:szCs w:val="30"/>
                <w:highlight w:val="none"/>
              </w:rPr>
              <w:t>日  期：</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年</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月</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日</w:t>
            </w:r>
          </w:p>
        </w:tc>
      </w:tr>
    </w:tbl>
    <w:p w14:paraId="36EBC307">
      <w:pPr>
        <w:snapToGrid w:val="0"/>
        <w:spacing w:before="50" w:after="120" w:afterLines="50" w:line="276" w:lineRule="auto"/>
        <w:jc w:val="left"/>
        <w:rPr>
          <w:rFonts w:hint="eastAsia" w:ascii="宋体" w:hAnsi="宋体"/>
          <w:b/>
          <w:color w:val="auto"/>
          <w:sz w:val="24"/>
          <w:highlight w:val="none"/>
        </w:rPr>
      </w:pPr>
    </w:p>
    <w:p w14:paraId="5900A105">
      <w:pPr>
        <w:rPr>
          <w:rFonts w:hint="eastAsia" w:ascii="宋体" w:hAnsi="宋体" w:cs="宋体"/>
          <w:color w:val="auto"/>
          <w:sz w:val="28"/>
          <w:szCs w:val="28"/>
          <w:highlight w:val="none"/>
        </w:rPr>
        <w:sectPr>
          <w:pgSz w:w="11906" w:h="16838"/>
          <w:pgMar w:top="1440" w:right="1106" w:bottom="1440" w:left="1440" w:header="851" w:footer="992" w:gutter="0"/>
          <w:cols w:space="720" w:num="1"/>
          <w:docGrid w:linePitch="312" w:charSpace="0"/>
        </w:sectPr>
      </w:pPr>
    </w:p>
    <w:p w14:paraId="2DDED832">
      <w:pPr>
        <w:snapToGrid w:val="0"/>
        <w:spacing w:line="400" w:lineRule="exact"/>
        <w:jc w:val="left"/>
        <w:rPr>
          <w:rFonts w:ascii="宋体" w:hAnsi="宋体"/>
          <w:color w:val="auto"/>
          <w:sz w:val="24"/>
          <w:highlight w:val="none"/>
        </w:rPr>
      </w:pPr>
      <w:bookmarkStart w:id="498" w:name="_Toc7510"/>
      <w:r>
        <w:rPr>
          <w:rFonts w:hint="eastAsia" w:ascii="宋体" w:hAnsi="宋体" w:cs="宋体"/>
          <w:color w:val="auto"/>
          <w:sz w:val="28"/>
          <w:szCs w:val="28"/>
          <w:highlight w:val="none"/>
        </w:rPr>
        <w:t>附件12</w:t>
      </w:r>
      <w:bookmarkEnd w:id="498"/>
    </w:p>
    <w:p w14:paraId="4B2FEA08">
      <w:pPr>
        <w:jc w:val="center"/>
        <w:rPr>
          <w:rFonts w:hint="eastAsia" w:ascii="黑体" w:hAnsi="宋体" w:eastAsia="黑体"/>
          <w:b/>
          <w:bCs/>
          <w:color w:val="auto"/>
          <w:kern w:val="0"/>
          <w:sz w:val="32"/>
          <w:szCs w:val="32"/>
          <w:highlight w:val="none"/>
          <w:lang w:val="zh-CN"/>
        </w:rPr>
      </w:pPr>
      <w:bookmarkStart w:id="499" w:name="_Toc2674"/>
      <w:bookmarkStart w:id="500" w:name="_Toc9710"/>
      <w:bookmarkStart w:id="501" w:name="_Toc16470"/>
      <w:bookmarkStart w:id="502" w:name="_Toc1258"/>
      <w:r>
        <w:rPr>
          <w:rFonts w:hint="eastAsia" w:ascii="黑体" w:hAnsi="宋体" w:eastAsia="黑体"/>
          <w:b/>
          <w:bCs/>
          <w:color w:val="auto"/>
          <w:kern w:val="0"/>
          <w:sz w:val="32"/>
          <w:szCs w:val="32"/>
          <w:highlight w:val="none"/>
          <w:lang w:val="zh-CN"/>
        </w:rPr>
        <w:t>残疾人福利性单位声明函</w:t>
      </w:r>
      <w:bookmarkEnd w:id="499"/>
      <w:bookmarkEnd w:id="500"/>
      <w:bookmarkEnd w:id="501"/>
      <w:bookmarkEnd w:id="502"/>
    </w:p>
    <w:p w14:paraId="6A49A9F4">
      <w:pPr>
        <w:spacing w:line="600" w:lineRule="exact"/>
        <w:ind w:firstLine="504" w:firstLineChars="200"/>
        <w:rPr>
          <w:rFonts w:ascii="宋体" w:hAnsi="宋体" w:cs="宋体"/>
          <w:color w:val="auto"/>
          <w:spacing w:val="6"/>
          <w:sz w:val="24"/>
          <w:highlight w:val="none"/>
        </w:rPr>
      </w:pPr>
      <w:r>
        <w:rPr>
          <w:rFonts w:hint="eastAsia" w:ascii="宋体" w:hAnsi="宋体" w:cs="宋体"/>
          <w:color w:val="auto"/>
          <w:spacing w:val="6"/>
          <w:sz w:val="24"/>
          <w:highlight w:val="none"/>
        </w:rPr>
        <w:t>本单位郑重声明，根据《财政部 民政部 中国残疾人联合会关于促进残疾人就业政府采购政策的通知》（财库</w:t>
      </w:r>
      <w:r>
        <w:rPr>
          <w:rFonts w:hint="eastAsia" w:ascii="宋体" w:hAnsi="宋体" w:cs="宋体"/>
          <w:color w:val="auto"/>
          <w:sz w:val="24"/>
          <w:highlight w:val="none"/>
        </w:rPr>
        <w:t>〔2017〕141</w:t>
      </w:r>
      <w:r>
        <w:rPr>
          <w:rFonts w:hint="eastAsia" w:ascii="宋体" w:hAnsi="宋体" w:cs="宋体"/>
          <w:color w:val="auto"/>
          <w:spacing w:val="6"/>
          <w:sz w:val="24"/>
          <w:highlight w:val="none"/>
        </w:rPr>
        <w:t>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3E0EE050">
      <w:pPr>
        <w:spacing w:line="600" w:lineRule="exact"/>
        <w:ind w:firstLine="504" w:firstLineChars="200"/>
        <w:rPr>
          <w:rFonts w:ascii="宋体" w:hAnsi="宋体" w:cs="宋体"/>
          <w:color w:val="auto"/>
          <w:spacing w:val="6"/>
          <w:sz w:val="24"/>
          <w:highlight w:val="none"/>
        </w:rPr>
      </w:pPr>
      <w:r>
        <w:rPr>
          <w:rFonts w:hint="eastAsia" w:ascii="宋体" w:hAnsi="宋体" w:cs="宋体"/>
          <w:color w:val="auto"/>
          <w:spacing w:val="6"/>
          <w:sz w:val="24"/>
          <w:highlight w:val="none"/>
        </w:rPr>
        <w:t>本单位对上述声明的真实性负责。如有虚假，将依法承担相应责任。</w:t>
      </w:r>
    </w:p>
    <w:p w14:paraId="38ED549A">
      <w:pPr>
        <w:spacing w:line="600" w:lineRule="exact"/>
        <w:ind w:firstLine="504" w:firstLineChars="200"/>
        <w:jc w:val="right"/>
        <w:rPr>
          <w:rFonts w:hint="eastAsia" w:ascii="宋体" w:hAnsi="宋体" w:cs="宋体"/>
          <w:color w:val="auto"/>
          <w:spacing w:val="6"/>
          <w:sz w:val="24"/>
          <w:highlight w:val="none"/>
        </w:rPr>
      </w:pPr>
      <w:r>
        <w:rPr>
          <w:rFonts w:hint="eastAsia" w:ascii="宋体" w:hAnsi="宋体" w:cs="宋体"/>
          <w:color w:val="auto"/>
          <w:spacing w:val="6"/>
          <w:sz w:val="24"/>
          <w:highlight w:val="none"/>
        </w:rPr>
        <w:t>单位名称（盖章）：</w:t>
      </w:r>
    </w:p>
    <w:p w14:paraId="401AE1B5">
      <w:pPr>
        <w:spacing w:line="600" w:lineRule="exact"/>
        <w:ind w:firstLine="504" w:firstLineChars="200"/>
        <w:jc w:val="right"/>
        <w:rPr>
          <w:rFonts w:hint="eastAsia" w:ascii="宋体" w:hAnsi="宋体" w:cs="宋体"/>
          <w:color w:val="auto"/>
          <w:spacing w:val="6"/>
          <w:sz w:val="24"/>
          <w:highlight w:val="none"/>
        </w:rPr>
      </w:pPr>
      <w:r>
        <w:rPr>
          <w:rFonts w:hint="eastAsia" w:ascii="宋体" w:hAnsi="宋体" w:cs="宋体"/>
          <w:color w:val="auto"/>
          <w:spacing w:val="6"/>
          <w:sz w:val="24"/>
          <w:highlight w:val="none"/>
        </w:rPr>
        <w:t>日  期：</w:t>
      </w:r>
    </w:p>
    <w:p w14:paraId="79260284">
      <w:pPr>
        <w:spacing w:line="400" w:lineRule="exact"/>
        <w:rPr>
          <w:rFonts w:hint="eastAsia" w:ascii="宋体" w:hAnsi="宋体" w:cs="宋体"/>
          <w:b/>
          <w:bCs/>
          <w:color w:val="auto"/>
          <w:szCs w:val="21"/>
          <w:highlight w:val="none"/>
        </w:rPr>
      </w:pPr>
      <w:bookmarkStart w:id="503" w:name="_Toc12139"/>
      <w:bookmarkStart w:id="504" w:name="_Toc15107"/>
      <w:bookmarkStart w:id="505" w:name="_Toc27597"/>
      <w:bookmarkStart w:id="506" w:name="_Toc22028"/>
      <w:r>
        <w:rPr>
          <w:rFonts w:hint="eastAsia" w:ascii="宋体" w:hAnsi="宋体" w:cs="宋体"/>
          <w:b/>
          <w:bCs/>
          <w:color w:val="auto"/>
          <w:szCs w:val="21"/>
          <w:highlight w:val="none"/>
        </w:rPr>
        <w:t>说明：1.声明函应按上述内容及格式填写，不得修改。</w:t>
      </w:r>
      <w:bookmarkEnd w:id="503"/>
      <w:bookmarkEnd w:id="504"/>
      <w:bookmarkEnd w:id="505"/>
      <w:bookmarkEnd w:id="506"/>
    </w:p>
    <w:p w14:paraId="395F929D">
      <w:pPr>
        <w:spacing w:line="400" w:lineRule="exact"/>
        <w:rPr>
          <w:rFonts w:hint="eastAsia" w:ascii="宋体" w:hAnsi="宋体" w:cs="宋体"/>
          <w:b/>
          <w:bCs/>
          <w:color w:val="auto"/>
          <w:szCs w:val="21"/>
          <w:highlight w:val="none"/>
        </w:rPr>
      </w:pPr>
      <w:r>
        <w:rPr>
          <w:rFonts w:hint="eastAsia" w:ascii="宋体" w:hAnsi="宋体" w:cs="宋体"/>
          <w:b/>
          <w:bCs/>
          <w:color w:val="auto"/>
          <w:szCs w:val="21"/>
          <w:highlight w:val="none"/>
        </w:rPr>
        <w:t xml:space="preserve">      2.</w:t>
      </w:r>
      <w:r>
        <w:rPr>
          <w:rFonts w:hint="eastAsia" w:ascii="宋体" w:hAnsi="宋体" w:cs="宋体"/>
          <w:bCs/>
          <w:color w:val="auto"/>
          <w:szCs w:val="21"/>
          <w:highlight w:val="none"/>
        </w:rPr>
        <w:t>残疾人福利性单位参与政府采购活动的，提供《残疾人福利性单位声明函》相关材料的，视为小微企业，报价分计算时对投标报价给予相应的扣除。</w:t>
      </w:r>
      <w:r>
        <w:rPr>
          <w:rFonts w:hint="eastAsia" w:ascii="宋体" w:hAnsi="宋体" w:cs="宋体"/>
          <w:b/>
          <w:color w:val="auto"/>
          <w:szCs w:val="21"/>
          <w:highlight w:val="none"/>
          <w:u w:val="single"/>
        </w:rPr>
        <w:t>如中标，《残疾人福利性单位声明函》将随中标结果公告一同公告</w:t>
      </w:r>
      <w:r>
        <w:rPr>
          <w:rFonts w:hint="eastAsia" w:ascii="宋体" w:hAnsi="宋体" w:cs="宋体"/>
          <w:b/>
          <w:color w:val="auto"/>
          <w:szCs w:val="21"/>
          <w:highlight w:val="none"/>
        </w:rPr>
        <w:t>。</w:t>
      </w:r>
    </w:p>
    <w:p w14:paraId="41DDDF3B">
      <w:pPr>
        <w:spacing w:line="400" w:lineRule="exact"/>
        <w:rPr>
          <w:rFonts w:hint="eastAsia" w:ascii="宋体" w:hAnsi="宋体" w:cs="宋体"/>
          <w:b/>
          <w:bCs/>
          <w:color w:val="auto"/>
          <w:szCs w:val="21"/>
          <w:highlight w:val="none"/>
        </w:rPr>
      </w:pPr>
      <w:r>
        <w:rPr>
          <w:rFonts w:hint="eastAsia" w:ascii="宋体" w:hAnsi="宋体" w:cs="宋体"/>
          <w:b/>
          <w:color w:val="auto"/>
          <w:szCs w:val="21"/>
          <w:highlight w:val="none"/>
        </w:rPr>
        <w:t xml:space="preserve">      3.享</w:t>
      </w:r>
      <w:r>
        <w:rPr>
          <w:rFonts w:hint="eastAsia" w:ascii="宋体" w:hAnsi="宋体" w:cs="宋体"/>
          <w:b/>
          <w:bCs/>
          <w:color w:val="auto"/>
          <w:szCs w:val="21"/>
          <w:highlight w:val="none"/>
        </w:rPr>
        <w:t>受政府采购支持政策的残疾人福利性单位应当同时满足以下条件：</w:t>
      </w:r>
    </w:p>
    <w:p w14:paraId="5CD972A6">
      <w:pPr>
        <w:pStyle w:val="21"/>
        <w:spacing w:after="0" w:line="400" w:lineRule="exact"/>
        <w:ind w:firstLine="480"/>
        <w:rPr>
          <w:rFonts w:hint="eastAsia" w:cs="宋体"/>
          <w:color w:val="auto"/>
          <w:sz w:val="21"/>
          <w:szCs w:val="21"/>
          <w:highlight w:val="none"/>
        </w:rPr>
      </w:pPr>
      <w:r>
        <w:rPr>
          <w:rFonts w:hint="eastAsia" w:cs="宋体"/>
          <w:color w:val="auto"/>
          <w:sz w:val="21"/>
          <w:szCs w:val="21"/>
          <w:highlight w:val="none"/>
        </w:rPr>
        <w:t>（一）安置的残疾人占本单位在职职工人数的比例不低于25%（含25%），并且安置的残疾人人数不少于10人（含10人）；</w:t>
      </w:r>
    </w:p>
    <w:p w14:paraId="7E728E6A">
      <w:pPr>
        <w:pStyle w:val="21"/>
        <w:spacing w:after="0" w:line="400" w:lineRule="exact"/>
        <w:ind w:firstLine="480"/>
        <w:rPr>
          <w:rFonts w:hint="eastAsia" w:cs="宋体"/>
          <w:color w:val="auto"/>
          <w:sz w:val="21"/>
          <w:szCs w:val="21"/>
          <w:highlight w:val="none"/>
        </w:rPr>
      </w:pPr>
      <w:r>
        <w:rPr>
          <w:rFonts w:hint="eastAsia" w:cs="宋体"/>
          <w:color w:val="auto"/>
          <w:sz w:val="21"/>
          <w:szCs w:val="21"/>
          <w:highlight w:val="none"/>
        </w:rPr>
        <w:t>（二）依法与安置的每位残疾人签订了一年以上（含一年）的劳动合同或服务协议；</w:t>
      </w:r>
    </w:p>
    <w:p w14:paraId="7AD4B619">
      <w:pPr>
        <w:pStyle w:val="21"/>
        <w:spacing w:after="0" w:line="400" w:lineRule="exact"/>
        <w:ind w:firstLine="480"/>
        <w:rPr>
          <w:rFonts w:hint="eastAsia" w:cs="宋体"/>
          <w:color w:val="auto"/>
          <w:sz w:val="21"/>
          <w:szCs w:val="21"/>
          <w:highlight w:val="none"/>
        </w:rPr>
      </w:pPr>
      <w:r>
        <w:rPr>
          <w:rFonts w:hint="eastAsia" w:cs="宋体"/>
          <w:color w:val="auto"/>
          <w:sz w:val="21"/>
          <w:szCs w:val="21"/>
          <w:highlight w:val="none"/>
        </w:rPr>
        <w:t>（三）为安置的每位残疾人按月足额缴纳了基本养老保险、基本医疗保险、失业保险、工伤保险和生育保险等社会保险费；</w:t>
      </w:r>
    </w:p>
    <w:p w14:paraId="7A243320">
      <w:pPr>
        <w:pStyle w:val="21"/>
        <w:spacing w:after="0" w:line="400" w:lineRule="exact"/>
        <w:ind w:firstLine="480"/>
        <w:rPr>
          <w:rFonts w:hint="eastAsia" w:cs="宋体"/>
          <w:color w:val="auto"/>
          <w:sz w:val="21"/>
          <w:szCs w:val="21"/>
          <w:highlight w:val="none"/>
        </w:rPr>
      </w:pPr>
      <w:r>
        <w:rPr>
          <w:rFonts w:hint="eastAsia" w:cs="宋体"/>
          <w:color w:val="auto"/>
          <w:sz w:val="21"/>
          <w:szCs w:val="21"/>
          <w:highlight w:val="none"/>
        </w:rPr>
        <w:t>（四）通过银行等金融机构向安置的每位残疾人，按月支付了不低于单位所在区县适用的经省级人民政府批准的月最低工资标准的工资；</w:t>
      </w:r>
    </w:p>
    <w:p w14:paraId="2AA28961">
      <w:pPr>
        <w:pStyle w:val="21"/>
        <w:spacing w:after="0" w:line="400" w:lineRule="exact"/>
        <w:ind w:firstLine="480"/>
        <w:rPr>
          <w:rFonts w:hint="eastAsia" w:cs="宋体"/>
          <w:color w:val="auto"/>
          <w:sz w:val="21"/>
          <w:szCs w:val="21"/>
          <w:highlight w:val="none"/>
        </w:rPr>
      </w:pPr>
      <w:r>
        <w:rPr>
          <w:rFonts w:hint="eastAsia" w:cs="宋体"/>
          <w:color w:val="auto"/>
          <w:sz w:val="21"/>
          <w:szCs w:val="21"/>
          <w:highlight w:val="none"/>
        </w:rPr>
        <w:t>（五）提供本单位制造的货物、承担的工程或者服务（以下简称产品），或者提供其他残疾人福利性单位制造的货物（不包括使用非残疾人福利性单位注册商标的货物）。</w:t>
      </w:r>
    </w:p>
    <w:p w14:paraId="7AEA4C9A">
      <w:pPr>
        <w:widowControl/>
        <w:adjustRightInd w:val="0"/>
        <w:spacing w:line="400" w:lineRule="exact"/>
        <w:rPr>
          <w:rFonts w:hint="eastAsia" w:ascii="宋体" w:hAnsi="宋体" w:cs="宋体"/>
          <w:b/>
          <w:color w:val="auto"/>
          <w:szCs w:val="21"/>
          <w:highlight w:val="none"/>
        </w:rPr>
      </w:pPr>
      <w:r>
        <w:rPr>
          <w:rFonts w:hint="eastAsia" w:ascii="宋体" w:hAnsi="宋体" w:cs="宋体"/>
          <w:color w:val="auto"/>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068A94E">
      <w:pPr>
        <w:snapToGrid w:val="0"/>
        <w:spacing w:line="400" w:lineRule="exact"/>
        <w:jc w:val="left"/>
        <w:rPr>
          <w:rFonts w:ascii="宋体" w:hAnsi="宋体"/>
          <w:color w:val="auto"/>
          <w:sz w:val="24"/>
          <w:highlight w:val="none"/>
        </w:rPr>
      </w:pPr>
    </w:p>
    <w:p w14:paraId="075AD276">
      <w:pPr>
        <w:snapToGrid w:val="0"/>
        <w:spacing w:line="400" w:lineRule="exact"/>
        <w:jc w:val="left"/>
        <w:rPr>
          <w:rFonts w:ascii="宋体" w:hAnsi="宋体"/>
          <w:color w:val="auto"/>
          <w:sz w:val="24"/>
          <w:highlight w:val="none"/>
        </w:rPr>
      </w:pPr>
      <w:r>
        <w:rPr>
          <w:rFonts w:ascii="宋体" w:hAnsi="宋体"/>
          <w:color w:val="auto"/>
          <w:szCs w:val="21"/>
          <w:highlight w:val="none"/>
        </w:rPr>
        <w:br w:type="page"/>
      </w:r>
      <w:bookmarkStart w:id="507" w:name="_Toc25467"/>
      <w:r>
        <w:rPr>
          <w:rFonts w:hint="eastAsia" w:ascii="宋体" w:hAnsi="宋体" w:cs="宋体"/>
          <w:color w:val="auto"/>
          <w:sz w:val="28"/>
          <w:szCs w:val="28"/>
          <w:highlight w:val="none"/>
        </w:rPr>
        <w:t>附件13</w:t>
      </w:r>
      <w:bookmarkEnd w:id="507"/>
    </w:p>
    <w:p w14:paraId="12BDDA6E">
      <w:pPr>
        <w:snapToGrid w:val="0"/>
        <w:spacing w:line="600" w:lineRule="exact"/>
        <w:jc w:val="left"/>
        <w:rPr>
          <w:rFonts w:ascii="宋体" w:hAnsi="宋体"/>
          <w:color w:val="auto"/>
          <w:sz w:val="24"/>
          <w:highlight w:val="none"/>
        </w:rPr>
      </w:pPr>
      <w:r>
        <w:rPr>
          <w:rFonts w:hint="eastAsia" w:ascii="宋体" w:hAnsi="宋体"/>
          <w:color w:val="auto"/>
          <w:sz w:val="24"/>
          <w:highlight w:val="none"/>
        </w:rPr>
        <w:t>省级以上监狱管理局、戒毒管理局（含新疆生产建设兵团）出具的属于监狱企业的有效文件。</w:t>
      </w:r>
    </w:p>
    <w:bookmarkEnd w:id="494"/>
    <w:bookmarkEnd w:id="495"/>
    <w:bookmarkEnd w:id="496"/>
    <w:bookmarkEnd w:id="497"/>
    <w:p w14:paraId="71A1EC17">
      <w:pPr>
        <w:snapToGrid w:val="0"/>
        <w:spacing w:before="50" w:after="120" w:afterLines="50" w:line="276" w:lineRule="auto"/>
        <w:jc w:val="left"/>
        <w:rPr>
          <w:rFonts w:ascii="宋体" w:hAnsi="宋体"/>
          <w:b/>
          <w:color w:val="auto"/>
          <w:sz w:val="24"/>
          <w:highlight w:val="none"/>
        </w:rPr>
      </w:pPr>
      <w:r>
        <w:rPr>
          <w:rFonts w:hint="eastAsia" w:ascii="宋体" w:hAnsi="宋体"/>
          <w:b/>
          <w:color w:val="auto"/>
          <w:sz w:val="24"/>
          <w:highlight w:val="none"/>
        </w:rPr>
        <w:br w:type="page"/>
      </w:r>
      <w:bookmarkStart w:id="508" w:name="_Toc10093"/>
      <w:r>
        <w:rPr>
          <w:rFonts w:hint="eastAsia" w:ascii="宋体" w:hAnsi="宋体" w:cs="宋体"/>
          <w:color w:val="auto"/>
          <w:sz w:val="28"/>
          <w:szCs w:val="28"/>
          <w:highlight w:val="none"/>
        </w:rPr>
        <w:t>附件14:评分响应表格式</w:t>
      </w:r>
      <w:bookmarkEnd w:id="508"/>
    </w:p>
    <w:p w14:paraId="6AA5A355">
      <w:pPr>
        <w:snapToGrid w:val="0"/>
        <w:spacing w:before="120" w:beforeLines="50" w:after="50" w:line="276" w:lineRule="auto"/>
        <w:rPr>
          <w:rFonts w:ascii="宋体" w:hAnsi="宋体"/>
          <w:b/>
          <w:color w:val="auto"/>
          <w:sz w:val="24"/>
          <w:highlight w:val="none"/>
        </w:rPr>
      </w:pPr>
    </w:p>
    <w:p w14:paraId="2022B388">
      <w:pPr>
        <w:snapToGrid w:val="0"/>
        <w:spacing w:before="50" w:after="120" w:afterLines="50" w:line="276" w:lineRule="auto"/>
        <w:jc w:val="center"/>
        <w:rPr>
          <w:rFonts w:ascii="宋体" w:hAnsi="宋体"/>
          <w:b/>
          <w:color w:val="auto"/>
          <w:sz w:val="24"/>
          <w:highlight w:val="none"/>
        </w:rPr>
      </w:pPr>
      <w:r>
        <w:rPr>
          <w:rFonts w:hint="eastAsia" w:ascii="宋体" w:hAnsi="宋体"/>
          <w:b/>
          <w:color w:val="auto"/>
          <w:sz w:val="24"/>
          <w:highlight w:val="none"/>
        </w:rPr>
        <w:t>评分响应表</w:t>
      </w:r>
    </w:p>
    <w:p w14:paraId="366A90B3">
      <w:pPr>
        <w:snapToGrid w:val="0"/>
        <w:spacing w:before="50" w:after="50" w:line="276" w:lineRule="auto"/>
        <w:rPr>
          <w:rFonts w:ascii="宋体" w:hAnsi="宋体"/>
          <w:b/>
          <w:color w:val="auto"/>
          <w:sz w:val="24"/>
          <w:highlight w:val="none"/>
        </w:rPr>
      </w:pPr>
    </w:p>
    <w:p w14:paraId="303D99FD">
      <w:pPr>
        <w:snapToGrid w:val="0"/>
        <w:spacing w:before="50" w:after="50" w:line="276" w:lineRule="auto"/>
        <w:rPr>
          <w:rFonts w:ascii="宋体" w:hAnsi="宋体"/>
          <w:b/>
          <w:color w:val="auto"/>
          <w:sz w:val="24"/>
          <w:highlight w:val="none"/>
          <w:u w:val="single"/>
        </w:rPr>
      </w:pPr>
      <w:r>
        <w:rPr>
          <w:rFonts w:hint="eastAsia" w:ascii="宋体" w:hAnsi="宋体"/>
          <w:b/>
          <w:color w:val="auto"/>
          <w:sz w:val="24"/>
          <w:highlight w:val="none"/>
        </w:rPr>
        <w:t>投标单位名称：</w:t>
      </w:r>
    </w:p>
    <w:tbl>
      <w:tblPr>
        <w:tblStyle w:val="5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8"/>
        <w:gridCol w:w="1390"/>
        <w:gridCol w:w="3294"/>
        <w:gridCol w:w="1218"/>
        <w:gridCol w:w="2846"/>
      </w:tblGrid>
      <w:tr w14:paraId="6A8C7A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828" w:type="dxa"/>
            <w:tcBorders>
              <w:top w:val="single" w:color="auto" w:sz="4" w:space="0"/>
              <w:left w:val="single" w:color="auto" w:sz="4" w:space="0"/>
              <w:bottom w:val="single" w:color="auto" w:sz="4" w:space="0"/>
              <w:right w:val="single" w:color="auto" w:sz="4" w:space="0"/>
            </w:tcBorders>
            <w:vAlign w:val="center"/>
          </w:tcPr>
          <w:p w14:paraId="2D873DDB">
            <w:pPr>
              <w:pStyle w:val="44"/>
              <w:spacing w:line="276" w:lineRule="auto"/>
              <w:ind w:firstLine="0" w:firstLineChars="0"/>
              <w:jc w:val="center"/>
              <w:rPr>
                <w:rFonts w:ascii="宋体" w:eastAsia="宋体"/>
                <w:b/>
                <w:bCs/>
                <w:color w:val="auto"/>
                <w:sz w:val="22"/>
                <w:szCs w:val="22"/>
                <w:highlight w:val="none"/>
              </w:rPr>
            </w:pPr>
            <w:r>
              <w:rPr>
                <w:rFonts w:hint="eastAsia" w:ascii="宋体" w:eastAsia="宋体"/>
                <w:b/>
                <w:bCs/>
                <w:color w:val="auto"/>
                <w:sz w:val="22"/>
                <w:szCs w:val="22"/>
                <w:highlight w:val="none"/>
              </w:rPr>
              <w:t>序号</w:t>
            </w:r>
          </w:p>
        </w:tc>
        <w:tc>
          <w:tcPr>
            <w:tcW w:w="1390" w:type="dxa"/>
            <w:tcBorders>
              <w:top w:val="single" w:color="auto" w:sz="4" w:space="0"/>
              <w:left w:val="single" w:color="auto" w:sz="4" w:space="0"/>
              <w:bottom w:val="single" w:color="auto" w:sz="4" w:space="0"/>
              <w:right w:val="single" w:color="auto" w:sz="4" w:space="0"/>
            </w:tcBorders>
            <w:vAlign w:val="center"/>
          </w:tcPr>
          <w:p w14:paraId="378C46A2">
            <w:pPr>
              <w:pStyle w:val="44"/>
              <w:spacing w:line="276" w:lineRule="auto"/>
              <w:ind w:firstLine="0" w:firstLineChars="0"/>
              <w:jc w:val="center"/>
              <w:rPr>
                <w:rFonts w:hint="eastAsia" w:ascii="宋体" w:eastAsia="宋体"/>
                <w:b/>
                <w:bCs/>
                <w:color w:val="auto"/>
                <w:sz w:val="22"/>
                <w:szCs w:val="22"/>
                <w:highlight w:val="none"/>
              </w:rPr>
            </w:pPr>
            <w:r>
              <w:rPr>
                <w:rFonts w:hint="eastAsia" w:ascii="宋体" w:eastAsia="宋体"/>
                <w:b/>
                <w:bCs/>
                <w:color w:val="auto"/>
                <w:sz w:val="22"/>
                <w:szCs w:val="22"/>
                <w:highlight w:val="none"/>
              </w:rPr>
              <w:t>评审项目</w:t>
            </w:r>
          </w:p>
        </w:tc>
        <w:tc>
          <w:tcPr>
            <w:tcW w:w="3294" w:type="dxa"/>
            <w:tcBorders>
              <w:top w:val="single" w:color="auto" w:sz="4" w:space="0"/>
              <w:left w:val="single" w:color="auto" w:sz="4" w:space="0"/>
              <w:bottom w:val="single" w:color="auto" w:sz="4" w:space="0"/>
              <w:right w:val="single" w:color="auto" w:sz="4" w:space="0"/>
            </w:tcBorders>
            <w:vAlign w:val="center"/>
          </w:tcPr>
          <w:p w14:paraId="387BCFE1">
            <w:pPr>
              <w:pStyle w:val="44"/>
              <w:spacing w:line="276" w:lineRule="auto"/>
              <w:ind w:firstLine="442"/>
              <w:jc w:val="center"/>
              <w:rPr>
                <w:rFonts w:hint="eastAsia" w:ascii="宋体" w:eastAsia="宋体"/>
                <w:b/>
                <w:bCs/>
                <w:color w:val="auto"/>
                <w:sz w:val="22"/>
                <w:szCs w:val="22"/>
                <w:highlight w:val="none"/>
              </w:rPr>
            </w:pPr>
            <w:r>
              <w:rPr>
                <w:rFonts w:hint="eastAsia" w:ascii="宋体" w:eastAsia="宋体"/>
                <w:b/>
                <w:bCs/>
                <w:color w:val="auto"/>
                <w:sz w:val="22"/>
                <w:szCs w:val="22"/>
                <w:highlight w:val="none"/>
              </w:rPr>
              <w:t>评审细则</w:t>
            </w:r>
          </w:p>
        </w:tc>
        <w:tc>
          <w:tcPr>
            <w:tcW w:w="1218" w:type="dxa"/>
            <w:tcBorders>
              <w:top w:val="single" w:color="auto" w:sz="4" w:space="0"/>
              <w:left w:val="single" w:color="auto" w:sz="4" w:space="0"/>
              <w:bottom w:val="single" w:color="auto" w:sz="4" w:space="0"/>
              <w:right w:val="single" w:color="auto" w:sz="4" w:space="0"/>
            </w:tcBorders>
            <w:vAlign w:val="center"/>
          </w:tcPr>
          <w:p w14:paraId="2DF9DFD3">
            <w:pPr>
              <w:pStyle w:val="44"/>
              <w:spacing w:line="276" w:lineRule="auto"/>
              <w:ind w:firstLine="0" w:firstLineChars="0"/>
              <w:jc w:val="center"/>
              <w:rPr>
                <w:rFonts w:hint="eastAsia" w:ascii="宋体" w:eastAsia="宋体"/>
                <w:b/>
                <w:bCs/>
                <w:color w:val="auto"/>
                <w:sz w:val="22"/>
                <w:szCs w:val="22"/>
                <w:highlight w:val="none"/>
              </w:rPr>
            </w:pPr>
            <w:r>
              <w:rPr>
                <w:rFonts w:hint="eastAsia" w:ascii="宋体" w:eastAsia="宋体"/>
                <w:b/>
                <w:bCs/>
                <w:color w:val="auto"/>
                <w:sz w:val="22"/>
                <w:szCs w:val="22"/>
                <w:highlight w:val="none"/>
              </w:rPr>
              <w:t>自评得分</w:t>
            </w:r>
          </w:p>
        </w:tc>
        <w:tc>
          <w:tcPr>
            <w:tcW w:w="2846" w:type="dxa"/>
            <w:tcBorders>
              <w:top w:val="single" w:color="auto" w:sz="4" w:space="0"/>
              <w:left w:val="single" w:color="auto" w:sz="4" w:space="0"/>
              <w:bottom w:val="single" w:color="auto" w:sz="4" w:space="0"/>
              <w:right w:val="single" w:color="auto" w:sz="4" w:space="0"/>
            </w:tcBorders>
            <w:vAlign w:val="center"/>
          </w:tcPr>
          <w:p w14:paraId="74D06F23">
            <w:pPr>
              <w:pStyle w:val="44"/>
              <w:spacing w:line="276" w:lineRule="auto"/>
              <w:ind w:firstLine="0" w:firstLineChars="0"/>
              <w:jc w:val="center"/>
              <w:rPr>
                <w:rFonts w:ascii="宋体" w:eastAsia="宋体"/>
                <w:b/>
                <w:bCs/>
                <w:color w:val="auto"/>
                <w:sz w:val="22"/>
                <w:szCs w:val="22"/>
                <w:highlight w:val="none"/>
              </w:rPr>
            </w:pPr>
            <w:r>
              <w:rPr>
                <w:rFonts w:hint="eastAsia" w:ascii="宋体" w:eastAsia="宋体"/>
                <w:b/>
                <w:bCs/>
                <w:color w:val="auto"/>
                <w:sz w:val="22"/>
                <w:szCs w:val="22"/>
                <w:highlight w:val="none"/>
              </w:rPr>
              <w:t>页码</w:t>
            </w:r>
          </w:p>
        </w:tc>
      </w:tr>
      <w:tr w14:paraId="0118FF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4" w:hRule="atLeast"/>
          <w:jc w:val="center"/>
        </w:trPr>
        <w:tc>
          <w:tcPr>
            <w:tcW w:w="828" w:type="dxa"/>
            <w:tcBorders>
              <w:top w:val="single" w:color="auto" w:sz="4" w:space="0"/>
              <w:left w:val="single" w:color="auto" w:sz="4" w:space="0"/>
              <w:bottom w:val="single" w:color="auto" w:sz="4" w:space="0"/>
              <w:right w:val="single" w:color="auto" w:sz="4" w:space="0"/>
            </w:tcBorders>
            <w:vAlign w:val="center"/>
          </w:tcPr>
          <w:p w14:paraId="639BDC8B">
            <w:pPr>
              <w:widowControl/>
              <w:spacing w:line="276" w:lineRule="auto"/>
              <w:rPr>
                <w:rFonts w:ascii="宋体" w:hAnsi="宋体"/>
                <w:color w:val="auto"/>
                <w:sz w:val="22"/>
                <w:szCs w:val="22"/>
                <w:highlight w:val="none"/>
              </w:rPr>
            </w:pPr>
            <w:r>
              <w:rPr>
                <w:rFonts w:hint="eastAsia" w:ascii="宋体" w:hAnsi="宋体"/>
                <w:color w:val="auto"/>
                <w:sz w:val="22"/>
                <w:szCs w:val="22"/>
                <w:highlight w:val="none"/>
              </w:rPr>
              <w:t>1</w:t>
            </w:r>
          </w:p>
        </w:tc>
        <w:tc>
          <w:tcPr>
            <w:tcW w:w="1390" w:type="dxa"/>
            <w:tcBorders>
              <w:top w:val="single" w:color="auto" w:sz="4" w:space="0"/>
              <w:left w:val="single" w:color="auto" w:sz="4" w:space="0"/>
              <w:bottom w:val="single" w:color="auto" w:sz="4" w:space="0"/>
              <w:right w:val="single" w:color="auto" w:sz="4" w:space="0"/>
            </w:tcBorders>
            <w:vAlign w:val="center"/>
          </w:tcPr>
          <w:p w14:paraId="59027F85">
            <w:pPr>
              <w:spacing w:line="276" w:lineRule="auto"/>
              <w:rPr>
                <w:rFonts w:ascii="宋体" w:hAnsi="宋体"/>
                <w:color w:val="auto"/>
                <w:sz w:val="22"/>
                <w:szCs w:val="22"/>
                <w:highlight w:val="none"/>
              </w:rPr>
            </w:pPr>
          </w:p>
        </w:tc>
        <w:tc>
          <w:tcPr>
            <w:tcW w:w="3294" w:type="dxa"/>
            <w:tcBorders>
              <w:top w:val="single" w:color="auto" w:sz="4" w:space="0"/>
              <w:left w:val="single" w:color="auto" w:sz="4" w:space="0"/>
              <w:right w:val="single" w:color="auto" w:sz="4" w:space="0"/>
            </w:tcBorders>
            <w:vAlign w:val="center"/>
          </w:tcPr>
          <w:p w14:paraId="40094CF1">
            <w:pPr>
              <w:spacing w:line="276" w:lineRule="auto"/>
              <w:rPr>
                <w:rFonts w:ascii="宋体" w:hAnsi="宋体"/>
                <w:color w:val="auto"/>
                <w:sz w:val="22"/>
                <w:szCs w:val="22"/>
                <w:highlight w:val="none"/>
              </w:rPr>
            </w:pPr>
          </w:p>
        </w:tc>
        <w:tc>
          <w:tcPr>
            <w:tcW w:w="1218" w:type="dxa"/>
            <w:tcBorders>
              <w:top w:val="single" w:color="auto" w:sz="4" w:space="0"/>
              <w:left w:val="single" w:color="auto" w:sz="4" w:space="0"/>
              <w:right w:val="single" w:color="auto" w:sz="4" w:space="0"/>
            </w:tcBorders>
            <w:vAlign w:val="center"/>
          </w:tcPr>
          <w:p w14:paraId="2C23B6E9">
            <w:pPr>
              <w:spacing w:line="276" w:lineRule="auto"/>
              <w:jc w:val="center"/>
              <w:rPr>
                <w:rFonts w:ascii="宋体" w:hAnsi="宋体"/>
                <w:bCs/>
                <w:color w:val="auto"/>
                <w:sz w:val="22"/>
                <w:szCs w:val="22"/>
                <w:highlight w:val="none"/>
              </w:rPr>
            </w:pPr>
          </w:p>
        </w:tc>
        <w:tc>
          <w:tcPr>
            <w:tcW w:w="2846" w:type="dxa"/>
            <w:tcBorders>
              <w:top w:val="single" w:color="auto" w:sz="4" w:space="0"/>
              <w:left w:val="single" w:color="auto" w:sz="4" w:space="0"/>
              <w:right w:val="single" w:color="auto" w:sz="4" w:space="0"/>
            </w:tcBorders>
            <w:vAlign w:val="center"/>
          </w:tcPr>
          <w:p w14:paraId="725D143C">
            <w:pPr>
              <w:spacing w:line="276" w:lineRule="auto"/>
              <w:jc w:val="center"/>
              <w:rPr>
                <w:rFonts w:ascii="宋体" w:hAnsi="宋体"/>
                <w:bCs/>
                <w:color w:val="auto"/>
                <w:sz w:val="22"/>
                <w:szCs w:val="22"/>
                <w:highlight w:val="none"/>
              </w:rPr>
            </w:pPr>
            <w:r>
              <w:rPr>
                <w:rFonts w:hint="eastAsia" w:ascii="宋体" w:hAnsi="宋体"/>
                <w:bCs/>
                <w:color w:val="auto"/>
                <w:sz w:val="22"/>
                <w:szCs w:val="22"/>
                <w:highlight w:val="none"/>
              </w:rPr>
              <w:t>详见第几页</w:t>
            </w:r>
          </w:p>
        </w:tc>
      </w:tr>
      <w:tr w14:paraId="0AB293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46" w:hRule="atLeast"/>
          <w:jc w:val="center"/>
        </w:trPr>
        <w:tc>
          <w:tcPr>
            <w:tcW w:w="828" w:type="dxa"/>
            <w:tcBorders>
              <w:top w:val="single" w:color="auto" w:sz="4" w:space="0"/>
              <w:left w:val="single" w:color="auto" w:sz="4" w:space="0"/>
              <w:bottom w:val="single" w:color="auto" w:sz="4" w:space="0"/>
              <w:right w:val="single" w:color="auto" w:sz="4" w:space="0"/>
            </w:tcBorders>
            <w:vAlign w:val="center"/>
          </w:tcPr>
          <w:p w14:paraId="05097829">
            <w:pPr>
              <w:widowControl/>
              <w:spacing w:line="276" w:lineRule="auto"/>
              <w:rPr>
                <w:rFonts w:ascii="宋体" w:hAnsi="宋体"/>
                <w:color w:val="auto"/>
                <w:sz w:val="22"/>
                <w:szCs w:val="22"/>
                <w:highlight w:val="none"/>
              </w:rPr>
            </w:pPr>
            <w:r>
              <w:rPr>
                <w:rFonts w:hint="eastAsia" w:ascii="宋体" w:hAnsi="宋体"/>
                <w:color w:val="auto"/>
                <w:sz w:val="22"/>
                <w:szCs w:val="22"/>
                <w:highlight w:val="none"/>
              </w:rPr>
              <w:t>2</w:t>
            </w:r>
          </w:p>
        </w:tc>
        <w:tc>
          <w:tcPr>
            <w:tcW w:w="1390" w:type="dxa"/>
            <w:tcBorders>
              <w:top w:val="single" w:color="auto" w:sz="4" w:space="0"/>
              <w:left w:val="single" w:color="auto" w:sz="4" w:space="0"/>
              <w:bottom w:val="single" w:color="auto" w:sz="4" w:space="0"/>
              <w:right w:val="single" w:color="auto" w:sz="4" w:space="0"/>
            </w:tcBorders>
            <w:vAlign w:val="center"/>
          </w:tcPr>
          <w:p w14:paraId="3C034F4C">
            <w:pPr>
              <w:spacing w:line="276" w:lineRule="auto"/>
              <w:rPr>
                <w:rFonts w:ascii="宋体" w:hAnsi="宋体"/>
                <w:color w:val="auto"/>
                <w:sz w:val="22"/>
                <w:szCs w:val="22"/>
                <w:highlight w:val="none"/>
              </w:rPr>
            </w:pPr>
          </w:p>
        </w:tc>
        <w:tc>
          <w:tcPr>
            <w:tcW w:w="3294" w:type="dxa"/>
            <w:tcBorders>
              <w:top w:val="single" w:color="auto" w:sz="4" w:space="0"/>
              <w:left w:val="single" w:color="auto" w:sz="4" w:space="0"/>
              <w:right w:val="single" w:color="auto" w:sz="4" w:space="0"/>
            </w:tcBorders>
            <w:vAlign w:val="center"/>
          </w:tcPr>
          <w:p w14:paraId="3153A2A8">
            <w:pPr>
              <w:widowControl/>
              <w:spacing w:line="276" w:lineRule="auto"/>
              <w:rPr>
                <w:rFonts w:ascii="宋体" w:hAnsi="宋体" w:cs="宋体"/>
                <w:color w:val="auto"/>
                <w:kern w:val="0"/>
                <w:sz w:val="22"/>
                <w:szCs w:val="22"/>
                <w:highlight w:val="none"/>
              </w:rPr>
            </w:pPr>
          </w:p>
        </w:tc>
        <w:tc>
          <w:tcPr>
            <w:tcW w:w="1218" w:type="dxa"/>
            <w:tcBorders>
              <w:top w:val="single" w:color="auto" w:sz="4" w:space="0"/>
              <w:left w:val="single" w:color="auto" w:sz="4" w:space="0"/>
              <w:right w:val="single" w:color="auto" w:sz="4" w:space="0"/>
            </w:tcBorders>
            <w:vAlign w:val="center"/>
          </w:tcPr>
          <w:p w14:paraId="62070826">
            <w:pPr>
              <w:spacing w:line="276" w:lineRule="auto"/>
              <w:jc w:val="center"/>
              <w:rPr>
                <w:rFonts w:ascii="宋体" w:hAnsi="宋体"/>
                <w:bCs/>
                <w:color w:val="auto"/>
                <w:sz w:val="22"/>
                <w:szCs w:val="22"/>
                <w:highlight w:val="none"/>
              </w:rPr>
            </w:pPr>
          </w:p>
        </w:tc>
        <w:tc>
          <w:tcPr>
            <w:tcW w:w="2846" w:type="dxa"/>
            <w:tcBorders>
              <w:top w:val="single" w:color="auto" w:sz="4" w:space="0"/>
              <w:left w:val="single" w:color="auto" w:sz="4" w:space="0"/>
              <w:right w:val="single" w:color="auto" w:sz="4" w:space="0"/>
            </w:tcBorders>
            <w:vAlign w:val="center"/>
          </w:tcPr>
          <w:p w14:paraId="02C02F65">
            <w:pPr>
              <w:spacing w:line="276" w:lineRule="auto"/>
              <w:jc w:val="center"/>
              <w:rPr>
                <w:rFonts w:ascii="宋体" w:hAnsi="宋体"/>
                <w:bCs/>
                <w:color w:val="auto"/>
                <w:sz w:val="22"/>
                <w:szCs w:val="22"/>
                <w:highlight w:val="none"/>
              </w:rPr>
            </w:pPr>
            <w:r>
              <w:rPr>
                <w:rFonts w:hint="eastAsia" w:ascii="宋体" w:hAnsi="宋体"/>
                <w:bCs/>
                <w:color w:val="auto"/>
                <w:sz w:val="22"/>
                <w:szCs w:val="22"/>
                <w:highlight w:val="none"/>
              </w:rPr>
              <w:t>……</w:t>
            </w:r>
          </w:p>
        </w:tc>
      </w:tr>
      <w:tr w14:paraId="2C50F7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828" w:type="dxa"/>
            <w:tcBorders>
              <w:left w:val="single" w:color="auto" w:sz="4" w:space="0"/>
              <w:bottom w:val="single" w:color="auto" w:sz="4" w:space="0"/>
              <w:right w:val="single" w:color="auto" w:sz="4" w:space="0"/>
            </w:tcBorders>
            <w:vAlign w:val="center"/>
          </w:tcPr>
          <w:p w14:paraId="2772B416">
            <w:pPr>
              <w:widowControl/>
              <w:spacing w:line="276" w:lineRule="auto"/>
              <w:rPr>
                <w:rFonts w:ascii="宋体" w:hAnsi="宋体"/>
                <w:color w:val="auto"/>
                <w:sz w:val="22"/>
                <w:szCs w:val="22"/>
                <w:highlight w:val="none"/>
              </w:rPr>
            </w:pPr>
          </w:p>
        </w:tc>
        <w:tc>
          <w:tcPr>
            <w:tcW w:w="1390" w:type="dxa"/>
            <w:tcBorders>
              <w:left w:val="single" w:color="auto" w:sz="4" w:space="0"/>
              <w:bottom w:val="single" w:color="auto" w:sz="4" w:space="0"/>
              <w:right w:val="single" w:color="auto" w:sz="4" w:space="0"/>
            </w:tcBorders>
            <w:vAlign w:val="center"/>
          </w:tcPr>
          <w:p w14:paraId="2E387835">
            <w:pPr>
              <w:widowControl/>
              <w:spacing w:line="276" w:lineRule="auto"/>
              <w:rPr>
                <w:rFonts w:ascii="宋体" w:hAnsi="宋体" w:cs="宋体"/>
                <w:color w:val="auto"/>
                <w:kern w:val="0"/>
                <w:sz w:val="22"/>
                <w:szCs w:val="22"/>
                <w:highlight w:val="none"/>
              </w:rPr>
            </w:pPr>
          </w:p>
        </w:tc>
        <w:tc>
          <w:tcPr>
            <w:tcW w:w="3294" w:type="dxa"/>
            <w:tcBorders>
              <w:top w:val="single" w:color="auto" w:sz="4" w:space="0"/>
              <w:left w:val="single" w:color="auto" w:sz="4" w:space="0"/>
              <w:bottom w:val="single" w:color="auto" w:sz="4" w:space="0"/>
              <w:right w:val="single" w:color="auto" w:sz="4" w:space="0"/>
            </w:tcBorders>
            <w:vAlign w:val="center"/>
          </w:tcPr>
          <w:p w14:paraId="010EC888">
            <w:pPr>
              <w:spacing w:line="276" w:lineRule="auto"/>
              <w:ind w:left="55" w:leftChars="26"/>
              <w:rPr>
                <w:rFonts w:ascii="宋体" w:hAnsi="宋体" w:cs="宋体"/>
                <w:color w:val="auto"/>
                <w:kern w:val="0"/>
                <w:sz w:val="22"/>
                <w:szCs w:val="22"/>
                <w:highlight w:val="none"/>
              </w:rPr>
            </w:pPr>
          </w:p>
        </w:tc>
        <w:tc>
          <w:tcPr>
            <w:tcW w:w="1218" w:type="dxa"/>
            <w:tcBorders>
              <w:top w:val="single" w:color="auto" w:sz="4" w:space="0"/>
              <w:left w:val="single" w:color="auto" w:sz="4" w:space="0"/>
              <w:bottom w:val="single" w:color="auto" w:sz="4" w:space="0"/>
              <w:right w:val="single" w:color="auto" w:sz="4" w:space="0"/>
            </w:tcBorders>
            <w:vAlign w:val="center"/>
          </w:tcPr>
          <w:p w14:paraId="3D871488">
            <w:pPr>
              <w:spacing w:line="276" w:lineRule="auto"/>
              <w:jc w:val="center"/>
              <w:rPr>
                <w:rFonts w:ascii="宋体" w:hAnsi="宋体"/>
                <w:bCs/>
                <w:color w:val="auto"/>
                <w:sz w:val="22"/>
                <w:szCs w:val="22"/>
                <w:highlight w:val="none"/>
              </w:rPr>
            </w:pPr>
          </w:p>
        </w:tc>
        <w:tc>
          <w:tcPr>
            <w:tcW w:w="2846" w:type="dxa"/>
            <w:tcBorders>
              <w:top w:val="single" w:color="auto" w:sz="4" w:space="0"/>
              <w:left w:val="single" w:color="auto" w:sz="4" w:space="0"/>
              <w:bottom w:val="single" w:color="auto" w:sz="4" w:space="0"/>
              <w:right w:val="single" w:color="auto" w:sz="4" w:space="0"/>
            </w:tcBorders>
            <w:vAlign w:val="center"/>
          </w:tcPr>
          <w:p w14:paraId="1A9E6D05">
            <w:pPr>
              <w:spacing w:line="276" w:lineRule="auto"/>
              <w:jc w:val="center"/>
              <w:rPr>
                <w:rFonts w:ascii="宋体" w:hAnsi="宋体"/>
                <w:bCs/>
                <w:color w:val="auto"/>
                <w:sz w:val="22"/>
                <w:szCs w:val="22"/>
                <w:highlight w:val="none"/>
              </w:rPr>
            </w:pPr>
          </w:p>
        </w:tc>
      </w:tr>
      <w:tr w14:paraId="2CDE7D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828" w:type="dxa"/>
            <w:tcBorders>
              <w:left w:val="single" w:color="auto" w:sz="4" w:space="0"/>
              <w:bottom w:val="single" w:color="auto" w:sz="4" w:space="0"/>
              <w:right w:val="single" w:color="auto" w:sz="4" w:space="0"/>
            </w:tcBorders>
            <w:vAlign w:val="center"/>
          </w:tcPr>
          <w:p w14:paraId="60433490">
            <w:pPr>
              <w:widowControl/>
              <w:spacing w:line="276" w:lineRule="auto"/>
              <w:rPr>
                <w:rFonts w:ascii="宋体" w:hAnsi="宋体"/>
                <w:color w:val="auto"/>
                <w:sz w:val="22"/>
                <w:szCs w:val="22"/>
                <w:highlight w:val="none"/>
              </w:rPr>
            </w:pPr>
          </w:p>
        </w:tc>
        <w:tc>
          <w:tcPr>
            <w:tcW w:w="1390" w:type="dxa"/>
            <w:tcBorders>
              <w:left w:val="single" w:color="auto" w:sz="4" w:space="0"/>
              <w:bottom w:val="single" w:color="auto" w:sz="4" w:space="0"/>
              <w:right w:val="single" w:color="auto" w:sz="4" w:space="0"/>
            </w:tcBorders>
            <w:vAlign w:val="center"/>
          </w:tcPr>
          <w:p w14:paraId="20FCFC51">
            <w:pPr>
              <w:widowControl/>
              <w:spacing w:line="276" w:lineRule="auto"/>
              <w:rPr>
                <w:rFonts w:ascii="宋体" w:hAnsi="宋体" w:cs="宋体"/>
                <w:color w:val="auto"/>
                <w:kern w:val="0"/>
                <w:sz w:val="22"/>
                <w:szCs w:val="22"/>
                <w:highlight w:val="none"/>
              </w:rPr>
            </w:pPr>
          </w:p>
        </w:tc>
        <w:tc>
          <w:tcPr>
            <w:tcW w:w="3294" w:type="dxa"/>
            <w:tcBorders>
              <w:top w:val="single" w:color="auto" w:sz="4" w:space="0"/>
              <w:left w:val="single" w:color="auto" w:sz="4" w:space="0"/>
              <w:bottom w:val="single" w:color="auto" w:sz="4" w:space="0"/>
              <w:right w:val="single" w:color="auto" w:sz="4" w:space="0"/>
            </w:tcBorders>
            <w:vAlign w:val="center"/>
          </w:tcPr>
          <w:p w14:paraId="5B8532B7">
            <w:pPr>
              <w:spacing w:line="276" w:lineRule="auto"/>
              <w:ind w:left="55" w:leftChars="26"/>
              <w:rPr>
                <w:rFonts w:ascii="宋体" w:hAnsi="宋体" w:cs="宋体"/>
                <w:color w:val="auto"/>
                <w:kern w:val="0"/>
                <w:sz w:val="22"/>
                <w:szCs w:val="22"/>
                <w:highlight w:val="none"/>
              </w:rPr>
            </w:pPr>
          </w:p>
        </w:tc>
        <w:tc>
          <w:tcPr>
            <w:tcW w:w="1218" w:type="dxa"/>
            <w:tcBorders>
              <w:top w:val="single" w:color="auto" w:sz="4" w:space="0"/>
              <w:left w:val="single" w:color="auto" w:sz="4" w:space="0"/>
              <w:bottom w:val="single" w:color="auto" w:sz="4" w:space="0"/>
              <w:right w:val="single" w:color="auto" w:sz="4" w:space="0"/>
            </w:tcBorders>
            <w:vAlign w:val="center"/>
          </w:tcPr>
          <w:p w14:paraId="051FD3F4">
            <w:pPr>
              <w:spacing w:line="276" w:lineRule="auto"/>
              <w:jc w:val="center"/>
              <w:rPr>
                <w:rFonts w:ascii="宋体" w:hAnsi="宋体"/>
                <w:bCs/>
                <w:color w:val="auto"/>
                <w:sz w:val="22"/>
                <w:szCs w:val="22"/>
                <w:highlight w:val="none"/>
              </w:rPr>
            </w:pPr>
          </w:p>
        </w:tc>
        <w:tc>
          <w:tcPr>
            <w:tcW w:w="2846" w:type="dxa"/>
            <w:tcBorders>
              <w:top w:val="single" w:color="auto" w:sz="4" w:space="0"/>
              <w:left w:val="single" w:color="auto" w:sz="4" w:space="0"/>
              <w:bottom w:val="single" w:color="auto" w:sz="4" w:space="0"/>
              <w:right w:val="single" w:color="auto" w:sz="4" w:space="0"/>
            </w:tcBorders>
            <w:vAlign w:val="center"/>
          </w:tcPr>
          <w:p w14:paraId="2627B829">
            <w:pPr>
              <w:spacing w:line="276" w:lineRule="auto"/>
              <w:jc w:val="center"/>
              <w:rPr>
                <w:rFonts w:ascii="宋体" w:hAnsi="宋体"/>
                <w:bCs/>
                <w:color w:val="auto"/>
                <w:sz w:val="22"/>
                <w:szCs w:val="22"/>
                <w:highlight w:val="none"/>
              </w:rPr>
            </w:pPr>
          </w:p>
        </w:tc>
      </w:tr>
      <w:tr w14:paraId="284790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828" w:type="dxa"/>
            <w:tcBorders>
              <w:left w:val="single" w:color="auto" w:sz="4" w:space="0"/>
              <w:bottom w:val="single" w:color="auto" w:sz="4" w:space="0"/>
              <w:right w:val="single" w:color="auto" w:sz="4" w:space="0"/>
            </w:tcBorders>
            <w:vAlign w:val="center"/>
          </w:tcPr>
          <w:p w14:paraId="514A18A6">
            <w:pPr>
              <w:widowControl/>
              <w:spacing w:line="276" w:lineRule="auto"/>
              <w:rPr>
                <w:rFonts w:ascii="宋体" w:hAnsi="宋体"/>
                <w:color w:val="auto"/>
                <w:sz w:val="22"/>
                <w:szCs w:val="22"/>
                <w:highlight w:val="none"/>
              </w:rPr>
            </w:pPr>
            <w:r>
              <w:rPr>
                <w:rFonts w:hint="eastAsia" w:ascii="宋体" w:hAnsi="宋体"/>
                <w:color w:val="auto"/>
                <w:sz w:val="22"/>
                <w:szCs w:val="22"/>
                <w:highlight w:val="none"/>
              </w:rPr>
              <w:t>……</w:t>
            </w:r>
          </w:p>
        </w:tc>
        <w:tc>
          <w:tcPr>
            <w:tcW w:w="1390" w:type="dxa"/>
            <w:tcBorders>
              <w:left w:val="single" w:color="auto" w:sz="4" w:space="0"/>
              <w:bottom w:val="single" w:color="auto" w:sz="4" w:space="0"/>
              <w:right w:val="single" w:color="auto" w:sz="4" w:space="0"/>
            </w:tcBorders>
            <w:vAlign w:val="center"/>
          </w:tcPr>
          <w:p w14:paraId="7329267B">
            <w:pPr>
              <w:widowControl/>
              <w:spacing w:line="276" w:lineRule="auto"/>
              <w:rPr>
                <w:rFonts w:ascii="宋体" w:hAnsi="宋体" w:cs="宋体"/>
                <w:color w:val="auto"/>
                <w:kern w:val="0"/>
                <w:sz w:val="22"/>
                <w:szCs w:val="22"/>
                <w:highlight w:val="none"/>
              </w:rPr>
            </w:pPr>
          </w:p>
        </w:tc>
        <w:tc>
          <w:tcPr>
            <w:tcW w:w="3294" w:type="dxa"/>
            <w:tcBorders>
              <w:top w:val="single" w:color="auto" w:sz="4" w:space="0"/>
              <w:left w:val="single" w:color="auto" w:sz="4" w:space="0"/>
              <w:bottom w:val="single" w:color="auto" w:sz="4" w:space="0"/>
              <w:right w:val="single" w:color="auto" w:sz="4" w:space="0"/>
            </w:tcBorders>
            <w:vAlign w:val="center"/>
          </w:tcPr>
          <w:p w14:paraId="180B0E48">
            <w:pPr>
              <w:spacing w:line="276" w:lineRule="auto"/>
              <w:ind w:left="55" w:leftChars="26"/>
              <w:rPr>
                <w:rFonts w:ascii="宋体" w:hAnsi="宋体" w:cs="宋体"/>
                <w:color w:val="auto"/>
                <w:kern w:val="0"/>
                <w:sz w:val="22"/>
                <w:szCs w:val="22"/>
                <w:highlight w:val="none"/>
              </w:rPr>
            </w:pPr>
          </w:p>
        </w:tc>
        <w:tc>
          <w:tcPr>
            <w:tcW w:w="1218" w:type="dxa"/>
            <w:tcBorders>
              <w:top w:val="single" w:color="auto" w:sz="4" w:space="0"/>
              <w:left w:val="single" w:color="auto" w:sz="4" w:space="0"/>
              <w:bottom w:val="single" w:color="auto" w:sz="4" w:space="0"/>
              <w:right w:val="single" w:color="auto" w:sz="4" w:space="0"/>
            </w:tcBorders>
            <w:vAlign w:val="center"/>
          </w:tcPr>
          <w:p w14:paraId="2910327A">
            <w:pPr>
              <w:spacing w:line="276" w:lineRule="auto"/>
              <w:jc w:val="center"/>
              <w:rPr>
                <w:rFonts w:ascii="宋体" w:hAnsi="宋体"/>
                <w:bCs/>
                <w:color w:val="auto"/>
                <w:sz w:val="22"/>
                <w:szCs w:val="22"/>
                <w:highlight w:val="none"/>
              </w:rPr>
            </w:pPr>
          </w:p>
        </w:tc>
        <w:tc>
          <w:tcPr>
            <w:tcW w:w="2846" w:type="dxa"/>
            <w:tcBorders>
              <w:top w:val="single" w:color="auto" w:sz="4" w:space="0"/>
              <w:left w:val="single" w:color="auto" w:sz="4" w:space="0"/>
              <w:bottom w:val="single" w:color="auto" w:sz="4" w:space="0"/>
              <w:right w:val="single" w:color="auto" w:sz="4" w:space="0"/>
            </w:tcBorders>
            <w:vAlign w:val="center"/>
          </w:tcPr>
          <w:p w14:paraId="678893D4">
            <w:pPr>
              <w:spacing w:line="276" w:lineRule="auto"/>
              <w:jc w:val="center"/>
              <w:rPr>
                <w:rFonts w:ascii="宋体" w:hAnsi="宋体"/>
                <w:bCs/>
                <w:color w:val="auto"/>
                <w:sz w:val="22"/>
                <w:szCs w:val="22"/>
                <w:highlight w:val="none"/>
              </w:rPr>
            </w:pPr>
          </w:p>
        </w:tc>
      </w:tr>
    </w:tbl>
    <w:p w14:paraId="1F004F97">
      <w:pPr>
        <w:snapToGrid w:val="0"/>
        <w:spacing w:before="50" w:after="50" w:line="400" w:lineRule="exact"/>
        <w:rPr>
          <w:rFonts w:ascii="宋体" w:hAnsi="宋体"/>
          <w:color w:val="auto"/>
          <w:sz w:val="24"/>
          <w:highlight w:val="none"/>
        </w:rPr>
      </w:pPr>
      <w:r>
        <w:rPr>
          <w:rFonts w:hint="eastAsia" w:ascii="宋体" w:hAnsi="宋体"/>
          <w:color w:val="auto"/>
          <w:sz w:val="24"/>
          <w:highlight w:val="none"/>
        </w:rPr>
        <w:t>注：1.投标单位根据所投标项的评分表内容，按此格式提供评分响应表，每本技术商务文件一份，置于技术商务文件第1页。</w:t>
      </w:r>
    </w:p>
    <w:p w14:paraId="4D6A909F">
      <w:pPr>
        <w:snapToGrid w:val="0"/>
        <w:spacing w:line="312" w:lineRule="auto"/>
        <w:ind w:firstLine="480" w:firstLineChars="200"/>
        <w:jc w:val="left"/>
        <w:rPr>
          <w:rFonts w:ascii="宋体" w:hAnsi="宋体"/>
          <w:color w:val="auto"/>
          <w:sz w:val="24"/>
          <w:highlight w:val="none"/>
        </w:rPr>
      </w:pPr>
      <w:r>
        <w:rPr>
          <w:rFonts w:hint="eastAsia" w:ascii="宋体" w:hAnsi="宋体"/>
          <w:color w:val="auto"/>
          <w:sz w:val="24"/>
          <w:highlight w:val="none"/>
        </w:rPr>
        <w:t>2.投标人在标注页码时，应如实准确地标注“详见哪一页”，因投标人页码标注错误，导致专家误评、漏评的风险由投标人承担。</w:t>
      </w:r>
    </w:p>
    <w:p w14:paraId="691F6710">
      <w:pPr>
        <w:snapToGrid w:val="0"/>
        <w:spacing w:before="50" w:after="120" w:afterLines="50" w:line="276" w:lineRule="auto"/>
        <w:jc w:val="left"/>
        <w:rPr>
          <w:rFonts w:ascii="宋体" w:hAnsi="宋体"/>
          <w:b/>
          <w:color w:val="auto"/>
          <w:sz w:val="24"/>
          <w:szCs w:val="20"/>
          <w:highlight w:val="none"/>
        </w:rPr>
      </w:pPr>
      <w:r>
        <w:rPr>
          <w:rFonts w:hint="eastAsia" w:ascii="宋体" w:hAnsi="宋体"/>
          <w:b/>
          <w:color w:val="auto"/>
          <w:sz w:val="24"/>
          <w:highlight w:val="none"/>
        </w:rPr>
        <w:br w:type="page"/>
      </w:r>
      <w:bookmarkStart w:id="509" w:name="_Toc11621"/>
      <w:r>
        <w:rPr>
          <w:rFonts w:hint="eastAsia" w:ascii="宋体" w:hAnsi="宋体" w:cs="宋体"/>
          <w:color w:val="auto"/>
          <w:sz w:val="28"/>
          <w:szCs w:val="28"/>
          <w:highlight w:val="none"/>
        </w:rPr>
        <w:t>附件15:投标声明书格式</w:t>
      </w:r>
      <w:bookmarkEnd w:id="509"/>
    </w:p>
    <w:p w14:paraId="57415DAB">
      <w:pPr>
        <w:snapToGrid w:val="0"/>
        <w:spacing w:before="120" w:beforeLines="50" w:after="50" w:line="400" w:lineRule="exact"/>
        <w:jc w:val="center"/>
        <w:rPr>
          <w:rFonts w:hint="eastAsia" w:ascii="宋体" w:hAnsi="宋体" w:cs="宋体"/>
          <w:color w:val="auto"/>
          <w:sz w:val="24"/>
          <w:highlight w:val="none"/>
        </w:rPr>
      </w:pPr>
      <w:r>
        <w:rPr>
          <w:rFonts w:hint="eastAsia" w:ascii="宋体" w:hAnsi="宋体"/>
          <w:b/>
          <w:color w:val="auto"/>
          <w:sz w:val="24"/>
          <w:highlight w:val="none"/>
        </w:rPr>
        <w:t>投标声明书</w:t>
      </w:r>
    </w:p>
    <w:p w14:paraId="1FAAFC16">
      <w:pPr>
        <w:snapToGrid w:val="0"/>
        <w:spacing w:before="120" w:beforeLines="50" w:after="50" w:line="400" w:lineRule="exact"/>
        <w:rPr>
          <w:rFonts w:hint="eastAsia" w:ascii="宋体" w:hAnsi="宋体" w:cs="宋体"/>
          <w:color w:val="auto"/>
          <w:sz w:val="24"/>
          <w:highlight w:val="none"/>
        </w:rPr>
      </w:pPr>
    </w:p>
    <w:p w14:paraId="785057DF">
      <w:pPr>
        <w:snapToGrid w:val="0"/>
        <w:spacing w:line="480" w:lineRule="exact"/>
        <w:rPr>
          <w:rFonts w:hint="eastAsia" w:ascii="宋体" w:hAnsi="宋体" w:cs="宋体"/>
          <w:color w:val="auto"/>
          <w:sz w:val="24"/>
          <w:highlight w:val="none"/>
        </w:rPr>
      </w:pPr>
      <w:r>
        <w:rPr>
          <w:rFonts w:hint="eastAsia" w:ascii="宋体" w:hAnsi="宋体" w:cs="宋体"/>
          <w:color w:val="auto"/>
          <w:sz w:val="24"/>
          <w:highlight w:val="none"/>
        </w:rPr>
        <w:t>致（采购人）：</w:t>
      </w:r>
    </w:p>
    <w:p w14:paraId="3CA417CB">
      <w:pPr>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u w:val="single"/>
        </w:rPr>
        <w:t>　　　　　　　</w:t>
      </w:r>
      <w:r>
        <w:rPr>
          <w:rFonts w:hint="eastAsia" w:ascii="宋体" w:hAnsi="宋体" w:cs="宋体"/>
          <w:color w:val="auto"/>
          <w:sz w:val="24"/>
          <w:highlight w:val="none"/>
        </w:rPr>
        <w:t>（投标人名称）系中华人民共和国合法企业，经营地址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5A86F49">
      <w:pPr>
        <w:snapToGrid w:val="0"/>
        <w:spacing w:line="480" w:lineRule="exact"/>
        <w:ind w:firstLine="645"/>
        <w:rPr>
          <w:rFonts w:hint="eastAsia" w:ascii="宋体" w:hAnsi="宋体" w:cs="宋体"/>
          <w:color w:val="auto"/>
          <w:sz w:val="24"/>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w:t>
      </w:r>
      <w:r>
        <w:rPr>
          <w:rFonts w:hint="eastAsia" w:ascii="宋体" w:hAnsi="宋体" w:cs="宋体"/>
          <w:color w:val="auto"/>
          <w:sz w:val="24"/>
          <w:highlight w:val="none"/>
        </w:rPr>
        <w:t>（姓名）系</w:t>
      </w:r>
      <w:r>
        <w:rPr>
          <w:rFonts w:hint="eastAsia" w:ascii="宋体" w:hAnsi="宋体" w:cs="宋体"/>
          <w:color w:val="auto"/>
          <w:sz w:val="24"/>
          <w:highlight w:val="none"/>
          <w:u w:val="single"/>
        </w:rPr>
        <w:t>　　　　　</w:t>
      </w:r>
      <w:r>
        <w:rPr>
          <w:rFonts w:hint="eastAsia" w:ascii="宋体" w:hAnsi="宋体" w:cs="宋体"/>
          <w:color w:val="auto"/>
          <w:sz w:val="24"/>
          <w:highlight w:val="none"/>
        </w:rPr>
        <w:t>（投标人名称）的法定代表人，我方愿意参加贵方组织的</w:t>
      </w:r>
      <w:r>
        <w:rPr>
          <w:rFonts w:hint="eastAsia" w:ascii="宋体" w:hAnsi="宋体" w:cs="宋体"/>
          <w:color w:val="auto"/>
          <w:sz w:val="24"/>
          <w:highlight w:val="none"/>
          <w:u w:val="single"/>
        </w:rPr>
        <w:t xml:space="preserve">                    采购项目</w:t>
      </w:r>
      <w:r>
        <w:rPr>
          <w:rFonts w:hint="eastAsia" w:ascii="宋体" w:hAnsi="宋体" w:cs="宋体"/>
          <w:color w:val="auto"/>
          <w:sz w:val="24"/>
          <w:highlight w:val="none"/>
        </w:rPr>
        <w:t>的投标，为便于贵方公正、择优地确定中标人及其投标产品和服务，我方就本次投标有关事项郑重声明如下：</w:t>
      </w:r>
    </w:p>
    <w:p w14:paraId="5798DBA9">
      <w:pPr>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1.我方向贵方提交的所有投标文件、资料都是准确的和真实的。</w:t>
      </w:r>
    </w:p>
    <w:p w14:paraId="115D4024">
      <w:pPr>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2.我方不是采购人的附属机构；在获知本项目采购信息后，与采购人聘请的为此项目提供咨询服务的公司及其附属机构没有任何联系。</w:t>
      </w:r>
    </w:p>
    <w:p w14:paraId="79C1AA83">
      <w:pPr>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3.我方此次向贵方提供的服务名称为：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；规格型号：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；该型号产品我方有现货可供，并已于</w:t>
      </w:r>
      <w:r>
        <w:rPr>
          <w:rFonts w:hint="eastAsia" w:ascii="宋体" w:hAnsi="宋体" w:cs="宋体"/>
          <w:color w:val="auto"/>
          <w:sz w:val="24"/>
          <w:highlight w:val="none"/>
          <w:u w:val="single"/>
        </w:rPr>
        <w:t>/</w:t>
      </w:r>
      <w:r>
        <w:rPr>
          <w:rFonts w:hint="eastAsia" w:ascii="宋体" w:hAnsi="宋体" w:cs="宋体"/>
          <w:color w:val="auto"/>
          <w:sz w:val="24"/>
          <w:highlight w:val="none"/>
        </w:rPr>
        <w:t>年</w:t>
      </w:r>
      <w:r>
        <w:rPr>
          <w:rFonts w:hint="eastAsia" w:ascii="宋体" w:hAnsi="宋体" w:cs="宋体"/>
          <w:color w:val="auto"/>
          <w:sz w:val="24"/>
          <w:highlight w:val="none"/>
          <w:u w:val="single"/>
        </w:rPr>
        <w:t>/</w:t>
      </w:r>
      <w:r>
        <w:rPr>
          <w:rFonts w:hint="eastAsia" w:ascii="宋体" w:hAnsi="宋体" w:cs="宋体"/>
          <w:color w:val="auto"/>
          <w:sz w:val="24"/>
          <w:highlight w:val="none"/>
        </w:rPr>
        <w:t>月生产完工或向</w:t>
      </w:r>
      <w:r>
        <w:rPr>
          <w:rFonts w:hint="eastAsia" w:ascii="宋体" w:hAnsi="宋体" w:cs="宋体"/>
          <w:color w:val="auto"/>
          <w:sz w:val="24"/>
          <w:highlight w:val="none"/>
          <w:u w:val="single"/>
        </w:rPr>
        <w:t>　　/</w:t>
      </w:r>
      <w:r>
        <w:rPr>
          <w:rFonts w:hint="eastAsia" w:ascii="宋体" w:hAnsi="宋体" w:cs="宋体"/>
          <w:color w:val="auto"/>
          <w:sz w:val="24"/>
          <w:highlight w:val="none"/>
        </w:rPr>
        <w:t>（原厂商名称）购进［</w:t>
      </w:r>
      <w:r>
        <w:rPr>
          <w:rFonts w:hint="eastAsia" w:ascii="宋体" w:hAnsi="宋体" w:cs="宋体"/>
          <w:bCs/>
          <w:color w:val="auto"/>
          <w:sz w:val="24"/>
          <w:highlight w:val="none"/>
        </w:rPr>
        <w:t>或</w:t>
      </w:r>
      <w:r>
        <w:rPr>
          <w:rFonts w:hint="eastAsia" w:ascii="宋体" w:hAnsi="宋体" w:cs="宋体"/>
          <w:color w:val="auto"/>
          <w:sz w:val="24"/>
          <w:highlight w:val="none"/>
        </w:rPr>
        <w:t>需在中标后向</w:t>
      </w:r>
      <w:r>
        <w:rPr>
          <w:rFonts w:hint="eastAsia" w:ascii="宋体" w:hAnsi="宋体" w:cs="宋体"/>
          <w:color w:val="auto"/>
          <w:sz w:val="24"/>
          <w:highlight w:val="none"/>
          <w:u w:val="single"/>
        </w:rPr>
        <w:t>/</w:t>
      </w:r>
      <w:r>
        <w:rPr>
          <w:rFonts w:hint="eastAsia" w:ascii="宋体" w:hAnsi="宋体" w:cs="宋体"/>
          <w:color w:val="auto"/>
          <w:sz w:val="24"/>
          <w:highlight w:val="none"/>
        </w:rPr>
        <w:t>订购］。</w:t>
      </w:r>
    </w:p>
    <w:p w14:paraId="491AB485">
      <w:pPr>
        <w:pStyle w:val="23"/>
        <w:snapToGrid w:val="0"/>
        <w:spacing w:line="480" w:lineRule="exact"/>
        <w:ind w:firstLine="464" w:firstLineChars="200"/>
        <w:rPr>
          <w:rFonts w:hint="eastAsia" w:hAnsi="宋体" w:cs="宋体"/>
          <w:color w:val="auto"/>
          <w:sz w:val="24"/>
          <w:highlight w:val="none"/>
        </w:rPr>
      </w:pPr>
      <w:r>
        <w:rPr>
          <w:rFonts w:hint="eastAsia" w:hAnsi="宋体" w:cs="宋体"/>
          <w:color w:val="auto"/>
          <w:sz w:val="24"/>
          <w:highlight w:val="none"/>
        </w:rPr>
        <w:t>4.我方及由本人担任法定代表人的其他机构最近三年内被通报或者被处罚的违法行为有：（若有，请如实填写；若无，请做出“参加政府采购活动前三年内，在经营活动中没有重大违法记录”的承诺）</w:t>
      </w:r>
    </w:p>
    <w:p w14:paraId="605F2052">
      <w:pPr>
        <w:snapToGrid w:val="0"/>
        <w:spacing w:line="48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u w:val="single"/>
        </w:rPr>
        <w:t>　　　　　　　　　　　　　　　　　　　　　　　　　　　</w:t>
      </w:r>
    </w:p>
    <w:p w14:paraId="54342433">
      <w:pPr>
        <w:snapToGrid w:val="0"/>
        <w:spacing w:line="4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5.以上事项如有虚假或隐瞒，我方愿意承担一切后果，并不再寻求任何旨在减轻或免除法律责任的辩解。</w:t>
      </w:r>
    </w:p>
    <w:p w14:paraId="00C9A9C0">
      <w:pPr>
        <w:pStyle w:val="25"/>
        <w:tabs>
          <w:tab w:val="left" w:pos="939"/>
        </w:tabs>
        <w:snapToGrid w:val="0"/>
        <w:spacing w:line="480" w:lineRule="exact"/>
        <w:ind w:left="773" w:leftChars="150" w:hanging="458" w:hangingChars="191"/>
        <w:rPr>
          <w:rFonts w:hint="eastAsia" w:ascii="宋体" w:hAnsi="宋体" w:cs="宋体"/>
          <w:color w:val="auto"/>
          <w:sz w:val="24"/>
          <w:highlight w:val="none"/>
        </w:rPr>
      </w:pPr>
    </w:p>
    <w:p w14:paraId="43D7BA2B">
      <w:pPr>
        <w:pStyle w:val="25"/>
        <w:tabs>
          <w:tab w:val="left" w:pos="939"/>
        </w:tabs>
        <w:snapToGrid w:val="0"/>
        <w:spacing w:line="480" w:lineRule="exact"/>
        <w:ind w:left="773" w:leftChars="150" w:hanging="458" w:hangingChars="191"/>
        <w:rPr>
          <w:rFonts w:hint="eastAsia" w:ascii="宋体" w:hAnsi="宋体" w:cs="宋体"/>
          <w:color w:val="auto"/>
          <w:sz w:val="24"/>
          <w:highlight w:val="none"/>
        </w:rPr>
      </w:pPr>
    </w:p>
    <w:p w14:paraId="1B582954">
      <w:pPr>
        <w:pStyle w:val="25"/>
        <w:tabs>
          <w:tab w:val="left" w:pos="939"/>
        </w:tabs>
        <w:snapToGrid w:val="0"/>
        <w:spacing w:line="480" w:lineRule="exact"/>
        <w:ind w:left="773" w:leftChars="150" w:hanging="458" w:hangingChars="191"/>
        <w:rPr>
          <w:rFonts w:hint="eastAsia" w:ascii="宋体" w:hAnsi="宋体" w:cs="宋体"/>
          <w:color w:val="auto"/>
          <w:sz w:val="24"/>
          <w:highlight w:val="none"/>
        </w:rPr>
      </w:pPr>
    </w:p>
    <w:p w14:paraId="04123B84">
      <w:pPr>
        <w:pStyle w:val="534"/>
        <w:snapToGrid w:val="0"/>
        <w:spacing w:before="120" w:line="360" w:lineRule="auto"/>
        <w:rPr>
          <w:rFonts w:hint="eastAsia" w:ascii="宋体" w:hAnsi="宋体" w:cs="宋体"/>
          <w:color w:val="auto"/>
          <w:szCs w:val="24"/>
          <w:highlight w:val="none"/>
        </w:rPr>
      </w:pPr>
      <w:r>
        <w:rPr>
          <w:rFonts w:hint="eastAsia" w:ascii="宋体" w:hAnsi="宋体" w:cs="宋体"/>
          <w:color w:val="auto"/>
          <w:szCs w:val="24"/>
          <w:highlight w:val="none"/>
        </w:rPr>
        <w:t>投标人全称（电子签章）：</w:t>
      </w:r>
      <w:r>
        <w:rPr>
          <w:rFonts w:hint="eastAsia" w:ascii="宋体" w:hAnsi="宋体" w:cs="宋体"/>
          <w:color w:val="auto"/>
          <w:szCs w:val="24"/>
          <w:highlight w:val="none"/>
          <w:u w:val="single"/>
        </w:rPr>
        <w:t xml:space="preserve">                         </w:t>
      </w:r>
    </w:p>
    <w:p w14:paraId="7F8B39E7">
      <w:pPr>
        <w:snapToGrid w:val="0"/>
        <w:spacing w:before="120" w:line="360" w:lineRule="auto"/>
        <w:ind w:right="600"/>
        <w:rPr>
          <w:rFonts w:hint="eastAsia" w:ascii="宋体" w:hAnsi="宋体" w:cs="宋体"/>
          <w:color w:val="auto"/>
          <w:sz w:val="24"/>
          <w:highlight w:val="none"/>
        </w:rPr>
      </w:pPr>
      <w:r>
        <w:rPr>
          <w:rFonts w:hint="eastAsia" w:ascii="宋体" w:hAnsi="宋体" w:cs="宋体"/>
          <w:color w:val="auto"/>
          <w:sz w:val="24"/>
          <w:highlight w:val="none"/>
        </w:rPr>
        <w:t>法定代表人或授权代表（签名或签章）：</w:t>
      </w:r>
      <w:r>
        <w:rPr>
          <w:rFonts w:hint="eastAsia" w:ascii="宋体" w:hAnsi="宋体" w:cs="宋体"/>
          <w:color w:val="auto"/>
          <w:sz w:val="24"/>
          <w:highlight w:val="none"/>
          <w:u w:val="single"/>
        </w:rPr>
        <w:t xml:space="preserve">             </w:t>
      </w:r>
    </w:p>
    <w:p w14:paraId="38F99A44">
      <w:pPr>
        <w:snapToGrid w:val="0"/>
        <w:spacing w:before="120" w:line="360" w:lineRule="auto"/>
        <w:rPr>
          <w:rFonts w:hint="eastAsia" w:ascii="宋体" w:hAnsi="宋体" w:cs="宋体"/>
          <w:color w:val="auto"/>
          <w:sz w:val="24"/>
          <w:highlight w:val="none"/>
          <w:u w:val="singl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年    月    日</w:t>
      </w:r>
    </w:p>
    <w:p w14:paraId="02B5A40A">
      <w:pPr>
        <w:tabs>
          <w:tab w:val="left" w:pos="1418"/>
        </w:tabs>
        <w:snapToGrid w:val="0"/>
        <w:spacing w:line="400" w:lineRule="exact"/>
        <w:jc w:val="left"/>
        <w:rPr>
          <w:rFonts w:ascii="宋体" w:hAnsi="宋体"/>
          <w:b/>
          <w:color w:val="auto"/>
          <w:spacing w:val="20"/>
          <w:sz w:val="24"/>
          <w:highlight w:val="none"/>
        </w:rPr>
      </w:pPr>
    </w:p>
    <w:p w14:paraId="090D8A48">
      <w:pPr>
        <w:rPr>
          <w:rFonts w:hint="eastAsia" w:ascii="宋体" w:hAnsi="宋体"/>
          <w:b/>
          <w:color w:val="auto"/>
          <w:sz w:val="24"/>
          <w:highlight w:val="none"/>
        </w:rPr>
      </w:pPr>
    </w:p>
    <w:p w14:paraId="0257BD44">
      <w:pPr>
        <w:tabs>
          <w:tab w:val="left" w:pos="1418"/>
        </w:tabs>
        <w:snapToGrid w:val="0"/>
        <w:spacing w:line="400" w:lineRule="exact"/>
        <w:jc w:val="left"/>
        <w:rPr>
          <w:rFonts w:ascii="宋体" w:hAnsi="宋体"/>
          <w:b/>
          <w:color w:val="auto"/>
          <w:spacing w:val="20"/>
          <w:sz w:val="24"/>
          <w:highlight w:val="none"/>
        </w:rPr>
      </w:pPr>
    </w:p>
    <w:p w14:paraId="2E1B20CA">
      <w:pPr>
        <w:rPr>
          <w:rFonts w:hint="eastAsia" w:ascii="宋体" w:hAnsi="宋体" w:cs="宋体"/>
          <w:color w:val="auto"/>
          <w:sz w:val="28"/>
          <w:szCs w:val="28"/>
          <w:highlight w:val="none"/>
        </w:rPr>
        <w:sectPr>
          <w:pgSz w:w="11906" w:h="16838"/>
          <w:pgMar w:top="1440" w:right="1106" w:bottom="1440" w:left="1440" w:header="851" w:footer="992" w:gutter="0"/>
          <w:cols w:space="720" w:num="1"/>
          <w:docGrid w:linePitch="312" w:charSpace="0"/>
        </w:sectPr>
      </w:pPr>
    </w:p>
    <w:p w14:paraId="1554DB80">
      <w:pPr>
        <w:rPr>
          <w:rFonts w:hint="eastAsia" w:ascii="宋体" w:hAnsi="宋体" w:cs="宋体"/>
          <w:color w:val="auto"/>
          <w:sz w:val="28"/>
          <w:szCs w:val="28"/>
          <w:highlight w:val="none"/>
        </w:rPr>
      </w:pPr>
      <w:r>
        <w:rPr>
          <w:rFonts w:hint="eastAsia" w:ascii="宋体" w:hAnsi="宋体" w:cs="宋体"/>
          <w:color w:val="auto"/>
          <w:sz w:val="28"/>
          <w:szCs w:val="28"/>
          <w:highlight w:val="none"/>
        </w:rPr>
        <w:t>附件16:产品技术指标响应情况</w:t>
      </w:r>
    </w:p>
    <w:p w14:paraId="50D08C40">
      <w:pPr>
        <w:spacing w:line="500" w:lineRule="exact"/>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技术指标偏离表</w:t>
      </w:r>
    </w:p>
    <w:p w14:paraId="66303013">
      <w:pPr>
        <w:spacing w:line="500" w:lineRule="exact"/>
        <w:jc w:val="center"/>
        <w:rPr>
          <w:rFonts w:hint="eastAsia" w:ascii="宋体" w:hAnsi="宋体" w:cs="宋体"/>
          <w:b/>
          <w:bCs/>
          <w:color w:val="auto"/>
          <w:sz w:val="28"/>
          <w:szCs w:val="28"/>
          <w:highlight w:val="none"/>
        </w:rPr>
      </w:pPr>
    </w:p>
    <w:p w14:paraId="73804B05">
      <w:pPr>
        <w:snapToGrid w:val="0"/>
        <w:spacing w:line="300" w:lineRule="auto"/>
        <w:rPr>
          <w:rFonts w:hint="eastAsia" w:ascii="宋体" w:hAnsi="宋体" w:cs="宋体"/>
          <w:color w:val="auto"/>
          <w:highlight w:val="none"/>
          <w:u w:val="single"/>
        </w:rPr>
      </w:pPr>
      <w:r>
        <w:rPr>
          <w:rFonts w:hint="eastAsia" w:ascii="宋体" w:hAnsi="宋体" w:cs="宋体"/>
          <w:color w:val="auto"/>
          <w:highlight w:val="none"/>
        </w:rPr>
        <w:t>项目名称：</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项目编号：</w:t>
      </w:r>
      <w:r>
        <w:rPr>
          <w:rFonts w:hint="eastAsia" w:ascii="宋体" w:hAnsi="宋体" w:cs="宋体"/>
          <w:color w:val="auto"/>
          <w:highlight w:val="none"/>
          <w:u w:val="single"/>
        </w:rPr>
        <w:t xml:space="preserve">                 </w:t>
      </w:r>
    </w:p>
    <w:tbl>
      <w:tblPr>
        <w:tblStyle w:val="54"/>
        <w:tblW w:w="0" w:type="auto"/>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3"/>
        <w:gridCol w:w="1151"/>
        <w:gridCol w:w="2531"/>
        <w:gridCol w:w="2811"/>
        <w:gridCol w:w="1964"/>
      </w:tblGrid>
      <w:tr w14:paraId="598067A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75" w:hRule="atLeast"/>
        </w:trPr>
        <w:tc>
          <w:tcPr>
            <w:tcW w:w="643" w:type="dxa"/>
            <w:vAlign w:val="center"/>
          </w:tcPr>
          <w:p w14:paraId="7F06AC43">
            <w:pPr>
              <w:snapToGrid w:val="0"/>
              <w:jc w:val="center"/>
              <w:rPr>
                <w:rFonts w:hint="eastAsia" w:ascii="宋体" w:hAnsi="宋体" w:cs="宋体"/>
                <w:color w:val="auto"/>
                <w:highlight w:val="none"/>
              </w:rPr>
            </w:pPr>
            <w:r>
              <w:rPr>
                <w:rFonts w:hint="eastAsia" w:ascii="宋体" w:hAnsi="宋体" w:cs="宋体"/>
                <w:color w:val="auto"/>
                <w:highlight w:val="none"/>
              </w:rPr>
              <w:t>序号</w:t>
            </w:r>
          </w:p>
        </w:tc>
        <w:tc>
          <w:tcPr>
            <w:tcW w:w="1151" w:type="dxa"/>
            <w:tcBorders>
              <w:right w:val="single" w:color="auto" w:sz="4" w:space="0"/>
            </w:tcBorders>
            <w:vAlign w:val="center"/>
          </w:tcPr>
          <w:p w14:paraId="39A918D0">
            <w:pPr>
              <w:snapToGrid w:val="0"/>
              <w:jc w:val="center"/>
              <w:rPr>
                <w:rFonts w:hint="eastAsia" w:ascii="宋体" w:hAnsi="宋体" w:cs="宋体"/>
                <w:color w:val="auto"/>
                <w:highlight w:val="none"/>
              </w:rPr>
            </w:pPr>
            <w:r>
              <w:rPr>
                <w:rFonts w:hint="eastAsia" w:ascii="宋体" w:hAnsi="宋体" w:cs="宋体"/>
                <w:color w:val="auto"/>
                <w:highlight w:val="none"/>
              </w:rPr>
              <w:t>设备名称</w:t>
            </w:r>
          </w:p>
        </w:tc>
        <w:tc>
          <w:tcPr>
            <w:tcW w:w="2531" w:type="dxa"/>
            <w:tcBorders>
              <w:left w:val="single" w:color="auto" w:sz="4" w:space="0"/>
            </w:tcBorders>
            <w:vAlign w:val="center"/>
          </w:tcPr>
          <w:p w14:paraId="399BC15B">
            <w:pPr>
              <w:snapToGrid w:val="0"/>
              <w:jc w:val="center"/>
              <w:rPr>
                <w:rFonts w:hint="eastAsia" w:ascii="宋体" w:hAnsi="宋体" w:cs="宋体"/>
                <w:color w:val="auto"/>
                <w:highlight w:val="none"/>
              </w:rPr>
            </w:pPr>
            <w:r>
              <w:rPr>
                <w:rFonts w:hint="eastAsia" w:ascii="宋体" w:hAnsi="宋体" w:cs="宋体"/>
                <w:color w:val="auto"/>
                <w:highlight w:val="none"/>
              </w:rPr>
              <w:t>采购需求技术规格要求</w:t>
            </w:r>
          </w:p>
        </w:tc>
        <w:tc>
          <w:tcPr>
            <w:tcW w:w="2811" w:type="dxa"/>
            <w:vAlign w:val="center"/>
          </w:tcPr>
          <w:p w14:paraId="27DDE2F4">
            <w:pPr>
              <w:snapToGrid w:val="0"/>
              <w:jc w:val="center"/>
              <w:rPr>
                <w:rFonts w:hint="eastAsia" w:ascii="宋体" w:hAnsi="宋体" w:cs="宋体"/>
                <w:color w:val="auto"/>
                <w:highlight w:val="none"/>
              </w:rPr>
            </w:pPr>
            <w:r>
              <w:rPr>
                <w:rFonts w:hint="eastAsia" w:ascii="宋体" w:hAnsi="宋体" w:cs="宋体"/>
                <w:color w:val="auto"/>
                <w:highlight w:val="none"/>
              </w:rPr>
              <w:t>响应文件响应内容</w:t>
            </w:r>
          </w:p>
        </w:tc>
        <w:tc>
          <w:tcPr>
            <w:tcW w:w="1964" w:type="dxa"/>
            <w:vAlign w:val="center"/>
          </w:tcPr>
          <w:p w14:paraId="743EBBF0">
            <w:pPr>
              <w:snapToGrid w:val="0"/>
              <w:jc w:val="center"/>
              <w:rPr>
                <w:rFonts w:hint="eastAsia" w:ascii="宋体" w:hAnsi="宋体" w:cs="宋体"/>
                <w:color w:val="auto"/>
                <w:highlight w:val="none"/>
              </w:rPr>
            </w:pPr>
            <w:r>
              <w:rPr>
                <w:rFonts w:hint="eastAsia" w:ascii="宋体" w:hAnsi="宋体" w:cs="宋体"/>
                <w:color w:val="auto"/>
                <w:highlight w:val="none"/>
              </w:rPr>
              <w:t>偏离情况</w:t>
            </w:r>
          </w:p>
        </w:tc>
      </w:tr>
      <w:tr w14:paraId="7F54AFA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vAlign w:val="center"/>
          </w:tcPr>
          <w:p w14:paraId="6DA0764A">
            <w:pPr>
              <w:snapToGrid w:val="0"/>
              <w:jc w:val="center"/>
              <w:rPr>
                <w:rFonts w:hint="eastAsia" w:ascii="宋体" w:hAnsi="宋体" w:cs="宋体"/>
                <w:color w:val="auto"/>
                <w:highlight w:val="none"/>
              </w:rPr>
            </w:pPr>
            <w:r>
              <w:rPr>
                <w:rFonts w:hint="eastAsia" w:ascii="宋体" w:hAnsi="宋体" w:cs="宋体"/>
                <w:color w:val="auto"/>
                <w:highlight w:val="none"/>
              </w:rPr>
              <w:t>1</w:t>
            </w:r>
          </w:p>
        </w:tc>
        <w:tc>
          <w:tcPr>
            <w:tcW w:w="1151" w:type="dxa"/>
            <w:tcBorders>
              <w:right w:val="single" w:color="auto" w:sz="4" w:space="0"/>
            </w:tcBorders>
            <w:vAlign w:val="center"/>
          </w:tcPr>
          <w:p w14:paraId="28A88504">
            <w:pPr>
              <w:snapToGrid w:val="0"/>
              <w:jc w:val="center"/>
              <w:rPr>
                <w:rFonts w:hint="eastAsia" w:ascii="宋体" w:hAnsi="宋体" w:cs="宋体"/>
                <w:color w:val="auto"/>
                <w:highlight w:val="none"/>
              </w:rPr>
            </w:pPr>
          </w:p>
        </w:tc>
        <w:tc>
          <w:tcPr>
            <w:tcW w:w="2531" w:type="dxa"/>
            <w:tcBorders>
              <w:left w:val="single" w:color="auto" w:sz="4" w:space="0"/>
            </w:tcBorders>
            <w:vAlign w:val="center"/>
          </w:tcPr>
          <w:p w14:paraId="22844DF9">
            <w:pPr>
              <w:snapToGrid w:val="0"/>
              <w:jc w:val="center"/>
              <w:rPr>
                <w:rFonts w:hint="eastAsia" w:ascii="宋体" w:hAnsi="宋体" w:cs="宋体"/>
                <w:color w:val="auto"/>
                <w:highlight w:val="none"/>
              </w:rPr>
            </w:pPr>
          </w:p>
        </w:tc>
        <w:tc>
          <w:tcPr>
            <w:tcW w:w="2811" w:type="dxa"/>
            <w:vAlign w:val="center"/>
          </w:tcPr>
          <w:p w14:paraId="51B90F8F">
            <w:pPr>
              <w:snapToGrid w:val="0"/>
              <w:jc w:val="center"/>
              <w:rPr>
                <w:rFonts w:hint="eastAsia" w:ascii="宋体" w:hAnsi="宋体" w:cs="宋体"/>
                <w:color w:val="auto"/>
                <w:highlight w:val="none"/>
              </w:rPr>
            </w:pPr>
          </w:p>
        </w:tc>
        <w:tc>
          <w:tcPr>
            <w:tcW w:w="1964" w:type="dxa"/>
            <w:vAlign w:val="center"/>
          </w:tcPr>
          <w:p w14:paraId="33EB40E2">
            <w:pPr>
              <w:snapToGrid w:val="0"/>
              <w:jc w:val="center"/>
              <w:rPr>
                <w:rFonts w:hint="eastAsia" w:ascii="宋体" w:hAnsi="宋体" w:cs="宋体"/>
                <w:color w:val="auto"/>
                <w:highlight w:val="none"/>
              </w:rPr>
            </w:pPr>
          </w:p>
        </w:tc>
      </w:tr>
      <w:tr w14:paraId="2BB153A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vAlign w:val="center"/>
          </w:tcPr>
          <w:p w14:paraId="7F7EAE70">
            <w:pPr>
              <w:snapToGrid w:val="0"/>
              <w:jc w:val="center"/>
              <w:rPr>
                <w:rFonts w:hint="eastAsia" w:ascii="宋体" w:hAnsi="宋体" w:cs="宋体"/>
                <w:color w:val="auto"/>
                <w:highlight w:val="none"/>
              </w:rPr>
            </w:pPr>
            <w:r>
              <w:rPr>
                <w:rFonts w:hint="eastAsia" w:ascii="宋体" w:hAnsi="宋体" w:cs="宋体"/>
                <w:color w:val="auto"/>
                <w:highlight w:val="none"/>
              </w:rPr>
              <w:t>2</w:t>
            </w:r>
          </w:p>
        </w:tc>
        <w:tc>
          <w:tcPr>
            <w:tcW w:w="1151" w:type="dxa"/>
            <w:tcBorders>
              <w:right w:val="single" w:color="auto" w:sz="4" w:space="0"/>
            </w:tcBorders>
            <w:vAlign w:val="center"/>
          </w:tcPr>
          <w:p w14:paraId="454159A8">
            <w:pPr>
              <w:snapToGrid w:val="0"/>
              <w:jc w:val="center"/>
              <w:rPr>
                <w:rFonts w:hint="eastAsia" w:ascii="宋体" w:hAnsi="宋体" w:cs="宋体"/>
                <w:color w:val="auto"/>
                <w:highlight w:val="none"/>
              </w:rPr>
            </w:pPr>
          </w:p>
        </w:tc>
        <w:tc>
          <w:tcPr>
            <w:tcW w:w="2531" w:type="dxa"/>
            <w:tcBorders>
              <w:left w:val="single" w:color="auto" w:sz="4" w:space="0"/>
            </w:tcBorders>
            <w:vAlign w:val="center"/>
          </w:tcPr>
          <w:p w14:paraId="1BEF57AA">
            <w:pPr>
              <w:snapToGrid w:val="0"/>
              <w:jc w:val="center"/>
              <w:rPr>
                <w:rFonts w:hint="eastAsia" w:ascii="宋体" w:hAnsi="宋体" w:cs="宋体"/>
                <w:color w:val="auto"/>
                <w:highlight w:val="none"/>
              </w:rPr>
            </w:pPr>
          </w:p>
        </w:tc>
        <w:tc>
          <w:tcPr>
            <w:tcW w:w="2811" w:type="dxa"/>
            <w:vAlign w:val="center"/>
          </w:tcPr>
          <w:p w14:paraId="207104D9">
            <w:pPr>
              <w:snapToGrid w:val="0"/>
              <w:jc w:val="center"/>
              <w:rPr>
                <w:rFonts w:hint="eastAsia" w:ascii="宋体" w:hAnsi="宋体" w:cs="宋体"/>
                <w:color w:val="auto"/>
                <w:highlight w:val="none"/>
              </w:rPr>
            </w:pPr>
          </w:p>
        </w:tc>
        <w:tc>
          <w:tcPr>
            <w:tcW w:w="1964" w:type="dxa"/>
            <w:vAlign w:val="center"/>
          </w:tcPr>
          <w:p w14:paraId="3ACDC781">
            <w:pPr>
              <w:snapToGrid w:val="0"/>
              <w:jc w:val="center"/>
              <w:rPr>
                <w:rFonts w:hint="eastAsia" w:ascii="宋体" w:hAnsi="宋体" w:cs="宋体"/>
                <w:color w:val="auto"/>
                <w:highlight w:val="none"/>
              </w:rPr>
            </w:pPr>
          </w:p>
        </w:tc>
      </w:tr>
      <w:tr w14:paraId="0B279DF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vAlign w:val="center"/>
          </w:tcPr>
          <w:p w14:paraId="41C09357">
            <w:pPr>
              <w:snapToGrid w:val="0"/>
              <w:jc w:val="center"/>
              <w:rPr>
                <w:rFonts w:hint="eastAsia" w:ascii="宋体" w:hAnsi="宋体" w:cs="宋体"/>
                <w:color w:val="auto"/>
                <w:highlight w:val="none"/>
              </w:rPr>
            </w:pPr>
            <w:r>
              <w:rPr>
                <w:rFonts w:hint="eastAsia" w:ascii="宋体" w:hAnsi="宋体" w:cs="宋体"/>
                <w:color w:val="auto"/>
                <w:highlight w:val="none"/>
              </w:rPr>
              <w:t>3</w:t>
            </w:r>
          </w:p>
        </w:tc>
        <w:tc>
          <w:tcPr>
            <w:tcW w:w="1151" w:type="dxa"/>
            <w:tcBorders>
              <w:right w:val="single" w:color="auto" w:sz="4" w:space="0"/>
            </w:tcBorders>
            <w:vAlign w:val="center"/>
          </w:tcPr>
          <w:p w14:paraId="02B13E2D">
            <w:pPr>
              <w:snapToGrid w:val="0"/>
              <w:jc w:val="center"/>
              <w:rPr>
                <w:rFonts w:hint="eastAsia" w:ascii="宋体" w:hAnsi="宋体" w:cs="宋体"/>
                <w:color w:val="auto"/>
                <w:highlight w:val="none"/>
              </w:rPr>
            </w:pPr>
          </w:p>
        </w:tc>
        <w:tc>
          <w:tcPr>
            <w:tcW w:w="2531" w:type="dxa"/>
            <w:tcBorders>
              <w:left w:val="single" w:color="auto" w:sz="4" w:space="0"/>
            </w:tcBorders>
            <w:vAlign w:val="center"/>
          </w:tcPr>
          <w:p w14:paraId="399D8C6C">
            <w:pPr>
              <w:snapToGrid w:val="0"/>
              <w:jc w:val="center"/>
              <w:rPr>
                <w:rFonts w:hint="eastAsia" w:ascii="宋体" w:hAnsi="宋体" w:cs="宋体"/>
                <w:color w:val="auto"/>
                <w:highlight w:val="none"/>
              </w:rPr>
            </w:pPr>
          </w:p>
        </w:tc>
        <w:tc>
          <w:tcPr>
            <w:tcW w:w="2811" w:type="dxa"/>
            <w:vAlign w:val="center"/>
          </w:tcPr>
          <w:p w14:paraId="2C524413">
            <w:pPr>
              <w:snapToGrid w:val="0"/>
              <w:jc w:val="center"/>
              <w:rPr>
                <w:rFonts w:hint="eastAsia" w:ascii="宋体" w:hAnsi="宋体" w:cs="宋体"/>
                <w:color w:val="auto"/>
                <w:highlight w:val="none"/>
              </w:rPr>
            </w:pPr>
          </w:p>
        </w:tc>
        <w:tc>
          <w:tcPr>
            <w:tcW w:w="1964" w:type="dxa"/>
            <w:vAlign w:val="center"/>
          </w:tcPr>
          <w:p w14:paraId="450A2561">
            <w:pPr>
              <w:snapToGrid w:val="0"/>
              <w:jc w:val="center"/>
              <w:rPr>
                <w:rFonts w:hint="eastAsia" w:ascii="宋体" w:hAnsi="宋体" w:cs="宋体"/>
                <w:color w:val="auto"/>
                <w:highlight w:val="none"/>
              </w:rPr>
            </w:pPr>
          </w:p>
        </w:tc>
      </w:tr>
      <w:tr w14:paraId="10D4671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vAlign w:val="center"/>
          </w:tcPr>
          <w:p w14:paraId="0AD9C757">
            <w:pPr>
              <w:snapToGrid w:val="0"/>
              <w:jc w:val="center"/>
              <w:rPr>
                <w:rFonts w:hint="eastAsia" w:ascii="宋体" w:hAnsi="宋体" w:cs="宋体"/>
                <w:color w:val="auto"/>
                <w:highlight w:val="none"/>
              </w:rPr>
            </w:pPr>
            <w:r>
              <w:rPr>
                <w:rFonts w:hint="eastAsia" w:ascii="宋体" w:hAnsi="宋体" w:cs="宋体"/>
                <w:color w:val="auto"/>
                <w:highlight w:val="none"/>
              </w:rPr>
              <w:t>4</w:t>
            </w:r>
          </w:p>
        </w:tc>
        <w:tc>
          <w:tcPr>
            <w:tcW w:w="1151" w:type="dxa"/>
            <w:tcBorders>
              <w:right w:val="single" w:color="auto" w:sz="4" w:space="0"/>
            </w:tcBorders>
            <w:vAlign w:val="center"/>
          </w:tcPr>
          <w:p w14:paraId="3194DB1A">
            <w:pPr>
              <w:snapToGrid w:val="0"/>
              <w:jc w:val="center"/>
              <w:rPr>
                <w:rFonts w:hint="eastAsia" w:ascii="宋体" w:hAnsi="宋体" w:cs="宋体"/>
                <w:color w:val="auto"/>
                <w:highlight w:val="none"/>
              </w:rPr>
            </w:pPr>
          </w:p>
        </w:tc>
        <w:tc>
          <w:tcPr>
            <w:tcW w:w="2531" w:type="dxa"/>
            <w:tcBorders>
              <w:left w:val="single" w:color="auto" w:sz="4" w:space="0"/>
            </w:tcBorders>
            <w:vAlign w:val="center"/>
          </w:tcPr>
          <w:p w14:paraId="6FE43A3A">
            <w:pPr>
              <w:snapToGrid w:val="0"/>
              <w:jc w:val="center"/>
              <w:rPr>
                <w:rFonts w:hint="eastAsia" w:ascii="宋体" w:hAnsi="宋体" w:cs="宋体"/>
                <w:color w:val="auto"/>
                <w:highlight w:val="none"/>
              </w:rPr>
            </w:pPr>
          </w:p>
        </w:tc>
        <w:tc>
          <w:tcPr>
            <w:tcW w:w="2811" w:type="dxa"/>
            <w:vAlign w:val="center"/>
          </w:tcPr>
          <w:p w14:paraId="557480AA">
            <w:pPr>
              <w:snapToGrid w:val="0"/>
              <w:jc w:val="center"/>
              <w:rPr>
                <w:rFonts w:hint="eastAsia" w:ascii="宋体" w:hAnsi="宋体" w:cs="宋体"/>
                <w:color w:val="auto"/>
                <w:highlight w:val="none"/>
              </w:rPr>
            </w:pPr>
          </w:p>
        </w:tc>
        <w:tc>
          <w:tcPr>
            <w:tcW w:w="1964" w:type="dxa"/>
            <w:vAlign w:val="center"/>
          </w:tcPr>
          <w:p w14:paraId="281C594D">
            <w:pPr>
              <w:snapToGrid w:val="0"/>
              <w:jc w:val="center"/>
              <w:rPr>
                <w:rFonts w:hint="eastAsia" w:ascii="宋体" w:hAnsi="宋体" w:cs="宋体"/>
                <w:color w:val="auto"/>
                <w:highlight w:val="none"/>
              </w:rPr>
            </w:pPr>
          </w:p>
        </w:tc>
      </w:tr>
      <w:tr w14:paraId="7A227D6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vAlign w:val="center"/>
          </w:tcPr>
          <w:p w14:paraId="5AC47709">
            <w:pPr>
              <w:snapToGrid w:val="0"/>
              <w:jc w:val="center"/>
              <w:rPr>
                <w:rFonts w:hint="eastAsia" w:ascii="宋体" w:hAnsi="宋体" w:cs="宋体"/>
                <w:color w:val="auto"/>
                <w:highlight w:val="none"/>
              </w:rPr>
            </w:pPr>
            <w:r>
              <w:rPr>
                <w:rFonts w:hint="eastAsia" w:ascii="宋体" w:hAnsi="宋体" w:cs="宋体"/>
                <w:color w:val="auto"/>
                <w:highlight w:val="none"/>
              </w:rPr>
              <w:t>5</w:t>
            </w:r>
          </w:p>
        </w:tc>
        <w:tc>
          <w:tcPr>
            <w:tcW w:w="1151" w:type="dxa"/>
            <w:tcBorders>
              <w:right w:val="single" w:color="auto" w:sz="4" w:space="0"/>
            </w:tcBorders>
            <w:vAlign w:val="center"/>
          </w:tcPr>
          <w:p w14:paraId="673FCFC5">
            <w:pPr>
              <w:snapToGrid w:val="0"/>
              <w:jc w:val="center"/>
              <w:rPr>
                <w:rFonts w:hint="eastAsia" w:ascii="宋体" w:hAnsi="宋体" w:cs="宋体"/>
                <w:color w:val="auto"/>
                <w:highlight w:val="none"/>
              </w:rPr>
            </w:pPr>
          </w:p>
        </w:tc>
        <w:tc>
          <w:tcPr>
            <w:tcW w:w="2531" w:type="dxa"/>
            <w:tcBorders>
              <w:left w:val="single" w:color="auto" w:sz="4" w:space="0"/>
            </w:tcBorders>
            <w:vAlign w:val="center"/>
          </w:tcPr>
          <w:p w14:paraId="6D22CAA9">
            <w:pPr>
              <w:snapToGrid w:val="0"/>
              <w:jc w:val="center"/>
              <w:rPr>
                <w:rFonts w:hint="eastAsia" w:ascii="宋体" w:hAnsi="宋体" w:cs="宋体"/>
                <w:color w:val="auto"/>
                <w:highlight w:val="none"/>
              </w:rPr>
            </w:pPr>
          </w:p>
        </w:tc>
        <w:tc>
          <w:tcPr>
            <w:tcW w:w="2811" w:type="dxa"/>
            <w:vAlign w:val="center"/>
          </w:tcPr>
          <w:p w14:paraId="6F4540F3">
            <w:pPr>
              <w:snapToGrid w:val="0"/>
              <w:jc w:val="center"/>
              <w:rPr>
                <w:rFonts w:hint="eastAsia" w:ascii="宋体" w:hAnsi="宋体" w:cs="宋体"/>
                <w:color w:val="auto"/>
                <w:highlight w:val="none"/>
              </w:rPr>
            </w:pPr>
          </w:p>
        </w:tc>
        <w:tc>
          <w:tcPr>
            <w:tcW w:w="1964" w:type="dxa"/>
            <w:vAlign w:val="center"/>
          </w:tcPr>
          <w:p w14:paraId="4F9FFA8D">
            <w:pPr>
              <w:snapToGrid w:val="0"/>
              <w:jc w:val="center"/>
              <w:rPr>
                <w:rFonts w:hint="eastAsia" w:ascii="宋体" w:hAnsi="宋体" w:cs="宋体"/>
                <w:color w:val="auto"/>
                <w:highlight w:val="none"/>
              </w:rPr>
            </w:pPr>
          </w:p>
        </w:tc>
      </w:tr>
      <w:tr w14:paraId="75FEE37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vAlign w:val="center"/>
          </w:tcPr>
          <w:p w14:paraId="3E665646">
            <w:pPr>
              <w:snapToGrid w:val="0"/>
              <w:jc w:val="center"/>
              <w:rPr>
                <w:rFonts w:hint="eastAsia" w:ascii="宋体" w:hAnsi="宋体" w:cs="宋体"/>
                <w:color w:val="auto"/>
                <w:highlight w:val="none"/>
              </w:rPr>
            </w:pPr>
            <w:r>
              <w:rPr>
                <w:rFonts w:hint="eastAsia" w:ascii="宋体" w:hAnsi="宋体" w:cs="宋体"/>
                <w:color w:val="auto"/>
                <w:highlight w:val="none"/>
              </w:rPr>
              <w:t>6</w:t>
            </w:r>
          </w:p>
        </w:tc>
        <w:tc>
          <w:tcPr>
            <w:tcW w:w="1151" w:type="dxa"/>
            <w:vAlign w:val="center"/>
          </w:tcPr>
          <w:p w14:paraId="7ACABE51">
            <w:pPr>
              <w:snapToGrid w:val="0"/>
              <w:jc w:val="center"/>
              <w:rPr>
                <w:rFonts w:hint="eastAsia" w:ascii="宋体" w:hAnsi="宋体" w:cs="宋体"/>
                <w:b/>
                <w:color w:val="auto"/>
                <w:highlight w:val="none"/>
              </w:rPr>
            </w:pPr>
          </w:p>
        </w:tc>
        <w:tc>
          <w:tcPr>
            <w:tcW w:w="2531" w:type="dxa"/>
            <w:tcBorders>
              <w:left w:val="single" w:color="auto" w:sz="4" w:space="0"/>
              <w:right w:val="single" w:color="auto" w:sz="4" w:space="0"/>
            </w:tcBorders>
            <w:vAlign w:val="center"/>
          </w:tcPr>
          <w:p w14:paraId="3BC75B61">
            <w:pPr>
              <w:snapToGrid w:val="0"/>
              <w:jc w:val="center"/>
              <w:rPr>
                <w:rFonts w:hint="eastAsia" w:ascii="宋体" w:hAnsi="宋体" w:cs="宋体"/>
                <w:color w:val="auto"/>
                <w:highlight w:val="none"/>
              </w:rPr>
            </w:pPr>
          </w:p>
        </w:tc>
        <w:tc>
          <w:tcPr>
            <w:tcW w:w="2811" w:type="dxa"/>
            <w:tcBorders>
              <w:left w:val="single" w:color="auto" w:sz="4" w:space="0"/>
            </w:tcBorders>
            <w:vAlign w:val="center"/>
          </w:tcPr>
          <w:p w14:paraId="583F1064">
            <w:pPr>
              <w:snapToGrid w:val="0"/>
              <w:jc w:val="center"/>
              <w:rPr>
                <w:rFonts w:hint="eastAsia" w:ascii="宋体" w:hAnsi="宋体" w:cs="宋体"/>
                <w:color w:val="auto"/>
                <w:highlight w:val="none"/>
              </w:rPr>
            </w:pPr>
          </w:p>
        </w:tc>
        <w:tc>
          <w:tcPr>
            <w:tcW w:w="1964" w:type="dxa"/>
            <w:vAlign w:val="center"/>
          </w:tcPr>
          <w:p w14:paraId="3BB82C20">
            <w:pPr>
              <w:snapToGrid w:val="0"/>
              <w:jc w:val="center"/>
              <w:rPr>
                <w:rFonts w:hint="eastAsia" w:ascii="宋体" w:hAnsi="宋体" w:cs="宋体"/>
                <w:color w:val="auto"/>
                <w:highlight w:val="none"/>
              </w:rPr>
            </w:pPr>
          </w:p>
        </w:tc>
      </w:tr>
      <w:tr w14:paraId="5014F70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vAlign w:val="center"/>
          </w:tcPr>
          <w:p w14:paraId="51AEC69E">
            <w:pPr>
              <w:snapToGrid w:val="0"/>
              <w:jc w:val="center"/>
              <w:rPr>
                <w:rFonts w:hint="eastAsia" w:ascii="宋体" w:hAnsi="宋体" w:cs="宋体"/>
                <w:color w:val="auto"/>
                <w:highlight w:val="none"/>
              </w:rPr>
            </w:pPr>
            <w:r>
              <w:rPr>
                <w:rFonts w:hint="eastAsia" w:ascii="宋体" w:hAnsi="宋体" w:cs="宋体"/>
                <w:color w:val="auto"/>
                <w:highlight w:val="none"/>
              </w:rPr>
              <w:t>7</w:t>
            </w:r>
          </w:p>
        </w:tc>
        <w:tc>
          <w:tcPr>
            <w:tcW w:w="1151" w:type="dxa"/>
            <w:vAlign w:val="center"/>
          </w:tcPr>
          <w:p w14:paraId="2C7A5D0D">
            <w:pPr>
              <w:snapToGrid w:val="0"/>
              <w:jc w:val="center"/>
              <w:rPr>
                <w:rFonts w:hint="eastAsia" w:ascii="宋体" w:hAnsi="宋体" w:cs="宋体"/>
                <w:b/>
                <w:color w:val="auto"/>
                <w:highlight w:val="none"/>
              </w:rPr>
            </w:pPr>
          </w:p>
        </w:tc>
        <w:tc>
          <w:tcPr>
            <w:tcW w:w="2531" w:type="dxa"/>
            <w:tcBorders>
              <w:left w:val="single" w:color="auto" w:sz="4" w:space="0"/>
              <w:right w:val="single" w:color="auto" w:sz="4" w:space="0"/>
            </w:tcBorders>
            <w:vAlign w:val="center"/>
          </w:tcPr>
          <w:p w14:paraId="2A4D2F62">
            <w:pPr>
              <w:snapToGrid w:val="0"/>
              <w:jc w:val="center"/>
              <w:rPr>
                <w:rFonts w:hint="eastAsia" w:ascii="宋体" w:hAnsi="宋体" w:cs="宋体"/>
                <w:b/>
                <w:color w:val="auto"/>
                <w:highlight w:val="none"/>
              </w:rPr>
            </w:pPr>
          </w:p>
        </w:tc>
        <w:tc>
          <w:tcPr>
            <w:tcW w:w="2811" w:type="dxa"/>
            <w:tcBorders>
              <w:left w:val="single" w:color="auto" w:sz="4" w:space="0"/>
            </w:tcBorders>
            <w:vAlign w:val="center"/>
          </w:tcPr>
          <w:p w14:paraId="02F9C974">
            <w:pPr>
              <w:snapToGrid w:val="0"/>
              <w:jc w:val="center"/>
              <w:rPr>
                <w:rFonts w:hint="eastAsia" w:ascii="宋体" w:hAnsi="宋体" w:cs="宋体"/>
                <w:b/>
                <w:color w:val="auto"/>
                <w:highlight w:val="none"/>
              </w:rPr>
            </w:pPr>
          </w:p>
        </w:tc>
        <w:tc>
          <w:tcPr>
            <w:tcW w:w="1964" w:type="dxa"/>
            <w:vAlign w:val="center"/>
          </w:tcPr>
          <w:p w14:paraId="09388866">
            <w:pPr>
              <w:snapToGrid w:val="0"/>
              <w:jc w:val="center"/>
              <w:rPr>
                <w:rFonts w:hint="eastAsia" w:ascii="宋体" w:hAnsi="宋体" w:cs="宋体"/>
                <w:color w:val="auto"/>
                <w:highlight w:val="none"/>
              </w:rPr>
            </w:pPr>
          </w:p>
        </w:tc>
      </w:tr>
      <w:tr w14:paraId="0365AE3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24" w:hRule="atLeast"/>
        </w:trPr>
        <w:tc>
          <w:tcPr>
            <w:tcW w:w="643" w:type="dxa"/>
            <w:vAlign w:val="center"/>
          </w:tcPr>
          <w:p w14:paraId="554F4A23">
            <w:pPr>
              <w:snapToGrid w:val="0"/>
              <w:jc w:val="center"/>
              <w:rPr>
                <w:rFonts w:hint="eastAsia" w:ascii="宋体" w:hAnsi="宋体" w:cs="宋体"/>
                <w:color w:val="auto"/>
                <w:highlight w:val="none"/>
              </w:rPr>
            </w:pPr>
            <w:r>
              <w:rPr>
                <w:rFonts w:hint="eastAsia" w:ascii="宋体" w:hAnsi="宋体" w:cs="宋体"/>
                <w:color w:val="auto"/>
                <w:highlight w:val="none"/>
              </w:rPr>
              <w:t>8</w:t>
            </w:r>
          </w:p>
        </w:tc>
        <w:tc>
          <w:tcPr>
            <w:tcW w:w="1151" w:type="dxa"/>
            <w:vAlign w:val="center"/>
          </w:tcPr>
          <w:p w14:paraId="65CBE80B">
            <w:pPr>
              <w:snapToGrid w:val="0"/>
              <w:jc w:val="center"/>
              <w:rPr>
                <w:rFonts w:hint="eastAsia" w:ascii="宋体" w:hAnsi="宋体" w:cs="宋体"/>
                <w:b/>
                <w:color w:val="auto"/>
                <w:highlight w:val="none"/>
              </w:rPr>
            </w:pPr>
          </w:p>
        </w:tc>
        <w:tc>
          <w:tcPr>
            <w:tcW w:w="2531" w:type="dxa"/>
            <w:tcBorders>
              <w:left w:val="single" w:color="auto" w:sz="4" w:space="0"/>
              <w:right w:val="single" w:color="auto" w:sz="4" w:space="0"/>
            </w:tcBorders>
            <w:vAlign w:val="center"/>
          </w:tcPr>
          <w:p w14:paraId="1E59007A">
            <w:pPr>
              <w:snapToGrid w:val="0"/>
              <w:jc w:val="center"/>
              <w:rPr>
                <w:rFonts w:hint="eastAsia" w:ascii="宋体" w:hAnsi="宋体" w:cs="宋体"/>
                <w:b/>
                <w:color w:val="auto"/>
                <w:highlight w:val="none"/>
              </w:rPr>
            </w:pPr>
          </w:p>
        </w:tc>
        <w:tc>
          <w:tcPr>
            <w:tcW w:w="2811" w:type="dxa"/>
            <w:tcBorders>
              <w:left w:val="single" w:color="auto" w:sz="4" w:space="0"/>
            </w:tcBorders>
            <w:vAlign w:val="center"/>
          </w:tcPr>
          <w:p w14:paraId="0BD9C1BF">
            <w:pPr>
              <w:snapToGrid w:val="0"/>
              <w:jc w:val="center"/>
              <w:rPr>
                <w:rFonts w:hint="eastAsia" w:ascii="宋体" w:hAnsi="宋体" w:cs="宋体"/>
                <w:b/>
                <w:color w:val="auto"/>
                <w:highlight w:val="none"/>
              </w:rPr>
            </w:pPr>
          </w:p>
        </w:tc>
        <w:tc>
          <w:tcPr>
            <w:tcW w:w="1964" w:type="dxa"/>
            <w:vAlign w:val="center"/>
          </w:tcPr>
          <w:p w14:paraId="0DF278B9">
            <w:pPr>
              <w:snapToGrid w:val="0"/>
              <w:jc w:val="center"/>
              <w:rPr>
                <w:rFonts w:hint="eastAsia" w:ascii="宋体" w:hAnsi="宋体" w:cs="宋体"/>
                <w:color w:val="auto"/>
                <w:highlight w:val="none"/>
              </w:rPr>
            </w:pPr>
          </w:p>
        </w:tc>
      </w:tr>
      <w:tr w14:paraId="734E15F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36" w:hRule="atLeast"/>
        </w:trPr>
        <w:tc>
          <w:tcPr>
            <w:tcW w:w="643" w:type="dxa"/>
            <w:vAlign w:val="center"/>
          </w:tcPr>
          <w:p w14:paraId="6A0B29F4">
            <w:pPr>
              <w:snapToGrid w:val="0"/>
              <w:jc w:val="center"/>
              <w:rPr>
                <w:rFonts w:hint="eastAsia" w:ascii="宋体" w:hAnsi="宋体" w:cs="宋体"/>
                <w:color w:val="auto"/>
                <w:highlight w:val="none"/>
              </w:rPr>
            </w:pPr>
            <w:r>
              <w:rPr>
                <w:rFonts w:hint="eastAsia" w:ascii="宋体" w:hAnsi="宋体" w:cs="宋体"/>
                <w:color w:val="auto"/>
                <w:highlight w:val="none"/>
              </w:rPr>
              <w:t>……</w:t>
            </w:r>
          </w:p>
        </w:tc>
        <w:tc>
          <w:tcPr>
            <w:tcW w:w="1151" w:type="dxa"/>
            <w:vAlign w:val="center"/>
          </w:tcPr>
          <w:p w14:paraId="01CCFA5D">
            <w:pPr>
              <w:snapToGrid w:val="0"/>
              <w:jc w:val="center"/>
              <w:rPr>
                <w:rFonts w:hint="eastAsia" w:ascii="宋体" w:hAnsi="宋体" w:cs="宋体"/>
                <w:b/>
                <w:color w:val="auto"/>
                <w:highlight w:val="none"/>
              </w:rPr>
            </w:pPr>
          </w:p>
        </w:tc>
        <w:tc>
          <w:tcPr>
            <w:tcW w:w="2531" w:type="dxa"/>
            <w:tcBorders>
              <w:left w:val="single" w:color="auto" w:sz="4" w:space="0"/>
              <w:right w:val="single" w:color="auto" w:sz="4" w:space="0"/>
            </w:tcBorders>
            <w:vAlign w:val="center"/>
          </w:tcPr>
          <w:p w14:paraId="5BFE1D24">
            <w:pPr>
              <w:snapToGrid w:val="0"/>
              <w:jc w:val="center"/>
              <w:rPr>
                <w:rFonts w:hint="eastAsia" w:ascii="宋体" w:hAnsi="宋体" w:cs="宋体"/>
                <w:b/>
                <w:color w:val="auto"/>
                <w:highlight w:val="none"/>
              </w:rPr>
            </w:pPr>
          </w:p>
        </w:tc>
        <w:tc>
          <w:tcPr>
            <w:tcW w:w="2811" w:type="dxa"/>
            <w:tcBorders>
              <w:left w:val="single" w:color="auto" w:sz="4" w:space="0"/>
            </w:tcBorders>
            <w:vAlign w:val="center"/>
          </w:tcPr>
          <w:p w14:paraId="70E68CFB">
            <w:pPr>
              <w:snapToGrid w:val="0"/>
              <w:jc w:val="center"/>
              <w:rPr>
                <w:rFonts w:hint="eastAsia" w:ascii="宋体" w:hAnsi="宋体" w:cs="宋体"/>
                <w:b/>
                <w:color w:val="auto"/>
                <w:highlight w:val="none"/>
              </w:rPr>
            </w:pPr>
          </w:p>
        </w:tc>
        <w:tc>
          <w:tcPr>
            <w:tcW w:w="1964" w:type="dxa"/>
            <w:vAlign w:val="center"/>
          </w:tcPr>
          <w:p w14:paraId="0D56BEFF">
            <w:pPr>
              <w:snapToGrid w:val="0"/>
              <w:jc w:val="center"/>
              <w:rPr>
                <w:rFonts w:hint="eastAsia" w:ascii="宋体" w:hAnsi="宋体" w:cs="宋体"/>
                <w:color w:val="auto"/>
                <w:highlight w:val="none"/>
              </w:rPr>
            </w:pPr>
          </w:p>
        </w:tc>
      </w:tr>
    </w:tbl>
    <w:p w14:paraId="089C2DF6">
      <w:pPr>
        <w:pStyle w:val="30"/>
        <w:spacing w:before="120" w:after="120" w:line="440" w:lineRule="exact"/>
        <w:jc w:val="left"/>
        <w:rPr>
          <w:rFonts w:hint="eastAsia" w:hAnsi="宋体" w:cs="宋体"/>
          <w:b/>
          <w:bCs/>
          <w:color w:val="auto"/>
          <w:szCs w:val="21"/>
          <w:highlight w:val="none"/>
        </w:rPr>
      </w:pPr>
      <w:r>
        <w:rPr>
          <w:rFonts w:hint="eastAsia" w:hAnsi="宋体" w:cs="宋体"/>
          <w:b/>
          <w:bCs/>
          <w:color w:val="auto"/>
          <w:szCs w:val="21"/>
          <w:highlight w:val="none"/>
        </w:rPr>
        <w:t>说明：</w:t>
      </w:r>
    </w:p>
    <w:p w14:paraId="62BA86BC">
      <w:pPr>
        <w:pStyle w:val="30"/>
        <w:spacing w:before="120" w:after="120" w:line="440" w:lineRule="exact"/>
        <w:ind w:firstLine="480" w:firstLineChars="200"/>
        <w:jc w:val="left"/>
        <w:rPr>
          <w:rFonts w:hint="eastAsia" w:hAnsi="宋体" w:cs="宋体"/>
          <w:color w:val="auto"/>
          <w:szCs w:val="21"/>
          <w:highlight w:val="none"/>
        </w:rPr>
      </w:pPr>
      <w:r>
        <w:rPr>
          <w:rFonts w:hint="eastAsia" w:hAnsi="宋体" w:cs="宋体"/>
          <w:color w:val="auto"/>
          <w:szCs w:val="21"/>
          <w:highlight w:val="none"/>
        </w:rPr>
        <w:t>1.供应商应对采购需求的各项技术指标要求逐一做出明确响应，并在“偏离情况”栏注明“正偏离”“负偏离”或“无偏离”。行数不够可按原格式扩展。</w:t>
      </w:r>
    </w:p>
    <w:p w14:paraId="795550AE">
      <w:pPr>
        <w:pStyle w:val="30"/>
        <w:spacing w:before="120" w:after="120" w:line="440" w:lineRule="exact"/>
        <w:ind w:firstLine="470" w:firstLineChars="196"/>
        <w:rPr>
          <w:rFonts w:hint="eastAsia" w:hAnsi="宋体" w:cs="宋体"/>
          <w:color w:val="auto"/>
          <w:szCs w:val="21"/>
          <w:highlight w:val="none"/>
        </w:rPr>
      </w:pPr>
      <w:r>
        <w:rPr>
          <w:rFonts w:hint="eastAsia" w:hAnsi="宋体" w:cs="宋体"/>
          <w:color w:val="auto"/>
          <w:szCs w:val="21"/>
          <w:highlight w:val="none"/>
        </w:rPr>
        <w:t>2.供应商未按要求填写、标注偏离情况的，视为完全响应采购文件各采购需求。若成交后提供的服务（货物）不满足采购需求的，将认定为提供虚假材料、谋取中标（成交）。采购人有权单方面解除合同并追究其违约责任。</w:t>
      </w:r>
    </w:p>
    <w:p w14:paraId="3D5E4521">
      <w:pPr>
        <w:pStyle w:val="30"/>
        <w:spacing w:before="120" w:after="120" w:line="540" w:lineRule="exact"/>
        <w:jc w:val="left"/>
        <w:rPr>
          <w:rFonts w:hint="eastAsia" w:ascii="仿宋_GB2312" w:hAnsi="宋体"/>
          <w:color w:val="auto"/>
          <w:highlight w:val="none"/>
        </w:rPr>
      </w:pPr>
      <w:r>
        <w:rPr>
          <w:rFonts w:hint="eastAsia" w:ascii="仿宋_GB2312" w:hAnsi="宋体"/>
          <w:color w:val="auto"/>
          <w:highlight w:val="none"/>
        </w:rPr>
        <w:t xml:space="preserve"> </w:t>
      </w:r>
    </w:p>
    <w:p w14:paraId="67357A50">
      <w:pPr>
        <w:pStyle w:val="534"/>
        <w:snapToGrid w:val="0"/>
        <w:spacing w:before="120" w:line="360" w:lineRule="auto"/>
        <w:rPr>
          <w:rFonts w:hint="eastAsia" w:ascii="宋体" w:hAnsi="宋体" w:cs="宋体"/>
          <w:color w:val="auto"/>
          <w:szCs w:val="24"/>
          <w:highlight w:val="none"/>
        </w:rPr>
      </w:pPr>
      <w:r>
        <w:rPr>
          <w:rFonts w:hint="eastAsia" w:ascii="宋体" w:hAnsi="宋体" w:cs="宋体"/>
          <w:color w:val="auto"/>
          <w:szCs w:val="24"/>
          <w:highlight w:val="none"/>
        </w:rPr>
        <w:t>投标人全称（电子签章）：</w:t>
      </w:r>
      <w:r>
        <w:rPr>
          <w:rFonts w:hint="eastAsia" w:ascii="宋体" w:hAnsi="宋体" w:cs="宋体"/>
          <w:color w:val="auto"/>
          <w:szCs w:val="24"/>
          <w:highlight w:val="none"/>
          <w:u w:val="single"/>
        </w:rPr>
        <w:t xml:space="preserve">                         </w:t>
      </w:r>
    </w:p>
    <w:p w14:paraId="24889918">
      <w:pPr>
        <w:snapToGrid w:val="0"/>
        <w:spacing w:before="120" w:line="360" w:lineRule="auto"/>
        <w:ind w:right="600"/>
        <w:rPr>
          <w:rFonts w:hint="eastAsia" w:ascii="宋体" w:hAnsi="宋体" w:cs="宋体"/>
          <w:color w:val="auto"/>
          <w:sz w:val="24"/>
          <w:highlight w:val="none"/>
        </w:rPr>
      </w:pPr>
      <w:r>
        <w:rPr>
          <w:rFonts w:hint="eastAsia" w:ascii="宋体" w:hAnsi="宋体" w:cs="宋体"/>
          <w:color w:val="auto"/>
          <w:sz w:val="24"/>
          <w:highlight w:val="none"/>
        </w:rPr>
        <w:t>法定代表人或授权代表（签名或签章）：</w:t>
      </w:r>
      <w:r>
        <w:rPr>
          <w:rFonts w:hint="eastAsia" w:ascii="宋体" w:hAnsi="宋体" w:cs="宋体"/>
          <w:color w:val="auto"/>
          <w:sz w:val="24"/>
          <w:highlight w:val="none"/>
          <w:u w:val="single"/>
        </w:rPr>
        <w:t xml:space="preserve">             </w:t>
      </w:r>
    </w:p>
    <w:p w14:paraId="6F2CEE7F">
      <w:pPr>
        <w:snapToGrid w:val="0"/>
        <w:spacing w:before="120" w:line="360" w:lineRule="auto"/>
        <w:rPr>
          <w:rFonts w:hint="eastAsia" w:ascii="宋体" w:hAnsi="宋体" w:cs="宋体"/>
          <w:color w:val="auto"/>
          <w:sz w:val="24"/>
          <w:highlight w:val="none"/>
          <w:u w:val="singl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年    月    日</w:t>
      </w:r>
    </w:p>
    <w:p w14:paraId="79FDBC12">
      <w:pPr>
        <w:spacing w:line="500" w:lineRule="exact"/>
        <w:rPr>
          <w:rFonts w:hint="eastAsia" w:ascii="宋体" w:hAnsi="宋体" w:cs="宋体"/>
          <w:color w:val="auto"/>
          <w:sz w:val="24"/>
          <w:highlight w:val="none"/>
        </w:rPr>
      </w:pPr>
    </w:p>
    <w:p w14:paraId="448CFE61">
      <w:pPr>
        <w:spacing w:line="500" w:lineRule="exact"/>
        <w:rPr>
          <w:rFonts w:hint="eastAsia" w:ascii="宋体" w:hAnsi="宋体" w:cs="宋体"/>
          <w:color w:val="auto"/>
          <w:sz w:val="24"/>
          <w:highlight w:val="none"/>
        </w:rPr>
      </w:pPr>
    </w:p>
    <w:p w14:paraId="1156C318">
      <w:pPr>
        <w:rPr>
          <w:rFonts w:hint="eastAsia" w:ascii="宋体" w:hAnsi="宋体" w:cs="宋体"/>
          <w:color w:val="auto"/>
          <w:sz w:val="28"/>
          <w:szCs w:val="28"/>
          <w:highlight w:val="none"/>
        </w:rPr>
      </w:pPr>
      <w:r>
        <w:rPr>
          <w:rFonts w:hint="eastAsia" w:ascii="宋体" w:hAnsi="宋体" w:cs="宋体"/>
          <w:color w:val="auto"/>
          <w:sz w:val="28"/>
          <w:szCs w:val="28"/>
          <w:highlight w:val="none"/>
        </w:rPr>
        <w:t>附件17:类似业绩</w:t>
      </w:r>
    </w:p>
    <w:p w14:paraId="69F62D50">
      <w:pPr>
        <w:snapToGrid w:val="0"/>
        <w:spacing w:before="50" w:after="120" w:afterLines="50" w:line="276" w:lineRule="auto"/>
        <w:jc w:val="center"/>
        <w:rPr>
          <w:rFonts w:ascii="宋体" w:hAnsi="宋体"/>
          <w:b/>
          <w:color w:val="auto"/>
          <w:sz w:val="24"/>
          <w:highlight w:val="none"/>
        </w:rPr>
      </w:pPr>
      <w:r>
        <w:rPr>
          <w:rFonts w:hint="eastAsia" w:ascii="宋体" w:hAnsi="宋体"/>
          <w:b/>
          <w:color w:val="auto"/>
          <w:sz w:val="24"/>
          <w:highlight w:val="none"/>
        </w:rPr>
        <w:t>同类项目业绩汇总表</w:t>
      </w:r>
    </w:p>
    <w:tbl>
      <w:tblPr>
        <w:tblStyle w:val="54"/>
        <w:tblpPr w:leftFromText="180" w:rightFromText="180" w:vertAnchor="text" w:horzAnchor="page" w:tblpX="1420" w:tblpY="62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6"/>
        <w:gridCol w:w="1453"/>
        <w:gridCol w:w="1207"/>
        <w:gridCol w:w="1660"/>
        <w:gridCol w:w="2208"/>
        <w:gridCol w:w="1452"/>
      </w:tblGrid>
      <w:tr w14:paraId="7B2DB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1596" w:type="dxa"/>
            <w:vAlign w:val="center"/>
          </w:tcPr>
          <w:p w14:paraId="476B18DD">
            <w:pPr>
              <w:spacing w:line="276" w:lineRule="auto"/>
              <w:jc w:val="center"/>
              <w:rPr>
                <w:rFonts w:ascii="宋体" w:hAnsi="宋体"/>
                <w:color w:val="auto"/>
                <w:sz w:val="24"/>
                <w:highlight w:val="none"/>
              </w:rPr>
            </w:pPr>
            <w:r>
              <w:rPr>
                <w:rFonts w:hint="eastAsia" w:ascii="宋体" w:hAnsi="宋体"/>
                <w:color w:val="auto"/>
                <w:sz w:val="24"/>
                <w:highlight w:val="none"/>
              </w:rPr>
              <w:t>项目名称</w:t>
            </w:r>
          </w:p>
        </w:tc>
        <w:tc>
          <w:tcPr>
            <w:tcW w:w="1453" w:type="dxa"/>
            <w:vAlign w:val="center"/>
          </w:tcPr>
          <w:p w14:paraId="70CDD886">
            <w:pPr>
              <w:spacing w:line="276" w:lineRule="auto"/>
              <w:jc w:val="center"/>
              <w:rPr>
                <w:rFonts w:ascii="宋体" w:hAnsi="宋体"/>
                <w:color w:val="auto"/>
                <w:sz w:val="24"/>
                <w:highlight w:val="none"/>
              </w:rPr>
            </w:pPr>
            <w:r>
              <w:rPr>
                <w:rFonts w:hint="eastAsia" w:ascii="宋体" w:hAnsi="宋体"/>
                <w:color w:val="auto"/>
                <w:sz w:val="24"/>
                <w:highlight w:val="none"/>
              </w:rPr>
              <w:t>项目规模</w:t>
            </w:r>
          </w:p>
        </w:tc>
        <w:tc>
          <w:tcPr>
            <w:tcW w:w="1207" w:type="dxa"/>
            <w:vAlign w:val="center"/>
          </w:tcPr>
          <w:p w14:paraId="3DCB789B">
            <w:pPr>
              <w:spacing w:line="276" w:lineRule="auto"/>
              <w:jc w:val="center"/>
              <w:rPr>
                <w:rFonts w:ascii="宋体" w:hAnsi="宋体"/>
                <w:color w:val="auto"/>
                <w:sz w:val="24"/>
                <w:highlight w:val="none"/>
              </w:rPr>
            </w:pPr>
            <w:r>
              <w:rPr>
                <w:rFonts w:hint="eastAsia" w:ascii="宋体" w:hAnsi="宋体"/>
                <w:color w:val="auto"/>
                <w:sz w:val="24"/>
                <w:highlight w:val="none"/>
              </w:rPr>
              <w:t>合同金额</w:t>
            </w:r>
          </w:p>
        </w:tc>
        <w:tc>
          <w:tcPr>
            <w:tcW w:w="1660" w:type="dxa"/>
            <w:vAlign w:val="center"/>
          </w:tcPr>
          <w:p w14:paraId="5C1D7CF7">
            <w:pPr>
              <w:spacing w:line="276" w:lineRule="auto"/>
              <w:jc w:val="center"/>
              <w:rPr>
                <w:rFonts w:ascii="宋体" w:hAnsi="宋体"/>
                <w:color w:val="auto"/>
                <w:sz w:val="24"/>
                <w:highlight w:val="none"/>
              </w:rPr>
            </w:pPr>
            <w:r>
              <w:rPr>
                <w:rFonts w:hint="eastAsia" w:ascii="宋体" w:hAnsi="宋体"/>
                <w:color w:val="auto"/>
                <w:sz w:val="24"/>
                <w:highlight w:val="none"/>
              </w:rPr>
              <w:t>项目建设单位</w:t>
            </w:r>
          </w:p>
        </w:tc>
        <w:tc>
          <w:tcPr>
            <w:tcW w:w="2208" w:type="dxa"/>
            <w:vAlign w:val="center"/>
          </w:tcPr>
          <w:p w14:paraId="63DDFA16">
            <w:pPr>
              <w:spacing w:line="276" w:lineRule="auto"/>
              <w:jc w:val="center"/>
              <w:rPr>
                <w:rFonts w:ascii="宋体" w:hAnsi="宋体"/>
                <w:color w:val="auto"/>
                <w:sz w:val="24"/>
                <w:highlight w:val="none"/>
              </w:rPr>
            </w:pPr>
            <w:r>
              <w:rPr>
                <w:rFonts w:hint="eastAsia" w:ascii="宋体" w:hAnsi="宋体"/>
                <w:color w:val="auto"/>
                <w:sz w:val="24"/>
                <w:highlight w:val="none"/>
              </w:rPr>
              <w:t>项目单位联系人及联系电话</w:t>
            </w:r>
          </w:p>
        </w:tc>
        <w:tc>
          <w:tcPr>
            <w:tcW w:w="1452" w:type="dxa"/>
            <w:vAlign w:val="center"/>
          </w:tcPr>
          <w:p w14:paraId="1F22EA03">
            <w:pPr>
              <w:spacing w:line="276" w:lineRule="auto"/>
              <w:jc w:val="center"/>
              <w:rPr>
                <w:rFonts w:hint="eastAsia" w:ascii="宋体" w:hAnsi="宋体"/>
                <w:color w:val="auto"/>
                <w:sz w:val="24"/>
                <w:highlight w:val="none"/>
              </w:rPr>
            </w:pPr>
            <w:r>
              <w:rPr>
                <w:rFonts w:hint="eastAsia" w:ascii="宋体" w:hAnsi="宋体"/>
                <w:color w:val="auto"/>
                <w:sz w:val="24"/>
                <w:highlight w:val="none"/>
              </w:rPr>
              <w:t>签订日期</w:t>
            </w:r>
          </w:p>
        </w:tc>
      </w:tr>
      <w:tr w14:paraId="3661D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176DCC9D">
            <w:pPr>
              <w:spacing w:line="276" w:lineRule="auto"/>
              <w:rPr>
                <w:rFonts w:ascii="宋体" w:hAnsi="宋体"/>
                <w:color w:val="auto"/>
                <w:sz w:val="24"/>
                <w:highlight w:val="none"/>
              </w:rPr>
            </w:pPr>
          </w:p>
        </w:tc>
        <w:tc>
          <w:tcPr>
            <w:tcW w:w="1453" w:type="dxa"/>
            <w:vAlign w:val="center"/>
          </w:tcPr>
          <w:p w14:paraId="2B95342E">
            <w:pPr>
              <w:spacing w:line="276" w:lineRule="auto"/>
              <w:rPr>
                <w:rFonts w:ascii="宋体" w:hAnsi="宋体"/>
                <w:color w:val="auto"/>
                <w:sz w:val="24"/>
                <w:highlight w:val="none"/>
              </w:rPr>
            </w:pPr>
          </w:p>
        </w:tc>
        <w:tc>
          <w:tcPr>
            <w:tcW w:w="1207" w:type="dxa"/>
            <w:vAlign w:val="center"/>
          </w:tcPr>
          <w:p w14:paraId="60618744">
            <w:pPr>
              <w:spacing w:line="276" w:lineRule="auto"/>
              <w:rPr>
                <w:rFonts w:ascii="宋体" w:hAnsi="宋体"/>
                <w:color w:val="auto"/>
                <w:sz w:val="24"/>
                <w:highlight w:val="none"/>
              </w:rPr>
            </w:pPr>
          </w:p>
        </w:tc>
        <w:tc>
          <w:tcPr>
            <w:tcW w:w="1660" w:type="dxa"/>
          </w:tcPr>
          <w:p w14:paraId="41D6483D">
            <w:pPr>
              <w:spacing w:line="276" w:lineRule="auto"/>
              <w:rPr>
                <w:rFonts w:ascii="宋体" w:hAnsi="宋体"/>
                <w:color w:val="auto"/>
                <w:sz w:val="24"/>
                <w:highlight w:val="none"/>
              </w:rPr>
            </w:pPr>
          </w:p>
        </w:tc>
        <w:tc>
          <w:tcPr>
            <w:tcW w:w="2208" w:type="dxa"/>
          </w:tcPr>
          <w:p w14:paraId="78663950">
            <w:pPr>
              <w:spacing w:line="276" w:lineRule="auto"/>
              <w:rPr>
                <w:rFonts w:ascii="宋体" w:hAnsi="宋体"/>
                <w:color w:val="auto"/>
                <w:sz w:val="24"/>
                <w:highlight w:val="none"/>
              </w:rPr>
            </w:pPr>
          </w:p>
        </w:tc>
        <w:tc>
          <w:tcPr>
            <w:tcW w:w="1452" w:type="dxa"/>
            <w:vAlign w:val="center"/>
          </w:tcPr>
          <w:p w14:paraId="44990D13">
            <w:pPr>
              <w:spacing w:line="276" w:lineRule="auto"/>
              <w:rPr>
                <w:rFonts w:ascii="宋体" w:hAnsi="宋体"/>
                <w:color w:val="auto"/>
                <w:sz w:val="24"/>
                <w:highlight w:val="none"/>
              </w:rPr>
            </w:pPr>
          </w:p>
        </w:tc>
      </w:tr>
      <w:tr w14:paraId="0EAE4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1596" w:type="dxa"/>
            <w:vAlign w:val="center"/>
          </w:tcPr>
          <w:p w14:paraId="4CACE186">
            <w:pPr>
              <w:spacing w:line="276" w:lineRule="auto"/>
              <w:rPr>
                <w:rFonts w:ascii="宋体" w:hAnsi="宋体"/>
                <w:color w:val="auto"/>
                <w:sz w:val="24"/>
                <w:highlight w:val="none"/>
              </w:rPr>
            </w:pPr>
          </w:p>
        </w:tc>
        <w:tc>
          <w:tcPr>
            <w:tcW w:w="1453" w:type="dxa"/>
            <w:vAlign w:val="center"/>
          </w:tcPr>
          <w:p w14:paraId="40B721C4">
            <w:pPr>
              <w:spacing w:line="276" w:lineRule="auto"/>
              <w:rPr>
                <w:rFonts w:ascii="宋体" w:hAnsi="宋体"/>
                <w:color w:val="auto"/>
                <w:sz w:val="24"/>
                <w:highlight w:val="none"/>
              </w:rPr>
            </w:pPr>
          </w:p>
        </w:tc>
        <w:tc>
          <w:tcPr>
            <w:tcW w:w="1207" w:type="dxa"/>
            <w:vAlign w:val="center"/>
          </w:tcPr>
          <w:p w14:paraId="41BDC0BF">
            <w:pPr>
              <w:spacing w:line="276" w:lineRule="auto"/>
              <w:rPr>
                <w:rFonts w:ascii="宋体" w:hAnsi="宋体"/>
                <w:color w:val="auto"/>
                <w:sz w:val="24"/>
                <w:highlight w:val="none"/>
              </w:rPr>
            </w:pPr>
          </w:p>
        </w:tc>
        <w:tc>
          <w:tcPr>
            <w:tcW w:w="1660" w:type="dxa"/>
          </w:tcPr>
          <w:p w14:paraId="35C98E06">
            <w:pPr>
              <w:spacing w:line="276" w:lineRule="auto"/>
              <w:rPr>
                <w:rFonts w:ascii="宋体" w:hAnsi="宋体"/>
                <w:color w:val="auto"/>
                <w:sz w:val="24"/>
                <w:highlight w:val="none"/>
              </w:rPr>
            </w:pPr>
          </w:p>
        </w:tc>
        <w:tc>
          <w:tcPr>
            <w:tcW w:w="2208" w:type="dxa"/>
          </w:tcPr>
          <w:p w14:paraId="3703CD56">
            <w:pPr>
              <w:spacing w:line="276" w:lineRule="auto"/>
              <w:rPr>
                <w:rFonts w:ascii="宋体" w:hAnsi="宋体"/>
                <w:color w:val="auto"/>
                <w:sz w:val="24"/>
                <w:highlight w:val="none"/>
              </w:rPr>
            </w:pPr>
          </w:p>
        </w:tc>
        <w:tc>
          <w:tcPr>
            <w:tcW w:w="1452" w:type="dxa"/>
            <w:vAlign w:val="center"/>
          </w:tcPr>
          <w:p w14:paraId="74AF2BD2">
            <w:pPr>
              <w:spacing w:line="276" w:lineRule="auto"/>
              <w:rPr>
                <w:rFonts w:ascii="宋体" w:hAnsi="宋体"/>
                <w:color w:val="auto"/>
                <w:sz w:val="24"/>
                <w:highlight w:val="none"/>
              </w:rPr>
            </w:pPr>
          </w:p>
        </w:tc>
      </w:tr>
      <w:tr w14:paraId="1FD89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5C771350">
            <w:pPr>
              <w:spacing w:line="276" w:lineRule="auto"/>
              <w:rPr>
                <w:rFonts w:ascii="宋体" w:hAnsi="宋体"/>
                <w:color w:val="auto"/>
                <w:sz w:val="24"/>
                <w:highlight w:val="none"/>
              </w:rPr>
            </w:pPr>
          </w:p>
        </w:tc>
        <w:tc>
          <w:tcPr>
            <w:tcW w:w="1453" w:type="dxa"/>
            <w:vAlign w:val="center"/>
          </w:tcPr>
          <w:p w14:paraId="2400DEFE">
            <w:pPr>
              <w:spacing w:line="276" w:lineRule="auto"/>
              <w:rPr>
                <w:rFonts w:ascii="宋体" w:hAnsi="宋体"/>
                <w:color w:val="auto"/>
                <w:sz w:val="24"/>
                <w:highlight w:val="none"/>
              </w:rPr>
            </w:pPr>
          </w:p>
        </w:tc>
        <w:tc>
          <w:tcPr>
            <w:tcW w:w="1207" w:type="dxa"/>
            <w:vAlign w:val="center"/>
          </w:tcPr>
          <w:p w14:paraId="4A4F5D41">
            <w:pPr>
              <w:spacing w:line="276" w:lineRule="auto"/>
              <w:rPr>
                <w:rFonts w:ascii="宋体" w:hAnsi="宋体"/>
                <w:color w:val="auto"/>
                <w:sz w:val="24"/>
                <w:highlight w:val="none"/>
              </w:rPr>
            </w:pPr>
          </w:p>
        </w:tc>
        <w:tc>
          <w:tcPr>
            <w:tcW w:w="1660" w:type="dxa"/>
          </w:tcPr>
          <w:p w14:paraId="7B3D036B">
            <w:pPr>
              <w:spacing w:line="276" w:lineRule="auto"/>
              <w:rPr>
                <w:rFonts w:ascii="宋体" w:hAnsi="宋体"/>
                <w:color w:val="auto"/>
                <w:sz w:val="24"/>
                <w:highlight w:val="none"/>
              </w:rPr>
            </w:pPr>
          </w:p>
        </w:tc>
        <w:tc>
          <w:tcPr>
            <w:tcW w:w="2208" w:type="dxa"/>
          </w:tcPr>
          <w:p w14:paraId="27B078FC">
            <w:pPr>
              <w:spacing w:line="276" w:lineRule="auto"/>
              <w:rPr>
                <w:rFonts w:ascii="宋体" w:hAnsi="宋体"/>
                <w:color w:val="auto"/>
                <w:sz w:val="24"/>
                <w:highlight w:val="none"/>
              </w:rPr>
            </w:pPr>
          </w:p>
        </w:tc>
        <w:tc>
          <w:tcPr>
            <w:tcW w:w="1452" w:type="dxa"/>
            <w:vAlign w:val="center"/>
          </w:tcPr>
          <w:p w14:paraId="2CDD49C3">
            <w:pPr>
              <w:spacing w:line="276" w:lineRule="auto"/>
              <w:rPr>
                <w:rFonts w:ascii="宋体" w:hAnsi="宋体"/>
                <w:color w:val="auto"/>
                <w:sz w:val="24"/>
                <w:highlight w:val="none"/>
              </w:rPr>
            </w:pPr>
          </w:p>
        </w:tc>
      </w:tr>
      <w:tr w14:paraId="6A80D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78A13670">
            <w:pPr>
              <w:spacing w:line="276" w:lineRule="auto"/>
              <w:rPr>
                <w:rFonts w:ascii="宋体" w:hAnsi="宋体"/>
                <w:color w:val="auto"/>
                <w:sz w:val="24"/>
                <w:highlight w:val="none"/>
              </w:rPr>
            </w:pPr>
          </w:p>
        </w:tc>
        <w:tc>
          <w:tcPr>
            <w:tcW w:w="1453" w:type="dxa"/>
            <w:vAlign w:val="center"/>
          </w:tcPr>
          <w:p w14:paraId="3104F033">
            <w:pPr>
              <w:spacing w:line="276" w:lineRule="auto"/>
              <w:rPr>
                <w:rFonts w:ascii="宋体" w:hAnsi="宋体"/>
                <w:color w:val="auto"/>
                <w:sz w:val="24"/>
                <w:highlight w:val="none"/>
              </w:rPr>
            </w:pPr>
          </w:p>
        </w:tc>
        <w:tc>
          <w:tcPr>
            <w:tcW w:w="1207" w:type="dxa"/>
            <w:vAlign w:val="center"/>
          </w:tcPr>
          <w:p w14:paraId="140C2BBB">
            <w:pPr>
              <w:spacing w:line="276" w:lineRule="auto"/>
              <w:rPr>
                <w:rFonts w:ascii="宋体" w:hAnsi="宋体"/>
                <w:color w:val="auto"/>
                <w:sz w:val="24"/>
                <w:highlight w:val="none"/>
              </w:rPr>
            </w:pPr>
          </w:p>
        </w:tc>
        <w:tc>
          <w:tcPr>
            <w:tcW w:w="1660" w:type="dxa"/>
          </w:tcPr>
          <w:p w14:paraId="589982AE">
            <w:pPr>
              <w:spacing w:line="276" w:lineRule="auto"/>
              <w:rPr>
                <w:rFonts w:ascii="宋体" w:hAnsi="宋体"/>
                <w:color w:val="auto"/>
                <w:sz w:val="24"/>
                <w:highlight w:val="none"/>
              </w:rPr>
            </w:pPr>
          </w:p>
        </w:tc>
        <w:tc>
          <w:tcPr>
            <w:tcW w:w="2208" w:type="dxa"/>
          </w:tcPr>
          <w:p w14:paraId="25C6DB2A">
            <w:pPr>
              <w:spacing w:line="276" w:lineRule="auto"/>
              <w:rPr>
                <w:rFonts w:ascii="宋体" w:hAnsi="宋体"/>
                <w:color w:val="auto"/>
                <w:sz w:val="24"/>
                <w:highlight w:val="none"/>
              </w:rPr>
            </w:pPr>
          </w:p>
        </w:tc>
        <w:tc>
          <w:tcPr>
            <w:tcW w:w="1452" w:type="dxa"/>
            <w:vAlign w:val="center"/>
          </w:tcPr>
          <w:p w14:paraId="3581F7F8">
            <w:pPr>
              <w:spacing w:line="276" w:lineRule="auto"/>
              <w:rPr>
                <w:rFonts w:ascii="宋体" w:hAnsi="宋体"/>
                <w:color w:val="auto"/>
                <w:sz w:val="24"/>
                <w:highlight w:val="none"/>
              </w:rPr>
            </w:pPr>
          </w:p>
        </w:tc>
      </w:tr>
      <w:tr w14:paraId="58A58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58AE0C7C">
            <w:pPr>
              <w:spacing w:line="276" w:lineRule="auto"/>
              <w:rPr>
                <w:rFonts w:ascii="宋体" w:hAnsi="宋体"/>
                <w:color w:val="auto"/>
                <w:sz w:val="24"/>
                <w:highlight w:val="none"/>
              </w:rPr>
            </w:pPr>
          </w:p>
        </w:tc>
        <w:tc>
          <w:tcPr>
            <w:tcW w:w="1453" w:type="dxa"/>
            <w:vAlign w:val="center"/>
          </w:tcPr>
          <w:p w14:paraId="6229A052">
            <w:pPr>
              <w:spacing w:line="276" w:lineRule="auto"/>
              <w:rPr>
                <w:rFonts w:ascii="宋体" w:hAnsi="宋体"/>
                <w:color w:val="auto"/>
                <w:sz w:val="24"/>
                <w:highlight w:val="none"/>
              </w:rPr>
            </w:pPr>
          </w:p>
        </w:tc>
        <w:tc>
          <w:tcPr>
            <w:tcW w:w="1207" w:type="dxa"/>
            <w:vAlign w:val="center"/>
          </w:tcPr>
          <w:p w14:paraId="11CBD9C8">
            <w:pPr>
              <w:spacing w:line="276" w:lineRule="auto"/>
              <w:rPr>
                <w:rFonts w:ascii="宋体" w:hAnsi="宋体"/>
                <w:color w:val="auto"/>
                <w:sz w:val="24"/>
                <w:highlight w:val="none"/>
              </w:rPr>
            </w:pPr>
          </w:p>
        </w:tc>
        <w:tc>
          <w:tcPr>
            <w:tcW w:w="1660" w:type="dxa"/>
          </w:tcPr>
          <w:p w14:paraId="19F42CDC">
            <w:pPr>
              <w:spacing w:line="276" w:lineRule="auto"/>
              <w:rPr>
                <w:rFonts w:ascii="宋体" w:hAnsi="宋体"/>
                <w:color w:val="auto"/>
                <w:sz w:val="24"/>
                <w:highlight w:val="none"/>
              </w:rPr>
            </w:pPr>
          </w:p>
        </w:tc>
        <w:tc>
          <w:tcPr>
            <w:tcW w:w="2208" w:type="dxa"/>
          </w:tcPr>
          <w:p w14:paraId="5EFCE3BC">
            <w:pPr>
              <w:spacing w:line="276" w:lineRule="auto"/>
              <w:rPr>
                <w:rFonts w:ascii="宋体" w:hAnsi="宋体"/>
                <w:color w:val="auto"/>
                <w:sz w:val="24"/>
                <w:highlight w:val="none"/>
              </w:rPr>
            </w:pPr>
          </w:p>
        </w:tc>
        <w:tc>
          <w:tcPr>
            <w:tcW w:w="1452" w:type="dxa"/>
            <w:vAlign w:val="center"/>
          </w:tcPr>
          <w:p w14:paraId="5A8D3FD6">
            <w:pPr>
              <w:spacing w:line="276" w:lineRule="auto"/>
              <w:rPr>
                <w:rFonts w:ascii="宋体" w:hAnsi="宋体"/>
                <w:color w:val="auto"/>
                <w:sz w:val="24"/>
                <w:highlight w:val="none"/>
              </w:rPr>
            </w:pPr>
          </w:p>
        </w:tc>
      </w:tr>
      <w:tr w14:paraId="5639D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26BAB614">
            <w:pPr>
              <w:spacing w:line="276" w:lineRule="auto"/>
              <w:rPr>
                <w:rFonts w:ascii="宋体" w:hAnsi="宋体"/>
                <w:color w:val="auto"/>
                <w:sz w:val="24"/>
                <w:highlight w:val="none"/>
              </w:rPr>
            </w:pPr>
          </w:p>
        </w:tc>
        <w:tc>
          <w:tcPr>
            <w:tcW w:w="1453" w:type="dxa"/>
            <w:vAlign w:val="center"/>
          </w:tcPr>
          <w:p w14:paraId="5075774C">
            <w:pPr>
              <w:spacing w:line="276" w:lineRule="auto"/>
              <w:rPr>
                <w:rFonts w:ascii="宋体" w:hAnsi="宋体"/>
                <w:color w:val="auto"/>
                <w:sz w:val="24"/>
                <w:highlight w:val="none"/>
              </w:rPr>
            </w:pPr>
          </w:p>
        </w:tc>
        <w:tc>
          <w:tcPr>
            <w:tcW w:w="1207" w:type="dxa"/>
            <w:vAlign w:val="center"/>
          </w:tcPr>
          <w:p w14:paraId="6AD6550F">
            <w:pPr>
              <w:spacing w:line="276" w:lineRule="auto"/>
              <w:rPr>
                <w:rFonts w:ascii="宋体" w:hAnsi="宋体"/>
                <w:color w:val="auto"/>
                <w:sz w:val="24"/>
                <w:highlight w:val="none"/>
              </w:rPr>
            </w:pPr>
          </w:p>
        </w:tc>
        <w:tc>
          <w:tcPr>
            <w:tcW w:w="1660" w:type="dxa"/>
          </w:tcPr>
          <w:p w14:paraId="4D4C61A6">
            <w:pPr>
              <w:spacing w:line="276" w:lineRule="auto"/>
              <w:rPr>
                <w:rFonts w:ascii="宋体" w:hAnsi="宋体"/>
                <w:color w:val="auto"/>
                <w:sz w:val="24"/>
                <w:highlight w:val="none"/>
              </w:rPr>
            </w:pPr>
          </w:p>
        </w:tc>
        <w:tc>
          <w:tcPr>
            <w:tcW w:w="2208" w:type="dxa"/>
          </w:tcPr>
          <w:p w14:paraId="4BF7249A">
            <w:pPr>
              <w:spacing w:line="276" w:lineRule="auto"/>
              <w:rPr>
                <w:rFonts w:ascii="宋体" w:hAnsi="宋体"/>
                <w:color w:val="auto"/>
                <w:sz w:val="24"/>
                <w:highlight w:val="none"/>
              </w:rPr>
            </w:pPr>
          </w:p>
        </w:tc>
        <w:tc>
          <w:tcPr>
            <w:tcW w:w="1452" w:type="dxa"/>
            <w:vAlign w:val="center"/>
          </w:tcPr>
          <w:p w14:paraId="764EB978">
            <w:pPr>
              <w:spacing w:line="276" w:lineRule="auto"/>
              <w:rPr>
                <w:rFonts w:ascii="宋体" w:hAnsi="宋体"/>
                <w:color w:val="auto"/>
                <w:sz w:val="24"/>
                <w:highlight w:val="none"/>
              </w:rPr>
            </w:pPr>
          </w:p>
        </w:tc>
      </w:tr>
      <w:tr w14:paraId="15116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213C4065">
            <w:pPr>
              <w:spacing w:line="276" w:lineRule="auto"/>
              <w:rPr>
                <w:rFonts w:ascii="宋体" w:hAnsi="宋体"/>
                <w:color w:val="auto"/>
                <w:sz w:val="24"/>
                <w:highlight w:val="none"/>
              </w:rPr>
            </w:pPr>
          </w:p>
        </w:tc>
        <w:tc>
          <w:tcPr>
            <w:tcW w:w="1453" w:type="dxa"/>
            <w:vAlign w:val="center"/>
          </w:tcPr>
          <w:p w14:paraId="4D7768D8">
            <w:pPr>
              <w:spacing w:line="276" w:lineRule="auto"/>
              <w:rPr>
                <w:rFonts w:ascii="宋体" w:hAnsi="宋体"/>
                <w:color w:val="auto"/>
                <w:sz w:val="24"/>
                <w:highlight w:val="none"/>
              </w:rPr>
            </w:pPr>
          </w:p>
        </w:tc>
        <w:tc>
          <w:tcPr>
            <w:tcW w:w="1207" w:type="dxa"/>
            <w:vAlign w:val="center"/>
          </w:tcPr>
          <w:p w14:paraId="1E520685">
            <w:pPr>
              <w:spacing w:line="276" w:lineRule="auto"/>
              <w:rPr>
                <w:rFonts w:ascii="宋体" w:hAnsi="宋体"/>
                <w:color w:val="auto"/>
                <w:sz w:val="24"/>
                <w:highlight w:val="none"/>
              </w:rPr>
            </w:pPr>
          </w:p>
        </w:tc>
        <w:tc>
          <w:tcPr>
            <w:tcW w:w="1660" w:type="dxa"/>
          </w:tcPr>
          <w:p w14:paraId="4752DA76">
            <w:pPr>
              <w:spacing w:line="276" w:lineRule="auto"/>
              <w:rPr>
                <w:rFonts w:ascii="宋体" w:hAnsi="宋体"/>
                <w:color w:val="auto"/>
                <w:sz w:val="24"/>
                <w:highlight w:val="none"/>
              </w:rPr>
            </w:pPr>
          </w:p>
        </w:tc>
        <w:tc>
          <w:tcPr>
            <w:tcW w:w="2208" w:type="dxa"/>
          </w:tcPr>
          <w:p w14:paraId="7AD5F59C">
            <w:pPr>
              <w:spacing w:line="276" w:lineRule="auto"/>
              <w:rPr>
                <w:rFonts w:ascii="宋体" w:hAnsi="宋体"/>
                <w:color w:val="auto"/>
                <w:sz w:val="24"/>
                <w:highlight w:val="none"/>
              </w:rPr>
            </w:pPr>
          </w:p>
        </w:tc>
        <w:tc>
          <w:tcPr>
            <w:tcW w:w="1452" w:type="dxa"/>
            <w:vAlign w:val="center"/>
          </w:tcPr>
          <w:p w14:paraId="317AF0A7">
            <w:pPr>
              <w:spacing w:line="276" w:lineRule="auto"/>
              <w:rPr>
                <w:rFonts w:ascii="宋体" w:hAnsi="宋体"/>
                <w:color w:val="auto"/>
                <w:sz w:val="24"/>
                <w:highlight w:val="none"/>
              </w:rPr>
            </w:pPr>
          </w:p>
        </w:tc>
      </w:tr>
      <w:tr w14:paraId="69624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21839A5E">
            <w:pPr>
              <w:spacing w:line="276" w:lineRule="auto"/>
              <w:rPr>
                <w:rFonts w:ascii="宋体" w:hAnsi="宋体"/>
                <w:color w:val="auto"/>
                <w:sz w:val="24"/>
                <w:highlight w:val="none"/>
              </w:rPr>
            </w:pPr>
          </w:p>
        </w:tc>
        <w:tc>
          <w:tcPr>
            <w:tcW w:w="1453" w:type="dxa"/>
            <w:vAlign w:val="center"/>
          </w:tcPr>
          <w:p w14:paraId="5751C23E">
            <w:pPr>
              <w:spacing w:line="276" w:lineRule="auto"/>
              <w:rPr>
                <w:rFonts w:ascii="宋体" w:hAnsi="宋体"/>
                <w:color w:val="auto"/>
                <w:sz w:val="24"/>
                <w:highlight w:val="none"/>
              </w:rPr>
            </w:pPr>
          </w:p>
        </w:tc>
        <w:tc>
          <w:tcPr>
            <w:tcW w:w="1207" w:type="dxa"/>
            <w:vAlign w:val="center"/>
          </w:tcPr>
          <w:p w14:paraId="1FE96DAB">
            <w:pPr>
              <w:spacing w:line="276" w:lineRule="auto"/>
              <w:rPr>
                <w:rFonts w:ascii="宋体" w:hAnsi="宋体"/>
                <w:color w:val="auto"/>
                <w:sz w:val="24"/>
                <w:highlight w:val="none"/>
              </w:rPr>
            </w:pPr>
          </w:p>
        </w:tc>
        <w:tc>
          <w:tcPr>
            <w:tcW w:w="1660" w:type="dxa"/>
          </w:tcPr>
          <w:p w14:paraId="53D78B64">
            <w:pPr>
              <w:spacing w:line="276" w:lineRule="auto"/>
              <w:rPr>
                <w:rFonts w:ascii="宋体" w:hAnsi="宋体"/>
                <w:color w:val="auto"/>
                <w:sz w:val="24"/>
                <w:highlight w:val="none"/>
              </w:rPr>
            </w:pPr>
          </w:p>
        </w:tc>
        <w:tc>
          <w:tcPr>
            <w:tcW w:w="2208" w:type="dxa"/>
          </w:tcPr>
          <w:p w14:paraId="30DD777C">
            <w:pPr>
              <w:spacing w:line="276" w:lineRule="auto"/>
              <w:rPr>
                <w:rFonts w:ascii="宋体" w:hAnsi="宋体"/>
                <w:color w:val="auto"/>
                <w:sz w:val="24"/>
                <w:highlight w:val="none"/>
              </w:rPr>
            </w:pPr>
          </w:p>
        </w:tc>
        <w:tc>
          <w:tcPr>
            <w:tcW w:w="1452" w:type="dxa"/>
            <w:vAlign w:val="center"/>
          </w:tcPr>
          <w:p w14:paraId="0E8CB2B3">
            <w:pPr>
              <w:spacing w:line="276" w:lineRule="auto"/>
              <w:rPr>
                <w:rFonts w:ascii="宋体" w:hAnsi="宋体"/>
                <w:color w:val="auto"/>
                <w:sz w:val="24"/>
                <w:highlight w:val="none"/>
              </w:rPr>
            </w:pPr>
          </w:p>
        </w:tc>
      </w:tr>
      <w:tr w14:paraId="6693C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037032EE">
            <w:pPr>
              <w:spacing w:line="276" w:lineRule="auto"/>
              <w:rPr>
                <w:rFonts w:ascii="宋体" w:hAnsi="宋体"/>
                <w:color w:val="auto"/>
                <w:sz w:val="24"/>
                <w:highlight w:val="none"/>
              </w:rPr>
            </w:pPr>
          </w:p>
        </w:tc>
        <w:tc>
          <w:tcPr>
            <w:tcW w:w="1453" w:type="dxa"/>
            <w:vAlign w:val="center"/>
          </w:tcPr>
          <w:p w14:paraId="48D21D15">
            <w:pPr>
              <w:spacing w:line="276" w:lineRule="auto"/>
              <w:rPr>
                <w:rFonts w:ascii="宋体" w:hAnsi="宋体"/>
                <w:color w:val="auto"/>
                <w:sz w:val="24"/>
                <w:highlight w:val="none"/>
              </w:rPr>
            </w:pPr>
          </w:p>
        </w:tc>
        <w:tc>
          <w:tcPr>
            <w:tcW w:w="1207" w:type="dxa"/>
            <w:vAlign w:val="center"/>
          </w:tcPr>
          <w:p w14:paraId="25741300">
            <w:pPr>
              <w:spacing w:line="276" w:lineRule="auto"/>
              <w:rPr>
                <w:rFonts w:ascii="宋体" w:hAnsi="宋体"/>
                <w:color w:val="auto"/>
                <w:sz w:val="24"/>
                <w:highlight w:val="none"/>
              </w:rPr>
            </w:pPr>
          </w:p>
        </w:tc>
        <w:tc>
          <w:tcPr>
            <w:tcW w:w="1660" w:type="dxa"/>
          </w:tcPr>
          <w:p w14:paraId="4C0F5FF5">
            <w:pPr>
              <w:spacing w:line="276" w:lineRule="auto"/>
              <w:rPr>
                <w:rFonts w:ascii="宋体" w:hAnsi="宋体"/>
                <w:color w:val="auto"/>
                <w:sz w:val="24"/>
                <w:highlight w:val="none"/>
              </w:rPr>
            </w:pPr>
          </w:p>
        </w:tc>
        <w:tc>
          <w:tcPr>
            <w:tcW w:w="2208" w:type="dxa"/>
          </w:tcPr>
          <w:p w14:paraId="5E749828">
            <w:pPr>
              <w:spacing w:line="276" w:lineRule="auto"/>
              <w:rPr>
                <w:rFonts w:ascii="宋体" w:hAnsi="宋体"/>
                <w:color w:val="auto"/>
                <w:sz w:val="24"/>
                <w:highlight w:val="none"/>
              </w:rPr>
            </w:pPr>
          </w:p>
        </w:tc>
        <w:tc>
          <w:tcPr>
            <w:tcW w:w="1452" w:type="dxa"/>
            <w:vAlign w:val="center"/>
          </w:tcPr>
          <w:p w14:paraId="70C3043D">
            <w:pPr>
              <w:spacing w:line="276" w:lineRule="auto"/>
              <w:rPr>
                <w:rFonts w:ascii="宋体" w:hAnsi="宋体"/>
                <w:color w:val="auto"/>
                <w:sz w:val="24"/>
                <w:highlight w:val="none"/>
              </w:rPr>
            </w:pPr>
          </w:p>
        </w:tc>
      </w:tr>
      <w:tr w14:paraId="5A429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5AA92ADF">
            <w:pPr>
              <w:spacing w:line="276" w:lineRule="auto"/>
              <w:rPr>
                <w:rFonts w:ascii="宋体" w:hAnsi="宋体"/>
                <w:color w:val="auto"/>
                <w:sz w:val="24"/>
                <w:highlight w:val="none"/>
              </w:rPr>
            </w:pPr>
          </w:p>
        </w:tc>
        <w:tc>
          <w:tcPr>
            <w:tcW w:w="1453" w:type="dxa"/>
            <w:vAlign w:val="center"/>
          </w:tcPr>
          <w:p w14:paraId="184EB772">
            <w:pPr>
              <w:spacing w:line="276" w:lineRule="auto"/>
              <w:rPr>
                <w:rFonts w:ascii="宋体" w:hAnsi="宋体"/>
                <w:color w:val="auto"/>
                <w:sz w:val="24"/>
                <w:highlight w:val="none"/>
              </w:rPr>
            </w:pPr>
          </w:p>
        </w:tc>
        <w:tc>
          <w:tcPr>
            <w:tcW w:w="1207" w:type="dxa"/>
            <w:vAlign w:val="center"/>
          </w:tcPr>
          <w:p w14:paraId="0BB9501E">
            <w:pPr>
              <w:spacing w:line="276" w:lineRule="auto"/>
              <w:rPr>
                <w:rFonts w:ascii="宋体" w:hAnsi="宋体"/>
                <w:color w:val="auto"/>
                <w:sz w:val="24"/>
                <w:highlight w:val="none"/>
              </w:rPr>
            </w:pPr>
          </w:p>
        </w:tc>
        <w:tc>
          <w:tcPr>
            <w:tcW w:w="1660" w:type="dxa"/>
          </w:tcPr>
          <w:p w14:paraId="02B39629">
            <w:pPr>
              <w:spacing w:line="276" w:lineRule="auto"/>
              <w:rPr>
                <w:rFonts w:ascii="宋体" w:hAnsi="宋体"/>
                <w:color w:val="auto"/>
                <w:sz w:val="24"/>
                <w:highlight w:val="none"/>
              </w:rPr>
            </w:pPr>
          </w:p>
        </w:tc>
        <w:tc>
          <w:tcPr>
            <w:tcW w:w="2208" w:type="dxa"/>
          </w:tcPr>
          <w:p w14:paraId="693931F1">
            <w:pPr>
              <w:spacing w:line="276" w:lineRule="auto"/>
              <w:rPr>
                <w:rFonts w:ascii="宋体" w:hAnsi="宋体"/>
                <w:color w:val="auto"/>
                <w:sz w:val="24"/>
                <w:highlight w:val="none"/>
              </w:rPr>
            </w:pPr>
          </w:p>
        </w:tc>
        <w:tc>
          <w:tcPr>
            <w:tcW w:w="1452" w:type="dxa"/>
            <w:vAlign w:val="center"/>
          </w:tcPr>
          <w:p w14:paraId="50EFFCA4">
            <w:pPr>
              <w:spacing w:line="276" w:lineRule="auto"/>
              <w:rPr>
                <w:rFonts w:ascii="宋体" w:hAnsi="宋体"/>
                <w:color w:val="auto"/>
                <w:sz w:val="24"/>
                <w:highlight w:val="none"/>
              </w:rPr>
            </w:pPr>
          </w:p>
        </w:tc>
      </w:tr>
    </w:tbl>
    <w:p w14:paraId="7C86D23B">
      <w:pPr>
        <w:pStyle w:val="322"/>
        <w:spacing w:before="120" w:after="120" w:line="276" w:lineRule="auto"/>
        <w:rPr>
          <w:rFonts w:ascii="仿宋_GB2312" w:hAnsi="宋体"/>
          <w:color w:val="auto"/>
          <w:highlight w:val="none"/>
        </w:rPr>
      </w:pPr>
    </w:p>
    <w:p w14:paraId="6C43DA89">
      <w:pPr>
        <w:pStyle w:val="322"/>
        <w:spacing w:before="120" w:after="120" w:line="276" w:lineRule="auto"/>
        <w:ind w:left="430" w:leftChars="205" w:firstLine="4320" w:firstLineChars="1800"/>
        <w:rPr>
          <w:rFonts w:hint="eastAsia" w:ascii="仿宋_GB2312" w:hAnsi="宋体"/>
          <w:color w:val="auto"/>
          <w:highlight w:val="none"/>
        </w:rPr>
      </w:pPr>
      <w:r>
        <w:rPr>
          <w:rFonts w:hint="eastAsia" w:ascii="仿宋_GB2312" w:hAnsi="宋体"/>
          <w:color w:val="auto"/>
          <w:highlight w:val="none"/>
        </w:rPr>
        <w:t xml:space="preserve">  </w:t>
      </w:r>
    </w:p>
    <w:p w14:paraId="481F73AD">
      <w:pPr>
        <w:pStyle w:val="322"/>
        <w:spacing w:before="120" w:after="120" w:line="276" w:lineRule="auto"/>
        <w:rPr>
          <w:rFonts w:ascii="仿宋_GB2312" w:hAnsi="宋体"/>
          <w:color w:val="auto"/>
          <w:highlight w:val="none"/>
        </w:rPr>
      </w:pPr>
      <w:r>
        <w:rPr>
          <w:rFonts w:hint="eastAsia" w:ascii="仿宋_GB2312" w:hAnsi="宋体"/>
          <w:color w:val="auto"/>
          <w:highlight w:val="none"/>
        </w:rPr>
        <w:t>注：</w:t>
      </w:r>
      <w:r>
        <w:rPr>
          <w:rFonts w:hint="eastAsia" w:ascii="宋体" w:hAnsi="宋体" w:cs="宋体"/>
          <w:color w:val="auto"/>
          <w:highlight w:val="none"/>
        </w:rPr>
        <w:t>提供合同扫描件、网上中标公示页截图及网址连接并加盖公章。</w:t>
      </w:r>
    </w:p>
    <w:p w14:paraId="341E62C5">
      <w:pPr>
        <w:pStyle w:val="322"/>
        <w:spacing w:before="120" w:after="120" w:line="276" w:lineRule="auto"/>
        <w:ind w:left="430" w:leftChars="205" w:firstLine="4320" w:firstLineChars="1800"/>
        <w:rPr>
          <w:rFonts w:hint="eastAsia" w:ascii="仿宋_GB2312" w:hAnsi="宋体"/>
          <w:color w:val="auto"/>
          <w:highlight w:val="none"/>
        </w:rPr>
      </w:pPr>
    </w:p>
    <w:p w14:paraId="04CD6516">
      <w:pPr>
        <w:pStyle w:val="534"/>
        <w:snapToGrid w:val="0"/>
        <w:spacing w:before="120" w:line="360" w:lineRule="auto"/>
        <w:rPr>
          <w:rFonts w:hint="eastAsia" w:ascii="宋体" w:hAnsi="宋体" w:cs="宋体"/>
          <w:color w:val="auto"/>
          <w:szCs w:val="24"/>
          <w:highlight w:val="none"/>
        </w:rPr>
      </w:pPr>
      <w:r>
        <w:rPr>
          <w:rFonts w:hint="eastAsia" w:ascii="宋体" w:hAnsi="宋体" w:cs="宋体"/>
          <w:color w:val="auto"/>
          <w:szCs w:val="24"/>
          <w:highlight w:val="none"/>
        </w:rPr>
        <w:t>投标人全称（电子签章）：</w:t>
      </w:r>
      <w:r>
        <w:rPr>
          <w:rFonts w:hint="eastAsia" w:ascii="宋体" w:hAnsi="宋体" w:cs="宋体"/>
          <w:color w:val="auto"/>
          <w:szCs w:val="24"/>
          <w:highlight w:val="none"/>
          <w:u w:val="single"/>
        </w:rPr>
        <w:t xml:space="preserve">                         </w:t>
      </w:r>
    </w:p>
    <w:p w14:paraId="422972EA">
      <w:pPr>
        <w:snapToGrid w:val="0"/>
        <w:spacing w:before="120" w:line="360" w:lineRule="auto"/>
        <w:ind w:right="600"/>
        <w:rPr>
          <w:rFonts w:hint="eastAsia" w:ascii="宋体" w:hAnsi="宋体" w:cs="宋体"/>
          <w:color w:val="auto"/>
          <w:sz w:val="24"/>
          <w:highlight w:val="none"/>
        </w:rPr>
      </w:pPr>
      <w:r>
        <w:rPr>
          <w:rFonts w:hint="eastAsia" w:ascii="宋体" w:hAnsi="宋体" w:cs="宋体"/>
          <w:color w:val="auto"/>
          <w:sz w:val="24"/>
          <w:highlight w:val="none"/>
        </w:rPr>
        <w:t>法定代表人或授权代表（签名或签章）：</w:t>
      </w:r>
      <w:r>
        <w:rPr>
          <w:rFonts w:hint="eastAsia" w:ascii="宋体" w:hAnsi="宋体" w:cs="宋体"/>
          <w:color w:val="auto"/>
          <w:sz w:val="24"/>
          <w:highlight w:val="none"/>
          <w:u w:val="single"/>
        </w:rPr>
        <w:t xml:space="preserve">             </w:t>
      </w:r>
    </w:p>
    <w:p w14:paraId="5340DAF0">
      <w:pPr>
        <w:snapToGrid w:val="0"/>
        <w:spacing w:before="120" w:line="360" w:lineRule="auto"/>
        <w:rPr>
          <w:rFonts w:hint="eastAsia" w:ascii="宋体" w:hAnsi="宋体" w:cs="宋体"/>
          <w:color w:val="auto"/>
          <w:sz w:val="24"/>
          <w:highlight w:val="none"/>
          <w:u w:val="singl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年    月    日</w:t>
      </w:r>
    </w:p>
    <w:p w14:paraId="6A56DEAD">
      <w:pPr>
        <w:rPr>
          <w:rFonts w:hint="eastAsia" w:ascii="宋体" w:hAnsi="宋体" w:cs="宋体"/>
          <w:color w:val="auto"/>
          <w:sz w:val="24"/>
          <w:highlight w:val="none"/>
        </w:rPr>
      </w:pPr>
    </w:p>
    <w:p w14:paraId="27893247">
      <w:pPr>
        <w:rPr>
          <w:rFonts w:hint="eastAsia" w:ascii="宋体" w:hAnsi="宋体" w:cs="宋体"/>
          <w:color w:val="auto"/>
          <w:sz w:val="24"/>
          <w:highlight w:val="none"/>
        </w:rPr>
      </w:pPr>
    </w:p>
    <w:p w14:paraId="25BA5180">
      <w:pPr>
        <w:rPr>
          <w:rFonts w:hint="eastAsia" w:ascii="宋体" w:hAnsi="宋体" w:cs="宋体"/>
          <w:color w:val="auto"/>
          <w:sz w:val="24"/>
          <w:highlight w:val="none"/>
        </w:rPr>
      </w:pPr>
    </w:p>
    <w:p w14:paraId="47E64A4E">
      <w:pPr>
        <w:rPr>
          <w:rFonts w:hint="eastAsia" w:ascii="宋体" w:hAnsi="宋体" w:cs="宋体"/>
          <w:color w:val="auto"/>
          <w:sz w:val="24"/>
          <w:highlight w:val="none"/>
        </w:rPr>
      </w:pPr>
    </w:p>
    <w:p w14:paraId="2F9BB6B9">
      <w:pPr>
        <w:rPr>
          <w:rFonts w:hint="eastAsia" w:ascii="宋体" w:hAnsi="宋体" w:cs="宋体"/>
          <w:color w:val="auto"/>
          <w:sz w:val="24"/>
          <w:highlight w:val="none"/>
        </w:rPr>
      </w:pPr>
    </w:p>
    <w:p w14:paraId="0F8BE893">
      <w:pPr>
        <w:rPr>
          <w:rFonts w:ascii="宋体" w:hAnsi="宋体" w:cs="宋体"/>
          <w:color w:val="auto"/>
          <w:sz w:val="28"/>
          <w:szCs w:val="28"/>
          <w:highlight w:val="none"/>
        </w:rPr>
      </w:pPr>
      <w:r>
        <w:rPr>
          <w:rFonts w:hint="eastAsia" w:ascii="宋体" w:hAnsi="宋体" w:cs="宋体"/>
          <w:color w:val="auto"/>
          <w:sz w:val="28"/>
          <w:szCs w:val="28"/>
          <w:highlight w:val="none"/>
        </w:rPr>
        <w:t>附件18</w:t>
      </w:r>
    </w:p>
    <w:p w14:paraId="20C28647">
      <w:pPr>
        <w:tabs>
          <w:tab w:val="left" w:pos="780"/>
        </w:tabs>
        <w:spacing w:line="400" w:lineRule="exact"/>
        <w:ind w:left="180"/>
        <w:jc w:val="center"/>
        <w:rPr>
          <w:rFonts w:hint="eastAsia" w:ascii="新宋体" w:hAnsi="新宋体" w:eastAsia="新宋体" w:cs="新宋体"/>
          <w:b/>
          <w:bCs/>
          <w:color w:val="auto"/>
          <w:sz w:val="28"/>
          <w:szCs w:val="28"/>
          <w:highlight w:val="none"/>
        </w:rPr>
      </w:pPr>
      <w:r>
        <w:rPr>
          <w:rFonts w:hint="eastAsia" w:ascii="新宋体" w:hAnsi="新宋体" w:eastAsia="新宋体" w:cs="新宋体"/>
          <w:b/>
          <w:bCs/>
          <w:color w:val="auto"/>
          <w:sz w:val="28"/>
          <w:szCs w:val="28"/>
          <w:highlight w:val="none"/>
        </w:rPr>
        <w:t>项目经理情况表</w:t>
      </w:r>
    </w:p>
    <w:tbl>
      <w:tblPr>
        <w:tblStyle w:val="54"/>
        <w:tblW w:w="0" w:type="auto"/>
        <w:jc w:val="center"/>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Layout w:type="fixed"/>
        <w:tblCellMar>
          <w:top w:w="0" w:type="dxa"/>
          <w:left w:w="108" w:type="dxa"/>
          <w:bottom w:w="0" w:type="dxa"/>
          <w:right w:w="108" w:type="dxa"/>
        </w:tblCellMar>
      </w:tblPr>
      <w:tblGrid>
        <w:gridCol w:w="1018"/>
        <w:gridCol w:w="439"/>
        <w:gridCol w:w="1799"/>
        <w:gridCol w:w="1189"/>
        <w:gridCol w:w="378"/>
        <w:gridCol w:w="1062"/>
        <w:gridCol w:w="2074"/>
        <w:gridCol w:w="1568"/>
      </w:tblGrid>
      <w:tr w14:paraId="66AA35D9">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56" w:hRule="atLeast"/>
          <w:jc w:val="center"/>
        </w:trPr>
        <w:tc>
          <w:tcPr>
            <w:tcW w:w="9527" w:type="dxa"/>
            <w:gridSpan w:val="8"/>
            <w:tcBorders>
              <w:bottom w:val="single" w:color="auto" w:sz="4" w:space="0"/>
            </w:tcBorders>
            <w:vAlign w:val="center"/>
          </w:tcPr>
          <w:p w14:paraId="023C122D">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1、一般情况</w:t>
            </w:r>
          </w:p>
        </w:tc>
      </w:tr>
      <w:tr w14:paraId="158A9B68">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418AEE93">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姓   名</w:t>
            </w:r>
          </w:p>
        </w:tc>
        <w:tc>
          <w:tcPr>
            <w:tcW w:w="1799" w:type="dxa"/>
            <w:tcBorders>
              <w:top w:val="single" w:color="auto" w:sz="4" w:space="0"/>
              <w:bottom w:val="single" w:color="auto" w:sz="4" w:space="0"/>
            </w:tcBorders>
            <w:vAlign w:val="center"/>
          </w:tcPr>
          <w:p w14:paraId="3B92BEF3">
            <w:pPr>
              <w:spacing w:line="360" w:lineRule="exact"/>
              <w:jc w:val="center"/>
              <w:rPr>
                <w:rFonts w:hint="eastAsia" w:ascii="新宋体" w:hAnsi="新宋体" w:eastAsia="新宋体" w:cs="新宋体"/>
                <w:color w:val="auto"/>
                <w:sz w:val="22"/>
                <w:szCs w:val="22"/>
                <w:highlight w:val="none"/>
              </w:rPr>
            </w:pPr>
          </w:p>
        </w:tc>
        <w:tc>
          <w:tcPr>
            <w:tcW w:w="1567" w:type="dxa"/>
            <w:gridSpan w:val="2"/>
            <w:tcBorders>
              <w:top w:val="single" w:color="auto" w:sz="4" w:space="0"/>
              <w:bottom w:val="single" w:color="auto" w:sz="4" w:space="0"/>
            </w:tcBorders>
            <w:vAlign w:val="center"/>
          </w:tcPr>
          <w:p w14:paraId="112C5B86">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年  龄</w:t>
            </w:r>
          </w:p>
        </w:tc>
        <w:tc>
          <w:tcPr>
            <w:tcW w:w="1062" w:type="dxa"/>
            <w:tcBorders>
              <w:top w:val="single" w:color="auto" w:sz="4" w:space="0"/>
              <w:bottom w:val="single" w:color="auto" w:sz="4" w:space="0"/>
            </w:tcBorders>
            <w:vAlign w:val="center"/>
          </w:tcPr>
          <w:p w14:paraId="639862BC">
            <w:pPr>
              <w:spacing w:line="360" w:lineRule="exact"/>
              <w:jc w:val="center"/>
              <w:rPr>
                <w:rFonts w:hint="eastAsia" w:ascii="新宋体" w:hAnsi="新宋体" w:eastAsia="新宋体" w:cs="新宋体"/>
                <w:color w:val="auto"/>
                <w:sz w:val="22"/>
                <w:szCs w:val="22"/>
                <w:highlight w:val="none"/>
              </w:rPr>
            </w:pPr>
          </w:p>
        </w:tc>
        <w:tc>
          <w:tcPr>
            <w:tcW w:w="2074" w:type="dxa"/>
            <w:tcBorders>
              <w:top w:val="single" w:color="auto" w:sz="4" w:space="0"/>
              <w:bottom w:val="single" w:color="auto" w:sz="4" w:space="0"/>
            </w:tcBorders>
            <w:vAlign w:val="center"/>
          </w:tcPr>
          <w:p w14:paraId="3717FC3C">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学  历</w:t>
            </w:r>
          </w:p>
        </w:tc>
        <w:tc>
          <w:tcPr>
            <w:tcW w:w="1568" w:type="dxa"/>
            <w:tcBorders>
              <w:top w:val="single" w:color="auto" w:sz="4" w:space="0"/>
              <w:bottom w:val="single" w:color="auto" w:sz="4" w:space="0"/>
            </w:tcBorders>
            <w:vAlign w:val="center"/>
          </w:tcPr>
          <w:p w14:paraId="03A5C38C">
            <w:pPr>
              <w:spacing w:line="360" w:lineRule="exact"/>
              <w:jc w:val="center"/>
              <w:rPr>
                <w:rFonts w:hint="eastAsia" w:ascii="新宋体" w:hAnsi="新宋体" w:eastAsia="新宋体" w:cs="新宋体"/>
                <w:color w:val="auto"/>
                <w:sz w:val="22"/>
                <w:szCs w:val="22"/>
                <w:highlight w:val="none"/>
              </w:rPr>
            </w:pPr>
          </w:p>
        </w:tc>
      </w:tr>
      <w:tr w14:paraId="3CDB1C5C">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611C1D53">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毕业学校</w:t>
            </w:r>
          </w:p>
        </w:tc>
        <w:tc>
          <w:tcPr>
            <w:tcW w:w="1799" w:type="dxa"/>
            <w:tcBorders>
              <w:top w:val="single" w:color="auto" w:sz="4" w:space="0"/>
              <w:bottom w:val="single" w:color="auto" w:sz="4" w:space="0"/>
            </w:tcBorders>
            <w:vAlign w:val="center"/>
          </w:tcPr>
          <w:p w14:paraId="0FF3F5E1">
            <w:pPr>
              <w:spacing w:line="360" w:lineRule="exact"/>
              <w:rPr>
                <w:rFonts w:hint="eastAsia" w:ascii="新宋体" w:hAnsi="新宋体" w:eastAsia="新宋体" w:cs="新宋体"/>
                <w:color w:val="auto"/>
                <w:sz w:val="22"/>
                <w:szCs w:val="22"/>
                <w:highlight w:val="none"/>
              </w:rPr>
            </w:pPr>
          </w:p>
        </w:tc>
        <w:tc>
          <w:tcPr>
            <w:tcW w:w="1567" w:type="dxa"/>
            <w:gridSpan w:val="2"/>
            <w:tcBorders>
              <w:top w:val="single" w:color="auto" w:sz="4" w:space="0"/>
              <w:bottom w:val="single" w:color="auto" w:sz="4" w:space="0"/>
            </w:tcBorders>
            <w:vAlign w:val="center"/>
          </w:tcPr>
          <w:p w14:paraId="20BFE080">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专  业</w:t>
            </w:r>
          </w:p>
        </w:tc>
        <w:tc>
          <w:tcPr>
            <w:tcW w:w="1062" w:type="dxa"/>
            <w:tcBorders>
              <w:top w:val="single" w:color="auto" w:sz="4" w:space="0"/>
              <w:bottom w:val="single" w:color="auto" w:sz="4" w:space="0"/>
            </w:tcBorders>
            <w:vAlign w:val="center"/>
          </w:tcPr>
          <w:p w14:paraId="13B3D269">
            <w:pPr>
              <w:spacing w:line="360" w:lineRule="exact"/>
              <w:jc w:val="center"/>
              <w:rPr>
                <w:rFonts w:hint="eastAsia" w:ascii="新宋体" w:hAnsi="新宋体" w:eastAsia="新宋体" w:cs="新宋体"/>
                <w:color w:val="auto"/>
                <w:sz w:val="22"/>
                <w:szCs w:val="22"/>
                <w:highlight w:val="none"/>
              </w:rPr>
            </w:pPr>
          </w:p>
        </w:tc>
        <w:tc>
          <w:tcPr>
            <w:tcW w:w="2074" w:type="dxa"/>
            <w:tcBorders>
              <w:top w:val="single" w:color="auto" w:sz="4" w:space="0"/>
              <w:bottom w:val="single" w:color="auto" w:sz="4" w:space="0"/>
            </w:tcBorders>
            <w:vAlign w:val="center"/>
          </w:tcPr>
          <w:p w14:paraId="1488FA25">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职  务</w:t>
            </w:r>
          </w:p>
        </w:tc>
        <w:tc>
          <w:tcPr>
            <w:tcW w:w="1568" w:type="dxa"/>
            <w:tcBorders>
              <w:top w:val="single" w:color="auto" w:sz="4" w:space="0"/>
              <w:bottom w:val="single" w:color="auto" w:sz="4" w:space="0"/>
            </w:tcBorders>
            <w:vAlign w:val="center"/>
          </w:tcPr>
          <w:p w14:paraId="5AFE3DF6">
            <w:pPr>
              <w:spacing w:line="360" w:lineRule="exact"/>
              <w:jc w:val="center"/>
              <w:rPr>
                <w:rFonts w:hint="eastAsia" w:ascii="新宋体" w:hAnsi="新宋体" w:eastAsia="新宋体" w:cs="新宋体"/>
                <w:color w:val="auto"/>
                <w:sz w:val="22"/>
                <w:szCs w:val="22"/>
                <w:highlight w:val="none"/>
              </w:rPr>
            </w:pPr>
          </w:p>
        </w:tc>
      </w:tr>
      <w:tr w14:paraId="712E1560">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963" w:hRule="exact"/>
          <w:jc w:val="center"/>
        </w:trPr>
        <w:tc>
          <w:tcPr>
            <w:tcW w:w="1457" w:type="dxa"/>
            <w:gridSpan w:val="2"/>
            <w:tcBorders>
              <w:top w:val="single" w:color="auto" w:sz="4" w:space="0"/>
              <w:bottom w:val="single" w:color="auto" w:sz="4" w:space="0"/>
            </w:tcBorders>
            <w:vAlign w:val="center"/>
          </w:tcPr>
          <w:p w14:paraId="5AA0A619">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职  称</w:t>
            </w:r>
          </w:p>
        </w:tc>
        <w:tc>
          <w:tcPr>
            <w:tcW w:w="1799" w:type="dxa"/>
            <w:tcBorders>
              <w:top w:val="single" w:color="auto" w:sz="4" w:space="0"/>
              <w:bottom w:val="single" w:color="auto" w:sz="4" w:space="0"/>
            </w:tcBorders>
            <w:vAlign w:val="center"/>
          </w:tcPr>
          <w:p w14:paraId="0A97A08A">
            <w:pPr>
              <w:spacing w:line="360" w:lineRule="exact"/>
              <w:rPr>
                <w:rFonts w:hint="eastAsia" w:ascii="新宋体" w:hAnsi="新宋体" w:eastAsia="新宋体" w:cs="新宋体"/>
                <w:color w:val="auto"/>
                <w:sz w:val="22"/>
                <w:szCs w:val="22"/>
                <w:highlight w:val="none"/>
              </w:rPr>
            </w:pPr>
          </w:p>
        </w:tc>
        <w:tc>
          <w:tcPr>
            <w:tcW w:w="1567" w:type="dxa"/>
            <w:gridSpan w:val="2"/>
            <w:tcBorders>
              <w:top w:val="single" w:color="auto" w:sz="4" w:space="0"/>
              <w:bottom w:val="single" w:color="auto" w:sz="4" w:space="0"/>
            </w:tcBorders>
            <w:vAlign w:val="center"/>
          </w:tcPr>
          <w:p w14:paraId="5134FFC9">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拟任何职</w:t>
            </w:r>
          </w:p>
        </w:tc>
        <w:tc>
          <w:tcPr>
            <w:tcW w:w="1062" w:type="dxa"/>
            <w:tcBorders>
              <w:top w:val="single" w:color="auto" w:sz="4" w:space="0"/>
              <w:bottom w:val="single" w:color="auto" w:sz="4" w:space="0"/>
            </w:tcBorders>
            <w:vAlign w:val="center"/>
          </w:tcPr>
          <w:p w14:paraId="4F80CF91">
            <w:pPr>
              <w:spacing w:line="360" w:lineRule="exact"/>
              <w:jc w:val="center"/>
              <w:rPr>
                <w:rFonts w:hint="eastAsia" w:ascii="新宋体" w:hAnsi="新宋体" w:eastAsia="新宋体" w:cs="新宋体"/>
                <w:color w:val="auto"/>
                <w:sz w:val="22"/>
                <w:szCs w:val="22"/>
                <w:highlight w:val="none"/>
              </w:rPr>
            </w:pPr>
          </w:p>
        </w:tc>
        <w:tc>
          <w:tcPr>
            <w:tcW w:w="2074" w:type="dxa"/>
            <w:tcBorders>
              <w:top w:val="single" w:color="auto" w:sz="4" w:space="0"/>
              <w:bottom w:val="single" w:color="auto" w:sz="4" w:space="0"/>
            </w:tcBorders>
            <w:vAlign w:val="center"/>
          </w:tcPr>
          <w:p w14:paraId="3F4F9C38">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参加工作</w:t>
            </w:r>
          </w:p>
          <w:p w14:paraId="1671B858">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时间</w:t>
            </w:r>
          </w:p>
        </w:tc>
        <w:tc>
          <w:tcPr>
            <w:tcW w:w="1568" w:type="dxa"/>
            <w:tcBorders>
              <w:top w:val="single" w:color="auto" w:sz="4" w:space="0"/>
              <w:bottom w:val="single" w:color="auto" w:sz="4" w:space="0"/>
            </w:tcBorders>
            <w:vAlign w:val="center"/>
          </w:tcPr>
          <w:p w14:paraId="6A75D5C3">
            <w:pPr>
              <w:spacing w:line="360" w:lineRule="exact"/>
              <w:jc w:val="center"/>
              <w:rPr>
                <w:rFonts w:hint="eastAsia" w:ascii="新宋体" w:hAnsi="新宋体" w:eastAsia="新宋体" w:cs="新宋体"/>
                <w:color w:val="auto"/>
                <w:sz w:val="22"/>
                <w:szCs w:val="22"/>
                <w:highlight w:val="none"/>
              </w:rPr>
            </w:pPr>
          </w:p>
        </w:tc>
      </w:tr>
      <w:tr w14:paraId="301911AE">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9527" w:type="dxa"/>
            <w:gridSpan w:val="8"/>
            <w:tcBorders>
              <w:top w:val="single" w:color="auto" w:sz="4" w:space="0"/>
              <w:bottom w:val="single" w:color="auto" w:sz="4" w:space="0"/>
            </w:tcBorders>
            <w:vAlign w:val="center"/>
          </w:tcPr>
          <w:p w14:paraId="2A72C8D9">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2、个人简历</w:t>
            </w:r>
          </w:p>
        </w:tc>
      </w:tr>
      <w:tr w14:paraId="4720B0AA">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5782A045">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时  间</w:t>
            </w:r>
          </w:p>
        </w:tc>
        <w:tc>
          <w:tcPr>
            <w:tcW w:w="8070" w:type="dxa"/>
            <w:gridSpan w:val="6"/>
            <w:tcBorders>
              <w:top w:val="single" w:color="auto" w:sz="4" w:space="0"/>
              <w:bottom w:val="single" w:color="auto" w:sz="4" w:space="0"/>
            </w:tcBorders>
            <w:vAlign w:val="center"/>
          </w:tcPr>
          <w:p w14:paraId="5F2B9F45">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专业工作经历</w:t>
            </w:r>
          </w:p>
        </w:tc>
      </w:tr>
      <w:tr w14:paraId="15D23D34">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70A38098">
            <w:pPr>
              <w:spacing w:line="360" w:lineRule="exact"/>
              <w:rPr>
                <w:rFonts w:hint="eastAsia" w:ascii="新宋体" w:hAnsi="新宋体" w:eastAsia="新宋体" w:cs="新宋体"/>
                <w:color w:val="auto"/>
                <w:sz w:val="22"/>
                <w:szCs w:val="22"/>
                <w:highlight w:val="none"/>
              </w:rPr>
            </w:pPr>
          </w:p>
        </w:tc>
        <w:tc>
          <w:tcPr>
            <w:tcW w:w="8070" w:type="dxa"/>
            <w:gridSpan w:val="6"/>
            <w:tcBorders>
              <w:top w:val="single" w:color="auto" w:sz="4" w:space="0"/>
              <w:bottom w:val="single" w:color="auto" w:sz="4" w:space="0"/>
            </w:tcBorders>
            <w:vAlign w:val="center"/>
          </w:tcPr>
          <w:p w14:paraId="2B3D648D">
            <w:pPr>
              <w:spacing w:line="360" w:lineRule="exact"/>
              <w:rPr>
                <w:rFonts w:hint="eastAsia" w:ascii="新宋体" w:hAnsi="新宋体" w:eastAsia="新宋体" w:cs="新宋体"/>
                <w:color w:val="auto"/>
                <w:sz w:val="22"/>
                <w:szCs w:val="22"/>
                <w:highlight w:val="none"/>
              </w:rPr>
            </w:pPr>
          </w:p>
        </w:tc>
      </w:tr>
      <w:tr w14:paraId="76C2F58A">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02807CA1">
            <w:pPr>
              <w:spacing w:line="360" w:lineRule="exact"/>
              <w:rPr>
                <w:rFonts w:hint="eastAsia" w:ascii="新宋体" w:hAnsi="新宋体" w:eastAsia="新宋体" w:cs="新宋体"/>
                <w:color w:val="auto"/>
                <w:sz w:val="22"/>
                <w:szCs w:val="22"/>
                <w:highlight w:val="none"/>
              </w:rPr>
            </w:pPr>
          </w:p>
        </w:tc>
        <w:tc>
          <w:tcPr>
            <w:tcW w:w="8070" w:type="dxa"/>
            <w:gridSpan w:val="6"/>
            <w:tcBorders>
              <w:top w:val="single" w:color="auto" w:sz="4" w:space="0"/>
              <w:bottom w:val="single" w:color="auto" w:sz="4" w:space="0"/>
            </w:tcBorders>
            <w:vAlign w:val="center"/>
          </w:tcPr>
          <w:p w14:paraId="025CF549">
            <w:pPr>
              <w:spacing w:line="360" w:lineRule="exact"/>
              <w:rPr>
                <w:rFonts w:hint="eastAsia" w:ascii="新宋体" w:hAnsi="新宋体" w:eastAsia="新宋体" w:cs="新宋体"/>
                <w:color w:val="auto"/>
                <w:sz w:val="22"/>
                <w:szCs w:val="22"/>
                <w:highlight w:val="none"/>
              </w:rPr>
            </w:pPr>
          </w:p>
        </w:tc>
      </w:tr>
      <w:tr w14:paraId="2FD12A90">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9527" w:type="dxa"/>
            <w:gridSpan w:val="8"/>
            <w:tcBorders>
              <w:top w:val="single" w:color="auto" w:sz="4" w:space="0"/>
              <w:bottom w:val="single" w:color="auto" w:sz="4" w:space="0"/>
            </w:tcBorders>
            <w:vAlign w:val="center"/>
          </w:tcPr>
          <w:p w14:paraId="7BEC793E">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3、项目经理业绩</w:t>
            </w:r>
          </w:p>
        </w:tc>
      </w:tr>
      <w:tr w14:paraId="79B26AA4">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14:paraId="6A37119A">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3427" w:type="dxa"/>
            <w:gridSpan w:val="3"/>
            <w:tcBorders>
              <w:top w:val="single" w:color="auto" w:sz="4" w:space="0"/>
              <w:bottom w:val="single" w:color="auto" w:sz="4" w:space="0"/>
            </w:tcBorders>
            <w:vAlign w:val="center"/>
          </w:tcPr>
          <w:p w14:paraId="04A8F0CB">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  目  名  称</w:t>
            </w:r>
          </w:p>
        </w:tc>
        <w:tc>
          <w:tcPr>
            <w:tcW w:w="1440" w:type="dxa"/>
            <w:gridSpan w:val="2"/>
            <w:tcBorders>
              <w:top w:val="single" w:color="auto" w:sz="4" w:space="0"/>
              <w:bottom w:val="single" w:color="auto" w:sz="4" w:space="0"/>
            </w:tcBorders>
            <w:vAlign w:val="center"/>
          </w:tcPr>
          <w:p w14:paraId="6419291C">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完成年份</w:t>
            </w:r>
          </w:p>
        </w:tc>
        <w:tc>
          <w:tcPr>
            <w:tcW w:w="3642" w:type="dxa"/>
            <w:gridSpan w:val="2"/>
            <w:tcBorders>
              <w:top w:val="single" w:color="auto" w:sz="4" w:space="0"/>
              <w:bottom w:val="single" w:color="auto" w:sz="4" w:space="0"/>
            </w:tcBorders>
            <w:vAlign w:val="center"/>
          </w:tcPr>
          <w:p w14:paraId="275022C5">
            <w:pPr>
              <w:spacing w:line="3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获奖情况</w:t>
            </w:r>
          </w:p>
        </w:tc>
      </w:tr>
      <w:tr w14:paraId="359B8613">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14:paraId="5F78D9D5">
            <w:pPr>
              <w:spacing w:line="360" w:lineRule="exact"/>
              <w:rPr>
                <w:rFonts w:hint="eastAsia" w:ascii="新宋体" w:hAnsi="新宋体" w:eastAsia="新宋体" w:cs="新宋体"/>
                <w:color w:val="auto"/>
                <w:sz w:val="22"/>
                <w:szCs w:val="22"/>
                <w:highlight w:val="none"/>
              </w:rPr>
            </w:pPr>
          </w:p>
        </w:tc>
        <w:tc>
          <w:tcPr>
            <w:tcW w:w="3427" w:type="dxa"/>
            <w:gridSpan w:val="3"/>
            <w:tcBorders>
              <w:top w:val="single" w:color="auto" w:sz="4" w:space="0"/>
              <w:bottom w:val="single" w:color="auto" w:sz="4" w:space="0"/>
            </w:tcBorders>
            <w:vAlign w:val="center"/>
          </w:tcPr>
          <w:p w14:paraId="6A1800E1">
            <w:pPr>
              <w:spacing w:line="360" w:lineRule="exact"/>
              <w:rPr>
                <w:rFonts w:hint="eastAsia" w:ascii="新宋体" w:hAnsi="新宋体" w:eastAsia="新宋体" w:cs="新宋体"/>
                <w:color w:val="auto"/>
                <w:sz w:val="22"/>
                <w:szCs w:val="22"/>
                <w:highlight w:val="none"/>
              </w:rPr>
            </w:pPr>
          </w:p>
        </w:tc>
        <w:tc>
          <w:tcPr>
            <w:tcW w:w="1440" w:type="dxa"/>
            <w:gridSpan w:val="2"/>
            <w:tcBorders>
              <w:top w:val="single" w:color="auto" w:sz="4" w:space="0"/>
              <w:bottom w:val="single" w:color="auto" w:sz="4" w:space="0"/>
            </w:tcBorders>
            <w:vAlign w:val="center"/>
          </w:tcPr>
          <w:p w14:paraId="1A2FCF93">
            <w:pPr>
              <w:spacing w:line="360" w:lineRule="exact"/>
              <w:rPr>
                <w:rFonts w:hint="eastAsia" w:ascii="新宋体" w:hAnsi="新宋体" w:eastAsia="新宋体" w:cs="新宋体"/>
                <w:color w:val="auto"/>
                <w:sz w:val="22"/>
                <w:szCs w:val="22"/>
                <w:highlight w:val="none"/>
              </w:rPr>
            </w:pPr>
          </w:p>
        </w:tc>
        <w:tc>
          <w:tcPr>
            <w:tcW w:w="3642" w:type="dxa"/>
            <w:gridSpan w:val="2"/>
            <w:tcBorders>
              <w:top w:val="single" w:color="auto" w:sz="4" w:space="0"/>
              <w:bottom w:val="single" w:color="auto" w:sz="4" w:space="0"/>
            </w:tcBorders>
            <w:vAlign w:val="center"/>
          </w:tcPr>
          <w:p w14:paraId="3EC7728A">
            <w:pPr>
              <w:spacing w:line="360" w:lineRule="exact"/>
              <w:rPr>
                <w:rFonts w:hint="eastAsia" w:ascii="新宋体" w:hAnsi="新宋体" w:eastAsia="新宋体" w:cs="新宋体"/>
                <w:color w:val="auto"/>
                <w:sz w:val="22"/>
                <w:szCs w:val="22"/>
                <w:highlight w:val="none"/>
              </w:rPr>
            </w:pPr>
          </w:p>
        </w:tc>
      </w:tr>
      <w:tr w14:paraId="3C5A1719">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14:paraId="23DC19AA">
            <w:pPr>
              <w:spacing w:line="360" w:lineRule="exact"/>
              <w:rPr>
                <w:rFonts w:hint="eastAsia" w:ascii="新宋体" w:hAnsi="新宋体" w:eastAsia="新宋体" w:cs="新宋体"/>
                <w:color w:val="auto"/>
                <w:sz w:val="22"/>
                <w:szCs w:val="22"/>
                <w:highlight w:val="none"/>
              </w:rPr>
            </w:pPr>
          </w:p>
        </w:tc>
        <w:tc>
          <w:tcPr>
            <w:tcW w:w="3427" w:type="dxa"/>
            <w:gridSpan w:val="3"/>
            <w:tcBorders>
              <w:top w:val="single" w:color="auto" w:sz="4" w:space="0"/>
              <w:bottom w:val="single" w:color="auto" w:sz="4" w:space="0"/>
            </w:tcBorders>
            <w:vAlign w:val="center"/>
          </w:tcPr>
          <w:p w14:paraId="4EEB8BE2">
            <w:pPr>
              <w:spacing w:line="360" w:lineRule="exact"/>
              <w:rPr>
                <w:rFonts w:hint="eastAsia" w:ascii="新宋体" w:hAnsi="新宋体" w:eastAsia="新宋体" w:cs="新宋体"/>
                <w:color w:val="auto"/>
                <w:sz w:val="22"/>
                <w:szCs w:val="22"/>
                <w:highlight w:val="none"/>
              </w:rPr>
            </w:pPr>
          </w:p>
        </w:tc>
        <w:tc>
          <w:tcPr>
            <w:tcW w:w="1440" w:type="dxa"/>
            <w:gridSpan w:val="2"/>
            <w:tcBorders>
              <w:top w:val="single" w:color="auto" w:sz="4" w:space="0"/>
              <w:bottom w:val="single" w:color="auto" w:sz="4" w:space="0"/>
            </w:tcBorders>
            <w:vAlign w:val="center"/>
          </w:tcPr>
          <w:p w14:paraId="27BD80AC">
            <w:pPr>
              <w:spacing w:line="360" w:lineRule="exact"/>
              <w:rPr>
                <w:rFonts w:hint="eastAsia" w:ascii="新宋体" w:hAnsi="新宋体" w:eastAsia="新宋体" w:cs="新宋体"/>
                <w:color w:val="auto"/>
                <w:sz w:val="22"/>
                <w:szCs w:val="22"/>
                <w:highlight w:val="none"/>
              </w:rPr>
            </w:pPr>
          </w:p>
        </w:tc>
        <w:tc>
          <w:tcPr>
            <w:tcW w:w="3642" w:type="dxa"/>
            <w:gridSpan w:val="2"/>
            <w:tcBorders>
              <w:top w:val="single" w:color="auto" w:sz="4" w:space="0"/>
              <w:bottom w:val="single" w:color="auto" w:sz="4" w:space="0"/>
            </w:tcBorders>
            <w:vAlign w:val="center"/>
          </w:tcPr>
          <w:p w14:paraId="56616311">
            <w:pPr>
              <w:spacing w:line="360" w:lineRule="exact"/>
              <w:rPr>
                <w:rFonts w:hint="eastAsia" w:ascii="新宋体" w:hAnsi="新宋体" w:eastAsia="新宋体" w:cs="新宋体"/>
                <w:color w:val="auto"/>
                <w:sz w:val="22"/>
                <w:szCs w:val="22"/>
                <w:highlight w:val="none"/>
              </w:rPr>
            </w:pPr>
          </w:p>
        </w:tc>
      </w:tr>
      <w:tr w14:paraId="2F468382">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14:paraId="63DD1777">
            <w:pPr>
              <w:spacing w:line="360" w:lineRule="exact"/>
              <w:rPr>
                <w:rFonts w:hint="eastAsia" w:ascii="新宋体" w:hAnsi="新宋体" w:eastAsia="新宋体" w:cs="新宋体"/>
                <w:color w:val="auto"/>
                <w:sz w:val="22"/>
                <w:szCs w:val="22"/>
                <w:highlight w:val="none"/>
              </w:rPr>
            </w:pPr>
          </w:p>
        </w:tc>
        <w:tc>
          <w:tcPr>
            <w:tcW w:w="3427" w:type="dxa"/>
            <w:gridSpan w:val="3"/>
            <w:tcBorders>
              <w:top w:val="single" w:color="auto" w:sz="4" w:space="0"/>
              <w:bottom w:val="single" w:color="auto" w:sz="4" w:space="0"/>
            </w:tcBorders>
            <w:vAlign w:val="center"/>
          </w:tcPr>
          <w:p w14:paraId="3DE31AF5">
            <w:pPr>
              <w:spacing w:line="360" w:lineRule="exact"/>
              <w:rPr>
                <w:rFonts w:hint="eastAsia" w:ascii="新宋体" w:hAnsi="新宋体" w:eastAsia="新宋体" w:cs="新宋体"/>
                <w:color w:val="auto"/>
                <w:sz w:val="22"/>
                <w:szCs w:val="22"/>
                <w:highlight w:val="none"/>
              </w:rPr>
            </w:pPr>
          </w:p>
        </w:tc>
        <w:tc>
          <w:tcPr>
            <w:tcW w:w="1440" w:type="dxa"/>
            <w:gridSpan w:val="2"/>
            <w:tcBorders>
              <w:top w:val="single" w:color="auto" w:sz="4" w:space="0"/>
              <w:bottom w:val="single" w:color="auto" w:sz="4" w:space="0"/>
            </w:tcBorders>
            <w:vAlign w:val="center"/>
          </w:tcPr>
          <w:p w14:paraId="36E36244">
            <w:pPr>
              <w:spacing w:line="360" w:lineRule="exact"/>
              <w:rPr>
                <w:rFonts w:hint="eastAsia" w:ascii="新宋体" w:hAnsi="新宋体" w:eastAsia="新宋体" w:cs="新宋体"/>
                <w:color w:val="auto"/>
                <w:sz w:val="22"/>
                <w:szCs w:val="22"/>
                <w:highlight w:val="none"/>
              </w:rPr>
            </w:pPr>
          </w:p>
        </w:tc>
        <w:tc>
          <w:tcPr>
            <w:tcW w:w="3642" w:type="dxa"/>
            <w:gridSpan w:val="2"/>
            <w:tcBorders>
              <w:top w:val="single" w:color="auto" w:sz="4" w:space="0"/>
              <w:bottom w:val="single" w:color="auto" w:sz="4" w:space="0"/>
            </w:tcBorders>
            <w:vAlign w:val="center"/>
          </w:tcPr>
          <w:p w14:paraId="5946C173">
            <w:pPr>
              <w:spacing w:line="360" w:lineRule="exact"/>
              <w:rPr>
                <w:rFonts w:hint="eastAsia" w:ascii="新宋体" w:hAnsi="新宋体" w:eastAsia="新宋体" w:cs="新宋体"/>
                <w:color w:val="auto"/>
                <w:sz w:val="22"/>
                <w:szCs w:val="22"/>
                <w:highlight w:val="none"/>
              </w:rPr>
            </w:pPr>
          </w:p>
        </w:tc>
      </w:tr>
      <w:tr w14:paraId="7D7FFB2F">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12" w:space="0"/>
            </w:tcBorders>
            <w:vAlign w:val="center"/>
          </w:tcPr>
          <w:p w14:paraId="1B8EA3E9">
            <w:pPr>
              <w:spacing w:line="360" w:lineRule="exact"/>
              <w:rPr>
                <w:rFonts w:hint="eastAsia" w:ascii="新宋体" w:hAnsi="新宋体" w:eastAsia="新宋体" w:cs="新宋体"/>
                <w:color w:val="auto"/>
                <w:sz w:val="22"/>
                <w:szCs w:val="22"/>
                <w:highlight w:val="none"/>
              </w:rPr>
            </w:pPr>
          </w:p>
        </w:tc>
        <w:tc>
          <w:tcPr>
            <w:tcW w:w="3427" w:type="dxa"/>
            <w:gridSpan w:val="3"/>
            <w:tcBorders>
              <w:top w:val="single" w:color="auto" w:sz="4" w:space="0"/>
              <w:bottom w:val="single" w:color="auto" w:sz="12" w:space="0"/>
            </w:tcBorders>
            <w:vAlign w:val="center"/>
          </w:tcPr>
          <w:p w14:paraId="56A7D63A">
            <w:pPr>
              <w:spacing w:line="360" w:lineRule="exact"/>
              <w:rPr>
                <w:rFonts w:hint="eastAsia" w:ascii="新宋体" w:hAnsi="新宋体" w:eastAsia="新宋体" w:cs="新宋体"/>
                <w:color w:val="auto"/>
                <w:sz w:val="22"/>
                <w:szCs w:val="22"/>
                <w:highlight w:val="none"/>
              </w:rPr>
            </w:pPr>
          </w:p>
        </w:tc>
        <w:tc>
          <w:tcPr>
            <w:tcW w:w="1440" w:type="dxa"/>
            <w:gridSpan w:val="2"/>
            <w:tcBorders>
              <w:top w:val="single" w:color="auto" w:sz="4" w:space="0"/>
              <w:bottom w:val="single" w:color="auto" w:sz="12" w:space="0"/>
            </w:tcBorders>
            <w:vAlign w:val="center"/>
          </w:tcPr>
          <w:p w14:paraId="5AB3C4AF">
            <w:pPr>
              <w:spacing w:line="360" w:lineRule="exact"/>
              <w:rPr>
                <w:rFonts w:hint="eastAsia" w:ascii="新宋体" w:hAnsi="新宋体" w:eastAsia="新宋体" w:cs="新宋体"/>
                <w:color w:val="auto"/>
                <w:sz w:val="22"/>
                <w:szCs w:val="22"/>
                <w:highlight w:val="none"/>
              </w:rPr>
            </w:pPr>
          </w:p>
        </w:tc>
        <w:tc>
          <w:tcPr>
            <w:tcW w:w="3642" w:type="dxa"/>
            <w:gridSpan w:val="2"/>
            <w:tcBorders>
              <w:top w:val="single" w:color="auto" w:sz="4" w:space="0"/>
              <w:bottom w:val="single" w:color="auto" w:sz="12" w:space="0"/>
            </w:tcBorders>
            <w:vAlign w:val="center"/>
          </w:tcPr>
          <w:p w14:paraId="61C010BD">
            <w:pPr>
              <w:spacing w:line="360" w:lineRule="exact"/>
              <w:rPr>
                <w:rFonts w:hint="eastAsia" w:ascii="新宋体" w:hAnsi="新宋体" w:eastAsia="新宋体" w:cs="新宋体"/>
                <w:color w:val="auto"/>
                <w:sz w:val="22"/>
                <w:szCs w:val="22"/>
                <w:highlight w:val="none"/>
              </w:rPr>
            </w:pPr>
          </w:p>
        </w:tc>
      </w:tr>
    </w:tbl>
    <w:p w14:paraId="1F8D3A8E">
      <w:pPr>
        <w:tabs>
          <w:tab w:val="left" w:pos="780"/>
        </w:tabs>
        <w:spacing w:line="400" w:lineRule="exact"/>
        <w:ind w:left="180"/>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注：1.此表所列人员如需更换，须经采购人同意。</w:t>
      </w:r>
    </w:p>
    <w:p w14:paraId="76C17149">
      <w:pPr>
        <w:tabs>
          <w:tab w:val="left" w:pos="780"/>
        </w:tabs>
        <w:spacing w:line="400" w:lineRule="exact"/>
        <w:ind w:left="180"/>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 xml:space="preserve">    2.需按</w:t>
      </w:r>
      <w:r>
        <w:rPr>
          <w:rFonts w:hint="eastAsia" w:ascii="宋体" w:hAnsi="宋体"/>
          <w:color w:val="auto"/>
          <w:sz w:val="24"/>
          <w:highlight w:val="none"/>
        </w:rPr>
        <w:t>技术商务文件</w:t>
      </w:r>
      <w:r>
        <w:rPr>
          <w:rFonts w:hint="eastAsia" w:ascii="新宋体" w:hAnsi="新宋体" w:eastAsia="新宋体" w:cs="新宋体"/>
          <w:color w:val="auto"/>
          <w:sz w:val="24"/>
          <w:highlight w:val="none"/>
        </w:rPr>
        <w:t>评分表中的要求提供相关材料。</w:t>
      </w:r>
    </w:p>
    <w:p w14:paraId="1504F29D">
      <w:pPr>
        <w:pStyle w:val="534"/>
        <w:snapToGrid w:val="0"/>
        <w:spacing w:before="120" w:line="360" w:lineRule="auto"/>
        <w:rPr>
          <w:rFonts w:hint="eastAsia" w:ascii="宋体" w:hAnsi="宋体" w:cs="宋体"/>
          <w:color w:val="auto"/>
          <w:szCs w:val="24"/>
          <w:highlight w:val="none"/>
        </w:rPr>
      </w:pPr>
      <w:r>
        <w:rPr>
          <w:rFonts w:hint="eastAsia" w:ascii="宋体" w:hAnsi="宋体" w:cs="宋体"/>
          <w:color w:val="auto"/>
          <w:szCs w:val="24"/>
          <w:highlight w:val="none"/>
        </w:rPr>
        <w:t>投标人全称（电子签章）：</w:t>
      </w:r>
      <w:r>
        <w:rPr>
          <w:rFonts w:hint="eastAsia" w:ascii="宋体" w:hAnsi="宋体" w:cs="宋体"/>
          <w:color w:val="auto"/>
          <w:szCs w:val="24"/>
          <w:highlight w:val="none"/>
          <w:u w:val="single"/>
        </w:rPr>
        <w:t xml:space="preserve">                         </w:t>
      </w:r>
    </w:p>
    <w:p w14:paraId="428FCB3B">
      <w:pPr>
        <w:snapToGrid w:val="0"/>
        <w:spacing w:before="120" w:line="360" w:lineRule="auto"/>
        <w:ind w:right="600"/>
        <w:rPr>
          <w:rFonts w:hint="eastAsia" w:ascii="宋体" w:hAnsi="宋体" w:cs="宋体"/>
          <w:color w:val="auto"/>
          <w:sz w:val="24"/>
          <w:highlight w:val="none"/>
        </w:rPr>
      </w:pPr>
      <w:r>
        <w:rPr>
          <w:rFonts w:hint="eastAsia" w:ascii="宋体" w:hAnsi="宋体" w:cs="宋体"/>
          <w:color w:val="auto"/>
          <w:sz w:val="24"/>
          <w:highlight w:val="none"/>
        </w:rPr>
        <w:t>法定代表人或授权代表（签名或签章）：</w:t>
      </w:r>
      <w:r>
        <w:rPr>
          <w:rFonts w:hint="eastAsia" w:ascii="宋体" w:hAnsi="宋体" w:cs="宋体"/>
          <w:color w:val="auto"/>
          <w:sz w:val="24"/>
          <w:highlight w:val="none"/>
          <w:u w:val="single"/>
        </w:rPr>
        <w:t xml:space="preserve">             </w:t>
      </w:r>
    </w:p>
    <w:p w14:paraId="7922AF07">
      <w:pPr>
        <w:snapToGrid w:val="0"/>
        <w:spacing w:before="120" w:line="360" w:lineRule="auto"/>
        <w:rPr>
          <w:rFonts w:hAnsi="宋体"/>
          <w:b/>
          <w:color w:val="auto"/>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年    月    日</w:t>
      </w:r>
      <w:r>
        <w:rPr>
          <w:rFonts w:hAnsi="宋体"/>
          <w:color w:val="auto"/>
          <w:highlight w:val="none"/>
        </w:rPr>
        <w:br w:type="page"/>
      </w:r>
      <w:r>
        <w:rPr>
          <w:rFonts w:hint="eastAsia" w:ascii="宋体" w:hAnsi="宋体" w:cs="宋体"/>
          <w:color w:val="auto"/>
          <w:sz w:val="28"/>
          <w:szCs w:val="28"/>
          <w:highlight w:val="none"/>
        </w:rPr>
        <w:t xml:space="preserve">附件19:项目组成员   </w:t>
      </w:r>
      <w:r>
        <w:rPr>
          <w:rFonts w:hint="eastAsia" w:hAnsi="宋体"/>
          <w:b/>
          <w:color w:val="auto"/>
          <w:highlight w:val="none"/>
        </w:rPr>
        <w:t xml:space="preserve">                </w:t>
      </w:r>
    </w:p>
    <w:p w14:paraId="541F437D">
      <w:pPr>
        <w:pStyle w:val="30"/>
        <w:spacing w:before="120" w:after="120" w:line="360" w:lineRule="auto"/>
        <w:ind w:right="-48" w:rightChars="-23"/>
        <w:jc w:val="center"/>
        <w:rPr>
          <w:rFonts w:hAnsi="宋体"/>
          <w:b/>
          <w:color w:val="auto"/>
          <w:highlight w:val="none"/>
        </w:rPr>
      </w:pPr>
      <w:r>
        <w:rPr>
          <w:rFonts w:hint="eastAsia" w:hAnsi="宋体"/>
          <w:b/>
          <w:color w:val="auto"/>
          <w:highlight w:val="none"/>
        </w:rPr>
        <w:t>项目组成员情况表</w:t>
      </w:r>
    </w:p>
    <w:p w14:paraId="4316DBA5">
      <w:pPr>
        <w:spacing w:line="0" w:lineRule="atLeast"/>
        <w:rPr>
          <w:rFonts w:ascii="宋体" w:hAnsi="宋体"/>
          <w:color w:val="auto"/>
          <w:sz w:val="24"/>
          <w:highlight w:val="none"/>
        </w:rPr>
      </w:pPr>
      <w:r>
        <w:rPr>
          <w:rFonts w:hint="eastAsia" w:ascii="宋体" w:hAnsi="宋体"/>
          <w:color w:val="auto"/>
          <w:sz w:val="24"/>
          <w:highlight w:val="none"/>
        </w:rPr>
        <w:t>项目名称：                                            招标编号：</w:t>
      </w:r>
    </w:p>
    <w:p w14:paraId="48A92C5E">
      <w:pPr>
        <w:spacing w:line="0" w:lineRule="atLeast"/>
        <w:rPr>
          <w:rFonts w:ascii="宋体" w:hAnsi="宋体"/>
          <w:color w:val="auto"/>
          <w:sz w:val="24"/>
          <w:highlight w:val="none"/>
        </w:rPr>
      </w:pPr>
    </w:p>
    <w:tbl>
      <w:tblPr>
        <w:tblStyle w:val="5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1126"/>
        <w:gridCol w:w="992"/>
        <w:gridCol w:w="993"/>
        <w:gridCol w:w="1661"/>
        <w:gridCol w:w="1950"/>
        <w:gridCol w:w="2055"/>
      </w:tblGrid>
      <w:tr w14:paraId="20179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5A34686D">
            <w:pPr>
              <w:spacing w:line="0" w:lineRule="atLeast"/>
              <w:jc w:val="center"/>
              <w:rPr>
                <w:rFonts w:ascii="宋体" w:hAnsi="宋体"/>
                <w:color w:val="auto"/>
                <w:sz w:val="24"/>
                <w:highlight w:val="none"/>
              </w:rPr>
            </w:pPr>
            <w:r>
              <w:rPr>
                <w:rFonts w:hint="eastAsia" w:ascii="宋体" w:hAnsi="宋体"/>
                <w:color w:val="auto"/>
                <w:sz w:val="24"/>
                <w:highlight w:val="none"/>
              </w:rPr>
              <w:t>序号</w:t>
            </w:r>
          </w:p>
        </w:tc>
        <w:tc>
          <w:tcPr>
            <w:tcW w:w="1126" w:type="dxa"/>
            <w:vAlign w:val="center"/>
          </w:tcPr>
          <w:p w14:paraId="18B99700">
            <w:pPr>
              <w:spacing w:line="0" w:lineRule="atLeast"/>
              <w:jc w:val="center"/>
              <w:rPr>
                <w:rFonts w:ascii="宋体" w:hAnsi="宋体"/>
                <w:color w:val="auto"/>
                <w:sz w:val="24"/>
                <w:highlight w:val="none"/>
              </w:rPr>
            </w:pPr>
            <w:r>
              <w:rPr>
                <w:rFonts w:hint="eastAsia" w:ascii="宋体" w:hAnsi="宋体"/>
                <w:color w:val="auto"/>
                <w:sz w:val="24"/>
                <w:highlight w:val="none"/>
              </w:rPr>
              <w:t>姓名</w:t>
            </w:r>
          </w:p>
        </w:tc>
        <w:tc>
          <w:tcPr>
            <w:tcW w:w="992" w:type="dxa"/>
            <w:vAlign w:val="center"/>
          </w:tcPr>
          <w:p w14:paraId="4BE9777E">
            <w:pPr>
              <w:spacing w:line="0" w:lineRule="atLeast"/>
              <w:jc w:val="center"/>
              <w:rPr>
                <w:rFonts w:ascii="宋体" w:hAnsi="宋体"/>
                <w:color w:val="auto"/>
                <w:sz w:val="24"/>
                <w:highlight w:val="none"/>
              </w:rPr>
            </w:pPr>
            <w:r>
              <w:rPr>
                <w:rFonts w:hint="eastAsia" w:ascii="宋体" w:hAnsi="宋体"/>
                <w:color w:val="auto"/>
                <w:sz w:val="24"/>
                <w:highlight w:val="none"/>
              </w:rPr>
              <w:t>年龄</w:t>
            </w:r>
          </w:p>
        </w:tc>
        <w:tc>
          <w:tcPr>
            <w:tcW w:w="993" w:type="dxa"/>
            <w:vAlign w:val="center"/>
          </w:tcPr>
          <w:p w14:paraId="34BD0696">
            <w:pPr>
              <w:spacing w:line="0" w:lineRule="atLeast"/>
              <w:jc w:val="center"/>
              <w:rPr>
                <w:rFonts w:ascii="宋体" w:hAnsi="宋体"/>
                <w:color w:val="auto"/>
                <w:sz w:val="24"/>
                <w:highlight w:val="none"/>
              </w:rPr>
            </w:pPr>
            <w:r>
              <w:rPr>
                <w:rFonts w:hint="eastAsia" w:ascii="宋体" w:hAnsi="宋体"/>
                <w:color w:val="auto"/>
                <w:sz w:val="24"/>
                <w:highlight w:val="none"/>
              </w:rPr>
              <w:t>职务</w:t>
            </w:r>
          </w:p>
        </w:tc>
        <w:tc>
          <w:tcPr>
            <w:tcW w:w="1661" w:type="dxa"/>
            <w:vAlign w:val="center"/>
          </w:tcPr>
          <w:p w14:paraId="47240802">
            <w:pPr>
              <w:spacing w:line="0" w:lineRule="atLeast"/>
              <w:jc w:val="center"/>
              <w:rPr>
                <w:rFonts w:ascii="宋体" w:hAnsi="宋体"/>
                <w:color w:val="auto"/>
                <w:sz w:val="24"/>
                <w:highlight w:val="none"/>
              </w:rPr>
            </w:pPr>
            <w:r>
              <w:rPr>
                <w:rFonts w:hint="eastAsia" w:ascii="宋体" w:hAnsi="宋体"/>
                <w:color w:val="auto"/>
                <w:sz w:val="24"/>
                <w:highlight w:val="none"/>
              </w:rPr>
              <w:t>资格证书</w:t>
            </w:r>
          </w:p>
        </w:tc>
        <w:tc>
          <w:tcPr>
            <w:tcW w:w="1950" w:type="dxa"/>
            <w:vAlign w:val="center"/>
          </w:tcPr>
          <w:p w14:paraId="370D577B">
            <w:pPr>
              <w:spacing w:line="0" w:lineRule="atLeast"/>
              <w:jc w:val="center"/>
              <w:rPr>
                <w:rFonts w:ascii="宋体" w:hAnsi="宋体"/>
                <w:color w:val="auto"/>
                <w:sz w:val="24"/>
                <w:highlight w:val="none"/>
              </w:rPr>
            </w:pPr>
            <w:r>
              <w:rPr>
                <w:rFonts w:hint="eastAsia" w:ascii="宋体" w:hAnsi="宋体"/>
                <w:color w:val="auto"/>
                <w:sz w:val="24"/>
                <w:highlight w:val="none"/>
              </w:rPr>
              <w:t>经验及承担过的相关服务的项目</w:t>
            </w:r>
          </w:p>
        </w:tc>
        <w:tc>
          <w:tcPr>
            <w:tcW w:w="2055" w:type="dxa"/>
            <w:vAlign w:val="center"/>
          </w:tcPr>
          <w:p w14:paraId="546A8DCE">
            <w:pPr>
              <w:spacing w:line="0" w:lineRule="atLeast"/>
              <w:jc w:val="center"/>
              <w:rPr>
                <w:rFonts w:ascii="宋体" w:hAnsi="宋体"/>
                <w:color w:val="auto"/>
                <w:sz w:val="24"/>
                <w:highlight w:val="none"/>
              </w:rPr>
            </w:pPr>
            <w:r>
              <w:rPr>
                <w:rFonts w:hint="eastAsia" w:ascii="宋体" w:hAnsi="宋体"/>
                <w:color w:val="auto"/>
                <w:sz w:val="24"/>
                <w:highlight w:val="none"/>
              </w:rPr>
              <w:t>拟担工作岗位</w:t>
            </w:r>
          </w:p>
        </w:tc>
      </w:tr>
      <w:tr w14:paraId="24E9E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7FAEFADD">
            <w:pPr>
              <w:rPr>
                <w:rFonts w:ascii="宋体" w:hAnsi="宋体"/>
                <w:color w:val="auto"/>
                <w:kern w:val="0"/>
                <w:sz w:val="24"/>
                <w:highlight w:val="none"/>
              </w:rPr>
            </w:pPr>
          </w:p>
          <w:p w14:paraId="05A52360">
            <w:pPr>
              <w:rPr>
                <w:rFonts w:ascii="宋体" w:hAnsi="宋体"/>
                <w:color w:val="auto"/>
                <w:kern w:val="0"/>
                <w:sz w:val="24"/>
                <w:highlight w:val="none"/>
              </w:rPr>
            </w:pPr>
          </w:p>
        </w:tc>
        <w:tc>
          <w:tcPr>
            <w:tcW w:w="1126" w:type="dxa"/>
            <w:vAlign w:val="center"/>
          </w:tcPr>
          <w:p w14:paraId="2754B855">
            <w:pPr>
              <w:rPr>
                <w:rFonts w:ascii="宋体" w:hAnsi="宋体"/>
                <w:color w:val="auto"/>
                <w:kern w:val="0"/>
                <w:sz w:val="24"/>
                <w:highlight w:val="none"/>
              </w:rPr>
            </w:pPr>
          </w:p>
        </w:tc>
        <w:tc>
          <w:tcPr>
            <w:tcW w:w="992" w:type="dxa"/>
            <w:vAlign w:val="center"/>
          </w:tcPr>
          <w:p w14:paraId="4BCE9204">
            <w:pPr>
              <w:rPr>
                <w:rFonts w:ascii="宋体" w:hAnsi="宋体"/>
                <w:color w:val="auto"/>
                <w:kern w:val="0"/>
                <w:sz w:val="24"/>
                <w:highlight w:val="none"/>
              </w:rPr>
            </w:pPr>
          </w:p>
        </w:tc>
        <w:tc>
          <w:tcPr>
            <w:tcW w:w="993" w:type="dxa"/>
            <w:vAlign w:val="center"/>
          </w:tcPr>
          <w:p w14:paraId="336D19A8">
            <w:pPr>
              <w:rPr>
                <w:rFonts w:ascii="宋体" w:hAnsi="宋体"/>
                <w:color w:val="auto"/>
                <w:kern w:val="0"/>
                <w:sz w:val="24"/>
                <w:highlight w:val="none"/>
              </w:rPr>
            </w:pPr>
          </w:p>
        </w:tc>
        <w:tc>
          <w:tcPr>
            <w:tcW w:w="1661" w:type="dxa"/>
            <w:vAlign w:val="center"/>
          </w:tcPr>
          <w:p w14:paraId="5B691CF5">
            <w:pPr>
              <w:rPr>
                <w:rFonts w:ascii="宋体" w:hAnsi="宋体"/>
                <w:color w:val="auto"/>
                <w:kern w:val="0"/>
                <w:sz w:val="24"/>
                <w:highlight w:val="none"/>
              </w:rPr>
            </w:pPr>
          </w:p>
        </w:tc>
        <w:tc>
          <w:tcPr>
            <w:tcW w:w="1950" w:type="dxa"/>
            <w:vAlign w:val="center"/>
          </w:tcPr>
          <w:p w14:paraId="73009040">
            <w:pPr>
              <w:rPr>
                <w:rFonts w:ascii="宋体" w:hAnsi="宋体"/>
                <w:color w:val="auto"/>
                <w:kern w:val="0"/>
                <w:sz w:val="24"/>
                <w:highlight w:val="none"/>
              </w:rPr>
            </w:pPr>
          </w:p>
        </w:tc>
        <w:tc>
          <w:tcPr>
            <w:tcW w:w="2055" w:type="dxa"/>
            <w:vAlign w:val="center"/>
          </w:tcPr>
          <w:p w14:paraId="70B44D63">
            <w:pPr>
              <w:rPr>
                <w:rFonts w:ascii="宋体" w:hAnsi="宋体"/>
                <w:color w:val="auto"/>
                <w:kern w:val="0"/>
                <w:sz w:val="24"/>
                <w:highlight w:val="none"/>
              </w:rPr>
            </w:pPr>
          </w:p>
        </w:tc>
      </w:tr>
      <w:tr w14:paraId="11E6B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5EAE1A76">
            <w:pPr>
              <w:rPr>
                <w:rFonts w:ascii="宋体" w:hAnsi="宋体"/>
                <w:color w:val="auto"/>
                <w:kern w:val="0"/>
                <w:sz w:val="24"/>
                <w:highlight w:val="none"/>
              </w:rPr>
            </w:pPr>
          </w:p>
          <w:p w14:paraId="5019DB75">
            <w:pPr>
              <w:rPr>
                <w:rFonts w:ascii="宋体" w:hAnsi="宋体"/>
                <w:color w:val="auto"/>
                <w:kern w:val="0"/>
                <w:sz w:val="24"/>
                <w:highlight w:val="none"/>
              </w:rPr>
            </w:pPr>
          </w:p>
        </w:tc>
        <w:tc>
          <w:tcPr>
            <w:tcW w:w="1126" w:type="dxa"/>
            <w:vAlign w:val="center"/>
          </w:tcPr>
          <w:p w14:paraId="2CF0A08B">
            <w:pPr>
              <w:rPr>
                <w:rFonts w:ascii="宋体" w:hAnsi="宋体"/>
                <w:color w:val="auto"/>
                <w:kern w:val="0"/>
                <w:sz w:val="24"/>
                <w:highlight w:val="none"/>
              </w:rPr>
            </w:pPr>
          </w:p>
        </w:tc>
        <w:tc>
          <w:tcPr>
            <w:tcW w:w="992" w:type="dxa"/>
            <w:vAlign w:val="center"/>
          </w:tcPr>
          <w:p w14:paraId="7027AFB8">
            <w:pPr>
              <w:rPr>
                <w:rFonts w:ascii="宋体" w:hAnsi="宋体"/>
                <w:color w:val="auto"/>
                <w:kern w:val="0"/>
                <w:sz w:val="24"/>
                <w:highlight w:val="none"/>
              </w:rPr>
            </w:pPr>
          </w:p>
        </w:tc>
        <w:tc>
          <w:tcPr>
            <w:tcW w:w="993" w:type="dxa"/>
            <w:vAlign w:val="center"/>
          </w:tcPr>
          <w:p w14:paraId="7F3A9119">
            <w:pPr>
              <w:rPr>
                <w:rFonts w:ascii="宋体" w:hAnsi="宋体"/>
                <w:color w:val="auto"/>
                <w:kern w:val="0"/>
                <w:sz w:val="24"/>
                <w:highlight w:val="none"/>
              </w:rPr>
            </w:pPr>
          </w:p>
        </w:tc>
        <w:tc>
          <w:tcPr>
            <w:tcW w:w="1661" w:type="dxa"/>
            <w:vAlign w:val="center"/>
          </w:tcPr>
          <w:p w14:paraId="25232D41">
            <w:pPr>
              <w:rPr>
                <w:rFonts w:ascii="宋体" w:hAnsi="宋体"/>
                <w:color w:val="auto"/>
                <w:kern w:val="0"/>
                <w:sz w:val="24"/>
                <w:highlight w:val="none"/>
              </w:rPr>
            </w:pPr>
          </w:p>
        </w:tc>
        <w:tc>
          <w:tcPr>
            <w:tcW w:w="1950" w:type="dxa"/>
            <w:vAlign w:val="center"/>
          </w:tcPr>
          <w:p w14:paraId="1C948551">
            <w:pPr>
              <w:rPr>
                <w:rFonts w:ascii="宋体" w:hAnsi="宋体"/>
                <w:color w:val="auto"/>
                <w:kern w:val="0"/>
                <w:sz w:val="24"/>
                <w:highlight w:val="none"/>
              </w:rPr>
            </w:pPr>
          </w:p>
        </w:tc>
        <w:tc>
          <w:tcPr>
            <w:tcW w:w="2055" w:type="dxa"/>
            <w:vAlign w:val="center"/>
          </w:tcPr>
          <w:p w14:paraId="2928C059">
            <w:pPr>
              <w:rPr>
                <w:rFonts w:ascii="宋体" w:hAnsi="宋体"/>
                <w:color w:val="auto"/>
                <w:kern w:val="0"/>
                <w:sz w:val="24"/>
                <w:highlight w:val="none"/>
              </w:rPr>
            </w:pPr>
          </w:p>
        </w:tc>
      </w:tr>
      <w:tr w14:paraId="3568B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34251CA0">
            <w:pPr>
              <w:rPr>
                <w:rFonts w:ascii="宋体" w:hAnsi="宋体"/>
                <w:color w:val="auto"/>
                <w:kern w:val="0"/>
                <w:sz w:val="24"/>
                <w:highlight w:val="none"/>
              </w:rPr>
            </w:pPr>
          </w:p>
          <w:p w14:paraId="4A2E14CA">
            <w:pPr>
              <w:rPr>
                <w:rFonts w:ascii="宋体" w:hAnsi="宋体"/>
                <w:color w:val="auto"/>
                <w:kern w:val="0"/>
                <w:sz w:val="24"/>
                <w:highlight w:val="none"/>
              </w:rPr>
            </w:pPr>
          </w:p>
        </w:tc>
        <w:tc>
          <w:tcPr>
            <w:tcW w:w="1126" w:type="dxa"/>
            <w:vAlign w:val="center"/>
          </w:tcPr>
          <w:p w14:paraId="05A6785D">
            <w:pPr>
              <w:rPr>
                <w:rFonts w:ascii="宋体" w:hAnsi="宋体"/>
                <w:color w:val="auto"/>
                <w:kern w:val="0"/>
                <w:sz w:val="24"/>
                <w:highlight w:val="none"/>
              </w:rPr>
            </w:pPr>
          </w:p>
        </w:tc>
        <w:tc>
          <w:tcPr>
            <w:tcW w:w="992" w:type="dxa"/>
            <w:vAlign w:val="center"/>
          </w:tcPr>
          <w:p w14:paraId="4EC1A5FF">
            <w:pPr>
              <w:rPr>
                <w:rFonts w:ascii="宋体" w:hAnsi="宋体"/>
                <w:color w:val="auto"/>
                <w:kern w:val="0"/>
                <w:sz w:val="24"/>
                <w:highlight w:val="none"/>
              </w:rPr>
            </w:pPr>
          </w:p>
        </w:tc>
        <w:tc>
          <w:tcPr>
            <w:tcW w:w="993" w:type="dxa"/>
            <w:vAlign w:val="center"/>
          </w:tcPr>
          <w:p w14:paraId="7AC725D1">
            <w:pPr>
              <w:rPr>
                <w:rFonts w:ascii="宋体" w:hAnsi="宋体"/>
                <w:color w:val="auto"/>
                <w:kern w:val="0"/>
                <w:sz w:val="24"/>
                <w:highlight w:val="none"/>
              </w:rPr>
            </w:pPr>
          </w:p>
        </w:tc>
        <w:tc>
          <w:tcPr>
            <w:tcW w:w="1661" w:type="dxa"/>
            <w:vAlign w:val="center"/>
          </w:tcPr>
          <w:p w14:paraId="3189F582">
            <w:pPr>
              <w:rPr>
                <w:rFonts w:ascii="宋体" w:hAnsi="宋体"/>
                <w:color w:val="auto"/>
                <w:kern w:val="0"/>
                <w:sz w:val="24"/>
                <w:highlight w:val="none"/>
              </w:rPr>
            </w:pPr>
          </w:p>
        </w:tc>
        <w:tc>
          <w:tcPr>
            <w:tcW w:w="1950" w:type="dxa"/>
            <w:vAlign w:val="center"/>
          </w:tcPr>
          <w:p w14:paraId="2131E6ED">
            <w:pPr>
              <w:rPr>
                <w:rFonts w:ascii="宋体" w:hAnsi="宋体"/>
                <w:color w:val="auto"/>
                <w:kern w:val="0"/>
                <w:sz w:val="24"/>
                <w:highlight w:val="none"/>
              </w:rPr>
            </w:pPr>
          </w:p>
        </w:tc>
        <w:tc>
          <w:tcPr>
            <w:tcW w:w="2055" w:type="dxa"/>
            <w:vAlign w:val="center"/>
          </w:tcPr>
          <w:p w14:paraId="1E705C34">
            <w:pPr>
              <w:rPr>
                <w:rFonts w:ascii="宋体" w:hAnsi="宋体"/>
                <w:color w:val="auto"/>
                <w:kern w:val="0"/>
                <w:sz w:val="24"/>
                <w:highlight w:val="none"/>
              </w:rPr>
            </w:pPr>
          </w:p>
        </w:tc>
      </w:tr>
      <w:tr w14:paraId="5BECA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4231E304">
            <w:pPr>
              <w:rPr>
                <w:rFonts w:ascii="宋体" w:hAnsi="宋体"/>
                <w:color w:val="auto"/>
                <w:kern w:val="0"/>
                <w:sz w:val="24"/>
                <w:highlight w:val="none"/>
              </w:rPr>
            </w:pPr>
          </w:p>
          <w:p w14:paraId="5124AAA6">
            <w:pPr>
              <w:rPr>
                <w:rFonts w:ascii="宋体" w:hAnsi="宋体"/>
                <w:color w:val="auto"/>
                <w:kern w:val="0"/>
                <w:sz w:val="24"/>
                <w:highlight w:val="none"/>
              </w:rPr>
            </w:pPr>
          </w:p>
        </w:tc>
        <w:tc>
          <w:tcPr>
            <w:tcW w:w="1126" w:type="dxa"/>
            <w:vAlign w:val="center"/>
          </w:tcPr>
          <w:p w14:paraId="00AE646C">
            <w:pPr>
              <w:rPr>
                <w:rFonts w:ascii="宋体" w:hAnsi="宋体"/>
                <w:color w:val="auto"/>
                <w:kern w:val="0"/>
                <w:sz w:val="24"/>
                <w:highlight w:val="none"/>
              </w:rPr>
            </w:pPr>
          </w:p>
        </w:tc>
        <w:tc>
          <w:tcPr>
            <w:tcW w:w="992" w:type="dxa"/>
            <w:vAlign w:val="center"/>
          </w:tcPr>
          <w:p w14:paraId="3F0CC947">
            <w:pPr>
              <w:rPr>
                <w:rFonts w:ascii="宋体" w:hAnsi="宋体"/>
                <w:color w:val="auto"/>
                <w:kern w:val="0"/>
                <w:sz w:val="24"/>
                <w:highlight w:val="none"/>
              </w:rPr>
            </w:pPr>
          </w:p>
        </w:tc>
        <w:tc>
          <w:tcPr>
            <w:tcW w:w="993" w:type="dxa"/>
            <w:vAlign w:val="center"/>
          </w:tcPr>
          <w:p w14:paraId="28EC77F4">
            <w:pPr>
              <w:rPr>
                <w:rFonts w:ascii="宋体" w:hAnsi="宋体"/>
                <w:color w:val="auto"/>
                <w:kern w:val="0"/>
                <w:sz w:val="24"/>
                <w:highlight w:val="none"/>
              </w:rPr>
            </w:pPr>
          </w:p>
        </w:tc>
        <w:tc>
          <w:tcPr>
            <w:tcW w:w="1661" w:type="dxa"/>
            <w:vAlign w:val="center"/>
          </w:tcPr>
          <w:p w14:paraId="5E4F9497">
            <w:pPr>
              <w:rPr>
                <w:rFonts w:ascii="宋体" w:hAnsi="宋体"/>
                <w:color w:val="auto"/>
                <w:kern w:val="0"/>
                <w:sz w:val="24"/>
                <w:highlight w:val="none"/>
              </w:rPr>
            </w:pPr>
          </w:p>
        </w:tc>
        <w:tc>
          <w:tcPr>
            <w:tcW w:w="1950" w:type="dxa"/>
            <w:vAlign w:val="center"/>
          </w:tcPr>
          <w:p w14:paraId="4A79CA33">
            <w:pPr>
              <w:rPr>
                <w:rFonts w:ascii="宋体" w:hAnsi="宋体"/>
                <w:color w:val="auto"/>
                <w:kern w:val="0"/>
                <w:sz w:val="24"/>
                <w:highlight w:val="none"/>
              </w:rPr>
            </w:pPr>
          </w:p>
        </w:tc>
        <w:tc>
          <w:tcPr>
            <w:tcW w:w="2055" w:type="dxa"/>
            <w:vAlign w:val="center"/>
          </w:tcPr>
          <w:p w14:paraId="373DA714">
            <w:pPr>
              <w:rPr>
                <w:rFonts w:ascii="宋体" w:hAnsi="宋体"/>
                <w:color w:val="auto"/>
                <w:kern w:val="0"/>
                <w:sz w:val="24"/>
                <w:highlight w:val="none"/>
              </w:rPr>
            </w:pPr>
          </w:p>
        </w:tc>
      </w:tr>
      <w:tr w14:paraId="12D3D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78F4D8AE">
            <w:pPr>
              <w:rPr>
                <w:rFonts w:ascii="宋体" w:hAnsi="宋体"/>
                <w:color w:val="auto"/>
                <w:kern w:val="0"/>
                <w:sz w:val="24"/>
                <w:highlight w:val="none"/>
              </w:rPr>
            </w:pPr>
          </w:p>
          <w:p w14:paraId="71675706">
            <w:pPr>
              <w:rPr>
                <w:rFonts w:ascii="宋体" w:hAnsi="宋体"/>
                <w:color w:val="auto"/>
                <w:kern w:val="0"/>
                <w:sz w:val="24"/>
                <w:highlight w:val="none"/>
              </w:rPr>
            </w:pPr>
          </w:p>
        </w:tc>
        <w:tc>
          <w:tcPr>
            <w:tcW w:w="1126" w:type="dxa"/>
            <w:vAlign w:val="center"/>
          </w:tcPr>
          <w:p w14:paraId="72657C01">
            <w:pPr>
              <w:rPr>
                <w:rFonts w:ascii="宋体" w:hAnsi="宋体"/>
                <w:color w:val="auto"/>
                <w:kern w:val="0"/>
                <w:sz w:val="24"/>
                <w:highlight w:val="none"/>
              </w:rPr>
            </w:pPr>
          </w:p>
        </w:tc>
        <w:tc>
          <w:tcPr>
            <w:tcW w:w="992" w:type="dxa"/>
            <w:vAlign w:val="center"/>
          </w:tcPr>
          <w:p w14:paraId="716235B8">
            <w:pPr>
              <w:rPr>
                <w:rFonts w:ascii="宋体" w:hAnsi="宋体"/>
                <w:color w:val="auto"/>
                <w:kern w:val="0"/>
                <w:sz w:val="24"/>
                <w:highlight w:val="none"/>
              </w:rPr>
            </w:pPr>
          </w:p>
        </w:tc>
        <w:tc>
          <w:tcPr>
            <w:tcW w:w="993" w:type="dxa"/>
            <w:vAlign w:val="center"/>
          </w:tcPr>
          <w:p w14:paraId="4A724DC0">
            <w:pPr>
              <w:rPr>
                <w:rFonts w:ascii="宋体" w:hAnsi="宋体"/>
                <w:color w:val="auto"/>
                <w:kern w:val="0"/>
                <w:sz w:val="24"/>
                <w:highlight w:val="none"/>
              </w:rPr>
            </w:pPr>
          </w:p>
        </w:tc>
        <w:tc>
          <w:tcPr>
            <w:tcW w:w="1661" w:type="dxa"/>
            <w:vAlign w:val="center"/>
          </w:tcPr>
          <w:p w14:paraId="61B4D4BC">
            <w:pPr>
              <w:rPr>
                <w:rFonts w:ascii="宋体" w:hAnsi="宋体"/>
                <w:color w:val="auto"/>
                <w:kern w:val="0"/>
                <w:sz w:val="24"/>
                <w:highlight w:val="none"/>
              </w:rPr>
            </w:pPr>
          </w:p>
        </w:tc>
        <w:tc>
          <w:tcPr>
            <w:tcW w:w="1950" w:type="dxa"/>
            <w:vAlign w:val="center"/>
          </w:tcPr>
          <w:p w14:paraId="3ED16B71">
            <w:pPr>
              <w:rPr>
                <w:rFonts w:ascii="宋体" w:hAnsi="宋体"/>
                <w:color w:val="auto"/>
                <w:kern w:val="0"/>
                <w:sz w:val="24"/>
                <w:highlight w:val="none"/>
              </w:rPr>
            </w:pPr>
          </w:p>
        </w:tc>
        <w:tc>
          <w:tcPr>
            <w:tcW w:w="2055" w:type="dxa"/>
            <w:vAlign w:val="center"/>
          </w:tcPr>
          <w:p w14:paraId="51351E2B">
            <w:pPr>
              <w:rPr>
                <w:rFonts w:ascii="宋体" w:hAnsi="宋体"/>
                <w:color w:val="auto"/>
                <w:kern w:val="0"/>
                <w:sz w:val="24"/>
                <w:highlight w:val="none"/>
              </w:rPr>
            </w:pPr>
          </w:p>
        </w:tc>
      </w:tr>
      <w:tr w14:paraId="4CFCD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54C83545">
            <w:pPr>
              <w:rPr>
                <w:rFonts w:ascii="宋体" w:hAnsi="宋体"/>
                <w:color w:val="auto"/>
                <w:kern w:val="0"/>
                <w:sz w:val="24"/>
                <w:highlight w:val="none"/>
              </w:rPr>
            </w:pPr>
          </w:p>
          <w:p w14:paraId="7AD83816">
            <w:pPr>
              <w:rPr>
                <w:rFonts w:ascii="宋体" w:hAnsi="宋体"/>
                <w:color w:val="auto"/>
                <w:kern w:val="0"/>
                <w:sz w:val="24"/>
                <w:highlight w:val="none"/>
              </w:rPr>
            </w:pPr>
          </w:p>
        </w:tc>
        <w:tc>
          <w:tcPr>
            <w:tcW w:w="1126" w:type="dxa"/>
            <w:vAlign w:val="center"/>
          </w:tcPr>
          <w:p w14:paraId="094A5E43">
            <w:pPr>
              <w:rPr>
                <w:rFonts w:ascii="宋体" w:hAnsi="宋体"/>
                <w:color w:val="auto"/>
                <w:kern w:val="0"/>
                <w:sz w:val="24"/>
                <w:highlight w:val="none"/>
              </w:rPr>
            </w:pPr>
          </w:p>
        </w:tc>
        <w:tc>
          <w:tcPr>
            <w:tcW w:w="992" w:type="dxa"/>
            <w:vAlign w:val="center"/>
          </w:tcPr>
          <w:p w14:paraId="784F6112">
            <w:pPr>
              <w:rPr>
                <w:rFonts w:ascii="宋体" w:hAnsi="宋体"/>
                <w:color w:val="auto"/>
                <w:kern w:val="0"/>
                <w:sz w:val="24"/>
                <w:highlight w:val="none"/>
              </w:rPr>
            </w:pPr>
          </w:p>
        </w:tc>
        <w:tc>
          <w:tcPr>
            <w:tcW w:w="993" w:type="dxa"/>
            <w:vAlign w:val="center"/>
          </w:tcPr>
          <w:p w14:paraId="79ECA9DA">
            <w:pPr>
              <w:rPr>
                <w:rFonts w:ascii="宋体" w:hAnsi="宋体"/>
                <w:color w:val="auto"/>
                <w:kern w:val="0"/>
                <w:sz w:val="24"/>
                <w:highlight w:val="none"/>
              </w:rPr>
            </w:pPr>
          </w:p>
        </w:tc>
        <w:tc>
          <w:tcPr>
            <w:tcW w:w="1661" w:type="dxa"/>
            <w:vAlign w:val="center"/>
          </w:tcPr>
          <w:p w14:paraId="009E1B00">
            <w:pPr>
              <w:rPr>
                <w:rFonts w:ascii="宋体" w:hAnsi="宋体"/>
                <w:color w:val="auto"/>
                <w:kern w:val="0"/>
                <w:sz w:val="24"/>
                <w:highlight w:val="none"/>
              </w:rPr>
            </w:pPr>
          </w:p>
        </w:tc>
        <w:tc>
          <w:tcPr>
            <w:tcW w:w="1950" w:type="dxa"/>
            <w:vAlign w:val="center"/>
          </w:tcPr>
          <w:p w14:paraId="4FD8EF56">
            <w:pPr>
              <w:rPr>
                <w:rFonts w:ascii="宋体" w:hAnsi="宋体"/>
                <w:color w:val="auto"/>
                <w:kern w:val="0"/>
                <w:sz w:val="24"/>
                <w:highlight w:val="none"/>
              </w:rPr>
            </w:pPr>
          </w:p>
        </w:tc>
        <w:tc>
          <w:tcPr>
            <w:tcW w:w="2055" w:type="dxa"/>
            <w:vAlign w:val="center"/>
          </w:tcPr>
          <w:p w14:paraId="019E3490">
            <w:pPr>
              <w:rPr>
                <w:rFonts w:ascii="宋体" w:hAnsi="宋体"/>
                <w:color w:val="auto"/>
                <w:kern w:val="0"/>
                <w:sz w:val="24"/>
                <w:highlight w:val="none"/>
              </w:rPr>
            </w:pPr>
          </w:p>
        </w:tc>
      </w:tr>
    </w:tbl>
    <w:p w14:paraId="4CE3943D">
      <w:pPr>
        <w:rPr>
          <w:rFonts w:ascii="宋体" w:hAnsi="宋体"/>
          <w:color w:val="auto"/>
          <w:kern w:val="0"/>
          <w:sz w:val="24"/>
          <w:highlight w:val="none"/>
        </w:rPr>
      </w:pPr>
    </w:p>
    <w:p w14:paraId="4C815DE5">
      <w:pPr>
        <w:spacing w:line="360" w:lineRule="auto"/>
        <w:rPr>
          <w:rFonts w:ascii="宋体" w:hAnsi="宋体"/>
          <w:b/>
          <w:color w:val="auto"/>
          <w:sz w:val="24"/>
          <w:highlight w:val="none"/>
        </w:rPr>
      </w:pPr>
      <w:r>
        <w:rPr>
          <w:rFonts w:hint="eastAsia" w:ascii="宋体" w:hAnsi="宋体"/>
          <w:b/>
          <w:color w:val="auto"/>
          <w:sz w:val="24"/>
          <w:highlight w:val="none"/>
        </w:rPr>
        <w:t>注：1.此表可以根据人数进行增减调整。</w:t>
      </w:r>
    </w:p>
    <w:p w14:paraId="48C665E1">
      <w:pPr>
        <w:snapToGrid w:val="0"/>
        <w:spacing w:line="360" w:lineRule="auto"/>
        <w:ind w:firstLine="480" w:firstLineChars="200"/>
        <w:rPr>
          <w:rFonts w:ascii="宋体" w:hAnsi="宋体"/>
          <w:color w:val="auto"/>
          <w:sz w:val="24"/>
          <w:highlight w:val="none"/>
        </w:rPr>
      </w:pPr>
      <w:r>
        <w:rPr>
          <w:rFonts w:hint="eastAsia" w:ascii="新宋体" w:hAnsi="新宋体" w:eastAsia="新宋体" w:cs="新宋体"/>
          <w:color w:val="auto"/>
          <w:sz w:val="24"/>
          <w:highlight w:val="none"/>
        </w:rPr>
        <w:t>2.需按</w:t>
      </w:r>
      <w:r>
        <w:rPr>
          <w:rFonts w:hint="eastAsia" w:ascii="宋体" w:hAnsi="宋体"/>
          <w:color w:val="auto"/>
          <w:sz w:val="24"/>
          <w:highlight w:val="none"/>
        </w:rPr>
        <w:t>技术商务文件</w:t>
      </w:r>
      <w:r>
        <w:rPr>
          <w:rFonts w:hint="eastAsia" w:ascii="新宋体" w:hAnsi="新宋体" w:eastAsia="新宋体" w:cs="新宋体"/>
          <w:color w:val="auto"/>
          <w:sz w:val="24"/>
          <w:highlight w:val="none"/>
        </w:rPr>
        <w:t>评分表中的要求提供相关材料。</w:t>
      </w:r>
    </w:p>
    <w:p w14:paraId="01ABFE93">
      <w:pPr>
        <w:snapToGrid w:val="0"/>
        <w:rPr>
          <w:rFonts w:ascii="宋体" w:hAnsi="宋体"/>
          <w:color w:val="auto"/>
          <w:sz w:val="24"/>
          <w:highlight w:val="none"/>
        </w:rPr>
      </w:pPr>
    </w:p>
    <w:p w14:paraId="3A899CC8">
      <w:pPr>
        <w:pStyle w:val="534"/>
        <w:snapToGrid w:val="0"/>
        <w:spacing w:before="120" w:line="360" w:lineRule="auto"/>
        <w:rPr>
          <w:rFonts w:hint="eastAsia" w:ascii="宋体" w:hAnsi="宋体" w:cs="宋体"/>
          <w:color w:val="auto"/>
          <w:szCs w:val="24"/>
          <w:highlight w:val="none"/>
        </w:rPr>
      </w:pPr>
      <w:r>
        <w:rPr>
          <w:rFonts w:hint="eastAsia" w:ascii="宋体" w:hAnsi="宋体" w:cs="宋体"/>
          <w:color w:val="auto"/>
          <w:szCs w:val="24"/>
          <w:highlight w:val="none"/>
        </w:rPr>
        <w:t>投标人全称（电子签章）：</w:t>
      </w:r>
      <w:r>
        <w:rPr>
          <w:rFonts w:hint="eastAsia" w:ascii="宋体" w:hAnsi="宋体" w:cs="宋体"/>
          <w:color w:val="auto"/>
          <w:szCs w:val="24"/>
          <w:highlight w:val="none"/>
          <w:u w:val="single"/>
        </w:rPr>
        <w:t xml:space="preserve">                         </w:t>
      </w:r>
    </w:p>
    <w:p w14:paraId="284AB034">
      <w:pPr>
        <w:snapToGrid w:val="0"/>
        <w:spacing w:before="120" w:line="360" w:lineRule="auto"/>
        <w:ind w:right="600"/>
        <w:rPr>
          <w:rFonts w:hint="eastAsia" w:ascii="宋体" w:hAnsi="宋体" w:cs="宋体"/>
          <w:color w:val="auto"/>
          <w:sz w:val="24"/>
          <w:highlight w:val="none"/>
        </w:rPr>
      </w:pPr>
      <w:r>
        <w:rPr>
          <w:rFonts w:hint="eastAsia" w:ascii="宋体" w:hAnsi="宋体" w:cs="宋体"/>
          <w:color w:val="auto"/>
          <w:sz w:val="24"/>
          <w:highlight w:val="none"/>
        </w:rPr>
        <w:t>法定代表人或授权代表（签名或签章）：</w:t>
      </w:r>
      <w:r>
        <w:rPr>
          <w:rFonts w:hint="eastAsia" w:ascii="宋体" w:hAnsi="宋体" w:cs="宋体"/>
          <w:color w:val="auto"/>
          <w:sz w:val="24"/>
          <w:highlight w:val="none"/>
          <w:u w:val="single"/>
        </w:rPr>
        <w:t xml:space="preserve">             </w:t>
      </w:r>
    </w:p>
    <w:p w14:paraId="7DE93BEF">
      <w:pPr>
        <w:snapToGrid w:val="0"/>
        <w:spacing w:before="120" w:line="360" w:lineRule="auto"/>
        <w:rPr>
          <w:rFonts w:hint="eastAsia" w:ascii="宋体" w:hAnsi="宋体" w:cs="宋体"/>
          <w:color w:val="auto"/>
          <w:sz w:val="24"/>
          <w:highlight w:val="none"/>
          <w:u w:val="singl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年    月    日</w:t>
      </w:r>
    </w:p>
    <w:p w14:paraId="13DCB582">
      <w:pPr>
        <w:snapToGrid w:val="0"/>
        <w:spacing w:before="50" w:after="120" w:afterLines="50"/>
        <w:jc w:val="left"/>
        <w:rPr>
          <w:rFonts w:ascii="宋体" w:hAnsi="宋体"/>
          <w:b/>
          <w:color w:val="auto"/>
          <w:sz w:val="24"/>
          <w:highlight w:val="none"/>
        </w:rPr>
      </w:pPr>
    </w:p>
    <w:p w14:paraId="526675D2">
      <w:pPr>
        <w:snapToGrid w:val="0"/>
        <w:spacing w:before="50" w:after="120" w:afterLines="50"/>
        <w:jc w:val="left"/>
        <w:rPr>
          <w:rFonts w:ascii="宋体" w:hAnsi="宋体"/>
          <w:b/>
          <w:color w:val="auto"/>
          <w:sz w:val="24"/>
          <w:highlight w:val="none"/>
        </w:rPr>
      </w:pPr>
    </w:p>
    <w:p w14:paraId="5E3DFDB4">
      <w:pPr>
        <w:snapToGrid w:val="0"/>
        <w:spacing w:before="50" w:after="120" w:afterLines="50"/>
        <w:jc w:val="left"/>
        <w:rPr>
          <w:rFonts w:ascii="宋体" w:hAnsi="宋体"/>
          <w:b/>
          <w:color w:val="auto"/>
          <w:sz w:val="24"/>
          <w:highlight w:val="none"/>
        </w:rPr>
      </w:pPr>
    </w:p>
    <w:p w14:paraId="6D75AED4">
      <w:pPr>
        <w:snapToGrid w:val="0"/>
        <w:spacing w:before="50" w:after="120" w:afterLines="50"/>
        <w:jc w:val="left"/>
        <w:rPr>
          <w:rFonts w:ascii="宋体" w:hAnsi="宋体"/>
          <w:b/>
          <w:color w:val="auto"/>
          <w:sz w:val="24"/>
          <w:highlight w:val="none"/>
        </w:rPr>
      </w:pPr>
    </w:p>
    <w:p w14:paraId="6066861A">
      <w:pPr>
        <w:snapToGrid w:val="0"/>
        <w:spacing w:before="50" w:after="120" w:afterLines="50"/>
        <w:jc w:val="left"/>
        <w:rPr>
          <w:rFonts w:ascii="宋体" w:hAnsi="宋体"/>
          <w:b/>
          <w:color w:val="auto"/>
          <w:sz w:val="24"/>
          <w:highlight w:val="none"/>
        </w:rPr>
      </w:pPr>
    </w:p>
    <w:p w14:paraId="29636881">
      <w:pPr>
        <w:snapToGrid w:val="0"/>
        <w:spacing w:before="50" w:after="120" w:afterLines="50"/>
        <w:jc w:val="left"/>
        <w:rPr>
          <w:rFonts w:ascii="宋体" w:hAnsi="宋体"/>
          <w:b/>
          <w:color w:val="auto"/>
          <w:sz w:val="24"/>
          <w:highlight w:val="none"/>
        </w:rPr>
      </w:pPr>
    </w:p>
    <w:p w14:paraId="7618CB77">
      <w:pPr>
        <w:snapToGrid w:val="0"/>
        <w:spacing w:before="50" w:after="120" w:afterLines="50"/>
        <w:jc w:val="left"/>
        <w:rPr>
          <w:rFonts w:ascii="宋体" w:hAnsi="宋体"/>
          <w:b/>
          <w:color w:val="auto"/>
          <w:sz w:val="24"/>
          <w:highlight w:val="none"/>
        </w:rPr>
      </w:pPr>
    </w:p>
    <w:p w14:paraId="13E56114">
      <w:pPr>
        <w:snapToGrid w:val="0"/>
        <w:spacing w:before="50" w:after="120" w:afterLines="50"/>
        <w:jc w:val="left"/>
        <w:rPr>
          <w:rFonts w:ascii="宋体" w:hAnsi="宋体"/>
          <w:b/>
          <w:color w:val="auto"/>
          <w:sz w:val="24"/>
          <w:highlight w:val="none"/>
        </w:rPr>
      </w:pPr>
    </w:p>
    <w:p w14:paraId="1E6181CF">
      <w:pPr>
        <w:snapToGrid w:val="0"/>
        <w:spacing w:before="50" w:after="120" w:afterLines="50"/>
        <w:jc w:val="left"/>
        <w:rPr>
          <w:rFonts w:ascii="宋体" w:hAnsi="宋体"/>
          <w:b/>
          <w:color w:val="auto"/>
          <w:sz w:val="24"/>
          <w:highlight w:val="none"/>
        </w:rPr>
      </w:pPr>
    </w:p>
    <w:p w14:paraId="7822D175">
      <w:pPr>
        <w:snapToGrid w:val="0"/>
        <w:spacing w:before="120" w:beforeLines="50" w:after="50"/>
        <w:rPr>
          <w:rFonts w:ascii="宋体" w:hAnsi="宋体"/>
          <w:b/>
          <w:color w:val="auto"/>
          <w:sz w:val="24"/>
          <w:highlight w:val="none"/>
        </w:rPr>
      </w:pPr>
      <w:r>
        <w:rPr>
          <w:rFonts w:hint="eastAsia" w:ascii="宋体" w:hAnsi="宋体"/>
          <w:b/>
          <w:color w:val="auto"/>
          <w:sz w:val="24"/>
          <w:highlight w:val="none"/>
        </w:rPr>
        <w:br w:type="page"/>
      </w:r>
      <w:bookmarkStart w:id="510" w:name="_Toc10049"/>
      <w:r>
        <w:rPr>
          <w:rFonts w:hint="eastAsia" w:ascii="宋体" w:hAnsi="宋体" w:cs="宋体"/>
          <w:color w:val="auto"/>
          <w:sz w:val="28"/>
          <w:szCs w:val="28"/>
          <w:highlight w:val="none"/>
        </w:rPr>
        <w:t>附件20</w:t>
      </w:r>
      <w:bookmarkEnd w:id="510"/>
    </w:p>
    <w:p w14:paraId="46C6D9EE">
      <w:pPr>
        <w:snapToGrid w:val="0"/>
        <w:spacing w:before="120" w:beforeLines="50" w:after="50"/>
        <w:jc w:val="center"/>
        <w:rPr>
          <w:rFonts w:hint="eastAsia" w:ascii="宋体" w:hAnsi="宋体"/>
          <w:b/>
          <w:color w:val="auto"/>
          <w:sz w:val="24"/>
          <w:highlight w:val="none"/>
        </w:rPr>
      </w:pPr>
    </w:p>
    <w:p w14:paraId="019E5FDC">
      <w:pPr>
        <w:pStyle w:val="13"/>
        <w:spacing w:line="360" w:lineRule="auto"/>
        <w:ind w:firstLine="0"/>
        <w:jc w:val="center"/>
        <w:rPr>
          <w:rFonts w:hint="eastAsia" w:ascii="仿宋_GB2312" w:hAnsi="仿宋_GB2312" w:eastAsia="仿宋_GB2312" w:cs="仿宋_GB2312"/>
          <w:b/>
          <w:color w:val="auto"/>
          <w:sz w:val="32"/>
          <w:szCs w:val="32"/>
          <w:highlight w:val="none"/>
        </w:rPr>
      </w:pPr>
      <w:bookmarkStart w:id="511" w:name="_Toc21200"/>
      <w:r>
        <w:rPr>
          <w:rFonts w:hint="eastAsia" w:ascii="仿宋_GB2312" w:hAnsi="仿宋_GB2312" w:eastAsia="仿宋_GB2312" w:cs="仿宋_GB2312"/>
          <w:b/>
          <w:color w:val="auto"/>
          <w:sz w:val="32"/>
          <w:szCs w:val="32"/>
          <w:highlight w:val="none"/>
        </w:rPr>
        <w:t>投标函</w:t>
      </w:r>
      <w:bookmarkEnd w:id="511"/>
    </w:p>
    <w:p w14:paraId="48B2BD24">
      <w:pPr>
        <w:pStyle w:val="383"/>
        <w:tabs>
          <w:tab w:val="left" w:pos="0"/>
        </w:tabs>
        <w:spacing w:line="480" w:lineRule="exact"/>
        <w:rPr>
          <w:rFonts w:hint="eastAsia" w:hAnsi="宋体" w:cs="宋体"/>
          <w:color w:val="auto"/>
          <w:sz w:val="24"/>
          <w:highlight w:val="none"/>
        </w:rPr>
      </w:pPr>
      <w:r>
        <w:rPr>
          <w:rFonts w:hint="eastAsia" w:hAnsi="宋体" w:cs="宋体"/>
          <w:color w:val="auto"/>
          <w:sz w:val="24"/>
          <w:highlight w:val="none"/>
        </w:rPr>
        <w:t>致：</w:t>
      </w:r>
      <w:r>
        <w:rPr>
          <w:rFonts w:hint="eastAsia" w:hAnsi="宋体" w:cs="宋体"/>
          <w:color w:val="auto"/>
          <w:kern w:val="2"/>
          <w:sz w:val="24"/>
          <w:szCs w:val="24"/>
          <w:highlight w:val="none"/>
          <w:u w:val="single"/>
        </w:rPr>
        <w:t>（采购人名称）</w:t>
      </w:r>
      <w:r>
        <w:rPr>
          <w:rFonts w:hint="eastAsia" w:hAnsi="宋体" w:cs="宋体"/>
          <w:color w:val="auto"/>
          <w:sz w:val="24"/>
          <w:highlight w:val="none"/>
        </w:rPr>
        <w:t>：</w:t>
      </w:r>
    </w:p>
    <w:p w14:paraId="6A5BAF5F">
      <w:pPr>
        <w:pStyle w:val="383"/>
        <w:tabs>
          <w:tab w:val="left" w:pos="0"/>
        </w:tabs>
        <w:spacing w:line="480" w:lineRule="exact"/>
        <w:ind w:firstLine="480" w:firstLineChars="200"/>
        <w:rPr>
          <w:rFonts w:hint="eastAsia" w:hAnsi="宋体" w:cs="宋体"/>
          <w:color w:val="auto"/>
          <w:kern w:val="2"/>
          <w:sz w:val="24"/>
          <w:szCs w:val="24"/>
          <w:highlight w:val="none"/>
        </w:rPr>
      </w:pPr>
      <w:r>
        <w:rPr>
          <w:rFonts w:hint="eastAsia" w:hAnsi="宋体" w:cs="宋体"/>
          <w:color w:val="auto"/>
          <w:kern w:val="2"/>
          <w:sz w:val="24"/>
          <w:szCs w:val="24"/>
          <w:highlight w:val="none"/>
        </w:rPr>
        <w:t>根据贵方</w:t>
      </w:r>
      <w:r>
        <w:rPr>
          <w:rFonts w:hint="eastAsia" w:hAnsi="宋体" w:cs="宋体"/>
          <w:color w:val="auto"/>
          <w:kern w:val="2"/>
          <w:sz w:val="24"/>
          <w:szCs w:val="24"/>
          <w:highlight w:val="none"/>
          <w:u w:val="single"/>
        </w:rPr>
        <w:t>（项目名称）（项目编号）（标项）</w:t>
      </w:r>
      <w:r>
        <w:rPr>
          <w:rFonts w:hint="eastAsia" w:hAnsi="宋体" w:cs="宋体"/>
          <w:color w:val="auto"/>
          <w:sz w:val="24"/>
          <w:szCs w:val="21"/>
          <w:highlight w:val="none"/>
          <w:u w:val="single"/>
        </w:rPr>
        <w:t xml:space="preserve"> </w:t>
      </w:r>
      <w:r>
        <w:rPr>
          <w:rFonts w:hint="eastAsia" w:hAnsi="宋体" w:cs="宋体"/>
          <w:color w:val="auto"/>
          <w:kern w:val="2"/>
          <w:sz w:val="24"/>
          <w:szCs w:val="24"/>
          <w:highlight w:val="none"/>
        </w:rPr>
        <w:t>的招标文件要求，正式授权下述签字人（</w:t>
      </w:r>
      <w:r>
        <w:rPr>
          <w:rFonts w:hint="eastAsia" w:hAnsi="宋体" w:cs="宋体"/>
          <w:color w:val="auto"/>
          <w:kern w:val="2"/>
          <w:sz w:val="24"/>
          <w:szCs w:val="24"/>
          <w:highlight w:val="none"/>
          <w:u w:val="single"/>
        </w:rPr>
        <w:t>姓名和职务）</w:t>
      </w:r>
      <w:r>
        <w:rPr>
          <w:rFonts w:hint="eastAsia" w:hAnsi="宋体" w:cs="宋体"/>
          <w:color w:val="auto"/>
          <w:kern w:val="2"/>
          <w:sz w:val="24"/>
          <w:szCs w:val="24"/>
          <w:highlight w:val="none"/>
        </w:rPr>
        <w:t>全权代表投标人（</w:t>
      </w:r>
      <w:r>
        <w:rPr>
          <w:rFonts w:hint="eastAsia" w:hAnsi="宋体" w:cs="宋体"/>
          <w:color w:val="auto"/>
          <w:kern w:val="2"/>
          <w:sz w:val="24"/>
          <w:szCs w:val="24"/>
          <w:highlight w:val="none"/>
          <w:u w:val="single"/>
        </w:rPr>
        <w:t>投标人全称</w:t>
      </w:r>
      <w:r>
        <w:rPr>
          <w:rFonts w:hint="eastAsia" w:hAnsi="宋体" w:cs="宋体"/>
          <w:color w:val="auto"/>
          <w:kern w:val="2"/>
          <w:sz w:val="24"/>
          <w:szCs w:val="24"/>
          <w:highlight w:val="none"/>
        </w:rPr>
        <w:t>）参加贵方组织的有关招标活动，并提交下述文件：</w:t>
      </w:r>
    </w:p>
    <w:p w14:paraId="2C331020">
      <w:pPr>
        <w:pStyle w:val="383"/>
        <w:tabs>
          <w:tab w:val="left" w:pos="0"/>
        </w:tabs>
        <w:spacing w:line="480" w:lineRule="exact"/>
        <w:ind w:firstLine="480" w:firstLineChars="200"/>
        <w:rPr>
          <w:rFonts w:hint="eastAsia" w:hAnsi="宋体" w:cs="宋体"/>
          <w:color w:val="auto"/>
          <w:sz w:val="24"/>
          <w:szCs w:val="21"/>
          <w:highlight w:val="none"/>
        </w:rPr>
      </w:pPr>
      <w:r>
        <w:rPr>
          <w:rFonts w:hint="eastAsia" w:hAnsi="宋体" w:cs="宋体"/>
          <w:color w:val="auto"/>
          <w:sz w:val="24"/>
          <w:szCs w:val="21"/>
          <w:highlight w:val="none"/>
        </w:rPr>
        <w:t>政府采购云系统提交电子加密投标文件</w:t>
      </w:r>
      <w:r>
        <w:rPr>
          <w:rFonts w:hint="eastAsia" w:hAnsi="宋体" w:cs="宋体"/>
          <w:color w:val="auto"/>
          <w:sz w:val="24"/>
          <w:szCs w:val="21"/>
          <w:highlight w:val="none"/>
          <w:u w:val="single"/>
        </w:rPr>
        <w:t xml:space="preserve">   </w:t>
      </w:r>
      <w:r>
        <w:rPr>
          <w:rFonts w:hint="eastAsia" w:hAnsi="宋体" w:cs="宋体"/>
          <w:color w:val="auto"/>
          <w:sz w:val="24"/>
          <w:szCs w:val="21"/>
          <w:highlight w:val="none"/>
        </w:rPr>
        <w:t>份；</w:t>
      </w:r>
    </w:p>
    <w:p w14:paraId="68D73102">
      <w:pPr>
        <w:pStyle w:val="383"/>
        <w:spacing w:line="480" w:lineRule="exact"/>
        <w:ind w:firstLine="480" w:firstLineChars="200"/>
        <w:rPr>
          <w:rFonts w:hint="eastAsia" w:hAnsi="宋体" w:cs="宋体"/>
          <w:color w:val="auto"/>
          <w:sz w:val="24"/>
          <w:szCs w:val="21"/>
          <w:highlight w:val="none"/>
        </w:rPr>
      </w:pPr>
      <w:r>
        <w:rPr>
          <w:rFonts w:hint="eastAsia" w:hAnsi="宋体" w:cs="宋体"/>
          <w:color w:val="auto"/>
          <w:sz w:val="24"/>
          <w:szCs w:val="24"/>
          <w:highlight w:val="none"/>
        </w:rPr>
        <w:t>提交备份电子投标文件（打包压缩加密）</w:t>
      </w:r>
      <w:r>
        <w:rPr>
          <w:rFonts w:hint="eastAsia" w:hAnsi="宋体" w:cs="宋体"/>
          <w:color w:val="auto"/>
          <w:sz w:val="24"/>
          <w:szCs w:val="21"/>
          <w:highlight w:val="none"/>
          <w:u w:val="single"/>
        </w:rPr>
        <w:t xml:space="preserve">   </w:t>
      </w:r>
      <w:r>
        <w:rPr>
          <w:rFonts w:hint="eastAsia" w:hAnsi="宋体" w:cs="宋体"/>
          <w:color w:val="auto"/>
          <w:sz w:val="24"/>
          <w:szCs w:val="21"/>
          <w:highlight w:val="none"/>
        </w:rPr>
        <w:t>份；</w:t>
      </w:r>
    </w:p>
    <w:p w14:paraId="4A58646C">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据此函我方就本次投标有关事项郑重承诺如下：</w:t>
      </w:r>
    </w:p>
    <w:p w14:paraId="641EC1A3">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1.我方向贵方提交的所有投标文件、资料都是准确的和真实的。</w:t>
      </w:r>
    </w:p>
    <w:p w14:paraId="2774C96C">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2.我方承诺已经具备《中华人民共和国政府采购法》《中华人民共和国政府采购法实施条例》中规定的参加政府采购活动的投标人应当具备的条件，并真实提供相关材料。</w:t>
      </w:r>
    </w:p>
    <w:p w14:paraId="47141004">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3.如果我方中标，将派出</w:t>
      </w:r>
      <w:r>
        <w:rPr>
          <w:rFonts w:hint="eastAsia" w:ascii="宋体" w:hAnsi="宋体" w:cs="宋体"/>
          <w:color w:val="auto"/>
          <w:sz w:val="24"/>
          <w:highlight w:val="none"/>
          <w:u w:val="single"/>
        </w:rPr>
        <w:t>（姓名及身份证号码）</w:t>
      </w:r>
      <w:r>
        <w:rPr>
          <w:rFonts w:hint="eastAsia" w:ascii="宋体" w:hAnsi="宋体" w:cs="宋体"/>
          <w:color w:val="auto"/>
          <w:sz w:val="24"/>
          <w:szCs w:val="21"/>
          <w:highlight w:val="none"/>
          <w:u w:val="single"/>
        </w:rPr>
        <w:t>，</w:t>
      </w:r>
      <w:r>
        <w:rPr>
          <w:rFonts w:hint="eastAsia" w:ascii="宋体" w:hAnsi="宋体" w:cs="宋体"/>
          <w:color w:val="auto"/>
          <w:sz w:val="24"/>
          <w:highlight w:val="none"/>
        </w:rPr>
        <w:t>作为本项目与采购单位联系的项目实施负责人，联系手机号码：</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。在项目实施过程中，并承诺项目实施负责人不更换，若确需要更换的，书面征得采购人同意后才准予更换。</w:t>
      </w:r>
    </w:p>
    <w:p w14:paraId="6A99CF12">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4.我方的投标有效期自在开标日起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天内有效。如果在开标后规定的投标有效期内撤回投标，贵方可按相关规定处理我方。</w:t>
      </w:r>
    </w:p>
    <w:p w14:paraId="4B1738F9">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5.我方在投标之前已经与贵方进行了充分的沟通，完全理解并接受招标文件的各项规定和要求，对招标文件的合理性、合法性不再有异议。</w:t>
      </w:r>
    </w:p>
    <w:p w14:paraId="1A27AC64">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我方愿意向贵方提供真实完整的任何与该项投标有关的数据、情况和技术资料。若贵方需要，我方愿意提供我方作出的一切承诺的相关材料。</w:t>
      </w:r>
    </w:p>
    <w:p w14:paraId="796F1BFB">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6.我方已详细审核全部招标文件，包括招标文件的澄清或修改文件（如有的话）、参考资料及有关附件，已经了解我方对于招标文件、采购过程、采购结果有依法进行询问、质疑、投诉的权利及相关渠道和要求。</w:t>
      </w:r>
    </w:p>
    <w:p w14:paraId="4D7B8D42">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7.我方不是采购人的附属机构，并未为本项目提供整体设计、规范编制或者项目管理、监理、监测等服务。</w:t>
      </w:r>
    </w:p>
    <w:p w14:paraId="2FC7442C">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8.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114F9429">
      <w:pPr>
        <w:spacing w:line="480" w:lineRule="exact"/>
        <w:ind w:firstLine="480"/>
        <w:rPr>
          <w:rFonts w:hint="eastAsia" w:ascii="宋体" w:hAnsi="宋体" w:cs="宋体"/>
          <w:color w:val="auto"/>
          <w:sz w:val="24"/>
          <w:highlight w:val="none"/>
        </w:rPr>
      </w:pPr>
      <w:bookmarkStart w:id="512" w:name="_Toc3948"/>
      <w:r>
        <w:rPr>
          <w:rFonts w:hint="eastAsia" w:ascii="宋体" w:hAnsi="宋体" w:cs="宋体"/>
          <w:color w:val="auto"/>
          <w:sz w:val="24"/>
          <w:highlight w:val="none"/>
        </w:rPr>
        <w:t>（一）提供虚假材料谋取中标、中标的；</w:t>
      </w:r>
      <w:bookmarkEnd w:id="512"/>
    </w:p>
    <w:p w14:paraId="79AEAFC6">
      <w:pPr>
        <w:spacing w:line="480" w:lineRule="exact"/>
        <w:ind w:firstLine="480"/>
        <w:rPr>
          <w:rFonts w:hint="eastAsia" w:ascii="宋体" w:hAnsi="宋体" w:cs="宋体"/>
          <w:color w:val="auto"/>
          <w:sz w:val="24"/>
          <w:highlight w:val="none"/>
        </w:rPr>
      </w:pPr>
      <w:bookmarkStart w:id="513" w:name="_Toc15281"/>
      <w:r>
        <w:rPr>
          <w:rFonts w:hint="eastAsia" w:ascii="宋体" w:hAnsi="宋体" w:cs="宋体"/>
          <w:color w:val="auto"/>
          <w:sz w:val="24"/>
          <w:highlight w:val="none"/>
        </w:rPr>
        <w:t>（二）采取不正当手段诋毁、排挤其他投标人的；</w:t>
      </w:r>
      <w:bookmarkEnd w:id="513"/>
    </w:p>
    <w:p w14:paraId="3C7D70B7">
      <w:pPr>
        <w:spacing w:line="480" w:lineRule="exact"/>
        <w:ind w:firstLine="480"/>
        <w:rPr>
          <w:rFonts w:hint="eastAsia" w:ascii="宋体" w:hAnsi="宋体" w:cs="宋体"/>
          <w:color w:val="auto"/>
          <w:sz w:val="24"/>
          <w:highlight w:val="none"/>
        </w:rPr>
      </w:pPr>
      <w:bookmarkStart w:id="514" w:name="_Toc28866"/>
      <w:r>
        <w:rPr>
          <w:rFonts w:hint="eastAsia" w:ascii="宋体" w:hAnsi="宋体" w:cs="宋体"/>
          <w:color w:val="auto"/>
          <w:sz w:val="24"/>
          <w:highlight w:val="none"/>
        </w:rPr>
        <w:t>（三）与采购人、其他投标人或者采购代理机构恶意串通的；</w:t>
      </w:r>
      <w:bookmarkEnd w:id="514"/>
    </w:p>
    <w:p w14:paraId="4C50555D">
      <w:pPr>
        <w:spacing w:line="480" w:lineRule="exact"/>
        <w:ind w:firstLine="480"/>
        <w:rPr>
          <w:rFonts w:hint="eastAsia" w:ascii="宋体" w:hAnsi="宋体" w:cs="宋体"/>
          <w:color w:val="auto"/>
          <w:sz w:val="24"/>
          <w:highlight w:val="none"/>
        </w:rPr>
      </w:pPr>
      <w:bookmarkStart w:id="515" w:name="_Toc17244"/>
      <w:r>
        <w:rPr>
          <w:rFonts w:hint="eastAsia" w:ascii="宋体" w:hAnsi="宋体" w:cs="宋体"/>
          <w:color w:val="auto"/>
          <w:sz w:val="24"/>
          <w:highlight w:val="none"/>
        </w:rPr>
        <w:t>（四）向采购人、采购代理机构行贿或者提供其他不正当利益的；</w:t>
      </w:r>
      <w:bookmarkEnd w:id="515"/>
    </w:p>
    <w:p w14:paraId="26D81B26">
      <w:pPr>
        <w:spacing w:line="480" w:lineRule="exact"/>
        <w:ind w:firstLine="480"/>
        <w:rPr>
          <w:rFonts w:hint="eastAsia" w:ascii="宋体" w:hAnsi="宋体" w:cs="宋体"/>
          <w:color w:val="auto"/>
          <w:sz w:val="24"/>
          <w:highlight w:val="none"/>
        </w:rPr>
      </w:pPr>
      <w:bookmarkStart w:id="516" w:name="_Toc22488"/>
      <w:r>
        <w:rPr>
          <w:rFonts w:hint="eastAsia" w:ascii="宋体" w:hAnsi="宋体" w:cs="宋体"/>
          <w:color w:val="auto"/>
          <w:sz w:val="24"/>
          <w:highlight w:val="none"/>
        </w:rPr>
        <w:t>（五）在招标采购过程中与采购人进行协商谈判的；</w:t>
      </w:r>
      <w:bookmarkEnd w:id="516"/>
    </w:p>
    <w:p w14:paraId="773F7A29">
      <w:pPr>
        <w:spacing w:line="480" w:lineRule="exact"/>
        <w:ind w:firstLine="480"/>
        <w:rPr>
          <w:rFonts w:hint="eastAsia" w:ascii="宋体" w:hAnsi="宋体" w:cs="宋体"/>
          <w:color w:val="auto"/>
          <w:sz w:val="24"/>
          <w:highlight w:val="none"/>
        </w:rPr>
      </w:pPr>
      <w:bookmarkStart w:id="517" w:name="_Toc4216"/>
      <w:r>
        <w:rPr>
          <w:rFonts w:hint="eastAsia" w:ascii="宋体" w:hAnsi="宋体" w:cs="宋体"/>
          <w:color w:val="auto"/>
          <w:sz w:val="24"/>
          <w:highlight w:val="none"/>
        </w:rPr>
        <w:t>（六）拒绝有关部门监督检查或提供虚假情况的。</w:t>
      </w:r>
      <w:bookmarkEnd w:id="517"/>
    </w:p>
    <w:p w14:paraId="79108DF5">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9.如中标，本投标文件至本项目合同履行完毕止均保持有效，我方将按招标文件及政府采购法律、法规的规定履行合同责任和义务。</w:t>
      </w:r>
    </w:p>
    <w:p w14:paraId="508614EE">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10.以上事项如有虚假或隐瞒，我方愿意承担一切不利后果，并不再寻求任何旨在减轻或免除法律责任。</w:t>
      </w:r>
    </w:p>
    <w:p w14:paraId="3F207851">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与本次投标有关的一切正式往来信函请寄：</w:t>
      </w:r>
    </w:p>
    <w:p w14:paraId="02837780">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 xml:space="preserve">地址：                  邮编：           </w:t>
      </w:r>
    </w:p>
    <w:p w14:paraId="24DD8F0F">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 xml:space="preserve">电话：                  传真：           </w:t>
      </w:r>
    </w:p>
    <w:p w14:paraId="21E28083">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投标人盖章</w:t>
      </w:r>
      <w:r>
        <w:rPr>
          <w:rFonts w:hint="eastAsia" w:ascii="宋体" w:hAnsi="宋体" w:cs="宋体"/>
          <w:color w:val="auto"/>
          <w:kern w:val="0"/>
          <w:sz w:val="24"/>
          <w:highlight w:val="none"/>
          <w:lang w:val="zh-CN"/>
        </w:rPr>
        <w:t>(电子签名）</w:t>
      </w:r>
      <w:r>
        <w:rPr>
          <w:rFonts w:hint="eastAsia" w:ascii="宋体" w:hAnsi="宋体" w:cs="宋体"/>
          <w:color w:val="auto"/>
          <w:sz w:val="24"/>
          <w:highlight w:val="none"/>
        </w:rPr>
        <w:t xml:space="preserve">：                </w:t>
      </w:r>
    </w:p>
    <w:p w14:paraId="76DB809E">
      <w:pPr>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 xml:space="preserve">日      期：                </w:t>
      </w:r>
    </w:p>
    <w:p w14:paraId="2A485EA6">
      <w:pPr>
        <w:snapToGrid w:val="0"/>
        <w:spacing w:before="50" w:after="120" w:afterLines="50"/>
        <w:jc w:val="left"/>
        <w:rPr>
          <w:rFonts w:ascii="宋体" w:hAnsi="宋体"/>
          <w:color w:val="auto"/>
          <w:sz w:val="24"/>
          <w:highlight w:val="none"/>
        </w:rPr>
      </w:pPr>
      <w:r>
        <w:rPr>
          <w:rFonts w:hint="eastAsia" w:ascii="宋体" w:hAnsi="宋体"/>
          <w:color w:val="auto"/>
          <w:sz w:val="24"/>
          <w:highlight w:val="none"/>
        </w:rPr>
        <w:br w:type="page"/>
      </w:r>
      <w:r>
        <w:rPr>
          <w:rFonts w:hint="eastAsia" w:ascii="宋体" w:hAnsi="宋体" w:cs="宋体"/>
          <w:color w:val="auto"/>
          <w:sz w:val="28"/>
          <w:szCs w:val="28"/>
          <w:highlight w:val="none"/>
        </w:rPr>
        <w:t>附件21</w:t>
      </w:r>
    </w:p>
    <w:p w14:paraId="3258EC07">
      <w:pPr>
        <w:jc w:val="center"/>
        <w:rPr>
          <w:rFonts w:ascii="宋体" w:hAnsi="宋体"/>
          <w:color w:val="auto"/>
          <w:sz w:val="24"/>
          <w:highlight w:val="none"/>
        </w:rPr>
      </w:pPr>
      <w:bookmarkStart w:id="518" w:name="_Toc3018"/>
      <w:bookmarkStart w:id="519" w:name="_Toc12234"/>
      <w:bookmarkStart w:id="520" w:name="_Toc29586"/>
      <w:bookmarkStart w:id="521" w:name="_Toc28486"/>
      <w:bookmarkStart w:id="522" w:name="_Toc4667"/>
      <w:r>
        <w:rPr>
          <w:rFonts w:hint="eastAsia" w:ascii="黑体" w:hAnsi="宋体" w:eastAsia="黑体"/>
          <w:b/>
          <w:bCs/>
          <w:color w:val="auto"/>
          <w:kern w:val="0"/>
          <w:sz w:val="32"/>
          <w:szCs w:val="32"/>
          <w:highlight w:val="none"/>
          <w:lang w:val="zh-CN"/>
        </w:rPr>
        <w:t>开标一览表</w:t>
      </w:r>
      <w:bookmarkEnd w:id="518"/>
      <w:bookmarkEnd w:id="519"/>
      <w:bookmarkEnd w:id="520"/>
      <w:bookmarkEnd w:id="521"/>
      <w:bookmarkEnd w:id="522"/>
    </w:p>
    <w:p w14:paraId="63625DB9">
      <w:pPr>
        <w:tabs>
          <w:tab w:val="left" w:pos="1418"/>
        </w:tabs>
        <w:snapToGrid w:val="0"/>
        <w:spacing w:line="400" w:lineRule="exact"/>
        <w:ind w:left="6719" w:leftChars="228" w:hanging="6240" w:hangingChars="2600"/>
        <w:rPr>
          <w:color w:val="auto"/>
          <w:sz w:val="24"/>
          <w:highlight w:val="none"/>
        </w:rPr>
      </w:pPr>
      <w:r>
        <w:rPr>
          <w:rFonts w:hint="eastAsia"/>
          <w:color w:val="auto"/>
          <w:sz w:val="24"/>
          <w:highlight w:val="none"/>
        </w:rPr>
        <w:t>　　　　                                                  单位：人民币元</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30"/>
        <w:gridCol w:w="6343"/>
      </w:tblGrid>
      <w:tr w14:paraId="37D65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4" w:hRule="atLeast"/>
          <w:jc w:val="center"/>
        </w:trPr>
        <w:tc>
          <w:tcPr>
            <w:tcW w:w="3130" w:type="dxa"/>
            <w:vAlign w:val="center"/>
          </w:tcPr>
          <w:p w14:paraId="58DF7614">
            <w:pPr>
              <w:jc w:val="center"/>
              <w:rPr>
                <w:rFonts w:hint="eastAsia" w:ascii="宋体" w:hAnsi="宋体"/>
                <w:color w:val="auto"/>
                <w:sz w:val="24"/>
                <w:highlight w:val="none"/>
              </w:rPr>
            </w:pPr>
            <w:r>
              <w:rPr>
                <w:rFonts w:hint="eastAsia" w:ascii="宋体" w:hAnsi="宋体"/>
                <w:color w:val="auto"/>
                <w:sz w:val="24"/>
                <w:highlight w:val="none"/>
              </w:rPr>
              <w:t>项目名称</w:t>
            </w:r>
          </w:p>
        </w:tc>
        <w:tc>
          <w:tcPr>
            <w:tcW w:w="6343" w:type="dxa"/>
            <w:vAlign w:val="center"/>
          </w:tcPr>
          <w:p w14:paraId="4499344F">
            <w:pPr>
              <w:pStyle w:val="49"/>
              <w:jc w:val="center"/>
              <w:rPr>
                <w:rFonts w:hint="eastAsia"/>
                <w:color w:val="auto"/>
                <w:highlight w:val="none"/>
              </w:rPr>
            </w:pPr>
          </w:p>
        </w:tc>
      </w:tr>
      <w:tr w14:paraId="1CECA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9" w:hRule="atLeast"/>
          <w:jc w:val="center"/>
        </w:trPr>
        <w:tc>
          <w:tcPr>
            <w:tcW w:w="3130" w:type="dxa"/>
            <w:vAlign w:val="center"/>
          </w:tcPr>
          <w:p w14:paraId="6BB2600C">
            <w:pPr>
              <w:jc w:val="center"/>
              <w:rPr>
                <w:rFonts w:hint="eastAsia" w:ascii="宋体" w:hAnsi="宋体"/>
                <w:color w:val="auto"/>
                <w:sz w:val="24"/>
                <w:highlight w:val="none"/>
              </w:rPr>
            </w:pPr>
            <w:r>
              <w:rPr>
                <w:rFonts w:hint="eastAsia" w:ascii="宋体" w:hAnsi="宋体"/>
                <w:color w:val="auto"/>
                <w:sz w:val="24"/>
                <w:highlight w:val="none"/>
              </w:rPr>
              <w:t>项目编号</w:t>
            </w:r>
          </w:p>
        </w:tc>
        <w:tc>
          <w:tcPr>
            <w:tcW w:w="6343" w:type="dxa"/>
            <w:vAlign w:val="center"/>
          </w:tcPr>
          <w:p w14:paraId="7DC7C622">
            <w:pPr>
              <w:pStyle w:val="49"/>
              <w:jc w:val="center"/>
              <w:rPr>
                <w:rFonts w:hint="eastAsia"/>
                <w:color w:val="auto"/>
                <w:highlight w:val="none"/>
              </w:rPr>
            </w:pPr>
          </w:p>
        </w:tc>
      </w:tr>
      <w:tr w14:paraId="1CB4A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38" w:hRule="atLeast"/>
          <w:jc w:val="center"/>
        </w:trPr>
        <w:tc>
          <w:tcPr>
            <w:tcW w:w="3130" w:type="dxa"/>
            <w:vAlign w:val="center"/>
          </w:tcPr>
          <w:p w14:paraId="10FE32CA">
            <w:pPr>
              <w:jc w:val="center"/>
              <w:rPr>
                <w:rFonts w:hint="eastAsia" w:ascii="宋体" w:hAnsi="宋体"/>
                <w:color w:val="auto"/>
                <w:sz w:val="24"/>
                <w:highlight w:val="none"/>
              </w:rPr>
            </w:pPr>
            <w:r>
              <w:rPr>
                <w:rFonts w:hint="eastAsia" w:ascii="宋体" w:hAnsi="宋体" w:cs="宋体"/>
                <w:color w:val="auto"/>
                <w:sz w:val="24"/>
                <w:highlight w:val="none"/>
              </w:rPr>
              <w:t>投标报价</w:t>
            </w:r>
          </w:p>
        </w:tc>
        <w:tc>
          <w:tcPr>
            <w:tcW w:w="6343" w:type="dxa"/>
            <w:vAlign w:val="center"/>
          </w:tcPr>
          <w:p w14:paraId="5C37767E">
            <w:pPr>
              <w:widowControl/>
              <w:jc w:val="left"/>
              <w:rPr>
                <w:rFonts w:hint="eastAsia" w:ascii="宋体" w:hAnsi="宋体" w:eastAsia="宋体" w:cs="宋体"/>
                <w:color w:val="auto"/>
                <w:kern w:val="0"/>
                <w:sz w:val="24"/>
                <w:highlight w:val="none"/>
                <w:u w:val="single"/>
                <w:lang w:val="en-US" w:eastAsia="zh-CN"/>
              </w:rPr>
            </w:pPr>
            <w:r>
              <w:rPr>
                <w:rFonts w:hint="eastAsia" w:ascii="宋体" w:hAnsi="宋体" w:cs="宋体"/>
                <w:color w:val="auto"/>
                <w:kern w:val="0"/>
                <w:sz w:val="24"/>
                <w:highlight w:val="none"/>
              </w:rPr>
              <w:t>（大写）:</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元</w:t>
            </w:r>
          </w:p>
          <w:p w14:paraId="36A60994">
            <w:pPr>
              <w:pStyle w:val="49"/>
              <w:jc w:val="both"/>
              <w:rPr>
                <w:rFonts w:hint="eastAsia" w:cs="宋体"/>
                <w:color w:val="auto"/>
                <w:highlight w:val="none"/>
              </w:rPr>
            </w:pPr>
          </w:p>
          <w:p w14:paraId="1AA55814">
            <w:pPr>
              <w:pStyle w:val="49"/>
              <w:jc w:val="both"/>
              <w:rPr>
                <w:rFonts w:hint="eastAsia"/>
                <w:b/>
                <w:bCs/>
                <w:color w:val="auto"/>
                <w:highlight w:val="none"/>
              </w:rPr>
            </w:pPr>
            <w:r>
              <w:rPr>
                <w:rFonts w:hint="eastAsia" w:cs="宋体"/>
                <w:color w:val="auto"/>
                <w:highlight w:val="none"/>
              </w:rPr>
              <w:t>（小写）:</w:t>
            </w:r>
            <w:r>
              <w:rPr>
                <w:rFonts w:ascii="Arial" w:hAnsi="Arial" w:cs="Arial"/>
                <w:color w:val="auto"/>
                <w:highlight w:val="none"/>
              </w:rPr>
              <w:t>¥</w:t>
            </w:r>
            <w:r>
              <w:rPr>
                <w:rFonts w:hint="eastAsia" w:cs="宋体"/>
                <w:color w:val="auto"/>
                <w:highlight w:val="none"/>
                <w:u w:val="single"/>
              </w:rPr>
              <w:t xml:space="preserve">             </w:t>
            </w:r>
            <w:r>
              <w:rPr>
                <w:rFonts w:hint="eastAsia" w:cs="宋体"/>
                <w:color w:val="auto"/>
                <w:highlight w:val="none"/>
              </w:rPr>
              <w:t>元</w:t>
            </w:r>
          </w:p>
        </w:tc>
      </w:tr>
    </w:tbl>
    <w:p w14:paraId="02665655">
      <w:pPr>
        <w:pStyle w:val="30"/>
        <w:spacing w:before="0" w:after="0"/>
        <w:rPr>
          <w:rFonts w:hAnsi="宋体" w:cs="宋体"/>
          <w:color w:val="auto"/>
          <w:highlight w:val="none"/>
        </w:rPr>
      </w:pPr>
      <w:r>
        <w:rPr>
          <w:rFonts w:hint="eastAsia" w:hAnsi="宋体" w:cs="宋体"/>
          <w:color w:val="auto"/>
          <w:highlight w:val="none"/>
        </w:rPr>
        <w:t>注1.▲报价请精确到元，不得出现元后面的报价。</w:t>
      </w:r>
    </w:p>
    <w:p w14:paraId="016C6CC8">
      <w:pPr>
        <w:pStyle w:val="30"/>
        <w:spacing w:before="0" w:after="0"/>
        <w:rPr>
          <w:rFonts w:hAnsi="宋体" w:cs="宋体"/>
          <w:color w:val="auto"/>
          <w:highlight w:val="none"/>
        </w:rPr>
      </w:pPr>
      <w:r>
        <w:rPr>
          <w:rFonts w:hint="eastAsia" w:hAnsi="宋体" w:cs="宋体"/>
          <w:color w:val="auto"/>
          <w:highlight w:val="none"/>
        </w:rPr>
        <w:t xml:space="preserve">    2.▲报价一经涂改，应在涂改处加盖单位公章或由法定代表人或授权委托人签字或盖章，否则其报价文件不进入评审。</w:t>
      </w:r>
    </w:p>
    <w:p w14:paraId="13659290">
      <w:pPr>
        <w:spacing w:line="400" w:lineRule="exact"/>
        <w:ind w:firstLine="480" w:firstLineChars="200"/>
        <w:rPr>
          <w:rFonts w:hint="eastAsia" w:ascii="宋体" w:hAnsi="宋体"/>
          <w:color w:val="auto"/>
          <w:sz w:val="24"/>
          <w:highlight w:val="none"/>
        </w:rPr>
      </w:pPr>
      <w:r>
        <w:rPr>
          <w:rFonts w:hint="eastAsia" w:ascii="宋体" w:hAnsi="宋体"/>
          <w:color w:val="auto"/>
          <w:sz w:val="24"/>
          <w:highlight w:val="none"/>
        </w:rPr>
        <w:t>3.投标方的投标报价为整个采购项目的总报价，如有漏项，视同已包含在其总项目中，合同总价不作调整</w:t>
      </w:r>
      <w:r>
        <w:rPr>
          <w:rFonts w:hint="eastAsia" w:ascii="宋体" w:hAnsi="宋体" w:cs="仿宋"/>
          <w:color w:val="auto"/>
          <w:sz w:val="24"/>
          <w:highlight w:val="none"/>
        </w:rPr>
        <w:t>。</w:t>
      </w:r>
    </w:p>
    <w:p w14:paraId="0D871CCC">
      <w:pPr>
        <w:pStyle w:val="534"/>
        <w:snapToGrid w:val="0"/>
        <w:spacing w:before="120" w:line="360" w:lineRule="auto"/>
        <w:rPr>
          <w:rFonts w:hint="eastAsia" w:ascii="宋体" w:hAnsi="宋体" w:cs="宋体"/>
          <w:color w:val="auto"/>
          <w:szCs w:val="24"/>
          <w:highlight w:val="none"/>
        </w:rPr>
      </w:pPr>
    </w:p>
    <w:p w14:paraId="6C6652A0">
      <w:pPr>
        <w:pStyle w:val="534"/>
        <w:snapToGrid w:val="0"/>
        <w:spacing w:before="120" w:line="360" w:lineRule="auto"/>
        <w:rPr>
          <w:rFonts w:hint="eastAsia" w:ascii="宋体" w:hAnsi="宋体" w:cs="宋体"/>
          <w:color w:val="auto"/>
          <w:szCs w:val="24"/>
          <w:highlight w:val="none"/>
        </w:rPr>
      </w:pPr>
      <w:r>
        <w:rPr>
          <w:rFonts w:hint="eastAsia" w:ascii="宋体" w:hAnsi="宋体" w:cs="宋体"/>
          <w:color w:val="auto"/>
          <w:szCs w:val="24"/>
          <w:highlight w:val="none"/>
        </w:rPr>
        <w:t>投标人全称（电子签章）：</w:t>
      </w:r>
      <w:r>
        <w:rPr>
          <w:rFonts w:hint="eastAsia" w:ascii="宋体" w:hAnsi="宋体" w:cs="宋体"/>
          <w:color w:val="auto"/>
          <w:szCs w:val="24"/>
          <w:highlight w:val="none"/>
          <w:u w:val="single"/>
        </w:rPr>
        <w:t xml:space="preserve">                         </w:t>
      </w:r>
    </w:p>
    <w:p w14:paraId="29BDFCAF">
      <w:pPr>
        <w:snapToGrid w:val="0"/>
        <w:spacing w:before="120" w:line="360" w:lineRule="auto"/>
        <w:ind w:right="600"/>
        <w:rPr>
          <w:rFonts w:hint="eastAsia" w:ascii="宋体" w:hAnsi="宋体" w:cs="宋体"/>
          <w:color w:val="auto"/>
          <w:sz w:val="24"/>
          <w:highlight w:val="none"/>
        </w:rPr>
      </w:pPr>
      <w:r>
        <w:rPr>
          <w:rFonts w:hint="eastAsia" w:ascii="宋体" w:hAnsi="宋体" w:cs="宋体"/>
          <w:color w:val="auto"/>
          <w:sz w:val="24"/>
          <w:highlight w:val="none"/>
        </w:rPr>
        <w:t>法定代表人或授权代表（签名或签章）：</w:t>
      </w:r>
      <w:r>
        <w:rPr>
          <w:rFonts w:hint="eastAsia" w:ascii="宋体" w:hAnsi="宋体" w:cs="宋体"/>
          <w:color w:val="auto"/>
          <w:sz w:val="24"/>
          <w:highlight w:val="none"/>
          <w:u w:val="single"/>
        </w:rPr>
        <w:t xml:space="preserve">             </w:t>
      </w:r>
    </w:p>
    <w:p w14:paraId="774CBCD5">
      <w:pPr>
        <w:snapToGrid w:val="0"/>
        <w:spacing w:before="120" w:line="360" w:lineRule="auto"/>
        <w:rPr>
          <w:rFonts w:hint="eastAsia" w:ascii="宋体" w:hAnsi="宋体" w:cs="宋体"/>
          <w:color w:val="auto"/>
          <w:sz w:val="24"/>
          <w:highlight w:val="none"/>
          <w:u w:val="singl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年    月    日</w:t>
      </w:r>
    </w:p>
    <w:p w14:paraId="1860FA06">
      <w:pPr>
        <w:snapToGrid w:val="0"/>
        <w:spacing w:line="400" w:lineRule="exact"/>
        <w:jc w:val="left"/>
        <w:rPr>
          <w:rFonts w:ascii="宋体" w:hAnsi="宋体"/>
          <w:color w:val="auto"/>
          <w:sz w:val="24"/>
          <w:highlight w:val="none"/>
        </w:rPr>
      </w:pPr>
      <w:r>
        <w:rPr>
          <w:rFonts w:hint="eastAsia" w:ascii="宋体" w:hAnsi="宋体"/>
          <w:color w:val="auto"/>
          <w:sz w:val="24"/>
          <w:highlight w:val="none"/>
        </w:rPr>
        <w:br w:type="page"/>
      </w:r>
      <w:bookmarkStart w:id="523" w:name="_Toc5493"/>
      <w:bookmarkStart w:id="524" w:name="_Toc25044"/>
      <w:bookmarkStart w:id="525" w:name="_Toc18821"/>
      <w:bookmarkStart w:id="526" w:name="_Toc2411"/>
      <w:r>
        <w:rPr>
          <w:rFonts w:hint="eastAsia" w:ascii="宋体" w:hAnsi="宋体" w:cs="宋体"/>
          <w:color w:val="auto"/>
          <w:sz w:val="28"/>
          <w:szCs w:val="28"/>
          <w:highlight w:val="none"/>
        </w:rPr>
        <w:t>附件</w:t>
      </w:r>
      <w:bookmarkEnd w:id="523"/>
      <w:bookmarkEnd w:id="524"/>
      <w:bookmarkEnd w:id="525"/>
      <w:bookmarkEnd w:id="526"/>
      <w:r>
        <w:rPr>
          <w:rFonts w:hint="eastAsia" w:ascii="宋体" w:hAnsi="宋体" w:cs="宋体"/>
          <w:color w:val="auto"/>
          <w:sz w:val="28"/>
          <w:szCs w:val="28"/>
          <w:highlight w:val="none"/>
        </w:rPr>
        <w:t>22</w:t>
      </w:r>
    </w:p>
    <w:p w14:paraId="698DE6A1">
      <w:pPr>
        <w:jc w:val="center"/>
        <w:rPr>
          <w:rFonts w:hint="eastAsia" w:ascii="黑体" w:hAnsi="宋体" w:eastAsia="黑体"/>
          <w:b/>
          <w:bCs/>
          <w:color w:val="auto"/>
          <w:kern w:val="0"/>
          <w:sz w:val="32"/>
          <w:szCs w:val="32"/>
          <w:highlight w:val="none"/>
          <w:lang w:val="zh-CN"/>
        </w:rPr>
      </w:pPr>
      <w:bookmarkStart w:id="527" w:name="_Toc27018"/>
      <w:bookmarkStart w:id="528" w:name="_Toc8212"/>
      <w:bookmarkStart w:id="529" w:name="_Toc11195"/>
      <w:bookmarkStart w:id="530" w:name="_Toc5569"/>
      <w:bookmarkStart w:id="531" w:name="_Toc5574"/>
      <w:r>
        <w:rPr>
          <w:rFonts w:hint="eastAsia" w:ascii="黑体" w:hAnsi="宋体" w:eastAsia="黑体"/>
          <w:b/>
          <w:bCs/>
          <w:color w:val="auto"/>
          <w:kern w:val="0"/>
          <w:sz w:val="32"/>
          <w:szCs w:val="32"/>
          <w:highlight w:val="none"/>
          <w:lang w:val="zh-CN"/>
        </w:rPr>
        <w:t>投标分项报价表</w:t>
      </w:r>
      <w:bookmarkEnd w:id="527"/>
      <w:bookmarkEnd w:id="528"/>
      <w:bookmarkEnd w:id="529"/>
      <w:bookmarkEnd w:id="530"/>
      <w:bookmarkEnd w:id="531"/>
    </w:p>
    <w:p w14:paraId="20FDE08E">
      <w:pPr>
        <w:pStyle w:val="30"/>
        <w:snapToGrid w:val="0"/>
        <w:spacing w:before="120" w:after="120"/>
        <w:jc w:val="center"/>
        <w:rPr>
          <w:rFonts w:hAnsi="宋体"/>
          <w:color w:val="auto"/>
          <w:highlight w:val="none"/>
        </w:rPr>
      </w:pPr>
    </w:p>
    <w:p w14:paraId="55E939A1">
      <w:pPr>
        <w:tabs>
          <w:tab w:val="left" w:pos="1418"/>
        </w:tabs>
        <w:snapToGrid w:val="0"/>
        <w:spacing w:line="400" w:lineRule="exact"/>
        <w:ind w:firstLine="480" w:firstLineChars="200"/>
        <w:rPr>
          <w:color w:val="auto"/>
          <w:sz w:val="24"/>
          <w:highlight w:val="none"/>
        </w:rPr>
      </w:pPr>
      <w:r>
        <w:rPr>
          <w:rFonts w:hint="eastAsia"/>
          <w:color w:val="auto"/>
          <w:sz w:val="24"/>
          <w:highlight w:val="none"/>
        </w:rPr>
        <w:t>项目名称：　　　　　　　　　　　　　　　　　　　　项目编号：</w:t>
      </w:r>
    </w:p>
    <w:p w14:paraId="3A0979A6">
      <w:pPr>
        <w:pStyle w:val="30"/>
        <w:spacing w:before="120" w:after="120" w:line="540" w:lineRule="exact"/>
        <w:jc w:val="left"/>
        <w:rPr>
          <w:rFonts w:hint="eastAsia" w:hAnsi="宋体" w:cs="宋体"/>
          <w:color w:val="auto"/>
          <w:highlight w:val="none"/>
        </w:rPr>
      </w:pPr>
      <w:r>
        <w:rPr>
          <w:rFonts w:hint="eastAsia"/>
          <w:color w:val="auto"/>
          <w:sz w:val="24"/>
          <w:highlight w:val="none"/>
        </w:rPr>
        <w:t xml:space="preserve">                                                      </w:t>
      </w:r>
    </w:p>
    <w:tbl>
      <w:tblPr>
        <w:tblStyle w:val="54"/>
        <w:tblW w:w="90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7"/>
        <w:gridCol w:w="2244"/>
        <w:gridCol w:w="2056"/>
        <w:gridCol w:w="1890"/>
        <w:gridCol w:w="1290"/>
        <w:gridCol w:w="919"/>
      </w:tblGrid>
      <w:tr w14:paraId="20D9F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617" w:type="dxa"/>
            <w:tcBorders>
              <w:top w:val="single" w:color="auto" w:sz="4" w:space="0"/>
              <w:left w:val="single" w:color="auto" w:sz="4" w:space="0"/>
              <w:bottom w:val="single" w:color="auto" w:sz="4" w:space="0"/>
              <w:right w:val="single" w:color="auto" w:sz="4" w:space="0"/>
            </w:tcBorders>
            <w:vAlign w:val="center"/>
          </w:tcPr>
          <w:p w14:paraId="650FB21C">
            <w:pPr>
              <w:keepNext w:val="0"/>
              <w:keepLines w:val="0"/>
              <w:widowControl/>
              <w:suppressLineNumbers w:val="0"/>
              <w:spacing w:before="0" w:beforeAutospacing="0" w:after="0" w:afterAutospacing="0" w:line="320" w:lineRule="exact"/>
              <w:ind w:left="0" w:leftChars="0" w:right="0" w:rightChars="0"/>
              <w:rPr>
                <w:rFonts w:hint="eastAsia" w:ascii="宋体" w:hAnsi="宋体" w:eastAsia="宋体" w:cs="宋体"/>
                <w:b/>
                <w:color w:val="auto"/>
                <w:kern w:val="0"/>
                <w:sz w:val="21"/>
                <w:szCs w:val="21"/>
                <w:highlight w:val="none"/>
                <w:lang w:val="en-US" w:eastAsia="zh-CN" w:bidi="ar-SA"/>
              </w:rPr>
            </w:pPr>
            <w:r>
              <w:rPr>
                <w:rFonts w:hint="eastAsia" w:ascii="宋体" w:hAnsi="宋体" w:cs="宋体"/>
                <w:b/>
                <w:color w:val="auto"/>
                <w:kern w:val="0"/>
                <w:szCs w:val="21"/>
                <w:highlight w:val="none"/>
              </w:rPr>
              <w:t>序号</w:t>
            </w:r>
          </w:p>
        </w:tc>
        <w:tc>
          <w:tcPr>
            <w:tcW w:w="2244" w:type="dxa"/>
            <w:tcBorders>
              <w:top w:val="single" w:color="auto" w:sz="4" w:space="0"/>
              <w:left w:val="single" w:color="auto" w:sz="4" w:space="0"/>
              <w:bottom w:val="single" w:color="auto" w:sz="4" w:space="0"/>
              <w:right w:val="single" w:color="auto" w:sz="4" w:space="0"/>
            </w:tcBorders>
            <w:vAlign w:val="center"/>
          </w:tcPr>
          <w:p w14:paraId="3AF26B7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color w:val="auto"/>
                <w:kern w:val="0"/>
                <w:sz w:val="21"/>
                <w:szCs w:val="21"/>
                <w:highlight w:val="none"/>
                <w:lang w:val="en-US" w:eastAsia="zh-CN" w:bidi="ar-SA"/>
              </w:rPr>
            </w:pPr>
            <w:r>
              <w:rPr>
                <w:rFonts w:hint="eastAsia" w:ascii="宋体" w:hAnsi="宋体" w:cs="宋体"/>
                <w:b/>
                <w:color w:val="auto"/>
                <w:kern w:val="0"/>
                <w:szCs w:val="21"/>
                <w:highlight w:val="none"/>
              </w:rPr>
              <w:t>计费项目名称</w:t>
            </w:r>
          </w:p>
        </w:tc>
        <w:tc>
          <w:tcPr>
            <w:tcW w:w="2056" w:type="dxa"/>
            <w:tcBorders>
              <w:top w:val="single" w:color="auto" w:sz="4" w:space="0"/>
              <w:left w:val="single" w:color="auto" w:sz="4" w:space="0"/>
              <w:bottom w:val="single" w:color="auto" w:sz="4" w:space="0"/>
              <w:right w:val="single" w:color="auto" w:sz="4" w:space="0"/>
            </w:tcBorders>
            <w:vAlign w:val="center"/>
          </w:tcPr>
          <w:p w14:paraId="062710C9">
            <w:pPr>
              <w:keepNext w:val="0"/>
              <w:keepLines w:val="0"/>
              <w:widowControl/>
              <w:suppressLineNumbers w:val="0"/>
              <w:spacing w:before="0" w:beforeAutospacing="0" w:after="0" w:afterAutospacing="0" w:line="320" w:lineRule="exact"/>
              <w:ind w:left="0" w:leftChars="0" w:right="0" w:rightChars="0"/>
              <w:jc w:val="center"/>
              <w:rPr>
                <w:rFonts w:hint="eastAsia" w:ascii="宋体" w:hAnsi="宋体" w:eastAsia="宋体" w:cs="宋体"/>
                <w:b/>
                <w:color w:val="auto"/>
                <w:kern w:val="0"/>
                <w:sz w:val="21"/>
                <w:szCs w:val="21"/>
                <w:highlight w:val="none"/>
                <w:lang w:val="en-US" w:eastAsia="zh-CN" w:bidi="ar-SA"/>
              </w:rPr>
            </w:pPr>
            <w:r>
              <w:rPr>
                <w:rFonts w:hint="eastAsia" w:ascii="宋体" w:hAnsi="宋体" w:cs="宋体"/>
                <w:b/>
                <w:color w:val="auto"/>
                <w:kern w:val="0"/>
                <w:szCs w:val="21"/>
                <w:highlight w:val="none"/>
              </w:rPr>
              <w:t>数量</w:t>
            </w:r>
            <w:r>
              <w:rPr>
                <w:rFonts w:hint="eastAsia" w:ascii="宋体" w:hAnsi="宋体" w:cs="宋体"/>
                <w:b/>
                <w:color w:val="auto"/>
                <w:kern w:val="0"/>
                <w:szCs w:val="21"/>
                <w:highlight w:val="none"/>
                <w:lang w:eastAsia="zh-CN"/>
              </w:rPr>
              <w:t>（家）</w:t>
            </w:r>
          </w:p>
        </w:tc>
        <w:tc>
          <w:tcPr>
            <w:tcW w:w="1890" w:type="dxa"/>
            <w:tcBorders>
              <w:top w:val="single" w:color="auto" w:sz="4" w:space="0"/>
              <w:left w:val="single" w:color="auto" w:sz="4" w:space="0"/>
              <w:bottom w:val="single" w:color="auto" w:sz="4" w:space="0"/>
              <w:right w:val="single" w:color="auto" w:sz="4" w:space="0"/>
            </w:tcBorders>
            <w:vAlign w:val="center"/>
          </w:tcPr>
          <w:p w14:paraId="569EB468">
            <w:pPr>
              <w:keepNext w:val="0"/>
              <w:keepLines w:val="0"/>
              <w:widowControl/>
              <w:suppressLineNumbers w:val="0"/>
              <w:spacing w:before="0" w:beforeAutospacing="0" w:after="0" w:afterAutospacing="0" w:line="320" w:lineRule="exact"/>
              <w:ind w:left="0" w:leftChars="0" w:right="0" w:rightChars="0"/>
              <w:jc w:val="center"/>
              <w:rPr>
                <w:rFonts w:hint="eastAsia" w:ascii="宋体" w:hAnsi="宋体" w:eastAsia="宋体" w:cs="宋体"/>
                <w:b/>
                <w:color w:val="auto"/>
                <w:kern w:val="0"/>
                <w:sz w:val="21"/>
                <w:szCs w:val="21"/>
                <w:highlight w:val="none"/>
                <w:lang w:val="en-US" w:eastAsia="zh-CN" w:bidi="ar-SA"/>
              </w:rPr>
            </w:pPr>
            <w:r>
              <w:rPr>
                <w:rFonts w:hint="eastAsia" w:ascii="宋体" w:hAnsi="宋体" w:cs="宋体"/>
                <w:b/>
                <w:color w:val="auto"/>
                <w:kern w:val="0"/>
                <w:szCs w:val="21"/>
                <w:highlight w:val="none"/>
              </w:rPr>
              <w:t>投标单价（元</w:t>
            </w:r>
            <w:r>
              <w:rPr>
                <w:rFonts w:hint="eastAsia" w:ascii="宋体" w:hAnsi="宋体" w:cs="宋体"/>
                <w:b/>
                <w:color w:val="auto"/>
                <w:kern w:val="0"/>
                <w:szCs w:val="21"/>
                <w:highlight w:val="none"/>
                <w:lang w:val="en-US" w:eastAsia="zh-CN"/>
              </w:rPr>
              <w:t>/家</w:t>
            </w:r>
            <w:r>
              <w:rPr>
                <w:rFonts w:hint="eastAsia" w:ascii="宋体" w:hAnsi="宋体" w:cs="宋体"/>
                <w:b/>
                <w:color w:val="auto"/>
                <w:kern w:val="0"/>
                <w:szCs w:val="21"/>
                <w:highlight w:val="none"/>
              </w:rPr>
              <w:t>）</w:t>
            </w:r>
          </w:p>
        </w:tc>
        <w:tc>
          <w:tcPr>
            <w:tcW w:w="1290" w:type="dxa"/>
            <w:tcBorders>
              <w:top w:val="single" w:color="auto" w:sz="4" w:space="0"/>
              <w:left w:val="single" w:color="auto" w:sz="4" w:space="0"/>
              <w:bottom w:val="single" w:color="auto" w:sz="4" w:space="0"/>
              <w:right w:val="single" w:color="auto" w:sz="4" w:space="0"/>
            </w:tcBorders>
            <w:vAlign w:val="center"/>
          </w:tcPr>
          <w:p w14:paraId="721C3B57">
            <w:pPr>
              <w:keepNext w:val="0"/>
              <w:keepLines w:val="0"/>
              <w:widowControl/>
              <w:suppressLineNumbers w:val="0"/>
              <w:spacing w:before="0" w:beforeAutospacing="0" w:after="0" w:afterAutospacing="0" w:line="320" w:lineRule="exact"/>
              <w:ind w:left="0" w:leftChars="0" w:right="0" w:rightChars="0"/>
              <w:jc w:val="center"/>
              <w:rPr>
                <w:rFonts w:hint="eastAsia" w:ascii="宋体" w:hAnsi="宋体" w:eastAsia="宋体" w:cs="宋体"/>
                <w:b/>
                <w:color w:val="auto"/>
                <w:kern w:val="0"/>
                <w:sz w:val="21"/>
                <w:szCs w:val="21"/>
                <w:highlight w:val="none"/>
                <w:lang w:val="en-US" w:eastAsia="zh-CN" w:bidi="ar-SA"/>
              </w:rPr>
            </w:pPr>
            <w:r>
              <w:rPr>
                <w:rFonts w:hint="eastAsia" w:ascii="宋体" w:hAnsi="宋体" w:cs="宋体"/>
                <w:b/>
                <w:color w:val="auto"/>
                <w:kern w:val="0"/>
                <w:szCs w:val="21"/>
                <w:highlight w:val="none"/>
              </w:rPr>
              <w:t>小计</w:t>
            </w:r>
            <w:r>
              <w:rPr>
                <w:rFonts w:hint="eastAsia" w:ascii="宋体" w:hAnsi="宋体" w:cs="宋体"/>
                <w:b/>
                <w:bCs w:val="0"/>
                <w:color w:val="auto"/>
                <w:kern w:val="0"/>
                <w:szCs w:val="21"/>
                <w:highlight w:val="none"/>
              </w:rPr>
              <w:t>（元）</w:t>
            </w:r>
          </w:p>
        </w:tc>
        <w:tc>
          <w:tcPr>
            <w:tcW w:w="919" w:type="dxa"/>
            <w:tcBorders>
              <w:top w:val="single" w:color="auto" w:sz="4" w:space="0"/>
              <w:left w:val="single" w:color="auto" w:sz="4" w:space="0"/>
              <w:bottom w:val="single" w:color="auto" w:sz="4" w:space="0"/>
              <w:right w:val="single" w:color="auto" w:sz="4" w:space="0"/>
            </w:tcBorders>
            <w:vAlign w:val="center"/>
          </w:tcPr>
          <w:p w14:paraId="3555843B">
            <w:pPr>
              <w:keepNext w:val="0"/>
              <w:keepLines w:val="0"/>
              <w:widowControl/>
              <w:suppressLineNumbers w:val="0"/>
              <w:spacing w:before="0" w:beforeAutospacing="0" w:after="0" w:afterAutospacing="0" w:line="320" w:lineRule="exact"/>
              <w:ind w:left="0" w:leftChars="0" w:right="0" w:rightChars="0"/>
              <w:jc w:val="center"/>
              <w:rPr>
                <w:rFonts w:hint="eastAsia" w:ascii="宋体" w:hAnsi="宋体" w:eastAsia="宋体" w:cs="宋体"/>
                <w:b/>
                <w:color w:val="auto"/>
                <w:kern w:val="0"/>
                <w:sz w:val="21"/>
                <w:szCs w:val="21"/>
                <w:highlight w:val="none"/>
                <w:lang w:val="en-US" w:eastAsia="zh-CN" w:bidi="ar-SA"/>
              </w:rPr>
            </w:pPr>
            <w:r>
              <w:rPr>
                <w:rFonts w:hint="eastAsia" w:ascii="宋体" w:hAnsi="宋体" w:cs="宋体"/>
                <w:b/>
                <w:color w:val="auto"/>
                <w:kern w:val="0"/>
                <w:szCs w:val="21"/>
                <w:highlight w:val="none"/>
              </w:rPr>
              <w:t>备注</w:t>
            </w:r>
          </w:p>
        </w:tc>
      </w:tr>
      <w:tr w14:paraId="0D810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617" w:type="dxa"/>
            <w:tcBorders>
              <w:top w:val="single" w:color="auto" w:sz="4" w:space="0"/>
              <w:left w:val="single" w:color="auto" w:sz="4" w:space="0"/>
              <w:bottom w:val="single" w:color="auto" w:sz="4" w:space="0"/>
              <w:right w:val="single" w:color="auto" w:sz="4" w:space="0"/>
            </w:tcBorders>
            <w:vAlign w:val="center"/>
          </w:tcPr>
          <w:p w14:paraId="4CF08D2A">
            <w:pPr>
              <w:keepNext w:val="0"/>
              <w:keepLines w:val="0"/>
              <w:suppressLineNumbers w:val="0"/>
              <w:spacing w:before="0" w:beforeAutospacing="0" w:after="0" w:afterAutospacing="0" w:line="320" w:lineRule="exact"/>
              <w:ind w:left="0" w:right="0"/>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2244" w:type="dxa"/>
            <w:tcBorders>
              <w:top w:val="single" w:color="auto" w:sz="4" w:space="0"/>
              <w:left w:val="single" w:color="auto" w:sz="4" w:space="0"/>
              <w:bottom w:val="single" w:color="auto" w:sz="4" w:space="0"/>
              <w:right w:val="single" w:color="auto" w:sz="4" w:space="0"/>
            </w:tcBorders>
            <w:vAlign w:val="center"/>
          </w:tcPr>
          <w:p w14:paraId="7A64A8C4">
            <w:pPr>
              <w:keepNext w:val="0"/>
              <w:keepLines w:val="0"/>
              <w:suppressLineNumbers w:val="0"/>
              <w:spacing w:before="0" w:beforeAutospacing="0" w:after="0" w:afterAutospacing="0" w:line="320" w:lineRule="exact"/>
              <w:ind w:left="0" w:leftChars="0" w:right="0" w:rightChars="0"/>
              <w:jc w:val="center"/>
              <w:rPr>
                <w:rFonts w:hint="eastAsia" w:ascii="宋体" w:hAnsi="宋体" w:cs="宋体"/>
                <w:color w:val="auto"/>
                <w:kern w:val="2"/>
                <w:sz w:val="21"/>
                <w:szCs w:val="21"/>
                <w:highlight w:val="none"/>
                <w:lang w:val="en-US" w:eastAsia="zh-CN" w:bidi="ar-SA"/>
              </w:rPr>
            </w:pPr>
          </w:p>
        </w:tc>
        <w:tc>
          <w:tcPr>
            <w:tcW w:w="2056" w:type="dxa"/>
            <w:tcBorders>
              <w:top w:val="single" w:color="auto" w:sz="4" w:space="0"/>
              <w:left w:val="single" w:color="auto" w:sz="4" w:space="0"/>
              <w:bottom w:val="single" w:color="auto" w:sz="4" w:space="0"/>
              <w:right w:val="single" w:color="auto" w:sz="4" w:space="0"/>
            </w:tcBorders>
            <w:vAlign w:val="center"/>
          </w:tcPr>
          <w:p w14:paraId="010E8723">
            <w:pPr>
              <w:keepNext w:val="0"/>
              <w:keepLines w:val="0"/>
              <w:widowControl/>
              <w:suppressLineNumbers w:val="0"/>
              <w:spacing w:before="0" w:beforeAutospacing="0" w:after="0" w:afterAutospacing="0" w:line="320" w:lineRule="exact"/>
              <w:ind w:left="0" w:right="0"/>
              <w:jc w:val="center"/>
              <w:rPr>
                <w:rFonts w:hint="default" w:ascii="宋体" w:hAnsi="宋体" w:eastAsia="宋体" w:cs="宋体"/>
                <w:color w:val="auto"/>
                <w:kern w:val="0"/>
                <w:szCs w:val="21"/>
                <w:highlight w:val="none"/>
                <w:lang w:val="en-US" w:eastAsia="zh-CN"/>
              </w:rPr>
            </w:pPr>
          </w:p>
        </w:tc>
        <w:tc>
          <w:tcPr>
            <w:tcW w:w="1890" w:type="dxa"/>
            <w:tcBorders>
              <w:top w:val="single" w:color="auto" w:sz="4" w:space="0"/>
              <w:left w:val="single" w:color="auto" w:sz="4" w:space="0"/>
              <w:bottom w:val="single" w:color="auto" w:sz="4" w:space="0"/>
              <w:right w:val="single" w:color="auto" w:sz="4" w:space="0"/>
            </w:tcBorders>
            <w:vAlign w:val="center"/>
          </w:tcPr>
          <w:p w14:paraId="0675744B">
            <w:pPr>
              <w:keepNext w:val="0"/>
              <w:keepLines w:val="0"/>
              <w:suppressLineNumbers w:val="0"/>
              <w:spacing w:before="0" w:beforeAutospacing="0" w:after="0" w:afterAutospacing="0" w:line="320" w:lineRule="exact"/>
              <w:ind w:left="0" w:right="0"/>
              <w:jc w:val="center"/>
              <w:rPr>
                <w:rFonts w:hint="eastAsia" w:ascii="宋体" w:hAnsi="宋体" w:cs="宋体"/>
                <w:color w:val="auto"/>
                <w:szCs w:val="21"/>
                <w:highlight w:val="none"/>
              </w:rPr>
            </w:pPr>
          </w:p>
        </w:tc>
        <w:tc>
          <w:tcPr>
            <w:tcW w:w="1290" w:type="dxa"/>
            <w:tcBorders>
              <w:top w:val="single" w:color="auto" w:sz="4" w:space="0"/>
              <w:left w:val="single" w:color="auto" w:sz="4" w:space="0"/>
              <w:bottom w:val="single" w:color="auto" w:sz="4" w:space="0"/>
              <w:right w:val="single" w:color="auto" w:sz="4" w:space="0"/>
            </w:tcBorders>
            <w:vAlign w:val="center"/>
          </w:tcPr>
          <w:p w14:paraId="3C7A36A7">
            <w:pPr>
              <w:keepNext w:val="0"/>
              <w:keepLines w:val="0"/>
              <w:widowControl/>
              <w:suppressLineNumbers w:val="0"/>
              <w:spacing w:before="0" w:beforeAutospacing="0" w:after="0" w:afterAutospacing="0" w:line="320" w:lineRule="exact"/>
              <w:ind w:left="0" w:right="0"/>
              <w:jc w:val="center"/>
              <w:rPr>
                <w:rFonts w:hint="eastAsia" w:ascii="宋体" w:hAnsi="宋体" w:cs="宋体"/>
                <w:color w:val="auto"/>
                <w:kern w:val="0"/>
                <w:szCs w:val="21"/>
                <w:highlight w:val="none"/>
              </w:rPr>
            </w:pPr>
          </w:p>
        </w:tc>
        <w:tc>
          <w:tcPr>
            <w:tcW w:w="919" w:type="dxa"/>
            <w:tcBorders>
              <w:top w:val="single" w:color="auto" w:sz="4" w:space="0"/>
              <w:left w:val="single" w:color="auto" w:sz="4" w:space="0"/>
              <w:bottom w:val="single" w:color="auto" w:sz="4" w:space="0"/>
              <w:right w:val="single" w:color="auto" w:sz="4" w:space="0"/>
            </w:tcBorders>
            <w:vAlign w:val="center"/>
          </w:tcPr>
          <w:p w14:paraId="6F71D579">
            <w:pPr>
              <w:keepNext w:val="0"/>
              <w:keepLines w:val="0"/>
              <w:widowControl/>
              <w:suppressLineNumbers w:val="0"/>
              <w:spacing w:before="0" w:beforeAutospacing="0" w:after="0" w:afterAutospacing="0" w:line="320" w:lineRule="exact"/>
              <w:ind w:left="0" w:right="0"/>
              <w:jc w:val="center"/>
              <w:rPr>
                <w:rFonts w:hint="eastAsia" w:ascii="宋体" w:hAnsi="宋体" w:cs="宋体"/>
                <w:color w:val="auto"/>
                <w:kern w:val="0"/>
                <w:szCs w:val="21"/>
                <w:highlight w:val="none"/>
              </w:rPr>
            </w:pPr>
          </w:p>
        </w:tc>
      </w:tr>
      <w:tr w14:paraId="56810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17" w:type="dxa"/>
            <w:tcBorders>
              <w:top w:val="single" w:color="auto" w:sz="4" w:space="0"/>
              <w:left w:val="single" w:color="auto" w:sz="4" w:space="0"/>
              <w:bottom w:val="single" w:color="auto" w:sz="4" w:space="0"/>
              <w:right w:val="single" w:color="auto" w:sz="4" w:space="0"/>
            </w:tcBorders>
            <w:vAlign w:val="center"/>
          </w:tcPr>
          <w:p w14:paraId="608E4F70">
            <w:pPr>
              <w:keepNext w:val="0"/>
              <w:keepLines w:val="0"/>
              <w:suppressLineNumbers w:val="0"/>
              <w:spacing w:before="0" w:beforeAutospacing="0" w:after="0" w:afterAutospacing="0" w:line="320" w:lineRule="exact"/>
              <w:ind w:left="0" w:right="0"/>
              <w:jc w:val="center"/>
              <w:rPr>
                <w:rFonts w:hint="eastAsia" w:ascii="宋体" w:hAnsi="宋体" w:cs="宋体"/>
                <w:color w:val="auto"/>
                <w:szCs w:val="21"/>
                <w:highlight w:val="none"/>
              </w:rPr>
            </w:pPr>
            <w:r>
              <w:rPr>
                <w:rFonts w:hint="eastAsia" w:ascii="宋体" w:hAnsi="宋体" w:cs="宋体"/>
                <w:color w:val="auto"/>
                <w:szCs w:val="21"/>
                <w:highlight w:val="none"/>
              </w:rPr>
              <w:t>2</w:t>
            </w:r>
          </w:p>
        </w:tc>
        <w:tc>
          <w:tcPr>
            <w:tcW w:w="2244" w:type="dxa"/>
            <w:tcBorders>
              <w:top w:val="single" w:color="auto" w:sz="4" w:space="0"/>
              <w:left w:val="single" w:color="auto" w:sz="4" w:space="0"/>
              <w:bottom w:val="single" w:color="auto" w:sz="4" w:space="0"/>
              <w:right w:val="single" w:color="auto" w:sz="4" w:space="0"/>
            </w:tcBorders>
            <w:vAlign w:val="center"/>
          </w:tcPr>
          <w:p w14:paraId="283BF0BC">
            <w:pPr>
              <w:keepNext w:val="0"/>
              <w:keepLines w:val="0"/>
              <w:suppressLineNumbers w:val="0"/>
              <w:spacing w:before="0" w:beforeAutospacing="0" w:after="0" w:afterAutospacing="0" w:line="320" w:lineRule="exact"/>
              <w:ind w:left="0" w:leftChars="0" w:right="0" w:rightChars="0"/>
              <w:jc w:val="center"/>
              <w:rPr>
                <w:rFonts w:hint="eastAsia" w:ascii="宋体" w:hAnsi="宋体" w:eastAsia="宋体" w:cs="宋体"/>
                <w:color w:val="auto"/>
                <w:kern w:val="2"/>
                <w:sz w:val="21"/>
                <w:szCs w:val="21"/>
                <w:highlight w:val="none"/>
                <w:lang w:val="en-US" w:eastAsia="zh-CN" w:bidi="ar-SA"/>
              </w:rPr>
            </w:pPr>
          </w:p>
        </w:tc>
        <w:tc>
          <w:tcPr>
            <w:tcW w:w="2056" w:type="dxa"/>
            <w:tcBorders>
              <w:top w:val="single" w:color="auto" w:sz="4" w:space="0"/>
              <w:left w:val="single" w:color="auto" w:sz="4" w:space="0"/>
              <w:bottom w:val="single" w:color="auto" w:sz="4" w:space="0"/>
              <w:right w:val="single" w:color="auto" w:sz="4" w:space="0"/>
            </w:tcBorders>
            <w:vAlign w:val="center"/>
          </w:tcPr>
          <w:p w14:paraId="7E4657E9">
            <w:pPr>
              <w:keepNext w:val="0"/>
              <w:keepLines w:val="0"/>
              <w:widowControl/>
              <w:suppressLineNumbers w:val="0"/>
              <w:spacing w:before="0" w:beforeAutospacing="0" w:after="0" w:afterAutospacing="0" w:line="320" w:lineRule="exact"/>
              <w:ind w:left="0" w:right="0"/>
              <w:jc w:val="center"/>
              <w:rPr>
                <w:rFonts w:hint="eastAsia" w:ascii="宋体" w:hAnsi="宋体" w:cs="宋体"/>
                <w:color w:val="auto"/>
                <w:kern w:val="0"/>
                <w:szCs w:val="21"/>
                <w:highlight w:val="none"/>
              </w:rPr>
            </w:pPr>
          </w:p>
        </w:tc>
        <w:tc>
          <w:tcPr>
            <w:tcW w:w="1890" w:type="dxa"/>
            <w:tcBorders>
              <w:top w:val="single" w:color="auto" w:sz="4" w:space="0"/>
              <w:left w:val="single" w:color="auto" w:sz="4" w:space="0"/>
              <w:bottom w:val="single" w:color="auto" w:sz="4" w:space="0"/>
              <w:right w:val="single" w:color="auto" w:sz="4" w:space="0"/>
            </w:tcBorders>
            <w:vAlign w:val="center"/>
          </w:tcPr>
          <w:p w14:paraId="4655130B">
            <w:pPr>
              <w:keepNext w:val="0"/>
              <w:keepLines w:val="0"/>
              <w:suppressLineNumbers w:val="0"/>
              <w:spacing w:before="0" w:beforeAutospacing="0" w:after="0" w:afterAutospacing="0" w:line="320" w:lineRule="exact"/>
              <w:ind w:left="0" w:right="0"/>
              <w:jc w:val="center"/>
              <w:rPr>
                <w:rFonts w:hint="eastAsia" w:ascii="宋体" w:hAnsi="宋体" w:cs="宋体"/>
                <w:color w:val="auto"/>
                <w:szCs w:val="21"/>
                <w:highlight w:val="none"/>
              </w:rPr>
            </w:pPr>
          </w:p>
        </w:tc>
        <w:tc>
          <w:tcPr>
            <w:tcW w:w="1290" w:type="dxa"/>
            <w:tcBorders>
              <w:top w:val="single" w:color="auto" w:sz="4" w:space="0"/>
              <w:left w:val="single" w:color="auto" w:sz="4" w:space="0"/>
              <w:bottom w:val="single" w:color="auto" w:sz="4" w:space="0"/>
              <w:right w:val="single" w:color="auto" w:sz="4" w:space="0"/>
            </w:tcBorders>
            <w:vAlign w:val="center"/>
          </w:tcPr>
          <w:p w14:paraId="22D600C8">
            <w:pPr>
              <w:keepNext w:val="0"/>
              <w:keepLines w:val="0"/>
              <w:widowControl/>
              <w:suppressLineNumbers w:val="0"/>
              <w:spacing w:before="0" w:beforeAutospacing="0" w:after="0" w:afterAutospacing="0" w:line="320" w:lineRule="exact"/>
              <w:ind w:left="0" w:right="0"/>
              <w:jc w:val="center"/>
              <w:rPr>
                <w:rFonts w:hint="eastAsia" w:ascii="宋体" w:hAnsi="宋体" w:cs="宋体"/>
                <w:color w:val="auto"/>
                <w:kern w:val="0"/>
                <w:szCs w:val="21"/>
                <w:highlight w:val="none"/>
              </w:rPr>
            </w:pPr>
          </w:p>
        </w:tc>
        <w:tc>
          <w:tcPr>
            <w:tcW w:w="919" w:type="dxa"/>
            <w:tcBorders>
              <w:top w:val="single" w:color="auto" w:sz="4" w:space="0"/>
              <w:left w:val="single" w:color="auto" w:sz="4" w:space="0"/>
              <w:bottom w:val="single" w:color="auto" w:sz="4" w:space="0"/>
              <w:right w:val="single" w:color="auto" w:sz="4" w:space="0"/>
            </w:tcBorders>
            <w:vAlign w:val="center"/>
          </w:tcPr>
          <w:p w14:paraId="76D4FBF7">
            <w:pPr>
              <w:keepNext w:val="0"/>
              <w:keepLines w:val="0"/>
              <w:widowControl/>
              <w:suppressLineNumbers w:val="0"/>
              <w:spacing w:before="0" w:beforeAutospacing="0" w:after="0" w:afterAutospacing="0" w:line="320" w:lineRule="exact"/>
              <w:ind w:left="0" w:right="0"/>
              <w:jc w:val="center"/>
              <w:rPr>
                <w:rFonts w:hint="eastAsia" w:ascii="宋体" w:hAnsi="宋体" w:cs="宋体"/>
                <w:color w:val="auto"/>
                <w:kern w:val="0"/>
                <w:szCs w:val="21"/>
                <w:highlight w:val="none"/>
              </w:rPr>
            </w:pPr>
          </w:p>
        </w:tc>
      </w:tr>
      <w:tr w14:paraId="2658C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17" w:type="dxa"/>
            <w:tcBorders>
              <w:top w:val="single" w:color="auto" w:sz="4" w:space="0"/>
              <w:left w:val="single" w:color="auto" w:sz="4" w:space="0"/>
              <w:bottom w:val="single" w:color="auto" w:sz="4" w:space="0"/>
              <w:right w:val="single" w:color="auto" w:sz="4" w:space="0"/>
            </w:tcBorders>
            <w:vAlign w:val="center"/>
          </w:tcPr>
          <w:p w14:paraId="6C654C78">
            <w:pPr>
              <w:keepNext w:val="0"/>
              <w:keepLines w:val="0"/>
              <w:suppressLineNumbers w:val="0"/>
              <w:spacing w:before="0" w:beforeAutospacing="0" w:after="0" w:afterAutospacing="0" w:line="320" w:lineRule="exact"/>
              <w:ind w:left="0" w:right="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2244" w:type="dxa"/>
            <w:tcBorders>
              <w:top w:val="single" w:color="auto" w:sz="4" w:space="0"/>
              <w:left w:val="single" w:color="auto" w:sz="4" w:space="0"/>
              <w:bottom w:val="single" w:color="auto" w:sz="4" w:space="0"/>
              <w:right w:val="single" w:color="auto" w:sz="4" w:space="0"/>
            </w:tcBorders>
            <w:vAlign w:val="center"/>
          </w:tcPr>
          <w:p w14:paraId="15630D42">
            <w:pPr>
              <w:keepNext w:val="0"/>
              <w:keepLines w:val="0"/>
              <w:suppressLineNumbers w:val="0"/>
              <w:spacing w:before="0" w:beforeAutospacing="0" w:after="0" w:afterAutospacing="0" w:line="320" w:lineRule="exact"/>
              <w:ind w:left="0" w:right="0"/>
              <w:jc w:val="center"/>
              <w:rPr>
                <w:rFonts w:hint="eastAsia" w:ascii="宋体" w:hAnsi="宋体" w:cs="宋体"/>
                <w:color w:val="auto"/>
                <w:szCs w:val="21"/>
                <w:highlight w:val="none"/>
              </w:rPr>
            </w:pPr>
          </w:p>
        </w:tc>
        <w:tc>
          <w:tcPr>
            <w:tcW w:w="2056" w:type="dxa"/>
            <w:tcBorders>
              <w:top w:val="single" w:color="auto" w:sz="4" w:space="0"/>
              <w:left w:val="single" w:color="auto" w:sz="4" w:space="0"/>
              <w:bottom w:val="single" w:color="auto" w:sz="4" w:space="0"/>
              <w:right w:val="single" w:color="auto" w:sz="4" w:space="0"/>
            </w:tcBorders>
            <w:vAlign w:val="center"/>
          </w:tcPr>
          <w:p w14:paraId="7F58F988">
            <w:pPr>
              <w:keepNext w:val="0"/>
              <w:keepLines w:val="0"/>
              <w:widowControl/>
              <w:suppressLineNumbers w:val="0"/>
              <w:spacing w:before="0" w:beforeAutospacing="0" w:after="0" w:afterAutospacing="0" w:line="320" w:lineRule="exact"/>
              <w:ind w:left="0" w:right="0"/>
              <w:jc w:val="center"/>
              <w:rPr>
                <w:rFonts w:hint="eastAsia" w:ascii="宋体" w:hAnsi="宋体" w:cs="宋体"/>
                <w:color w:val="auto"/>
                <w:kern w:val="0"/>
                <w:szCs w:val="21"/>
                <w:highlight w:val="none"/>
              </w:rPr>
            </w:pPr>
          </w:p>
        </w:tc>
        <w:tc>
          <w:tcPr>
            <w:tcW w:w="1890" w:type="dxa"/>
            <w:tcBorders>
              <w:top w:val="single" w:color="auto" w:sz="4" w:space="0"/>
              <w:left w:val="single" w:color="auto" w:sz="4" w:space="0"/>
              <w:bottom w:val="single" w:color="auto" w:sz="4" w:space="0"/>
              <w:right w:val="single" w:color="auto" w:sz="4" w:space="0"/>
            </w:tcBorders>
            <w:vAlign w:val="center"/>
          </w:tcPr>
          <w:p w14:paraId="71D3AA28">
            <w:pPr>
              <w:keepNext w:val="0"/>
              <w:keepLines w:val="0"/>
              <w:suppressLineNumbers w:val="0"/>
              <w:spacing w:before="0" w:beforeAutospacing="0" w:after="0" w:afterAutospacing="0" w:line="320" w:lineRule="exact"/>
              <w:ind w:left="0" w:right="0"/>
              <w:jc w:val="center"/>
              <w:rPr>
                <w:rFonts w:hint="eastAsia" w:ascii="宋体" w:hAnsi="宋体" w:cs="宋体"/>
                <w:color w:val="auto"/>
                <w:szCs w:val="21"/>
                <w:highlight w:val="none"/>
              </w:rPr>
            </w:pPr>
          </w:p>
        </w:tc>
        <w:tc>
          <w:tcPr>
            <w:tcW w:w="1290" w:type="dxa"/>
            <w:tcBorders>
              <w:top w:val="single" w:color="auto" w:sz="4" w:space="0"/>
              <w:left w:val="single" w:color="auto" w:sz="4" w:space="0"/>
              <w:bottom w:val="single" w:color="auto" w:sz="4" w:space="0"/>
              <w:right w:val="single" w:color="auto" w:sz="4" w:space="0"/>
            </w:tcBorders>
            <w:vAlign w:val="center"/>
          </w:tcPr>
          <w:p w14:paraId="1A09FF15">
            <w:pPr>
              <w:keepNext w:val="0"/>
              <w:keepLines w:val="0"/>
              <w:widowControl/>
              <w:suppressLineNumbers w:val="0"/>
              <w:spacing w:before="0" w:beforeAutospacing="0" w:after="0" w:afterAutospacing="0" w:line="320" w:lineRule="exact"/>
              <w:ind w:left="0" w:right="0"/>
              <w:jc w:val="center"/>
              <w:rPr>
                <w:rFonts w:hint="eastAsia" w:ascii="宋体" w:hAnsi="宋体" w:cs="宋体"/>
                <w:color w:val="auto"/>
                <w:kern w:val="0"/>
                <w:szCs w:val="21"/>
                <w:highlight w:val="none"/>
              </w:rPr>
            </w:pPr>
          </w:p>
        </w:tc>
        <w:tc>
          <w:tcPr>
            <w:tcW w:w="919" w:type="dxa"/>
            <w:tcBorders>
              <w:top w:val="single" w:color="auto" w:sz="4" w:space="0"/>
              <w:left w:val="single" w:color="auto" w:sz="4" w:space="0"/>
              <w:bottom w:val="single" w:color="auto" w:sz="4" w:space="0"/>
              <w:right w:val="single" w:color="auto" w:sz="4" w:space="0"/>
            </w:tcBorders>
            <w:vAlign w:val="center"/>
          </w:tcPr>
          <w:p w14:paraId="08EC61DB">
            <w:pPr>
              <w:keepNext w:val="0"/>
              <w:keepLines w:val="0"/>
              <w:widowControl/>
              <w:suppressLineNumbers w:val="0"/>
              <w:spacing w:before="0" w:beforeAutospacing="0" w:after="0" w:afterAutospacing="0" w:line="320" w:lineRule="exact"/>
              <w:ind w:left="0" w:right="0"/>
              <w:jc w:val="center"/>
              <w:rPr>
                <w:rFonts w:hint="eastAsia" w:ascii="宋体" w:hAnsi="宋体" w:cs="宋体"/>
                <w:color w:val="auto"/>
                <w:kern w:val="0"/>
                <w:szCs w:val="21"/>
                <w:highlight w:val="none"/>
              </w:rPr>
            </w:pPr>
          </w:p>
        </w:tc>
      </w:tr>
      <w:tr w14:paraId="2EDED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5" w:hRule="atLeast"/>
          <w:jc w:val="center"/>
        </w:trPr>
        <w:tc>
          <w:tcPr>
            <w:tcW w:w="9016" w:type="dxa"/>
            <w:gridSpan w:val="6"/>
            <w:tcBorders>
              <w:top w:val="single" w:color="auto" w:sz="4" w:space="0"/>
              <w:left w:val="single" w:color="auto" w:sz="4" w:space="0"/>
              <w:bottom w:val="single" w:color="auto" w:sz="4" w:space="0"/>
              <w:right w:val="single" w:color="auto" w:sz="4" w:space="0"/>
            </w:tcBorders>
            <w:vAlign w:val="center"/>
          </w:tcPr>
          <w:p w14:paraId="09F441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投标总价：</w:t>
            </w:r>
          </w:p>
          <w:p w14:paraId="1411FD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大写：人民币</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lang w:val="en-US" w:eastAsia="zh-CN"/>
              </w:rPr>
              <w:t>元整</w:t>
            </w:r>
            <w:r>
              <w:rPr>
                <w:rFonts w:hint="eastAsia" w:ascii="宋体" w:hAnsi="宋体" w:cs="宋体"/>
                <w:color w:val="auto"/>
                <w:kern w:val="0"/>
                <w:szCs w:val="21"/>
                <w:highlight w:val="none"/>
              </w:rPr>
              <w:t xml:space="preserve">                      </w:t>
            </w:r>
          </w:p>
          <w:p w14:paraId="16AC1F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小写：</w:t>
            </w:r>
          </w:p>
        </w:tc>
      </w:tr>
    </w:tbl>
    <w:p w14:paraId="1F5D8E6A">
      <w:pPr>
        <w:pStyle w:val="30"/>
        <w:spacing w:before="120" w:after="120" w:line="540" w:lineRule="exact"/>
        <w:jc w:val="left"/>
        <w:rPr>
          <w:rFonts w:hint="eastAsia" w:hAnsi="宋体" w:cs="宋体"/>
          <w:color w:val="auto"/>
          <w:highlight w:val="none"/>
        </w:rPr>
      </w:pPr>
    </w:p>
    <w:p w14:paraId="0AC1A5B9">
      <w:pPr>
        <w:pStyle w:val="534"/>
        <w:snapToGrid w:val="0"/>
        <w:spacing w:before="120" w:line="360" w:lineRule="auto"/>
        <w:rPr>
          <w:rFonts w:hint="eastAsia" w:ascii="宋体" w:hAnsi="宋体" w:cs="宋体"/>
          <w:color w:val="auto"/>
          <w:szCs w:val="24"/>
          <w:highlight w:val="none"/>
        </w:rPr>
      </w:pPr>
      <w:r>
        <w:rPr>
          <w:rFonts w:hint="eastAsia" w:ascii="宋体" w:hAnsi="宋体" w:cs="宋体"/>
          <w:color w:val="auto"/>
          <w:szCs w:val="24"/>
          <w:highlight w:val="none"/>
        </w:rPr>
        <w:t>投标人全称（电子签章）：</w:t>
      </w:r>
      <w:r>
        <w:rPr>
          <w:rFonts w:hint="eastAsia" w:ascii="宋体" w:hAnsi="宋体" w:cs="宋体"/>
          <w:color w:val="auto"/>
          <w:szCs w:val="24"/>
          <w:highlight w:val="none"/>
          <w:u w:val="single"/>
        </w:rPr>
        <w:t xml:space="preserve">                         </w:t>
      </w:r>
    </w:p>
    <w:p w14:paraId="76CDA6E0">
      <w:pPr>
        <w:snapToGrid w:val="0"/>
        <w:spacing w:before="120" w:line="360" w:lineRule="auto"/>
        <w:ind w:right="600"/>
        <w:rPr>
          <w:rFonts w:hint="eastAsia" w:ascii="宋体" w:hAnsi="宋体" w:cs="宋体"/>
          <w:color w:val="auto"/>
          <w:sz w:val="24"/>
          <w:highlight w:val="none"/>
        </w:rPr>
      </w:pPr>
      <w:r>
        <w:rPr>
          <w:rFonts w:hint="eastAsia" w:ascii="宋体" w:hAnsi="宋体" w:cs="宋体"/>
          <w:color w:val="auto"/>
          <w:sz w:val="24"/>
          <w:highlight w:val="none"/>
        </w:rPr>
        <w:t>法定代表人或授权代表（签名或签章）：</w:t>
      </w:r>
      <w:r>
        <w:rPr>
          <w:rFonts w:hint="eastAsia" w:ascii="宋体" w:hAnsi="宋体" w:cs="宋体"/>
          <w:color w:val="auto"/>
          <w:sz w:val="24"/>
          <w:highlight w:val="none"/>
          <w:u w:val="single"/>
        </w:rPr>
        <w:t xml:space="preserve">             </w:t>
      </w:r>
    </w:p>
    <w:p w14:paraId="1FFB0414">
      <w:pPr>
        <w:snapToGrid w:val="0"/>
        <w:spacing w:before="120" w:line="360" w:lineRule="auto"/>
        <w:rPr>
          <w:rFonts w:hint="eastAsia" w:ascii="宋体" w:hAnsi="宋体" w:cs="宋体"/>
          <w:color w:val="auto"/>
          <w:sz w:val="24"/>
          <w:highlight w:val="none"/>
          <w:u w:val="singl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年    月    日</w:t>
      </w:r>
    </w:p>
    <w:p w14:paraId="2FE54FA3">
      <w:pPr>
        <w:tabs>
          <w:tab w:val="left" w:pos="1418"/>
        </w:tabs>
        <w:snapToGrid w:val="0"/>
        <w:spacing w:line="400" w:lineRule="exact"/>
        <w:jc w:val="left"/>
        <w:rPr>
          <w:rFonts w:ascii="宋体" w:hAnsi="宋体"/>
          <w:b/>
          <w:color w:val="auto"/>
          <w:spacing w:val="20"/>
          <w:sz w:val="24"/>
          <w:highlight w:val="none"/>
        </w:rPr>
      </w:pPr>
    </w:p>
    <w:p w14:paraId="7ED1C63B">
      <w:pPr>
        <w:tabs>
          <w:tab w:val="left" w:pos="1418"/>
        </w:tabs>
        <w:snapToGrid w:val="0"/>
        <w:spacing w:line="400" w:lineRule="exact"/>
        <w:jc w:val="left"/>
        <w:rPr>
          <w:rFonts w:ascii="宋体" w:hAnsi="宋体"/>
          <w:b/>
          <w:color w:val="auto"/>
          <w:spacing w:val="20"/>
          <w:sz w:val="24"/>
          <w:highlight w:val="none"/>
        </w:rPr>
      </w:pPr>
    </w:p>
    <w:p w14:paraId="3DEAA677">
      <w:pPr>
        <w:rPr>
          <w:color w:val="auto"/>
          <w:sz w:val="24"/>
          <w:highlight w:val="none"/>
        </w:rPr>
      </w:pPr>
    </w:p>
    <w:p w14:paraId="735F9178">
      <w:pPr>
        <w:rPr>
          <w:color w:val="auto"/>
          <w:highlight w:val="none"/>
        </w:rPr>
      </w:pPr>
    </w:p>
    <w:p w14:paraId="2663800C">
      <w:pPr>
        <w:snapToGrid w:val="0"/>
        <w:spacing w:line="400" w:lineRule="exact"/>
        <w:jc w:val="left"/>
        <w:rPr>
          <w:rFonts w:ascii="宋体" w:hAnsi="宋体"/>
          <w:color w:val="auto"/>
          <w:szCs w:val="21"/>
          <w:highlight w:val="none"/>
        </w:rPr>
      </w:pPr>
    </w:p>
    <w:p w14:paraId="69EB4379">
      <w:pPr>
        <w:snapToGrid w:val="0"/>
        <w:spacing w:line="400" w:lineRule="exact"/>
        <w:jc w:val="left"/>
        <w:rPr>
          <w:rFonts w:ascii="宋体" w:hAnsi="宋体"/>
          <w:color w:val="auto"/>
          <w:szCs w:val="21"/>
          <w:highlight w:val="none"/>
        </w:rPr>
      </w:pPr>
    </w:p>
    <w:p w14:paraId="683132A1">
      <w:pPr>
        <w:snapToGrid w:val="0"/>
        <w:spacing w:line="400" w:lineRule="exact"/>
        <w:jc w:val="left"/>
        <w:rPr>
          <w:color w:val="auto"/>
          <w:highlight w:val="none"/>
        </w:rPr>
      </w:pPr>
    </w:p>
    <w:p w14:paraId="655D39B0">
      <w:pPr>
        <w:pStyle w:val="21"/>
        <w:rPr>
          <w:color w:val="auto"/>
          <w:highlight w:val="none"/>
        </w:rPr>
      </w:pPr>
    </w:p>
    <w:p w14:paraId="3133DA28">
      <w:pPr>
        <w:pStyle w:val="26"/>
        <w:framePr w:hSpace="180" w:wrap="around" w:vAnchor="text" w:hAnchor="text" w:y="1"/>
        <w:rPr>
          <w:color w:val="auto"/>
          <w:highlight w:val="none"/>
        </w:rPr>
      </w:pPr>
    </w:p>
    <w:p w14:paraId="216F1C36">
      <w:pPr>
        <w:pStyle w:val="26"/>
        <w:framePr w:hSpace="180" w:wrap="around" w:vAnchor="text" w:hAnchor="text" w:y="1"/>
        <w:rPr>
          <w:color w:val="auto"/>
          <w:highlight w:val="none"/>
        </w:rPr>
      </w:pPr>
    </w:p>
    <w:p w14:paraId="2C685252">
      <w:pPr>
        <w:pStyle w:val="35"/>
        <w:rPr>
          <w:color w:val="auto"/>
          <w:highlight w:val="none"/>
        </w:rPr>
      </w:pPr>
    </w:p>
    <w:p w14:paraId="54AA6274">
      <w:pPr>
        <w:pStyle w:val="2"/>
        <w:keepNext/>
        <w:keepLines/>
        <w:pageBreakBefore w:val="0"/>
        <w:widowControl w:val="0"/>
        <w:kinsoku/>
        <w:wordWrap/>
        <w:overflowPunct/>
        <w:topLinePunct w:val="0"/>
        <w:autoSpaceDE/>
        <w:autoSpaceDN/>
        <w:bidi w:val="0"/>
        <w:adjustRightInd/>
        <w:snapToGrid/>
        <w:spacing w:before="157" w:beforeLines="50" w:after="0" w:line="240" w:lineRule="auto"/>
        <w:textAlignment w:val="auto"/>
        <w:rPr>
          <w:rFonts w:hint="eastAsia" w:ascii="宋体" w:hAnsi="宋体" w:eastAsia="宋体" w:cs="宋体"/>
          <w:b w:val="0"/>
          <w:bCs w:val="0"/>
          <w:color w:val="auto"/>
          <w:kern w:val="2"/>
          <w:sz w:val="28"/>
          <w:szCs w:val="28"/>
          <w:highlight w:val="none"/>
          <w:lang w:val="en-US" w:eastAsia="zh-CN" w:bidi="ar-SA"/>
        </w:rPr>
      </w:pPr>
      <w:r>
        <w:rPr>
          <w:rFonts w:hint="eastAsia" w:ascii="宋体" w:hAnsi="宋体" w:eastAsia="宋体" w:cs="宋体"/>
          <w:b w:val="0"/>
          <w:bCs w:val="0"/>
          <w:color w:val="auto"/>
          <w:kern w:val="2"/>
          <w:sz w:val="28"/>
          <w:szCs w:val="28"/>
          <w:highlight w:val="none"/>
          <w:lang w:val="en-US" w:eastAsia="zh-CN" w:bidi="ar-SA"/>
        </w:rPr>
        <w:t>附件23</w:t>
      </w:r>
    </w:p>
    <w:p w14:paraId="77128C21">
      <w:pPr>
        <w:pageBreakBefore w:val="0"/>
        <w:widowControl w:val="0"/>
        <w:kinsoku/>
        <w:wordWrap/>
        <w:overflowPunct/>
        <w:topLinePunct w:val="0"/>
        <w:autoSpaceDE/>
        <w:autoSpaceDN/>
        <w:bidi w:val="0"/>
        <w:adjustRightInd/>
        <w:snapToGrid/>
        <w:spacing w:before="157" w:beforeLines="50" w:after="157" w:afterLines="50" w:line="588" w:lineRule="exact"/>
        <w:jc w:val="center"/>
        <w:textAlignment w:val="auto"/>
        <w:rPr>
          <w:rFonts w:ascii="仿宋_GB2312" w:eastAsia="仿宋_GB2312"/>
          <w:b/>
          <w:color w:val="auto"/>
          <w:spacing w:val="6"/>
          <w:sz w:val="32"/>
          <w:szCs w:val="32"/>
          <w:highlight w:val="none"/>
        </w:rPr>
      </w:pPr>
      <w:r>
        <w:rPr>
          <w:rFonts w:hint="eastAsia" w:ascii="仿宋_GB2312" w:eastAsia="仿宋_GB2312"/>
          <w:b/>
          <w:color w:val="auto"/>
          <w:spacing w:val="6"/>
          <w:sz w:val="32"/>
          <w:szCs w:val="32"/>
          <w:highlight w:val="none"/>
        </w:rPr>
        <w:t>分包意向协议</w:t>
      </w:r>
    </w:p>
    <w:p w14:paraId="298EB73C">
      <w:pPr>
        <w:pStyle w:val="53"/>
        <w:spacing w:line="400" w:lineRule="exact"/>
        <w:rPr>
          <w:color w:val="auto"/>
          <w:highlight w:val="none"/>
        </w:rPr>
      </w:pPr>
    </w:p>
    <w:p w14:paraId="4B5E4D75">
      <w:pPr>
        <w:snapToGrid w:val="0"/>
        <w:spacing w:line="360" w:lineRule="exact"/>
        <w:ind w:firstLine="840" w:firstLineChars="300"/>
        <w:rPr>
          <w:rFonts w:ascii="仿宋" w:hAnsi="仿宋" w:eastAsia="仿宋"/>
          <w:color w:val="auto"/>
          <w:sz w:val="28"/>
          <w:szCs w:val="28"/>
          <w:highlight w:val="none"/>
          <w:lang w:val="zh-CN"/>
        </w:rPr>
      </w:pP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u w:val="single"/>
        </w:rPr>
        <w:t xml:space="preserve">投标人名称    </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lang w:val="zh-CN"/>
        </w:rPr>
        <w:t>若成为</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u w:val="single"/>
        </w:rPr>
        <w:t xml:space="preserve">项目名称     </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u w:val="single"/>
        </w:rPr>
        <w:t xml:space="preserve">招标编号：   </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lang w:val="zh-CN"/>
        </w:rPr>
        <w:t>的中标供应商，将依法采取分包方式履行合同。</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u w:val="single"/>
        </w:rPr>
        <w:t xml:space="preserve">投标人名称    </w:t>
      </w:r>
      <w:r>
        <w:rPr>
          <w:rFonts w:hint="eastAsia" w:ascii="仿宋" w:hAnsi="仿宋" w:eastAsia="仿宋"/>
          <w:color w:val="auto"/>
          <w:sz w:val="28"/>
          <w:szCs w:val="28"/>
          <w:highlight w:val="none"/>
        </w:rPr>
        <w:t>）与（</w:t>
      </w:r>
      <w:r>
        <w:rPr>
          <w:rFonts w:hint="eastAsia" w:ascii="仿宋" w:hAnsi="仿宋" w:eastAsia="仿宋"/>
          <w:color w:val="auto"/>
          <w:sz w:val="28"/>
          <w:szCs w:val="28"/>
          <w:highlight w:val="none"/>
          <w:u w:val="single"/>
        </w:rPr>
        <w:t xml:space="preserve">所有分包供应商名称    </w:t>
      </w:r>
      <w:r>
        <w:rPr>
          <w:rFonts w:hint="eastAsia" w:ascii="仿宋" w:hAnsi="仿宋" w:eastAsia="仿宋"/>
          <w:color w:val="auto"/>
          <w:sz w:val="28"/>
          <w:szCs w:val="28"/>
          <w:highlight w:val="none"/>
        </w:rPr>
        <w:t>）达成分包意向协议</w:t>
      </w:r>
      <w:r>
        <w:rPr>
          <w:rFonts w:hint="eastAsia" w:ascii="仿宋" w:hAnsi="仿宋" w:eastAsia="仿宋"/>
          <w:color w:val="auto"/>
          <w:sz w:val="28"/>
          <w:szCs w:val="28"/>
          <w:highlight w:val="none"/>
          <w:lang w:val="zh-CN"/>
        </w:rPr>
        <w:t xml:space="preserve">。 </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u w:val="single"/>
        </w:rPr>
        <w:t xml:space="preserve">投标人名称    </w:t>
      </w:r>
      <w:r>
        <w:rPr>
          <w:rFonts w:hint="eastAsia" w:ascii="仿宋" w:hAnsi="仿宋" w:eastAsia="仿宋"/>
          <w:color w:val="auto"/>
          <w:sz w:val="28"/>
          <w:szCs w:val="28"/>
          <w:highlight w:val="none"/>
        </w:rPr>
        <w:t>）负责签署投标文件，（</w:t>
      </w:r>
      <w:r>
        <w:rPr>
          <w:rFonts w:hint="eastAsia" w:ascii="仿宋" w:hAnsi="仿宋" w:eastAsia="仿宋"/>
          <w:color w:val="auto"/>
          <w:sz w:val="28"/>
          <w:szCs w:val="28"/>
          <w:highlight w:val="none"/>
          <w:u w:val="single"/>
        </w:rPr>
        <w:t xml:space="preserve">投标人名称     </w:t>
      </w:r>
      <w:r>
        <w:rPr>
          <w:rFonts w:hint="eastAsia" w:ascii="仿宋" w:hAnsi="仿宋" w:eastAsia="仿宋"/>
          <w:color w:val="auto"/>
          <w:sz w:val="28"/>
          <w:szCs w:val="28"/>
          <w:highlight w:val="none"/>
        </w:rPr>
        <w:t>）的所有承诺均认为代表了（</w:t>
      </w:r>
      <w:r>
        <w:rPr>
          <w:rFonts w:hint="eastAsia" w:ascii="仿宋" w:hAnsi="仿宋" w:eastAsia="仿宋"/>
          <w:color w:val="auto"/>
          <w:sz w:val="28"/>
          <w:szCs w:val="28"/>
          <w:highlight w:val="none"/>
          <w:u w:val="single"/>
        </w:rPr>
        <w:t xml:space="preserve">所有分包供应商名称       </w:t>
      </w:r>
      <w:r>
        <w:rPr>
          <w:rFonts w:hint="eastAsia" w:ascii="仿宋" w:hAnsi="仿宋" w:eastAsia="仿宋"/>
          <w:color w:val="auto"/>
          <w:sz w:val="28"/>
          <w:szCs w:val="28"/>
          <w:highlight w:val="none"/>
        </w:rPr>
        <w:t>）意愿。</w:t>
      </w:r>
    </w:p>
    <w:p w14:paraId="6F39F520">
      <w:pPr>
        <w:snapToGrid w:val="0"/>
        <w:spacing w:line="360" w:lineRule="exact"/>
        <w:ind w:firstLine="840" w:firstLineChars="300"/>
        <w:rPr>
          <w:rFonts w:ascii="仿宋" w:hAnsi="仿宋" w:eastAsia="仿宋"/>
          <w:color w:val="auto"/>
          <w:sz w:val="28"/>
          <w:szCs w:val="28"/>
          <w:highlight w:val="none"/>
          <w:lang w:val="zh-CN"/>
        </w:rPr>
      </w:pPr>
      <w:r>
        <w:rPr>
          <w:rFonts w:hint="eastAsia" w:ascii="仿宋" w:hAnsi="仿宋" w:eastAsia="仿宋"/>
          <w:color w:val="auto"/>
          <w:sz w:val="28"/>
          <w:szCs w:val="28"/>
          <w:highlight w:val="none"/>
          <w:lang w:val="zh-CN"/>
        </w:rPr>
        <w:t>一、分包内容在采购文件分包要求的范围内，并符合相关法律规定等</w:t>
      </w:r>
    </w:p>
    <w:p w14:paraId="077EEB97">
      <w:pPr>
        <w:snapToGrid w:val="0"/>
        <w:spacing w:line="360" w:lineRule="exact"/>
        <w:ind w:firstLine="840" w:firstLineChars="300"/>
        <w:rPr>
          <w:rFonts w:ascii="仿宋" w:hAnsi="仿宋" w:eastAsia="仿宋"/>
          <w:color w:val="auto"/>
          <w:sz w:val="28"/>
          <w:szCs w:val="28"/>
          <w:highlight w:val="none"/>
          <w:lang w:val="zh-CN"/>
        </w:rPr>
      </w:pPr>
      <w:r>
        <w:rPr>
          <w:rFonts w:hint="eastAsia" w:ascii="仿宋" w:hAnsi="仿宋" w:eastAsia="仿宋"/>
          <w:color w:val="auto"/>
          <w:sz w:val="28"/>
          <w:szCs w:val="28"/>
          <w:highlight w:val="none"/>
          <w:lang w:val="zh-CN"/>
        </w:rPr>
        <w:t>二、分包标的及数量</w:t>
      </w:r>
    </w:p>
    <w:p w14:paraId="24A6D1C2">
      <w:pPr>
        <w:snapToGrid w:val="0"/>
        <w:spacing w:line="360" w:lineRule="exact"/>
        <w:ind w:firstLine="840" w:firstLineChars="300"/>
        <w:rPr>
          <w:rFonts w:ascii="仿宋" w:hAnsi="仿宋" w:eastAsia="仿宋"/>
          <w:color w:val="auto"/>
          <w:sz w:val="28"/>
          <w:szCs w:val="28"/>
          <w:highlight w:val="none"/>
          <w:lang w:val="zh-CN"/>
        </w:rPr>
      </w:pP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u w:val="single"/>
        </w:rPr>
        <w:t xml:space="preserve">投标人名称     </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lang w:val="zh-CN"/>
        </w:rPr>
        <w:t>将</w:t>
      </w:r>
      <w:r>
        <w:rPr>
          <w:rFonts w:hint="eastAsia" w:ascii="仿宋" w:hAnsi="仿宋" w:eastAsia="仿宋"/>
          <w:color w:val="auto"/>
          <w:sz w:val="28"/>
          <w:szCs w:val="28"/>
          <w:highlight w:val="none"/>
          <w:u w:val="single"/>
        </w:rPr>
        <w:t xml:space="preserve">   工作内容   </w:t>
      </w:r>
      <w:r>
        <w:rPr>
          <w:rFonts w:hint="eastAsia" w:ascii="仿宋" w:hAnsi="仿宋" w:eastAsia="仿宋"/>
          <w:color w:val="auto"/>
          <w:sz w:val="28"/>
          <w:szCs w:val="28"/>
          <w:highlight w:val="none"/>
        </w:rPr>
        <w:t>分包给（</w:t>
      </w:r>
      <w:r>
        <w:rPr>
          <w:rFonts w:hint="eastAsia" w:ascii="仿宋" w:hAnsi="仿宋" w:eastAsia="仿宋"/>
          <w:color w:val="auto"/>
          <w:sz w:val="28"/>
          <w:szCs w:val="28"/>
          <w:highlight w:val="none"/>
          <w:u w:val="single"/>
        </w:rPr>
        <w:t xml:space="preserve">分包供应商名称      </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lang w:val="zh-CN"/>
        </w:rPr>
        <w:t>，</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u w:val="single"/>
        </w:rPr>
        <w:t xml:space="preserve">分包供应商名称       </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lang w:val="zh-CN"/>
        </w:rPr>
        <w:t>具备承</w:t>
      </w:r>
      <w:r>
        <w:rPr>
          <w:rFonts w:hint="eastAsia" w:ascii="仿宋" w:hAnsi="仿宋" w:eastAsia="仿宋"/>
          <w:color w:val="auto"/>
          <w:sz w:val="28"/>
          <w:szCs w:val="28"/>
          <w:highlight w:val="none"/>
        </w:rPr>
        <w:t>担</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u w:val="single"/>
          <w:lang w:val="zh-CN"/>
        </w:rPr>
        <w:t xml:space="preserve">工作内容  </w:t>
      </w:r>
      <w:r>
        <w:rPr>
          <w:rFonts w:hint="eastAsia" w:ascii="仿宋" w:hAnsi="仿宋" w:eastAsia="仿宋"/>
          <w:color w:val="auto"/>
          <w:sz w:val="28"/>
          <w:szCs w:val="28"/>
          <w:highlight w:val="none"/>
          <w:lang w:val="zh-CN"/>
        </w:rPr>
        <w:t>相应资质条件且不得再次分包；</w:t>
      </w:r>
    </w:p>
    <w:p w14:paraId="77F76B54">
      <w:pPr>
        <w:snapToGrid w:val="0"/>
        <w:spacing w:line="360" w:lineRule="exact"/>
        <w:ind w:firstLine="840" w:firstLineChars="300"/>
        <w:rPr>
          <w:rFonts w:ascii="仿宋" w:hAnsi="仿宋" w:eastAsia="仿宋"/>
          <w:color w:val="auto"/>
          <w:sz w:val="28"/>
          <w:szCs w:val="28"/>
          <w:highlight w:val="none"/>
        </w:rPr>
      </w:pPr>
      <w:r>
        <w:rPr>
          <w:rFonts w:hint="eastAsia" w:ascii="仿宋" w:hAnsi="仿宋" w:eastAsia="仿宋"/>
          <w:color w:val="auto"/>
          <w:sz w:val="28"/>
          <w:szCs w:val="28"/>
          <w:highlight w:val="none"/>
        </w:rPr>
        <w:t>……</w:t>
      </w:r>
    </w:p>
    <w:p w14:paraId="1955D384">
      <w:pPr>
        <w:snapToGrid w:val="0"/>
        <w:spacing w:line="360" w:lineRule="exact"/>
        <w:ind w:left="840"/>
        <w:rPr>
          <w:rFonts w:ascii="仿宋" w:hAnsi="仿宋" w:eastAsia="仿宋"/>
          <w:color w:val="auto"/>
          <w:sz w:val="28"/>
          <w:szCs w:val="28"/>
          <w:highlight w:val="none"/>
        </w:rPr>
      </w:pPr>
      <w:r>
        <w:rPr>
          <w:rFonts w:hint="eastAsia" w:ascii="仿宋" w:hAnsi="仿宋" w:eastAsia="仿宋"/>
          <w:color w:val="auto"/>
          <w:sz w:val="28"/>
          <w:szCs w:val="28"/>
          <w:highlight w:val="none"/>
          <w:lang w:val="zh-CN"/>
        </w:rPr>
        <w:t>三、分包工作履行期限、地点、方式</w:t>
      </w:r>
      <w:r>
        <w:rPr>
          <w:rFonts w:hint="eastAsia" w:ascii="仿宋" w:hAnsi="仿宋" w:eastAsia="仿宋"/>
          <w:color w:val="auto"/>
          <w:sz w:val="28"/>
          <w:szCs w:val="28"/>
          <w:highlight w:val="none"/>
        </w:rPr>
        <w:t xml:space="preserve"> </w:t>
      </w:r>
    </w:p>
    <w:p w14:paraId="5855892F">
      <w:pPr>
        <w:snapToGrid w:val="0"/>
        <w:spacing w:line="360" w:lineRule="exact"/>
        <w:rPr>
          <w:rFonts w:ascii="仿宋" w:hAnsi="仿宋" w:eastAsia="仿宋"/>
          <w:color w:val="auto"/>
          <w:sz w:val="28"/>
          <w:szCs w:val="28"/>
          <w:highlight w:val="none"/>
          <w:u w:val="single"/>
        </w:rPr>
      </w:pPr>
      <w:r>
        <w:rPr>
          <w:rFonts w:hint="eastAsia" w:ascii="仿宋" w:hAnsi="仿宋" w:eastAsia="仿宋"/>
          <w:color w:val="auto"/>
          <w:sz w:val="28"/>
          <w:szCs w:val="28"/>
          <w:highlight w:val="none"/>
        </w:rPr>
        <w:t xml:space="preserve">      </w:t>
      </w:r>
      <w:r>
        <w:rPr>
          <w:rFonts w:hint="eastAsia" w:ascii="仿宋" w:hAnsi="仿宋" w:eastAsia="仿宋"/>
          <w:color w:val="auto"/>
          <w:sz w:val="28"/>
          <w:szCs w:val="28"/>
          <w:highlight w:val="none"/>
          <w:u w:val="single"/>
        </w:rPr>
        <w:t xml:space="preserve">                                                                         </w:t>
      </w:r>
    </w:p>
    <w:p w14:paraId="6BF3E35B">
      <w:pPr>
        <w:snapToGrid w:val="0"/>
        <w:spacing w:line="360" w:lineRule="exact"/>
        <w:ind w:left="840"/>
        <w:rPr>
          <w:rFonts w:ascii="仿宋" w:hAnsi="仿宋" w:eastAsia="仿宋"/>
          <w:color w:val="auto"/>
          <w:sz w:val="28"/>
          <w:szCs w:val="28"/>
          <w:highlight w:val="none"/>
          <w:lang w:val="zh-CN"/>
        </w:rPr>
      </w:pPr>
      <w:r>
        <w:rPr>
          <w:rFonts w:hint="eastAsia" w:ascii="仿宋" w:hAnsi="仿宋" w:eastAsia="仿宋"/>
          <w:color w:val="auto"/>
          <w:sz w:val="28"/>
          <w:szCs w:val="28"/>
          <w:highlight w:val="none"/>
          <w:lang w:val="zh-CN"/>
        </w:rPr>
        <w:t xml:space="preserve">四、质量 </w:t>
      </w:r>
    </w:p>
    <w:p w14:paraId="687F12C0">
      <w:pPr>
        <w:snapToGrid w:val="0"/>
        <w:spacing w:line="360" w:lineRule="exact"/>
        <w:ind w:left="630" w:leftChars="300"/>
        <w:rPr>
          <w:rFonts w:ascii="仿宋" w:hAnsi="仿宋" w:eastAsia="仿宋"/>
          <w:color w:val="auto"/>
          <w:sz w:val="28"/>
          <w:szCs w:val="28"/>
          <w:highlight w:val="none"/>
          <w:u w:val="single"/>
          <w:lang w:val="zh-CN"/>
        </w:rPr>
      </w:pPr>
      <w:r>
        <w:rPr>
          <w:rFonts w:hint="eastAsia" w:ascii="仿宋" w:hAnsi="仿宋" w:eastAsia="仿宋"/>
          <w:color w:val="auto"/>
          <w:sz w:val="28"/>
          <w:szCs w:val="28"/>
          <w:highlight w:val="none"/>
        </w:rPr>
        <w:t xml:space="preserve">  </w:t>
      </w:r>
      <w:r>
        <w:rPr>
          <w:rFonts w:hint="eastAsia" w:ascii="仿宋" w:hAnsi="仿宋" w:eastAsia="仿宋"/>
          <w:color w:val="auto"/>
          <w:sz w:val="28"/>
          <w:szCs w:val="28"/>
          <w:highlight w:val="none"/>
          <w:u w:val="single"/>
        </w:rPr>
        <w:t xml:space="preserve">                                                                                   </w:t>
      </w:r>
    </w:p>
    <w:p w14:paraId="06715E99">
      <w:pPr>
        <w:snapToGrid w:val="0"/>
        <w:spacing w:line="360" w:lineRule="exact"/>
        <w:ind w:firstLine="840" w:firstLineChars="300"/>
        <w:rPr>
          <w:rFonts w:ascii="仿宋" w:hAnsi="仿宋" w:eastAsia="仿宋"/>
          <w:color w:val="auto"/>
          <w:sz w:val="28"/>
          <w:szCs w:val="28"/>
          <w:highlight w:val="none"/>
          <w:lang w:val="zh-CN"/>
        </w:rPr>
      </w:pPr>
      <w:r>
        <w:rPr>
          <w:rFonts w:hint="eastAsia" w:ascii="仿宋" w:hAnsi="仿宋" w:eastAsia="仿宋"/>
          <w:color w:val="auto"/>
          <w:sz w:val="28"/>
          <w:szCs w:val="28"/>
          <w:highlight w:val="none"/>
          <w:lang w:val="zh-CN"/>
        </w:rPr>
        <w:t>五、价款或者报酬</w:t>
      </w:r>
    </w:p>
    <w:p w14:paraId="5AAFC7DB">
      <w:pPr>
        <w:snapToGrid w:val="0"/>
        <w:spacing w:line="360" w:lineRule="exact"/>
        <w:ind w:firstLine="840" w:firstLineChars="300"/>
        <w:rPr>
          <w:rFonts w:ascii="仿宋" w:hAnsi="仿宋" w:eastAsia="仿宋"/>
          <w:color w:val="auto"/>
          <w:sz w:val="28"/>
          <w:szCs w:val="28"/>
          <w:highlight w:val="none"/>
          <w:u w:val="single"/>
          <w:lang w:val="zh-CN"/>
        </w:rPr>
      </w:pPr>
      <w:r>
        <w:rPr>
          <w:rFonts w:hint="eastAsia" w:ascii="仿宋" w:hAnsi="仿宋" w:eastAsia="仿宋"/>
          <w:color w:val="auto"/>
          <w:sz w:val="28"/>
          <w:szCs w:val="28"/>
          <w:highlight w:val="none"/>
          <w:u w:val="single"/>
        </w:rPr>
        <w:t xml:space="preserve">                                                                                     </w:t>
      </w:r>
    </w:p>
    <w:p w14:paraId="26F52B4E">
      <w:pPr>
        <w:snapToGrid w:val="0"/>
        <w:spacing w:line="360" w:lineRule="exact"/>
        <w:ind w:firstLine="840" w:firstLineChars="300"/>
        <w:rPr>
          <w:rFonts w:ascii="仿宋" w:hAnsi="仿宋" w:eastAsia="仿宋"/>
          <w:color w:val="auto"/>
          <w:sz w:val="28"/>
          <w:szCs w:val="28"/>
          <w:highlight w:val="none"/>
          <w:lang w:val="zh-CN"/>
        </w:rPr>
      </w:pPr>
      <w:r>
        <w:rPr>
          <w:rFonts w:hint="eastAsia" w:ascii="仿宋" w:hAnsi="仿宋" w:eastAsia="仿宋"/>
          <w:color w:val="auto"/>
          <w:sz w:val="28"/>
          <w:szCs w:val="28"/>
          <w:highlight w:val="none"/>
          <w:lang w:val="zh-CN"/>
        </w:rPr>
        <w:t>六、违约责任</w:t>
      </w:r>
    </w:p>
    <w:p w14:paraId="00575582">
      <w:pPr>
        <w:snapToGrid w:val="0"/>
        <w:spacing w:line="360" w:lineRule="exact"/>
        <w:ind w:firstLine="840" w:firstLineChars="300"/>
        <w:rPr>
          <w:rFonts w:ascii="仿宋" w:hAnsi="仿宋" w:eastAsia="仿宋"/>
          <w:color w:val="auto"/>
          <w:sz w:val="28"/>
          <w:szCs w:val="28"/>
          <w:highlight w:val="none"/>
          <w:u w:val="single"/>
          <w:lang w:val="zh-CN"/>
        </w:rPr>
      </w:pPr>
      <w:r>
        <w:rPr>
          <w:rFonts w:hint="eastAsia" w:ascii="仿宋" w:hAnsi="仿宋" w:eastAsia="仿宋"/>
          <w:color w:val="auto"/>
          <w:sz w:val="28"/>
          <w:szCs w:val="28"/>
          <w:highlight w:val="none"/>
          <w:u w:val="single"/>
        </w:rPr>
        <w:t xml:space="preserve">                                                                                     </w:t>
      </w:r>
    </w:p>
    <w:p w14:paraId="04475559">
      <w:pPr>
        <w:snapToGrid w:val="0"/>
        <w:spacing w:line="360" w:lineRule="exact"/>
        <w:ind w:firstLine="840" w:firstLineChars="300"/>
        <w:rPr>
          <w:rFonts w:ascii="仿宋" w:hAnsi="仿宋" w:eastAsia="仿宋"/>
          <w:color w:val="auto"/>
          <w:sz w:val="28"/>
          <w:szCs w:val="28"/>
          <w:highlight w:val="none"/>
          <w:lang w:val="zh-CN"/>
        </w:rPr>
      </w:pPr>
      <w:r>
        <w:rPr>
          <w:rFonts w:hint="eastAsia" w:ascii="仿宋" w:hAnsi="仿宋" w:eastAsia="仿宋"/>
          <w:color w:val="auto"/>
          <w:sz w:val="28"/>
          <w:szCs w:val="28"/>
          <w:highlight w:val="none"/>
          <w:lang w:val="zh-CN"/>
        </w:rPr>
        <w:t xml:space="preserve">七、争议解决的办法 </w:t>
      </w:r>
    </w:p>
    <w:p w14:paraId="369F6694">
      <w:pPr>
        <w:snapToGrid w:val="0"/>
        <w:spacing w:line="360" w:lineRule="exact"/>
        <w:rPr>
          <w:rFonts w:ascii="仿宋" w:hAnsi="仿宋" w:eastAsia="仿宋"/>
          <w:color w:val="auto"/>
          <w:sz w:val="28"/>
          <w:szCs w:val="28"/>
          <w:highlight w:val="none"/>
          <w:u w:val="single"/>
          <w:lang w:val="zh-CN"/>
        </w:rPr>
      </w:pPr>
      <w:r>
        <w:rPr>
          <w:rFonts w:hint="eastAsia" w:ascii="仿宋" w:hAnsi="仿宋" w:eastAsia="仿宋"/>
          <w:color w:val="auto"/>
          <w:sz w:val="28"/>
          <w:szCs w:val="28"/>
          <w:highlight w:val="none"/>
        </w:rPr>
        <w:t xml:space="preserve">      </w:t>
      </w:r>
      <w:r>
        <w:rPr>
          <w:rFonts w:hint="eastAsia" w:ascii="仿宋" w:hAnsi="仿宋" w:eastAsia="仿宋"/>
          <w:color w:val="auto"/>
          <w:sz w:val="28"/>
          <w:szCs w:val="28"/>
          <w:highlight w:val="none"/>
          <w:u w:val="single"/>
        </w:rPr>
        <w:t xml:space="preserve">                                                                         </w:t>
      </w:r>
    </w:p>
    <w:p w14:paraId="5DB32FE9">
      <w:pPr>
        <w:snapToGrid w:val="0"/>
        <w:spacing w:line="360" w:lineRule="exact"/>
        <w:ind w:firstLine="840" w:firstLineChars="300"/>
        <w:rPr>
          <w:rFonts w:ascii="仿宋" w:hAnsi="仿宋" w:eastAsia="仿宋"/>
          <w:color w:val="auto"/>
          <w:sz w:val="28"/>
          <w:szCs w:val="28"/>
          <w:highlight w:val="none"/>
          <w:lang w:val="zh-CN"/>
        </w:rPr>
      </w:pPr>
      <w:r>
        <w:rPr>
          <w:rFonts w:hint="eastAsia" w:ascii="仿宋" w:hAnsi="仿宋" w:eastAsia="仿宋"/>
          <w:color w:val="auto"/>
          <w:sz w:val="28"/>
          <w:szCs w:val="28"/>
          <w:highlight w:val="none"/>
          <w:lang w:val="zh-CN"/>
        </w:rPr>
        <w:t>八、其他</w:t>
      </w:r>
    </w:p>
    <w:p w14:paraId="3D802AD2">
      <w:pPr>
        <w:snapToGrid w:val="0"/>
        <w:spacing w:line="360" w:lineRule="exact"/>
        <w:ind w:firstLine="840" w:firstLineChars="300"/>
        <w:rPr>
          <w:rFonts w:ascii="仿宋" w:hAnsi="仿宋" w:eastAsia="仿宋"/>
          <w:color w:val="auto"/>
          <w:sz w:val="28"/>
          <w:szCs w:val="28"/>
          <w:highlight w:val="none"/>
          <w:lang w:val="zh-CN"/>
        </w:rPr>
      </w:pPr>
      <w:r>
        <w:rPr>
          <w:rFonts w:hint="eastAsia" w:ascii="仿宋" w:hAnsi="仿宋" w:eastAsia="仿宋"/>
          <w:color w:val="auto"/>
          <w:sz w:val="28"/>
          <w:szCs w:val="28"/>
          <w:highlight w:val="none"/>
          <w:lang w:val="zh-CN"/>
        </w:rPr>
        <w:t>（分包供应商名称</w:t>
      </w:r>
      <w:r>
        <w:rPr>
          <w:rFonts w:hint="eastAsia" w:ascii="仿宋" w:hAnsi="仿宋" w:eastAsia="仿宋"/>
          <w:color w:val="auto"/>
          <w:sz w:val="28"/>
          <w:szCs w:val="28"/>
          <w:highlight w:val="none"/>
          <w:u w:val="single"/>
          <w:lang w:val="zh-CN"/>
        </w:rPr>
        <w:t xml:space="preserve">       </w:t>
      </w:r>
      <w:r>
        <w:rPr>
          <w:rFonts w:hint="eastAsia" w:ascii="仿宋" w:hAnsi="仿宋" w:eastAsia="仿宋"/>
          <w:color w:val="auto"/>
          <w:sz w:val="28"/>
          <w:szCs w:val="28"/>
          <w:highlight w:val="none"/>
          <w:lang w:val="zh-CN"/>
        </w:rPr>
        <w:t>）的合同份额占到合同总金额</w:t>
      </w:r>
      <w:r>
        <w:rPr>
          <w:rFonts w:hint="eastAsia" w:ascii="仿宋" w:hAnsi="仿宋" w:eastAsia="仿宋"/>
          <w:color w:val="auto"/>
          <w:sz w:val="28"/>
          <w:szCs w:val="28"/>
          <w:highlight w:val="none"/>
          <w:u w:val="single"/>
          <w:lang w:val="zh-CN"/>
        </w:rPr>
        <w:t xml:space="preserve">     </w:t>
      </w:r>
      <w:r>
        <w:rPr>
          <w:rFonts w:hint="eastAsia" w:ascii="仿宋" w:hAnsi="仿宋" w:eastAsia="仿宋"/>
          <w:color w:val="auto"/>
          <w:sz w:val="28"/>
          <w:szCs w:val="28"/>
          <w:highlight w:val="none"/>
          <w:lang w:val="zh-CN"/>
        </w:rPr>
        <w:t>%以上。当分包份额占到合同总金额100%时，视为转包。此情况根据《中华人民共和国政府采购法实施条例》（国务院令第658号）文件第七十二条规定，将依照政府采购法第七十七条第一款的规定追究相关法律责任。</w:t>
      </w:r>
    </w:p>
    <w:p w14:paraId="4D4E4080">
      <w:pPr>
        <w:snapToGrid w:val="0"/>
        <w:spacing w:line="360" w:lineRule="exact"/>
        <w:ind w:firstLine="840" w:firstLineChars="300"/>
        <w:rPr>
          <w:rFonts w:ascii="仿宋" w:hAnsi="仿宋" w:eastAsia="仿宋"/>
          <w:color w:val="auto"/>
          <w:sz w:val="28"/>
          <w:szCs w:val="28"/>
          <w:highlight w:val="none"/>
          <w:lang w:val="zh-CN"/>
        </w:rPr>
      </w:pPr>
      <w:r>
        <w:rPr>
          <w:rFonts w:hint="eastAsia" w:ascii="仿宋" w:hAnsi="仿宋" w:eastAsia="仿宋"/>
          <w:color w:val="auto"/>
          <w:sz w:val="28"/>
          <w:szCs w:val="28"/>
          <w:highlight w:val="none"/>
          <w:lang w:val="zh-CN"/>
        </w:rPr>
        <w:t xml:space="preserve">   </w:t>
      </w:r>
    </w:p>
    <w:p w14:paraId="2C785AA3">
      <w:pPr>
        <w:snapToGrid w:val="0"/>
        <w:spacing w:line="360" w:lineRule="exact"/>
        <w:ind w:firstLine="840" w:firstLineChars="300"/>
        <w:rPr>
          <w:rFonts w:ascii="仿宋" w:hAnsi="仿宋" w:eastAsia="仿宋"/>
          <w:color w:val="auto"/>
          <w:sz w:val="28"/>
          <w:szCs w:val="28"/>
          <w:highlight w:val="none"/>
          <w:lang w:val="zh-CN"/>
        </w:rPr>
      </w:pPr>
      <w:r>
        <w:rPr>
          <w:rFonts w:hint="eastAsia" w:ascii="仿宋" w:hAnsi="仿宋" w:eastAsia="仿宋"/>
          <w:color w:val="auto"/>
          <w:sz w:val="28"/>
          <w:szCs w:val="28"/>
          <w:highlight w:val="none"/>
        </w:rPr>
        <w:t>投标人名称</w:t>
      </w:r>
      <w:r>
        <w:rPr>
          <w:rFonts w:hint="eastAsia" w:ascii="仿宋" w:hAnsi="仿宋" w:eastAsia="仿宋"/>
          <w:color w:val="auto"/>
          <w:sz w:val="28"/>
          <w:szCs w:val="28"/>
          <w:highlight w:val="none"/>
          <w:lang w:val="zh-CN"/>
        </w:rPr>
        <w:t>(</w:t>
      </w:r>
      <w:r>
        <w:rPr>
          <w:rFonts w:hint="eastAsia" w:ascii="仿宋" w:hAnsi="仿宋" w:eastAsia="仿宋"/>
          <w:color w:val="auto"/>
          <w:sz w:val="28"/>
          <w:szCs w:val="28"/>
          <w:highlight w:val="none"/>
        </w:rPr>
        <w:t>盖公章</w:t>
      </w:r>
      <w:r>
        <w:rPr>
          <w:rFonts w:hint="eastAsia" w:ascii="仿宋" w:hAnsi="仿宋" w:eastAsia="仿宋"/>
          <w:color w:val="auto"/>
          <w:sz w:val="28"/>
          <w:szCs w:val="28"/>
          <w:highlight w:val="none"/>
          <w:lang w:val="zh-CN"/>
        </w:rPr>
        <w:t>)：</w:t>
      </w:r>
      <w:r>
        <w:rPr>
          <w:rFonts w:hint="eastAsia" w:ascii="仿宋" w:hAnsi="仿宋" w:eastAsia="仿宋"/>
          <w:color w:val="auto"/>
          <w:sz w:val="28"/>
          <w:szCs w:val="28"/>
          <w:highlight w:val="none"/>
          <w:u w:val="single"/>
          <w:lang w:val="zh-CN"/>
        </w:rPr>
        <w:tab/>
      </w:r>
      <w:r>
        <w:rPr>
          <w:rFonts w:hint="eastAsia" w:ascii="仿宋" w:hAnsi="仿宋" w:eastAsia="仿宋"/>
          <w:color w:val="auto"/>
          <w:sz w:val="28"/>
          <w:szCs w:val="28"/>
          <w:highlight w:val="none"/>
          <w:u w:val="single"/>
          <w:lang w:val="zh-CN"/>
        </w:rPr>
        <w:tab/>
      </w:r>
      <w:r>
        <w:rPr>
          <w:rFonts w:hint="eastAsia" w:ascii="仿宋" w:hAnsi="仿宋" w:eastAsia="仿宋"/>
          <w:color w:val="auto"/>
          <w:sz w:val="28"/>
          <w:szCs w:val="28"/>
          <w:highlight w:val="none"/>
          <w:u w:val="single"/>
          <w:lang w:val="zh-CN"/>
        </w:rPr>
        <w:tab/>
      </w:r>
      <w:r>
        <w:rPr>
          <w:rFonts w:hint="eastAsia" w:ascii="仿宋" w:hAnsi="仿宋" w:eastAsia="仿宋"/>
          <w:color w:val="auto"/>
          <w:sz w:val="28"/>
          <w:szCs w:val="28"/>
          <w:highlight w:val="none"/>
          <w:u w:val="single"/>
          <w:lang w:val="zh-CN"/>
        </w:rPr>
        <w:tab/>
      </w:r>
      <w:r>
        <w:rPr>
          <w:rFonts w:hint="eastAsia" w:ascii="仿宋" w:hAnsi="仿宋" w:eastAsia="仿宋"/>
          <w:color w:val="auto"/>
          <w:sz w:val="28"/>
          <w:szCs w:val="28"/>
          <w:highlight w:val="none"/>
          <w:u w:val="single"/>
          <w:lang w:val="zh-CN"/>
        </w:rPr>
        <w:tab/>
      </w:r>
    </w:p>
    <w:p w14:paraId="216D01FD">
      <w:pPr>
        <w:snapToGrid w:val="0"/>
        <w:spacing w:line="360" w:lineRule="exact"/>
        <w:ind w:firstLine="840" w:firstLineChars="300"/>
        <w:rPr>
          <w:rFonts w:ascii="仿宋" w:hAnsi="仿宋" w:eastAsia="仿宋"/>
          <w:color w:val="auto"/>
          <w:sz w:val="28"/>
          <w:szCs w:val="28"/>
          <w:highlight w:val="none"/>
          <w:lang w:val="zh-CN"/>
        </w:rPr>
      </w:pPr>
    </w:p>
    <w:p w14:paraId="26BDBE5A">
      <w:pPr>
        <w:snapToGrid w:val="0"/>
        <w:spacing w:line="360" w:lineRule="exact"/>
        <w:ind w:firstLine="840" w:firstLineChars="300"/>
        <w:rPr>
          <w:rFonts w:ascii="仿宋" w:hAnsi="仿宋" w:eastAsia="仿宋"/>
          <w:color w:val="auto"/>
          <w:sz w:val="28"/>
          <w:szCs w:val="28"/>
          <w:highlight w:val="none"/>
          <w:lang w:val="zh-CN"/>
        </w:rPr>
      </w:pPr>
      <w:r>
        <w:rPr>
          <w:rFonts w:hint="eastAsia" w:ascii="仿宋" w:hAnsi="仿宋" w:eastAsia="仿宋"/>
          <w:color w:val="auto"/>
          <w:sz w:val="28"/>
          <w:szCs w:val="28"/>
          <w:highlight w:val="none"/>
          <w:lang w:val="zh-CN"/>
        </w:rPr>
        <w:t>分包供应商名称（</w:t>
      </w:r>
      <w:r>
        <w:rPr>
          <w:rFonts w:hint="eastAsia" w:ascii="仿宋" w:hAnsi="仿宋" w:eastAsia="仿宋"/>
          <w:color w:val="auto"/>
          <w:sz w:val="28"/>
          <w:szCs w:val="28"/>
          <w:highlight w:val="none"/>
        </w:rPr>
        <w:t>盖公章</w:t>
      </w:r>
      <w:r>
        <w:rPr>
          <w:rFonts w:hint="eastAsia" w:ascii="仿宋" w:hAnsi="仿宋" w:eastAsia="仿宋"/>
          <w:color w:val="auto"/>
          <w:sz w:val="28"/>
          <w:szCs w:val="28"/>
          <w:highlight w:val="none"/>
          <w:lang w:val="zh-CN"/>
        </w:rPr>
        <w:t>）：</w:t>
      </w:r>
      <w:r>
        <w:rPr>
          <w:rFonts w:hint="eastAsia" w:ascii="仿宋" w:hAnsi="仿宋" w:eastAsia="仿宋"/>
          <w:color w:val="auto"/>
          <w:sz w:val="28"/>
          <w:szCs w:val="28"/>
          <w:highlight w:val="none"/>
          <w:u w:val="single"/>
          <w:lang w:val="zh-CN"/>
        </w:rPr>
        <w:tab/>
      </w:r>
      <w:r>
        <w:rPr>
          <w:rFonts w:hint="eastAsia" w:ascii="仿宋" w:hAnsi="仿宋" w:eastAsia="仿宋"/>
          <w:color w:val="auto"/>
          <w:sz w:val="28"/>
          <w:szCs w:val="28"/>
          <w:highlight w:val="none"/>
          <w:u w:val="single"/>
          <w:lang w:val="zh-CN"/>
        </w:rPr>
        <w:tab/>
      </w:r>
      <w:r>
        <w:rPr>
          <w:rFonts w:hint="eastAsia" w:ascii="仿宋" w:hAnsi="仿宋" w:eastAsia="仿宋"/>
          <w:color w:val="auto"/>
          <w:sz w:val="28"/>
          <w:szCs w:val="28"/>
          <w:highlight w:val="none"/>
          <w:u w:val="single"/>
          <w:lang w:val="zh-CN"/>
        </w:rPr>
        <w:tab/>
      </w:r>
      <w:r>
        <w:rPr>
          <w:rFonts w:hint="eastAsia" w:ascii="仿宋" w:hAnsi="仿宋" w:eastAsia="仿宋"/>
          <w:color w:val="auto"/>
          <w:sz w:val="28"/>
          <w:szCs w:val="28"/>
          <w:highlight w:val="none"/>
          <w:u w:val="single"/>
          <w:lang w:val="zh-CN"/>
        </w:rPr>
        <w:tab/>
      </w:r>
      <w:r>
        <w:rPr>
          <w:rFonts w:hint="eastAsia" w:ascii="仿宋" w:hAnsi="仿宋" w:eastAsia="仿宋"/>
          <w:color w:val="auto"/>
          <w:sz w:val="28"/>
          <w:szCs w:val="28"/>
          <w:highlight w:val="none"/>
          <w:u w:val="single"/>
          <w:lang w:val="zh-CN"/>
        </w:rPr>
        <w:tab/>
      </w:r>
      <w:r>
        <w:rPr>
          <w:rFonts w:hint="eastAsia" w:ascii="仿宋" w:hAnsi="仿宋" w:eastAsia="仿宋"/>
          <w:color w:val="auto"/>
          <w:sz w:val="28"/>
          <w:szCs w:val="28"/>
          <w:highlight w:val="none"/>
          <w:u w:val="single"/>
          <w:lang w:val="zh-CN"/>
        </w:rPr>
        <w:tab/>
      </w:r>
    </w:p>
    <w:p w14:paraId="03016F7D">
      <w:pPr>
        <w:snapToGrid w:val="0"/>
        <w:spacing w:line="360" w:lineRule="exact"/>
        <w:ind w:firstLine="840" w:firstLineChars="300"/>
        <w:rPr>
          <w:rFonts w:ascii="仿宋" w:hAnsi="仿宋" w:eastAsia="仿宋"/>
          <w:color w:val="auto"/>
          <w:sz w:val="28"/>
          <w:szCs w:val="28"/>
          <w:highlight w:val="none"/>
        </w:rPr>
      </w:pPr>
      <w:r>
        <w:rPr>
          <w:rFonts w:hint="eastAsia" w:ascii="仿宋" w:hAnsi="仿宋" w:eastAsia="仿宋"/>
          <w:color w:val="auto"/>
          <w:sz w:val="28"/>
          <w:szCs w:val="28"/>
          <w:highlight w:val="none"/>
          <w:lang w:val="zh-CN"/>
        </w:rPr>
        <w:t>……</w:t>
      </w:r>
    </w:p>
    <w:p w14:paraId="0C1D2F00">
      <w:pPr>
        <w:snapToGrid w:val="0"/>
        <w:spacing w:line="400" w:lineRule="exact"/>
        <w:ind w:firstLine="840" w:firstLineChars="300"/>
        <w:rPr>
          <w:color w:val="auto"/>
          <w:highlight w:val="none"/>
        </w:rPr>
      </w:pPr>
      <w:r>
        <w:rPr>
          <w:rFonts w:hint="eastAsia" w:ascii="仿宋" w:hAnsi="仿宋" w:eastAsia="仿宋"/>
          <w:color w:val="auto"/>
          <w:sz w:val="28"/>
          <w:szCs w:val="28"/>
          <w:highlight w:val="none"/>
          <w:lang w:val="zh-CN"/>
        </w:rPr>
        <w:t xml:space="preserve">                                 日期：</w:t>
      </w:r>
      <w:r>
        <w:rPr>
          <w:rFonts w:hint="eastAsia" w:ascii="仿宋" w:hAnsi="仿宋" w:eastAsia="仿宋"/>
          <w:color w:val="auto"/>
          <w:sz w:val="28"/>
          <w:szCs w:val="28"/>
          <w:highlight w:val="none"/>
          <w:u w:val="single"/>
          <w:lang w:val="zh-CN"/>
        </w:rPr>
        <w:t xml:space="preserve">  年  月   日</w:t>
      </w:r>
    </w:p>
    <w:sectPr>
      <w:pgSz w:w="11906" w:h="16838"/>
      <w:pgMar w:top="1440" w:right="1106" w:bottom="1440" w:left="144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DFKai-SB">
    <w:panose1 w:val="03000509000000000000"/>
    <w:charset w:val="88"/>
    <w:family w:val="script"/>
    <w:pitch w:val="default"/>
    <w:sig w:usb0="00000003" w:usb1="082E0000" w:usb2="00000016" w:usb3="00000000" w:csb0="00100001" w:csb1="00000000"/>
  </w:font>
  <w:font w:name="楷体_GB2312">
    <w:altName w:val="楷体"/>
    <w:panose1 w:val="02010609030101010101"/>
    <w:charset w:val="86"/>
    <w:family w:val="modern"/>
    <w:pitch w:val="default"/>
    <w:sig w:usb0="00000000" w:usb1="00000000" w:usb2="0000000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Helvetica">
    <w:panose1 w:val="020B0604020202020204"/>
    <w:charset w:val="00"/>
    <w:family w:val="swiss"/>
    <w:pitch w:val="default"/>
    <w:sig w:usb0="00000000" w:usb1="00000000" w:usb2="00000000" w:usb3="00000000" w:csb0="00000000" w:csb1="00000000"/>
  </w:font>
  <w:font w:name="CG Times">
    <w:panose1 w:val="02020603050405020304"/>
    <w:charset w:val="00"/>
    <w:family w:val="roman"/>
    <w:pitch w:val="default"/>
    <w:sig w:usb0="00000000" w:usb1="00000000" w:usb2="00000000" w:usb3="00000000" w:csb0="00000000" w:csb1="00000000"/>
  </w:font>
  <w:font w:name="Verdana">
    <w:panose1 w:val="020B0604030504040204"/>
    <w:charset w:val="00"/>
    <w:family w:val="swiss"/>
    <w:pitch w:val="default"/>
    <w:sig w:usb0="A10006FF" w:usb1="4000205B" w:usb2="00000010" w:usb3="00000000" w:csb0="2000019F" w:csb1="00000000"/>
  </w:font>
  <w:font w:name="Cambria">
    <w:panose1 w:val="02040503050406030204"/>
    <w:charset w:val="00"/>
    <w:family w:val="roman"/>
    <w:pitch w:val="default"/>
    <w:sig w:usb0="E00002FF" w:usb1="400004FF" w:usb2="00000000" w:usb3="00000000" w:csb0="2000019F" w:csb1="00000000"/>
  </w:font>
  <w:font w:name="Arial Narrow">
    <w:altName w:val="Arial"/>
    <w:panose1 w:val="020B0606020202030204"/>
    <w:charset w:val="00"/>
    <w:family w:val="swiss"/>
    <w:pitch w:val="default"/>
    <w:sig w:usb0="00000000" w:usb1="00000000" w:usb2="00000000" w:usb3="00000000" w:csb0="2000009F" w:csb1="DFD70000"/>
  </w:font>
  <w:font w:name="方正姚体">
    <w:altName w:val="宋体"/>
    <w:panose1 w:val="02010601030101010101"/>
    <w:charset w:val="86"/>
    <w:family w:val="auto"/>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幼圆">
    <w:panose1 w:val="02010509060101010101"/>
    <w:charset w:val="86"/>
    <w:family w:val="modern"/>
    <w:pitch w:val="default"/>
    <w:sig w:usb0="00000001" w:usb1="080E0000" w:usb2="00000000" w:usb3="00000000" w:csb0="00040000" w:csb1="00000000"/>
  </w:font>
  <w:font w:name="Century">
    <w:altName w:val="Nyala"/>
    <w:panose1 w:val="02040604050505020304"/>
    <w:charset w:val="00"/>
    <w:family w:val="roman"/>
    <w:pitch w:val="default"/>
    <w:sig w:usb0="00000000" w:usb1="00000000" w:usb2="00000000" w:usb3="00000000" w:csb0="2000009F" w:csb1="DFD70000"/>
  </w:font>
  <w:font w:name="瀹嬩綋">
    <w:altName w:val="微软雅黑"/>
    <w:panose1 w:val="00000000000000000000"/>
    <w:charset w:val="00"/>
    <w:family w:val="auto"/>
    <w:pitch w:val="default"/>
    <w:sig w:usb0="00000000" w:usb1="00000000" w:usb2="00000000" w:usb3="00000000" w:csb0="00040001" w:csb1="00000000"/>
  </w:font>
  <w:font w:name="鐎瑰╃秼">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MS PGothic">
    <w:panose1 w:val="020B0600070205080204"/>
    <w:charset w:val="80"/>
    <w:family w:val="auto"/>
    <w:pitch w:val="default"/>
    <w:sig w:usb0="E00002FF" w:usb1="6AC7FDFB" w:usb2="00000012" w:usb3="00000000" w:csb0="4002009F" w:csb1="DFD70000"/>
  </w:font>
  <w:font w:name="楷体">
    <w:panose1 w:val="02010609060101010101"/>
    <w:charset w:val="86"/>
    <w:family w:val="auto"/>
    <w:pitch w:val="default"/>
    <w:sig w:usb0="800002BF" w:usb1="38CF7CFA" w:usb2="00000016" w:usb3="00000000" w:csb0="00040001" w:csb1="00000000"/>
  </w:font>
  <w:font w:name="Nyala">
    <w:panose1 w:val="02000504070300020003"/>
    <w:charset w:val="00"/>
    <w:family w:val="auto"/>
    <w:pitch w:val="default"/>
    <w:sig w:usb0="A000006F" w:usb1="00000000" w:usb2="000008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8616A">
    <w:pPr>
      <w:pStyle w:val="35"/>
      <w:ind w:right="720" w:firstLine="180" w:firstLineChars="100"/>
      <w:jc w:val="right"/>
      <w:rPr>
        <w:rFonts w:hint="eastAsia"/>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03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08E0DD6">
                          <w:pPr>
                            <w:pStyle w:val="35"/>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18</w:t>
                          </w:r>
                          <w:r>
                            <w:rPr>
                              <w:rFonts w:hint="eastAsia"/>
                            </w:rPr>
                            <w:fldChar w:fldCharType="end"/>
                          </w:r>
                          <w:r>
                            <w:rPr>
                              <w:rFonts w:hint="eastAsia"/>
                            </w:rPr>
                            <w:t xml:space="preserve"> 页</w:t>
                          </w:r>
                        </w:p>
                      </w:txbxContent>
                    </wps:txbx>
                    <wps:bodyPr wrap="none" lIns="0" tIns="0" rIns="0" bIns="0" upright="0">
                      <a:spAutoFit/>
                    </wps:bodyPr>
                  </wps:wsp>
                </a:graphicData>
              </a:graphic>
            </wp:anchor>
          </w:drawing>
        </mc:Choice>
        <mc:Fallback>
          <w:pict>
            <v:rect id="文本框 103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5dblS0AAAAAUBAAAPAAAAAAAAAAEAIAAAACIAAABkcnMvZG93bnJldi54bWxQ&#10;SwECFAAUAAAACACHTuJAy8CJ98YBAACKAwAADgAAAAAAAAABACAAAAAfAQAAZHJzL2Uyb0RvYy54&#10;bWxQSwUGAAAAAAYABgBZAQAAVwUAAAAA&#10;">
              <v:fill on="f" focussize="0,0"/>
              <v:stroke on="f"/>
              <v:imagedata o:title=""/>
              <o:lock v:ext="edit" aspectratio="f"/>
              <v:textbox inset="0mm,0mm,0mm,0mm" style="mso-fit-shape-to-text:t;">
                <w:txbxContent>
                  <w:p w14:paraId="308E0DD6">
                    <w:pPr>
                      <w:pStyle w:val="35"/>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18</w:t>
                    </w:r>
                    <w:r>
                      <w:rPr>
                        <w:rFonts w:hint="eastAsia"/>
                      </w:rPr>
                      <w:fldChar w:fldCharType="end"/>
                    </w:r>
                    <w:r>
                      <w:rPr>
                        <w:rFonts w:hint="eastAsia"/>
                      </w:rPr>
                      <w:t xml:space="preserve"> 页</w:t>
                    </w:r>
                  </w:p>
                </w:txbxContent>
              </v:textbox>
            </v:rect>
          </w:pict>
        </mc:Fallback>
      </mc:AlternateContent>
    </w:r>
  </w:p>
  <w:p w14:paraId="3F44277F">
    <w:pPr>
      <w:pStyle w:val="35"/>
      <w:tabs>
        <w:tab w:val="left" w:pos="5361"/>
      </w:tabs>
      <w:ind w:right="720" w:firstLine="180" w:firstLineChars="100"/>
      <w:rPr>
        <w:rFonts w:hint="eastAsia"/>
      </w:rPr>
    </w:pPr>
    <w:r>
      <w:rPr>
        <w:rFonts w:hint="eastAsia"/>
      </w:rPr>
      <w:tab/>
    </w:r>
    <w:r>
      <w:rPr>
        <w:rFonts w:hint="eastAsia"/>
      </w:rPr>
      <w:tab/>
    </w: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156D9A">
    <w:pPr>
      <w:pStyle w:val="3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D3D6EE">
    <w:pPr>
      <w:pStyle w:val="35"/>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10"/>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43AC0FD">
                          <w:pPr>
                            <w:pStyle w:val="35"/>
                          </w:pPr>
                          <w:r>
                            <w:t xml:space="preserve">第 </w:t>
                          </w:r>
                          <w:r>
                            <w:fldChar w:fldCharType="begin"/>
                          </w:r>
                          <w:r>
                            <w:instrText xml:space="preserve"> PAGE  \* MERGEFORMAT </w:instrText>
                          </w:r>
                          <w:r>
                            <w:fldChar w:fldCharType="separate"/>
                          </w:r>
                          <w:r>
                            <w:t>2</w:t>
                          </w:r>
                          <w:r>
                            <w:fldChar w:fldCharType="end"/>
                          </w:r>
                          <w:r>
                            <w:t xml:space="preserve"> 页</w:t>
                          </w:r>
                        </w:p>
                      </w:txbxContent>
                    </wps:txbx>
                    <wps:bodyPr vert="horz" wrap="none" lIns="0" tIns="0" rIns="0" bIns="0" anchor="t" upright="0">
                      <a:spAutoFit/>
                    </wps:bodyPr>
                  </wps:wsp>
                </a:graphicData>
              </a:graphic>
            </wp:anchor>
          </w:drawing>
        </mc:Choice>
        <mc:Fallback>
          <w:pict>
            <v:rect id="文本框 10"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6YIZodIBAACfAwAADgAAAAAAAAABACAAAAAfAQAA&#10;ZHJzL2Uyb0RvYy54bWxQSwUGAAAAAAYABgBZAQAAYwUAAAAA&#10;">
              <v:fill on="f" focussize="0,0"/>
              <v:stroke on="f"/>
              <v:imagedata o:title=""/>
              <o:lock v:ext="edit" aspectratio="f"/>
              <v:textbox inset="0mm,0mm,0mm,0mm" style="mso-fit-shape-to-text:t;">
                <w:txbxContent>
                  <w:p w14:paraId="743AC0FD">
                    <w:pPr>
                      <w:pStyle w:val="35"/>
                    </w:pPr>
                    <w:r>
                      <w:t xml:space="preserve">第 </w:t>
                    </w:r>
                    <w:r>
                      <w:fldChar w:fldCharType="begin"/>
                    </w:r>
                    <w:r>
                      <w:instrText xml:space="preserve"> PAGE  \* MERGEFORMAT </w:instrText>
                    </w:r>
                    <w:r>
                      <w:fldChar w:fldCharType="separate"/>
                    </w:r>
                    <w:r>
                      <w:t>2</w:t>
                    </w:r>
                    <w:r>
                      <w:fldChar w:fldCharType="end"/>
                    </w:r>
                    <w:r>
                      <w:t xml:space="preserve"> 页</w:t>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AB9D9">
    <w:pPr>
      <w:pStyle w:val="485"/>
      <w:jc w:val="center"/>
      <w:rPr>
        <w:rFonts w:hint="eastAsia" w:ascii="宋体" w:hAnsi="宋体" w:cs="宋体"/>
        <w:bCs/>
        <w:color w:val="000000"/>
        <w:sz w:val="21"/>
        <w:szCs w:val="21"/>
      </w:rPr>
    </w:pPr>
    <w:r>
      <w:rPr>
        <w:rFonts w:hint="eastAsia" w:ascii="宋体" w:hAnsi="宋体" w:cs="宋体"/>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94D3D">
    <w:pPr>
      <w:pStyle w:val="37"/>
      <w:rPr>
        <w:rFonts w:hint="default"/>
        <w:sz w:val="18"/>
        <w:szCs w:val="18"/>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C7AAD1"/>
    <w:multiLevelType w:val="singleLevel"/>
    <w:tmpl w:val="92C7AAD1"/>
    <w:lvl w:ilvl="0" w:tentative="0">
      <w:start w:val="2"/>
      <w:numFmt w:val="decimal"/>
      <w:suff w:val="nothing"/>
      <w:lvlText w:val="%1、"/>
      <w:lvlJc w:val="left"/>
    </w:lvl>
  </w:abstractNum>
  <w:abstractNum w:abstractNumId="1">
    <w:nsid w:val="96EA0624"/>
    <w:multiLevelType w:val="singleLevel"/>
    <w:tmpl w:val="96EA0624"/>
    <w:lvl w:ilvl="0" w:tentative="0">
      <w:start w:val="1"/>
      <w:numFmt w:val="decimal"/>
      <w:lvlText w:val="%1)"/>
      <w:lvlJc w:val="left"/>
      <w:pPr>
        <w:tabs>
          <w:tab w:val="left" w:pos="420"/>
        </w:tabs>
        <w:ind w:left="845" w:hanging="425"/>
      </w:pPr>
      <w:rPr>
        <w:rFonts w:hint="default"/>
      </w:rPr>
    </w:lvl>
  </w:abstractNum>
  <w:abstractNum w:abstractNumId="2">
    <w:nsid w:val="DFEEA4DB"/>
    <w:multiLevelType w:val="singleLevel"/>
    <w:tmpl w:val="DFEEA4DB"/>
    <w:lvl w:ilvl="0" w:tentative="0">
      <w:start w:val="1"/>
      <w:numFmt w:val="decimal"/>
      <w:lvlText w:val="%1."/>
      <w:lvlJc w:val="left"/>
      <w:pPr>
        <w:ind w:left="425" w:hanging="425"/>
      </w:pPr>
      <w:rPr>
        <w:rFonts w:hint="default"/>
      </w:rPr>
    </w:lvl>
  </w:abstractNum>
  <w:abstractNum w:abstractNumId="3">
    <w:nsid w:val="EFE998DB"/>
    <w:multiLevelType w:val="singleLevel"/>
    <w:tmpl w:val="EFE998DB"/>
    <w:lvl w:ilvl="0" w:tentative="0">
      <w:start w:val="1"/>
      <w:numFmt w:val="decimal"/>
      <w:suff w:val="nothing"/>
      <w:lvlText w:val="%1、"/>
      <w:lvlJc w:val="left"/>
    </w:lvl>
  </w:abstractNum>
  <w:abstractNum w:abstractNumId="4">
    <w:nsid w:val="FF5AEDB4"/>
    <w:multiLevelType w:val="singleLevel"/>
    <w:tmpl w:val="FF5AEDB4"/>
    <w:lvl w:ilvl="0" w:tentative="0">
      <w:start w:val="1"/>
      <w:numFmt w:val="decimal"/>
      <w:suff w:val="nothing"/>
      <w:lvlText w:val="%1、"/>
      <w:lvlJc w:val="left"/>
    </w:lvl>
  </w:abstractNum>
  <w:abstractNum w:abstractNumId="5">
    <w:nsid w:val="00000000"/>
    <w:multiLevelType w:val="singleLevel"/>
    <w:tmpl w:val="00000000"/>
    <w:lvl w:ilvl="0" w:tentative="0">
      <w:start w:val="3"/>
      <w:numFmt w:val="chineseCounting"/>
      <w:suff w:val="space"/>
      <w:lvlText w:val="第%1条"/>
      <w:lvlJc w:val="left"/>
      <w:rPr>
        <w:rFonts w:hint="eastAsia"/>
      </w:rPr>
    </w:lvl>
  </w:abstractNum>
  <w:abstractNum w:abstractNumId="6">
    <w:nsid w:val="00000002"/>
    <w:multiLevelType w:val="singleLevel"/>
    <w:tmpl w:val="00000002"/>
    <w:lvl w:ilvl="0" w:tentative="0">
      <w:start w:val="5"/>
      <w:numFmt w:val="decimal"/>
      <w:suff w:val="nothing"/>
      <w:lvlText w:val="（%1）"/>
      <w:lvlJc w:val="left"/>
    </w:lvl>
  </w:abstractNum>
  <w:abstractNum w:abstractNumId="7">
    <w:nsid w:val="00000003"/>
    <w:multiLevelType w:val="singleLevel"/>
    <w:tmpl w:val="00000003"/>
    <w:lvl w:ilvl="0" w:tentative="0">
      <w:start w:val="1"/>
      <w:numFmt w:val="decimal"/>
      <w:suff w:val="space"/>
      <w:lvlText w:val="%1."/>
      <w:lvlJc w:val="left"/>
    </w:lvl>
  </w:abstractNum>
  <w:abstractNum w:abstractNumId="8">
    <w:nsid w:val="00000006"/>
    <w:multiLevelType w:val="singleLevel"/>
    <w:tmpl w:val="00000006"/>
    <w:lvl w:ilvl="0" w:tentative="0">
      <w:start w:val="1"/>
      <w:numFmt w:val="decimal"/>
      <w:suff w:val="space"/>
      <w:lvlText w:val="%1."/>
      <w:lvlJc w:val="left"/>
    </w:lvl>
  </w:abstractNum>
  <w:abstractNum w:abstractNumId="9">
    <w:nsid w:val="005D23B1"/>
    <w:multiLevelType w:val="multilevel"/>
    <w:tmpl w:val="005D23B1"/>
    <w:lvl w:ilvl="0" w:tentative="0">
      <w:start w:val="1"/>
      <w:numFmt w:val="decimal"/>
      <w:lvlText w:val="%1）"/>
      <w:lvlJc w:val="left"/>
      <w:pPr>
        <w:ind w:left="840" w:hanging="36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0">
    <w:nsid w:val="06824DD7"/>
    <w:multiLevelType w:val="multilevel"/>
    <w:tmpl w:val="06824DD7"/>
    <w:lvl w:ilvl="0" w:tentative="0">
      <w:start w:val="1"/>
      <w:numFmt w:val="decimal"/>
      <w:lvlText w:val="%1."/>
      <w:lvlJc w:val="left"/>
      <w:pPr>
        <w:ind w:left="920" w:hanging="440"/>
      </w:p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1">
    <w:nsid w:val="1A62613D"/>
    <w:multiLevelType w:val="multilevel"/>
    <w:tmpl w:val="1A62613D"/>
    <w:lvl w:ilvl="0" w:tentative="0">
      <w:start w:val="1"/>
      <w:numFmt w:val="decimal"/>
      <w:lvlText w:val="%1."/>
      <w:lvlJc w:val="left"/>
      <w:pPr>
        <w:ind w:left="920" w:hanging="440"/>
      </w:p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2">
    <w:nsid w:val="1AC77884"/>
    <w:multiLevelType w:val="multilevel"/>
    <w:tmpl w:val="1AC77884"/>
    <w:lvl w:ilvl="0" w:tentative="0">
      <w:start w:val="1"/>
      <w:numFmt w:val="decimal"/>
      <w:lvlText w:val="%1."/>
      <w:lvlJc w:val="left"/>
      <w:pPr>
        <w:ind w:left="920" w:hanging="440"/>
      </w:p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3">
    <w:nsid w:val="2A617C17"/>
    <w:multiLevelType w:val="multilevel"/>
    <w:tmpl w:val="2A617C17"/>
    <w:lvl w:ilvl="0" w:tentative="0">
      <w:start w:val="1"/>
      <w:numFmt w:val="decimal"/>
      <w:lvlText w:val="%1."/>
      <w:lvlJc w:val="left"/>
      <w:pPr>
        <w:ind w:left="440" w:hanging="440"/>
      </w:pPr>
      <w:rPr>
        <w:rFonts w:hint="eastAsia"/>
      </w:rPr>
    </w:lvl>
    <w:lvl w:ilvl="1" w:tentative="0">
      <w:start w:val="1"/>
      <w:numFmt w:val="decimal"/>
      <w:isLgl/>
      <w:lvlText w:val="%1.%2"/>
      <w:lvlJc w:val="left"/>
      <w:pPr>
        <w:ind w:left="720" w:hanging="720"/>
      </w:pPr>
      <w:rPr>
        <w:rFonts w:hint="default"/>
      </w:rPr>
    </w:lvl>
    <w:lvl w:ilvl="2" w:tentative="0">
      <w:start w:val="1"/>
      <w:numFmt w:val="decimal"/>
      <w:isLgl/>
      <w:lvlText w:val="%1.%2.%3"/>
      <w:lvlJc w:val="left"/>
      <w:pPr>
        <w:ind w:left="1080" w:hanging="1080"/>
      </w:pPr>
      <w:rPr>
        <w:rFonts w:hint="default"/>
      </w:rPr>
    </w:lvl>
    <w:lvl w:ilvl="3" w:tentative="0">
      <w:start w:val="1"/>
      <w:numFmt w:val="decimal"/>
      <w:isLgl/>
      <w:lvlText w:val="%1.%2.%3.%4"/>
      <w:lvlJc w:val="left"/>
      <w:pPr>
        <w:ind w:left="1440" w:hanging="1440"/>
      </w:pPr>
      <w:rPr>
        <w:rFonts w:hint="default"/>
      </w:rPr>
    </w:lvl>
    <w:lvl w:ilvl="4" w:tentative="0">
      <w:start w:val="1"/>
      <w:numFmt w:val="decimal"/>
      <w:isLgl/>
      <w:lvlText w:val="%1.%2.%3.%4.%5"/>
      <w:lvlJc w:val="left"/>
      <w:pPr>
        <w:ind w:left="1800" w:hanging="1800"/>
      </w:pPr>
      <w:rPr>
        <w:rFonts w:hint="default"/>
      </w:rPr>
    </w:lvl>
    <w:lvl w:ilvl="5" w:tentative="0">
      <w:start w:val="1"/>
      <w:numFmt w:val="decimal"/>
      <w:isLgl/>
      <w:lvlText w:val="%1.%2.%3.%4.%5.%6"/>
      <w:lvlJc w:val="left"/>
      <w:pPr>
        <w:ind w:left="2520" w:hanging="2520"/>
      </w:pPr>
      <w:rPr>
        <w:rFonts w:hint="default"/>
      </w:rPr>
    </w:lvl>
    <w:lvl w:ilvl="6" w:tentative="0">
      <w:start w:val="1"/>
      <w:numFmt w:val="decimal"/>
      <w:isLgl/>
      <w:lvlText w:val="%1.%2.%3.%4.%5.%6.%7"/>
      <w:lvlJc w:val="left"/>
      <w:pPr>
        <w:ind w:left="2880" w:hanging="2880"/>
      </w:pPr>
      <w:rPr>
        <w:rFonts w:hint="default"/>
      </w:rPr>
    </w:lvl>
    <w:lvl w:ilvl="7" w:tentative="0">
      <w:start w:val="1"/>
      <w:numFmt w:val="decimal"/>
      <w:isLgl/>
      <w:lvlText w:val="%1.%2.%3.%4.%5.%6.%7.%8"/>
      <w:lvlJc w:val="left"/>
      <w:pPr>
        <w:ind w:left="3240" w:hanging="3240"/>
      </w:pPr>
      <w:rPr>
        <w:rFonts w:hint="default"/>
      </w:rPr>
    </w:lvl>
    <w:lvl w:ilvl="8" w:tentative="0">
      <w:start w:val="1"/>
      <w:numFmt w:val="decimal"/>
      <w:isLgl/>
      <w:lvlText w:val="%1.%2.%3.%4.%5.%6.%7.%8.%9"/>
      <w:lvlJc w:val="left"/>
      <w:pPr>
        <w:ind w:left="3600" w:hanging="3600"/>
      </w:pPr>
      <w:rPr>
        <w:rFonts w:hint="default"/>
      </w:rPr>
    </w:lvl>
  </w:abstractNum>
  <w:abstractNum w:abstractNumId="14">
    <w:nsid w:val="2C824445"/>
    <w:multiLevelType w:val="multilevel"/>
    <w:tmpl w:val="2C824445"/>
    <w:lvl w:ilvl="0" w:tentative="0">
      <w:start w:val="1"/>
      <w:numFmt w:val="decimal"/>
      <w:lvlText w:val="（%1）"/>
      <w:lvlJc w:val="left"/>
      <w:pPr>
        <w:ind w:left="920" w:hanging="720"/>
      </w:pPr>
      <w:rPr>
        <w:rFonts w:hint="default"/>
      </w:rPr>
    </w:lvl>
    <w:lvl w:ilvl="1" w:tentative="0">
      <w:start w:val="1"/>
      <w:numFmt w:val="lowerLetter"/>
      <w:lvlText w:val="%2)"/>
      <w:lvlJc w:val="left"/>
      <w:pPr>
        <w:ind w:left="1080" w:hanging="440"/>
      </w:pPr>
    </w:lvl>
    <w:lvl w:ilvl="2" w:tentative="0">
      <w:start w:val="1"/>
      <w:numFmt w:val="lowerRoman"/>
      <w:lvlText w:val="%3."/>
      <w:lvlJc w:val="right"/>
      <w:pPr>
        <w:ind w:left="1520" w:hanging="440"/>
      </w:pPr>
    </w:lvl>
    <w:lvl w:ilvl="3" w:tentative="0">
      <w:start w:val="1"/>
      <w:numFmt w:val="decimal"/>
      <w:lvlText w:val="%4."/>
      <w:lvlJc w:val="left"/>
      <w:pPr>
        <w:ind w:left="1960" w:hanging="440"/>
      </w:pPr>
    </w:lvl>
    <w:lvl w:ilvl="4" w:tentative="0">
      <w:start w:val="1"/>
      <w:numFmt w:val="lowerLetter"/>
      <w:lvlText w:val="%5)"/>
      <w:lvlJc w:val="left"/>
      <w:pPr>
        <w:ind w:left="2400" w:hanging="440"/>
      </w:pPr>
    </w:lvl>
    <w:lvl w:ilvl="5" w:tentative="0">
      <w:start w:val="1"/>
      <w:numFmt w:val="lowerRoman"/>
      <w:lvlText w:val="%6."/>
      <w:lvlJc w:val="right"/>
      <w:pPr>
        <w:ind w:left="2840" w:hanging="440"/>
      </w:pPr>
    </w:lvl>
    <w:lvl w:ilvl="6" w:tentative="0">
      <w:start w:val="1"/>
      <w:numFmt w:val="decimal"/>
      <w:lvlText w:val="%7."/>
      <w:lvlJc w:val="left"/>
      <w:pPr>
        <w:ind w:left="3280" w:hanging="440"/>
      </w:pPr>
    </w:lvl>
    <w:lvl w:ilvl="7" w:tentative="0">
      <w:start w:val="1"/>
      <w:numFmt w:val="lowerLetter"/>
      <w:lvlText w:val="%8)"/>
      <w:lvlJc w:val="left"/>
      <w:pPr>
        <w:ind w:left="3720" w:hanging="440"/>
      </w:pPr>
    </w:lvl>
    <w:lvl w:ilvl="8" w:tentative="0">
      <w:start w:val="1"/>
      <w:numFmt w:val="lowerRoman"/>
      <w:lvlText w:val="%9."/>
      <w:lvlJc w:val="right"/>
      <w:pPr>
        <w:ind w:left="4160" w:hanging="440"/>
      </w:pPr>
    </w:lvl>
  </w:abstractNum>
  <w:abstractNum w:abstractNumId="15">
    <w:nsid w:val="356C20D4"/>
    <w:multiLevelType w:val="multilevel"/>
    <w:tmpl w:val="356C20D4"/>
    <w:lvl w:ilvl="0" w:tentative="0">
      <w:start w:val="1"/>
      <w:numFmt w:val="decimal"/>
      <w:lvlText w:val="（%1）"/>
      <w:lvlJc w:val="left"/>
      <w:pPr>
        <w:ind w:left="918" w:hanging="720"/>
      </w:pPr>
      <w:rPr>
        <w:rFonts w:hint="default"/>
      </w:rPr>
    </w:lvl>
    <w:lvl w:ilvl="1" w:tentative="0">
      <w:start w:val="1"/>
      <w:numFmt w:val="lowerLetter"/>
      <w:lvlText w:val="%2)"/>
      <w:lvlJc w:val="left"/>
      <w:pPr>
        <w:ind w:left="1078" w:hanging="440"/>
      </w:pPr>
    </w:lvl>
    <w:lvl w:ilvl="2" w:tentative="0">
      <w:start w:val="1"/>
      <w:numFmt w:val="lowerRoman"/>
      <w:lvlText w:val="%3."/>
      <w:lvlJc w:val="right"/>
      <w:pPr>
        <w:ind w:left="1518" w:hanging="440"/>
      </w:pPr>
    </w:lvl>
    <w:lvl w:ilvl="3" w:tentative="0">
      <w:start w:val="1"/>
      <w:numFmt w:val="decimal"/>
      <w:lvlText w:val="%4."/>
      <w:lvlJc w:val="left"/>
      <w:pPr>
        <w:ind w:left="1958" w:hanging="440"/>
      </w:pPr>
    </w:lvl>
    <w:lvl w:ilvl="4" w:tentative="0">
      <w:start w:val="1"/>
      <w:numFmt w:val="lowerLetter"/>
      <w:lvlText w:val="%5)"/>
      <w:lvlJc w:val="left"/>
      <w:pPr>
        <w:ind w:left="2398" w:hanging="440"/>
      </w:pPr>
    </w:lvl>
    <w:lvl w:ilvl="5" w:tentative="0">
      <w:start w:val="1"/>
      <w:numFmt w:val="lowerRoman"/>
      <w:lvlText w:val="%6."/>
      <w:lvlJc w:val="right"/>
      <w:pPr>
        <w:ind w:left="2838" w:hanging="440"/>
      </w:pPr>
    </w:lvl>
    <w:lvl w:ilvl="6" w:tentative="0">
      <w:start w:val="1"/>
      <w:numFmt w:val="decimal"/>
      <w:lvlText w:val="%7."/>
      <w:lvlJc w:val="left"/>
      <w:pPr>
        <w:ind w:left="3278" w:hanging="440"/>
      </w:pPr>
    </w:lvl>
    <w:lvl w:ilvl="7" w:tentative="0">
      <w:start w:val="1"/>
      <w:numFmt w:val="lowerLetter"/>
      <w:lvlText w:val="%8)"/>
      <w:lvlJc w:val="left"/>
      <w:pPr>
        <w:ind w:left="3718" w:hanging="440"/>
      </w:pPr>
    </w:lvl>
    <w:lvl w:ilvl="8" w:tentative="0">
      <w:start w:val="1"/>
      <w:numFmt w:val="lowerRoman"/>
      <w:lvlText w:val="%9."/>
      <w:lvlJc w:val="right"/>
      <w:pPr>
        <w:ind w:left="4158" w:hanging="440"/>
      </w:pPr>
    </w:lvl>
  </w:abstractNum>
  <w:abstractNum w:abstractNumId="16">
    <w:nsid w:val="385430D4"/>
    <w:multiLevelType w:val="multilevel"/>
    <w:tmpl w:val="385430D4"/>
    <w:lvl w:ilvl="0" w:tentative="0">
      <w:start w:val="1"/>
      <w:numFmt w:val="decimal"/>
      <w:lvlText w:val="%1."/>
      <w:lvlJc w:val="left"/>
      <w:pPr>
        <w:ind w:left="920" w:hanging="440"/>
      </w:p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7">
    <w:nsid w:val="3D1D4043"/>
    <w:multiLevelType w:val="multilevel"/>
    <w:tmpl w:val="3D1D4043"/>
    <w:lvl w:ilvl="0" w:tentative="0">
      <w:start w:val="1"/>
      <w:numFmt w:val="decimal"/>
      <w:lvlText w:val="（%1）"/>
      <w:lvlJc w:val="left"/>
      <w:pPr>
        <w:ind w:left="1202" w:hanging="720"/>
      </w:pPr>
      <w:rPr>
        <w:rFonts w:hint="default"/>
      </w:rPr>
    </w:lvl>
    <w:lvl w:ilvl="1" w:tentative="0">
      <w:start w:val="1"/>
      <w:numFmt w:val="lowerLetter"/>
      <w:lvlText w:val="%2)"/>
      <w:lvlJc w:val="left"/>
      <w:pPr>
        <w:ind w:left="1362" w:hanging="440"/>
      </w:pPr>
    </w:lvl>
    <w:lvl w:ilvl="2" w:tentative="0">
      <w:start w:val="1"/>
      <w:numFmt w:val="lowerRoman"/>
      <w:lvlText w:val="%3."/>
      <w:lvlJc w:val="right"/>
      <w:pPr>
        <w:ind w:left="1802" w:hanging="440"/>
      </w:pPr>
    </w:lvl>
    <w:lvl w:ilvl="3" w:tentative="0">
      <w:start w:val="1"/>
      <w:numFmt w:val="decimal"/>
      <w:lvlText w:val="%4."/>
      <w:lvlJc w:val="left"/>
      <w:pPr>
        <w:ind w:left="2242" w:hanging="440"/>
      </w:pPr>
    </w:lvl>
    <w:lvl w:ilvl="4" w:tentative="0">
      <w:start w:val="1"/>
      <w:numFmt w:val="lowerLetter"/>
      <w:lvlText w:val="%5)"/>
      <w:lvlJc w:val="left"/>
      <w:pPr>
        <w:ind w:left="2682" w:hanging="440"/>
      </w:pPr>
    </w:lvl>
    <w:lvl w:ilvl="5" w:tentative="0">
      <w:start w:val="1"/>
      <w:numFmt w:val="lowerRoman"/>
      <w:lvlText w:val="%6."/>
      <w:lvlJc w:val="right"/>
      <w:pPr>
        <w:ind w:left="3122" w:hanging="440"/>
      </w:pPr>
    </w:lvl>
    <w:lvl w:ilvl="6" w:tentative="0">
      <w:start w:val="1"/>
      <w:numFmt w:val="decimal"/>
      <w:lvlText w:val="%7."/>
      <w:lvlJc w:val="left"/>
      <w:pPr>
        <w:ind w:left="3562" w:hanging="440"/>
      </w:pPr>
    </w:lvl>
    <w:lvl w:ilvl="7" w:tentative="0">
      <w:start w:val="1"/>
      <w:numFmt w:val="lowerLetter"/>
      <w:lvlText w:val="%8)"/>
      <w:lvlJc w:val="left"/>
      <w:pPr>
        <w:ind w:left="4002" w:hanging="440"/>
      </w:pPr>
    </w:lvl>
    <w:lvl w:ilvl="8" w:tentative="0">
      <w:start w:val="1"/>
      <w:numFmt w:val="lowerRoman"/>
      <w:lvlText w:val="%9."/>
      <w:lvlJc w:val="right"/>
      <w:pPr>
        <w:ind w:left="4442" w:hanging="440"/>
      </w:pPr>
    </w:lvl>
  </w:abstractNum>
  <w:abstractNum w:abstractNumId="18">
    <w:nsid w:val="46D47F3F"/>
    <w:multiLevelType w:val="multilevel"/>
    <w:tmpl w:val="46D47F3F"/>
    <w:lvl w:ilvl="0" w:tentative="0">
      <w:start w:val="1"/>
      <w:numFmt w:val="decimal"/>
      <w:lvlText w:val="（%1）"/>
      <w:lvlJc w:val="left"/>
      <w:pPr>
        <w:ind w:left="963" w:hanging="730"/>
      </w:pPr>
      <w:rPr>
        <w:rFonts w:hint="default"/>
      </w:rPr>
    </w:lvl>
    <w:lvl w:ilvl="1" w:tentative="0">
      <w:start w:val="1"/>
      <w:numFmt w:val="lowerLetter"/>
      <w:lvlText w:val="%2)"/>
      <w:lvlJc w:val="left"/>
      <w:pPr>
        <w:ind w:left="1113" w:hanging="440"/>
      </w:pPr>
    </w:lvl>
    <w:lvl w:ilvl="2" w:tentative="0">
      <w:start w:val="1"/>
      <w:numFmt w:val="lowerRoman"/>
      <w:lvlText w:val="%3."/>
      <w:lvlJc w:val="right"/>
      <w:pPr>
        <w:ind w:left="1553" w:hanging="440"/>
      </w:pPr>
    </w:lvl>
    <w:lvl w:ilvl="3" w:tentative="0">
      <w:start w:val="1"/>
      <w:numFmt w:val="decimal"/>
      <w:lvlText w:val="%4."/>
      <w:lvlJc w:val="left"/>
      <w:pPr>
        <w:ind w:left="1993" w:hanging="440"/>
      </w:pPr>
    </w:lvl>
    <w:lvl w:ilvl="4" w:tentative="0">
      <w:start w:val="1"/>
      <w:numFmt w:val="lowerLetter"/>
      <w:lvlText w:val="%5)"/>
      <w:lvlJc w:val="left"/>
      <w:pPr>
        <w:ind w:left="2433" w:hanging="440"/>
      </w:pPr>
    </w:lvl>
    <w:lvl w:ilvl="5" w:tentative="0">
      <w:start w:val="1"/>
      <w:numFmt w:val="lowerRoman"/>
      <w:lvlText w:val="%6."/>
      <w:lvlJc w:val="right"/>
      <w:pPr>
        <w:ind w:left="2873" w:hanging="440"/>
      </w:pPr>
    </w:lvl>
    <w:lvl w:ilvl="6" w:tentative="0">
      <w:start w:val="1"/>
      <w:numFmt w:val="decimal"/>
      <w:lvlText w:val="%7."/>
      <w:lvlJc w:val="left"/>
      <w:pPr>
        <w:ind w:left="3313" w:hanging="440"/>
      </w:pPr>
    </w:lvl>
    <w:lvl w:ilvl="7" w:tentative="0">
      <w:start w:val="1"/>
      <w:numFmt w:val="lowerLetter"/>
      <w:lvlText w:val="%8)"/>
      <w:lvlJc w:val="left"/>
      <w:pPr>
        <w:ind w:left="3753" w:hanging="440"/>
      </w:pPr>
    </w:lvl>
    <w:lvl w:ilvl="8" w:tentative="0">
      <w:start w:val="1"/>
      <w:numFmt w:val="lowerRoman"/>
      <w:lvlText w:val="%9."/>
      <w:lvlJc w:val="right"/>
      <w:pPr>
        <w:ind w:left="4193" w:hanging="440"/>
      </w:pPr>
    </w:lvl>
  </w:abstractNum>
  <w:abstractNum w:abstractNumId="19">
    <w:nsid w:val="46FA27C7"/>
    <w:multiLevelType w:val="multilevel"/>
    <w:tmpl w:val="46FA27C7"/>
    <w:lvl w:ilvl="0" w:tentative="0">
      <w:start w:val="1"/>
      <w:numFmt w:val="decimal"/>
      <w:lvlText w:val="%1."/>
      <w:lvlJc w:val="left"/>
      <w:pPr>
        <w:ind w:left="720" w:hanging="360"/>
      </w:pPr>
      <w:rPr>
        <w:rFonts w:hint="default"/>
      </w:rPr>
    </w:lvl>
    <w:lvl w:ilvl="1" w:tentative="0">
      <w:start w:val="1"/>
      <w:numFmt w:val="lowerLetter"/>
      <w:lvlText w:val="%2)"/>
      <w:lvlJc w:val="left"/>
      <w:pPr>
        <w:ind w:left="1240" w:hanging="440"/>
      </w:pPr>
    </w:lvl>
    <w:lvl w:ilvl="2" w:tentative="0">
      <w:start w:val="1"/>
      <w:numFmt w:val="lowerRoman"/>
      <w:lvlText w:val="%3."/>
      <w:lvlJc w:val="right"/>
      <w:pPr>
        <w:ind w:left="1680" w:hanging="440"/>
      </w:pPr>
    </w:lvl>
    <w:lvl w:ilvl="3" w:tentative="0">
      <w:start w:val="1"/>
      <w:numFmt w:val="decimal"/>
      <w:lvlText w:val="%4."/>
      <w:lvlJc w:val="left"/>
      <w:pPr>
        <w:ind w:left="2120" w:hanging="440"/>
      </w:pPr>
    </w:lvl>
    <w:lvl w:ilvl="4" w:tentative="0">
      <w:start w:val="1"/>
      <w:numFmt w:val="lowerLetter"/>
      <w:lvlText w:val="%5)"/>
      <w:lvlJc w:val="left"/>
      <w:pPr>
        <w:ind w:left="2560" w:hanging="440"/>
      </w:pPr>
    </w:lvl>
    <w:lvl w:ilvl="5" w:tentative="0">
      <w:start w:val="1"/>
      <w:numFmt w:val="lowerRoman"/>
      <w:lvlText w:val="%6."/>
      <w:lvlJc w:val="right"/>
      <w:pPr>
        <w:ind w:left="3000" w:hanging="440"/>
      </w:pPr>
    </w:lvl>
    <w:lvl w:ilvl="6" w:tentative="0">
      <w:start w:val="1"/>
      <w:numFmt w:val="decimal"/>
      <w:lvlText w:val="%7."/>
      <w:lvlJc w:val="left"/>
      <w:pPr>
        <w:ind w:left="3440" w:hanging="440"/>
      </w:pPr>
    </w:lvl>
    <w:lvl w:ilvl="7" w:tentative="0">
      <w:start w:val="1"/>
      <w:numFmt w:val="lowerLetter"/>
      <w:lvlText w:val="%8)"/>
      <w:lvlJc w:val="left"/>
      <w:pPr>
        <w:ind w:left="3880" w:hanging="440"/>
      </w:pPr>
    </w:lvl>
    <w:lvl w:ilvl="8" w:tentative="0">
      <w:start w:val="1"/>
      <w:numFmt w:val="lowerRoman"/>
      <w:lvlText w:val="%9."/>
      <w:lvlJc w:val="right"/>
      <w:pPr>
        <w:ind w:left="4320" w:hanging="440"/>
      </w:pPr>
    </w:lvl>
  </w:abstractNum>
  <w:abstractNum w:abstractNumId="20">
    <w:nsid w:val="4755F4F8"/>
    <w:multiLevelType w:val="singleLevel"/>
    <w:tmpl w:val="4755F4F8"/>
    <w:lvl w:ilvl="0" w:tentative="0">
      <w:start w:val="1"/>
      <w:numFmt w:val="decimal"/>
      <w:suff w:val="nothing"/>
      <w:lvlText w:val="%1、"/>
      <w:lvlJc w:val="left"/>
    </w:lvl>
  </w:abstractNum>
  <w:abstractNum w:abstractNumId="21">
    <w:nsid w:val="4D5B5EE9"/>
    <w:multiLevelType w:val="multilevel"/>
    <w:tmpl w:val="4D5B5EE9"/>
    <w:lvl w:ilvl="0" w:tentative="0">
      <w:start w:val="1"/>
      <w:numFmt w:val="decimal"/>
      <w:lvlText w:val="(%1)"/>
      <w:lvlJc w:val="left"/>
      <w:pPr>
        <w:ind w:left="920" w:hanging="44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22">
    <w:nsid w:val="4D976853"/>
    <w:multiLevelType w:val="multilevel"/>
    <w:tmpl w:val="4D976853"/>
    <w:lvl w:ilvl="0" w:tentative="0">
      <w:start w:val="1"/>
      <w:numFmt w:val="decimal"/>
      <w:lvlText w:val="%1）"/>
      <w:lvlJc w:val="left"/>
      <w:pPr>
        <w:ind w:left="840" w:hanging="360"/>
      </w:pPr>
      <w:rPr>
        <w:rFonts w:hint="default"/>
        <w:color w:val="000000"/>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23">
    <w:nsid w:val="4E4E516B"/>
    <w:multiLevelType w:val="multilevel"/>
    <w:tmpl w:val="4E4E516B"/>
    <w:lvl w:ilvl="0" w:tentative="0">
      <w:start w:val="1"/>
      <w:numFmt w:val="decimal"/>
      <w:lvlText w:val="(%1)"/>
      <w:lvlJc w:val="left"/>
      <w:pPr>
        <w:ind w:left="577" w:hanging="440"/>
      </w:pPr>
      <w:rPr>
        <w:rFonts w:hint="default"/>
      </w:rPr>
    </w:lvl>
    <w:lvl w:ilvl="1" w:tentative="0">
      <w:start w:val="1"/>
      <w:numFmt w:val="lowerLetter"/>
      <w:lvlText w:val="%2)"/>
      <w:lvlJc w:val="left"/>
      <w:pPr>
        <w:ind w:left="1017" w:hanging="440"/>
      </w:pPr>
    </w:lvl>
    <w:lvl w:ilvl="2" w:tentative="0">
      <w:start w:val="1"/>
      <w:numFmt w:val="lowerRoman"/>
      <w:lvlText w:val="%3."/>
      <w:lvlJc w:val="right"/>
      <w:pPr>
        <w:ind w:left="1457" w:hanging="440"/>
      </w:pPr>
    </w:lvl>
    <w:lvl w:ilvl="3" w:tentative="0">
      <w:start w:val="1"/>
      <w:numFmt w:val="decimal"/>
      <w:lvlText w:val="%4."/>
      <w:lvlJc w:val="left"/>
      <w:pPr>
        <w:ind w:left="1897" w:hanging="440"/>
      </w:pPr>
    </w:lvl>
    <w:lvl w:ilvl="4" w:tentative="0">
      <w:start w:val="1"/>
      <w:numFmt w:val="lowerLetter"/>
      <w:lvlText w:val="%5)"/>
      <w:lvlJc w:val="left"/>
      <w:pPr>
        <w:ind w:left="2337" w:hanging="440"/>
      </w:pPr>
    </w:lvl>
    <w:lvl w:ilvl="5" w:tentative="0">
      <w:start w:val="1"/>
      <w:numFmt w:val="lowerRoman"/>
      <w:lvlText w:val="%6."/>
      <w:lvlJc w:val="right"/>
      <w:pPr>
        <w:ind w:left="2777" w:hanging="440"/>
      </w:pPr>
    </w:lvl>
    <w:lvl w:ilvl="6" w:tentative="0">
      <w:start w:val="1"/>
      <w:numFmt w:val="decimal"/>
      <w:lvlText w:val="%7."/>
      <w:lvlJc w:val="left"/>
      <w:pPr>
        <w:ind w:left="3217" w:hanging="440"/>
      </w:pPr>
    </w:lvl>
    <w:lvl w:ilvl="7" w:tentative="0">
      <w:start w:val="1"/>
      <w:numFmt w:val="lowerLetter"/>
      <w:lvlText w:val="%8)"/>
      <w:lvlJc w:val="left"/>
      <w:pPr>
        <w:ind w:left="3657" w:hanging="440"/>
      </w:pPr>
    </w:lvl>
    <w:lvl w:ilvl="8" w:tentative="0">
      <w:start w:val="1"/>
      <w:numFmt w:val="lowerRoman"/>
      <w:lvlText w:val="%9."/>
      <w:lvlJc w:val="right"/>
      <w:pPr>
        <w:ind w:left="4097" w:hanging="440"/>
      </w:pPr>
    </w:lvl>
  </w:abstractNum>
  <w:abstractNum w:abstractNumId="24">
    <w:nsid w:val="4EE61311"/>
    <w:multiLevelType w:val="multilevel"/>
    <w:tmpl w:val="4EE61311"/>
    <w:lvl w:ilvl="0" w:tentative="0">
      <w:start w:val="1"/>
      <w:numFmt w:val="decimal"/>
      <w:lvlText w:val="%1."/>
      <w:lvlJc w:val="left"/>
      <w:pPr>
        <w:ind w:left="920" w:hanging="440"/>
      </w:p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25">
    <w:nsid w:val="5A942470"/>
    <w:multiLevelType w:val="multilevel"/>
    <w:tmpl w:val="5A942470"/>
    <w:lvl w:ilvl="0" w:tentative="0">
      <w:start w:val="1"/>
      <w:numFmt w:val="decimal"/>
      <w:lvlText w:val="（%1）"/>
      <w:lvlJc w:val="left"/>
      <w:pPr>
        <w:ind w:left="918" w:hanging="720"/>
      </w:pPr>
      <w:rPr>
        <w:rFonts w:hint="default"/>
      </w:rPr>
    </w:lvl>
    <w:lvl w:ilvl="1" w:tentative="0">
      <w:start w:val="1"/>
      <w:numFmt w:val="lowerLetter"/>
      <w:lvlText w:val="%2)"/>
      <w:lvlJc w:val="left"/>
      <w:pPr>
        <w:ind w:left="1078" w:hanging="440"/>
      </w:pPr>
    </w:lvl>
    <w:lvl w:ilvl="2" w:tentative="0">
      <w:start w:val="1"/>
      <w:numFmt w:val="lowerRoman"/>
      <w:lvlText w:val="%3."/>
      <w:lvlJc w:val="right"/>
      <w:pPr>
        <w:ind w:left="1518" w:hanging="440"/>
      </w:pPr>
    </w:lvl>
    <w:lvl w:ilvl="3" w:tentative="0">
      <w:start w:val="1"/>
      <w:numFmt w:val="decimal"/>
      <w:lvlText w:val="%4."/>
      <w:lvlJc w:val="left"/>
      <w:pPr>
        <w:ind w:left="1958" w:hanging="440"/>
      </w:pPr>
    </w:lvl>
    <w:lvl w:ilvl="4" w:tentative="0">
      <w:start w:val="1"/>
      <w:numFmt w:val="lowerLetter"/>
      <w:lvlText w:val="%5)"/>
      <w:lvlJc w:val="left"/>
      <w:pPr>
        <w:ind w:left="2398" w:hanging="440"/>
      </w:pPr>
    </w:lvl>
    <w:lvl w:ilvl="5" w:tentative="0">
      <w:start w:val="1"/>
      <w:numFmt w:val="lowerRoman"/>
      <w:lvlText w:val="%6."/>
      <w:lvlJc w:val="right"/>
      <w:pPr>
        <w:ind w:left="2838" w:hanging="440"/>
      </w:pPr>
    </w:lvl>
    <w:lvl w:ilvl="6" w:tentative="0">
      <w:start w:val="1"/>
      <w:numFmt w:val="decimal"/>
      <w:lvlText w:val="%7."/>
      <w:lvlJc w:val="left"/>
      <w:pPr>
        <w:ind w:left="3278" w:hanging="440"/>
      </w:pPr>
    </w:lvl>
    <w:lvl w:ilvl="7" w:tentative="0">
      <w:start w:val="1"/>
      <w:numFmt w:val="lowerLetter"/>
      <w:lvlText w:val="%8)"/>
      <w:lvlJc w:val="left"/>
      <w:pPr>
        <w:ind w:left="3718" w:hanging="440"/>
      </w:pPr>
    </w:lvl>
    <w:lvl w:ilvl="8" w:tentative="0">
      <w:start w:val="1"/>
      <w:numFmt w:val="lowerRoman"/>
      <w:lvlText w:val="%9."/>
      <w:lvlJc w:val="right"/>
      <w:pPr>
        <w:ind w:left="4158" w:hanging="440"/>
      </w:pPr>
    </w:lvl>
  </w:abstractNum>
  <w:abstractNum w:abstractNumId="26">
    <w:nsid w:val="5D1B1A62"/>
    <w:multiLevelType w:val="multilevel"/>
    <w:tmpl w:val="5D1B1A62"/>
    <w:lvl w:ilvl="0" w:tentative="0">
      <w:start w:val="1"/>
      <w:numFmt w:val="decimal"/>
      <w:lvlText w:val="%1."/>
      <w:lvlJc w:val="left"/>
      <w:pPr>
        <w:ind w:left="920" w:hanging="440"/>
      </w:p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27">
    <w:nsid w:val="66551D1B"/>
    <w:multiLevelType w:val="multilevel"/>
    <w:tmpl w:val="66551D1B"/>
    <w:lvl w:ilvl="0" w:tentative="0">
      <w:start w:val="1"/>
      <w:numFmt w:val="decimal"/>
      <w:lvlText w:val="(%1)"/>
      <w:lvlJc w:val="left"/>
      <w:pPr>
        <w:ind w:left="920" w:hanging="44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28">
    <w:nsid w:val="67ED0E5E"/>
    <w:multiLevelType w:val="multilevel"/>
    <w:tmpl w:val="67ED0E5E"/>
    <w:lvl w:ilvl="0" w:tentative="0">
      <w:start w:val="1"/>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29">
    <w:nsid w:val="684C0B7C"/>
    <w:multiLevelType w:val="multilevel"/>
    <w:tmpl w:val="684C0B7C"/>
    <w:lvl w:ilvl="0" w:tentative="0">
      <w:start w:val="1"/>
      <w:numFmt w:val="decimal"/>
      <w:lvlText w:val="%1."/>
      <w:lvlJc w:val="left"/>
      <w:pPr>
        <w:ind w:left="1000" w:hanging="440"/>
      </w:pPr>
      <w:rPr>
        <w:rFonts w:hint="default"/>
      </w:rPr>
    </w:lvl>
    <w:lvl w:ilvl="1" w:tentative="0">
      <w:start w:val="1"/>
      <w:numFmt w:val="decimal"/>
      <w:lvlText w:val="%2、"/>
      <w:lvlJc w:val="left"/>
      <w:pPr>
        <w:ind w:left="1360" w:hanging="360"/>
      </w:pPr>
      <w:rPr>
        <w:rFonts w:hint="default"/>
      </w:rPr>
    </w:lvl>
    <w:lvl w:ilvl="2" w:tentative="0">
      <w:start w:val="1"/>
      <w:numFmt w:val="lowerRoman"/>
      <w:lvlText w:val="%3."/>
      <w:lvlJc w:val="right"/>
      <w:pPr>
        <w:ind w:left="1880" w:hanging="440"/>
      </w:pPr>
    </w:lvl>
    <w:lvl w:ilvl="3" w:tentative="0">
      <w:start w:val="1"/>
      <w:numFmt w:val="decimal"/>
      <w:lvlText w:val="%4."/>
      <w:lvlJc w:val="left"/>
      <w:pPr>
        <w:ind w:left="2320" w:hanging="440"/>
      </w:pPr>
    </w:lvl>
    <w:lvl w:ilvl="4" w:tentative="0">
      <w:start w:val="1"/>
      <w:numFmt w:val="lowerLetter"/>
      <w:lvlText w:val="%5)"/>
      <w:lvlJc w:val="left"/>
      <w:pPr>
        <w:ind w:left="2760" w:hanging="440"/>
      </w:pPr>
    </w:lvl>
    <w:lvl w:ilvl="5" w:tentative="0">
      <w:start w:val="1"/>
      <w:numFmt w:val="lowerRoman"/>
      <w:lvlText w:val="%6."/>
      <w:lvlJc w:val="right"/>
      <w:pPr>
        <w:ind w:left="3200" w:hanging="440"/>
      </w:pPr>
    </w:lvl>
    <w:lvl w:ilvl="6" w:tentative="0">
      <w:start w:val="1"/>
      <w:numFmt w:val="decimal"/>
      <w:lvlText w:val="%7."/>
      <w:lvlJc w:val="left"/>
      <w:pPr>
        <w:ind w:left="3640" w:hanging="440"/>
      </w:pPr>
    </w:lvl>
    <w:lvl w:ilvl="7" w:tentative="0">
      <w:start w:val="1"/>
      <w:numFmt w:val="lowerLetter"/>
      <w:lvlText w:val="%8)"/>
      <w:lvlJc w:val="left"/>
      <w:pPr>
        <w:ind w:left="4080" w:hanging="440"/>
      </w:pPr>
    </w:lvl>
    <w:lvl w:ilvl="8" w:tentative="0">
      <w:start w:val="1"/>
      <w:numFmt w:val="lowerRoman"/>
      <w:lvlText w:val="%9."/>
      <w:lvlJc w:val="right"/>
      <w:pPr>
        <w:ind w:left="4520" w:hanging="440"/>
      </w:pPr>
    </w:lvl>
  </w:abstractNum>
  <w:abstractNum w:abstractNumId="30">
    <w:nsid w:val="685959AC"/>
    <w:multiLevelType w:val="multilevel"/>
    <w:tmpl w:val="685959AC"/>
    <w:lvl w:ilvl="0" w:tentative="0">
      <w:start w:val="1"/>
      <w:numFmt w:val="decimal"/>
      <w:lvlText w:val="%1."/>
      <w:lvlJc w:val="left"/>
      <w:pPr>
        <w:ind w:left="920" w:hanging="440"/>
      </w:p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31">
    <w:nsid w:val="727B2872"/>
    <w:multiLevelType w:val="multilevel"/>
    <w:tmpl w:val="727B2872"/>
    <w:lvl w:ilvl="0" w:tentative="0">
      <w:start w:val="1"/>
      <w:numFmt w:val="decimal"/>
      <w:lvlText w:val="(%1)"/>
      <w:lvlJc w:val="left"/>
      <w:pPr>
        <w:ind w:left="920" w:hanging="44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32">
    <w:nsid w:val="72FC1047"/>
    <w:multiLevelType w:val="multilevel"/>
    <w:tmpl w:val="72FC1047"/>
    <w:lvl w:ilvl="0" w:tentative="0">
      <w:start w:val="1"/>
      <w:numFmt w:val="decimal"/>
      <w:lvlText w:val="(%1)"/>
      <w:lvlJc w:val="left"/>
      <w:pPr>
        <w:ind w:left="920" w:hanging="44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33">
    <w:nsid w:val="79C7291B"/>
    <w:multiLevelType w:val="singleLevel"/>
    <w:tmpl w:val="79C7291B"/>
    <w:lvl w:ilvl="0" w:tentative="0">
      <w:start w:val="1"/>
      <w:numFmt w:val="decimal"/>
      <w:suff w:val="nothing"/>
      <w:lvlText w:val="%1）"/>
      <w:lvlJc w:val="left"/>
    </w:lvl>
  </w:abstractNum>
  <w:num w:numId="1">
    <w:abstractNumId w:val="0"/>
  </w:num>
  <w:num w:numId="2">
    <w:abstractNumId w:val="2"/>
  </w:num>
  <w:num w:numId="3">
    <w:abstractNumId w:val="28"/>
  </w:num>
  <w:num w:numId="4">
    <w:abstractNumId w:val="15"/>
  </w:num>
  <w:num w:numId="5">
    <w:abstractNumId w:val="25"/>
  </w:num>
  <w:num w:numId="6">
    <w:abstractNumId w:val="14"/>
  </w:num>
  <w:num w:numId="7">
    <w:abstractNumId w:val="18"/>
  </w:num>
  <w:num w:numId="8">
    <w:abstractNumId w:val="22"/>
  </w:num>
  <w:num w:numId="9">
    <w:abstractNumId w:val="9"/>
  </w:num>
  <w:num w:numId="10">
    <w:abstractNumId w:val="17"/>
  </w:num>
  <w:num w:numId="11">
    <w:abstractNumId w:val="3"/>
  </w:num>
  <w:num w:numId="12">
    <w:abstractNumId w:val="4"/>
  </w:num>
  <w:num w:numId="13">
    <w:abstractNumId w:val="27"/>
  </w:num>
  <w:num w:numId="14">
    <w:abstractNumId w:val="21"/>
  </w:num>
  <w:num w:numId="15">
    <w:abstractNumId w:val="31"/>
  </w:num>
  <w:num w:numId="16">
    <w:abstractNumId w:val="23"/>
  </w:num>
  <w:num w:numId="17">
    <w:abstractNumId w:val="32"/>
  </w:num>
  <w:num w:numId="18">
    <w:abstractNumId w:val="11"/>
  </w:num>
  <w:num w:numId="19">
    <w:abstractNumId w:val="16"/>
  </w:num>
  <w:num w:numId="20">
    <w:abstractNumId w:val="24"/>
  </w:num>
  <w:num w:numId="21">
    <w:abstractNumId w:val="30"/>
  </w:num>
  <w:num w:numId="22">
    <w:abstractNumId w:val="10"/>
  </w:num>
  <w:num w:numId="23">
    <w:abstractNumId w:val="12"/>
  </w:num>
  <w:num w:numId="24">
    <w:abstractNumId w:val="1"/>
  </w:num>
  <w:num w:numId="25">
    <w:abstractNumId w:val="26"/>
  </w:num>
  <w:num w:numId="26">
    <w:abstractNumId w:val="19"/>
  </w:num>
  <w:num w:numId="27">
    <w:abstractNumId w:val="29"/>
  </w:num>
  <w:num w:numId="28">
    <w:abstractNumId w:val="20"/>
  </w:num>
  <w:num w:numId="29">
    <w:abstractNumId w:val="13"/>
  </w:num>
  <w:num w:numId="30">
    <w:abstractNumId w:val="6"/>
  </w:num>
  <w:num w:numId="31">
    <w:abstractNumId w:val="33"/>
  </w:num>
  <w:num w:numId="32">
    <w:abstractNumId w:val="8"/>
  </w:num>
  <w:num w:numId="33">
    <w:abstractNumId w:val="7"/>
  </w:num>
  <w:num w:numId="3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drawingGridHorizontalSpacing w:val="105"/>
  <w:drawingGridVerticalSpacing w:val="483"/>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ZkMjM1NTkzNzc5OWZmNjdhOWUwY2UyMDI4ODhkZDkifQ=="/>
  </w:docVars>
  <w:rsids>
    <w:rsidRoot w:val="00000000"/>
    <w:rsid w:val="026F7CDB"/>
    <w:rsid w:val="03B169AD"/>
    <w:rsid w:val="063607F1"/>
    <w:rsid w:val="06A27213"/>
    <w:rsid w:val="08C92E67"/>
    <w:rsid w:val="0B01794E"/>
    <w:rsid w:val="0E9C32EC"/>
    <w:rsid w:val="0F2729AB"/>
    <w:rsid w:val="10CA5E49"/>
    <w:rsid w:val="122907E8"/>
    <w:rsid w:val="1A8446CF"/>
    <w:rsid w:val="1BD619E1"/>
    <w:rsid w:val="1F6D2C39"/>
    <w:rsid w:val="22EA53A8"/>
    <w:rsid w:val="234436D4"/>
    <w:rsid w:val="23B960C2"/>
    <w:rsid w:val="24700C44"/>
    <w:rsid w:val="2ABB2A2D"/>
    <w:rsid w:val="2D98157D"/>
    <w:rsid w:val="2E324357"/>
    <w:rsid w:val="33A01380"/>
    <w:rsid w:val="36703890"/>
    <w:rsid w:val="37F60FE9"/>
    <w:rsid w:val="39CC156C"/>
    <w:rsid w:val="3C543CC3"/>
    <w:rsid w:val="3FDC297E"/>
    <w:rsid w:val="43DB57E2"/>
    <w:rsid w:val="44E36D24"/>
    <w:rsid w:val="46B654FC"/>
    <w:rsid w:val="4C2511A1"/>
    <w:rsid w:val="4C3B39B1"/>
    <w:rsid w:val="519B61D1"/>
    <w:rsid w:val="541E108B"/>
    <w:rsid w:val="54821743"/>
    <w:rsid w:val="56EB3C0A"/>
    <w:rsid w:val="57647EAA"/>
    <w:rsid w:val="57E948DE"/>
    <w:rsid w:val="59EA1BD8"/>
    <w:rsid w:val="59EC5DD0"/>
    <w:rsid w:val="5DD6AD61"/>
    <w:rsid w:val="5F056BF5"/>
    <w:rsid w:val="5F221E14"/>
    <w:rsid w:val="5FDB61FC"/>
    <w:rsid w:val="627B1D3B"/>
    <w:rsid w:val="6280132C"/>
    <w:rsid w:val="630C3F05"/>
    <w:rsid w:val="64AF84C6"/>
    <w:rsid w:val="65631607"/>
    <w:rsid w:val="66A15D14"/>
    <w:rsid w:val="6880545C"/>
    <w:rsid w:val="69E441CA"/>
    <w:rsid w:val="70734EFA"/>
    <w:rsid w:val="709C1A26"/>
    <w:rsid w:val="70E14F12"/>
    <w:rsid w:val="71B84321"/>
    <w:rsid w:val="749105E3"/>
    <w:rsid w:val="751D7A1B"/>
    <w:rsid w:val="779F7608"/>
    <w:rsid w:val="7BAA5C96"/>
    <w:rsid w:val="7CF72A56"/>
    <w:rsid w:val="7E9E2E0E"/>
    <w:rsid w:val="B1FF9501"/>
    <w:rsid w:val="ECEE15A0"/>
    <w:rsid w:val="F9F7549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39"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99"/>
    <w:qFormat/>
    <w:uiPriority w:val="9"/>
    <w:pPr>
      <w:keepNext/>
      <w:keepLines/>
      <w:spacing w:before="340" w:after="330" w:line="576" w:lineRule="auto"/>
      <w:outlineLvl w:val="0"/>
    </w:pPr>
    <w:rPr>
      <w:b/>
      <w:bCs/>
      <w:kern w:val="44"/>
      <w:sz w:val="44"/>
      <w:szCs w:val="44"/>
    </w:rPr>
  </w:style>
  <w:style w:type="paragraph" w:styleId="3">
    <w:name w:val="heading 2"/>
    <w:basedOn w:val="1"/>
    <w:next w:val="1"/>
    <w:link w:val="100"/>
    <w:qFormat/>
    <w:uiPriority w:val="0"/>
    <w:pPr>
      <w:keepNext/>
      <w:keepLines/>
      <w:spacing w:before="260" w:after="260" w:line="413" w:lineRule="auto"/>
      <w:outlineLvl w:val="1"/>
    </w:pPr>
    <w:rPr>
      <w:b/>
      <w:bCs/>
      <w:kern w:val="44"/>
      <w:sz w:val="44"/>
      <w:szCs w:val="44"/>
    </w:rPr>
  </w:style>
  <w:style w:type="paragraph" w:styleId="4">
    <w:name w:val="heading 3"/>
    <w:basedOn w:val="1"/>
    <w:next w:val="1"/>
    <w:link w:val="76"/>
    <w:qFormat/>
    <w:uiPriority w:val="0"/>
    <w:pPr>
      <w:keepNext/>
      <w:keepLines/>
      <w:autoSpaceDE w:val="0"/>
      <w:autoSpaceDN w:val="0"/>
      <w:adjustRightInd w:val="0"/>
      <w:spacing w:before="360" w:after="120"/>
      <w:jc w:val="left"/>
      <w:outlineLvl w:val="2"/>
    </w:pPr>
    <w:rPr>
      <w:rFonts w:ascii="宋体" w:hAnsi="宋体"/>
      <w:b/>
      <w:kern w:val="0"/>
      <w:sz w:val="24"/>
      <w:szCs w:val="20"/>
    </w:rPr>
  </w:style>
  <w:style w:type="paragraph" w:styleId="5">
    <w:name w:val="heading 4"/>
    <w:basedOn w:val="1"/>
    <w:next w:val="1"/>
    <w:link w:val="77"/>
    <w:qFormat/>
    <w:uiPriority w:val="0"/>
    <w:pPr>
      <w:keepNext/>
      <w:keepLines/>
      <w:spacing w:before="280" w:after="290" w:line="372" w:lineRule="auto"/>
      <w:outlineLvl w:val="3"/>
    </w:pPr>
    <w:rPr>
      <w:rFonts w:ascii="Arial" w:hAnsi="Arial" w:eastAsia="黑体"/>
      <w:b/>
      <w:bCs/>
      <w:sz w:val="28"/>
      <w:szCs w:val="28"/>
    </w:rPr>
  </w:style>
  <w:style w:type="paragraph" w:styleId="6">
    <w:name w:val="heading 5"/>
    <w:basedOn w:val="1"/>
    <w:next w:val="1"/>
    <w:link w:val="78"/>
    <w:qFormat/>
    <w:uiPriority w:val="0"/>
    <w:pPr>
      <w:keepNext/>
      <w:keepLines/>
      <w:spacing w:before="280" w:after="290" w:line="372" w:lineRule="auto"/>
      <w:outlineLvl w:val="4"/>
    </w:pPr>
    <w:rPr>
      <w:b/>
      <w:bCs/>
      <w:sz w:val="28"/>
      <w:szCs w:val="28"/>
    </w:rPr>
  </w:style>
  <w:style w:type="paragraph" w:styleId="7">
    <w:name w:val="heading 6"/>
    <w:basedOn w:val="1"/>
    <w:next w:val="1"/>
    <w:link w:val="79"/>
    <w:qFormat/>
    <w:uiPriority w:val="0"/>
    <w:pPr>
      <w:keepNext/>
      <w:keepLines/>
      <w:spacing w:before="240" w:after="64" w:line="317" w:lineRule="auto"/>
      <w:outlineLvl w:val="5"/>
    </w:pPr>
    <w:rPr>
      <w:rFonts w:ascii="Arial" w:hAnsi="Arial" w:eastAsia="黑体"/>
      <w:b/>
      <w:bCs/>
      <w:sz w:val="24"/>
      <w:szCs w:val="20"/>
    </w:rPr>
  </w:style>
  <w:style w:type="paragraph" w:styleId="8">
    <w:name w:val="heading 7"/>
    <w:basedOn w:val="1"/>
    <w:next w:val="1"/>
    <w:link w:val="80"/>
    <w:qFormat/>
    <w:uiPriority w:val="0"/>
    <w:pPr>
      <w:keepNext/>
      <w:keepLines/>
      <w:adjustRightInd w:val="0"/>
      <w:spacing w:before="240" w:after="64" w:line="320" w:lineRule="atLeast"/>
      <w:textAlignment w:val="baseline"/>
      <w:outlineLvl w:val="6"/>
    </w:pPr>
    <w:rPr>
      <w:rFonts w:ascii="宋体" w:eastAsia="仿宋_GB2312"/>
      <w:b/>
      <w:kern w:val="0"/>
      <w:sz w:val="24"/>
      <w:szCs w:val="20"/>
    </w:rPr>
  </w:style>
  <w:style w:type="paragraph" w:styleId="9">
    <w:name w:val="heading 8"/>
    <w:basedOn w:val="1"/>
    <w:next w:val="1"/>
    <w:link w:val="81"/>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0">
    <w:name w:val="heading 9"/>
    <w:basedOn w:val="1"/>
    <w:next w:val="1"/>
    <w:link w:val="82"/>
    <w:qFormat/>
    <w:uiPriority w:val="0"/>
    <w:pPr>
      <w:keepNext/>
      <w:keepLines/>
      <w:adjustRightInd w:val="0"/>
      <w:spacing w:before="240" w:after="64" w:line="320" w:lineRule="atLeast"/>
      <w:textAlignment w:val="baseline"/>
      <w:outlineLvl w:val="8"/>
    </w:pPr>
    <w:rPr>
      <w:rFonts w:ascii="Arial" w:hAnsi="Arial" w:eastAsia="黑体"/>
      <w:kern w:val="0"/>
      <w:sz w:val="28"/>
      <w:szCs w:val="20"/>
    </w:rPr>
  </w:style>
  <w:style w:type="character" w:default="1" w:styleId="56">
    <w:name w:val="Default Paragraph Font"/>
    <w:qFormat/>
    <w:uiPriority w:val="0"/>
  </w:style>
  <w:style w:type="table" w:default="1" w:styleId="54">
    <w:name w:val="Normal Table"/>
    <w:qFormat/>
    <w:uiPriority w:val="99"/>
    <w:tblPr>
      <w:tblCellMar>
        <w:top w:w="0" w:type="dxa"/>
        <w:left w:w="108" w:type="dxa"/>
        <w:bottom w:w="0" w:type="dxa"/>
        <w:right w:w="108" w:type="dxa"/>
      </w:tblCellMar>
    </w:tblPr>
  </w:style>
  <w:style w:type="paragraph" w:styleId="11">
    <w:name w:val="Note Heading"/>
    <w:basedOn w:val="1"/>
    <w:next w:val="1"/>
    <w:link w:val="83"/>
    <w:qFormat/>
    <w:uiPriority w:val="0"/>
    <w:pPr>
      <w:jc w:val="center"/>
    </w:pPr>
    <w:rPr>
      <w:rFonts w:ascii="DFKai-SB" w:hAnsi="DFKai-SB" w:eastAsia="DFKai-SB"/>
      <w:kern w:val="0"/>
      <w:sz w:val="20"/>
      <w:szCs w:val="20"/>
    </w:rPr>
  </w:style>
  <w:style w:type="paragraph" w:styleId="12">
    <w:name w:val="List Number"/>
    <w:basedOn w:val="1"/>
    <w:qFormat/>
    <w:uiPriority w:val="0"/>
    <w:pPr>
      <w:widowControl/>
      <w:tabs>
        <w:tab w:val="left" w:pos="454"/>
        <w:tab w:val="left" w:pos="720"/>
      </w:tabs>
      <w:spacing w:after="156" w:afterLines="50"/>
      <w:ind w:left="454" w:hanging="284"/>
      <w:jc w:val="left"/>
    </w:pPr>
    <w:rPr>
      <w:kern w:val="0"/>
      <w:sz w:val="24"/>
      <w:szCs w:val="20"/>
    </w:rPr>
  </w:style>
  <w:style w:type="paragraph" w:styleId="13">
    <w:name w:val="Normal Indent"/>
    <w:basedOn w:val="1"/>
    <w:next w:val="1"/>
    <w:link w:val="84"/>
    <w:qFormat/>
    <w:uiPriority w:val="0"/>
    <w:pPr>
      <w:ind w:firstLine="420"/>
    </w:pPr>
    <w:rPr>
      <w:szCs w:val="20"/>
    </w:rPr>
  </w:style>
  <w:style w:type="paragraph" w:styleId="14">
    <w:name w:val="caption"/>
    <w:basedOn w:val="1"/>
    <w:next w:val="1"/>
    <w:link w:val="85"/>
    <w:qFormat/>
    <w:uiPriority w:val="0"/>
    <w:pPr>
      <w:spacing w:before="152" w:after="160"/>
    </w:pPr>
    <w:rPr>
      <w:rFonts w:ascii="Arial" w:hAnsi="Arial" w:eastAsia="黑体"/>
      <w:sz w:val="20"/>
      <w:szCs w:val="20"/>
    </w:rPr>
  </w:style>
  <w:style w:type="paragraph" w:styleId="15">
    <w:name w:val="List Bullet"/>
    <w:basedOn w:val="1"/>
    <w:qFormat/>
    <w:uiPriority w:val="0"/>
    <w:pPr>
      <w:widowControl/>
      <w:tabs>
        <w:tab w:val="left" w:pos="900"/>
      </w:tabs>
      <w:spacing w:before="100" w:beforeAutospacing="1" w:after="100" w:afterLines="50" w:afterAutospacing="1"/>
      <w:ind w:left="900" w:hanging="420"/>
      <w:jc w:val="left"/>
    </w:pPr>
    <w:rPr>
      <w:kern w:val="0"/>
      <w:szCs w:val="20"/>
    </w:rPr>
  </w:style>
  <w:style w:type="paragraph" w:styleId="16">
    <w:name w:val="Document Map"/>
    <w:basedOn w:val="1"/>
    <w:link w:val="86"/>
    <w:qFormat/>
    <w:uiPriority w:val="0"/>
    <w:pPr>
      <w:shd w:val="clear" w:color="auto" w:fill="000080"/>
    </w:pPr>
    <w:rPr>
      <w:shd w:val="clear" w:color="auto" w:fill="000080"/>
    </w:rPr>
  </w:style>
  <w:style w:type="paragraph" w:styleId="17">
    <w:name w:val="toa heading"/>
    <w:basedOn w:val="1"/>
    <w:next w:val="1"/>
    <w:qFormat/>
    <w:uiPriority w:val="0"/>
    <w:pPr>
      <w:spacing w:before="120"/>
    </w:pPr>
    <w:rPr>
      <w:rFonts w:ascii="Arial" w:hAnsi="Arial"/>
      <w:sz w:val="24"/>
    </w:rPr>
  </w:style>
  <w:style w:type="paragraph" w:styleId="18">
    <w:name w:val="annotation text"/>
    <w:basedOn w:val="1"/>
    <w:link w:val="87"/>
    <w:qFormat/>
    <w:uiPriority w:val="0"/>
    <w:pPr>
      <w:jc w:val="left"/>
    </w:pPr>
  </w:style>
  <w:style w:type="paragraph" w:styleId="19">
    <w:name w:val="Salutation"/>
    <w:basedOn w:val="1"/>
    <w:next w:val="1"/>
    <w:qFormat/>
    <w:uiPriority w:val="0"/>
    <w:rPr>
      <w:sz w:val="24"/>
    </w:rPr>
  </w:style>
  <w:style w:type="paragraph" w:styleId="20">
    <w:name w:val="Body Text 3"/>
    <w:basedOn w:val="1"/>
    <w:qFormat/>
    <w:uiPriority w:val="0"/>
    <w:pPr>
      <w:snapToGrid w:val="0"/>
      <w:spacing w:before="50" w:after="50"/>
    </w:pPr>
    <w:rPr>
      <w:rFonts w:hAnsi="宋体" w:eastAsia="仿宋_GB2312"/>
      <w:b/>
      <w:bCs/>
      <w:sz w:val="24"/>
      <w:szCs w:val="20"/>
    </w:rPr>
  </w:style>
  <w:style w:type="paragraph" w:styleId="21">
    <w:name w:val="Body Text"/>
    <w:basedOn w:val="1"/>
    <w:next w:val="22"/>
    <w:link w:val="73"/>
    <w:qFormat/>
    <w:uiPriority w:val="0"/>
    <w:pPr>
      <w:spacing w:after="120"/>
    </w:pPr>
    <w:rPr>
      <w:rFonts w:ascii="宋体" w:hAnsi="宋体"/>
      <w:kern w:val="0"/>
      <w:sz w:val="24"/>
    </w:rPr>
  </w:style>
  <w:style w:type="paragraph" w:styleId="22">
    <w:name w:val="Body Text First Indent"/>
    <w:basedOn w:val="21"/>
    <w:next w:val="1"/>
    <w:qFormat/>
    <w:uiPriority w:val="0"/>
    <w:pPr>
      <w:ind w:firstLine="420"/>
    </w:pPr>
    <w:rPr>
      <w:rFonts w:hAnsi="Calibri" w:cs="Times New Roman"/>
      <w:snapToGrid/>
      <w:szCs w:val="20"/>
    </w:rPr>
  </w:style>
  <w:style w:type="paragraph" w:styleId="23">
    <w:name w:val="Body Text Indent"/>
    <w:basedOn w:val="1"/>
    <w:next w:val="1"/>
    <w:link w:val="88"/>
    <w:qFormat/>
    <w:uiPriority w:val="0"/>
    <w:pPr>
      <w:spacing w:line="200" w:lineRule="exact"/>
      <w:ind w:firstLine="301"/>
    </w:pPr>
    <w:rPr>
      <w:rFonts w:ascii="宋体" w:hAnsi="Courier New"/>
      <w:spacing w:val="-4"/>
      <w:sz w:val="18"/>
      <w:szCs w:val="20"/>
    </w:rPr>
  </w:style>
  <w:style w:type="paragraph" w:styleId="24">
    <w:name w:val="List Number 3"/>
    <w:basedOn w:val="1"/>
    <w:qFormat/>
    <w:uiPriority w:val="0"/>
    <w:pPr>
      <w:tabs>
        <w:tab w:val="left" w:pos="1200"/>
      </w:tabs>
      <w:ind w:left="1200" w:leftChars="400" w:hanging="360" w:hangingChars="200"/>
    </w:pPr>
  </w:style>
  <w:style w:type="paragraph" w:styleId="25">
    <w:name w:val="List 2"/>
    <w:basedOn w:val="1"/>
    <w:qFormat/>
    <w:uiPriority w:val="0"/>
    <w:pPr>
      <w:ind w:left="100" w:leftChars="200" w:hanging="200" w:hangingChars="200"/>
    </w:pPr>
    <w:rPr>
      <w:sz w:val="28"/>
    </w:rPr>
  </w:style>
  <w:style w:type="paragraph" w:styleId="26">
    <w:name w:val="Block Text"/>
    <w:basedOn w:val="1"/>
    <w:qFormat/>
    <w:uiPriority w:val="0"/>
    <w:pPr>
      <w:ind w:left="113" w:right="113"/>
      <w:jc w:val="center"/>
    </w:pPr>
    <w:rPr>
      <w:sz w:val="18"/>
    </w:rPr>
  </w:style>
  <w:style w:type="paragraph" w:styleId="27">
    <w:name w:val="List Bullet 2"/>
    <w:basedOn w:val="1"/>
    <w:qFormat/>
    <w:uiPriority w:val="0"/>
    <w:pPr>
      <w:tabs>
        <w:tab w:val="left" w:pos="360"/>
        <w:tab w:val="left" w:pos="1191"/>
      </w:tabs>
      <w:snapToGrid w:val="0"/>
      <w:spacing w:line="360" w:lineRule="auto"/>
      <w:ind w:left="482" w:hanging="482" w:hangingChars="200"/>
      <w:jc w:val="left"/>
    </w:pPr>
    <w:rPr>
      <w:b/>
      <w:bCs/>
      <w:sz w:val="24"/>
      <w:szCs w:val="32"/>
    </w:rPr>
  </w:style>
  <w:style w:type="paragraph" w:styleId="28">
    <w:name w:val="HTML Address"/>
    <w:basedOn w:val="1"/>
    <w:qFormat/>
    <w:uiPriority w:val="0"/>
    <w:rPr>
      <w:rFonts w:ascii="宋体" w:hAnsi="宋体"/>
      <w:i/>
      <w:iCs/>
      <w:kern w:val="0"/>
      <w:sz w:val="20"/>
    </w:rPr>
  </w:style>
  <w:style w:type="paragraph" w:styleId="29">
    <w:name w:val="toc 3"/>
    <w:basedOn w:val="1"/>
    <w:next w:val="1"/>
    <w:qFormat/>
    <w:uiPriority w:val="0"/>
    <w:pPr>
      <w:ind w:left="420"/>
      <w:jc w:val="left"/>
    </w:pPr>
    <w:rPr>
      <w:iCs/>
      <w:sz w:val="20"/>
      <w:szCs w:val="20"/>
    </w:rPr>
  </w:style>
  <w:style w:type="paragraph" w:styleId="30">
    <w:name w:val="Plain Text"/>
    <w:basedOn w:val="1"/>
    <w:next w:val="1"/>
    <w:link w:val="89"/>
    <w:qFormat/>
    <w:uiPriority w:val="0"/>
    <w:pPr>
      <w:spacing w:before="156" w:beforeLines="50" w:after="156" w:afterLines="50" w:line="400" w:lineRule="exact"/>
    </w:pPr>
    <w:rPr>
      <w:rFonts w:ascii="宋体" w:hAnsi="Courier New"/>
      <w:sz w:val="24"/>
    </w:rPr>
  </w:style>
  <w:style w:type="paragraph" w:styleId="31">
    <w:name w:val="Date"/>
    <w:basedOn w:val="1"/>
    <w:next w:val="1"/>
    <w:link w:val="90"/>
    <w:qFormat/>
    <w:uiPriority w:val="0"/>
    <w:pPr>
      <w:ind w:left="2500" w:leftChars="2500"/>
    </w:pPr>
    <w:rPr>
      <w:rFonts w:eastAsia="楷体_GB2312"/>
      <w:sz w:val="32"/>
      <w:szCs w:val="20"/>
    </w:rPr>
  </w:style>
  <w:style w:type="paragraph" w:styleId="32">
    <w:name w:val="Body Text Indent 2"/>
    <w:basedOn w:val="1"/>
    <w:qFormat/>
    <w:uiPriority w:val="0"/>
    <w:pPr>
      <w:snapToGrid w:val="0"/>
      <w:ind w:firstLine="542" w:firstLineChars="225"/>
    </w:pPr>
    <w:rPr>
      <w:rFonts w:ascii="仿宋_GB2312" w:hAnsi="宋体" w:cs="Arial"/>
      <w:b/>
      <w:bCs/>
      <w:color w:val="000000"/>
      <w:sz w:val="24"/>
    </w:rPr>
  </w:style>
  <w:style w:type="paragraph" w:styleId="33">
    <w:name w:val="endnote text"/>
    <w:basedOn w:val="1"/>
    <w:qFormat/>
    <w:uiPriority w:val="0"/>
    <w:pPr>
      <w:snapToGrid w:val="0"/>
      <w:spacing w:after="156" w:afterLines="50"/>
      <w:jc w:val="left"/>
    </w:pPr>
    <w:rPr>
      <w:rFonts w:ascii="宋体"/>
      <w:snapToGrid w:val="0"/>
      <w:kern w:val="0"/>
      <w:szCs w:val="20"/>
    </w:rPr>
  </w:style>
  <w:style w:type="paragraph" w:styleId="34">
    <w:name w:val="Balloon Text"/>
    <w:basedOn w:val="1"/>
    <w:link w:val="91"/>
    <w:qFormat/>
    <w:uiPriority w:val="0"/>
    <w:rPr>
      <w:sz w:val="18"/>
      <w:szCs w:val="18"/>
    </w:rPr>
  </w:style>
  <w:style w:type="paragraph" w:styleId="35">
    <w:name w:val="footer"/>
    <w:basedOn w:val="1"/>
    <w:qFormat/>
    <w:uiPriority w:val="0"/>
    <w:pPr>
      <w:tabs>
        <w:tab w:val="center" w:pos="4153"/>
        <w:tab w:val="right" w:pos="8306"/>
      </w:tabs>
      <w:snapToGrid w:val="0"/>
      <w:jc w:val="left"/>
    </w:pPr>
    <w:rPr>
      <w:rFonts w:ascii="宋体" w:hAnsi="宋体" w:eastAsia="宋体" w:cs="Times New Roman"/>
      <w:sz w:val="18"/>
      <w:szCs w:val="20"/>
    </w:rPr>
  </w:style>
  <w:style w:type="paragraph" w:styleId="36">
    <w:name w:val="envelope return"/>
    <w:basedOn w:val="1"/>
    <w:qFormat/>
    <w:uiPriority w:val="99"/>
    <w:pPr>
      <w:snapToGrid w:val="0"/>
      <w:spacing w:line="360" w:lineRule="auto"/>
      <w:ind w:firstLine="200" w:firstLineChars="200"/>
    </w:pPr>
    <w:rPr>
      <w:rFonts w:ascii="Arial" w:hAnsi="Arial" w:eastAsia="等线" w:cs="等线"/>
      <w:spacing w:val="-10"/>
      <w:szCs w:val="20"/>
    </w:rPr>
  </w:style>
  <w:style w:type="paragraph" w:styleId="37">
    <w:name w:val="header"/>
    <w:basedOn w:val="1"/>
    <w:link w:val="92"/>
    <w:qFormat/>
    <w:uiPriority w:val="0"/>
    <w:pPr>
      <w:pBdr>
        <w:bottom w:val="single" w:color="auto" w:sz="6" w:space="1"/>
      </w:pBdr>
      <w:tabs>
        <w:tab w:val="center" w:pos="4153"/>
        <w:tab w:val="right" w:pos="8306"/>
      </w:tabs>
      <w:snapToGrid w:val="0"/>
      <w:jc w:val="center"/>
    </w:pPr>
    <w:rPr>
      <w:rFonts w:ascii="宋体" w:hAnsi="宋体"/>
      <w:kern w:val="0"/>
      <w:sz w:val="18"/>
      <w:szCs w:val="20"/>
    </w:rPr>
  </w:style>
  <w:style w:type="paragraph" w:styleId="38">
    <w:name w:val="toc 1"/>
    <w:basedOn w:val="1"/>
    <w:next w:val="1"/>
    <w:qFormat/>
    <w:uiPriority w:val="0"/>
  </w:style>
  <w:style w:type="paragraph" w:styleId="39">
    <w:name w:val="toc 4"/>
    <w:basedOn w:val="1"/>
    <w:next w:val="1"/>
    <w:qFormat/>
    <w:uiPriority w:val="39"/>
    <w:pPr>
      <w:ind w:left="840"/>
    </w:pPr>
  </w:style>
  <w:style w:type="paragraph" w:styleId="40">
    <w:name w:val="Subtitle"/>
    <w:basedOn w:val="1"/>
    <w:qFormat/>
    <w:uiPriority w:val="0"/>
    <w:pPr>
      <w:spacing w:after="156" w:afterLines="50"/>
      <w:jc w:val="center"/>
    </w:pPr>
    <w:rPr>
      <w:rFonts w:ascii="宋体"/>
      <w:i/>
      <w:snapToGrid w:val="0"/>
      <w:kern w:val="0"/>
      <w:sz w:val="36"/>
      <w:szCs w:val="20"/>
      <w:lang w:val="en-AU"/>
    </w:rPr>
  </w:style>
  <w:style w:type="paragraph" w:styleId="41">
    <w:name w:val="List"/>
    <w:basedOn w:val="1"/>
    <w:next w:val="1"/>
    <w:qFormat/>
    <w:uiPriority w:val="0"/>
    <w:pPr>
      <w:ind w:left="200" w:hanging="200" w:hangingChars="200"/>
    </w:pPr>
    <w:rPr>
      <w:sz w:val="28"/>
    </w:rPr>
  </w:style>
  <w:style w:type="paragraph" w:styleId="42">
    <w:name w:val="footnote text"/>
    <w:basedOn w:val="1"/>
    <w:qFormat/>
    <w:uiPriority w:val="0"/>
    <w:pPr>
      <w:snapToGrid w:val="0"/>
      <w:jc w:val="left"/>
    </w:pPr>
    <w:rPr>
      <w:rFonts w:ascii="宋体" w:hAnsi="宋体"/>
      <w:kern w:val="0"/>
      <w:sz w:val="18"/>
      <w:szCs w:val="18"/>
    </w:rPr>
  </w:style>
  <w:style w:type="paragraph" w:styleId="43">
    <w:name w:val="toc 6"/>
    <w:basedOn w:val="1"/>
    <w:next w:val="1"/>
    <w:qFormat/>
    <w:uiPriority w:val="0"/>
    <w:pPr>
      <w:ind w:left="1050"/>
      <w:jc w:val="left"/>
    </w:pPr>
    <w:rPr>
      <w:rFonts w:ascii="Calibri" w:hAnsi="Calibri" w:cs="Calibri"/>
      <w:sz w:val="18"/>
      <w:szCs w:val="18"/>
    </w:rPr>
  </w:style>
  <w:style w:type="paragraph" w:styleId="44">
    <w:name w:val="Body Text Indent 3"/>
    <w:basedOn w:val="1"/>
    <w:next w:val="45"/>
    <w:link w:val="93"/>
    <w:qFormat/>
    <w:uiPriority w:val="0"/>
    <w:pPr>
      <w:snapToGrid w:val="0"/>
      <w:ind w:firstLine="480" w:firstLineChars="200"/>
      <w:jc w:val="left"/>
    </w:pPr>
    <w:rPr>
      <w:rFonts w:ascii="仿宋_GB2312" w:hAnsi="宋体" w:eastAsia="仿宋_GB2312"/>
      <w:color w:val="000000"/>
      <w:sz w:val="24"/>
    </w:rPr>
  </w:style>
  <w:style w:type="paragraph" w:customStyle="1" w:styleId="45">
    <w:name w:val="目录 92"/>
    <w:next w:val="1"/>
    <w:qFormat/>
    <w:uiPriority w:val="0"/>
    <w:pPr>
      <w:wordWrap w:val="0"/>
      <w:ind w:left="2975"/>
      <w:jc w:val="both"/>
    </w:pPr>
    <w:rPr>
      <w:rFonts w:ascii="Times New Roman" w:hAnsi="Times New Roman" w:eastAsia="宋体" w:cs="Times New Roman"/>
      <w:sz w:val="21"/>
      <w:lang w:val="en-US" w:eastAsia="zh-CN" w:bidi="ar-SA"/>
    </w:rPr>
  </w:style>
  <w:style w:type="paragraph" w:styleId="46">
    <w:name w:val="toc 2"/>
    <w:basedOn w:val="1"/>
    <w:next w:val="1"/>
    <w:qFormat/>
    <w:uiPriority w:val="0"/>
    <w:pPr>
      <w:ind w:left="210"/>
      <w:jc w:val="left"/>
    </w:pPr>
    <w:rPr>
      <w:smallCaps/>
      <w:sz w:val="20"/>
      <w:szCs w:val="20"/>
    </w:rPr>
  </w:style>
  <w:style w:type="paragraph" w:styleId="47">
    <w:name w:val="Body Text 2"/>
    <w:basedOn w:val="1"/>
    <w:qFormat/>
    <w:uiPriority w:val="0"/>
    <w:pPr>
      <w:widowControl/>
      <w:snapToGrid w:val="0"/>
      <w:spacing w:before="50" w:after="156" w:afterLines="50" w:line="400" w:lineRule="exact"/>
      <w:jc w:val="left"/>
    </w:pPr>
    <w:rPr>
      <w:rFonts w:ascii="宋体" w:hAnsi="宋体"/>
      <w:color w:val="000000"/>
      <w:sz w:val="24"/>
    </w:rPr>
  </w:style>
  <w:style w:type="paragraph" w:styleId="48">
    <w:name w:val="HTML Preformatted"/>
    <w:basedOn w:val="1"/>
    <w:link w:val="94"/>
    <w:qFormat/>
    <w:uiPriority w:val="0"/>
    <w:rPr>
      <w:rFonts w:ascii="Courier New" w:hAnsi="Courier New"/>
      <w:sz w:val="20"/>
      <w:szCs w:val="20"/>
    </w:rPr>
  </w:style>
  <w:style w:type="paragraph" w:styleId="49">
    <w:name w:val="Normal (Web)"/>
    <w:basedOn w:val="1"/>
    <w:qFormat/>
    <w:uiPriority w:val="0"/>
    <w:pPr>
      <w:widowControl/>
      <w:spacing w:before="100" w:beforeAutospacing="1" w:after="100" w:afterAutospacing="1"/>
      <w:jc w:val="left"/>
    </w:pPr>
    <w:rPr>
      <w:rFonts w:ascii="宋体" w:hAnsi="宋体"/>
      <w:color w:val="000000"/>
      <w:kern w:val="0"/>
      <w:sz w:val="24"/>
    </w:rPr>
  </w:style>
  <w:style w:type="paragraph" w:styleId="50">
    <w:name w:val="index 1"/>
    <w:basedOn w:val="1"/>
    <w:next w:val="1"/>
    <w:qFormat/>
    <w:uiPriority w:val="0"/>
    <w:pPr>
      <w:adjustRightInd w:val="0"/>
      <w:spacing w:line="360" w:lineRule="atLeast"/>
      <w:jc w:val="center"/>
      <w:textAlignment w:val="baseline"/>
    </w:pPr>
    <w:rPr>
      <w:rFonts w:ascii="Arial" w:hAnsi="Arial"/>
      <w:szCs w:val="21"/>
    </w:rPr>
  </w:style>
  <w:style w:type="paragraph" w:styleId="51">
    <w:name w:val="Title"/>
    <w:basedOn w:val="1"/>
    <w:next w:val="1"/>
    <w:link w:val="95"/>
    <w:qFormat/>
    <w:uiPriority w:val="0"/>
    <w:pPr>
      <w:widowControl/>
      <w:overflowPunct w:val="0"/>
      <w:autoSpaceDE w:val="0"/>
      <w:autoSpaceDN w:val="0"/>
      <w:adjustRightInd w:val="0"/>
      <w:jc w:val="center"/>
      <w:textAlignment w:val="baseline"/>
    </w:pPr>
    <w:rPr>
      <w:b/>
      <w:kern w:val="0"/>
      <w:sz w:val="24"/>
      <w:szCs w:val="20"/>
      <w:lang w:val="en-GB"/>
    </w:rPr>
  </w:style>
  <w:style w:type="paragraph" w:styleId="52">
    <w:name w:val="annotation subject"/>
    <w:basedOn w:val="18"/>
    <w:next w:val="18"/>
    <w:link w:val="96"/>
    <w:qFormat/>
    <w:uiPriority w:val="0"/>
    <w:rPr>
      <w:b/>
      <w:bCs/>
    </w:rPr>
  </w:style>
  <w:style w:type="paragraph" w:styleId="53">
    <w:name w:val="Body Text First Indent 2"/>
    <w:basedOn w:val="23"/>
    <w:next w:val="1"/>
    <w:link w:val="98"/>
    <w:qFormat/>
    <w:uiPriority w:val="0"/>
    <w:pPr>
      <w:spacing w:after="120" w:line="240" w:lineRule="auto"/>
      <w:ind w:left="420" w:leftChars="200" w:firstLine="420" w:firstLineChars="200"/>
    </w:pPr>
    <w:rPr>
      <w:rFonts w:ascii="Calibri" w:hAnsi="Calibri"/>
      <w:sz w:val="21"/>
      <w:szCs w:val="22"/>
    </w:rPr>
  </w:style>
  <w:style w:type="table" w:styleId="55">
    <w:name w:val="Table Grid"/>
    <w:basedOn w:val="5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7">
    <w:name w:val="Strong"/>
    <w:qFormat/>
    <w:uiPriority w:val="0"/>
    <w:rPr>
      <w:b/>
      <w:bCs/>
    </w:rPr>
  </w:style>
  <w:style w:type="character" w:styleId="58">
    <w:name w:val="page number"/>
    <w:qFormat/>
    <w:uiPriority w:val="0"/>
  </w:style>
  <w:style w:type="character" w:styleId="59">
    <w:name w:val="FollowedHyperlink"/>
    <w:qFormat/>
    <w:uiPriority w:val="99"/>
    <w:rPr>
      <w:color w:val="333333"/>
      <w:u w:val="none"/>
    </w:rPr>
  </w:style>
  <w:style w:type="character" w:styleId="60">
    <w:name w:val="Emphasis"/>
    <w:qFormat/>
    <w:uiPriority w:val="0"/>
    <w:rPr>
      <w:i/>
      <w:iCs/>
    </w:rPr>
  </w:style>
  <w:style w:type="character" w:styleId="61">
    <w:name w:val="HTML Definition"/>
    <w:qFormat/>
    <w:uiPriority w:val="0"/>
    <w:rPr>
      <w:i/>
      <w:iCs/>
    </w:rPr>
  </w:style>
  <w:style w:type="character" w:styleId="62">
    <w:name w:val="HTML Typewriter"/>
    <w:qFormat/>
    <w:uiPriority w:val="0"/>
    <w:rPr>
      <w:rFonts w:ascii="Courier New" w:hAnsi="Courier New"/>
      <w:sz w:val="20"/>
      <w:szCs w:val="20"/>
    </w:rPr>
  </w:style>
  <w:style w:type="character" w:styleId="63">
    <w:name w:val="HTML Acronym"/>
    <w:qFormat/>
    <w:uiPriority w:val="0"/>
  </w:style>
  <w:style w:type="character" w:styleId="64">
    <w:name w:val="HTML Variable"/>
    <w:qFormat/>
    <w:uiPriority w:val="0"/>
    <w:rPr>
      <w:i/>
      <w:iCs/>
    </w:rPr>
  </w:style>
  <w:style w:type="character" w:styleId="65">
    <w:name w:val="Hyperlink"/>
    <w:qFormat/>
    <w:uiPriority w:val="99"/>
    <w:rPr>
      <w:color w:val="333333"/>
      <w:u w:val="none"/>
    </w:rPr>
  </w:style>
  <w:style w:type="character" w:styleId="66">
    <w:name w:val="HTML Code"/>
    <w:qFormat/>
    <w:uiPriority w:val="0"/>
    <w:rPr>
      <w:rFonts w:ascii="Courier New" w:hAnsi="Courier New"/>
      <w:sz w:val="20"/>
      <w:szCs w:val="20"/>
    </w:rPr>
  </w:style>
  <w:style w:type="character" w:styleId="67">
    <w:name w:val="annotation reference"/>
    <w:qFormat/>
    <w:uiPriority w:val="0"/>
    <w:rPr>
      <w:sz w:val="21"/>
      <w:szCs w:val="21"/>
    </w:rPr>
  </w:style>
  <w:style w:type="character" w:styleId="68">
    <w:name w:val="HTML Cite"/>
    <w:qFormat/>
    <w:uiPriority w:val="0"/>
    <w:rPr>
      <w:i/>
      <w:iCs/>
    </w:rPr>
  </w:style>
  <w:style w:type="character" w:styleId="69">
    <w:name w:val="HTML Keyboard"/>
    <w:qFormat/>
    <w:uiPriority w:val="0"/>
    <w:rPr>
      <w:rFonts w:ascii="Courier New" w:hAnsi="Courier New"/>
      <w:sz w:val="20"/>
      <w:szCs w:val="20"/>
    </w:rPr>
  </w:style>
  <w:style w:type="character" w:styleId="70">
    <w:name w:val="HTML Sample"/>
    <w:qFormat/>
    <w:uiPriority w:val="0"/>
    <w:rPr>
      <w:rFonts w:ascii="Courier New" w:hAnsi="Courier New"/>
    </w:rPr>
  </w:style>
  <w:style w:type="paragraph" w:customStyle="1" w:styleId="71">
    <w:name w:val="章正文"/>
    <w:basedOn w:val="1"/>
    <w:qFormat/>
    <w:uiPriority w:val="0"/>
    <w:pPr>
      <w:spacing w:before="156" w:beforeLines="50" w:after="120" w:line="300" w:lineRule="auto"/>
      <w:ind w:firstLine="480"/>
    </w:pPr>
    <w:rPr>
      <w:rFonts w:ascii="Helvetica" w:hAnsi="Helvetica"/>
      <w:kern w:val="0"/>
      <w:sz w:val="24"/>
    </w:rPr>
  </w:style>
  <w:style w:type="paragraph" w:customStyle="1" w:styleId="72">
    <w:name w:val="Body Text First Indent1"/>
    <w:basedOn w:val="1"/>
    <w:next w:val="1"/>
    <w:qFormat/>
    <w:uiPriority w:val="0"/>
    <w:pPr>
      <w:spacing w:line="360" w:lineRule="auto"/>
      <w:ind w:firstLine="200" w:firstLineChars="200"/>
      <w:jc w:val="left"/>
    </w:pPr>
    <w:rPr>
      <w:bCs/>
      <w:sz w:val="24"/>
    </w:rPr>
  </w:style>
  <w:style w:type="character" w:customStyle="1" w:styleId="73">
    <w:name w:val="正文文本 字符"/>
    <w:link w:val="21"/>
    <w:qFormat/>
    <w:uiPriority w:val="0"/>
    <w:rPr>
      <w:rFonts w:ascii="宋体" w:hAnsi="宋体" w:eastAsia="宋体" w:cs="Times New Roman"/>
      <w:sz w:val="24"/>
      <w:szCs w:val="24"/>
    </w:rPr>
  </w:style>
  <w:style w:type="character" w:customStyle="1" w:styleId="74">
    <w:name w:val="标题 1 字符"/>
    <w:link w:val="2"/>
    <w:qFormat/>
    <w:uiPriority w:val="0"/>
    <w:rPr>
      <w:rFonts w:ascii="Times New Roman" w:hAnsi="Times New Roman" w:eastAsia="宋体" w:cs="Times New Roman"/>
      <w:b/>
      <w:bCs/>
      <w:kern w:val="44"/>
      <w:sz w:val="44"/>
      <w:szCs w:val="44"/>
      <w:lang w:val="en-US" w:eastAsia="zh-CN" w:bidi="ar-SA"/>
    </w:rPr>
  </w:style>
  <w:style w:type="character" w:customStyle="1" w:styleId="75">
    <w:name w:val="标题 2 Char"/>
    <w:link w:val="3"/>
    <w:qFormat/>
    <w:uiPriority w:val="0"/>
    <w:rPr>
      <w:rFonts w:ascii="Arial" w:hAnsi="Arial" w:eastAsia="黑体"/>
      <w:b/>
      <w:bCs/>
      <w:kern w:val="2"/>
      <w:sz w:val="32"/>
      <w:szCs w:val="32"/>
      <w:lang w:val="en-US" w:eastAsia="zh-CN" w:bidi="ar-SA"/>
    </w:rPr>
  </w:style>
  <w:style w:type="character" w:customStyle="1" w:styleId="76">
    <w:name w:val="标题 3 字符"/>
    <w:link w:val="4"/>
    <w:qFormat/>
    <w:uiPriority w:val="0"/>
    <w:rPr>
      <w:rFonts w:ascii="宋体" w:hAnsi="宋体" w:eastAsia="宋体" w:cs="Times New Roman"/>
      <w:b/>
      <w:sz w:val="24"/>
      <w:u w:val="none"/>
      <w:lang w:val="en-US" w:eastAsia="zh-CN" w:bidi="ar-SA"/>
    </w:rPr>
  </w:style>
  <w:style w:type="character" w:customStyle="1" w:styleId="77">
    <w:name w:val="标题 4 字符"/>
    <w:link w:val="5"/>
    <w:qFormat/>
    <w:uiPriority w:val="0"/>
    <w:rPr>
      <w:rFonts w:ascii="Arial" w:hAnsi="Arial" w:eastAsia="黑体"/>
      <w:b/>
      <w:bCs/>
      <w:kern w:val="2"/>
      <w:sz w:val="28"/>
      <w:szCs w:val="28"/>
      <w:lang w:val="en-US" w:eastAsia="zh-CN" w:bidi="ar-SA"/>
    </w:rPr>
  </w:style>
  <w:style w:type="character" w:customStyle="1" w:styleId="78">
    <w:name w:val="标题 5 字符"/>
    <w:link w:val="6"/>
    <w:qFormat/>
    <w:uiPriority w:val="0"/>
    <w:rPr>
      <w:rFonts w:eastAsia="宋体"/>
      <w:b/>
      <w:bCs/>
      <w:kern w:val="2"/>
      <w:sz w:val="28"/>
      <w:szCs w:val="28"/>
      <w:lang w:val="en-US" w:eastAsia="zh-CN" w:bidi="ar-SA"/>
    </w:rPr>
  </w:style>
  <w:style w:type="character" w:customStyle="1" w:styleId="79">
    <w:name w:val="标题 6 字符"/>
    <w:link w:val="7"/>
    <w:qFormat/>
    <w:uiPriority w:val="0"/>
    <w:rPr>
      <w:rFonts w:ascii="Arial" w:hAnsi="Arial" w:eastAsia="黑体"/>
      <w:b/>
      <w:bCs/>
      <w:kern w:val="2"/>
      <w:sz w:val="24"/>
      <w:lang w:val="en-US" w:eastAsia="zh-CN" w:bidi="ar-SA"/>
    </w:rPr>
  </w:style>
  <w:style w:type="character" w:customStyle="1" w:styleId="80">
    <w:name w:val="标题 7 字符"/>
    <w:link w:val="8"/>
    <w:qFormat/>
    <w:uiPriority w:val="0"/>
    <w:rPr>
      <w:rFonts w:ascii="宋体" w:eastAsia="仿宋_GB2312"/>
      <w:b/>
      <w:sz w:val="24"/>
    </w:rPr>
  </w:style>
  <w:style w:type="character" w:customStyle="1" w:styleId="81">
    <w:name w:val="标题 8 字符"/>
    <w:link w:val="9"/>
    <w:qFormat/>
    <w:uiPriority w:val="0"/>
    <w:rPr>
      <w:rFonts w:ascii="Arial" w:hAnsi="Arial" w:eastAsia="黑体"/>
      <w:sz w:val="24"/>
    </w:rPr>
  </w:style>
  <w:style w:type="character" w:customStyle="1" w:styleId="82">
    <w:name w:val="标题 9 字符"/>
    <w:link w:val="10"/>
    <w:qFormat/>
    <w:uiPriority w:val="0"/>
    <w:rPr>
      <w:rFonts w:ascii="Arial" w:hAnsi="Arial" w:eastAsia="黑体"/>
      <w:sz w:val="28"/>
    </w:rPr>
  </w:style>
  <w:style w:type="character" w:customStyle="1" w:styleId="83">
    <w:name w:val="注释标题 字符"/>
    <w:link w:val="11"/>
    <w:qFormat/>
    <w:uiPriority w:val="0"/>
    <w:rPr>
      <w:rFonts w:ascii="DFKai-SB" w:hAnsi="DFKai-SB" w:eastAsia="DFKai-SB"/>
      <w:lang w:bidi="ar-SA"/>
    </w:rPr>
  </w:style>
  <w:style w:type="character" w:customStyle="1" w:styleId="84">
    <w:name w:val="正文缩进 字符"/>
    <w:link w:val="13"/>
    <w:qFormat/>
    <w:uiPriority w:val="0"/>
    <w:rPr>
      <w:rFonts w:eastAsia="宋体"/>
      <w:kern w:val="2"/>
      <w:sz w:val="21"/>
      <w:lang w:val="en-US" w:eastAsia="zh-CN" w:bidi="ar-SA"/>
    </w:rPr>
  </w:style>
  <w:style w:type="character" w:customStyle="1" w:styleId="85">
    <w:name w:val="题注 字符"/>
    <w:link w:val="14"/>
    <w:qFormat/>
    <w:uiPriority w:val="0"/>
    <w:rPr>
      <w:rFonts w:ascii="Arial" w:hAnsi="Arial" w:eastAsia="黑体" w:cs="Arial"/>
      <w:kern w:val="2"/>
    </w:rPr>
  </w:style>
  <w:style w:type="character" w:customStyle="1" w:styleId="86">
    <w:name w:val="文档结构图 字符"/>
    <w:link w:val="16"/>
    <w:qFormat/>
    <w:uiPriority w:val="0"/>
    <w:rPr>
      <w:kern w:val="2"/>
      <w:sz w:val="21"/>
      <w:szCs w:val="24"/>
      <w:shd w:val="clear" w:color="auto" w:fill="000080"/>
    </w:rPr>
  </w:style>
  <w:style w:type="character" w:customStyle="1" w:styleId="87">
    <w:name w:val="批注文字 字符"/>
    <w:link w:val="18"/>
    <w:qFormat/>
    <w:uiPriority w:val="0"/>
    <w:rPr>
      <w:rFonts w:eastAsia="宋体"/>
      <w:kern w:val="2"/>
      <w:sz w:val="21"/>
      <w:szCs w:val="24"/>
      <w:lang w:val="en-US" w:eastAsia="zh-CN" w:bidi="ar-SA"/>
    </w:rPr>
  </w:style>
  <w:style w:type="character" w:customStyle="1" w:styleId="88">
    <w:name w:val="正文文本缩进 字符"/>
    <w:link w:val="23"/>
    <w:qFormat/>
    <w:uiPriority w:val="0"/>
    <w:rPr>
      <w:rFonts w:ascii="宋体" w:hAnsi="Courier New" w:eastAsia="宋体"/>
      <w:spacing w:val="-4"/>
      <w:kern w:val="2"/>
      <w:sz w:val="18"/>
      <w:lang w:val="en-US" w:eastAsia="zh-CN" w:bidi="ar-SA"/>
    </w:rPr>
  </w:style>
  <w:style w:type="character" w:customStyle="1" w:styleId="89">
    <w:name w:val="纯文本 字符"/>
    <w:link w:val="30"/>
    <w:qFormat/>
    <w:uiPriority w:val="0"/>
    <w:rPr>
      <w:rFonts w:ascii="宋体" w:hAnsi="Courier New" w:eastAsia="宋体"/>
      <w:kern w:val="2"/>
      <w:sz w:val="24"/>
      <w:szCs w:val="24"/>
      <w:lang w:val="en-US" w:eastAsia="zh-CN" w:bidi="ar-SA"/>
    </w:rPr>
  </w:style>
  <w:style w:type="character" w:customStyle="1" w:styleId="90">
    <w:name w:val="日期 字符"/>
    <w:link w:val="31"/>
    <w:qFormat/>
    <w:uiPriority w:val="0"/>
    <w:rPr>
      <w:rFonts w:eastAsia="楷体_GB2312"/>
      <w:kern w:val="2"/>
      <w:sz w:val="32"/>
    </w:rPr>
  </w:style>
  <w:style w:type="character" w:customStyle="1" w:styleId="91">
    <w:name w:val="批注框文本 字符"/>
    <w:link w:val="34"/>
    <w:qFormat/>
    <w:uiPriority w:val="0"/>
    <w:rPr>
      <w:kern w:val="2"/>
      <w:sz w:val="18"/>
      <w:szCs w:val="18"/>
    </w:rPr>
  </w:style>
  <w:style w:type="character" w:customStyle="1" w:styleId="92">
    <w:name w:val="页眉 字符"/>
    <w:link w:val="37"/>
    <w:qFormat/>
    <w:uiPriority w:val="0"/>
    <w:rPr>
      <w:rFonts w:ascii="宋体" w:hAnsi="宋体" w:eastAsia="宋体" w:cs="Times New Roman"/>
      <w:sz w:val="18"/>
      <w:szCs w:val="20"/>
    </w:rPr>
  </w:style>
  <w:style w:type="character" w:customStyle="1" w:styleId="93">
    <w:name w:val="正文文本缩进 3 字符"/>
    <w:link w:val="44"/>
    <w:qFormat/>
    <w:uiPriority w:val="0"/>
    <w:rPr>
      <w:rFonts w:ascii="仿宋_GB2312" w:hAnsi="宋体" w:eastAsia="仿宋_GB2312"/>
      <w:color w:val="000000"/>
      <w:kern w:val="2"/>
      <w:sz w:val="24"/>
      <w:szCs w:val="24"/>
      <w:lang w:val="en-US" w:eastAsia="zh-CN" w:bidi="ar-SA"/>
    </w:rPr>
  </w:style>
  <w:style w:type="character" w:customStyle="1" w:styleId="94">
    <w:name w:val="HTML 预设格式 字符"/>
    <w:link w:val="48"/>
    <w:qFormat/>
    <w:uiPriority w:val="0"/>
    <w:rPr>
      <w:rFonts w:ascii="Courier New" w:hAnsi="Courier New" w:cs="Courier New"/>
      <w:kern w:val="2"/>
    </w:rPr>
  </w:style>
  <w:style w:type="character" w:customStyle="1" w:styleId="95">
    <w:name w:val="标题 字符"/>
    <w:link w:val="51"/>
    <w:qFormat/>
    <w:uiPriority w:val="0"/>
    <w:rPr>
      <w:rFonts w:eastAsia="宋体"/>
      <w:b/>
      <w:sz w:val="24"/>
      <w:lang w:val="en-GB" w:eastAsia="zh-CN" w:bidi="ar-SA"/>
    </w:rPr>
  </w:style>
  <w:style w:type="character" w:customStyle="1" w:styleId="96">
    <w:name w:val="批注主题 字符"/>
    <w:link w:val="52"/>
    <w:qFormat/>
    <w:uiPriority w:val="0"/>
    <w:rPr>
      <w:rFonts w:eastAsia="宋体"/>
      <w:b/>
      <w:bCs/>
      <w:kern w:val="2"/>
      <w:sz w:val="21"/>
      <w:szCs w:val="24"/>
      <w:lang w:val="en-US" w:eastAsia="zh-CN" w:bidi="ar-SA"/>
    </w:rPr>
  </w:style>
  <w:style w:type="character" w:customStyle="1" w:styleId="97">
    <w:name w:val="正文文本首行缩进 字符"/>
    <w:qFormat/>
    <w:uiPriority w:val="0"/>
    <w:rPr>
      <w:rFonts w:ascii="宋体" w:hAnsi="宋体" w:eastAsia="宋体" w:cs="Times New Roman"/>
      <w:bCs/>
      <w:kern w:val="2"/>
      <w:sz w:val="24"/>
      <w:szCs w:val="24"/>
      <w:lang w:val="en-US" w:eastAsia="zh-CN" w:bidi="ar-SA"/>
    </w:rPr>
  </w:style>
  <w:style w:type="character" w:customStyle="1" w:styleId="98">
    <w:name w:val="正文文本首行缩进 2 字符"/>
    <w:link w:val="53"/>
    <w:qFormat/>
    <w:uiPriority w:val="0"/>
    <w:rPr>
      <w:rFonts w:ascii="Calibri" w:hAnsi="Calibri" w:eastAsia="宋体"/>
      <w:spacing w:val="-4"/>
      <w:kern w:val="2"/>
      <w:sz w:val="21"/>
      <w:szCs w:val="22"/>
      <w:lang w:val="en-US" w:eastAsia="zh-CN" w:bidi="ar-SA"/>
    </w:rPr>
  </w:style>
  <w:style w:type="character" w:customStyle="1" w:styleId="99">
    <w:name w:val="标题 1 Char"/>
    <w:link w:val="2"/>
    <w:qFormat/>
    <w:uiPriority w:val="9"/>
    <w:rPr>
      <w:b/>
      <w:bCs/>
      <w:kern w:val="44"/>
      <w:sz w:val="44"/>
      <w:szCs w:val="44"/>
    </w:rPr>
  </w:style>
  <w:style w:type="character" w:customStyle="1" w:styleId="100">
    <w:name w:val="标题 2 字符"/>
    <w:link w:val="3"/>
    <w:qFormat/>
    <w:uiPriority w:val="0"/>
    <w:rPr>
      <w:b/>
      <w:bCs/>
      <w:kern w:val="44"/>
      <w:sz w:val="44"/>
      <w:szCs w:val="44"/>
    </w:rPr>
  </w:style>
  <w:style w:type="paragraph" w:styleId="101">
    <w:name w:val="List Paragraph"/>
    <w:basedOn w:val="1"/>
    <w:link w:val="102"/>
    <w:qFormat/>
    <w:uiPriority w:val="0"/>
    <w:pPr>
      <w:ind w:firstLine="420" w:firstLineChars="200"/>
    </w:pPr>
  </w:style>
  <w:style w:type="character" w:customStyle="1" w:styleId="102">
    <w:name w:val="列表段落 字符"/>
    <w:link w:val="101"/>
    <w:qFormat/>
    <w:uiPriority w:val="0"/>
    <w:rPr>
      <w:rFonts w:eastAsia="宋体"/>
      <w:kern w:val="2"/>
      <w:sz w:val="21"/>
      <w:szCs w:val="24"/>
      <w:lang w:val="en-US" w:eastAsia="zh-CN" w:bidi="ar-SA"/>
    </w:rPr>
  </w:style>
  <w:style w:type="paragraph" w:customStyle="1" w:styleId="103">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104">
    <w:name w:val="Body Text First Indent 2_8e46f345-1b7b-4616-b3eb-043bf4b0bb15"/>
    <w:basedOn w:val="105"/>
    <w:qFormat/>
    <w:uiPriority w:val="0"/>
    <w:pPr>
      <w:spacing w:after="120" w:line="240" w:lineRule="auto"/>
      <w:ind w:left="420" w:leftChars="200" w:firstLine="420"/>
    </w:pPr>
    <w:rPr>
      <w:rFonts w:cs="宋体"/>
      <w:sz w:val="21"/>
      <w:szCs w:val="21"/>
    </w:rPr>
  </w:style>
  <w:style w:type="paragraph" w:customStyle="1" w:styleId="105">
    <w:name w:val="Body Text Indent_4b70765f-8401-42c6-8eb6-5ffee982d488"/>
    <w:basedOn w:val="1"/>
    <w:qFormat/>
    <w:uiPriority w:val="0"/>
    <w:pPr>
      <w:spacing w:line="200" w:lineRule="exact"/>
      <w:ind w:firstLine="301"/>
    </w:pPr>
    <w:rPr>
      <w:rFonts w:ascii="宋体" w:hAnsi="Courier New"/>
      <w:spacing w:val="-4"/>
      <w:sz w:val="18"/>
      <w:szCs w:val="20"/>
    </w:rPr>
  </w:style>
  <w:style w:type="paragraph" w:customStyle="1" w:styleId="106">
    <w:name w:val="标准正文"/>
    <w:basedOn w:val="1"/>
    <w:qFormat/>
    <w:uiPriority w:val="0"/>
    <w:pPr>
      <w:spacing w:line="360" w:lineRule="auto"/>
      <w:ind w:firstLine="200" w:firstLineChars="200"/>
    </w:pPr>
    <w:rPr>
      <w:rFonts w:ascii="Times New Roman" w:hAnsi="Times New Roman" w:eastAsia="宋体" w:cs="Times New Roman"/>
      <w:szCs w:val="20"/>
    </w:rPr>
  </w:style>
  <w:style w:type="paragraph" w:customStyle="1" w:styleId="107">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character" w:customStyle="1" w:styleId="108">
    <w:name w:val="font312"/>
    <w:qFormat/>
    <w:uiPriority w:val="0"/>
    <w:rPr>
      <w:rFonts w:hint="eastAsia" w:ascii="宋体" w:hAnsi="宋体" w:eastAsia="宋体" w:cs="宋体"/>
      <w:color w:val="000000"/>
      <w:sz w:val="20"/>
      <w:szCs w:val="20"/>
      <w:u w:val="none"/>
    </w:rPr>
  </w:style>
  <w:style w:type="character" w:customStyle="1" w:styleId="109">
    <w:name w:val="17"/>
    <w:qFormat/>
    <w:uiPriority w:val="0"/>
    <w:rPr>
      <w:rFonts w:hint="default" w:ascii="Arial" w:hAnsi="Arial" w:cs="Arial"/>
      <w:color w:val="000000"/>
      <w:sz w:val="18"/>
      <w:szCs w:val="18"/>
    </w:rPr>
  </w:style>
  <w:style w:type="character" w:customStyle="1" w:styleId="110">
    <w:name w:val="font161"/>
    <w:qFormat/>
    <w:uiPriority w:val="0"/>
    <w:rPr>
      <w:rFonts w:hint="eastAsia" w:ascii="宋体" w:hAnsi="宋体" w:eastAsia="宋体" w:cs="宋体"/>
      <w:color w:val="000000"/>
      <w:sz w:val="18"/>
      <w:szCs w:val="18"/>
      <w:u w:val="none"/>
    </w:rPr>
  </w:style>
  <w:style w:type="character" w:customStyle="1" w:styleId="111">
    <w:name w:val="font412"/>
    <w:qFormat/>
    <w:uiPriority w:val="0"/>
    <w:rPr>
      <w:rFonts w:hint="default" w:ascii="Arial" w:hAnsi="Arial" w:cs="Arial"/>
      <w:color w:val="000000"/>
      <w:sz w:val="18"/>
      <w:szCs w:val="18"/>
      <w:u w:val="none"/>
    </w:rPr>
  </w:style>
  <w:style w:type="character" w:customStyle="1" w:styleId="112">
    <w:name w:val="font212"/>
    <w:qFormat/>
    <w:uiPriority w:val="0"/>
    <w:rPr>
      <w:rFonts w:hint="eastAsia" w:ascii="宋体" w:hAnsi="宋体" w:eastAsia="宋体" w:cs="宋体"/>
      <w:color w:val="000000"/>
      <w:sz w:val="20"/>
      <w:szCs w:val="20"/>
      <w:u w:val="none"/>
    </w:rPr>
  </w:style>
  <w:style w:type="character" w:customStyle="1" w:styleId="113">
    <w:name w:val="font251"/>
    <w:qFormat/>
    <w:uiPriority w:val="0"/>
    <w:rPr>
      <w:rFonts w:hint="default" w:ascii="Arial" w:hAnsi="Arial" w:cs="Arial"/>
      <w:color w:val="000000"/>
      <w:sz w:val="20"/>
      <w:szCs w:val="20"/>
      <w:u w:val="none"/>
    </w:rPr>
  </w:style>
  <w:style w:type="character" w:customStyle="1" w:styleId="114">
    <w:name w:val="apple-converted-space"/>
    <w:qFormat/>
    <w:uiPriority w:val="0"/>
  </w:style>
  <w:style w:type="character" w:customStyle="1" w:styleId="115">
    <w:name w:val="tw4winMark"/>
    <w:qFormat/>
    <w:uiPriority w:val="0"/>
    <w:rPr>
      <w:rFonts w:ascii="Courier New" w:hAnsi="Courier New"/>
      <w:vanish/>
      <w:color w:val="800080"/>
      <w:vertAlign w:val="subscript"/>
    </w:rPr>
  </w:style>
  <w:style w:type="character" w:customStyle="1" w:styleId="116">
    <w:name w:val="para"/>
    <w:qFormat/>
    <w:uiPriority w:val="0"/>
  </w:style>
  <w:style w:type="character" w:customStyle="1" w:styleId="117">
    <w:name w:val="Char Char13"/>
    <w:qFormat/>
    <w:uiPriority w:val="0"/>
    <w:rPr>
      <w:rFonts w:ascii="宋体" w:hAnsi="宋体" w:eastAsia="宋体" w:cs="Times New Roman"/>
      <w:szCs w:val="24"/>
      <w:shd w:val="clear" w:color="auto" w:fill="000080"/>
    </w:rPr>
  </w:style>
  <w:style w:type="character" w:customStyle="1" w:styleId="118">
    <w:name w:val="页脚 Char Char"/>
    <w:qFormat/>
    <w:uiPriority w:val="0"/>
    <w:rPr>
      <w:rFonts w:ascii="宋体" w:hAnsi="宋体" w:eastAsia="宋体" w:cs="Times New Roman"/>
      <w:sz w:val="18"/>
      <w:szCs w:val="20"/>
    </w:rPr>
  </w:style>
  <w:style w:type="character" w:customStyle="1" w:styleId="119">
    <w:name w:val="五级条标题 Char Char"/>
    <w:link w:val="120"/>
    <w:qFormat/>
    <w:uiPriority w:val="0"/>
    <w:rPr>
      <w:lang w:val="en-US" w:eastAsia="zh-CN" w:bidi="ar-SA"/>
    </w:rPr>
  </w:style>
  <w:style w:type="paragraph" w:customStyle="1" w:styleId="120">
    <w:name w:val="五级条标题"/>
    <w:basedOn w:val="121"/>
    <w:next w:val="1"/>
    <w:link w:val="119"/>
    <w:qFormat/>
    <w:uiPriority w:val="0"/>
    <w:pPr>
      <w:tabs>
        <w:tab w:val="left" w:pos="420"/>
      </w:tabs>
      <w:ind w:left="420" w:hanging="420"/>
      <w:outlineLvl w:val="6"/>
    </w:pPr>
  </w:style>
  <w:style w:type="paragraph" w:customStyle="1" w:styleId="121">
    <w:name w:val="四级条标题"/>
    <w:basedOn w:val="122"/>
    <w:next w:val="1"/>
    <w:link w:val="128"/>
    <w:qFormat/>
    <w:uiPriority w:val="0"/>
    <w:pPr>
      <w:ind w:left="420"/>
      <w:outlineLvl w:val="5"/>
    </w:pPr>
  </w:style>
  <w:style w:type="paragraph" w:customStyle="1" w:styleId="122">
    <w:name w:val="三级条标题"/>
    <w:basedOn w:val="123"/>
    <w:next w:val="1"/>
    <w:link w:val="127"/>
    <w:qFormat/>
    <w:uiPriority w:val="0"/>
    <w:pPr>
      <w:ind w:left="420"/>
      <w:outlineLvl w:val="4"/>
    </w:pPr>
    <w:rPr>
      <w:rFonts w:ascii="Times New Roman" w:eastAsia="宋体"/>
      <w:sz w:val="20"/>
    </w:rPr>
  </w:style>
  <w:style w:type="paragraph" w:customStyle="1" w:styleId="123">
    <w:name w:val="二级条标题"/>
    <w:basedOn w:val="124"/>
    <w:next w:val="1"/>
    <w:qFormat/>
    <w:uiPriority w:val="0"/>
    <w:pPr>
      <w:ind w:left="420"/>
      <w:outlineLvl w:val="3"/>
    </w:pPr>
    <w:rPr>
      <w:lang w:val="en-US" w:eastAsia="zh-CN" w:bidi="ar-SA"/>
    </w:rPr>
  </w:style>
  <w:style w:type="paragraph" w:customStyle="1" w:styleId="124">
    <w:name w:val="一级条标题"/>
    <w:basedOn w:val="125"/>
    <w:next w:val="1"/>
    <w:qFormat/>
    <w:uiPriority w:val="0"/>
    <w:pPr>
      <w:ind w:left="420"/>
      <w:outlineLvl w:val="2"/>
    </w:pPr>
  </w:style>
  <w:style w:type="paragraph" w:customStyle="1" w:styleId="125">
    <w:name w:val="章标题"/>
    <w:next w:val="1"/>
    <w:link w:val="126"/>
    <w:qFormat/>
    <w:uiPriority w:val="0"/>
    <w:pPr>
      <w:spacing w:before="156" w:beforeLines="50" w:after="156" w:afterLines="50" w:line="400" w:lineRule="exact"/>
      <w:jc w:val="both"/>
      <w:outlineLvl w:val="1"/>
    </w:pPr>
    <w:rPr>
      <w:rFonts w:ascii="黑体" w:hAnsi="Times New Roman" w:eastAsia="黑体" w:cs="Times New Roman"/>
      <w:sz w:val="21"/>
      <w:lang w:val="en-US" w:eastAsia="zh-CN" w:bidi="ar-SA"/>
    </w:rPr>
  </w:style>
  <w:style w:type="character" w:customStyle="1" w:styleId="126">
    <w:name w:val="章标题 Char Char Char Char Char"/>
    <w:link w:val="125"/>
    <w:qFormat/>
    <w:uiPriority w:val="0"/>
    <w:rPr>
      <w:rFonts w:ascii="黑体" w:eastAsia="黑体"/>
      <w:sz w:val="21"/>
      <w:lang w:val="en-US" w:eastAsia="zh-CN" w:bidi="ar-SA"/>
    </w:rPr>
  </w:style>
  <w:style w:type="character" w:customStyle="1" w:styleId="127">
    <w:name w:val="三级条标题 Char Char"/>
    <w:link w:val="122"/>
    <w:qFormat/>
    <w:uiPriority w:val="0"/>
    <w:rPr>
      <w:lang w:val="en-US" w:eastAsia="zh-CN" w:bidi="ar-SA"/>
    </w:rPr>
  </w:style>
  <w:style w:type="character" w:customStyle="1" w:styleId="128">
    <w:name w:val="四级条标题 Char Char"/>
    <w:link w:val="121"/>
    <w:qFormat/>
    <w:uiPriority w:val="0"/>
    <w:rPr>
      <w:lang w:val="en-US" w:eastAsia="zh-CN" w:bidi="ar-SA"/>
    </w:rPr>
  </w:style>
  <w:style w:type="character" w:customStyle="1" w:styleId="129">
    <w:name w:val="样式 小四"/>
    <w:qFormat/>
    <w:uiPriority w:val="0"/>
    <w:rPr>
      <w:sz w:val="21"/>
    </w:rPr>
  </w:style>
  <w:style w:type="character" w:customStyle="1" w:styleId="130">
    <w:name w:val="一级条标题 Char Char Char Char"/>
    <w:qFormat/>
    <w:uiPriority w:val="0"/>
    <w:rPr>
      <w:lang w:val="en-US" w:eastAsia="zh-CN" w:bidi="ar-SA"/>
    </w:rPr>
  </w:style>
  <w:style w:type="character" w:customStyle="1" w:styleId="131">
    <w:name w:val="H1 Char1"/>
    <w:qFormat/>
    <w:uiPriority w:val="0"/>
    <w:rPr>
      <w:rFonts w:eastAsia="宋体"/>
      <w:b/>
      <w:bCs/>
      <w:kern w:val="44"/>
      <w:sz w:val="44"/>
      <w:szCs w:val="44"/>
      <w:lang w:bidi="ar-SA"/>
    </w:rPr>
  </w:style>
  <w:style w:type="character" w:customStyle="1" w:styleId="132">
    <w:name w:val="t91"/>
    <w:qFormat/>
    <w:uiPriority w:val="0"/>
  </w:style>
  <w:style w:type="character" w:customStyle="1" w:styleId="133">
    <w:name w:val="Char Char27"/>
    <w:qFormat/>
    <w:uiPriority w:val="0"/>
    <w:rPr>
      <w:rFonts w:ascii="宋体" w:hAnsi="宋体" w:eastAsia="黑体"/>
      <w:b/>
      <w:kern w:val="44"/>
      <w:sz w:val="36"/>
    </w:rPr>
  </w:style>
  <w:style w:type="character" w:customStyle="1" w:styleId="134">
    <w:name w:val="正文小标题 Char Char"/>
    <w:qFormat/>
    <w:uiPriority w:val="0"/>
    <w:rPr>
      <w:rFonts w:ascii="楷体_GB2312" w:eastAsia="楷体_GB2312"/>
      <w:kern w:val="2"/>
      <w:sz w:val="32"/>
      <w:lang w:bidi="ar-SA"/>
    </w:rPr>
  </w:style>
  <w:style w:type="character" w:customStyle="1" w:styleId="135">
    <w:name w:val="样式 样式3 + 宋体 五号 Char Char Char Char Char"/>
    <w:qFormat/>
    <w:uiPriority w:val="0"/>
    <w:rPr>
      <w:rFonts w:hint="eastAsia" w:ascii="宋体" w:hAnsi="宋体" w:eastAsia="宋体"/>
      <w:b/>
      <w:bCs/>
      <w:kern w:val="2"/>
      <w:sz w:val="21"/>
      <w:szCs w:val="24"/>
      <w:lang w:val="en-US" w:eastAsia="zh-CN" w:bidi="ar-SA"/>
    </w:rPr>
  </w:style>
  <w:style w:type="character" w:customStyle="1" w:styleId="136">
    <w:name w:val="font41"/>
    <w:qFormat/>
    <w:uiPriority w:val="0"/>
    <w:rPr>
      <w:rFonts w:hint="eastAsia" w:ascii="宋体" w:hAnsi="宋体" w:eastAsia="宋体" w:cs="宋体"/>
      <w:color w:val="000000"/>
      <w:sz w:val="20"/>
      <w:szCs w:val="20"/>
      <w:u w:val="none"/>
    </w:rPr>
  </w:style>
  <w:style w:type="character" w:customStyle="1" w:styleId="137">
    <w:name w:val="Char Char8"/>
    <w:qFormat/>
    <w:uiPriority w:val="0"/>
    <w:rPr>
      <w:rFonts w:ascii="宋体" w:hAnsi="宋体"/>
      <w:kern w:val="2"/>
      <w:sz w:val="18"/>
    </w:rPr>
  </w:style>
  <w:style w:type="character" w:customStyle="1" w:styleId="138">
    <w:name w:val="huide001"/>
    <w:qFormat/>
    <w:uiPriority w:val="0"/>
    <w:rPr>
      <w:rFonts w:hint="default" w:ascii="Arial" w:hAnsi="Arial" w:cs="Arial"/>
      <w:color w:val="666666"/>
      <w:sz w:val="18"/>
      <w:szCs w:val="18"/>
    </w:rPr>
  </w:style>
  <w:style w:type="character" w:customStyle="1" w:styleId="139">
    <w:name w:val="A C"/>
    <w:qFormat/>
    <w:uiPriority w:val="0"/>
    <w:rPr>
      <w:rFonts w:ascii="仿宋_GB2312"/>
      <w:bCs/>
      <w:iCs/>
      <w:sz w:val="24"/>
    </w:rPr>
  </w:style>
  <w:style w:type="character" w:customStyle="1" w:styleId="140">
    <w:name w:val="point_normal1"/>
    <w:qFormat/>
    <w:uiPriority w:val="0"/>
    <w:rPr>
      <w:rFonts w:hint="default" w:ascii="Arial" w:hAnsi="Arial" w:cs="Arial"/>
      <w:sz w:val="18"/>
      <w:szCs w:val="18"/>
    </w:rPr>
  </w:style>
  <w:style w:type="character" w:customStyle="1" w:styleId="141">
    <w:name w:val="个人撰写风格"/>
    <w:qFormat/>
    <w:uiPriority w:val="0"/>
    <w:rPr>
      <w:rFonts w:ascii="Arial" w:hAnsi="Arial" w:eastAsia="宋体" w:cs="Arial"/>
      <w:color w:val="auto"/>
      <w:sz w:val="20"/>
    </w:rPr>
  </w:style>
  <w:style w:type="character" w:customStyle="1" w:styleId="142">
    <w:name w:val="_Style 141"/>
    <w:qFormat/>
    <w:uiPriority w:val="0"/>
    <w:rPr>
      <w:color w:val="605E5C"/>
      <w:shd w:val="clear" w:color="auto" w:fill="E1DFDD"/>
    </w:rPr>
  </w:style>
  <w:style w:type="character" w:customStyle="1" w:styleId="143">
    <w:name w:val="正文缩进2字符 Char Char"/>
    <w:link w:val="144"/>
    <w:qFormat/>
    <w:uiPriority w:val="0"/>
    <w:rPr>
      <w:rFonts w:eastAsia="宋体"/>
      <w:kern w:val="2"/>
      <w:sz w:val="24"/>
      <w:szCs w:val="24"/>
      <w:lang w:bidi="ar-SA"/>
    </w:rPr>
  </w:style>
  <w:style w:type="paragraph" w:customStyle="1" w:styleId="144">
    <w:name w:val="正文缩进2字符"/>
    <w:basedOn w:val="1"/>
    <w:link w:val="143"/>
    <w:qFormat/>
    <w:uiPriority w:val="0"/>
    <w:pPr>
      <w:spacing w:line="360" w:lineRule="auto"/>
      <w:ind w:firstLine="480" w:firstLineChars="200"/>
    </w:pPr>
    <w:rPr>
      <w:sz w:val="24"/>
    </w:rPr>
  </w:style>
  <w:style w:type="character" w:customStyle="1" w:styleId="145">
    <w:name w:val="Normal Indent Char"/>
    <w:qFormat/>
    <w:uiPriority w:val="0"/>
    <w:rPr>
      <w:rFonts w:ascii="Calibri" w:hAnsi="Calibri" w:eastAsia="宋体"/>
      <w:kern w:val="0"/>
      <w:sz w:val="20"/>
    </w:rPr>
  </w:style>
  <w:style w:type="character" w:customStyle="1" w:styleId="146">
    <w:name w:val="unnamed24"/>
    <w:qFormat/>
    <w:uiPriority w:val="0"/>
  </w:style>
  <w:style w:type="character" w:customStyle="1" w:styleId="147">
    <w:name w:val="fontblank12"/>
    <w:qFormat/>
    <w:uiPriority w:val="0"/>
  </w:style>
  <w:style w:type="character" w:customStyle="1" w:styleId="148">
    <w:name w:val="Char Char15"/>
    <w:qFormat/>
    <w:uiPriority w:val="0"/>
    <w:rPr>
      <w:rFonts w:ascii="宋体" w:hAnsi="Courier New" w:eastAsia="宋体" w:cs="Times New Roman"/>
      <w:sz w:val="28"/>
      <w:szCs w:val="20"/>
    </w:rPr>
  </w:style>
  <w:style w:type="character" w:customStyle="1" w:styleId="149">
    <w:name w:val="正文文本 Char1"/>
    <w:qFormat/>
    <w:uiPriority w:val="0"/>
    <w:rPr>
      <w:rFonts w:ascii="Times New Roman" w:hAnsi="Times New Roman" w:eastAsia="宋体" w:cs="Times New Roman"/>
      <w:szCs w:val="24"/>
    </w:rPr>
  </w:style>
  <w:style w:type="character" w:customStyle="1" w:styleId="150">
    <w:name w:val="Char Char18"/>
    <w:qFormat/>
    <w:uiPriority w:val="0"/>
    <w:rPr>
      <w:rFonts w:ascii="宋体" w:hAnsi="宋体"/>
      <w:kern w:val="2"/>
      <w:sz w:val="18"/>
    </w:rPr>
  </w:style>
  <w:style w:type="character" w:customStyle="1" w:styleId="151">
    <w:name w:val="标题 3 Char2"/>
    <w:qFormat/>
    <w:uiPriority w:val="0"/>
    <w:rPr>
      <w:rFonts w:ascii="宋体" w:eastAsia="宋体"/>
      <w:b/>
      <w:sz w:val="24"/>
      <w:u w:val="single"/>
      <w:lang w:val="en-US" w:eastAsia="zh-CN" w:bidi="ar-SA"/>
    </w:rPr>
  </w:style>
  <w:style w:type="character" w:customStyle="1" w:styleId="152">
    <w:name w:val="Char Char9"/>
    <w:qFormat/>
    <w:uiPriority w:val="0"/>
    <w:rPr>
      <w:rFonts w:ascii="宋体" w:hAnsi="宋体" w:eastAsia="宋体" w:cs="Times New Roman"/>
      <w:sz w:val="28"/>
      <w:szCs w:val="24"/>
    </w:rPr>
  </w:style>
  <w:style w:type="character" w:customStyle="1" w:styleId="153">
    <w:name w:val="标题 1 Char Char"/>
    <w:qFormat/>
    <w:uiPriority w:val="0"/>
    <w:rPr>
      <w:rFonts w:eastAsia="宋体"/>
      <w:b/>
      <w:spacing w:val="-2"/>
      <w:sz w:val="24"/>
      <w:lang w:val="en-US" w:eastAsia="zh-CN" w:bidi="ar-SA"/>
    </w:rPr>
  </w:style>
  <w:style w:type="character" w:customStyle="1" w:styleId="154">
    <w:name w:val="b titlename wangputoptitle"/>
    <w:qFormat/>
    <w:uiPriority w:val="0"/>
  </w:style>
  <w:style w:type="character" w:customStyle="1" w:styleId="155">
    <w:name w:val="font71"/>
    <w:qFormat/>
    <w:uiPriority w:val="0"/>
    <w:rPr>
      <w:rFonts w:hint="default" w:ascii="Calibri" w:hAnsi="Calibri" w:cs="Calibri"/>
      <w:color w:val="000000"/>
      <w:sz w:val="18"/>
      <w:szCs w:val="18"/>
      <w:u w:val="none"/>
    </w:rPr>
  </w:style>
  <w:style w:type="character" w:customStyle="1" w:styleId="156">
    <w:name w:val="font31"/>
    <w:basedOn w:val="56"/>
    <w:qFormat/>
    <w:uiPriority w:val="0"/>
    <w:rPr>
      <w:rFonts w:hint="eastAsia" w:ascii="宋体" w:hAnsi="宋体" w:eastAsia="宋体" w:cs="宋体"/>
      <w:color w:val="000000"/>
      <w:sz w:val="21"/>
      <w:szCs w:val="21"/>
      <w:u w:val="none"/>
    </w:rPr>
  </w:style>
  <w:style w:type="character" w:customStyle="1" w:styleId="157">
    <w:name w:val="tw4winJump"/>
    <w:qFormat/>
    <w:uiPriority w:val="0"/>
    <w:rPr>
      <w:rFonts w:ascii="Courier New" w:hAnsi="Courier New"/>
      <w:color w:val="008080"/>
    </w:rPr>
  </w:style>
  <w:style w:type="character" w:customStyle="1" w:styleId="158">
    <w:name w:val="specinfo"/>
    <w:qFormat/>
    <w:uiPriority w:val="0"/>
  </w:style>
  <w:style w:type="character" w:customStyle="1" w:styleId="159">
    <w:name w:val="Char Char17"/>
    <w:qFormat/>
    <w:uiPriority w:val="0"/>
    <w:rPr>
      <w:rFonts w:ascii="宋体" w:hAnsi="宋体" w:eastAsia="宋体" w:cs="Times New Roman"/>
      <w:szCs w:val="20"/>
    </w:rPr>
  </w:style>
  <w:style w:type="character" w:customStyle="1" w:styleId="160">
    <w:name w:val="Char Char11"/>
    <w:qFormat/>
    <w:uiPriority w:val="0"/>
    <w:rPr>
      <w:rFonts w:ascii="宋体" w:hAnsi="宋体" w:eastAsia="宋体" w:cs="Times New Roman"/>
      <w:sz w:val="28"/>
      <w:szCs w:val="20"/>
    </w:rPr>
  </w:style>
  <w:style w:type="character" w:customStyle="1" w:styleId="161">
    <w:name w:val="style60"/>
    <w:qFormat/>
    <w:uiPriority w:val="0"/>
  </w:style>
  <w:style w:type="character" w:customStyle="1" w:styleId="162">
    <w:name w:val="Char Char26"/>
    <w:qFormat/>
    <w:uiPriority w:val="0"/>
    <w:rPr>
      <w:rFonts w:ascii="CG Times" w:hAnsi="CG Times"/>
      <w:b/>
      <w:kern w:val="2"/>
      <w:sz w:val="30"/>
    </w:rPr>
  </w:style>
  <w:style w:type="character" w:customStyle="1" w:styleId="163">
    <w:name w:val="正文（缩进） Char Char"/>
    <w:link w:val="164"/>
    <w:qFormat/>
    <w:uiPriority w:val="0"/>
    <w:rPr>
      <w:sz w:val="24"/>
      <w:szCs w:val="24"/>
    </w:rPr>
  </w:style>
  <w:style w:type="paragraph" w:customStyle="1" w:styleId="164">
    <w:name w:val="正文（缩进）"/>
    <w:basedOn w:val="1"/>
    <w:link w:val="163"/>
    <w:qFormat/>
    <w:uiPriority w:val="0"/>
    <w:pPr>
      <w:spacing w:before="156" w:beforeLines="50" w:after="156" w:afterLines="50" w:line="360" w:lineRule="auto"/>
      <w:ind w:firstLine="480" w:firstLineChars="200"/>
    </w:pPr>
    <w:rPr>
      <w:kern w:val="0"/>
      <w:sz w:val="24"/>
    </w:rPr>
  </w:style>
  <w:style w:type="character" w:customStyle="1" w:styleId="165">
    <w:name w:val="arial1"/>
    <w:qFormat/>
    <w:uiPriority w:val="0"/>
    <w:rPr>
      <w:rFonts w:hint="default" w:ascii="Arial" w:hAnsi="Arial" w:cs="Arial"/>
    </w:rPr>
  </w:style>
  <w:style w:type="character" w:customStyle="1" w:styleId="166">
    <w:name w:val="unnamed31"/>
    <w:qFormat/>
    <w:uiPriority w:val="0"/>
    <w:rPr>
      <w:sz w:val="30"/>
      <w:szCs w:val="30"/>
    </w:rPr>
  </w:style>
  <w:style w:type="character" w:customStyle="1" w:styleId="167">
    <w:name w:val="正文表标题 Char Char"/>
    <w:link w:val="168"/>
    <w:qFormat/>
    <w:uiPriority w:val="0"/>
    <w:rPr>
      <w:rFonts w:ascii="黑体" w:hAnsi="宋体" w:eastAsia="黑体"/>
      <w:kern w:val="2"/>
      <w:sz w:val="21"/>
      <w:szCs w:val="24"/>
      <w:lang w:val="en-US" w:eastAsia="zh-CN" w:bidi="ar-SA"/>
    </w:rPr>
  </w:style>
  <w:style w:type="paragraph" w:customStyle="1" w:styleId="168">
    <w:name w:val="正文表标题"/>
    <w:next w:val="169"/>
    <w:link w:val="167"/>
    <w:qFormat/>
    <w:uiPriority w:val="0"/>
    <w:pPr>
      <w:tabs>
        <w:tab w:val="left" w:pos="360"/>
      </w:tabs>
      <w:ind w:left="3780"/>
      <w:jc w:val="center"/>
    </w:pPr>
    <w:rPr>
      <w:rFonts w:ascii="黑体" w:hAnsi="宋体" w:eastAsia="黑体" w:cs="Times New Roman"/>
      <w:kern w:val="2"/>
      <w:sz w:val="21"/>
      <w:szCs w:val="24"/>
      <w:lang w:val="en-US" w:eastAsia="zh-CN" w:bidi="ar-SA"/>
    </w:rPr>
  </w:style>
  <w:style w:type="paragraph" w:customStyle="1" w:styleId="16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170">
    <w:name w:val="style11"/>
    <w:qFormat/>
    <w:uiPriority w:val="0"/>
    <w:rPr>
      <w:rFonts w:eastAsia="宋体"/>
      <w:kern w:val="2"/>
      <w:sz w:val="21"/>
      <w:szCs w:val="21"/>
      <w:lang w:val="en-US" w:eastAsia="zh-CN"/>
    </w:rPr>
  </w:style>
  <w:style w:type="character" w:customStyle="1" w:styleId="171">
    <w:name w:val="章标题 Char Char Char Char"/>
    <w:link w:val="172"/>
    <w:qFormat/>
    <w:uiPriority w:val="0"/>
    <w:rPr>
      <w:rFonts w:ascii="黑体" w:hAnsi="宋体" w:eastAsia="黑体"/>
      <w:kern w:val="2"/>
      <w:sz w:val="21"/>
      <w:szCs w:val="24"/>
      <w:lang w:val="en-US" w:eastAsia="zh-CN" w:bidi="ar-SA"/>
    </w:rPr>
  </w:style>
  <w:style w:type="paragraph" w:customStyle="1" w:styleId="172">
    <w:name w:val="章标题 Char Char"/>
    <w:next w:val="1"/>
    <w:link w:val="171"/>
    <w:qFormat/>
    <w:uiPriority w:val="0"/>
    <w:pPr>
      <w:spacing w:before="156" w:beforeLines="50" w:after="156" w:afterLines="50"/>
      <w:ind w:left="840" w:hanging="420"/>
      <w:jc w:val="both"/>
      <w:outlineLvl w:val="1"/>
    </w:pPr>
    <w:rPr>
      <w:rFonts w:ascii="黑体" w:hAnsi="宋体" w:eastAsia="黑体" w:cs="Times New Roman"/>
      <w:kern w:val="2"/>
      <w:sz w:val="21"/>
      <w:szCs w:val="24"/>
      <w:lang w:val="en-US" w:eastAsia="zh-CN" w:bidi="ar-SA"/>
    </w:rPr>
  </w:style>
  <w:style w:type="character" w:customStyle="1" w:styleId="173">
    <w:name w:val="ask-title"/>
    <w:qFormat/>
    <w:uiPriority w:val="0"/>
  </w:style>
  <w:style w:type="character" w:customStyle="1" w:styleId="174">
    <w:name w:val="font11"/>
    <w:qFormat/>
    <w:uiPriority w:val="0"/>
    <w:rPr>
      <w:rFonts w:hint="eastAsia" w:ascii="宋体" w:hAnsi="宋体" w:eastAsia="宋体" w:cs="宋体"/>
      <w:color w:val="000000"/>
      <w:sz w:val="20"/>
      <w:szCs w:val="20"/>
      <w:u w:val="none"/>
    </w:rPr>
  </w:style>
  <w:style w:type="character" w:customStyle="1" w:styleId="175">
    <w:name w:val="!我的正文 Ctr+Q Char Char"/>
    <w:link w:val="176"/>
    <w:qFormat/>
    <w:uiPriority w:val="0"/>
    <w:rPr>
      <w:rFonts w:ascii="Arial" w:hAnsi="Arial" w:eastAsia="宋体"/>
      <w:kern w:val="2"/>
      <w:sz w:val="24"/>
      <w:szCs w:val="21"/>
      <w:lang w:val="en-US" w:eastAsia="zh-CN" w:bidi="ar-SA"/>
    </w:rPr>
  </w:style>
  <w:style w:type="paragraph" w:customStyle="1" w:styleId="176">
    <w:name w:val="!我的正文 Ctr+Q"/>
    <w:basedOn w:val="1"/>
    <w:link w:val="175"/>
    <w:qFormat/>
    <w:uiPriority w:val="0"/>
    <w:pPr>
      <w:adjustRightInd w:val="0"/>
      <w:snapToGrid w:val="0"/>
      <w:spacing w:line="360" w:lineRule="auto"/>
      <w:ind w:firstLine="480" w:firstLineChars="200"/>
    </w:pPr>
    <w:rPr>
      <w:rFonts w:ascii="Arial" w:hAnsi="Arial"/>
      <w:sz w:val="24"/>
      <w:szCs w:val="21"/>
    </w:rPr>
  </w:style>
  <w:style w:type="character" w:customStyle="1" w:styleId="177">
    <w:name w:val="big14"/>
    <w:qFormat/>
    <w:uiPriority w:val="0"/>
  </w:style>
  <w:style w:type="character" w:customStyle="1" w:styleId="178">
    <w:name w:val="h2 Char"/>
    <w:qFormat/>
    <w:uiPriority w:val="0"/>
    <w:rPr>
      <w:rFonts w:ascii="宋体" w:hAnsi="宋体" w:eastAsia="宋体"/>
      <w:bCs/>
      <w:kern w:val="24"/>
      <w:sz w:val="24"/>
      <w:szCs w:val="24"/>
      <w:lang w:val="en-US" w:eastAsia="zh-CN" w:bidi="ar-SA"/>
    </w:rPr>
  </w:style>
  <w:style w:type="character" w:customStyle="1" w:styleId="179">
    <w:name w:val="二级条标题 Char Char Char"/>
    <w:qFormat/>
    <w:uiPriority w:val="0"/>
    <w:rPr>
      <w:lang w:val="en-US" w:eastAsia="zh-CN" w:bidi="ar-SA"/>
    </w:rPr>
  </w:style>
  <w:style w:type="character" w:customStyle="1" w:styleId="180">
    <w:name w:val="pagetitle"/>
    <w:qFormat/>
    <w:uiPriority w:val="0"/>
  </w:style>
  <w:style w:type="character" w:customStyle="1" w:styleId="181">
    <w:name w:val="一级无标题条 Char Char"/>
    <w:link w:val="182"/>
    <w:qFormat/>
    <w:uiPriority w:val="0"/>
    <w:rPr>
      <w:rFonts w:ascii="宋体" w:hAnsi="宋体" w:eastAsia="宋体"/>
      <w:szCs w:val="24"/>
      <w:lang w:bidi="ar-SA"/>
    </w:rPr>
  </w:style>
  <w:style w:type="paragraph" w:customStyle="1" w:styleId="182">
    <w:name w:val="一级无标题条"/>
    <w:basedOn w:val="1"/>
    <w:link w:val="181"/>
    <w:qFormat/>
    <w:uiPriority w:val="0"/>
    <w:rPr>
      <w:rFonts w:ascii="宋体" w:hAnsi="宋体"/>
      <w:kern w:val="0"/>
      <w:sz w:val="20"/>
    </w:rPr>
  </w:style>
  <w:style w:type="character" w:customStyle="1" w:styleId="183">
    <w:name w:val="tw4winError"/>
    <w:qFormat/>
    <w:uiPriority w:val="0"/>
    <w:rPr>
      <w:rFonts w:ascii="Courier New" w:hAnsi="Courier New"/>
      <w:color w:val="00FF00"/>
      <w:sz w:val="40"/>
    </w:rPr>
  </w:style>
  <w:style w:type="character" w:customStyle="1" w:styleId="184">
    <w:name w:val="normal91"/>
    <w:qFormat/>
    <w:uiPriority w:val="0"/>
    <w:rPr>
      <w:sz w:val="20"/>
      <w:szCs w:val="20"/>
    </w:rPr>
  </w:style>
  <w:style w:type="character" w:customStyle="1" w:styleId="185">
    <w:name w:val="line1"/>
    <w:qFormat/>
    <w:uiPriority w:val="0"/>
    <w:rPr>
      <w:u w:val="none"/>
    </w:rPr>
  </w:style>
  <w:style w:type="character" w:customStyle="1" w:styleId="186">
    <w:name w:val="个人答复风格"/>
    <w:qFormat/>
    <w:uiPriority w:val="0"/>
    <w:rPr>
      <w:rFonts w:ascii="Arial" w:hAnsi="Arial" w:eastAsia="宋体" w:cs="Arial"/>
      <w:color w:val="auto"/>
      <w:sz w:val="20"/>
    </w:rPr>
  </w:style>
  <w:style w:type="character" w:customStyle="1" w:styleId="187">
    <w:name w:val="font121"/>
    <w:qFormat/>
    <w:uiPriority w:val="0"/>
    <w:rPr>
      <w:rFonts w:hint="eastAsia" w:ascii="宋体" w:hAnsi="宋体" w:eastAsia="宋体" w:cs="宋体"/>
      <w:color w:val="000000"/>
      <w:sz w:val="22"/>
      <w:szCs w:val="22"/>
      <w:u w:val="none"/>
    </w:rPr>
  </w:style>
  <w:style w:type="character" w:customStyle="1" w:styleId="188">
    <w:name w:val="标题 3 Char"/>
    <w:qFormat/>
    <w:uiPriority w:val="0"/>
    <w:rPr>
      <w:rFonts w:ascii="宋体" w:eastAsia="宋体"/>
      <w:b/>
      <w:sz w:val="24"/>
      <w:u w:val="single"/>
      <w:lang w:val="en-US" w:eastAsia="zh-CN" w:bidi="ar-SA"/>
    </w:rPr>
  </w:style>
  <w:style w:type="character" w:customStyle="1" w:styleId="189">
    <w:name w:val="font81"/>
    <w:qFormat/>
    <w:uiPriority w:val="0"/>
    <w:rPr>
      <w:rFonts w:ascii="Calibri" w:hAnsi="Calibri" w:cs="Calibri"/>
      <w:color w:val="000000"/>
      <w:sz w:val="20"/>
      <w:szCs w:val="20"/>
      <w:u w:val="none"/>
    </w:rPr>
  </w:style>
  <w:style w:type="character" w:customStyle="1" w:styleId="190">
    <w:name w:val="font01"/>
    <w:qFormat/>
    <w:uiPriority w:val="0"/>
    <w:rPr>
      <w:rFonts w:hint="default" w:ascii="Arial" w:hAnsi="Arial" w:cs="Arial"/>
      <w:color w:val="000000"/>
      <w:sz w:val="20"/>
      <w:szCs w:val="20"/>
      <w:u w:val="none"/>
    </w:rPr>
  </w:style>
  <w:style w:type="character" w:customStyle="1" w:styleId="191">
    <w:name w:val="font151"/>
    <w:qFormat/>
    <w:uiPriority w:val="0"/>
    <w:rPr>
      <w:rFonts w:hint="eastAsia" w:ascii="宋体" w:hAnsi="宋体" w:eastAsia="宋体" w:cs="宋体"/>
      <w:color w:val="000000"/>
      <w:sz w:val="18"/>
      <w:szCs w:val="18"/>
      <w:u w:val="none"/>
    </w:rPr>
  </w:style>
  <w:style w:type="character" w:customStyle="1" w:styleId="192">
    <w:name w:val="无间隔 字符"/>
    <w:link w:val="193"/>
    <w:qFormat/>
    <w:uiPriority w:val="0"/>
    <w:rPr>
      <w:sz w:val="22"/>
      <w:szCs w:val="22"/>
      <w:lang w:val="en-US" w:eastAsia="en-US" w:bidi="ar-SA"/>
    </w:rPr>
  </w:style>
  <w:style w:type="paragraph" w:styleId="193">
    <w:name w:val="No Spacing"/>
    <w:link w:val="192"/>
    <w:qFormat/>
    <w:uiPriority w:val="0"/>
    <w:rPr>
      <w:rFonts w:ascii="Times New Roman" w:hAnsi="Times New Roman" w:eastAsia="宋体" w:cs="Times New Roman"/>
      <w:sz w:val="22"/>
      <w:szCs w:val="22"/>
      <w:lang w:val="en-US" w:eastAsia="en-US" w:bidi="ar-SA"/>
    </w:rPr>
  </w:style>
  <w:style w:type="character" w:customStyle="1" w:styleId="194">
    <w:name w:val="Char Char1"/>
    <w:qFormat/>
    <w:uiPriority w:val="0"/>
    <w:rPr>
      <w:kern w:val="2"/>
      <w:sz w:val="21"/>
      <w:szCs w:val="21"/>
    </w:rPr>
  </w:style>
  <w:style w:type="character" w:customStyle="1" w:styleId="195">
    <w:name w:val="font2"/>
    <w:qFormat/>
    <w:uiPriority w:val="0"/>
    <w:rPr>
      <w:rFonts w:hint="default" w:ascii="Arial" w:hAnsi="Arial" w:cs="Arial"/>
      <w:color w:val="333333"/>
      <w:spacing w:val="0"/>
      <w:sz w:val="18"/>
      <w:szCs w:val="18"/>
    </w:rPr>
  </w:style>
  <w:style w:type="character" w:customStyle="1" w:styleId="196">
    <w:name w:val="text11"/>
    <w:qFormat/>
    <w:uiPriority w:val="0"/>
    <w:rPr>
      <w:rFonts w:hint="default" w:ascii="Verdana" w:hAnsi="Verdana"/>
      <w:color w:val="4E4E4E"/>
      <w:sz w:val="18"/>
      <w:szCs w:val="18"/>
    </w:rPr>
  </w:style>
  <w:style w:type="character" w:customStyle="1" w:styleId="197">
    <w:name w:val="UH正文 Char Char"/>
    <w:link w:val="198"/>
    <w:qFormat/>
    <w:uiPriority w:val="0"/>
    <w:rPr>
      <w:rFonts w:ascii="Arial" w:hAnsi="Arial"/>
      <w:sz w:val="24"/>
      <w:szCs w:val="21"/>
      <w:lang w:val="en-US" w:eastAsia="zh-CN" w:bidi="ar-SA"/>
    </w:rPr>
  </w:style>
  <w:style w:type="paragraph" w:customStyle="1" w:styleId="198">
    <w:name w:val="UH正文"/>
    <w:link w:val="197"/>
    <w:qFormat/>
    <w:uiPriority w:val="0"/>
    <w:pPr>
      <w:spacing w:line="360" w:lineRule="auto"/>
      <w:ind w:firstLine="200" w:firstLineChars="200"/>
    </w:pPr>
    <w:rPr>
      <w:rFonts w:ascii="Arial" w:hAnsi="Arial" w:eastAsia="宋体" w:cs="Times New Roman"/>
      <w:sz w:val="24"/>
      <w:szCs w:val="21"/>
      <w:lang w:val="en-US" w:eastAsia="zh-CN" w:bidi="ar-SA"/>
    </w:rPr>
  </w:style>
  <w:style w:type="character" w:customStyle="1" w:styleId="199">
    <w:name w:val="newsitemtitle1"/>
    <w:qFormat/>
    <w:uiPriority w:val="0"/>
    <w:rPr>
      <w:b/>
      <w:bCs/>
      <w:color w:val="0000CD"/>
      <w:sz w:val="28"/>
      <w:szCs w:val="28"/>
    </w:rPr>
  </w:style>
  <w:style w:type="character" w:customStyle="1" w:styleId="200">
    <w:name w:val="concon2007"/>
    <w:qFormat/>
    <w:uiPriority w:val="0"/>
  </w:style>
  <w:style w:type="character" w:customStyle="1" w:styleId="201">
    <w:name w:val="NormalCharacter"/>
    <w:qFormat/>
    <w:uiPriority w:val="0"/>
    <w:rPr>
      <w:kern w:val="2"/>
      <w:sz w:val="21"/>
      <w:szCs w:val="24"/>
      <w:lang w:val="en-US" w:eastAsia="zh-CN" w:bidi="ar-SA"/>
    </w:rPr>
  </w:style>
  <w:style w:type="character" w:customStyle="1" w:styleId="202">
    <w:name w:val="font3"/>
    <w:qFormat/>
    <w:uiPriority w:val="0"/>
  </w:style>
  <w:style w:type="character" w:customStyle="1" w:styleId="203">
    <w:name w:val="font61"/>
    <w:qFormat/>
    <w:uiPriority w:val="0"/>
    <w:rPr>
      <w:rFonts w:hint="default" w:ascii="Times New Roman" w:hAnsi="Times New Roman" w:cs="Times New Roman"/>
      <w:color w:val="000000"/>
      <w:sz w:val="20"/>
      <w:szCs w:val="20"/>
      <w:u w:val="none"/>
    </w:rPr>
  </w:style>
  <w:style w:type="character" w:customStyle="1" w:styleId="204">
    <w:name w:val="H1 Char"/>
    <w:qFormat/>
    <w:uiPriority w:val="0"/>
    <w:rPr>
      <w:rFonts w:eastAsia="宋体"/>
      <w:b/>
      <w:bCs/>
      <w:kern w:val="44"/>
      <w:sz w:val="44"/>
      <w:szCs w:val="44"/>
      <w:lang w:val="en-US" w:eastAsia="zh-CN" w:bidi="ar-SA"/>
    </w:rPr>
  </w:style>
  <w:style w:type="character" w:customStyle="1" w:styleId="205">
    <w:name w:val="style31"/>
    <w:qFormat/>
    <w:uiPriority w:val="0"/>
    <w:rPr>
      <w:color w:val="4B4B4B"/>
    </w:rPr>
  </w:style>
  <w:style w:type="character" w:customStyle="1" w:styleId="206">
    <w:name w:val="标题 2 Char2"/>
    <w:qFormat/>
    <w:uiPriority w:val="0"/>
    <w:rPr>
      <w:rFonts w:ascii="Arial" w:hAnsi="Arial" w:eastAsia="宋体"/>
      <w:b/>
      <w:bCs/>
      <w:kern w:val="2"/>
      <w:sz w:val="28"/>
      <w:szCs w:val="32"/>
      <w:lang w:val="en-US" w:eastAsia="zh-CN" w:bidi="ar-SA"/>
    </w:rPr>
  </w:style>
  <w:style w:type="character" w:customStyle="1" w:styleId="207">
    <w:name w:val="font421"/>
    <w:qFormat/>
    <w:uiPriority w:val="0"/>
    <w:rPr>
      <w:rFonts w:hint="default" w:ascii="Arial" w:hAnsi="Arial" w:cs="Arial"/>
      <w:color w:val="000000"/>
      <w:sz w:val="18"/>
      <w:szCs w:val="18"/>
      <w:u w:val="none"/>
    </w:rPr>
  </w:style>
  <w:style w:type="character" w:customStyle="1" w:styleId="208">
    <w:name w:val="普通文字 Char Char1"/>
    <w:qFormat/>
    <w:uiPriority w:val="0"/>
    <w:rPr>
      <w:rFonts w:ascii="宋体" w:hAnsi="Courier New" w:eastAsia="宋体"/>
      <w:kern w:val="2"/>
      <w:sz w:val="24"/>
      <w:szCs w:val="24"/>
      <w:lang w:val="en-US" w:eastAsia="zh-CN" w:bidi="ar-SA"/>
    </w:rPr>
  </w:style>
  <w:style w:type="character" w:customStyle="1" w:styleId="209">
    <w:name w:val="unnamed11"/>
    <w:qFormat/>
    <w:uiPriority w:val="0"/>
    <w:rPr>
      <w:sz w:val="20"/>
      <w:szCs w:val="20"/>
    </w:rPr>
  </w:style>
  <w:style w:type="character" w:customStyle="1" w:styleId="210">
    <w:name w:val="font112"/>
    <w:qFormat/>
    <w:uiPriority w:val="0"/>
    <w:rPr>
      <w:rFonts w:hint="default" w:ascii="Times New Roman" w:hAnsi="Times New Roman" w:cs="Times New Roman"/>
      <w:color w:val="000000"/>
      <w:sz w:val="18"/>
      <w:szCs w:val="18"/>
      <w:u w:val="none"/>
    </w:rPr>
  </w:style>
  <w:style w:type="character" w:customStyle="1" w:styleId="211">
    <w:name w:val="tw4winPopup"/>
    <w:qFormat/>
    <w:uiPriority w:val="0"/>
    <w:rPr>
      <w:rFonts w:ascii="Courier New" w:hAnsi="Courier New"/>
      <w:color w:val="008000"/>
    </w:rPr>
  </w:style>
  <w:style w:type="character" w:customStyle="1" w:styleId="212">
    <w:name w:val="1111 字符"/>
    <w:link w:val="213"/>
    <w:qFormat/>
    <w:uiPriority w:val="0"/>
    <w:rPr>
      <w:rFonts w:ascii="宋体" w:hAnsi="宋体"/>
      <w:kern w:val="2"/>
      <w:sz w:val="21"/>
      <w:szCs w:val="21"/>
    </w:rPr>
  </w:style>
  <w:style w:type="paragraph" w:customStyle="1" w:styleId="213">
    <w:name w:val="1111"/>
    <w:basedOn w:val="214"/>
    <w:link w:val="212"/>
    <w:qFormat/>
    <w:uiPriority w:val="0"/>
    <w:pPr>
      <w:adjustRightInd w:val="0"/>
      <w:snapToGrid w:val="0"/>
      <w:spacing w:line="276" w:lineRule="auto"/>
      <w:ind w:firstLine="0" w:firstLineChars="0"/>
    </w:pPr>
    <w:rPr>
      <w:rFonts w:ascii="宋体" w:hAnsi="宋体"/>
      <w:szCs w:val="21"/>
    </w:rPr>
  </w:style>
  <w:style w:type="paragraph" w:customStyle="1" w:styleId="214">
    <w:name w:val="列表段落1"/>
    <w:basedOn w:val="1"/>
    <w:link w:val="215"/>
    <w:qFormat/>
    <w:uiPriority w:val="0"/>
    <w:pPr>
      <w:ind w:firstLine="420" w:firstLineChars="200"/>
    </w:pPr>
    <w:rPr>
      <w:rFonts w:ascii="Calibri" w:hAnsi="Calibri"/>
    </w:rPr>
  </w:style>
  <w:style w:type="character" w:customStyle="1" w:styleId="215">
    <w:name w:val="列表段落1 字符"/>
    <w:link w:val="214"/>
    <w:qFormat/>
    <w:uiPriority w:val="0"/>
    <w:rPr>
      <w:rFonts w:ascii="Calibri" w:hAnsi="Calibri"/>
      <w:kern w:val="2"/>
      <w:sz w:val="21"/>
      <w:szCs w:val="24"/>
    </w:rPr>
  </w:style>
  <w:style w:type="character" w:customStyle="1" w:styleId="216">
    <w:name w:val="zbggmain style9"/>
    <w:qFormat/>
    <w:uiPriority w:val="0"/>
  </w:style>
  <w:style w:type="character" w:customStyle="1" w:styleId="217">
    <w:name w:val="style101"/>
    <w:qFormat/>
    <w:uiPriority w:val="0"/>
    <w:rPr>
      <w:color w:val="FFFFFF"/>
    </w:rPr>
  </w:style>
  <w:style w:type="character" w:customStyle="1" w:styleId="218">
    <w:name w:val="font191"/>
    <w:qFormat/>
    <w:uiPriority w:val="0"/>
    <w:rPr>
      <w:rFonts w:hint="default" w:ascii="Arial" w:hAnsi="Arial" w:cs="Arial"/>
      <w:color w:val="000000"/>
      <w:sz w:val="18"/>
      <w:szCs w:val="18"/>
      <w:u w:val="none"/>
    </w:rPr>
  </w:style>
  <w:style w:type="character" w:customStyle="1" w:styleId="219">
    <w:name w:val="font91"/>
    <w:qFormat/>
    <w:uiPriority w:val="0"/>
    <w:rPr>
      <w:rFonts w:hint="default" w:ascii="Times New Roman" w:hAnsi="Times New Roman" w:cs="Times New Roman"/>
      <w:color w:val="000000"/>
      <w:sz w:val="18"/>
      <w:szCs w:val="18"/>
      <w:u w:val="none"/>
    </w:rPr>
  </w:style>
  <w:style w:type="character" w:customStyle="1" w:styleId="220">
    <w:name w:val="正文缩进 Char1"/>
    <w:qFormat/>
    <w:uiPriority w:val="0"/>
    <w:rPr>
      <w:rFonts w:eastAsia="宋体"/>
      <w:kern w:val="2"/>
      <w:sz w:val="21"/>
      <w:szCs w:val="24"/>
      <w:lang w:val="en-US" w:eastAsia="zh-CN" w:bidi="ar-SA"/>
    </w:rPr>
  </w:style>
  <w:style w:type="character" w:customStyle="1" w:styleId="221">
    <w:name w:val="font301"/>
    <w:qFormat/>
    <w:uiPriority w:val="0"/>
    <w:rPr>
      <w:rFonts w:hint="default" w:ascii="Arial" w:hAnsi="Arial" w:cs="Arial"/>
      <w:color w:val="000000"/>
      <w:sz w:val="18"/>
      <w:szCs w:val="18"/>
      <w:u w:val="none"/>
    </w:rPr>
  </w:style>
  <w:style w:type="character" w:customStyle="1" w:styleId="222">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223">
    <w:name w:val="样式 正文缩进 + 首行缩进:  2 字符 Char Char"/>
    <w:link w:val="224"/>
    <w:qFormat/>
    <w:uiPriority w:val="0"/>
    <w:rPr>
      <w:rFonts w:eastAsia="宋体"/>
      <w:kern w:val="2"/>
      <w:sz w:val="24"/>
      <w:lang w:bidi="ar-SA"/>
    </w:rPr>
  </w:style>
  <w:style w:type="paragraph" w:customStyle="1" w:styleId="224">
    <w:name w:val="样式 正文缩进 + 首行缩进:  2 字符"/>
    <w:basedOn w:val="13"/>
    <w:link w:val="223"/>
    <w:qFormat/>
    <w:uiPriority w:val="0"/>
    <w:pPr>
      <w:spacing w:line="360" w:lineRule="auto"/>
      <w:ind w:firstLine="200" w:firstLineChars="200"/>
    </w:pPr>
    <w:rPr>
      <w:sz w:val="24"/>
    </w:rPr>
  </w:style>
  <w:style w:type="character" w:customStyle="1" w:styleId="225">
    <w:name w:val="tw4winExternal"/>
    <w:qFormat/>
    <w:uiPriority w:val="0"/>
    <w:rPr>
      <w:rFonts w:ascii="Courier New" w:hAnsi="Courier New"/>
      <w:color w:val="808080"/>
    </w:rPr>
  </w:style>
  <w:style w:type="character" w:customStyle="1" w:styleId="226">
    <w:name w:val="发布"/>
    <w:qFormat/>
    <w:uiPriority w:val="0"/>
    <w:rPr>
      <w:rFonts w:ascii="黑体" w:eastAsia="黑体"/>
      <w:spacing w:val="22"/>
      <w:w w:val="100"/>
      <w:position w:val="3"/>
      <w:sz w:val="28"/>
    </w:rPr>
  </w:style>
  <w:style w:type="character" w:customStyle="1" w:styleId="227">
    <w:name w:val="font141"/>
    <w:qFormat/>
    <w:uiPriority w:val="0"/>
    <w:rPr>
      <w:rFonts w:hint="eastAsia" w:ascii="宋体" w:hAnsi="宋体" w:eastAsia="宋体" w:cs="宋体"/>
      <w:color w:val="000000"/>
      <w:sz w:val="18"/>
      <w:szCs w:val="18"/>
      <w:u w:val="none"/>
    </w:rPr>
  </w:style>
  <w:style w:type="character" w:customStyle="1" w:styleId="228">
    <w:name w:val="font131"/>
    <w:qFormat/>
    <w:uiPriority w:val="0"/>
    <w:rPr>
      <w:rFonts w:hint="eastAsia" w:ascii="宋体" w:hAnsi="宋体" w:eastAsia="宋体" w:cs="宋体"/>
      <w:color w:val="000000"/>
      <w:sz w:val="18"/>
      <w:szCs w:val="18"/>
      <w:u w:val="none"/>
    </w:rPr>
  </w:style>
  <w:style w:type="character" w:customStyle="1" w:styleId="229">
    <w:name w:val="arial111"/>
    <w:qFormat/>
    <w:uiPriority w:val="0"/>
    <w:rPr>
      <w:rFonts w:hint="default" w:ascii="Arial" w:hAnsi="Arial" w:cs="Arial"/>
      <w:sz w:val="17"/>
      <w:szCs w:val="17"/>
    </w:rPr>
  </w:style>
  <w:style w:type="character" w:customStyle="1" w:styleId="230">
    <w:name w:val="段落 Char Char"/>
    <w:link w:val="231"/>
    <w:qFormat/>
    <w:uiPriority w:val="0"/>
    <w:rPr>
      <w:rFonts w:eastAsia="仿宋_GB2312"/>
      <w:kern w:val="2"/>
      <w:sz w:val="24"/>
      <w:szCs w:val="22"/>
      <w:lang w:val="en-US" w:eastAsia="zh-CN" w:bidi="ar-SA"/>
    </w:rPr>
  </w:style>
  <w:style w:type="paragraph" w:customStyle="1" w:styleId="231">
    <w:name w:val="段落"/>
    <w:link w:val="230"/>
    <w:qFormat/>
    <w:uiPriority w:val="0"/>
    <w:pPr>
      <w:adjustRightInd w:val="0"/>
      <w:snapToGrid w:val="0"/>
      <w:spacing w:before="120" w:after="120" w:line="360" w:lineRule="auto"/>
      <w:ind w:firstLine="480" w:firstLineChars="200"/>
      <w:jc w:val="both"/>
    </w:pPr>
    <w:rPr>
      <w:rFonts w:ascii="Times New Roman" w:hAnsi="Times New Roman" w:eastAsia="仿宋_GB2312" w:cs="Times New Roman"/>
      <w:kern w:val="2"/>
      <w:sz w:val="24"/>
      <w:szCs w:val="22"/>
      <w:lang w:val="en-US" w:eastAsia="zh-CN" w:bidi="ar-SA"/>
    </w:rPr>
  </w:style>
  <w:style w:type="character" w:customStyle="1" w:styleId="232">
    <w:name w:val="15"/>
    <w:qFormat/>
    <w:uiPriority w:val="0"/>
    <w:rPr>
      <w:rFonts w:hint="default" w:ascii="Times New Roman" w:hAnsi="Times New Roman" w:cs="Times New Roman"/>
      <w:color w:val="000000"/>
      <w:sz w:val="18"/>
      <w:szCs w:val="18"/>
    </w:rPr>
  </w:style>
  <w:style w:type="character" w:customStyle="1" w:styleId="233">
    <w:name w:val="tw4winInternal"/>
    <w:qFormat/>
    <w:uiPriority w:val="0"/>
    <w:rPr>
      <w:rFonts w:ascii="Courier New" w:hAnsi="Courier New"/>
      <w:color w:val="FF0000"/>
    </w:rPr>
  </w:style>
  <w:style w:type="character" w:customStyle="1" w:styleId="234">
    <w:name w:val="标题 3 Char Char"/>
    <w:qFormat/>
    <w:uiPriority w:val="0"/>
    <w:rPr>
      <w:rFonts w:eastAsia="宋体"/>
      <w:b/>
      <w:kern w:val="2"/>
      <w:sz w:val="32"/>
      <w:lang w:val="en-US" w:eastAsia="zh-CN"/>
    </w:rPr>
  </w:style>
  <w:style w:type="character" w:customStyle="1" w:styleId="235">
    <w:name w:val="font341"/>
    <w:qFormat/>
    <w:uiPriority w:val="0"/>
    <w:rPr>
      <w:rFonts w:hint="default" w:ascii="Arial" w:hAnsi="Arial" w:cs="Arial"/>
      <w:color w:val="000000"/>
      <w:sz w:val="18"/>
      <w:szCs w:val="18"/>
      <w:u w:val="none"/>
    </w:rPr>
  </w:style>
  <w:style w:type="character" w:customStyle="1" w:styleId="236">
    <w:name w:val="Char Char36"/>
    <w:qFormat/>
    <w:uiPriority w:val="0"/>
    <w:rPr>
      <w:rFonts w:ascii="Arial" w:hAnsi="Arial" w:eastAsia="黑体"/>
      <w:b/>
      <w:bCs/>
      <w:kern w:val="2"/>
      <w:sz w:val="32"/>
      <w:szCs w:val="32"/>
    </w:rPr>
  </w:style>
  <w:style w:type="character" w:customStyle="1" w:styleId="237">
    <w:name w:val="16"/>
    <w:qFormat/>
    <w:uiPriority w:val="0"/>
    <w:rPr>
      <w:rFonts w:hint="eastAsia" w:ascii="宋体" w:hAnsi="宋体" w:eastAsia="宋体"/>
      <w:color w:val="000000"/>
      <w:sz w:val="20"/>
      <w:szCs w:val="20"/>
    </w:rPr>
  </w:style>
  <w:style w:type="character" w:customStyle="1" w:styleId="238">
    <w:name w:val="paramlista1"/>
    <w:qFormat/>
    <w:uiPriority w:val="0"/>
    <w:rPr>
      <w:sz w:val="18"/>
      <w:szCs w:val="18"/>
    </w:rPr>
  </w:style>
  <w:style w:type="character" w:customStyle="1" w:styleId="239">
    <w:name w:val="font101"/>
    <w:qFormat/>
    <w:uiPriority w:val="0"/>
    <w:rPr>
      <w:rFonts w:hint="eastAsia" w:ascii="宋体" w:hAnsi="宋体" w:eastAsia="宋体" w:cs="宋体"/>
      <w:color w:val="000000"/>
      <w:sz w:val="20"/>
      <w:szCs w:val="20"/>
      <w:u w:val="none"/>
    </w:rPr>
  </w:style>
  <w:style w:type="character" w:customStyle="1" w:styleId="240">
    <w:name w:val="纯文本[858D7CFB-ED40-4347-BF05-701D383B685F]"/>
    <w:qFormat/>
    <w:uiPriority w:val="0"/>
    <w:rPr>
      <w:rFonts w:ascii="宋体" w:hAnsi="Courier New"/>
      <w:szCs w:val="20"/>
    </w:rPr>
  </w:style>
  <w:style w:type="character" w:customStyle="1" w:styleId="241">
    <w:name w:val="tw4winTerm"/>
    <w:qFormat/>
    <w:uiPriority w:val="0"/>
    <w:rPr>
      <w:color w:val="0000FF"/>
    </w:rPr>
  </w:style>
  <w:style w:type="character" w:customStyle="1" w:styleId="242">
    <w:name w:val="font21"/>
    <w:qFormat/>
    <w:uiPriority w:val="0"/>
    <w:rPr>
      <w:rFonts w:hint="eastAsia" w:ascii="宋体" w:hAnsi="宋体" w:eastAsia="宋体" w:cs="宋体"/>
      <w:color w:val="000000"/>
      <w:sz w:val="18"/>
      <w:szCs w:val="18"/>
      <w:u w:val="none"/>
    </w:rPr>
  </w:style>
  <w:style w:type="paragraph" w:customStyle="1" w:styleId="243">
    <w:name w:val="Plain Text1"/>
    <w:basedOn w:val="1"/>
    <w:qFormat/>
    <w:uiPriority w:val="0"/>
    <w:pPr>
      <w:autoSpaceDE w:val="0"/>
      <w:autoSpaceDN w:val="0"/>
      <w:adjustRightInd w:val="0"/>
      <w:spacing w:line="360" w:lineRule="auto"/>
    </w:pPr>
    <w:rPr>
      <w:rFonts w:hint="eastAsia" w:ascii="宋体" w:hAnsi="宋体"/>
      <w:sz w:val="24"/>
      <w:szCs w:val="20"/>
    </w:rPr>
  </w:style>
  <w:style w:type="paragraph" w:customStyle="1" w:styleId="244">
    <w:name w:val="表格标题"/>
    <w:basedOn w:val="245"/>
    <w:qFormat/>
    <w:uiPriority w:val="0"/>
    <w:pPr>
      <w:jc w:val="center"/>
    </w:pPr>
    <w:rPr>
      <w:b/>
      <w:bCs/>
      <w:i/>
      <w:iCs/>
    </w:rPr>
  </w:style>
  <w:style w:type="paragraph" w:customStyle="1" w:styleId="245">
    <w:name w:val="表格内容"/>
    <w:basedOn w:val="21"/>
    <w:qFormat/>
    <w:uiPriority w:val="0"/>
    <w:pPr>
      <w:suppressLineNumbers/>
      <w:suppressAutoHyphens/>
    </w:pPr>
    <w:rPr>
      <w:kern w:val="1"/>
      <w:lang w:eastAsia="ar-SA"/>
    </w:rPr>
  </w:style>
  <w:style w:type="paragraph" w:customStyle="1" w:styleId="246">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47">
    <w:name w:val="Char3 Char Char Char"/>
    <w:basedOn w:val="1"/>
    <w:qFormat/>
    <w:uiPriority w:val="0"/>
    <w:pPr>
      <w:tabs>
        <w:tab w:val="left" w:pos="1440"/>
      </w:tabs>
      <w:ind w:left="1440" w:hanging="1275"/>
    </w:pPr>
    <w:rPr>
      <w:sz w:val="24"/>
    </w:rPr>
  </w:style>
  <w:style w:type="paragraph" w:customStyle="1" w:styleId="248">
    <w:name w:val="文献分类号"/>
    <w:qFormat/>
    <w:uiPriority w:val="0"/>
    <w:pPr>
      <w:widowControl w:val="0"/>
      <w:textAlignment w:val="center"/>
    </w:pPr>
    <w:rPr>
      <w:rFonts w:ascii="宋体" w:hAnsi="宋体" w:eastAsia="黑体" w:cs="Times New Roman"/>
      <w:kern w:val="2"/>
      <w:sz w:val="21"/>
      <w:szCs w:val="24"/>
      <w:lang w:val="en-US" w:eastAsia="zh-CN" w:bidi="ar-SA"/>
    </w:rPr>
  </w:style>
  <w:style w:type="paragraph" w:customStyle="1" w:styleId="249">
    <w:name w:val="font16"/>
    <w:basedOn w:val="1"/>
    <w:qFormat/>
    <w:uiPriority w:val="0"/>
    <w:pPr>
      <w:widowControl/>
      <w:spacing w:before="100" w:beforeAutospacing="1" w:after="100" w:afterAutospacing="1"/>
      <w:jc w:val="left"/>
    </w:pPr>
    <w:rPr>
      <w:color w:val="000000"/>
      <w:kern w:val="0"/>
      <w:sz w:val="18"/>
      <w:szCs w:val="18"/>
    </w:rPr>
  </w:style>
  <w:style w:type="paragraph" w:customStyle="1" w:styleId="250">
    <w:name w:val="BH-03"/>
    <w:basedOn w:val="1"/>
    <w:next w:val="1"/>
    <w:qFormat/>
    <w:uiPriority w:val="0"/>
    <w:pPr>
      <w:spacing w:line="360" w:lineRule="auto"/>
      <w:outlineLvl w:val="2"/>
    </w:pPr>
    <w:rPr>
      <w:rFonts w:ascii="Arial" w:hAnsi="Arial"/>
      <w:b/>
      <w:szCs w:val="21"/>
    </w:rPr>
  </w:style>
  <w:style w:type="paragraph" w:customStyle="1" w:styleId="251">
    <w:name w:val="TOC 标题1"/>
    <w:basedOn w:val="2"/>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252">
    <w:name w:val="沈标题四"/>
    <w:basedOn w:val="5"/>
    <w:next w:val="1"/>
    <w:qFormat/>
    <w:uiPriority w:val="0"/>
    <w:pPr>
      <w:keepNext w:val="0"/>
      <w:keepLines w:val="0"/>
      <w:spacing w:line="377" w:lineRule="auto"/>
    </w:pPr>
    <w:rPr>
      <w:rFonts w:ascii="Arial Narrow" w:hAnsi="Arial Narrow" w:eastAsia="方正姚体"/>
      <w:b w:val="0"/>
      <w:sz w:val="24"/>
      <w:szCs w:val="24"/>
    </w:rPr>
  </w:style>
  <w:style w:type="paragraph" w:customStyle="1" w:styleId="253">
    <w:name w:val="Char1 Char Char Char Char Char Char Char Char1 Char Char"/>
    <w:basedOn w:val="1"/>
    <w:qFormat/>
    <w:uiPriority w:val="0"/>
    <w:rPr>
      <w:b/>
      <w:bCs/>
      <w:sz w:val="36"/>
      <w:szCs w:val="32"/>
    </w:rPr>
  </w:style>
  <w:style w:type="paragraph" w:customStyle="1" w:styleId="254">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255">
    <w:name w:val="样式 左侧:  1 厘米 段后: 0.5 行"/>
    <w:basedOn w:val="1"/>
    <w:qFormat/>
    <w:uiPriority w:val="0"/>
    <w:pPr>
      <w:spacing w:after="156" w:afterLines="50"/>
      <w:ind w:firstLine="425"/>
      <w:jc w:val="left"/>
    </w:pPr>
    <w:rPr>
      <w:rFonts w:ascii="宋体" w:cs="宋体"/>
      <w:snapToGrid w:val="0"/>
      <w:kern w:val="0"/>
      <w:szCs w:val="20"/>
    </w:rPr>
  </w:style>
  <w:style w:type="paragraph" w:customStyle="1" w:styleId="256">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57">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58">
    <w:name w:val="features1"/>
    <w:basedOn w:val="1"/>
    <w:qFormat/>
    <w:uiPriority w:val="0"/>
    <w:pPr>
      <w:widowControl/>
      <w:spacing w:before="100" w:beforeAutospacing="1" w:after="100" w:afterAutospacing="1" w:line="400" w:lineRule="exact"/>
      <w:jc w:val="left"/>
    </w:pPr>
    <w:rPr>
      <w:rFonts w:ascii="宋体" w:hAnsi="宋体" w:cs="宋体"/>
      <w:b/>
      <w:bCs/>
      <w:kern w:val="0"/>
      <w:sz w:val="18"/>
      <w:szCs w:val="18"/>
    </w:rPr>
  </w:style>
  <w:style w:type="paragraph" w:customStyle="1" w:styleId="259">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60">
    <w:name w:val="features"/>
    <w:basedOn w:val="1"/>
    <w:qFormat/>
    <w:uiPriority w:val="0"/>
    <w:pPr>
      <w:widowControl/>
      <w:spacing w:before="100" w:beforeAutospacing="1" w:after="100" w:afterAutospacing="1" w:line="400" w:lineRule="exact"/>
      <w:jc w:val="left"/>
    </w:pPr>
    <w:rPr>
      <w:rFonts w:ascii="宋体" w:hAnsi="宋体" w:cs="宋体"/>
      <w:kern w:val="0"/>
      <w:sz w:val="24"/>
    </w:rPr>
  </w:style>
  <w:style w:type="paragraph" w:customStyle="1" w:styleId="26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62">
    <w:name w:val="样式 标题 4 + 非加粗"/>
    <w:basedOn w:val="5"/>
    <w:qFormat/>
    <w:uiPriority w:val="0"/>
    <w:pPr>
      <w:spacing w:before="120" w:after="120" w:line="500" w:lineRule="exact"/>
    </w:pPr>
    <w:rPr>
      <w:rFonts w:eastAsia="宋体"/>
      <w:bCs w:val="0"/>
      <w:spacing w:val="4"/>
      <w:sz w:val="24"/>
      <w:szCs w:val="24"/>
    </w:rPr>
  </w:style>
  <w:style w:type="paragraph" w:customStyle="1" w:styleId="263">
    <w:name w:val="默认段落字体 Para Char Char Char Char Char Char Char"/>
    <w:basedOn w:val="1"/>
    <w:qFormat/>
    <w:uiPriority w:val="0"/>
    <w:pPr>
      <w:spacing w:line="360" w:lineRule="auto"/>
      <w:ind w:firstLine="200" w:firstLineChars="200"/>
    </w:pPr>
    <w:rPr>
      <w:rFonts w:ascii="Tahoma" w:hAnsi="Tahoma"/>
      <w:sz w:val="24"/>
    </w:rPr>
  </w:style>
  <w:style w:type="paragraph" w:customStyle="1" w:styleId="264">
    <w:name w:val="Table Paragraph"/>
    <w:basedOn w:val="1"/>
    <w:qFormat/>
    <w:uiPriority w:val="0"/>
  </w:style>
  <w:style w:type="paragraph" w:customStyle="1" w:styleId="265">
    <w:name w:val="Char Char Char Char1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266">
    <w:name w:val="标题1"/>
    <w:basedOn w:val="30"/>
    <w:qFormat/>
    <w:uiPriority w:val="0"/>
    <w:pPr>
      <w:spacing w:line="360" w:lineRule="auto"/>
    </w:pPr>
    <w:rPr>
      <w:b/>
      <w:sz w:val="30"/>
      <w:szCs w:val="20"/>
    </w:rPr>
  </w:style>
  <w:style w:type="paragraph" w:customStyle="1" w:styleId="267">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Arial Unicode MS" w:eastAsia="Times New Roman" w:cs="Times New Roman"/>
      <w:color w:val="000000"/>
      <w:kern w:val="2"/>
      <w:sz w:val="21"/>
      <w:szCs w:val="21"/>
      <w:lang w:val="en-US" w:eastAsia="zh-CN" w:bidi="ar-SA"/>
    </w:rPr>
  </w:style>
  <w:style w:type="paragraph" w:customStyle="1" w:styleId="268">
    <w:name w:val="样式 正文文本缩进 + 仿宋_GB2312 小四 首行缩进:  0 厘米 行距: 1.5 倍行距"/>
    <w:basedOn w:val="23"/>
    <w:qFormat/>
    <w:uiPriority w:val="0"/>
    <w:pPr>
      <w:spacing w:line="360" w:lineRule="auto"/>
      <w:ind w:firstLine="0"/>
    </w:pPr>
    <w:rPr>
      <w:rFonts w:ascii="仿宋_GB2312" w:hAnsi="Times New Roman" w:eastAsia="新宋体"/>
      <w:spacing w:val="0"/>
      <w:sz w:val="24"/>
    </w:rPr>
  </w:style>
  <w:style w:type="paragraph" w:customStyle="1" w:styleId="269">
    <w:name w:val="封面标准代替信息"/>
    <w:basedOn w:val="270"/>
    <w:qFormat/>
    <w:uiPriority w:val="0"/>
    <w:pPr>
      <w:spacing w:before="57"/>
    </w:pPr>
    <w:rPr>
      <w:sz w:val="21"/>
    </w:rPr>
  </w:style>
  <w:style w:type="paragraph" w:customStyle="1" w:styleId="270">
    <w:name w:val="封面标准号2"/>
    <w:basedOn w:val="271"/>
    <w:qFormat/>
    <w:uiPriority w:val="0"/>
    <w:pPr>
      <w:adjustRightInd w:val="0"/>
      <w:spacing w:before="357" w:line="280" w:lineRule="exact"/>
    </w:pPr>
  </w:style>
  <w:style w:type="paragraph" w:customStyle="1" w:styleId="271">
    <w:name w:val="封面标准号1"/>
    <w:qFormat/>
    <w:uiPriority w:val="0"/>
    <w:pPr>
      <w:widowControl w:val="0"/>
      <w:kinsoku w:val="0"/>
      <w:overflowPunct w:val="0"/>
      <w:autoSpaceDE w:val="0"/>
      <w:autoSpaceDN w:val="0"/>
      <w:spacing w:before="308"/>
      <w:jc w:val="right"/>
      <w:textAlignment w:val="center"/>
    </w:pPr>
    <w:rPr>
      <w:rFonts w:ascii="宋体" w:hAnsi="宋体" w:eastAsia="宋体" w:cs="Times New Roman"/>
      <w:kern w:val="2"/>
      <w:sz w:val="28"/>
      <w:szCs w:val="24"/>
      <w:lang w:val="en-US" w:eastAsia="zh-CN" w:bidi="ar-SA"/>
    </w:rPr>
  </w:style>
  <w:style w:type="paragraph" w:customStyle="1" w:styleId="272">
    <w:name w:val="三级无标题条"/>
    <w:basedOn w:val="1"/>
    <w:qFormat/>
    <w:uiPriority w:val="0"/>
    <w:rPr>
      <w:rFonts w:ascii="宋体" w:hAnsi="宋体"/>
    </w:rPr>
  </w:style>
  <w:style w:type="paragraph" w:customStyle="1" w:styleId="273">
    <w:name w:val="Blockquote"/>
    <w:basedOn w:val="1"/>
    <w:qFormat/>
    <w:uiPriority w:val="0"/>
    <w:pPr>
      <w:widowControl/>
      <w:spacing w:before="100" w:after="156" w:afterLines="50"/>
      <w:ind w:left="360" w:right="360"/>
      <w:jc w:val="left"/>
    </w:pPr>
    <w:rPr>
      <w:rFonts w:ascii="宋体"/>
      <w:snapToGrid w:val="0"/>
      <w:kern w:val="0"/>
      <w:sz w:val="24"/>
      <w:szCs w:val="20"/>
      <w:lang w:val="en-CA"/>
    </w:rPr>
  </w:style>
  <w:style w:type="paragraph" w:customStyle="1" w:styleId="274">
    <w:name w:val="样式 标题 3Chapter X.X.X. + 段后: 0.5 行1"/>
    <w:basedOn w:val="4"/>
    <w:next w:val="1"/>
    <w:qFormat/>
    <w:uiPriority w:val="0"/>
    <w:pPr>
      <w:keepLines w:val="0"/>
      <w:autoSpaceDE/>
      <w:autoSpaceDN/>
      <w:adjustRightInd/>
      <w:spacing w:before="120" w:after="156" w:afterLines="50"/>
    </w:pPr>
    <w:rPr>
      <w:rFonts w:cs="宋体"/>
      <w:bCs/>
      <w:snapToGrid w:val="0"/>
      <w:u w:val="none"/>
    </w:rPr>
  </w:style>
  <w:style w:type="paragraph" w:customStyle="1" w:styleId="275">
    <w:name w:val="xl11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276">
    <w:name w:val="标准标题1"/>
    <w:basedOn w:val="2"/>
    <w:qFormat/>
    <w:uiPriority w:val="0"/>
    <w:pPr>
      <w:pageBreakBefore/>
      <w:tabs>
        <w:tab w:val="left" w:pos="1080"/>
      </w:tabs>
      <w:ind w:left="425" w:hanging="425"/>
    </w:pPr>
    <w:rPr>
      <w:rFonts w:eastAsia="仿宋_GB2312"/>
      <w:sz w:val="32"/>
    </w:rPr>
  </w:style>
  <w:style w:type="paragraph" w:customStyle="1" w:styleId="277">
    <w:name w:val="Char Char Char Char Char Char Char Char Char Char Char Char"/>
    <w:basedOn w:val="1"/>
    <w:qFormat/>
    <w:uiPriority w:val="0"/>
    <w:rPr>
      <w:rFonts w:ascii="宋体" w:hAnsi="宋体"/>
      <w:szCs w:val="20"/>
    </w:rPr>
  </w:style>
  <w:style w:type="paragraph" w:customStyle="1" w:styleId="278">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279">
    <w:name w:val="表格标题(居中)"/>
    <w:basedOn w:val="1"/>
    <w:qFormat/>
    <w:uiPriority w:val="0"/>
    <w:pPr>
      <w:adjustRightInd w:val="0"/>
      <w:snapToGrid w:val="0"/>
      <w:spacing w:line="300" w:lineRule="auto"/>
      <w:ind w:firstLine="200" w:firstLineChars="200"/>
      <w:jc w:val="center"/>
    </w:pPr>
    <w:rPr>
      <w:rFonts w:eastAsia="黑体"/>
      <w:snapToGrid w:val="0"/>
      <w:color w:val="000000"/>
      <w:kern w:val="0"/>
      <w:sz w:val="24"/>
      <w:szCs w:val="20"/>
    </w:rPr>
  </w:style>
  <w:style w:type="paragraph" w:customStyle="1" w:styleId="280">
    <w:name w:val="Style-正文"/>
    <w:basedOn w:val="1"/>
    <w:qFormat/>
    <w:uiPriority w:val="0"/>
    <w:pPr>
      <w:spacing w:line="360" w:lineRule="auto"/>
      <w:ind w:firstLine="420"/>
    </w:pPr>
    <w:rPr>
      <w:rFonts w:ascii="宋体" w:hAnsi="宋体"/>
      <w:sz w:val="24"/>
    </w:rPr>
  </w:style>
  <w:style w:type="paragraph" w:customStyle="1" w:styleId="281">
    <w:name w:val="样式6"/>
    <w:basedOn w:val="1"/>
    <w:qFormat/>
    <w:uiPriority w:val="0"/>
    <w:pPr>
      <w:adjustRightInd w:val="0"/>
      <w:spacing w:before="156" w:beforeLines="50" w:after="156" w:afterLines="50"/>
      <w:ind w:firstLine="669"/>
      <w:textAlignment w:val="baseline"/>
    </w:pPr>
    <w:rPr>
      <w:rFonts w:ascii="宋体" w:hAnsi="宋体"/>
      <w:kern w:val="0"/>
      <w:sz w:val="28"/>
      <w:szCs w:val="20"/>
    </w:rPr>
  </w:style>
  <w:style w:type="paragraph" w:customStyle="1" w:styleId="282">
    <w:name w:val="样式 标题 2Chapter X.X. Statementh22Header 2l2Level 2 Headhea...1"/>
    <w:basedOn w:val="4"/>
    <w:qFormat/>
    <w:uiPriority w:val="0"/>
    <w:pPr>
      <w:keepLines w:val="0"/>
      <w:autoSpaceDE/>
      <w:autoSpaceDN/>
      <w:adjustRightInd/>
      <w:spacing w:before="120" w:after="156" w:afterLines="50"/>
    </w:pPr>
    <w:rPr>
      <w:rFonts w:cs="宋体"/>
      <w:bCs/>
      <w:snapToGrid w:val="0"/>
      <w:u w:val="none"/>
    </w:rPr>
  </w:style>
  <w:style w:type="paragraph" w:customStyle="1" w:styleId="283">
    <w:name w:val="标准书眉_偶数页"/>
    <w:basedOn w:val="284"/>
    <w:next w:val="1"/>
    <w:qFormat/>
    <w:uiPriority w:val="0"/>
    <w:pPr>
      <w:tabs>
        <w:tab w:val="center" w:pos="4154"/>
        <w:tab w:val="right" w:pos="8306"/>
      </w:tabs>
      <w:jc w:val="left"/>
    </w:pPr>
  </w:style>
  <w:style w:type="paragraph" w:customStyle="1" w:styleId="284">
    <w:name w:val="标准书眉_奇数页"/>
    <w:next w:val="1"/>
    <w:qFormat/>
    <w:uiPriority w:val="0"/>
    <w:pPr>
      <w:tabs>
        <w:tab w:val="center" w:pos="4154"/>
        <w:tab w:val="right" w:pos="8306"/>
      </w:tabs>
      <w:spacing w:after="120"/>
      <w:jc w:val="right"/>
    </w:pPr>
    <w:rPr>
      <w:rFonts w:ascii="宋体" w:hAnsi="宋体" w:eastAsia="宋体" w:cs="Times New Roman"/>
      <w:kern w:val="2"/>
      <w:sz w:val="21"/>
      <w:szCs w:val="24"/>
      <w:lang w:val="en-US" w:eastAsia="zh-CN" w:bidi="ar-SA"/>
    </w:rPr>
  </w:style>
  <w:style w:type="paragraph" w:customStyle="1" w:styleId="285">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286">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87">
    <w:name w:val="表格正文"/>
    <w:basedOn w:val="1"/>
    <w:qFormat/>
    <w:uiPriority w:val="0"/>
    <w:pPr>
      <w:adjustRightInd w:val="0"/>
      <w:snapToGrid w:val="0"/>
      <w:spacing w:before="60" w:after="60"/>
      <w:jc w:val="center"/>
      <w:textAlignment w:val="baseline"/>
    </w:pPr>
    <w:rPr>
      <w:kern w:val="0"/>
      <w:sz w:val="24"/>
      <w:szCs w:val="20"/>
    </w:rPr>
  </w:style>
  <w:style w:type="paragraph" w:customStyle="1" w:styleId="288">
    <w:name w:val="潘"/>
    <w:basedOn w:val="1"/>
    <w:qFormat/>
    <w:uiPriority w:val="0"/>
    <w:pPr>
      <w:snapToGrid w:val="0"/>
      <w:spacing w:line="240" w:lineRule="atLeast"/>
    </w:pPr>
    <w:rPr>
      <w:rFonts w:ascii="Arial" w:hAnsi="Arial" w:eastAsia="楷体_GB2312"/>
      <w:b/>
      <w:bCs/>
    </w:rPr>
  </w:style>
  <w:style w:type="paragraph" w:customStyle="1" w:styleId="289">
    <w:name w:val="ÕýÎÄ"/>
    <w:qFormat/>
    <w:uiPriority w:val="0"/>
    <w:pPr>
      <w:widowControl w:val="0"/>
      <w:overflowPunct w:val="0"/>
      <w:autoSpaceDE w:val="0"/>
      <w:autoSpaceDN w:val="0"/>
      <w:adjustRightInd w:val="0"/>
      <w:spacing w:line="351" w:lineRule="atLeast"/>
      <w:ind w:firstLine="419"/>
      <w:jc w:val="both"/>
      <w:textAlignment w:val="baseline"/>
    </w:pPr>
    <w:rPr>
      <w:rFonts w:ascii="Times New Roman" w:hAnsi="Times New Roman" w:eastAsia="宋体" w:cs="Times New Roman"/>
      <w:color w:val="000000"/>
      <w:sz w:val="21"/>
      <w:lang w:val="en-US" w:eastAsia="zh-CN" w:bidi="ar-SA"/>
    </w:rPr>
  </w:style>
  <w:style w:type="paragraph" w:customStyle="1" w:styleId="29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91">
    <w:name w:val="Char1 Char Char Char Char Char Char Char Char1 Char Char1"/>
    <w:basedOn w:val="1"/>
    <w:qFormat/>
    <w:uiPriority w:val="0"/>
    <w:rPr>
      <w:b/>
      <w:bCs/>
      <w:sz w:val="36"/>
      <w:szCs w:val="32"/>
    </w:rPr>
  </w:style>
  <w:style w:type="paragraph" w:customStyle="1" w:styleId="292">
    <w:name w:val="font12"/>
    <w:basedOn w:val="1"/>
    <w:qFormat/>
    <w:uiPriority w:val="0"/>
    <w:pPr>
      <w:widowControl/>
      <w:spacing w:before="100" w:beforeAutospacing="1" w:after="100" w:afterAutospacing="1"/>
      <w:jc w:val="left"/>
    </w:pPr>
    <w:rPr>
      <w:color w:val="000000"/>
      <w:kern w:val="0"/>
      <w:sz w:val="18"/>
      <w:szCs w:val="18"/>
    </w:rPr>
  </w:style>
  <w:style w:type="paragraph" w:customStyle="1" w:styleId="293">
    <w:name w:val="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294">
    <w:name w:val="Char1"/>
    <w:basedOn w:val="1"/>
    <w:qFormat/>
    <w:uiPriority w:val="0"/>
    <w:rPr>
      <w:rFonts w:ascii="仿宋_GB2312" w:eastAsia="仿宋_GB2312"/>
      <w:b/>
      <w:sz w:val="32"/>
      <w:szCs w:val="32"/>
    </w:rPr>
  </w:style>
  <w:style w:type="paragraph" w:customStyle="1" w:styleId="295">
    <w:name w:val="Char Char3 Char Char Char Char"/>
    <w:basedOn w:val="1"/>
    <w:qFormat/>
    <w:uiPriority w:val="0"/>
    <w:pPr>
      <w:widowControl/>
      <w:spacing w:after="160" w:line="360" w:lineRule="auto"/>
      <w:jc w:val="left"/>
    </w:pPr>
    <w:rPr>
      <w:rFonts w:ascii="Verdana" w:hAnsi="Verdana"/>
      <w:kern w:val="0"/>
      <w:sz w:val="24"/>
      <w:szCs w:val="20"/>
      <w:lang w:eastAsia="en-US"/>
    </w:rPr>
  </w:style>
  <w:style w:type="paragraph" w:customStyle="1" w:styleId="296">
    <w:name w:val="字母编号列项（一级）"/>
    <w:qFormat/>
    <w:uiPriority w:val="0"/>
    <w:pPr>
      <w:ind w:left="840" w:leftChars="200" w:hanging="420" w:hangingChars="200"/>
      <w:jc w:val="both"/>
    </w:pPr>
    <w:rPr>
      <w:rFonts w:ascii="宋体" w:hAnsi="宋体" w:eastAsia="宋体" w:cs="Times New Roman"/>
      <w:kern w:val="2"/>
      <w:sz w:val="21"/>
      <w:szCs w:val="24"/>
      <w:lang w:val="en-US" w:eastAsia="zh-CN" w:bidi="ar-SA"/>
    </w:rPr>
  </w:style>
  <w:style w:type="paragraph" w:customStyle="1" w:styleId="297">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298">
    <w:name w:val="style3"/>
    <w:basedOn w:val="1"/>
    <w:qFormat/>
    <w:uiPriority w:val="0"/>
    <w:pPr>
      <w:widowControl/>
      <w:spacing w:before="100" w:beforeAutospacing="1" w:after="100" w:afterAutospacing="1" w:line="360" w:lineRule="auto"/>
      <w:jc w:val="left"/>
    </w:pPr>
    <w:rPr>
      <w:rFonts w:ascii="宋体" w:hAnsi="宋体"/>
      <w:color w:val="666666"/>
      <w:kern w:val="0"/>
      <w:sz w:val="24"/>
    </w:rPr>
  </w:style>
  <w:style w:type="paragraph" w:customStyle="1" w:styleId="299">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00">
    <w:name w:val="BH-02"/>
    <w:basedOn w:val="1"/>
    <w:next w:val="1"/>
    <w:qFormat/>
    <w:uiPriority w:val="0"/>
    <w:pPr>
      <w:spacing w:line="360" w:lineRule="auto"/>
      <w:outlineLvl w:val="1"/>
    </w:pPr>
    <w:rPr>
      <w:rFonts w:ascii="Arial" w:hAnsi="Arial"/>
      <w:b/>
      <w:sz w:val="24"/>
    </w:rPr>
  </w:style>
  <w:style w:type="paragraph" w:customStyle="1" w:styleId="301">
    <w:name w:val="字母编号列项"/>
    <w:qFormat/>
    <w:uiPriority w:val="0"/>
    <w:pPr>
      <w:ind w:left="840" w:leftChars="200" w:hanging="420" w:hangingChars="200"/>
      <w:jc w:val="both"/>
    </w:pPr>
    <w:rPr>
      <w:rFonts w:ascii="宋体" w:hAnsi="宋体" w:eastAsia="宋体" w:cs="Times New Roman"/>
      <w:kern w:val="2"/>
      <w:sz w:val="21"/>
      <w:szCs w:val="24"/>
      <w:lang w:val="en-US" w:eastAsia="zh-CN" w:bidi="ar-SA"/>
    </w:rPr>
  </w:style>
  <w:style w:type="paragraph" w:customStyle="1" w:styleId="302">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b/>
      <w:bCs/>
      <w:color w:val="000000"/>
      <w:kern w:val="0"/>
      <w:sz w:val="20"/>
      <w:szCs w:val="20"/>
    </w:rPr>
  </w:style>
  <w:style w:type="paragraph" w:customStyle="1" w:styleId="303">
    <w:name w:val="附录标识"/>
    <w:basedOn w:val="304"/>
    <w:qFormat/>
    <w:uiPriority w:val="0"/>
    <w:pPr>
      <w:tabs>
        <w:tab w:val="left" w:pos="360"/>
        <w:tab w:val="left" w:pos="6405"/>
      </w:tabs>
      <w:spacing w:after="200" w:line="240" w:lineRule="auto"/>
    </w:pPr>
    <w:rPr>
      <w:rFonts w:hAnsi="宋体"/>
      <w:kern w:val="2"/>
      <w:sz w:val="21"/>
      <w:szCs w:val="24"/>
    </w:rPr>
  </w:style>
  <w:style w:type="paragraph" w:customStyle="1" w:styleId="304">
    <w:name w:val="前言、引言标题"/>
    <w:next w:val="1"/>
    <w:qFormat/>
    <w:uiPriority w:val="0"/>
    <w:pPr>
      <w:shd w:val="clear" w:color="FFFFFF" w:fill="FFFFFF"/>
      <w:spacing w:before="640" w:after="560" w:line="400" w:lineRule="exact"/>
      <w:jc w:val="center"/>
      <w:outlineLvl w:val="0"/>
    </w:pPr>
    <w:rPr>
      <w:rFonts w:ascii="黑体" w:hAnsi="Times New Roman" w:eastAsia="黑体" w:cs="Times New Roman"/>
      <w:sz w:val="32"/>
      <w:lang w:val="en-US" w:eastAsia="zh-CN" w:bidi="ar-SA"/>
    </w:rPr>
  </w:style>
  <w:style w:type="paragraph" w:customStyle="1" w:styleId="305">
    <w:name w:val="P1"/>
    <w:basedOn w:val="1"/>
    <w:qFormat/>
    <w:uiPriority w:val="0"/>
    <w:pPr>
      <w:widowControl/>
      <w:spacing w:before="240" w:line="240" w:lineRule="atLeast"/>
      <w:jc w:val="left"/>
    </w:pPr>
    <w:rPr>
      <w:b/>
      <w:kern w:val="0"/>
      <w:szCs w:val="21"/>
      <w:lang w:val="en-AU" w:eastAsia="en-US"/>
    </w:rPr>
  </w:style>
  <w:style w:type="paragraph" w:customStyle="1" w:styleId="306">
    <w:name w:val="Default Paragraph Font Para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07">
    <w:name w:val="xl5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308">
    <w:name w:val="Bullet2"/>
    <w:basedOn w:val="1"/>
    <w:qFormat/>
    <w:uiPriority w:val="0"/>
    <w:pPr>
      <w:spacing w:after="156" w:afterLines="50"/>
      <w:ind w:left="1440" w:hanging="360"/>
      <w:jc w:val="left"/>
    </w:pPr>
    <w:rPr>
      <w:rFonts w:ascii="宋体"/>
      <w:snapToGrid w:val="0"/>
      <w:color w:val="000080"/>
      <w:kern w:val="0"/>
      <w:szCs w:val="20"/>
    </w:rPr>
  </w:style>
  <w:style w:type="paragraph" w:customStyle="1" w:styleId="309">
    <w:name w:val="封面标准英文名称"/>
    <w:qFormat/>
    <w:uiPriority w:val="0"/>
    <w:pPr>
      <w:widowControl w:val="0"/>
      <w:spacing w:before="370" w:line="400" w:lineRule="exact"/>
      <w:jc w:val="center"/>
    </w:pPr>
    <w:rPr>
      <w:rFonts w:ascii="宋体" w:hAnsi="宋体" w:eastAsia="宋体" w:cs="Times New Roman"/>
      <w:kern w:val="2"/>
      <w:sz w:val="28"/>
      <w:szCs w:val="24"/>
      <w:lang w:val="en-US" w:eastAsia="zh-CN" w:bidi="ar-SA"/>
    </w:rPr>
  </w:style>
  <w:style w:type="paragraph" w:customStyle="1" w:styleId="31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0"/>
      <w:szCs w:val="20"/>
    </w:rPr>
  </w:style>
  <w:style w:type="paragraph" w:customStyle="1" w:styleId="311">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312">
    <w:name w:val="表格1"/>
    <w:basedOn w:val="1"/>
    <w:qFormat/>
    <w:uiPriority w:val="0"/>
    <w:pPr>
      <w:jc w:val="center"/>
    </w:pPr>
    <w:rPr>
      <w:rFonts w:ascii="Calibri" w:hAnsi="Calibri"/>
      <w:szCs w:val="22"/>
    </w:rPr>
  </w:style>
  <w:style w:type="paragraph" w:customStyle="1" w:styleId="313">
    <w:name w:val="Char Char Char"/>
    <w:basedOn w:val="1"/>
    <w:qFormat/>
    <w:uiPriority w:val="0"/>
    <w:rPr>
      <w:rFonts w:ascii="Tahoma" w:hAnsi="Tahoma"/>
      <w:sz w:val="24"/>
      <w:szCs w:val="20"/>
    </w:rPr>
  </w:style>
  <w:style w:type="paragraph" w:customStyle="1" w:styleId="314">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315">
    <w:name w:val="S4-L15-C"/>
    <w:basedOn w:val="1"/>
    <w:qFormat/>
    <w:uiPriority w:val="0"/>
    <w:pPr>
      <w:spacing w:after="120" w:line="360" w:lineRule="auto"/>
      <w:jc w:val="center"/>
    </w:pPr>
    <w:rPr>
      <w:szCs w:val="21"/>
    </w:rPr>
  </w:style>
  <w:style w:type="paragraph" w:customStyle="1" w:styleId="316">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317">
    <w:name w:val="font1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18">
    <w:name w:val="表头1"/>
    <w:basedOn w:val="21"/>
    <w:qFormat/>
    <w:uiPriority w:val="0"/>
    <w:pPr>
      <w:adjustRightInd w:val="0"/>
      <w:spacing w:after="0"/>
      <w:jc w:val="center"/>
      <w:textAlignment w:val="baseline"/>
    </w:pPr>
    <w:rPr>
      <w:kern w:val="0"/>
      <w:sz w:val="24"/>
      <w:szCs w:val="20"/>
    </w:rPr>
  </w:style>
  <w:style w:type="paragraph" w:customStyle="1" w:styleId="319">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20">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321">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22">
    <w:name w:val="Char11"/>
    <w:basedOn w:val="1"/>
    <w:qFormat/>
    <w:uiPriority w:val="0"/>
    <w:pPr>
      <w:tabs>
        <w:tab w:val="left" w:pos="432"/>
      </w:tabs>
      <w:spacing w:before="156" w:beforeLines="50" w:after="156" w:afterLines="50"/>
      <w:ind w:left="432" w:hanging="432"/>
    </w:pPr>
    <w:rPr>
      <w:sz w:val="24"/>
    </w:rPr>
  </w:style>
  <w:style w:type="paragraph" w:customStyle="1" w:styleId="323">
    <w:name w:val="列项——"/>
    <w:qFormat/>
    <w:uiPriority w:val="0"/>
    <w:pPr>
      <w:widowControl w:val="0"/>
      <w:tabs>
        <w:tab w:val="left" w:pos="360"/>
      </w:tabs>
      <w:jc w:val="both"/>
    </w:pPr>
    <w:rPr>
      <w:rFonts w:ascii="宋体" w:hAnsi="宋体" w:eastAsia="宋体" w:cs="Times New Roman"/>
      <w:kern w:val="2"/>
      <w:sz w:val="21"/>
      <w:szCs w:val="24"/>
      <w:lang w:val="en-US" w:eastAsia="zh-CN" w:bidi="ar-SA"/>
    </w:rPr>
  </w:style>
  <w:style w:type="paragraph" w:customStyle="1" w:styleId="324">
    <w:name w:val="Bullet"/>
    <w:basedOn w:val="1"/>
    <w:qFormat/>
    <w:uiPriority w:val="0"/>
    <w:pPr>
      <w:widowControl/>
      <w:tabs>
        <w:tab w:val="left" w:pos="720"/>
        <w:tab w:val="left" w:pos="964"/>
      </w:tabs>
      <w:spacing w:before="120" w:after="156" w:afterLines="50"/>
      <w:ind w:left="720" w:right="360" w:hanging="482"/>
    </w:pPr>
    <w:rPr>
      <w:rFonts w:ascii="宋体"/>
      <w:snapToGrid w:val="0"/>
      <w:kern w:val="0"/>
      <w:szCs w:val="20"/>
    </w:rPr>
  </w:style>
  <w:style w:type="paragraph" w:customStyle="1" w:styleId="325">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326">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327">
    <w:name w:val="封面正文"/>
    <w:qFormat/>
    <w:uiPriority w:val="0"/>
    <w:pPr>
      <w:jc w:val="both"/>
    </w:pPr>
    <w:rPr>
      <w:rFonts w:ascii="宋体" w:hAnsi="宋体" w:eastAsia="宋体" w:cs="Times New Roman"/>
      <w:kern w:val="2"/>
      <w:sz w:val="24"/>
      <w:szCs w:val="24"/>
      <w:lang w:val="en-US" w:eastAsia="zh-CN" w:bidi="ar-SA"/>
    </w:rPr>
  </w:style>
  <w:style w:type="paragraph" w:customStyle="1" w:styleId="328">
    <w:name w:val="样式 标题 4H4sect 1.2.3.4Ref Heading 1rh1Heading sqlh4h41h42..."/>
    <w:basedOn w:val="5"/>
    <w:qFormat/>
    <w:uiPriority w:val="0"/>
    <w:pPr>
      <w:tabs>
        <w:tab w:val="left" w:pos="425"/>
      </w:tabs>
      <w:spacing w:before="0" w:after="156" w:afterLines="50" w:line="360" w:lineRule="auto"/>
    </w:pPr>
    <w:rPr>
      <w:rFonts w:ascii="Times New Roman" w:hAnsi="宋体" w:eastAsia="宋体" w:cs="宋体"/>
      <w:sz w:val="24"/>
      <w:szCs w:val="20"/>
    </w:rPr>
  </w:style>
  <w:style w:type="paragraph" w:customStyle="1" w:styleId="329">
    <w:name w:val="S4-I-L15-U"/>
    <w:basedOn w:val="1"/>
    <w:qFormat/>
    <w:uiPriority w:val="0"/>
    <w:pPr>
      <w:spacing w:line="360" w:lineRule="auto"/>
    </w:pPr>
    <w:rPr>
      <w:b/>
      <w:i/>
      <w:sz w:val="24"/>
      <w:u w:val="single"/>
    </w:rPr>
  </w:style>
  <w:style w:type="paragraph" w:customStyle="1" w:styleId="330">
    <w:name w:val="样式 标题 2"/>
    <w:basedOn w:val="3"/>
    <w:next w:val="331"/>
    <w:qFormat/>
    <w:uiPriority w:val="0"/>
    <w:pPr>
      <w:keepLines w:val="0"/>
      <w:spacing w:before="120" w:after="156" w:afterLines="50" w:line="240" w:lineRule="auto"/>
      <w:ind w:left="380" w:hanging="380"/>
      <w:jc w:val="left"/>
    </w:pPr>
    <w:rPr>
      <w:rFonts w:ascii="宋体" w:hAnsi="Times New Roman" w:eastAsia="宋体" w:cs="宋体"/>
      <w:snapToGrid w:val="0"/>
      <w:kern w:val="0"/>
      <w:sz w:val="28"/>
      <w:szCs w:val="20"/>
    </w:rPr>
  </w:style>
  <w:style w:type="paragraph" w:customStyle="1" w:styleId="331">
    <w:name w:val="最新标题3"/>
    <w:basedOn w:val="332"/>
    <w:next w:val="333"/>
    <w:qFormat/>
    <w:uiPriority w:val="0"/>
  </w:style>
  <w:style w:type="paragraph" w:customStyle="1" w:styleId="332">
    <w:name w:val="样式 标题 3"/>
    <w:basedOn w:val="4"/>
    <w:next w:val="333"/>
    <w:qFormat/>
    <w:uiPriority w:val="0"/>
    <w:pPr>
      <w:keepLines w:val="0"/>
      <w:autoSpaceDE/>
      <w:autoSpaceDN/>
      <w:adjustRightInd/>
      <w:spacing w:before="120" w:after="156" w:afterLines="50"/>
    </w:pPr>
    <w:rPr>
      <w:rFonts w:cs="宋体"/>
      <w:bCs/>
      <w:snapToGrid w:val="0"/>
      <w:u w:val="none"/>
    </w:rPr>
  </w:style>
  <w:style w:type="paragraph" w:customStyle="1" w:styleId="333">
    <w:name w:val="最新标题4"/>
    <w:basedOn w:val="334"/>
    <w:next w:val="1"/>
    <w:qFormat/>
    <w:uiPriority w:val="0"/>
    <w:pPr>
      <w:tabs>
        <w:tab w:val="left" w:pos="2100"/>
      </w:tabs>
      <w:spacing w:after="120"/>
      <w:ind w:left="0" w:firstLine="0"/>
    </w:pPr>
  </w:style>
  <w:style w:type="paragraph" w:customStyle="1" w:styleId="334">
    <w:name w:val="样式 标题 4"/>
    <w:basedOn w:val="335"/>
    <w:next w:val="337"/>
    <w:qFormat/>
    <w:uiPriority w:val="0"/>
    <w:pPr>
      <w:tabs>
        <w:tab w:val="left" w:pos="2100"/>
      </w:tabs>
      <w:spacing w:after="50"/>
      <w:ind w:left="2100" w:hanging="420"/>
    </w:pPr>
  </w:style>
  <w:style w:type="paragraph" w:customStyle="1" w:styleId="335">
    <w:name w:val="样式 标题 4Chapter X.X.X.X. + 段后: 0.5 行1"/>
    <w:basedOn w:val="336"/>
    <w:qFormat/>
    <w:uiPriority w:val="0"/>
    <w:pPr>
      <w:spacing w:after="120"/>
    </w:pPr>
  </w:style>
  <w:style w:type="paragraph" w:customStyle="1" w:styleId="336">
    <w:name w:val="样式 标题 4 + 段后: 0.5 行"/>
    <w:basedOn w:val="5"/>
    <w:qFormat/>
    <w:uiPriority w:val="0"/>
    <w:pPr>
      <w:keepLines w:val="0"/>
      <w:spacing w:before="120" w:after="156" w:afterLines="50" w:line="240" w:lineRule="auto"/>
      <w:jc w:val="left"/>
    </w:pPr>
    <w:rPr>
      <w:rFonts w:ascii="宋体" w:hAnsi="Times New Roman" w:eastAsia="宋体" w:cs="宋体"/>
      <w:snapToGrid w:val="0"/>
      <w:kern w:val="0"/>
      <w:sz w:val="21"/>
      <w:szCs w:val="20"/>
    </w:rPr>
  </w:style>
  <w:style w:type="paragraph" w:customStyle="1" w:styleId="337">
    <w:name w:val="样式 正文"/>
    <w:basedOn w:val="1"/>
    <w:next w:val="1"/>
    <w:qFormat/>
    <w:uiPriority w:val="0"/>
    <w:pPr>
      <w:spacing w:after="156" w:afterLines="50"/>
      <w:jc w:val="left"/>
    </w:pPr>
    <w:rPr>
      <w:rFonts w:ascii="宋体" w:cs="宋体"/>
      <w:snapToGrid w:val="0"/>
      <w:kern w:val="0"/>
      <w:szCs w:val="20"/>
    </w:rPr>
  </w:style>
  <w:style w:type="paragraph" w:customStyle="1" w:styleId="338">
    <w:name w:val="标准称谓"/>
    <w:next w:val="1"/>
    <w:qFormat/>
    <w:uiPriority w:val="0"/>
    <w:pPr>
      <w:widowControl w:val="0"/>
      <w:kinsoku w:val="0"/>
      <w:overflowPunct w:val="0"/>
      <w:autoSpaceDE w:val="0"/>
      <w:autoSpaceDN w:val="0"/>
      <w:spacing w:line="0" w:lineRule="atLeast"/>
      <w:jc w:val="distribute"/>
    </w:pPr>
    <w:rPr>
      <w:rFonts w:ascii="宋体" w:hAnsi="宋体" w:eastAsia="宋体" w:cs="Times New Roman"/>
      <w:b/>
      <w:bCs/>
      <w:spacing w:val="20"/>
      <w:w w:val="148"/>
      <w:kern w:val="2"/>
      <w:sz w:val="52"/>
      <w:szCs w:val="24"/>
      <w:lang w:val="en-US" w:eastAsia="zh-CN" w:bidi="ar-SA"/>
    </w:rPr>
  </w:style>
  <w:style w:type="paragraph" w:customStyle="1" w:styleId="339">
    <w:name w:val="标准小四"/>
    <w:basedOn w:val="1"/>
    <w:qFormat/>
    <w:uiPriority w:val="0"/>
    <w:pPr>
      <w:spacing w:line="360" w:lineRule="auto"/>
      <w:ind w:firstLine="480" w:firstLineChars="200"/>
    </w:pPr>
    <w:rPr>
      <w:rFonts w:ascii="Arial" w:hAnsi="Arial"/>
      <w:sz w:val="24"/>
      <w:szCs w:val="21"/>
    </w:rPr>
  </w:style>
  <w:style w:type="paragraph" w:customStyle="1" w:styleId="340">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41">
    <w:name w:val="样式 标题 1 + 段后: 0.5 行"/>
    <w:basedOn w:val="2"/>
    <w:qFormat/>
    <w:uiPriority w:val="0"/>
    <w:pPr>
      <w:keepLines w:val="0"/>
      <w:spacing w:before="120" w:after="156" w:afterLines="50" w:line="240" w:lineRule="auto"/>
      <w:jc w:val="left"/>
    </w:pPr>
    <w:rPr>
      <w:rFonts w:ascii="宋体" w:cs="宋体"/>
      <w:snapToGrid w:val="0"/>
      <w:kern w:val="0"/>
      <w:sz w:val="28"/>
      <w:szCs w:val="20"/>
    </w:rPr>
  </w:style>
  <w:style w:type="paragraph" w:customStyle="1" w:styleId="342">
    <w:name w:val="样式 标题1"/>
    <w:basedOn w:val="341"/>
    <w:next w:val="343"/>
    <w:qFormat/>
    <w:uiPriority w:val="0"/>
    <w:pPr>
      <w:tabs>
        <w:tab w:val="left" w:pos="1140"/>
      </w:tabs>
      <w:spacing w:after="50"/>
      <w:ind w:left="1140" w:hanging="720"/>
    </w:pPr>
    <w:rPr>
      <w:bCs w:val="0"/>
      <w:sz w:val="32"/>
    </w:rPr>
  </w:style>
  <w:style w:type="paragraph" w:customStyle="1" w:styleId="343">
    <w:name w:val="最新标题2"/>
    <w:basedOn w:val="330"/>
    <w:next w:val="331"/>
    <w:qFormat/>
    <w:uiPriority w:val="0"/>
    <w:pPr>
      <w:spacing w:after="120"/>
    </w:pPr>
  </w:style>
  <w:style w:type="paragraph" w:customStyle="1" w:styleId="344">
    <w:name w:val="Char Char Char Char1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345">
    <w:name w:val="数字编号列项（二级）"/>
    <w:qFormat/>
    <w:uiPriority w:val="0"/>
    <w:pPr>
      <w:ind w:left="1260" w:leftChars="400" w:hanging="420" w:hangingChars="200"/>
      <w:jc w:val="both"/>
    </w:pPr>
    <w:rPr>
      <w:rFonts w:ascii="宋体" w:hAnsi="宋体" w:eastAsia="宋体" w:cs="Times New Roman"/>
      <w:kern w:val="2"/>
      <w:sz w:val="21"/>
      <w:szCs w:val="24"/>
      <w:lang w:val="en-US" w:eastAsia="zh-CN" w:bidi="ar-SA"/>
    </w:rPr>
  </w:style>
  <w:style w:type="paragraph" w:customStyle="1" w:styleId="346">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47">
    <w:name w:val="样式 标题 1 + 五号"/>
    <w:basedOn w:val="2"/>
    <w:qFormat/>
    <w:uiPriority w:val="0"/>
    <w:pPr>
      <w:spacing w:before="0" w:after="0" w:line="240" w:lineRule="auto"/>
      <w:jc w:val="center"/>
    </w:pPr>
    <w:rPr>
      <w:sz w:val="32"/>
      <w:szCs w:val="32"/>
    </w:rPr>
  </w:style>
  <w:style w:type="paragraph" w:customStyle="1" w:styleId="348">
    <w:name w:val="font7"/>
    <w:basedOn w:val="1"/>
    <w:qFormat/>
    <w:uiPriority w:val="0"/>
    <w:pPr>
      <w:widowControl/>
      <w:spacing w:before="100" w:beforeAutospacing="1" w:after="100" w:afterAutospacing="1"/>
      <w:jc w:val="left"/>
    </w:pPr>
    <w:rPr>
      <w:kern w:val="0"/>
      <w:sz w:val="20"/>
      <w:szCs w:val="20"/>
    </w:rPr>
  </w:style>
  <w:style w:type="paragraph" w:customStyle="1" w:styleId="349">
    <w:name w:val="正文－恩普"/>
    <w:basedOn w:val="13"/>
    <w:qFormat/>
    <w:uiPriority w:val="0"/>
    <w:pPr>
      <w:widowControl/>
      <w:spacing w:after="156" w:afterLines="50" w:line="360" w:lineRule="auto"/>
      <w:ind w:firstLine="480" w:firstLineChars="200"/>
      <w:jc w:val="left"/>
    </w:pPr>
    <w:rPr>
      <w:kern w:val="0"/>
      <w:sz w:val="24"/>
    </w:rPr>
  </w:style>
  <w:style w:type="paragraph" w:customStyle="1" w:styleId="350">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51">
    <w:name w:val="条文脚注"/>
    <w:basedOn w:val="42"/>
    <w:qFormat/>
    <w:uiPriority w:val="0"/>
    <w:pPr>
      <w:ind w:left="780" w:leftChars="200" w:hanging="360" w:hangingChars="200"/>
      <w:jc w:val="both"/>
    </w:pPr>
  </w:style>
  <w:style w:type="paragraph" w:customStyle="1" w:styleId="352">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353">
    <w:name w:val="目次、索引正文"/>
    <w:qFormat/>
    <w:uiPriority w:val="0"/>
    <w:pPr>
      <w:spacing w:line="320" w:lineRule="exact"/>
      <w:jc w:val="both"/>
    </w:pPr>
    <w:rPr>
      <w:rFonts w:ascii="宋体" w:hAnsi="宋体" w:eastAsia="宋体" w:cs="Times New Roman"/>
      <w:kern w:val="2"/>
      <w:sz w:val="21"/>
      <w:szCs w:val="24"/>
      <w:lang w:val="en-US" w:eastAsia="zh-CN" w:bidi="ar-SA"/>
    </w:rPr>
  </w:style>
  <w:style w:type="paragraph" w:customStyle="1" w:styleId="354">
    <w:name w:val="Main Title"/>
    <w:basedOn w:val="1"/>
    <w:qFormat/>
    <w:uiPriority w:val="0"/>
    <w:pPr>
      <w:spacing w:before="480" w:after="156" w:afterLines="50"/>
      <w:jc w:val="center"/>
    </w:pPr>
    <w:rPr>
      <w:rFonts w:ascii="宋体"/>
      <w:b/>
      <w:snapToGrid w:val="0"/>
      <w:kern w:val="28"/>
      <w:sz w:val="32"/>
      <w:szCs w:val="20"/>
    </w:rPr>
  </w:style>
  <w:style w:type="paragraph" w:customStyle="1" w:styleId="355">
    <w:name w:val="Char Char Char Char Char Char Char Char1 Char"/>
    <w:basedOn w:val="1"/>
    <w:qFormat/>
    <w:uiPriority w:val="0"/>
    <w:rPr>
      <w:szCs w:val="20"/>
    </w:rPr>
  </w:style>
  <w:style w:type="paragraph" w:customStyle="1" w:styleId="356">
    <w:name w:val="样式 样式 标题 4 + 段后: 0.5 行 + 段后: 0.5 行"/>
    <w:basedOn w:val="336"/>
    <w:qFormat/>
    <w:uiPriority w:val="0"/>
  </w:style>
  <w:style w:type="paragraph" w:customStyle="1" w:styleId="357">
    <w:name w:val="表格(五号)"/>
    <w:basedOn w:val="1"/>
    <w:qFormat/>
    <w:uiPriority w:val="0"/>
    <w:pPr>
      <w:adjustRightInd w:val="0"/>
      <w:snapToGrid w:val="0"/>
      <w:spacing w:line="300" w:lineRule="auto"/>
      <w:jc w:val="center"/>
    </w:pPr>
    <w:rPr>
      <w:snapToGrid w:val="0"/>
      <w:kern w:val="0"/>
      <w:sz w:val="18"/>
      <w:szCs w:val="20"/>
    </w:rPr>
  </w:style>
  <w:style w:type="paragraph" w:customStyle="1" w:styleId="358">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color w:val="000000"/>
      <w:kern w:val="0"/>
      <w:sz w:val="18"/>
      <w:szCs w:val="18"/>
    </w:rPr>
  </w:style>
  <w:style w:type="paragraph" w:customStyle="1" w:styleId="359">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360">
    <w:name w:val="列项·"/>
    <w:qFormat/>
    <w:uiPriority w:val="0"/>
    <w:pPr>
      <w:tabs>
        <w:tab w:val="left" w:pos="360"/>
        <w:tab w:val="left" w:pos="840"/>
      </w:tabs>
      <w:jc w:val="both"/>
    </w:pPr>
    <w:rPr>
      <w:rFonts w:ascii="宋体" w:hAnsi="宋体" w:eastAsia="宋体" w:cs="Times New Roman"/>
      <w:kern w:val="2"/>
      <w:sz w:val="21"/>
      <w:szCs w:val="24"/>
      <w:lang w:val="en-US" w:eastAsia="zh-CN" w:bidi="ar-SA"/>
    </w:rPr>
  </w:style>
  <w:style w:type="paragraph" w:customStyle="1" w:styleId="361">
    <w:name w:val="Char Char Char Char Char Char Char"/>
    <w:basedOn w:val="1"/>
    <w:qFormat/>
    <w:uiPriority w:val="0"/>
    <w:pPr>
      <w:widowControl/>
      <w:snapToGrid w:val="0"/>
      <w:spacing w:before="312" w:beforeLines="100" w:after="156" w:afterLines="50" w:line="500" w:lineRule="atLeast"/>
      <w:ind w:firstLine="200" w:firstLineChars="200"/>
    </w:pPr>
    <w:rPr>
      <w:rFonts w:cs="Arial"/>
      <w:b/>
      <w:sz w:val="24"/>
    </w:rPr>
  </w:style>
  <w:style w:type="paragraph" w:customStyle="1" w:styleId="362">
    <w:name w:val="Char21"/>
    <w:basedOn w:val="1"/>
    <w:qFormat/>
    <w:uiPriority w:val="0"/>
    <w:pPr>
      <w:tabs>
        <w:tab w:val="left" w:pos="432"/>
      </w:tabs>
      <w:spacing w:before="156" w:beforeLines="50" w:after="156" w:afterLines="50"/>
      <w:ind w:left="432" w:hanging="432"/>
    </w:pPr>
    <w:rPr>
      <w:sz w:val="24"/>
    </w:rPr>
  </w:style>
  <w:style w:type="paragraph" w:customStyle="1" w:styleId="363">
    <w:name w:val="标准有序列表（L1）"/>
    <w:basedOn w:val="13"/>
    <w:qFormat/>
    <w:uiPriority w:val="0"/>
    <w:pPr>
      <w:tabs>
        <w:tab w:val="left" w:pos="0"/>
      </w:tabs>
      <w:spacing w:line="360" w:lineRule="auto"/>
      <w:ind w:firstLine="0"/>
    </w:pPr>
    <w:rPr>
      <w:rFonts w:ascii="黑体" w:eastAsia="黑体"/>
      <w:color w:val="000000"/>
      <w:sz w:val="24"/>
    </w:rPr>
  </w:style>
  <w:style w:type="paragraph" w:customStyle="1" w:styleId="364">
    <w:name w:val="样式 样式 正文文本缩进 + 仿宋_GB2312 小四 首行缩进:  0 厘米 行距: 1.5 倍行距 + (中文) 仿宋_GB..."/>
    <w:basedOn w:val="268"/>
    <w:qFormat/>
    <w:uiPriority w:val="0"/>
    <w:pPr>
      <w:ind w:firstLine="480" w:firstLineChars="200"/>
    </w:pPr>
  </w:style>
  <w:style w:type="paragraph" w:customStyle="1" w:styleId="365">
    <w:name w:val="正文段"/>
    <w:basedOn w:val="1"/>
    <w:qFormat/>
    <w:uiPriority w:val="0"/>
    <w:pPr>
      <w:widowControl/>
      <w:snapToGrid w:val="0"/>
      <w:spacing w:after="156" w:afterLines="50"/>
      <w:ind w:firstLine="200" w:firstLineChars="200"/>
    </w:pPr>
    <w:rPr>
      <w:kern w:val="0"/>
      <w:sz w:val="24"/>
      <w:szCs w:val="20"/>
    </w:rPr>
  </w:style>
  <w:style w:type="paragraph" w:customStyle="1" w:styleId="366">
    <w:name w:val="标准书脚_奇数页"/>
    <w:qFormat/>
    <w:uiPriority w:val="0"/>
    <w:pPr>
      <w:spacing w:before="120"/>
      <w:jc w:val="right"/>
    </w:pPr>
    <w:rPr>
      <w:rFonts w:ascii="宋体" w:hAnsi="宋体" w:eastAsia="宋体" w:cs="Times New Roman"/>
      <w:kern w:val="2"/>
      <w:sz w:val="18"/>
      <w:szCs w:val="24"/>
      <w:lang w:val="en-US" w:eastAsia="zh-CN" w:bidi="ar-SA"/>
    </w:rPr>
  </w:style>
  <w:style w:type="paragraph" w:customStyle="1" w:styleId="367">
    <w:name w:val="样式 标题 4Chapter X.X.X. + 段后: 0.5 行1"/>
    <w:basedOn w:val="5"/>
    <w:next w:val="5"/>
    <w:qFormat/>
    <w:uiPriority w:val="0"/>
    <w:pPr>
      <w:keepLines w:val="0"/>
      <w:spacing w:before="120" w:after="156" w:afterLines="50" w:line="240" w:lineRule="auto"/>
      <w:ind w:left="425" w:hanging="425"/>
      <w:jc w:val="left"/>
    </w:pPr>
    <w:rPr>
      <w:rFonts w:ascii="宋体" w:hAnsi="Times New Roman" w:eastAsia="宋体" w:cs="宋体"/>
      <w:snapToGrid w:val="0"/>
      <w:kern w:val="0"/>
      <w:sz w:val="21"/>
      <w:szCs w:val="20"/>
    </w:rPr>
  </w:style>
  <w:style w:type="paragraph" w:customStyle="1" w:styleId="368">
    <w:name w:val="Char4"/>
    <w:basedOn w:val="1"/>
    <w:qFormat/>
    <w:uiPriority w:val="0"/>
  </w:style>
  <w:style w:type="paragraph" w:customStyle="1" w:styleId="369">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0">
    <w:name w:val="Char Char Char Char1"/>
    <w:basedOn w:val="1"/>
    <w:qFormat/>
    <w:uiPriority w:val="0"/>
    <w:pPr>
      <w:spacing w:line="360" w:lineRule="auto"/>
      <w:ind w:firstLine="200" w:firstLineChars="200"/>
    </w:pPr>
    <w:rPr>
      <w:rFonts w:ascii="Tahoma" w:hAnsi="Tahoma"/>
      <w:sz w:val="24"/>
    </w:rPr>
  </w:style>
  <w:style w:type="paragraph" w:customStyle="1" w:styleId="371">
    <w:name w:val="附录五级条标题"/>
    <w:basedOn w:val="372"/>
    <w:next w:val="169"/>
    <w:qFormat/>
    <w:uiPriority w:val="0"/>
    <w:pPr>
      <w:tabs>
        <w:tab w:val="left" w:pos="360"/>
      </w:tabs>
      <w:outlineLvl w:val="6"/>
    </w:pPr>
  </w:style>
  <w:style w:type="paragraph" w:customStyle="1" w:styleId="372">
    <w:name w:val="附录四级条标题"/>
    <w:basedOn w:val="373"/>
    <w:next w:val="169"/>
    <w:qFormat/>
    <w:uiPriority w:val="0"/>
    <w:pPr>
      <w:tabs>
        <w:tab w:val="left" w:pos="360"/>
      </w:tabs>
      <w:outlineLvl w:val="5"/>
    </w:pPr>
  </w:style>
  <w:style w:type="paragraph" w:customStyle="1" w:styleId="373">
    <w:name w:val="附录三级条标题"/>
    <w:basedOn w:val="374"/>
    <w:next w:val="169"/>
    <w:qFormat/>
    <w:uiPriority w:val="0"/>
    <w:pPr>
      <w:tabs>
        <w:tab w:val="left" w:pos="360"/>
      </w:tabs>
      <w:outlineLvl w:val="4"/>
    </w:pPr>
  </w:style>
  <w:style w:type="paragraph" w:customStyle="1" w:styleId="374">
    <w:name w:val="附录二级条标题"/>
    <w:basedOn w:val="375"/>
    <w:next w:val="169"/>
    <w:qFormat/>
    <w:uiPriority w:val="0"/>
    <w:pPr>
      <w:tabs>
        <w:tab w:val="left" w:pos="360"/>
      </w:tabs>
      <w:outlineLvl w:val="3"/>
    </w:pPr>
  </w:style>
  <w:style w:type="paragraph" w:customStyle="1" w:styleId="375">
    <w:name w:val="附录一级条标题"/>
    <w:basedOn w:val="376"/>
    <w:next w:val="169"/>
    <w:qFormat/>
    <w:uiPriority w:val="0"/>
    <w:pPr>
      <w:tabs>
        <w:tab w:val="left" w:pos="360"/>
      </w:tabs>
      <w:autoSpaceDN w:val="0"/>
      <w:ind w:left="0"/>
      <w:outlineLvl w:val="2"/>
    </w:pPr>
  </w:style>
  <w:style w:type="paragraph" w:customStyle="1" w:styleId="376">
    <w:name w:val="附录章标题"/>
    <w:next w:val="169"/>
    <w:qFormat/>
    <w:uiPriority w:val="0"/>
    <w:pPr>
      <w:tabs>
        <w:tab w:val="left" w:pos="360"/>
      </w:tabs>
      <w:wordWrap w:val="0"/>
      <w:overflowPunct w:val="0"/>
      <w:autoSpaceDE w:val="0"/>
      <w:spacing w:before="156" w:beforeLines="50" w:after="156" w:afterLines="50"/>
      <w:ind w:left="420"/>
      <w:jc w:val="both"/>
      <w:textAlignment w:val="baseline"/>
      <w:outlineLvl w:val="1"/>
    </w:pPr>
    <w:rPr>
      <w:rFonts w:ascii="黑体" w:hAnsi="宋体" w:eastAsia="黑体" w:cs="Times New Roman"/>
      <w:kern w:val="21"/>
      <w:sz w:val="21"/>
      <w:szCs w:val="24"/>
      <w:lang w:val="en-US" w:eastAsia="zh-CN" w:bidi="ar-SA"/>
    </w:rPr>
  </w:style>
  <w:style w:type="paragraph" w:customStyle="1" w:styleId="377">
    <w:name w:val="Paragraph3"/>
    <w:basedOn w:val="1"/>
    <w:qFormat/>
    <w:uiPriority w:val="0"/>
    <w:pPr>
      <w:spacing w:before="80" w:after="156" w:afterLines="50"/>
      <w:ind w:left="1530"/>
    </w:pPr>
    <w:rPr>
      <w:rFonts w:ascii="宋体"/>
      <w:snapToGrid w:val="0"/>
      <w:kern w:val="0"/>
      <w:szCs w:val="20"/>
    </w:rPr>
  </w:style>
  <w:style w:type="paragraph" w:customStyle="1" w:styleId="378">
    <w:name w:val="普通(Web)1"/>
    <w:basedOn w:val="1"/>
    <w:next w:val="49"/>
    <w:qFormat/>
    <w:uiPriority w:val="0"/>
    <w:pPr>
      <w:widowControl/>
      <w:spacing w:before="100" w:beforeAutospacing="1" w:after="100" w:afterAutospacing="1"/>
      <w:jc w:val="left"/>
    </w:pPr>
    <w:rPr>
      <w:rFonts w:ascii="宋体" w:hAnsi="宋体"/>
      <w:color w:val="000000"/>
      <w:kern w:val="0"/>
      <w:sz w:val="24"/>
    </w:rPr>
  </w:style>
  <w:style w:type="paragraph" w:customStyle="1" w:styleId="379">
    <w:name w:val="Char Char Char Char Char Char Char Char Char Char Char Char Char Char Char Char"/>
    <w:basedOn w:val="1"/>
    <w:qFormat/>
    <w:uiPriority w:val="0"/>
    <w:pPr>
      <w:tabs>
        <w:tab w:val="left" w:pos="360"/>
      </w:tabs>
    </w:pPr>
    <w:rPr>
      <w:sz w:val="24"/>
    </w:rPr>
  </w:style>
  <w:style w:type="paragraph" w:customStyle="1" w:styleId="380">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81">
    <w:name w:val="font13"/>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382">
    <w:name w:val="*正文"/>
    <w:basedOn w:val="1"/>
    <w:qFormat/>
    <w:uiPriority w:val="0"/>
    <w:pPr>
      <w:spacing w:line="360" w:lineRule="auto"/>
      <w:ind w:firstLine="200" w:firstLineChars="200"/>
    </w:pPr>
    <w:rPr>
      <w:rFonts w:ascii="宋体" w:hAnsi="宋体" w:cs="Times New Roman"/>
      <w:sz w:val="22"/>
    </w:rPr>
  </w:style>
  <w:style w:type="paragraph" w:customStyle="1" w:styleId="383">
    <w:name w:val="纯文本_0"/>
    <w:basedOn w:val="246"/>
    <w:qFormat/>
    <w:uiPriority w:val="0"/>
    <w:rPr>
      <w:rFonts w:ascii="宋体" w:hAnsi="Courier New"/>
      <w:kern w:val="0"/>
      <w:sz w:val="20"/>
      <w:szCs w:val="20"/>
    </w:rPr>
  </w:style>
  <w:style w:type="paragraph" w:customStyle="1" w:styleId="384">
    <w:name w:val="附录表标题"/>
    <w:next w:val="169"/>
    <w:qFormat/>
    <w:uiPriority w:val="0"/>
    <w:pPr>
      <w:jc w:val="center"/>
      <w:textAlignment w:val="baseline"/>
    </w:pPr>
    <w:rPr>
      <w:rFonts w:ascii="黑体" w:hAnsi="宋体" w:eastAsia="黑体" w:cs="Times New Roman"/>
      <w:kern w:val="21"/>
      <w:sz w:val="21"/>
      <w:szCs w:val="24"/>
      <w:lang w:val="en-US" w:eastAsia="zh-CN" w:bidi="ar-SA"/>
    </w:rPr>
  </w:style>
  <w:style w:type="paragraph" w:customStyle="1" w:styleId="385">
    <w:name w:val="样式7"/>
    <w:basedOn w:val="1"/>
    <w:qFormat/>
    <w:uiPriority w:val="0"/>
    <w:pPr>
      <w:adjustRightInd w:val="0"/>
      <w:spacing w:before="156" w:beforeLines="50" w:after="156" w:afterLines="50" w:line="360" w:lineRule="auto"/>
      <w:ind w:firstLine="669"/>
      <w:textAlignment w:val="baseline"/>
    </w:pPr>
    <w:rPr>
      <w:rFonts w:ascii="宋体" w:hAnsi="宋体"/>
      <w:kern w:val="0"/>
      <w:sz w:val="28"/>
      <w:szCs w:val="20"/>
    </w:rPr>
  </w:style>
  <w:style w:type="paragraph" w:customStyle="1" w:styleId="386">
    <w:name w:val="此正文"/>
    <w:basedOn w:val="1"/>
    <w:qFormat/>
    <w:uiPriority w:val="0"/>
    <w:pPr>
      <w:spacing w:line="360" w:lineRule="auto"/>
      <w:ind w:firstLine="200" w:firstLineChars="200"/>
    </w:pPr>
    <w:rPr>
      <w:sz w:val="24"/>
      <w:szCs w:val="20"/>
    </w:rPr>
  </w:style>
  <w:style w:type="paragraph" w:customStyle="1" w:styleId="387">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88">
    <w:name w:val="二级项目符号"/>
    <w:basedOn w:val="1"/>
    <w:qFormat/>
    <w:uiPriority w:val="0"/>
    <w:pPr>
      <w:widowControl/>
      <w:tabs>
        <w:tab w:val="left" w:pos="964"/>
      </w:tabs>
      <w:spacing w:line="360" w:lineRule="auto"/>
      <w:ind w:left="964" w:hanging="482"/>
    </w:pPr>
    <w:rPr>
      <w:kern w:val="0"/>
      <w:sz w:val="24"/>
      <w:szCs w:val="20"/>
    </w:rPr>
  </w:style>
  <w:style w:type="paragraph" w:customStyle="1" w:styleId="389">
    <w:name w:val="样式 标题 2Chapter X.X. Statementh22Header 2l2Level 2 Headhea..."/>
    <w:basedOn w:val="3"/>
    <w:qFormat/>
    <w:uiPriority w:val="0"/>
    <w:pPr>
      <w:keepLines w:val="0"/>
      <w:spacing w:before="120" w:after="156" w:afterLines="50" w:line="240" w:lineRule="auto"/>
      <w:jc w:val="left"/>
    </w:pPr>
    <w:rPr>
      <w:rFonts w:ascii="宋体" w:hAnsi="Times New Roman" w:eastAsia="宋体" w:cs="宋体"/>
      <w:snapToGrid w:val="0"/>
      <w:kern w:val="0"/>
      <w:sz w:val="24"/>
      <w:szCs w:val="24"/>
    </w:rPr>
  </w:style>
  <w:style w:type="paragraph" w:customStyle="1" w:styleId="390">
    <w:name w:val="Char1 Char Char Char Char Char Char"/>
    <w:basedOn w:val="1"/>
    <w:qFormat/>
    <w:uiPriority w:val="0"/>
    <w:rPr>
      <w:rFonts w:ascii="Tahoma" w:hAnsi="Tahoma"/>
      <w:sz w:val="24"/>
      <w:szCs w:val="20"/>
    </w:rPr>
  </w:style>
  <w:style w:type="paragraph" w:customStyle="1" w:styleId="391">
    <w:name w:val="标3"/>
    <w:basedOn w:val="1"/>
    <w:qFormat/>
    <w:uiPriority w:val="0"/>
    <w:pPr>
      <w:tabs>
        <w:tab w:val="left" w:pos="1740"/>
      </w:tabs>
      <w:adjustRightInd w:val="0"/>
      <w:snapToGrid w:val="0"/>
      <w:spacing w:before="50"/>
      <w:ind w:left="1740" w:hanging="420"/>
      <w:outlineLvl w:val="2"/>
    </w:pPr>
    <w:rPr>
      <w:rFonts w:ascii="Arial Narrow" w:hAnsi="Arial Narrow" w:eastAsia="仿宋_GB2312"/>
      <w:sz w:val="28"/>
      <w:szCs w:val="20"/>
    </w:rPr>
  </w:style>
  <w:style w:type="paragraph" w:customStyle="1" w:styleId="392">
    <w:name w:val="paragraph1"/>
    <w:basedOn w:val="1"/>
    <w:qFormat/>
    <w:uiPriority w:val="0"/>
    <w:pPr>
      <w:spacing w:after="93" w:afterLines="30" w:line="360" w:lineRule="auto"/>
      <w:ind w:firstLine="420" w:firstLineChars="200"/>
    </w:pPr>
    <w:rPr>
      <w:rFonts w:eastAsia="楷体_GB2312"/>
      <w:sz w:val="24"/>
      <w:szCs w:val="20"/>
    </w:rPr>
  </w:style>
  <w:style w:type="paragraph" w:customStyle="1" w:styleId="393">
    <w:name w:val="正文首行缩进2字符"/>
    <w:basedOn w:val="1"/>
    <w:qFormat/>
    <w:uiPriority w:val="0"/>
    <w:pPr>
      <w:spacing w:line="360" w:lineRule="auto"/>
      <w:ind w:firstLine="200" w:firstLineChars="200"/>
    </w:pPr>
    <w:rPr>
      <w:rFonts w:eastAsia="仿宋"/>
      <w:sz w:val="28"/>
      <w:szCs w:val="20"/>
    </w:rPr>
  </w:style>
  <w:style w:type="paragraph" w:customStyle="1" w:styleId="394">
    <w:name w:val="其他标准称谓"/>
    <w:qFormat/>
    <w:uiPriority w:val="0"/>
    <w:pPr>
      <w:spacing w:line="0" w:lineRule="atLeast"/>
      <w:jc w:val="distribute"/>
    </w:pPr>
    <w:rPr>
      <w:rFonts w:ascii="黑体" w:hAnsi="宋体" w:eastAsia="黑体" w:cs="Times New Roman"/>
      <w:kern w:val="2"/>
      <w:sz w:val="52"/>
      <w:szCs w:val="24"/>
      <w:lang w:val="en-US" w:eastAsia="zh-CN" w:bidi="ar-SA"/>
    </w:rPr>
  </w:style>
  <w:style w:type="paragraph" w:customStyle="1" w:styleId="395">
    <w:name w:val="WPSOffice手动目录 1"/>
    <w:qFormat/>
    <w:uiPriority w:val="0"/>
    <w:rPr>
      <w:rFonts w:ascii="Times New Roman" w:hAnsi="Times New Roman" w:eastAsia="宋体" w:cs="Times New Roman"/>
      <w:lang w:val="en-US" w:eastAsia="zh-CN" w:bidi="ar-SA"/>
    </w:rPr>
  </w:style>
  <w:style w:type="paragraph" w:customStyle="1" w:styleId="396">
    <w:name w:val="示例"/>
    <w:next w:val="169"/>
    <w:qFormat/>
    <w:uiPriority w:val="0"/>
    <w:pPr>
      <w:tabs>
        <w:tab w:val="left" w:pos="360"/>
      </w:tabs>
      <w:jc w:val="both"/>
    </w:pPr>
    <w:rPr>
      <w:rFonts w:ascii="宋体" w:hAnsi="宋体" w:eastAsia="宋体" w:cs="Times New Roman"/>
      <w:kern w:val="2"/>
      <w:sz w:val="18"/>
      <w:szCs w:val="24"/>
      <w:lang w:val="en-US" w:eastAsia="zh-CN" w:bidi="ar-SA"/>
    </w:rPr>
  </w:style>
  <w:style w:type="paragraph" w:customStyle="1" w:styleId="397">
    <w:name w:val="其他发布部门"/>
    <w:basedOn w:val="398"/>
    <w:qFormat/>
    <w:uiPriority w:val="0"/>
    <w:pPr>
      <w:spacing w:line="0" w:lineRule="atLeast"/>
    </w:pPr>
    <w:rPr>
      <w:rFonts w:ascii="黑体" w:eastAsia="黑体"/>
      <w:b w:val="0"/>
    </w:rPr>
  </w:style>
  <w:style w:type="paragraph" w:customStyle="1" w:styleId="398">
    <w:name w:val="发布部门"/>
    <w:next w:val="169"/>
    <w:qFormat/>
    <w:uiPriority w:val="0"/>
    <w:pPr>
      <w:jc w:val="center"/>
    </w:pPr>
    <w:rPr>
      <w:rFonts w:ascii="宋体" w:hAnsi="宋体" w:eastAsia="宋体" w:cs="Times New Roman"/>
      <w:b/>
      <w:spacing w:val="20"/>
      <w:w w:val="135"/>
      <w:kern w:val="2"/>
      <w:sz w:val="36"/>
      <w:szCs w:val="24"/>
      <w:lang w:val="en-US" w:eastAsia="zh-CN" w:bidi="ar-SA"/>
    </w:rPr>
  </w:style>
  <w:style w:type="paragraph" w:customStyle="1" w:styleId="399">
    <w:name w:val="表文字"/>
    <w:basedOn w:val="13"/>
    <w:qFormat/>
    <w:uiPriority w:val="0"/>
    <w:pPr>
      <w:widowControl/>
      <w:overflowPunct w:val="0"/>
      <w:autoSpaceDE w:val="0"/>
      <w:autoSpaceDN w:val="0"/>
      <w:adjustRightInd w:val="0"/>
      <w:snapToGrid w:val="0"/>
      <w:spacing w:line="360" w:lineRule="auto"/>
      <w:ind w:firstLine="0"/>
    </w:pPr>
    <w:rPr>
      <w:rFonts w:ascii="宋体" w:hAnsi="宋体" w:eastAsia="幼圆"/>
      <w:snapToGrid w:val="0"/>
      <w:color w:val="000000"/>
      <w:kern w:val="28"/>
      <w:sz w:val="28"/>
    </w:rPr>
  </w:style>
  <w:style w:type="paragraph" w:customStyle="1" w:styleId="400">
    <w:name w:val="标准标题3"/>
    <w:basedOn w:val="4"/>
    <w:qFormat/>
    <w:uiPriority w:val="0"/>
    <w:pPr>
      <w:tabs>
        <w:tab w:val="left" w:pos="1050"/>
      </w:tabs>
      <w:autoSpaceDE/>
      <w:autoSpaceDN/>
      <w:adjustRightInd/>
      <w:spacing w:before="260" w:after="260"/>
      <w:ind w:left="-258" w:leftChars="-258"/>
      <w:jc w:val="both"/>
    </w:pPr>
    <w:rPr>
      <w:rFonts w:ascii="Times New Roman" w:eastAsia="仿宋_GB2312"/>
      <w:bCs/>
      <w:kern w:val="2"/>
      <w:sz w:val="28"/>
      <w:szCs w:val="32"/>
      <w:u w:val="none"/>
    </w:rPr>
  </w:style>
  <w:style w:type="paragraph" w:customStyle="1" w:styleId="401">
    <w:name w:val="Char"/>
    <w:basedOn w:val="1"/>
    <w:qFormat/>
    <w:uiPriority w:val="0"/>
    <w:rPr>
      <w:szCs w:val="20"/>
    </w:rPr>
  </w:style>
  <w:style w:type="paragraph" w:customStyle="1" w:styleId="402">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403">
    <w:name w:val="Item List"/>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paragraph" w:customStyle="1" w:styleId="404">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405">
    <w:name w:val="样式 标题 2 + 五号"/>
    <w:basedOn w:val="3"/>
    <w:qFormat/>
    <w:uiPriority w:val="0"/>
    <w:pPr>
      <w:spacing w:before="0" w:after="0" w:line="240" w:lineRule="auto"/>
    </w:pPr>
    <w:rPr>
      <w:rFonts w:ascii="宋体" w:hAnsi="宋体" w:eastAsia="宋体"/>
      <w:sz w:val="21"/>
    </w:rPr>
  </w:style>
  <w:style w:type="paragraph" w:customStyle="1" w:styleId="406">
    <w:name w:val="样式　标题4"/>
    <w:basedOn w:val="367"/>
    <w:next w:val="1"/>
    <w:qFormat/>
    <w:uiPriority w:val="0"/>
  </w:style>
  <w:style w:type="paragraph" w:customStyle="1" w:styleId="407">
    <w:name w:val="封面标准名称"/>
    <w:qFormat/>
    <w:uiPriority w:val="0"/>
    <w:pPr>
      <w:widowControl w:val="0"/>
      <w:spacing w:line="680" w:lineRule="exact"/>
      <w:jc w:val="center"/>
      <w:textAlignment w:val="center"/>
    </w:pPr>
    <w:rPr>
      <w:rFonts w:ascii="黑体" w:hAnsi="宋体" w:eastAsia="黑体" w:cs="Times New Roman"/>
      <w:kern w:val="2"/>
      <w:sz w:val="52"/>
      <w:szCs w:val="24"/>
      <w:lang w:val="en-US" w:eastAsia="zh-CN" w:bidi="ar-SA"/>
    </w:rPr>
  </w:style>
  <w:style w:type="paragraph" w:customStyle="1" w:styleId="408">
    <w:name w:val="1"/>
    <w:basedOn w:val="1"/>
    <w:next w:val="47"/>
    <w:qFormat/>
    <w:uiPriority w:val="0"/>
    <w:pPr>
      <w:tabs>
        <w:tab w:val="left" w:pos="840"/>
      </w:tabs>
      <w:spacing w:line="360" w:lineRule="auto"/>
      <w:ind w:left="840" w:hanging="420"/>
    </w:pPr>
    <w:rPr>
      <w:rFonts w:eastAsia="仿宋_GB2312"/>
      <w:sz w:val="24"/>
    </w:rPr>
  </w:style>
  <w:style w:type="paragraph" w:customStyle="1" w:styleId="409">
    <w:name w:val="font10"/>
    <w:basedOn w:val="1"/>
    <w:qFormat/>
    <w:uiPriority w:val="0"/>
    <w:pPr>
      <w:widowControl/>
      <w:spacing w:before="100" w:beforeAutospacing="1" w:after="100" w:afterAutospacing="1"/>
      <w:jc w:val="left"/>
    </w:pPr>
    <w:rPr>
      <w:color w:val="000000"/>
      <w:kern w:val="0"/>
      <w:sz w:val="20"/>
      <w:szCs w:val="20"/>
    </w:rPr>
  </w:style>
  <w:style w:type="paragraph" w:customStyle="1" w:styleId="410">
    <w:name w:val="font17"/>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411">
    <w:name w:val="封面一致性程度标识"/>
    <w:qFormat/>
    <w:uiPriority w:val="0"/>
    <w:pPr>
      <w:spacing w:before="440" w:line="400" w:lineRule="exact"/>
      <w:jc w:val="center"/>
    </w:pPr>
    <w:rPr>
      <w:rFonts w:ascii="宋体" w:hAnsi="宋体" w:eastAsia="宋体" w:cs="Times New Roman"/>
      <w:kern w:val="2"/>
      <w:sz w:val="28"/>
      <w:szCs w:val="24"/>
      <w:lang w:val="en-US" w:eastAsia="zh-CN" w:bidi="ar-SA"/>
    </w:rPr>
  </w:style>
  <w:style w:type="paragraph" w:customStyle="1" w:styleId="412">
    <w:name w:val="正文1"/>
    <w:qFormat/>
    <w:uiPriority w:val="0"/>
    <w:rPr>
      <w:rFonts w:ascii="Calibri" w:hAnsi="Calibri" w:eastAsia="Times New Roman" w:cs="Times New Roman"/>
      <w:sz w:val="24"/>
      <w:szCs w:val="24"/>
      <w:lang w:val="en-US" w:eastAsia="zh-CN" w:bidi="ar-SA"/>
    </w:rPr>
  </w:style>
  <w:style w:type="paragraph" w:customStyle="1" w:styleId="413">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14">
    <w:name w:val="Table - Text"/>
    <w:basedOn w:val="1"/>
    <w:qFormat/>
    <w:uiPriority w:val="0"/>
    <w:pPr>
      <w:widowControl/>
      <w:spacing w:before="60" w:after="156" w:afterLines="50"/>
      <w:jc w:val="left"/>
    </w:pPr>
    <w:rPr>
      <w:kern w:val="0"/>
      <w:szCs w:val="20"/>
      <w:lang w:eastAsia="en-US"/>
    </w:rPr>
  </w:style>
  <w:style w:type="paragraph" w:customStyle="1" w:styleId="415">
    <w:name w:val="图表脚注"/>
    <w:next w:val="169"/>
    <w:qFormat/>
    <w:uiPriority w:val="0"/>
    <w:pPr>
      <w:ind w:left="300" w:leftChars="200" w:hanging="100" w:hangingChars="100"/>
      <w:jc w:val="both"/>
    </w:pPr>
    <w:rPr>
      <w:rFonts w:ascii="宋体" w:hAnsi="宋体" w:eastAsia="宋体" w:cs="Times New Roman"/>
      <w:kern w:val="2"/>
      <w:sz w:val="18"/>
      <w:szCs w:val="24"/>
      <w:lang w:val="en-US" w:eastAsia="zh-CN" w:bidi="ar-SA"/>
    </w:rPr>
  </w:style>
  <w:style w:type="paragraph" w:customStyle="1" w:styleId="416">
    <w:name w:val="Char2"/>
    <w:basedOn w:val="1"/>
    <w:qFormat/>
    <w:uiPriority w:val="0"/>
    <w:pPr>
      <w:widowControl/>
      <w:spacing w:line="400" w:lineRule="exact"/>
      <w:jc w:val="center"/>
    </w:pPr>
    <w:rPr>
      <w:rFonts w:ascii="Verdana" w:hAnsi="Verdana" w:cs="Verdana"/>
      <w:kern w:val="0"/>
      <w:szCs w:val="21"/>
      <w:lang w:eastAsia="en-US"/>
    </w:rPr>
  </w:style>
  <w:style w:type="paragraph" w:customStyle="1" w:styleId="417">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418">
    <w:name w:val="Char3"/>
    <w:basedOn w:val="1"/>
    <w:qFormat/>
    <w:uiPriority w:val="0"/>
    <w:rPr>
      <w:rFonts w:ascii="Tahoma" w:hAnsi="Tahoma"/>
      <w:sz w:val="24"/>
      <w:szCs w:val="20"/>
    </w:rPr>
  </w:style>
  <w:style w:type="paragraph" w:customStyle="1" w:styleId="419">
    <w:name w:val="P2"/>
    <w:basedOn w:val="1"/>
    <w:qFormat/>
    <w:uiPriority w:val="0"/>
    <w:pPr>
      <w:widowControl/>
      <w:spacing w:before="240" w:line="240" w:lineRule="atLeast"/>
      <w:ind w:left="578"/>
      <w:jc w:val="left"/>
    </w:pPr>
    <w:rPr>
      <w:b/>
      <w:kern w:val="0"/>
      <w:szCs w:val="21"/>
      <w:lang w:val="en-AU" w:eastAsia="en-US"/>
    </w:rPr>
  </w:style>
  <w:style w:type="paragraph" w:customStyle="1" w:styleId="420">
    <w:name w:val="样式 三号 加粗 段后: 0.5 行"/>
    <w:basedOn w:val="1"/>
    <w:qFormat/>
    <w:uiPriority w:val="0"/>
    <w:pPr>
      <w:spacing w:after="156" w:afterLines="50"/>
      <w:jc w:val="left"/>
    </w:pPr>
    <w:rPr>
      <w:rFonts w:ascii="宋体" w:cs="宋体"/>
      <w:b/>
      <w:bCs/>
      <w:snapToGrid w:val="0"/>
      <w:kern w:val="0"/>
      <w:sz w:val="32"/>
      <w:szCs w:val="20"/>
    </w:rPr>
  </w:style>
  <w:style w:type="paragraph" w:customStyle="1" w:styleId="421">
    <w:name w:val="Char Char Char1 Char Char Char Char"/>
    <w:basedOn w:val="1"/>
    <w:qFormat/>
    <w:uiPriority w:val="0"/>
    <w:rPr>
      <w:rFonts w:ascii="仿宋_GB2312" w:eastAsia="仿宋_GB2312"/>
      <w:b/>
      <w:sz w:val="32"/>
      <w:szCs w:val="32"/>
    </w:rPr>
  </w:style>
  <w:style w:type="paragraph" w:customStyle="1" w:styleId="422">
    <w:name w:val="四级无标题条"/>
    <w:basedOn w:val="1"/>
    <w:qFormat/>
    <w:uiPriority w:val="0"/>
    <w:rPr>
      <w:rFonts w:ascii="宋体" w:hAnsi="宋体"/>
    </w:rPr>
  </w:style>
  <w:style w:type="paragraph" w:customStyle="1" w:styleId="423">
    <w:name w:val="实施日期"/>
    <w:basedOn w:val="424"/>
    <w:qFormat/>
    <w:uiPriority w:val="0"/>
    <w:pPr>
      <w:jc w:val="right"/>
    </w:pPr>
  </w:style>
  <w:style w:type="paragraph" w:customStyle="1" w:styleId="424">
    <w:name w:val="发布日期"/>
    <w:qFormat/>
    <w:uiPriority w:val="0"/>
    <w:rPr>
      <w:rFonts w:ascii="宋体" w:hAnsi="宋体" w:eastAsia="黑体" w:cs="Times New Roman"/>
      <w:kern w:val="2"/>
      <w:sz w:val="28"/>
      <w:szCs w:val="24"/>
      <w:lang w:val="en-US" w:eastAsia="zh-CN" w:bidi="ar-SA"/>
    </w:rPr>
  </w:style>
  <w:style w:type="paragraph" w:customStyle="1" w:styleId="425">
    <w:name w:val="表格"/>
    <w:basedOn w:val="1"/>
    <w:next w:val="1"/>
    <w:qFormat/>
    <w:uiPriority w:val="0"/>
    <w:pPr>
      <w:widowControl/>
      <w:jc w:val="center"/>
    </w:pPr>
    <w:rPr>
      <w:rFonts w:ascii="宋体" w:cs="宋体"/>
      <w:bCs/>
      <w:kern w:val="0"/>
    </w:rPr>
  </w:style>
  <w:style w:type="paragraph" w:customStyle="1" w:styleId="426">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427">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428">
    <w:name w:val="Char Char6 Char Char"/>
    <w:basedOn w:val="1"/>
    <w:qFormat/>
    <w:uiPriority w:val="0"/>
    <w:pPr>
      <w:tabs>
        <w:tab w:val="right" w:pos="-2120"/>
      </w:tabs>
      <w:snapToGrid w:val="0"/>
    </w:pPr>
    <w:rPr>
      <w:rFonts w:ascii="Tahoma" w:hAnsi="Tahoma"/>
      <w:spacing w:val="6"/>
      <w:sz w:val="24"/>
      <w:szCs w:val="20"/>
    </w:rPr>
  </w:style>
  <w:style w:type="paragraph" w:customStyle="1" w:styleId="429">
    <w:name w:val="修订1"/>
    <w:qFormat/>
    <w:uiPriority w:val="0"/>
    <w:rPr>
      <w:rFonts w:ascii="Times New Roman" w:hAnsi="Times New Roman" w:eastAsia="宋体" w:cs="Times New Roman"/>
      <w:kern w:val="2"/>
      <w:sz w:val="21"/>
      <w:szCs w:val="24"/>
      <w:lang w:val="en-US" w:eastAsia="zh-CN" w:bidi="ar-SA"/>
    </w:rPr>
  </w:style>
  <w:style w:type="paragraph" w:customStyle="1" w:styleId="430">
    <w:name w:val="样式 模板描述"/>
    <w:basedOn w:val="1"/>
    <w:next w:val="337"/>
    <w:qFormat/>
    <w:uiPriority w:val="0"/>
    <w:pPr>
      <w:spacing w:after="156" w:afterLines="50"/>
      <w:jc w:val="left"/>
    </w:pPr>
    <w:rPr>
      <w:rFonts w:ascii="宋体" w:cs="宋体"/>
      <w:i/>
      <w:iCs/>
      <w:snapToGrid w:val="0"/>
      <w:color w:val="0000FF"/>
      <w:kern w:val="0"/>
      <w:szCs w:val="21"/>
    </w:rPr>
  </w:style>
  <w:style w:type="paragraph" w:customStyle="1" w:styleId="431">
    <w:name w:val="正文2"/>
    <w:basedOn w:val="1"/>
    <w:qFormat/>
    <w:uiPriority w:val="0"/>
    <w:pPr>
      <w:spacing w:before="156" w:beforeLines="50" w:after="156" w:afterLines="50" w:line="360" w:lineRule="auto"/>
      <w:ind w:firstLine="480" w:firstLineChars="200"/>
    </w:pPr>
    <w:rPr>
      <w:rFonts w:ascii="仿宋_GB2312"/>
      <w:sz w:val="24"/>
      <w:szCs w:val="20"/>
    </w:rPr>
  </w:style>
  <w:style w:type="paragraph" w:customStyle="1" w:styleId="432">
    <w:name w:val="List Paragraph1"/>
    <w:basedOn w:val="1"/>
    <w:qFormat/>
    <w:uiPriority w:val="0"/>
    <w:pPr>
      <w:ind w:firstLine="420" w:firstLineChars="200"/>
    </w:pPr>
    <w:rPr>
      <w:rFonts w:ascii="Calibri" w:hAnsi="Calibri"/>
      <w:szCs w:val="22"/>
    </w:rPr>
  </w:style>
  <w:style w:type="paragraph" w:customStyle="1" w:styleId="433">
    <w:name w:val="二级无标题条"/>
    <w:basedOn w:val="1"/>
    <w:qFormat/>
    <w:uiPriority w:val="0"/>
    <w:rPr>
      <w:rFonts w:ascii="宋体" w:hAnsi="宋体"/>
    </w:rPr>
  </w:style>
  <w:style w:type="paragraph" w:customStyle="1" w:styleId="434">
    <w:name w:val="样式 标题 3Chapter X.X.X"/>
    <w:basedOn w:val="435"/>
    <w:qFormat/>
    <w:uiPriority w:val="0"/>
  </w:style>
  <w:style w:type="paragraph" w:customStyle="1" w:styleId="435">
    <w:name w:val="标题 3Chapter X.X.X. + 段后: 0.5 行 + 段后: 0.5 行 + 段后: 0.5 行1"/>
    <w:basedOn w:val="436"/>
    <w:qFormat/>
    <w:uiPriority w:val="0"/>
  </w:style>
  <w:style w:type="paragraph" w:customStyle="1" w:styleId="436">
    <w:name w:val="样式 样式 标题 3Chapter X.X.X. + 段后: 0.5 行 + 段后: 0.5 行"/>
    <w:basedOn w:val="437"/>
    <w:qFormat/>
    <w:uiPriority w:val="0"/>
  </w:style>
  <w:style w:type="paragraph" w:customStyle="1" w:styleId="437">
    <w:name w:val="样式 标题 3Chapter X.X.X. + 段后: 0.5 行"/>
    <w:basedOn w:val="4"/>
    <w:qFormat/>
    <w:uiPriority w:val="0"/>
    <w:pPr>
      <w:keepLines w:val="0"/>
      <w:autoSpaceDE/>
      <w:autoSpaceDN/>
      <w:adjustRightInd/>
      <w:spacing w:before="120" w:after="156" w:afterLines="50"/>
    </w:pPr>
    <w:rPr>
      <w:rFonts w:cs="宋体"/>
      <w:bCs/>
      <w:snapToGrid w:val="0"/>
      <w:u w:val="none"/>
    </w:rPr>
  </w:style>
  <w:style w:type="paragraph" w:customStyle="1" w:styleId="438">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39">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440">
    <w:name w:val="样式 样式 正文文本缩进 + 仿宋_GB2312 小四 首行缩进:  0 厘米 行距: 1.5 倍行距 + (中文) 仿宋_GB... Char Char"/>
    <w:basedOn w:val="268"/>
    <w:qFormat/>
    <w:uiPriority w:val="0"/>
    <w:pPr>
      <w:ind w:firstLine="480" w:firstLineChars="200"/>
    </w:pPr>
  </w:style>
  <w:style w:type="paragraph" w:customStyle="1" w:styleId="441">
    <w:name w:val="paramlista"/>
    <w:basedOn w:val="1"/>
    <w:qFormat/>
    <w:uiPriority w:val="0"/>
    <w:pPr>
      <w:widowControl/>
      <w:tabs>
        <w:tab w:val="left" w:pos="600"/>
      </w:tabs>
      <w:spacing w:before="100" w:beforeAutospacing="1" w:after="100" w:afterAutospacing="1" w:line="240" w:lineRule="atLeast"/>
      <w:ind w:hanging="420"/>
      <w:jc w:val="left"/>
    </w:pPr>
    <w:rPr>
      <w:rFonts w:ascii="宋体" w:hAnsi="宋体" w:cs="宋体"/>
      <w:kern w:val="0"/>
      <w:sz w:val="18"/>
      <w:szCs w:val="18"/>
    </w:rPr>
  </w:style>
  <w:style w:type="paragraph" w:customStyle="1" w:styleId="442">
    <w:name w:val="1 Char Char Char Char"/>
    <w:basedOn w:val="1"/>
    <w:qFormat/>
    <w:uiPriority w:val="0"/>
    <w:rPr>
      <w:rFonts w:ascii="Tahoma" w:hAnsi="Tahoma"/>
      <w:sz w:val="24"/>
      <w:szCs w:val="20"/>
    </w:rPr>
  </w:style>
  <w:style w:type="paragraph" w:customStyle="1" w:styleId="443">
    <w:name w:val="BodyText1I"/>
    <w:basedOn w:val="1"/>
    <w:next w:val="1"/>
    <w:qFormat/>
    <w:uiPriority w:val="0"/>
    <w:pPr>
      <w:spacing w:line="360" w:lineRule="auto"/>
      <w:ind w:firstLine="200" w:firstLineChars="200"/>
      <w:jc w:val="left"/>
      <w:textAlignment w:val="baseline"/>
    </w:pPr>
    <w:rPr>
      <w:rFonts w:ascii="宋体" w:hAnsi="宋体" w:cs="Times New Roman"/>
      <w:bCs/>
      <w:kern w:val="2"/>
      <w:sz w:val="24"/>
      <w:szCs w:val="24"/>
      <w:lang w:val="en-US" w:eastAsia="zh-CN" w:bidi="ar-SA"/>
    </w:rPr>
  </w:style>
  <w:style w:type="paragraph" w:customStyle="1" w:styleId="444">
    <w:name w:val="Char1 Char Char Char"/>
    <w:basedOn w:val="1"/>
    <w:qFormat/>
    <w:uiPriority w:val="0"/>
    <w:pPr>
      <w:tabs>
        <w:tab w:val="left" w:pos="432"/>
      </w:tabs>
      <w:spacing w:before="156" w:beforeLines="50" w:after="156" w:afterLines="50" w:line="400" w:lineRule="exact"/>
      <w:ind w:left="432" w:hanging="432"/>
    </w:pPr>
    <w:rPr>
      <w:rFonts w:ascii="宋体" w:hAnsi="宋体"/>
      <w:sz w:val="24"/>
    </w:rPr>
  </w:style>
  <w:style w:type="paragraph" w:customStyle="1" w:styleId="445">
    <w:name w:val="S4-L15-No"/>
    <w:basedOn w:val="446"/>
    <w:qFormat/>
    <w:uiPriority w:val="0"/>
    <w:pPr>
      <w:tabs>
        <w:tab w:val="left" w:pos="720"/>
      </w:tabs>
      <w:ind w:hanging="720"/>
    </w:pPr>
  </w:style>
  <w:style w:type="paragraph" w:customStyle="1" w:styleId="446">
    <w:name w:val="S4-L15"/>
    <w:basedOn w:val="1"/>
    <w:qFormat/>
    <w:uiPriority w:val="0"/>
    <w:pPr>
      <w:spacing w:after="120" w:line="360" w:lineRule="auto"/>
      <w:ind w:left="720" w:firstLine="392"/>
    </w:pPr>
    <w:rPr>
      <w:szCs w:val="21"/>
      <w:lang w:val="fr-FR"/>
    </w:rPr>
  </w:style>
  <w:style w:type="paragraph" w:customStyle="1" w:styleId="447">
    <w:name w:val="样式 标题 3Chapter X.X.X. + 五号 段后: 0.5 行"/>
    <w:basedOn w:val="4"/>
    <w:qFormat/>
    <w:uiPriority w:val="0"/>
    <w:pPr>
      <w:keepLines w:val="0"/>
      <w:autoSpaceDE/>
      <w:autoSpaceDN/>
      <w:adjustRightInd/>
      <w:spacing w:before="120" w:after="156" w:afterLines="50"/>
    </w:pPr>
    <w:rPr>
      <w:rFonts w:cs="宋体"/>
      <w:bCs/>
      <w:snapToGrid w:val="0"/>
      <w:sz w:val="21"/>
      <w:u w:val="none"/>
    </w:rPr>
  </w:style>
  <w:style w:type="paragraph" w:customStyle="1" w:styleId="448">
    <w:name w:val="最新标题1"/>
    <w:basedOn w:val="342"/>
    <w:next w:val="343"/>
    <w:qFormat/>
    <w:uiPriority w:val="0"/>
    <w:pPr>
      <w:spacing w:after="120"/>
    </w:pPr>
    <w:rPr>
      <w:bCs/>
    </w:rPr>
  </w:style>
  <w:style w:type="paragraph" w:customStyle="1" w:styleId="449">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450">
    <w:name w:val="样式 正文（首行缩进两字） + 首行缩进:  2 字符"/>
    <w:basedOn w:val="13"/>
    <w:qFormat/>
    <w:uiPriority w:val="0"/>
    <w:pPr>
      <w:spacing w:line="460" w:lineRule="exact"/>
      <w:ind w:firstLine="536" w:firstLineChars="200"/>
    </w:pPr>
    <w:rPr>
      <w:rFonts w:cs="宋体"/>
      <w:spacing w:val="6"/>
      <w:kern w:val="24"/>
      <w:sz w:val="24"/>
      <w:szCs w:val="24"/>
    </w:rPr>
  </w:style>
  <w:style w:type="paragraph" w:customStyle="1" w:styleId="451">
    <w:name w:val="样式 标题 4Chapter X.X.X. + 段后: 0.5 行1 + 段后: 0.5 行"/>
    <w:basedOn w:val="367"/>
    <w:qFormat/>
    <w:uiPriority w:val="0"/>
    <w:rPr>
      <w:szCs w:val="21"/>
    </w:rPr>
  </w:style>
  <w:style w:type="paragraph" w:customStyle="1" w:styleId="452">
    <w:name w:val="Paragraph4"/>
    <w:basedOn w:val="1"/>
    <w:qFormat/>
    <w:uiPriority w:val="0"/>
    <w:pPr>
      <w:spacing w:before="80" w:after="156" w:afterLines="50"/>
      <w:ind w:left="2250"/>
    </w:pPr>
    <w:rPr>
      <w:rFonts w:ascii="宋体"/>
      <w:snapToGrid w:val="0"/>
      <w:kern w:val="0"/>
      <w:szCs w:val="20"/>
    </w:rPr>
  </w:style>
  <w:style w:type="paragraph" w:customStyle="1" w:styleId="453">
    <w:name w:val="五级无标题条"/>
    <w:basedOn w:val="1"/>
    <w:qFormat/>
    <w:uiPriority w:val="0"/>
    <w:rPr>
      <w:rFonts w:ascii="宋体" w:hAnsi="宋体"/>
    </w:rPr>
  </w:style>
  <w:style w:type="paragraph" w:customStyle="1" w:styleId="454">
    <w:name w:val="标准标题2"/>
    <w:basedOn w:val="3"/>
    <w:qFormat/>
    <w:uiPriority w:val="0"/>
    <w:pPr>
      <w:spacing w:line="360" w:lineRule="auto"/>
    </w:pPr>
    <w:rPr>
      <w:rFonts w:eastAsia="仿宋_GB2312"/>
      <w:bCs w:val="0"/>
      <w:sz w:val="28"/>
    </w:rPr>
  </w:style>
  <w:style w:type="paragraph" w:customStyle="1" w:styleId="455">
    <w:name w:val="Note Heading1"/>
    <w:basedOn w:val="1"/>
    <w:next w:val="1"/>
    <w:qFormat/>
    <w:uiPriority w:val="0"/>
    <w:pPr>
      <w:jc w:val="center"/>
    </w:pPr>
    <w:rPr>
      <w:rFonts w:ascii="DFKai-SB" w:hAnsi="DFKai-SB" w:eastAsia="DFKai-SB"/>
      <w:sz w:val="20"/>
      <w:szCs w:val="20"/>
    </w:rPr>
  </w:style>
  <w:style w:type="paragraph" w:customStyle="1" w:styleId="456">
    <w:name w:val="附录性质"/>
    <w:basedOn w:val="1"/>
    <w:qFormat/>
    <w:uiPriority w:val="0"/>
    <w:pPr>
      <w:jc w:val="center"/>
    </w:pPr>
    <w:rPr>
      <w:rFonts w:ascii="黑体" w:hAnsi="宋体" w:eastAsia="黑体"/>
    </w:rPr>
  </w:style>
  <w:style w:type="paragraph" w:customStyle="1" w:styleId="457">
    <w:name w:val="xl7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458">
    <w:name w:val="附录图标题"/>
    <w:next w:val="169"/>
    <w:qFormat/>
    <w:uiPriority w:val="0"/>
    <w:pPr>
      <w:jc w:val="center"/>
    </w:pPr>
    <w:rPr>
      <w:rFonts w:ascii="黑体" w:hAnsi="宋体" w:eastAsia="黑体" w:cs="Times New Roman"/>
      <w:kern w:val="2"/>
      <w:sz w:val="21"/>
      <w:szCs w:val="24"/>
      <w:lang w:val="en-US" w:eastAsia="zh-CN" w:bidi="ar-SA"/>
    </w:rPr>
  </w:style>
  <w:style w:type="paragraph" w:customStyle="1" w:styleId="459">
    <w:name w:val="目次、标准名称标题"/>
    <w:basedOn w:val="304"/>
    <w:next w:val="1"/>
    <w:qFormat/>
    <w:uiPriority w:val="0"/>
    <w:pPr>
      <w:spacing w:line="460" w:lineRule="exact"/>
    </w:pPr>
    <w:rPr>
      <w:rFonts w:hAnsi="宋体"/>
      <w:kern w:val="2"/>
      <w:szCs w:val="24"/>
    </w:rPr>
  </w:style>
  <w:style w:type="paragraph" w:customStyle="1" w:styleId="460">
    <w:name w:val="样式1"/>
    <w:basedOn w:val="2"/>
    <w:qFormat/>
    <w:uiPriority w:val="0"/>
    <w:pPr>
      <w:spacing w:line="0" w:lineRule="atLeast"/>
      <w:jc w:val="center"/>
    </w:pPr>
    <w:rPr>
      <w:rFonts w:ascii="宋体" w:hAnsi="宋体" w:eastAsia="黑体"/>
      <w:b w:val="0"/>
      <w:bCs w:val="0"/>
      <w:sz w:val="36"/>
      <w:szCs w:val="20"/>
    </w:rPr>
  </w:style>
  <w:style w:type="paragraph" w:customStyle="1" w:styleId="461">
    <w:name w:val="正文图标题"/>
    <w:next w:val="169"/>
    <w:qFormat/>
    <w:uiPriority w:val="0"/>
    <w:pPr>
      <w:tabs>
        <w:tab w:val="left" w:pos="360"/>
      </w:tabs>
      <w:jc w:val="center"/>
    </w:pPr>
    <w:rPr>
      <w:rFonts w:ascii="黑体" w:hAnsi="宋体" w:eastAsia="黑体" w:cs="Times New Roman"/>
      <w:kern w:val="2"/>
      <w:sz w:val="21"/>
      <w:szCs w:val="24"/>
      <w:lang w:val="en-US" w:eastAsia="zh-CN" w:bidi="ar-SA"/>
    </w:rPr>
  </w:style>
  <w:style w:type="paragraph" w:customStyle="1" w:styleId="462">
    <w:name w:val="样式 样式3 + 宋体 五号 Char Char Char"/>
    <w:basedOn w:val="1"/>
    <w:qFormat/>
    <w:uiPriority w:val="0"/>
    <w:pPr>
      <w:keepNext/>
      <w:keepLines/>
      <w:tabs>
        <w:tab w:val="left" w:pos="1050"/>
      </w:tabs>
      <w:ind w:left="1050" w:hanging="450"/>
      <w:jc w:val="left"/>
      <w:outlineLvl w:val="7"/>
    </w:pPr>
    <w:rPr>
      <w:rFonts w:ascii="宋体" w:hAnsi="宋体"/>
      <w:b/>
      <w:bCs/>
    </w:rPr>
  </w:style>
  <w:style w:type="paragraph" w:customStyle="1" w:styleId="463">
    <w:name w:val="Plain Text_5d4b503d-331e-4e98-946a-c245bef629af"/>
    <w:basedOn w:val="1"/>
    <w:qFormat/>
    <w:uiPriority w:val="0"/>
    <w:pPr>
      <w:spacing w:before="156" w:beforeLines="50" w:after="156" w:afterLines="50" w:line="400" w:lineRule="exact"/>
    </w:pPr>
    <w:rPr>
      <w:rFonts w:ascii="宋体" w:hAnsi="Courier New" w:eastAsia="宋体"/>
      <w:kern w:val="2"/>
      <w:sz w:val="24"/>
      <w:szCs w:val="24"/>
      <w:lang w:val="en-US" w:eastAsia="zh-CN" w:bidi="ar-SA"/>
    </w:rPr>
  </w:style>
  <w:style w:type="paragraph" w:customStyle="1" w:styleId="464">
    <w:name w:val="Tabletext"/>
    <w:basedOn w:val="1"/>
    <w:qFormat/>
    <w:uiPriority w:val="0"/>
    <w:pPr>
      <w:keepLines/>
      <w:spacing w:after="156" w:afterLines="50"/>
      <w:jc w:val="left"/>
    </w:pPr>
    <w:rPr>
      <w:rFonts w:ascii="宋体"/>
      <w:snapToGrid w:val="0"/>
      <w:kern w:val="0"/>
      <w:szCs w:val="20"/>
    </w:rPr>
  </w:style>
  <w:style w:type="paragraph" w:customStyle="1" w:styleId="465">
    <w:name w:val="Paragraph2"/>
    <w:basedOn w:val="1"/>
    <w:qFormat/>
    <w:uiPriority w:val="0"/>
    <w:pPr>
      <w:spacing w:before="80" w:after="156" w:afterLines="50"/>
      <w:ind w:left="720"/>
    </w:pPr>
    <w:rPr>
      <w:rFonts w:ascii="宋体"/>
      <w:snapToGrid w:val="0"/>
      <w:color w:val="000000"/>
      <w:kern w:val="0"/>
      <w:szCs w:val="20"/>
      <w:lang w:val="en-AU"/>
    </w:rPr>
  </w:style>
  <w:style w:type="paragraph" w:customStyle="1" w:styleId="466">
    <w:name w:val="列出段落1"/>
    <w:basedOn w:val="1"/>
    <w:qFormat/>
    <w:uiPriority w:val="0"/>
    <w:pPr>
      <w:ind w:firstLine="420" w:firstLineChars="200"/>
    </w:pPr>
    <w:rPr>
      <w:rFonts w:ascii="Calibri" w:hAnsi="Calibri"/>
      <w:szCs w:val="22"/>
    </w:rPr>
  </w:style>
  <w:style w:type="paragraph" w:customStyle="1" w:styleId="467">
    <w:name w:val="样式 样式 标题 4 + 段后: 0.5 行1"/>
    <w:basedOn w:val="336"/>
    <w:next w:val="33"/>
    <w:qFormat/>
    <w:uiPriority w:val="0"/>
    <w:pPr>
      <w:spacing w:after="120"/>
    </w:pPr>
  </w:style>
  <w:style w:type="paragraph" w:customStyle="1" w:styleId="468">
    <w:name w:val="封面标准文稿类别"/>
    <w:qFormat/>
    <w:uiPriority w:val="0"/>
    <w:pPr>
      <w:spacing w:before="440" w:line="400" w:lineRule="exact"/>
      <w:jc w:val="center"/>
    </w:pPr>
    <w:rPr>
      <w:rFonts w:ascii="宋体" w:hAnsi="宋体" w:eastAsia="宋体" w:cs="Times New Roman"/>
      <w:kern w:val="2"/>
      <w:sz w:val="24"/>
      <w:szCs w:val="24"/>
      <w:lang w:val="en-US" w:eastAsia="zh-CN" w:bidi="ar-SA"/>
    </w:rPr>
  </w:style>
  <w:style w:type="paragraph" w:customStyle="1" w:styleId="469">
    <w:name w:val="S4-I-U-L15-No-dot"/>
    <w:basedOn w:val="1"/>
    <w:qFormat/>
    <w:uiPriority w:val="0"/>
    <w:pPr>
      <w:tabs>
        <w:tab w:val="left" w:pos="1112"/>
      </w:tabs>
      <w:spacing w:after="120" w:line="360" w:lineRule="auto"/>
      <w:ind w:left="1112" w:hanging="420"/>
    </w:pPr>
    <w:rPr>
      <w:i/>
      <w:sz w:val="24"/>
      <w:u w:val="single"/>
    </w:rPr>
  </w:style>
  <w:style w:type="paragraph" w:customStyle="1" w:styleId="470">
    <w:name w:val="Note Heading2"/>
    <w:basedOn w:val="1"/>
    <w:next w:val="1"/>
    <w:qFormat/>
    <w:uiPriority w:val="0"/>
    <w:pPr>
      <w:jc w:val="center"/>
    </w:pPr>
    <w:rPr>
      <w:rFonts w:ascii="DFKai-SB" w:hAnsi="DFKai-SB" w:eastAsia="DFKai-SB"/>
      <w:sz w:val="20"/>
      <w:szCs w:val="20"/>
    </w:rPr>
  </w:style>
  <w:style w:type="paragraph" w:customStyle="1" w:styleId="471">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472">
    <w:name w:val="text"/>
    <w:basedOn w:val="1"/>
    <w:qFormat/>
    <w:uiPriority w:val="0"/>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473">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8"/>
      <w:szCs w:val="18"/>
    </w:rPr>
  </w:style>
  <w:style w:type="paragraph" w:customStyle="1" w:styleId="474">
    <w:name w:val="样式 样式 样式 标题 3Chapter X.X.X. + 段后: 0.5 行 + 段后: 0.5 行 + 段后: 0.5 行"/>
    <w:basedOn w:val="436"/>
    <w:qFormat/>
    <w:uiPriority w:val="0"/>
  </w:style>
  <w:style w:type="paragraph" w:customStyle="1" w:styleId="475">
    <w:name w:val="列表内容"/>
    <w:basedOn w:val="1"/>
    <w:next w:val="1"/>
    <w:qFormat/>
    <w:uiPriority w:val="0"/>
    <w:pPr>
      <w:widowControl/>
      <w:tabs>
        <w:tab w:val="left" w:pos="840"/>
        <w:tab w:val="left" w:pos="3645"/>
      </w:tabs>
      <w:ind w:left="3645" w:hanging="1965"/>
      <w:jc w:val="left"/>
    </w:pPr>
    <w:rPr>
      <w:kern w:val="0"/>
      <w:sz w:val="18"/>
    </w:rPr>
  </w:style>
  <w:style w:type="paragraph" w:customStyle="1" w:styleId="476">
    <w:name w:val="font9"/>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477">
    <w:name w:val="文本框内文字"/>
    <w:basedOn w:val="1"/>
    <w:qFormat/>
    <w:uiPriority w:val="0"/>
    <w:pPr>
      <w:spacing w:line="0" w:lineRule="atLeast"/>
    </w:pPr>
    <w:rPr>
      <w:rFonts w:eastAsia="仿宋_GB2312"/>
      <w:sz w:val="22"/>
    </w:rPr>
  </w:style>
  <w:style w:type="paragraph" w:customStyle="1" w:styleId="478">
    <w:name w:val="Bullet1"/>
    <w:basedOn w:val="1"/>
    <w:qFormat/>
    <w:uiPriority w:val="0"/>
    <w:pPr>
      <w:spacing w:after="156" w:afterLines="50"/>
      <w:ind w:left="720" w:hanging="432"/>
      <w:jc w:val="left"/>
    </w:pPr>
    <w:rPr>
      <w:rFonts w:ascii="宋体"/>
      <w:snapToGrid w:val="0"/>
      <w:kern w:val="0"/>
      <w:szCs w:val="20"/>
    </w:rPr>
  </w:style>
  <w:style w:type="paragraph" w:customStyle="1" w:styleId="479">
    <w:name w:val="Char Char4"/>
    <w:basedOn w:val="1"/>
    <w:qFormat/>
    <w:uiPriority w:val="0"/>
  </w:style>
  <w:style w:type="paragraph" w:customStyle="1" w:styleId="480">
    <w:name w:val="Table - Col. Head"/>
    <w:basedOn w:val="1"/>
    <w:qFormat/>
    <w:uiPriority w:val="0"/>
    <w:pPr>
      <w:keepNext/>
      <w:widowControl/>
      <w:spacing w:before="60" w:after="156" w:afterLines="50"/>
      <w:jc w:val="left"/>
    </w:pPr>
    <w:rPr>
      <w:rFonts w:ascii="Arial" w:hAnsi="Arial"/>
      <w:b/>
      <w:kern w:val="0"/>
      <w:sz w:val="18"/>
      <w:szCs w:val="20"/>
      <w:lang w:eastAsia="en-US"/>
    </w:rPr>
  </w:style>
  <w:style w:type="paragraph" w:customStyle="1" w:styleId="481">
    <w:name w:val="font14"/>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482">
    <w:name w:val="Char Char 字元 字元 字元 Char Char Char Char"/>
    <w:basedOn w:val="1"/>
    <w:qFormat/>
    <w:uiPriority w:val="0"/>
    <w:pPr>
      <w:adjustRightInd w:val="0"/>
      <w:spacing w:line="360" w:lineRule="auto"/>
    </w:pPr>
    <w:rPr>
      <w:rFonts w:ascii="宋体" w:hAnsi="宋体"/>
      <w:kern w:val="0"/>
      <w:sz w:val="20"/>
      <w:szCs w:val="20"/>
    </w:rPr>
  </w:style>
  <w:style w:type="paragraph" w:customStyle="1" w:styleId="483">
    <w:name w:val="样式 标题 1 + 五号1 Char Char Char Char Char Char Char Char Char Char Char Char Char Char Char Char Char"/>
    <w:basedOn w:val="2"/>
    <w:qFormat/>
    <w:uiPriority w:val="0"/>
    <w:pPr>
      <w:spacing w:before="0" w:after="0" w:line="480" w:lineRule="auto"/>
    </w:pPr>
    <w:rPr>
      <w:sz w:val="21"/>
    </w:rPr>
  </w:style>
  <w:style w:type="paragraph" w:customStyle="1" w:styleId="484">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2"/>
      <w:szCs w:val="22"/>
    </w:rPr>
  </w:style>
  <w:style w:type="paragraph" w:customStyle="1" w:styleId="485">
    <w:name w:val="p0"/>
    <w:basedOn w:val="1"/>
    <w:qFormat/>
    <w:uiPriority w:val="0"/>
    <w:pPr>
      <w:widowControl/>
      <w:spacing w:line="360" w:lineRule="auto"/>
      <w:jc w:val="left"/>
    </w:pPr>
    <w:rPr>
      <w:rFonts w:ascii="Calibri" w:hAnsi="Calibri"/>
      <w:kern w:val="0"/>
      <w:sz w:val="24"/>
    </w:rPr>
  </w:style>
  <w:style w:type="paragraph" w:customStyle="1" w:styleId="486">
    <w:name w:val="样式 标题 3标题 3 CharH3h33rd level3Level 3 Headlevel_3PIM 3s..."/>
    <w:basedOn w:val="4"/>
    <w:qFormat/>
    <w:uiPriority w:val="0"/>
    <w:pPr>
      <w:tabs>
        <w:tab w:val="left" w:pos="425"/>
      </w:tabs>
      <w:autoSpaceDE/>
      <w:autoSpaceDN/>
      <w:adjustRightInd/>
      <w:spacing w:before="260" w:after="156" w:afterLines="50" w:line="416" w:lineRule="auto"/>
      <w:jc w:val="both"/>
    </w:pPr>
    <w:rPr>
      <w:rFonts w:hAnsi="宋体" w:cs="宋体"/>
      <w:bCs/>
      <w:kern w:val="2"/>
      <w:sz w:val="28"/>
      <w:u w:val="none"/>
    </w:rPr>
  </w:style>
  <w:style w:type="paragraph" w:customStyle="1" w:styleId="487">
    <w:name w:val="标准书眉一"/>
    <w:qFormat/>
    <w:uiPriority w:val="0"/>
    <w:pPr>
      <w:jc w:val="both"/>
    </w:pPr>
    <w:rPr>
      <w:rFonts w:ascii="宋体" w:hAnsi="宋体" w:eastAsia="宋体" w:cs="Times New Roman"/>
      <w:kern w:val="2"/>
      <w:sz w:val="24"/>
      <w:szCs w:val="24"/>
      <w:lang w:val="en-US" w:eastAsia="zh-CN" w:bidi="ar-SA"/>
    </w:rPr>
  </w:style>
  <w:style w:type="paragraph" w:customStyle="1" w:styleId="488">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18"/>
      <w:szCs w:val="18"/>
    </w:rPr>
  </w:style>
  <w:style w:type="paragraph" w:customStyle="1" w:styleId="489">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490">
    <w:name w:val="font1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491">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492">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93">
    <w:name w:val="项目编号1"/>
    <w:basedOn w:val="1"/>
    <w:next w:val="1"/>
    <w:qFormat/>
    <w:uiPriority w:val="0"/>
    <w:pPr>
      <w:tabs>
        <w:tab w:val="left" w:pos="644"/>
      </w:tabs>
      <w:spacing w:line="360" w:lineRule="auto"/>
      <w:ind w:firstLine="200" w:firstLineChars="200"/>
      <w:jc w:val="left"/>
    </w:pPr>
    <w:rPr>
      <w:rFonts w:ascii="宋体"/>
      <w:sz w:val="24"/>
    </w:rPr>
  </w:style>
  <w:style w:type="paragraph" w:customStyle="1" w:styleId="494">
    <w:name w:val="样式 宋体 小四 加粗 居中 行距: 1.5 倍行距"/>
    <w:basedOn w:val="1"/>
    <w:qFormat/>
    <w:uiPriority w:val="0"/>
    <w:pPr>
      <w:spacing w:line="360" w:lineRule="auto"/>
      <w:jc w:val="center"/>
      <w:outlineLvl w:val="1"/>
    </w:pPr>
    <w:rPr>
      <w:rFonts w:ascii="宋体" w:hAnsi="宋体" w:cs="宋体"/>
      <w:b/>
      <w:bCs/>
      <w:sz w:val="24"/>
      <w:szCs w:val="20"/>
    </w:rPr>
  </w:style>
  <w:style w:type="paragraph" w:customStyle="1" w:styleId="495">
    <w:name w:val="样式 标题 3Level 3 Headsect1.2.3H3l3CTh3heading 33rd levelH..."/>
    <w:basedOn w:val="4"/>
    <w:qFormat/>
    <w:uiPriority w:val="0"/>
    <w:pPr>
      <w:tabs>
        <w:tab w:val="left" w:pos="709"/>
      </w:tabs>
      <w:autoSpaceDE/>
      <w:autoSpaceDN/>
      <w:spacing w:before="120" w:line="520" w:lineRule="atLeast"/>
      <w:ind w:left="709" w:hanging="709"/>
      <w:jc w:val="both"/>
      <w:textAlignment w:val="baseline"/>
    </w:pPr>
    <w:rPr>
      <w:rFonts w:hAnsi="宋体" w:cs="宋体"/>
      <w:bCs/>
      <w:kern w:val="2"/>
      <w:szCs w:val="24"/>
      <w:u w:val="none"/>
    </w:rPr>
  </w:style>
  <w:style w:type="paragraph" w:customStyle="1" w:styleId="496">
    <w:name w:val="BodyText"/>
    <w:basedOn w:val="1"/>
    <w:next w:val="443"/>
    <w:qFormat/>
    <w:uiPriority w:val="0"/>
    <w:pPr>
      <w:spacing w:after="120"/>
      <w:jc w:val="both"/>
      <w:textAlignment w:val="baseline"/>
    </w:pPr>
  </w:style>
  <w:style w:type="paragraph" w:customStyle="1" w:styleId="497">
    <w:name w:val="Char2 Char Char Char Char Char Char Char Char Char Char Char Char"/>
    <w:basedOn w:val="1"/>
    <w:qFormat/>
    <w:uiPriority w:val="0"/>
    <w:pPr>
      <w:spacing w:line="360" w:lineRule="auto"/>
      <w:ind w:firstLine="200" w:firstLineChars="200"/>
    </w:pPr>
    <w:rPr>
      <w:rFonts w:ascii="Tahoma" w:hAnsi="Tahoma"/>
      <w:sz w:val="24"/>
    </w:rPr>
  </w:style>
  <w:style w:type="paragraph" w:customStyle="1" w:styleId="498">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499">
    <w:name w:val="注："/>
    <w:next w:val="169"/>
    <w:qFormat/>
    <w:uiPriority w:val="0"/>
    <w:pPr>
      <w:widowControl w:val="0"/>
      <w:tabs>
        <w:tab w:val="left" w:pos="360"/>
      </w:tabs>
      <w:autoSpaceDE w:val="0"/>
      <w:autoSpaceDN w:val="0"/>
      <w:jc w:val="both"/>
    </w:pPr>
    <w:rPr>
      <w:rFonts w:ascii="宋体" w:hAnsi="宋体" w:eastAsia="宋体" w:cs="Times New Roman"/>
      <w:kern w:val="2"/>
      <w:sz w:val="18"/>
      <w:szCs w:val="24"/>
      <w:lang w:val="en-US" w:eastAsia="zh-CN" w:bidi="ar-SA"/>
    </w:rPr>
  </w:style>
  <w:style w:type="paragraph" w:customStyle="1" w:styleId="500">
    <w:name w:val="表内1"/>
    <w:basedOn w:val="21"/>
    <w:qFormat/>
    <w:uiPriority w:val="0"/>
    <w:pPr>
      <w:adjustRightInd w:val="0"/>
      <w:spacing w:after="0"/>
      <w:jc w:val="left"/>
      <w:textAlignment w:val="baseline"/>
    </w:pPr>
    <w:rPr>
      <w:kern w:val="0"/>
      <w:szCs w:val="20"/>
    </w:rPr>
  </w:style>
  <w:style w:type="paragraph" w:customStyle="1" w:styleId="501">
    <w:name w:val="Paragraph1"/>
    <w:basedOn w:val="1"/>
    <w:qFormat/>
    <w:uiPriority w:val="0"/>
    <w:pPr>
      <w:spacing w:before="80" w:after="156" w:afterLines="50"/>
    </w:pPr>
    <w:rPr>
      <w:rFonts w:ascii="宋体"/>
      <w:snapToGrid w:val="0"/>
      <w:kern w:val="0"/>
      <w:szCs w:val="20"/>
    </w:rPr>
  </w:style>
  <w:style w:type="paragraph" w:customStyle="1" w:styleId="502">
    <w:name w:val="Char Char Char Char Char Char Char Char Char"/>
    <w:basedOn w:val="1"/>
    <w:qFormat/>
    <w:uiPriority w:val="0"/>
    <w:rPr>
      <w:rFonts w:ascii="Tahoma" w:hAnsi="Tahoma" w:eastAsia="仿宋_GB2312"/>
      <w:sz w:val="24"/>
      <w:szCs w:val="20"/>
    </w:rPr>
  </w:style>
  <w:style w:type="paragraph" w:customStyle="1" w:styleId="503">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504">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18"/>
      <w:szCs w:val="18"/>
    </w:rPr>
  </w:style>
  <w:style w:type="paragraph" w:customStyle="1" w:styleId="505">
    <w:name w:val="注×："/>
    <w:qFormat/>
    <w:uiPriority w:val="0"/>
    <w:pPr>
      <w:widowControl w:val="0"/>
      <w:tabs>
        <w:tab w:val="left" w:pos="360"/>
        <w:tab w:val="left" w:pos="630"/>
      </w:tabs>
      <w:autoSpaceDE w:val="0"/>
      <w:autoSpaceDN w:val="0"/>
      <w:jc w:val="both"/>
    </w:pPr>
    <w:rPr>
      <w:rFonts w:ascii="宋体" w:hAnsi="宋体" w:eastAsia="宋体" w:cs="Times New Roman"/>
      <w:kern w:val="2"/>
      <w:sz w:val="18"/>
      <w:szCs w:val="24"/>
      <w:lang w:val="en-US" w:eastAsia="zh-CN" w:bidi="ar-SA"/>
    </w:rPr>
  </w:style>
  <w:style w:type="paragraph" w:customStyle="1" w:styleId="506">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507">
    <w:name w:val="文档正文"/>
    <w:basedOn w:val="1"/>
    <w:qFormat/>
    <w:uiPriority w:val="0"/>
    <w:pPr>
      <w:adjustRightInd w:val="0"/>
      <w:spacing w:line="440" w:lineRule="exact"/>
      <w:ind w:firstLine="567"/>
      <w:textAlignment w:val="baseline"/>
    </w:pPr>
    <w:rPr>
      <w:rFonts w:ascii="Arial Narrow" w:hAnsi="Arial Narrow"/>
      <w:kern w:val="0"/>
      <w:sz w:val="24"/>
    </w:rPr>
  </w:style>
  <w:style w:type="paragraph" w:customStyle="1" w:styleId="508">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509">
    <w:name w:val="S4-B-L15"/>
    <w:basedOn w:val="1"/>
    <w:qFormat/>
    <w:uiPriority w:val="0"/>
    <w:pPr>
      <w:spacing w:line="360" w:lineRule="auto"/>
    </w:pPr>
    <w:rPr>
      <w:b/>
      <w:bCs/>
      <w:sz w:val="24"/>
    </w:rPr>
  </w:style>
  <w:style w:type="paragraph" w:customStyle="1" w:styleId="510">
    <w:name w:val="标准书脚_偶数页"/>
    <w:qFormat/>
    <w:uiPriority w:val="0"/>
    <w:pPr>
      <w:spacing w:before="120"/>
    </w:pPr>
    <w:rPr>
      <w:rFonts w:ascii="宋体" w:hAnsi="宋体" w:eastAsia="宋体" w:cs="Times New Roman"/>
      <w:kern w:val="2"/>
      <w:sz w:val="18"/>
      <w:szCs w:val="24"/>
      <w:lang w:val="en-US" w:eastAsia="zh-CN" w:bidi="ar-SA"/>
    </w:rPr>
  </w:style>
  <w:style w:type="paragraph" w:customStyle="1" w:styleId="511">
    <w:name w:val="Char Char Char Char"/>
    <w:basedOn w:val="1"/>
    <w:qFormat/>
    <w:uiPriority w:val="0"/>
    <w:rPr>
      <w:rFonts w:ascii="Tahoma" w:hAnsi="Tahoma"/>
      <w:sz w:val="24"/>
      <w:szCs w:val="20"/>
    </w:rPr>
  </w:style>
  <w:style w:type="paragraph" w:customStyle="1" w:styleId="512">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513">
    <w:name w:val="xl107"/>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kern w:val="0"/>
      <w:sz w:val="18"/>
      <w:szCs w:val="18"/>
    </w:rPr>
  </w:style>
  <w:style w:type="paragraph" w:customStyle="1" w:styleId="514">
    <w:name w:val="样式 标题 3(A-3)sect1.2.3h3H3level_3PIM 3Level 3 HeadHeading..."/>
    <w:basedOn w:val="4"/>
    <w:qFormat/>
    <w:uiPriority w:val="0"/>
    <w:pPr>
      <w:autoSpaceDE/>
      <w:autoSpaceDN/>
      <w:adjustRightInd/>
      <w:spacing w:before="260" w:after="260" w:line="413" w:lineRule="auto"/>
      <w:jc w:val="both"/>
    </w:pPr>
    <w:rPr>
      <w:rFonts w:ascii="Arial" w:hAnsi="Arial"/>
      <w:bCs/>
      <w:kern w:val="2"/>
      <w:sz w:val="30"/>
      <w:szCs w:val="32"/>
      <w:u w:val="none"/>
    </w:rPr>
  </w:style>
  <w:style w:type="paragraph" w:customStyle="1" w:styleId="515">
    <w:name w:val="小标题"/>
    <w:basedOn w:val="21"/>
    <w:qFormat/>
    <w:uiPriority w:val="0"/>
    <w:pPr>
      <w:tabs>
        <w:tab w:val="left" w:pos="420"/>
      </w:tabs>
      <w:spacing w:before="60" w:after="60" w:line="360" w:lineRule="auto"/>
      <w:ind w:left="420" w:hanging="420"/>
    </w:pPr>
    <w:rPr>
      <w:rFonts w:ascii="宋体" w:hAnsi="宋体" w:eastAsia="黑体"/>
      <w:i/>
      <w:sz w:val="24"/>
      <w:szCs w:val="20"/>
    </w:rPr>
  </w:style>
  <w:style w:type="paragraph" w:customStyle="1" w:styleId="516">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17">
    <w:name w:val="模板普通正文"/>
    <w:basedOn w:val="23"/>
    <w:qFormat/>
    <w:uiPriority w:val="0"/>
    <w:pPr>
      <w:spacing w:beforeLines="50" w:after="10"/>
      <w:ind w:firstLine="490" w:firstLineChars="175"/>
      <w:jc w:val="left"/>
    </w:pPr>
  </w:style>
  <w:style w:type="paragraph" w:customStyle="1" w:styleId="518">
    <w:name w:val="样式3"/>
    <w:basedOn w:val="30"/>
    <w:qFormat/>
    <w:uiPriority w:val="0"/>
    <w:pPr>
      <w:spacing w:line="0" w:lineRule="atLeast"/>
      <w:outlineLvl w:val="0"/>
    </w:pPr>
    <w:rPr>
      <w:kern w:val="0"/>
      <w:sz w:val="28"/>
      <w:szCs w:val="21"/>
    </w:rPr>
  </w:style>
  <w:style w:type="paragraph" w:customStyle="1" w:styleId="519">
    <w:name w:val="xl8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520">
    <w:name w:val="标准标志"/>
    <w:next w:val="1"/>
    <w:qFormat/>
    <w:uiPriority w:val="0"/>
    <w:pPr>
      <w:shd w:val="solid" w:color="FFFFFF" w:fill="FFFFFF"/>
      <w:spacing w:line="0" w:lineRule="atLeast"/>
      <w:jc w:val="right"/>
    </w:pPr>
    <w:rPr>
      <w:rFonts w:ascii="宋体" w:hAnsi="宋体" w:eastAsia="宋体" w:cs="Times New Roman"/>
      <w:b/>
      <w:w w:val="130"/>
      <w:kern w:val="2"/>
      <w:sz w:val="96"/>
      <w:szCs w:val="24"/>
      <w:lang w:val="en-US" w:eastAsia="zh-CN" w:bidi="ar-SA"/>
    </w:rPr>
  </w:style>
  <w:style w:type="paragraph" w:customStyle="1" w:styleId="521">
    <w:name w:val="c封面发布日期"/>
    <w:basedOn w:val="1"/>
    <w:qFormat/>
    <w:uiPriority w:val="0"/>
    <w:pPr>
      <w:adjustRightInd w:val="0"/>
    </w:pPr>
    <w:rPr>
      <w:rFonts w:ascii="宋体" w:hAnsi="宋体" w:eastAsia="黑体"/>
      <w:kern w:val="0"/>
      <w:sz w:val="28"/>
      <w:szCs w:val="20"/>
    </w:rPr>
  </w:style>
  <w:style w:type="paragraph" w:customStyle="1" w:styleId="522">
    <w:name w:val="样式 标题 2 + (中文) 黑体 四号 黑色"/>
    <w:basedOn w:val="3"/>
    <w:qFormat/>
    <w:uiPriority w:val="0"/>
    <w:pPr>
      <w:spacing w:line="520" w:lineRule="exact"/>
      <w:jc w:val="left"/>
    </w:pPr>
    <w:rPr>
      <w:color w:val="000000"/>
      <w:kern w:val="24"/>
      <w:sz w:val="28"/>
      <w:szCs w:val="20"/>
    </w:rPr>
  </w:style>
  <w:style w:type="paragraph" w:customStyle="1" w:styleId="523">
    <w:name w:val="xl70"/>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524">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18"/>
      <w:szCs w:val="18"/>
    </w:rPr>
  </w:style>
  <w:style w:type="paragraph" w:customStyle="1" w:styleId="525">
    <w:name w:val="参考文献、索引标题"/>
    <w:basedOn w:val="304"/>
    <w:next w:val="1"/>
    <w:qFormat/>
    <w:uiPriority w:val="0"/>
    <w:pPr>
      <w:spacing w:after="200" w:line="240" w:lineRule="auto"/>
    </w:pPr>
    <w:rPr>
      <w:rFonts w:hAnsi="宋体"/>
      <w:kern w:val="2"/>
      <w:sz w:val="21"/>
      <w:szCs w:val="24"/>
    </w:rPr>
  </w:style>
  <w:style w:type="paragraph" w:customStyle="1" w:styleId="526">
    <w:name w:val="纯文本1"/>
    <w:basedOn w:val="431"/>
    <w:qFormat/>
    <w:uiPriority w:val="0"/>
    <w:rPr>
      <w:rFonts w:ascii="Arial Unicode MS" w:hAnsi="等线" w:eastAsia="Arial Unicode MS" w:cs="方正姚体"/>
    </w:rPr>
  </w:style>
  <w:style w:type="paragraph" w:customStyle="1" w:styleId="527">
    <w:name w:val="表格文字"/>
    <w:basedOn w:val="30"/>
    <w:next w:val="21"/>
    <w:qFormat/>
    <w:uiPriority w:val="0"/>
    <w:pPr>
      <w:adjustRightInd w:val="0"/>
      <w:spacing w:line="420" w:lineRule="atLeast"/>
      <w:jc w:val="left"/>
      <w:textAlignment w:val="baseline"/>
    </w:pPr>
    <w:rPr>
      <w:rFonts w:ascii="Times New Roman" w:hAnsi="Times New Roman" w:eastAsia="宋体" w:cs="Times New Roman"/>
      <w:kern w:val="0"/>
    </w:rPr>
  </w:style>
  <w:style w:type="paragraph" w:customStyle="1" w:styleId="528">
    <w:name w:val="IBM 正文"/>
    <w:basedOn w:val="1"/>
    <w:qFormat/>
    <w:uiPriority w:val="0"/>
    <w:pPr>
      <w:spacing w:line="360" w:lineRule="atLeast"/>
    </w:pPr>
    <w:rPr>
      <w:sz w:val="24"/>
      <w:szCs w:val="20"/>
    </w:rPr>
  </w:style>
  <w:style w:type="paragraph" w:customStyle="1" w:styleId="529">
    <w:name w:val="样式2"/>
    <w:basedOn w:val="3"/>
    <w:qFormat/>
    <w:uiPriority w:val="0"/>
    <w:pPr>
      <w:tabs>
        <w:tab w:val="left" w:pos="600"/>
      </w:tabs>
      <w:ind w:left="600" w:hanging="600"/>
    </w:pPr>
    <w:rPr>
      <w:rFonts w:eastAsia="宋体"/>
    </w:rPr>
  </w:style>
  <w:style w:type="paragraph" w:customStyle="1" w:styleId="530">
    <w:name w:val="Body"/>
    <w:basedOn w:val="1"/>
    <w:qFormat/>
    <w:uiPriority w:val="0"/>
    <w:pPr>
      <w:widowControl/>
      <w:spacing w:before="120" w:after="156" w:afterLines="50"/>
    </w:pPr>
    <w:rPr>
      <w:rFonts w:ascii="宋体"/>
      <w:snapToGrid w:val="0"/>
      <w:kern w:val="0"/>
      <w:szCs w:val="20"/>
    </w:rPr>
  </w:style>
  <w:style w:type="paragraph" w:customStyle="1" w:styleId="531">
    <w:name w:val="InfoBlue"/>
    <w:basedOn w:val="1"/>
    <w:next w:val="21"/>
    <w:qFormat/>
    <w:uiPriority w:val="0"/>
    <w:pPr>
      <w:spacing w:after="156" w:afterLines="50"/>
      <w:ind w:left="720"/>
      <w:jc w:val="left"/>
    </w:pPr>
    <w:rPr>
      <w:rFonts w:ascii="宋体"/>
      <w:i/>
      <w:snapToGrid w:val="0"/>
      <w:color w:val="0000FF"/>
      <w:kern w:val="0"/>
      <w:szCs w:val="20"/>
    </w:rPr>
  </w:style>
  <w:style w:type="paragraph" w:customStyle="1" w:styleId="532">
    <w:name w:val="P3"/>
    <w:basedOn w:val="1"/>
    <w:qFormat/>
    <w:uiPriority w:val="0"/>
    <w:pPr>
      <w:widowControl/>
      <w:spacing w:before="240" w:line="240" w:lineRule="atLeast"/>
      <w:ind w:left="1152"/>
      <w:jc w:val="left"/>
    </w:pPr>
    <w:rPr>
      <w:b/>
      <w:kern w:val="0"/>
      <w:szCs w:val="21"/>
      <w:lang w:val="en-AU" w:eastAsia="en-US"/>
    </w:rPr>
  </w:style>
  <w:style w:type="paragraph" w:customStyle="1" w:styleId="533">
    <w:name w:val="样式 标题 2h2sect 1.2H22nd level2Header 2UNDERRUBRIK 1-2l2T..."/>
    <w:basedOn w:val="3"/>
    <w:qFormat/>
    <w:uiPriority w:val="0"/>
    <w:pPr>
      <w:spacing w:before="0" w:after="0" w:line="360" w:lineRule="auto"/>
      <w:jc w:val="center"/>
      <w:outlineLvl w:val="0"/>
    </w:pPr>
    <w:rPr>
      <w:rFonts w:ascii="宋体" w:hAnsi="宋体" w:eastAsia="宋体" w:cs="宋体"/>
      <w:sz w:val="24"/>
      <w:szCs w:val="20"/>
    </w:rPr>
  </w:style>
  <w:style w:type="paragraph" w:customStyle="1" w:styleId="534">
    <w:name w:val="默认段落字体 Para Char Char Char Char Char Char Char Char Char1 Char Char Char Char"/>
    <w:basedOn w:val="1"/>
    <w:qFormat/>
    <w:uiPriority w:val="0"/>
    <w:rPr>
      <w:rFonts w:ascii="Tahoma" w:hAnsi="Tahoma"/>
      <w:sz w:val="24"/>
      <w:szCs w:val="20"/>
    </w:rPr>
  </w:style>
  <w:style w:type="paragraph" w:customStyle="1" w:styleId="535">
    <w:name w:val="无标题条"/>
    <w:next w:val="169"/>
    <w:qFormat/>
    <w:uiPriority w:val="0"/>
    <w:pPr>
      <w:jc w:val="both"/>
    </w:pPr>
    <w:rPr>
      <w:rFonts w:ascii="宋体" w:hAnsi="宋体" w:eastAsia="宋体" w:cs="Times New Roman"/>
      <w:kern w:val="2"/>
      <w:sz w:val="21"/>
      <w:szCs w:val="24"/>
      <w:lang w:val="en-US" w:eastAsia="zh-CN" w:bidi="ar-SA"/>
    </w:rPr>
  </w:style>
  <w:style w:type="paragraph" w:customStyle="1" w:styleId="536">
    <w:name w:val="哈哈正文"/>
    <w:basedOn w:val="1"/>
    <w:qFormat/>
    <w:uiPriority w:val="0"/>
    <w:pPr>
      <w:spacing w:line="360" w:lineRule="auto"/>
      <w:ind w:firstLine="200" w:firstLineChars="200"/>
    </w:pPr>
    <w:rPr>
      <w:rFonts w:ascii="宋体" w:hAnsi="宋体" w:cs="宋体"/>
      <w:sz w:val="24"/>
    </w:rPr>
  </w:style>
  <w:style w:type="paragraph" w:customStyle="1" w:styleId="537">
    <w:name w:val="正文格式"/>
    <w:qFormat/>
    <w:uiPriority w:val="99"/>
    <w:pPr>
      <w:spacing w:line="360" w:lineRule="auto"/>
      <w:ind w:firstLine="200" w:firstLineChars="200"/>
    </w:pPr>
    <w:rPr>
      <w:rFonts w:ascii="宋体" w:hAnsi="宋体" w:eastAsia="宋体" w:cs="Times New Roman"/>
      <w:sz w:val="28"/>
      <w:szCs w:val="22"/>
      <w:lang w:val="en-US" w:eastAsia="zh-CN" w:bidi="ar-SA"/>
    </w:rPr>
  </w:style>
  <w:style w:type="paragraph" w:customStyle="1" w:styleId="538">
    <w:name w:val="招标正文"/>
    <w:basedOn w:val="1"/>
    <w:qFormat/>
    <w:uiPriority w:val="0"/>
    <w:pPr>
      <w:adjustRightInd w:val="0"/>
      <w:snapToGrid w:val="0"/>
      <w:spacing w:line="360" w:lineRule="auto"/>
      <w:ind w:firstLine="480" w:firstLineChars="200"/>
    </w:pPr>
    <w:rPr>
      <w:rFonts w:ascii="宋体" w:hAnsi="宋体"/>
      <w:color w:val="000000"/>
      <w:kern w:val="0"/>
      <w:sz w:val="24"/>
      <w:szCs w:val="21"/>
    </w:rPr>
  </w:style>
  <w:style w:type="paragraph" w:customStyle="1" w:styleId="539">
    <w:name w:val="表格文字1"/>
    <w:basedOn w:val="1"/>
    <w:qFormat/>
    <w:uiPriority w:val="0"/>
    <w:pPr>
      <w:widowControl w:val="0"/>
      <w:spacing w:line="300" w:lineRule="exact"/>
      <w:ind w:left="120" w:leftChars="50" w:firstLine="0" w:firstLineChars="0"/>
      <w:jc w:val="left"/>
      <w:textAlignment w:val="center"/>
    </w:pPr>
    <w:rPr>
      <w:rFonts w:hint="eastAsia" w:ascii="宋体" w:hAnsi="宋体" w:eastAsia="宋体" w:cs="宋体"/>
      <w:color w:val="000000"/>
      <w:kern w:val="0"/>
      <w:sz w:val="21"/>
      <w:szCs w:val="22"/>
      <w:u w:val="none"/>
    </w:rPr>
  </w:style>
  <w:style w:type="paragraph" w:customStyle="1" w:styleId="540">
    <w:name w:val="正文文字 Char"/>
    <w:basedOn w:val="1"/>
    <w:next w:val="48"/>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黑体"/>
      <w:kern w:val="0"/>
      <w:sz w:val="20"/>
      <w:szCs w:val="20"/>
    </w:rPr>
  </w:style>
  <w:style w:type="character" w:customStyle="1" w:styleId="541">
    <w:name w:val="page number_c13d1022-a779-489b-a15d-4398209c8395"/>
    <w:basedOn w:val="56"/>
    <w:qFormat/>
    <w:uiPriority w:val="0"/>
  </w:style>
  <w:style w:type="paragraph" w:customStyle="1" w:styleId="542">
    <w:name w:val="BodyText1I2"/>
    <w:basedOn w:val="543"/>
    <w:qFormat/>
    <w:uiPriority w:val="0"/>
    <w:pPr>
      <w:ind w:firstLine="420"/>
    </w:pPr>
    <w:rPr>
      <w:sz w:val="21"/>
    </w:rPr>
  </w:style>
  <w:style w:type="paragraph" w:customStyle="1" w:styleId="543">
    <w:name w:val="BodyTextIndent"/>
    <w:basedOn w:val="1"/>
    <w:qFormat/>
    <w:uiPriority w:val="0"/>
    <w:pPr>
      <w:spacing w:line="360" w:lineRule="auto"/>
      <w:ind w:firstLine="490"/>
      <w:jc w:val="left"/>
    </w:pPr>
    <w:rPr>
      <w:rFonts w:hAnsi="宋体"/>
    </w:rPr>
  </w:style>
  <w:style w:type="paragraph" w:customStyle="1" w:styleId="544">
    <w:name w:val="AONormal"/>
    <w:qFormat/>
    <w:uiPriority w:val="0"/>
    <w:pPr>
      <w:spacing w:line="260" w:lineRule="atLeast"/>
    </w:pPr>
    <w:rPr>
      <w:rFonts w:ascii="Times New Roman" w:hAnsi="Times New Roman" w:eastAsia="宋体" w:cs="Times New Roman"/>
      <w:sz w:val="22"/>
      <w:szCs w:val="22"/>
      <w:lang w:val="en-GB" w:eastAsia="en-US"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117</Pages>
  <Words>66786</Words>
  <Characters>69213</Characters>
  <Paragraphs>2058</Paragraphs>
  <TotalTime>264</TotalTime>
  <ScaleCrop>false</ScaleCrop>
  <LinksUpToDate>false</LinksUpToDate>
  <CharactersWithSpaces>72133</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2023-06-11T18:46:00Z</dcterms:created>
  <dc:creator>dell</dc:creator>
  <cp:lastModifiedBy>徐晓燕</cp:lastModifiedBy>
  <cp:lastPrinted>2024-08-20T02:43:00Z</cp:lastPrinted>
  <dcterms:modified xsi:type="dcterms:W3CDTF">2024-08-21T07:03:53Z</dcterms:modified>
  <dc:title>政府采购招标文件确认表</dc:title>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9CE5753EC7C34A36939DAB5D7218CE38_13</vt:lpwstr>
  </property>
  <property fmtid="{D5CDD505-2E9C-101B-9397-08002B2CF9AE}" pid="4" name="woTemplateTypoMode">
    <vt:lpwstr>web</vt:lpwstr>
  </property>
  <property fmtid="{D5CDD505-2E9C-101B-9397-08002B2CF9AE}" pid="5" name="woTemplate">
    <vt:r8>1</vt:r8>
  </property>
</Properties>
</file>