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50570">
      <w:pPr>
        <w:tabs>
          <w:tab w:val="left" w:pos="3834"/>
        </w:tabs>
        <w:jc w:val="left"/>
        <w:rPr>
          <w:rFonts w:ascii="宋体" w:hAnsi="宋体" w:cs="宋体"/>
          <w:color w:val="auto"/>
          <w:highlight w:val="none"/>
        </w:rPr>
      </w:pPr>
      <w:r>
        <w:rPr>
          <w:rFonts w:hint="eastAsia" w:ascii="宋体" w:hAnsi="宋体" w:cs="宋体"/>
          <w:color w:val="auto"/>
          <w:highlight w:val="none"/>
        </w:rPr>
        <w:tab/>
      </w:r>
    </w:p>
    <w:p w14:paraId="001246FB">
      <w:pPr>
        <w:widowControl/>
        <w:ind w:right="-2"/>
        <w:jc w:val="center"/>
        <w:rPr>
          <w:rFonts w:ascii="宋体" w:hAnsi="宋体" w:cs="宋体"/>
          <w:b/>
          <w:color w:val="auto"/>
          <w:sz w:val="24"/>
          <w:highlight w:val="none"/>
        </w:rPr>
      </w:pPr>
    </w:p>
    <w:p w14:paraId="00065753">
      <w:pPr>
        <w:pStyle w:val="46"/>
        <w:jc w:val="center"/>
        <w:rPr>
          <w:rFonts w:ascii="宋体" w:hAnsi="宋体" w:cs="宋体"/>
          <w:b/>
          <w:bCs/>
          <w:color w:val="auto"/>
          <w:sz w:val="72"/>
          <w:szCs w:val="72"/>
          <w:highlight w:val="none"/>
        </w:rPr>
      </w:pPr>
    </w:p>
    <w:p w14:paraId="0255333C">
      <w:pPr>
        <w:pStyle w:val="46"/>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政府采购项目招标文件</w:t>
      </w:r>
    </w:p>
    <w:p w14:paraId="763A5927">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（电子招投标）</w:t>
      </w:r>
    </w:p>
    <w:p w14:paraId="2F29D912">
      <w:pPr>
        <w:rPr>
          <w:rFonts w:ascii="宋体" w:hAnsi="宋体" w:cs="宋体"/>
          <w:b/>
          <w:color w:val="auto"/>
          <w:sz w:val="24"/>
          <w:highlight w:val="none"/>
        </w:rPr>
      </w:pPr>
    </w:p>
    <w:p w14:paraId="26C7C5C3">
      <w:pPr>
        <w:pStyle w:val="46"/>
        <w:rPr>
          <w:rFonts w:ascii="宋体" w:hAnsi="宋体" w:cs="宋体"/>
          <w:b/>
          <w:color w:val="auto"/>
          <w:sz w:val="24"/>
          <w:highlight w:val="none"/>
        </w:rPr>
      </w:pPr>
    </w:p>
    <w:p w14:paraId="269445E5">
      <w:pPr>
        <w:rPr>
          <w:rFonts w:ascii="宋体" w:hAnsi="宋体" w:cs="宋体"/>
          <w:b/>
          <w:color w:val="auto"/>
          <w:sz w:val="24"/>
          <w:highlight w:val="none"/>
        </w:rPr>
      </w:pPr>
    </w:p>
    <w:p w14:paraId="42446523">
      <w:pPr>
        <w:pStyle w:val="4"/>
        <w:rPr>
          <w:rFonts w:ascii="宋体" w:hAnsi="宋体" w:eastAsia="宋体" w:cs="宋体"/>
          <w:color w:val="auto"/>
          <w:sz w:val="24"/>
          <w:highlight w:val="none"/>
        </w:rPr>
      </w:pPr>
    </w:p>
    <w:p w14:paraId="3F4851C5">
      <w:pPr>
        <w:rPr>
          <w:rFonts w:ascii="宋体" w:hAnsi="宋体" w:cs="宋体"/>
          <w:b/>
          <w:color w:val="auto"/>
          <w:sz w:val="24"/>
          <w:highlight w:val="none"/>
        </w:rPr>
      </w:pPr>
    </w:p>
    <w:p w14:paraId="67800A13">
      <w:pPr>
        <w:pStyle w:val="4"/>
        <w:rPr>
          <w:rFonts w:ascii="宋体" w:hAnsi="宋体" w:eastAsia="宋体" w:cs="宋体"/>
          <w:color w:val="auto"/>
          <w:sz w:val="24"/>
          <w:highlight w:val="none"/>
        </w:rPr>
      </w:pPr>
    </w:p>
    <w:p w14:paraId="47A0EC84">
      <w:pPr>
        <w:rPr>
          <w:rFonts w:ascii="宋体" w:hAnsi="宋体" w:cs="宋体"/>
          <w:b/>
          <w:color w:val="auto"/>
          <w:sz w:val="24"/>
          <w:highlight w:val="none"/>
        </w:rPr>
      </w:pPr>
    </w:p>
    <w:p w14:paraId="49853818">
      <w:pPr>
        <w:pStyle w:val="4"/>
        <w:rPr>
          <w:rFonts w:ascii="宋体" w:hAnsi="宋体" w:eastAsia="宋体" w:cs="宋体"/>
          <w:color w:val="auto"/>
          <w:highlight w:val="none"/>
        </w:rPr>
      </w:pPr>
    </w:p>
    <w:p w14:paraId="0CF71410">
      <w:pPr>
        <w:pStyle w:val="46"/>
        <w:rPr>
          <w:rFonts w:ascii="宋体" w:hAnsi="宋体" w:cs="宋体"/>
          <w:b/>
          <w:color w:val="auto"/>
          <w:sz w:val="24"/>
          <w:highlight w:val="none"/>
        </w:rPr>
      </w:pPr>
    </w:p>
    <w:p w14:paraId="4685A56D">
      <w:pPr>
        <w:rPr>
          <w:rFonts w:ascii="宋体" w:hAnsi="宋体" w:cs="宋体"/>
          <w:color w:val="auto"/>
          <w:highlight w:val="none"/>
        </w:rPr>
      </w:pPr>
    </w:p>
    <w:p w14:paraId="17C23B65">
      <w:pPr>
        <w:rPr>
          <w:rFonts w:ascii="宋体" w:hAnsi="宋体" w:cs="宋体"/>
          <w:color w:val="auto"/>
          <w:highlight w:val="none"/>
        </w:rPr>
      </w:pPr>
    </w:p>
    <w:tbl>
      <w:tblPr>
        <w:tblStyle w:val="6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2719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BDCEB95">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7088" w:type="dxa"/>
            <w:vAlign w:val="center"/>
          </w:tcPr>
          <w:p w14:paraId="3982E74F">
            <w:pPr>
              <w:ind w:hanging="1"/>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202</w:t>
            </w:r>
            <w:r>
              <w:rPr>
                <w:rFonts w:hint="eastAsia" w:ascii="宋体" w:hAnsi="宋体" w:cs="宋体"/>
                <w:bCs/>
                <w:color w:val="auto"/>
                <w:kern w:val="0"/>
                <w:sz w:val="28"/>
                <w:szCs w:val="28"/>
                <w:highlight w:val="none"/>
                <w:lang w:val="en-US" w:eastAsia="zh-CN"/>
              </w:rPr>
              <w:t>5</w:t>
            </w:r>
            <w:r>
              <w:rPr>
                <w:rFonts w:hint="eastAsia" w:ascii="宋体" w:hAnsi="宋体" w:cs="宋体"/>
                <w:bCs/>
                <w:color w:val="auto"/>
                <w:kern w:val="0"/>
                <w:sz w:val="28"/>
                <w:szCs w:val="28"/>
                <w:highlight w:val="none"/>
              </w:rPr>
              <w:t>年嘉兴港日常安全管理服务项目</w:t>
            </w:r>
          </w:p>
        </w:tc>
      </w:tr>
      <w:tr w14:paraId="412B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1BBDF622">
            <w:pPr>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tc>
        <w:tc>
          <w:tcPr>
            <w:tcW w:w="7088" w:type="dxa"/>
            <w:vAlign w:val="center"/>
          </w:tcPr>
          <w:p w14:paraId="2A718965">
            <w:pPr>
              <w:ind w:hanging="1"/>
              <w:rPr>
                <w:rFonts w:hint="default" w:ascii="宋体" w:hAnsi="宋体" w:eastAsia="宋体" w:cs="宋体"/>
                <w:bCs/>
                <w:color w:val="auto"/>
                <w:kern w:val="0"/>
                <w:sz w:val="28"/>
                <w:szCs w:val="28"/>
                <w:highlight w:val="none"/>
                <w:lang w:val="en-US" w:eastAsia="zh-CN"/>
              </w:rPr>
            </w:pPr>
            <w:r>
              <w:rPr>
                <w:rFonts w:hint="default" w:ascii="宋体" w:hAnsi="宋体" w:eastAsia="宋体" w:cs="宋体"/>
                <w:bCs/>
                <w:color w:val="auto"/>
                <w:kern w:val="0"/>
                <w:sz w:val="28"/>
                <w:szCs w:val="28"/>
                <w:highlight w:val="none"/>
                <w:lang w:val="en-US" w:eastAsia="zh-CN"/>
              </w:rPr>
              <w:t>ZJZTJX-202</w:t>
            </w:r>
            <w:r>
              <w:rPr>
                <w:rFonts w:hint="eastAsia" w:ascii="宋体" w:hAnsi="宋体" w:cs="宋体"/>
                <w:bCs/>
                <w:color w:val="auto"/>
                <w:kern w:val="0"/>
                <w:sz w:val="28"/>
                <w:szCs w:val="28"/>
                <w:highlight w:val="none"/>
                <w:lang w:val="en-US" w:eastAsia="zh-CN"/>
              </w:rPr>
              <w:t>5</w:t>
            </w:r>
            <w:r>
              <w:rPr>
                <w:rFonts w:hint="default" w:ascii="宋体" w:hAnsi="宋体" w:eastAsia="宋体" w:cs="宋体"/>
                <w:bCs/>
                <w:color w:val="auto"/>
                <w:kern w:val="0"/>
                <w:sz w:val="28"/>
                <w:szCs w:val="28"/>
                <w:highlight w:val="none"/>
                <w:lang w:val="en-US" w:eastAsia="zh-CN"/>
              </w:rPr>
              <w:t>-0</w:t>
            </w:r>
            <w:r>
              <w:rPr>
                <w:rFonts w:hint="eastAsia" w:ascii="宋体" w:hAnsi="宋体" w:cs="宋体"/>
                <w:bCs/>
                <w:color w:val="auto"/>
                <w:kern w:val="0"/>
                <w:sz w:val="28"/>
                <w:szCs w:val="28"/>
                <w:highlight w:val="none"/>
                <w:lang w:val="en-US" w:eastAsia="zh-CN"/>
              </w:rPr>
              <w:t>01</w:t>
            </w:r>
          </w:p>
        </w:tc>
      </w:tr>
      <w:tr w14:paraId="0931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68FF78AF">
            <w:pPr>
              <w:jc w:val="center"/>
              <w:rPr>
                <w:rFonts w:ascii="宋体" w:hAnsi="宋体" w:cs="宋体"/>
                <w:color w:val="auto"/>
                <w:sz w:val="28"/>
                <w:szCs w:val="28"/>
                <w:highlight w:val="none"/>
              </w:rPr>
            </w:pPr>
            <w:r>
              <w:rPr>
                <w:rFonts w:hint="eastAsia" w:ascii="宋体" w:hAnsi="宋体" w:cs="宋体"/>
                <w:color w:val="auto"/>
                <w:sz w:val="28"/>
                <w:szCs w:val="28"/>
                <w:highlight w:val="none"/>
              </w:rPr>
              <w:t>采购方式</w:t>
            </w:r>
          </w:p>
        </w:tc>
        <w:tc>
          <w:tcPr>
            <w:tcW w:w="7088" w:type="dxa"/>
            <w:vAlign w:val="center"/>
          </w:tcPr>
          <w:p w14:paraId="68AC850D">
            <w:pPr>
              <w:ind w:hanging="1"/>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公开招标</w:t>
            </w:r>
          </w:p>
        </w:tc>
      </w:tr>
      <w:tr w14:paraId="7CFA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15CF56B4">
            <w:pPr>
              <w:jc w:val="center"/>
              <w:rPr>
                <w:rFonts w:ascii="宋体" w:hAnsi="宋体" w:cs="宋体"/>
                <w:color w:val="auto"/>
                <w:sz w:val="28"/>
                <w:szCs w:val="28"/>
                <w:highlight w:val="none"/>
              </w:rPr>
            </w:pPr>
            <w:r>
              <w:rPr>
                <w:rFonts w:hint="eastAsia" w:ascii="宋体" w:hAnsi="宋体" w:cs="宋体"/>
                <w:color w:val="auto"/>
                <w:sz w:val="28"/>
                <w:szCs w:val="28"/>
                <w:highlight w:val="none"/>
              </w:rPr>
              <w:t>交易方式</w:t>
            </w:r>
          </w:p>
        </w:tc>
        <w:tc>
          <w:tcPr>
            <w:tcW w:w="7088" w:type="dxa"/>
            <w:vAlign w:val="center"/>
          </w:tcPr>
          <w:p w14:paraId="1835D372">
            <w:pPr>
              <w:ind w:hanging="1"/>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电子交易（政府采购云平台）</w:t>
            </w:r>
          </w:p>
        </w:tc>
      </w:tr>
      <w:tr w14:paraId="67A4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706742B6">
            <w:pPr>
              <w:jc w:val="center"/>
              <w:rPr>
                <w:rFonts w:ascii="宋体" w:hAnsi="宋体" w:cs="宋体"/>
                <w:color w:val="auto"/>
                <w:sz w:val="28"/>
                <w:szCs w:val="28"/>
                <w:highlight w:val="none"/>
              </w:rPr>
            </w:pPr>
            <w:r>
              <w:rPr>
                <w:rFonts w:hint="eastAsia" w:ascii="宋体" w:hAnsi="宋体" w:cs="宋体"/>
                <w:color w:val="auto"/>
                <w:sz w:val="28"/>
                <w:szCs w:val="28"/>
                <w:highlight w:val="none"/>
              </w:rPr>
              <w:t>采 购 人</w:t>
            </w:r>
          </w:p>
        </w:tc>
        <w:tc>
          <w:tcPr>
            <w:tcW w:w="7088" w:type="dxa"/>
            <w:vAlign w:val="center"/>
          </w:tcPr>
          <w:p w14:paraId="77DA7DC5">
            <w:pPr>
              <w:ind w:hanging="1"/>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嘉兴市港航管理服务中心</w:t>
            </w:r>
          </w:p>
        </w:tc>
      </w:tr>
      <w:tr w14:paraId="33CA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1610A10">
            <w:pPr>
              <w:jc w:val="center"/>
              <w:rPr>
                <w:rFonts w:ascii="宋体" w:hAnsi="宋体" w:cs="宋体"/>
                <w:color w:val="auto"/>
                <w:sz w:val="28"/>
                <w:szCs w:val="28"/>
                <w:highlight w:val="none"/>
              </w:rPr>
            </w:pPr>
            <w:r>
              <w:rPr>
                <w:rFonts w:hint="eastAsia" w:ascii="宋体" w:hAnsi="宋体" w:cs="宋体"/>
                <w:color w:val="auto"/>
                <w:sz w:val="28"/>
                <w:szCs w:val="28"/>
                <w:highlight w:val="none"/>
              </w:rPr>
              <w:t>代理机构</w:t>
            </w:r>
          </w:p>
        </w:tc>
        <w:tc>
          <w:tcPr>
            <w:tcW w:w="7088" w:type="dxa"/>
            <w:vAlign w:val="center"/>
          </w:tcPr>
          <w:p w14:paraId="238D67FB">
            <w:pPr>
              <w:ind w:hanging="1"/>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浙江展图工程咨询有限公司</w:t>
            </w:r>
          </w:p>
        </w:tc>
      </w:tr>
      <w:tr w14:paraId="52FB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387108D">
            <w:pPr>
              <w:jc w:val="center"/>
              <w:rPr>
                <w:rFonts w:ascii="宋体" w:hAnsi="宋体" w:cs="宋体"/>
                <w:color w:val="auto"/>
                <w:sz w:val="28"/>
                <w:szCs w:val="28"/>
                <w:highlight w:val="none"/>
              </w:rPr>
            </w:pPr>
            <w:r>
              <w:rPr>
                <w:rFonts w:hint="eastAsia" w:ascii="宋体" w:hAnsi="宋体" w:cs="宋体"/>
                <w:color w:val="auto"/>
                <w:sz w:val="28"/>
                <w:szCs w:val="28"/>
                <w:highlight w:val="none"/>
              </w:rPr>
              <w:t>日    期</w:t>
            </w:r>
          </w:p>
        </w:tc>
        <w:tc>
          <w:tcPr>
            <w:tcW w:w="7088" w:type="dxa"/>
            <w:vAlign w:val="center"/>
          </w:tcPr>
          <w:p w14:paraId="46701C7C">
            <w:pPr>
              <w:ind w:hanging="1"/>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二○二</w:t>
            </w:r>
            <w:r>
              <w:rPr>
                <w:rFonts w:hint="eastAsia" w:ascii="宋体" w:hAnsi="宋体" w:cs="宋体"/>
                <w:color w:val="auto"/>
                <w:kern w:val="0"/>
                <w:sz w:val="28"/>
                <w:szCs w:val="28"/>
                <w:highlight w:val="none"/>
                <w:lang w:val="en-US" w:eastAsia="zh-CN"/>
              </w:rPr>
              <w:t>五</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一</w:t>
            </w:r>
            <w:r>
              <w:rPr>
                <w:rFonts w:hint="eastAsia" w:ascii="宋体" w:hAnsi="宋体" w:cs="宋体"/>
                <w:color w:val="auto"/>
                <w:kern w:val="0"/>
                <w:sz w:val="28"/>
                <w:szCs w:val="28"/>
                <w:highlight w:val="none"/>
              </w:rPr>
              <w:t>月</w:t>
            </w:r>
          </w:p>
        </w:tc>
      </w:tr>
    </w:tbl>
    <w:p w14:paraId="04CC24DB">
      <w:pPr>
        <w:snapToGrid w:val="0"/>
        <w:spacing w:line="360" w:lineRule="auto"/>
        <w:jc w:val="center"/>
        <w:rPr>
          <w:rFonts w:ascii="宋体" w:hAnsi="宋体" w:cs="宋体"/>
          <w:color w:val="auto"/>
          <w:sz w:val="30"/>
          <w:highlight w:val="none"/>
        </w:rPr>
      </w:pPr>
    </w:p>
    <w:p w14:paraId="22DDFF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2B7B01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B130D94">
      <w:pPr>
        <w:spacing w:line="360" w:lineRule="auto"/>
        <w:rPr>
          <w:rFonts w:ascii="宋体" w:hAnsi="宋体" w:cs="宋体"/>
          <w:color w:val="auto"/>
          <w:sz w:val="32"/>
          <w:szCs w:val="32"/>
          <w:highlight w:val="none"/>
        </w:rPr>
      </w:pPr>
    </w:p>
    <w:p w14:paraId="76CA5A3E">
      <w:pPr>
        <w:spacing w:line="360" w:lineRule="auto"/>
        <w:rPr>
          <w:rFonts w:ascii="宋体" w:hAnsi="宋体" w:cs="宋体"/>
          <w:color w:val="auto"/>
          <w:sz w:val="32"/>
          <w:szCs w:val="32"/>
          <w:highlight w:val="none"/>
        </w:rPr>
      </w:pPr>
    </w:p>
    <w:p w14:paraId="4CDFA1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86F3F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712D4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429F7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6EA9D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EE8D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EB49D1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6A6AF92">
      <w:pPr>
        <w:spacing w:line="360" w:lineRule="auto"/>
        <w:ind w:firstLine="549" w:firstLineChars="229"/>
        <w:rPr>
          <w:rFonts w:ascii="宋体" w:hAnsi="宋体" w:cs="宋体"/>
          <w:color w:val="auto"/>
          <w:sz w:val="24"/>
          <w:highlight w:val="none"/>
        </w:rPr>
      </w:pPr>
    </w:p>
    <w:p w14:paraId="166062B4">
      <w:pPr>
        <w:spacing w:line="360" w:lineRule="auto"/>
        <w:ind w:firstLine="549" w:firstLineChars="229"/>
        <w:rPr>
          <w:rFonts w:ascii="宋体" w:hAnsi="宋体" w:cs="宋体"/>
          <w:color w:val="auto"/>
          <w:sz w:val="24"/>
          <w:highlight w:val="none"/>
        </w:rPr>
      </w:pPr>
    </w:p>
    <w:p w14:paraId="3DA766AF">
      <w:pPr>
        <w:spacing w:line="360" w:lineRule="auto"/>
        <w:ind w:firstLine="549" w:firstLineChars="229"/>
        <w:rPr>
          <w:rFonts w:ascii="宋体" w:hAnsi="宋体" w:cs="宋体"/>
          <w:color w:val="auto"/>
          <w:sz w:val="24"/>
          <w:highlight w:val="none"/>
        </w:rPr>
      </w:pPr>
    </w:p>
    <w:p w14:paraId="1B7EBE17">
      <w:pPr>
        <w:spacing w:line="360" w:lineRule="auto"/>
        <w:ind w:firstLine="549" w:firstLineChars="229"/>
        <w:rPr>
          <w:rFonts w:ascii="宋体" w:hAnsi="宋体" w:cs="宋体"/>
          <w:color w:val="auto"/>
          <w:sz w:val="24"/>
          <w:highlight w:val="none"/>
        </w:rPr>
      </w:pPr>
    </w:p>
    <w:p w14:paraId="753B8194">
      <w:pPr>
        <w:spacing w:line="360" w:lineRule="auto"/>
        <w:ind w:firstLine="549" w:firstLineChars="229"/>
        <w:rPr>
          <w:rFonts w:ascii="宋体" w:hAnsi="宋体" w:cs="宋体"/>
          <w:color w:val="auto"/>
          <w:sz w:val="24"/>
          <w:highlight w:val="none"/>
        </w:rPr>
      </w:pPr>
    </w:p>
    <w:p w14:paraId="0011AC5B">
      <w:pPr>
        <w:spacing w:line="360" w:lineRule="auto"/>
        <w:ind w:firstLine="549" w:firstLineChars="229"/>
        <w:rPr>
          <w:rFonts w:ascii="宋体" w:hAnsi="宋体" w:cs="宋体"/>
          <w:color w:val="auto"/>
          <w:sz w:val="24"/>
          <w:highlight w:val="none"/>
        </w:rPr>
      </w:pPr>
    </w:p>
    <w:p w14:paraId="3F7963E9">
      <w:pPr>
        <w:spacing w:line="360" w:lineRule="auto"/>
        <w:ind w:firstLine="549" w:firstLineChars="229"/>
        <w:rPr>
          <w:rFonts w:ascii="宋体" w:hAnsi="宋体" w:cs="宋体"/>
          <w:color w:val="auto"/>
          <w:sz w:val="24"/>
          <w:highlight w:val="none"/>
        </w:rPr>
      </w:pPr>
    </w:p>
    <w:p w14:paraId="22BF3774">
      <w:pPr>
        <w:spacing w:line="360" w:lineRule="auto"/>
        <w:ind w:firstLine="549" w:firstLineChars="229"/>
        <w:rPr>
          <w:rFonts w:ascii="宋体" w:hAnsi="宋体" w:cs="宋体"/>
          <w:color w:val="auto"/>
          <w:sz w:val="24"/>
          <w:highlight w:val="none"/>
        </w:rPr>
      </w:pPr>
    </w:p>
    <w:p w14:paraId="0F8D75E9">
      <w:pPr>
        <w:spacing w:line="360" w:lineRule="auto"/>
        <w:ind w:firstLine="549" w:firstLineChars="229"/>
        <w:rPr>
          <w:rFonts w:ascii="宋体" w:hAnsi="宋体" w:cs="宋体"/>
          <w:color w:val="auto"/>
          <w:sz w:val="24"/>
          <w:highlight w:val="none"/>
        </w:rPr>
      </w:pPr>
    </w:p>
    <w:p w14:paraId="2B69F3D9">
      <w:pPr>
        <w:spacing w:line="360" w:lineRule="auto"/>
        <w:ind w:firstLine="549" w:firstLineChars="229"/>
        <w:rPr>
          <w:rFonts w:ascii="宋体" w:hAnsi="宋体" w:cs="宋体"/>
          <w:color w:val="auto"/>
          <w:sz w:val="24"/>
          <w:highlight w:val="none"/>
        </w:rPr>
      </w:pPr>
    </w:p>
    <w:p w14:paraId="4A98BBC6">
      <w:pPr>
        <w:spacing w:line="360" w:lineRule="auto"/>
        <w:ind w:firstLine="549" w:firstLineChars="229"/>
        <w:rPr>
          <w:rFonts w:ascii="宋体" w:hAnsi="宋体" w:cs="宋体"/>
          <w:color w:val="auto"/>
          <w:sz w:val="24"/>
          <w:highlight w:val="none"/>
        </w:rPr>
      </w:pPr>
    </w:p>
    <w:p w14:paraId="3C0FB85B">
      <w:pPr>
        <w:spacing w:line="360" w:lineRule="auto"/>
        <w:ind w:firstLine="549" w:firstLineChars="229"/>
        <w:rPr>
          <w:rFonts w:ascii="宋体" w:hAnsi="宋体" w:cs="宋体"/>
          <w:color w:val="auto"/>
          <w:sz w:val="24"/>
          <w:highlight w:val="none"/>
        </w:rPr>
      </w:pPr>
    </w:p>
    <w:p w14:paraId="2608C0D0">
      <w:pPr>
        <w:spacing w:line="360" w:lineRule="auto"/>
        <w:rPr>
          <w:rFonts w:ascii="宋体" w:hAnsi="宋体" w:cs="宋体"/>
          <w:color w:val="auto"/>
          <w:sz w:val="24"/>
          <w:highlight w:val="none"/>
        </w:rPr>
      </w:pPr>
    </w:p>
    <w:p w14:paraId="20C15788">
      <w:pPr>
        <w:adjustRightInd/>
        <w:spacing w:before="240" w:beforeLines="100" w:after="240" w:afterLines="100"/>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36"/>
          <w:highlight w:val="none"/>
        </w:rPr>
        <w:t>第一部分招标公告</w:t>
      </w:r>
    </w:p>
    <w:p w14:paraId="300907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7BF7D1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年嘉兴港日常安全管理服务项目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https://www.zcygov.cn/）获取（下载）招标文件，并于202</w:t>
      </w:r>
      <w:r>
        <w:rPr>
          <w:rStyle w:val="77"/>
          <w:rFonts w:hint="eastAsia" w:ascii="宋体" w:hAnsi="宋体" w:cs="宋体"/>
          <w:snapToGrid/>
          <w:color w:val="auto"/>
          <w:kern w:val="2"/>
          <w:sz w:val="21"/>
          <w:szCs w:val="21"/>
          <w:highlight w:val="none"/>
          <w:lang w:val="en-US" w:eastAsia="zh-CN"/>
        </w:rPr>
        <w:t>5</w:t>
      </w:r>
      <w:r>
        <w:rPr>
          <w:rStyle w:val="77"/>
          <w:rFonts w:hint="eastAsia" w:ascii="宋体" w:hAnsi="宋体" w:eastAsia="宋体" w:cs="宋体"/>
          <w:snapToGrid/>
          <w:color w:val="auto"/>
          <w:kern w:val="2"/>
          <w:sz w:val="21"/>
          <w:szCs w:val="21"/>
          <w:highlight w:val="none"/>
        </w:rPr>
        <w:t>年</w:t>
      </w:r>
      <w:r>
        <w:rPr>
          <w:rStyle w:val="77"/>
          <w:rFonts w:hint="eastAsia" w:ascii="宋体" w:hAnsi="宋体" w:cs="宋体"/>
          <w:snapToGrid/>
          <w:color w:val="auto"/>
          <w:kern w:val="2"/>
          <w:sz w:val="21"/>
          <w:szCs w:val="21"/>
          <w:highlight w:val="none"/>
          <w:lang w:val="en-US" w:eastAsia="zh-CN"/>
        </w:rPr>
        <w:t>02</w:t>
      </w:r>
      <w:r>
        <w:rPr>
          <w:rStyle w:val="77"/>
          <w:rFonts w:hint="eastAsia" w:ascii="宋体" w:hAnsi="宋体" w:eastAsia="宋体" w:cs="宋体"/>
          <w:snapToGrid/>
          <w:color w:val="auto"/>
          <w:kern w:val="2"/>
          <w:sz w:val="21"/>
          <w:szCs w:val="21"/>
          <w:highlight w:val="none"/>
        </w:rPr>
        <w:t>月</w:t>
      </w:r>
      <w:r>
        <w:rPr>
          <w:rStyle w:val="77"/>
          <w:rFonts w:hint="eastAsia" w:ascii="宋体" w:hAnsi="宋体" w:cs="宋体"/>
          <w:snapToGrid/>
          <w:color w:val="auto"/>
          <w:kern w:val="2"/>
          <w:sz w:val="21"/>
          <w:szCs w:val="21"/>
          <w:highlight w:val="none"/>
          <w:lang w:val="en-US" w:eastAsia="zh-CN"/>
        </w:rPr>
        <w:t>13</w:t>
      </w:r>
      <w:r>
        <w:rPr>
          <w:rStyle w:val="77"/>
          <w:rFonts w:hint="eastAsia" w:ascii="宋体" w:hAnsi="宋体" w:eastAsia="宋体" w:cs="宋体"/>
          <w:snapToGrid/>
          <w:color w:val="auto"/>
          <w:kern w:val="2"/>
          <w:sz w:val="21"/>
          <w:szCs w:val="21"/>
          <w:highlight w:val="none"/>
        </w:rPr>
        <w:t>日</w:t>
      </w:r>
      <w:r>
        <w:rPr>
          <w:rStyle w:val="77"/>
          <w:rFonts w:hint="eastAsia" w:ascii="宋体" w:hAnsi="宋体" w:cs="宋体"/>
          <w:snapToGrid/>
          <w:color w:val="auto"/>
          <w:kern w:val="2"/>
          <w:sz w:val="21"/>
          <w:szCs w:val="21"/>
          <w:highlight w:val="none"/>
          <w:lang w:val="en-US" w:eastAsia="zh-CN"/>
        </w:rPr>
        <w:t>09</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lang w:val="en-US" w:eastAsia="zh-CN"/>
        </w:rPr>
        <w:t>3</w:t>
      </w:r>
      <w:r>
        <w:rPr>
          <w:rStyle w:val="77"/>
          <w:rFonts w:hint="eastAsia" w:ascii="宋体" w:hAnsi="宋体" w:eastAsia="宋体" w:cs="宋体"/>
          <w:snapToGrid/>
          <w:color w:val="auto"/>
          <w:kern w:val="2"/>
          <w:sz w:val="21"/>
          <w:szCs w:val="21"/>
          <w:highlight w:val="none"/>
        </w:rPr>
        <w:t>0分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4C0396FB">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一、项目基本情况</w:t>
      </w:r>
    </w:p>
    <w:p w14:paraId="37DDE98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lang w:val="en-US" w:eastAsia="zh-CN"/>
        </w:rPr>
        <w:t>ZJZTJX-2025-001</w:t>
      </w:r>
    </w:p>
    <w:p w14:paraId="5165E9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2025年嘉兴港日常安全管理服务项目</w:t>
      </w:r>
    </w:p>
    <w:p w14:paraId="290B58B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100</w:t>
      </w:r>
      <w:r>
        <w:rPr>
          <w:rFonts w:hint="eastAsia" w:ascii="宋体" w:hAnsi="宋体" w:cs="宋体"/>
          <w:bCs/>
          <w:color w:val="auto"/>
          <w:szCs w:val="21"/>
          <w:highlight w:val="none"/>
          <w:u w:val="single"/>
        </w:rPr>
        <w:t>0000</w:t>
      </w:r>
    </w:p>
    <w:p w14:paraId="05BF5C7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val="en-US" w:eastAsia="zh-CN"/>
        </w:rPr>
        <w:t>100</w:t>
      </w:r>
      <w:r>
        <w:rPr>
          <w:rFonts w:hint="eastAsia" w:ascii="宋体" w:hAnsi="宋体" w:cs="宋体"/>
          <w:bCs/>
          <w:color w:val="auto"/>
          <w:szCs w:val="21"/>
          <w:highlight w:val="none"/>
          <w:u w:val="single"/>
        </w:rPr>
        <w:t>0000</w:t>
      </w:r>
    </w:p>
    <w:p w14:paraId="5B20601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采购需求：</w:t>
      </w:r>
    </w:p>
    <w:p w14:paraId="13D7F3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标项名称：</w:t>
      </w:r>
      <w:r>
        <w:rPr>
          <w:rFonts w:hint="eastAsia" w:ascii="宋体" w:hAnsi="宋体" w:cs="宋体"/>
          <w:bCs/>
          <w:color w:val="auto"/>
          <w:szCs w:val="21"/>
          <w:highlight w:val="none"/>
          <w:u w:val="single"/>
        </w:rPr>
        <w:t>2025年嘉兴港日常安全管理服务项目</w:t>
      </w:r>
    </w:p>
    <w:p w14:paraId="05FA676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数量：1</w:t>
      </w:r>
    </w:p>
    <w:p w14:paraId="082BD88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100</w:t>
      </w:r>
      <w:r>
        <w:rPr>
          <w:rFonts w:hint="eastAsia" w:ascii="宋体" w:hAnsi="宋体" w:cs="宋体"/>
          <w:bCs/>
          <w:color w:val="auto"/>
          <w:szCs w:val="21"/>
          <w:highlight w:val="none"/>
          <w:u w:val="single"/>
        </w:rPr>
        <w:t>0000</w:t>
      </w:r>
    </w:p>
    <w:p w14:paraId="0D2DC3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简要规格描述或项目基本概况介绍、用途：</w:t>
      </w:r>
      <w:r>
        <w:rPr>
          <w:rFonts w:hint="eastAsia" w:ascii="宋体" w:hAnsi="宋体" w:cs="宋体"/>
          <w:color w:val="auto"/>
          <w:szCs w:val="21"/>
          <w:highlight w:val="none"/>
          <w:u w:val="single"/>
        </w:rPr>
        <w:t>2025年嘉兴港日常安全管理服务项目</w:t>
      </w:r>
      <w:r>
        <w:rPr>
          <w:rFonts w:hint="eastAsia" w:ascii="宋体" w:hAnsi="宋体" w:cs="宋体"/>
          <w:bCs/>
          <w:color w:val="auto"/>
          <w:szCs w:val="21"/>
          <w:highlight w:val="none"/>
        </w:rPr>
        <w:t>，具体以招标文件第三部分采购需求为准，供应商可点击本公告下方“浏览采购文件”查看采购需求。</w:t>
      </w:r>
    </w:p>
    <w:p w14:paraId="1F90015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合同履约期限：</w:t>
      </w:r>
      <w:r>
        <w:rPr>
          <w:rFonts w:hint="eastAsia" w:ascii="宋体" w:hAnsi="宋体" w:cs="宋体"/>
          <w:bCs/>
          <w:color w:val="auto"/>
          <w:szCs w:val="21"/>
          <w:highlight w:val="none"/>
          <w:u w:val="single"/>
        </w:rPr>
        <w:t>自签订合同之日起至202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年12月31日</w:t>
      </w:r>
      <w:r>
        <w:rPr>
          <w:rFonts w:hint="eastAsia" w:ascii="宋体" w:hAnsi="宋体" w:cs="宋体"/>
          <w:bCs/>
          <w:color w:val="auto"/>
          <w:szCs w:val="21"/>
          <w:highlight w:val="none"/>
          <w:u w:val="single"/>
          <w:lang w:val="en-US" w:eastAsia="zh-CN"/>
        </w:rPr>
        <w:t>止</w:t>
      </w:r>
      <w:r>
        <w:rPr>
          <w:rFonts w:hint="eastAsia" w:ascii="宋体" w:hAnsi="宋体" w:cs="宋体"/>
          <w:bCs/>
          <w:color w:val="auto"/>
          <w:szCs w:val="21"/>
          <w:highlight w:val="none"/>
          <w:u w:val="single"/>
        </w:rPr>
        <w:t>。</w:t>
      </w:r>
    </w:p>
    <w:p w14:paraId="3039C8D1">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本项目接受联合体投标：</w:t>
      </w:r>
      <w:sdt>
        <w:sdtPr>
          <w:rPr>
            <w:rFonts w:hint="eastAsia" w:ascii="宋体" w:hAnsi="宋体" w:cs="宋体"/>
            <w:bCs/>
            <w:color w:val="auto"/>
            <w:kern w:val="0"/>
            <w:szCs w:val="21"/>
            <w:highlight w:val="none"/>
          </w:rPr>
          <w:id w:val="2035453831"/>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t xml:space="preserve"> </w:t>
          </w:r>
          <w:sdt>
            <w:sdtPr>
              <w:rPr>
                <w:rFonts w:hint="eastAsia" w:ascii="宋体" w:hAnsi="宋体" w:cs="宋体"/>
                <w:bCs/>
                <w:color w:val="auto"/>
                <w:kern w:val="0"/>
                <w:szCs w:val="21"/>
                <w:highlight w:val="none"/>
              </w:rPr>
              <w:id w:val="-1890335429"/>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A8"/>
              </w:r>
            </w:sdtContent>
          </w:sdt>
        </w:sdtContent>
      </w:sdt>
      <w:r>
        <w:rPr>
          <w:rFonts w:hint="eastAsia" w:ascii="宋体" w:hAnsi="宋体" w:cs="宋体"/>
          <w:bCs/>
          <w:color w:val="auto"/>
          <w:szCs w:val="21"/>
          <w:highlight w:val="none"/>
        </w:rPr>
        <w:t>是，</w:t>
      </w:r>
      <w:sdt>
        <w:sdtPr>
          <w:rPr>
            <w:rFonts w:hint="eastAsia" w:ascii="宋体" w:hAnsi="宋体" w:cs="宋体"/>
            <w:bCs/>
            <w:color w:val="auto"/>
            <w:kern w:val="0"/>
            <w:szCs w:val="21"/>
            <w:highlight w:val="none"/>
          </w:rPr>
          <w:id w:val="-1765526721"/>
        </w:sdtPr>
        <w:sdtEndPr>
          <w:rPr>
            <w:rFonts w:hint="eastAsia" w:ascii="宋体" w:hAnsi="宋体" w:cs="宋体"/>
            <w:bCs/>
            <w:color w:val="auto"/>
            <w:kern w:val="0"/>
            <w:szCs w:val="21"/>
            <w:highlight w:val="none"/>
          </w:rPr>
        </w:sdtEndPr>
        <w:sdtContent>
          <w:sdt>
            <w:sdtPr>
              <w:rPr>
                <w:rFonts w:hint="eastAsia" w:ascii="宋体" w:hAnsi="宋体" w:cs="宋体"/>
                <w:bCs/>
                <w:color w:val="auto"/>
                <w:kern w:val="0"/>
                <w:szCs w:val="21"/>
                <w:highlight w:val="none"/>
              </w:rPr>
              <w:id w:val="1928616923"/>
            </w:sdtPr>
            <w:sdtEndPr>
              <w:rPr>
                <w:rFonts w:hint="eastAsia" w:ascii="宋体" w:hAnsi="宋体" w:cs="宋体"/>
                <w:bCs/>
                <w:color w:val="auto"/>
                <w:kern w:val="0"/>
                <w:szCs w:val="21"/>
                <w:highlight w:val="none"/>
              </w:rPr>
            </w:sdtEndPr>
            <w:sdtContent>
              <w:r>
                <w:rPr>
                  <w:rFonts w:hint="eastAsia" w:ascii="宋体" w:hAnsi="宋体" w:cs="宋体"/>
                  <w:bCs/>
                  <w:color w:val="auto"/>
                  <w:kern w:val="0"/>
                  <w:szCs w:val="21"/>
                  <w:highlight w:val="none"/>
                </w:rPr>
                <w:sym w:font="Wingdings" w:char="00FE"/>
              </w:r>
            </w:sdtContent>
          </w:sdt>
        </w:sdtContent>
      </w:sdt>
      <w:r>
        <w:rPr>
          <w:rFonts w:hint="eastAsia" w:ascii="宋体" w:hAnsi="宋体" w:cs="宋体"/>
          <w:bCs/>
          <w:color w:val="auto"/>
          <w:szCs w:val="21"/>
          <w:highlight w:val="none"/>
        </w:rPr>
        <w:t>否</w:t>
      </w:r>
      <w:r>
        <w:rPr>
          <w:rFonts w:hint="eastAsia" w:ascii="宋体" w:hAnsi="宋体" w:cs="宋体"/>
          <w:bCs/>
          <w:color w:val="auto"/>
          <w:kern w:val="0"/>
          <w:szCs w:val="21"/>
          <w:highlight w:val="none"/>
        </w:rPr>
        <w:t>。</w:t>
      </w:r>
    </w:p>
    <w:p w14:paraId="1D93B0E6">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3FB6A040">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EF5202">
      <w:pPr>
        <w:wordWrap w:val="0"/>
        <w:spacing w:line="360" w:lineRule="auto"/>
        <w:ind w:firstLine="482"/>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 ；</w:t>
      </w:r>
    </w:p>
    <w:p w14:paraId="1B8712B2">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w:t>
      </w:r>
    </w:p>
    <w:sdt>
      <w:sdtPr>
        <w:rPr>
          <w:rFonts w:hint="eastAsia" w:ascii="宋体" w:hAnsi="宋体" w:cs="宋体"/>
          <w:color w:val="auto"/>
          <w:kern w:val="0"/>
          <w:szCs w:val="21"/>
          <w:highlight w:val="none"/>
        </w:rPr>
        <w:id w:val="-1361431184"/>
      </w:sdtPr>
      <w:sdtEndPr>
        <w:rPr>
          <w:rFonts w:hint="eastAsia" w:ascii="宋体" w:hAnsi="宋体" w:cs="宋体"/>
          <w:color w:val="auto"/>
          <w:kern w:val="0"/>
          <w:szCs w:val="21"/>
          <w:highlight w:val="none"/>
        </w:rPr>
      </w:sdtEndPr>
      <w:sdtContent>
        <w:p w14:paraId="703350D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szCs w:val="21"/>
              <w:highlight w:val="none"/>
            </w:rPr>
            <w:t xml:space="preserve">无； </w:t>
          </w:r>
        </w:p>
        <w:p w14:paraId="64993F02">
          <w:pPr>
            <w:spacing w:line="360" w:lineRule="auto"/>
            <w:ind w:firstLine="420" w:firstLineChars="200"/>
            <w:rPr>
              <w:rFonts w:ascii="宋体" w:hAnsi="宋体" w:cs="宋体"/>
              <w:color w:val="auto"/>
              <w:szCs w:val="21"/>
              <w:highlight w:val="none"/>
            </w:rPr>
          </w:pPr>
          <w:sdt>
            <w:sdtPr>
              <w:rPr>
                <w:rFonts w:hint="eastAsia" w:ascii="宋体" w:hAnsi="宋体" w:cs="宋体"/>
                <w:color w:val="0000FF"/>
                <w:kern w:val="0"/>
                <w:szCs w:val="21"/>
                <w:highlight w:val="none"/>
              </w:rPr>
              <w:id w:val="-1024704304"/>
            </w:sdtPr>
            <w:sdtEndPr>
              <w:rPr>
                <w:rFonts w:hint="eastAsia" w:ascii="宋体" w:hAnsi="宋体" w:cs="宋体"/>
                <w:color w:val="auto"/>
                <w:kern w:val="0"/>
                <w:szCs w:val="21"/>
                <w:highlight w:val="none"/>
                <w:u w:val="single"/>
              </w:rPr>
            </w:sdtEndPr>
            <w:sdtContent>
              <w:r>
                <w:rPr>
                  <w:rFonts w:hint="eastAsia" w:ascii="宋体" w:hAnsi="宋体" w:cs="宋体"/>
                  <w:color w:val="auto"/>
                  <w:kern w:val="0"/>
                  <w:szCs w:val="21"/>
                  <w:highlight w:val="none"/>
                  <w:u w:val="single"/>
                </w:rPr>
                <w:sym w:font="Wingdings" w:char="00FE"/>
              </w:r>
            </w:sdtContent>
          </w:sdt>
          <w:r>
            <w:rPr>
              <w:rFonts w:hint="eastAsia" w:ascii="宋体" w:hAnsi="宋体" w:cs="宋体"/>
              <w:color w:val="auto"/>
              <w:kern w:val="0"/>
              <w:szCs w:val="21"/>
              <w:highlight w:val="none"/>
              <w:u w:val="single"/>
            </w:rPr>
            <w:t>专</w:t>
          </w:r>
          <w:r>
            <w:rPr>
              <w:rFonts w:hint="eastAsia" w:ascii="宋体" w:hAnsi="宋体" w:cs="宋体"/>
              <w:color w:val="auto"/>
              <w:szCs w:val="21"/>
              <w:highlight w:val="none"/>
              <w:u w:val="single"/>
            </w:rPr>
            <w:t>门面向中小企业</w:t>
          </w:r>
        </w:p>
        <w:p w14:paraId="2B7DD230">
          <w:pPr>
            <w:spacing w:line="360" w:lineRule="auto"/>
            <w:ind w:firstLine="840" w:firstLineChars="400"/>
            <w:rPr>
              <w:rFonts w:ascii="宋体" w:hAnsi="宋体" w:cs="宋体"/>
              <w:color w:val="auto"/>
              <w:szCs w:val="21"/>
              <w:highlight w:val="none"/>
              <w:u w:val="single"/>
            </w:rPr>
          </w:pPr>
          <w:sdt>
            <w:sdtPr>
              <w:rPr>
                <w:rFonts w:hint="eastAsia" w:ascii="宋体" w:hAnsi="宋体" w:cs="宋体"/>
                <w:color w:val="auto"/>
                <w:kern w:val="0"/>
                <w:szCs w:val="21"/>
                <w:highlight w:val="none"/>
                <w:u w:val="single"/>
              </w:rPr>
              <w:id w:val="-333685401"/>
            </w:sdtPr>
            <w:sdtEndPr>
              <w:rPr>
                <w:rFonts w:hint="eastAsia" w:ascii="宋体" w:hAnsi="宋体" w:cs="宋体"/>
                <w:color w:val="auto"/>
                <w:kern w:val="0"/>
                <w:szCs w:val="21"/>
                <w:highlight w:val="none"/>
                <w:u w:val="single"/>
              </w:rPr>
            </w:sdtEndPr>
            <w:sdtContent>
              <w:sdt>
                <w:sdtPr>
                  <w:rPr>
                    <w:rFonts w:hint="eastAsia" w:ascii="宋体" w:hAnsi="宋体" w:cs="宋体"/>
                    <w:color w:val="auto"/>
                    <w:kern w:val="0"/>
                    <w:szCs w:val="21"/>
                    <w:highlight w:val="none"/>
                    <w:u w:val="single"/>
                  </w:rPr>
                  <w:id w:val="-1202788315"/>
                </w:sdtPr>
                <w:sdtEndPr>
                  <w:rPr>
                    <w:rFonts w:hint="eastAsia" w:ascii="宋体" w:hAnsi="宋体" w:cs="宋体"/>
                    <w:color w:val="auto"/>
                    <w:kern w:val="0"/>
                    <w:szCs w:val="21"/>
                    <w:highlight w:val="none"/>
                    <w:u w:val="single"/>
                  </w:rPr>
                </w:sdtEndPr>
                <w:sdtContent>
                  <w:r>
                    <w:rPr>
                      <w:rFonts w:hint="eastAsia" w:ascii="宋体" w:hAnsi="宋体" w:cs="宋体"/>
                      <w:color w:val="auto"/>
                      <w:kern w:val="0"/>
                      <w:szCs w:val="21"/>
                      <w:highlight w:val="none"/>
                      <w:u w:val="single"/>
                    </w:rPr>
                    <w:sym w:font="Wingdings" w:char="00FE"/>
                  </w:r>
                </w:sdtContent>
              </w:sdt>
            </w:sdtContent>
          </w:sdt>
          <w:r>
            <w:rPr>
              <w:rFonts w:hint="eastAsia" w:ascii="宋体" w:hAnsi="宋体" w:cs="宋体"/>
              <w:color w:val="auto"/>
              <w:szCs w:val="21"/>
              <w:highlight w:val="none"/>
              <w:u w:val="single"/>
            </w:rPr>
            <w:t>服务全部由符合政策要求的中小企业承接，提供中小企业声明函；</w:t>
          </w:r>
        </w:p>
        <w:p w14:paraId="6139E563">
          <w:pPr>
            <w:spacing w:line="360" w:lineRule="auto"/>
            <w:ind w:firstLine="840" w:firstLineChars="400"/>
            <w:rPr>
              <w:rFonts w:ascii="宋体" w:hAnsi="宋体" w:cs="宋体"/>
              <w:color w:val="auto"/>
              <w:kern w:val="0"/>
              <w:szCs w:val="21"/>
              <w:highlight w:val="none"/>
            </w:rPr>
          </w:pPr>
          <w:sdt>
            <w:sdtPr>
              <w:rPr>
                <w:rFonts w:hint="eastAsia" w:ascii="宋体" w:hAnsi="宋体" w:cs="宋体"/>
                <w:color w:val="auto"/>
                <w:kern w:val="0"/>
                <w:szCs w:val="21"/>
                <w:highlight w:val="none"/>
              </w:rPr>
              <w:id w:val="-1299604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
            <w:sdtPr>
              <w:rPr>
                <w:rFonts w:hint="eastAsia" w:ascii="宋体" w:hAnsi="宋体" w:cs="宋体"/>
                <w:color w:val="auto"/>
                <w:kern w:val="0"/>
                <w:szCs w:val="21"/>
                <w:highlight w:val="none"/>
              </w:rPr>
              <w:id w:val="-2141025358"/>
            </w:sdtPr>
            <w:sdtEndPr>
              <w:rPr>
                <w:rFonts w:hint="eastAsia" w:ascii="宋体" w:hAnsi="宋体" w:cs="宋体"/>
                <w:color w:val="auto"/>
                <w:kern w:val="0"/>
                <w:szCs w:val="21"/>
                <w:highlight w:val="none"/>
              </w:rPr>
            </w:sdtEndPr>
            <w:sdtContent/>
          </w:sdt>
          <w:r>
            <w:rPr>
              <w:rFonts w:hint="eastAsia" w:ascii="宋体" w:hAnsi="宋体" w:cs="宋体"/>
              <w:color w:val="auto"/>
              <w:szCs w:val="21"/>
              <w:highlight w:val="none"/>
            </w:rPr>
            <w:t>服务全部由符合政策要求的小微企业承接，提供中小企业声明函；</w:t>
          </w:r>
        </w:p>
      </w:sdtContent>
    </w:sdt>
    <w:p w14:paraId="2999FA6C">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25238814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4A6B1A2C">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167755400"/>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%；如果供应商本身提供所有标的均由中小企业制造、承建或承接，视同符合了资格条件，无需再向中小企业分包，无需提供分包意向协议；</w:t>
      </w:r>
    </w:p>
    <w:p w14:paraId="04EB1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4.本项目的特定资格要求：</w:t>
      </w:r>
    </w:p>
    <w:p w14:paraId="7296A59C">
      <w:pPr>
        <w:spacing w:line="360" w:lineRule="auto"/>
        <w:ind w:firstLine="420" w:firstLineChars="200"/>
        <w:rPr>
          <w:rFonts w:ascii="宋体" w:hAnsi="宋体" w:cs="宋体"/>
          <w:color w:val="auto"/>
          <w:kern w:val="0"/>
          <w:szCs w:val="21"/>
          <w:highlight w:val="none"/>
        </w:rPr>
      </w:pPr>
      <w:sdt>
        <w:sdtPr>
          <w:rPr>
            <w:rFonts w:hint="eastAsia" w:ascii="宋体" w:hAnsi="宋体" w:cs="宋体"/>
            <w:color w:val="auto"/>
            <w:kern w:val="0"/>
            <w:szCs w:val="21"/>
            <w:highlight w:val="none"/>
          </w:rPr>
          <w:id w:val="1033081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无。</w:t>
      </w:r>
    </w:p>
    <w:p w14:paraId="154FDB46">
      <w:pPr>
        <w:spacing w:line="360" w:lineRule="auto"/>
        <w:ind w:firstLine="420" w:firstLineChars="200"/>
        <w:rPr>
          <w:rFonts w:ascii="宋体" w:hAnsi="宋体" w:cs="宋体"/>
          <w:color w:val="auto"/>
          <w:kern w:val="0"/>
          <w:szCs w:val="21"/>
          <w:highlight w:val="none"/>
        </w:rPr>
      </w:pPr>
      <w:sdt>
        <w:sdtPr>
          <w:rPr>
            <w:rFonts w:hint="eastAsia" w:ascii="宋体" w:hAnsi="宋体" w:cs="宋体"/>
            <w:color w:val="auto"/>
            <w:kern w:val="0"/>
            <w:szCs w:val="21"/>
            <w:highlight w:val="none"/>
          </w:rPr>
          <w:id w:val="76126335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有特定资格要求：</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，该特定条件的法律法规依据：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28ADF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为采购项目提供整体设计、规范编制或者项目管理、监理、检测等服务后不得再参加该采购项目的其他采购活动。</w:t>
      </w:r>
    </w:p>
    <w:p w14:paraId="44785B3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三、获取招标文件</w:t>
      </w:r>
    </w:p>
    <w:p w14:paraId="168745DD">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04865404">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579D45C5">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09F007C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p>
    <w:p w14:paraId="634756A3">
      <w:pPr>
        <w:wordWrap w:val="0"/>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58837B12">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cs="宋体"/>
          <w:color w:val="auto"/>
          <w:szCs w:val="21"/>
          <w:highlight w:val="none"/>
        </w:rPr>
        <w:t>（北京时间）</w:t>
      </w:r>
    </w:p>
    <w:p w14:paraId="0E3F13E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30BD41EC">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p>
    <w:p w14:paraId="7D1967CD">
      <w:pPr>
        <w:wordWrap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3681BF08">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五、采购意向公开</w:t>
      </w:r>
    </w:p>
    <w:p w14:paraId="03505EC1">
      <w:pPr>
        <w:wordWrap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采购意向公开链接：</w:t>
      </w:r>
      <w:r>
        <w:rPr>
          <w:rFonts w:hint="eastAsia" w:ascii="宋体" w:hAnsi="宋体" w:cs="宋体"/>
          <w:color w:val="auto"/>
          <w:szCs w:val="21"/>
          <w:highlight w:val="none"/>
          <w:u w:val="single"/>
        </w:rPr>
        <w:t>https://zfcg.czt.zj.gov.cn/site/detail?parentId=600007&amp;articleId=g3he%2B9qd9t3YZcbayZUMvQ%3D%3D</w:t>
      </w:r>
      <w:r>
        <w:rPr>
          <w:rFonts w:hint="eastAsia" w:ascii="宋体" w:hAnsi="宋体" w:cs="宋体"/>
          <w:color w:val="auto"/>
          <w:szCs w:val="21"/>
          <w:highlight w:val="none"/>
          <w:u w:val="single"/>
          <w:lang w:val="en-US" w:eastAsia="zh-CN"/>
        </w:rPr>
        <w:t>。</w:t>
      </w:r>
    </w:p>
    <w:p w14:paraId="58BEF99E">
      <w:pPr>
        <w:spacing w:line="360" w:lineRule="auto"/>
        <w:ind w:firstLine="420" w:firstLineChars="200"/>
        <w:rPr>
          <w:rFonts w:ascii="宋体" w:hAnsi="宋体" w:cs="宋体"/>
          <w:b/>
          <w:color w:val="FF0000"/>
          <w:szCs w:val="21"/>
          <w:highlight w:val="none"/>
        </w:rPr>
      </w:pPr>
      <w:r>
        <w:rPr>
          <w:rFonts w:hint="eastAsia" w:ascii="宋体" w:hAnsi="宋体" w:cs="宋体"/>
          <w:color w:val="auto"/>
          <w:szCs w:val="21"/>
          <w:highlight w:val="none"/>
        </w:rPr>
        <w:t>发布时间：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日</w:t>
      </w:r>
    </w:p>
    <w:p w14:paraId="59E4076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六、公告期限</w:t>
      </w:r>
    </w:p>
    <w:p w14:paraId="04017A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1FE4A9A5">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七、其他补充事宜</w:t>
      </w:r>
    </w:p>
    <w:p w14:paraId="752D9B86">
      <w:pPr>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https://jinrong.zcygov.cn/finance-service/#/home。</w:t>
      </w:r>
    </w:p>
    <w:p w14:paraId="038E010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Cs w:val="21"/>
          <w:highlight w:val="none"/>
          <w:lang w:eastAsia="zh-CN"/>
        </w:rPr>
        <w:t>：</w:t>
      </w:r>
      <w:r>
        <w:rPr>
          <w:rFonts w:hint="eastAsia" w:ascii="宋体" w:hAnsi="宋体" w:cs="宋体"/>
          <w:color w:val="auto"/>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539DA4F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E749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170C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0B36576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需要落实的政府采购政策：包括节约资源、保护环境、支持创新、促进中小企业发展等。详见招标文件的第二部分总则。</w:t>
      </w:r>
    </w:p>
    <w:p w14:paraId="70DB56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电子招投标的说明：</w:t>
      </w:r>
    </w:p>
    <w:p w14:paraId="1504968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①电子招投标：本项目以数据电文形式，依托“政府采购云平台（www.zcygov.cn）”进行招投标活动，不接受纸质投标文件；</w:t>
      </w:r>
    </w:p>
    <w:p w14:paraId="1693B7F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88D44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③招标文件的获取：使用账号登录或者使用CA登录政采云平台；进入“项目采购”应用，在获取采购文件菜单中选择项目，获取招标文件；</w:t>
      </w:r>
    </w:p>
    <w:p w14:paraId="76BA88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④投标文件的制作：在“政采云电子交易客户端”中完成“填写基本信息”、“导入投标文件”、“标书关联”、“标书检查”、“电子签名”、“生成电子标书”等操作；</w:t>
      </w:r>
    </w:p>
    <w:p w14:paraId="4E085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⑤采购人、采购代理机构将依托政采云平台完成本项目的电子交易活动，平台不接受未按上述方式获取招标文件的供应商进行投标活动；</w:t>
      </w:r>
    </w:p>
    <w:p w14:paraId="3FB7E6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⑥对未按上述方式获取招标文件的供应商对该文件提出的质疑，采购人或采购代理机构将不予处理；</w:t>
      </w:r>
    </w:p>
    <w:p w14:paraId="69426F3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⑦不提供招标文件纸质版；</w:t>
      </w:r>
    </w:p>
    <w:p w14:paraId="79A4F0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8B11E7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21A22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⑩具体操作指南：详见政采云平台“服务中心-帮助文档-项目采购-操作流程-电子招投标-政府采购项目电子交易管理操作指南-供应商”。</w:t>
      </w:r>
    </w:p>
    <w:p w14:paraId="6AB35C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招标文件公告期限与招标公告的公告期限一致。</w:t>
      </w:r>
    </w:p>
    <w:p w14:paraId="17D83F19">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0E4FA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66B4D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称：嘉兴市港航管理服务中心</w:t>
      </w:r>
    </w:p>
    <w:p w14:paraId="412A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址：嘉兴市栅堰路342号</w:t>
      </w:r>
    </w:p>
    <w:p w14:paraId="613283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642F07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项目联系人（询问）：耿钊</w:t>
      </w:r>
    </w:p>
    <w:p w14:paraId="6601C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项目联系方式（询问）：0573-</w:t>
      </w:r>
      <w:r>
        <w:rPr>
          <w:rFonts w:hint="eastAsia" w:ascii="宋体" w:hAnsi="宋体" w:cs="宋体"/>
          <w:color w:val="auto"/>
          <w:szCs w:val="21"/>
          <w:highlight w:val="none"/>
          <w:lang w:val="en-US" w:eastAsia="zh-CN"/>
        </w:rPr>
        <w:t>85521144</w:t>
      </w:r>
    </w:p>
    <w:p w14:paraId="21BC91D1">
      <w:pPr>
        <w:tabs>
          <w:tab w:val="left" w:pos="3241"/>
        </w:tabs>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质疑联系人：沈士军</w:t>
      </w:r>
    </w:p>
    <w:p w14:paraId="28710F03">
      <w:p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质疑联系方式：</w:t>
      </w:r>
      <w:r>
        <w:rPr>
          <w:rFonts w:hint="eastAsia" w:ascii="宋体" w:hAnsi="宋体" w:cs="宋体"/>
          <w:color w:val="auto"/>
          <w:szCs w:val="21"/>
          <w:highlight w:val="none"/>
          <w:u w:val="none"/>
          <w:lang w:val="en-US" w:eastAsia="zh-CN"/>
        </w:rPr>
        <w:t>0573-85521144</w:t>
      </w:r>
    </w:p>
    <w:p w14:paraId="64FF6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119DE20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val="en-US" w:eastAsia="zh-CN"/>
        </w:rPr>
        <w:t>浙江展图工程咨询有限公司</w:t>
      </w:r>
    </w:p>
    <w:p w14:paraId="32FDE75B">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地址：嘉兴市秀洲区成秀路205号鼎盛大厦4楼</w:t>
      </w:r>
      <w:r>
        <w:rPr>
          <w:rFonts w:hint="eastAsia" w:ascii="宋体" w:hAnsi="宋体" w:cs="宋体"/>
          <w:color w:val="auto"/>
          <w:szCs w:val="21"/>
          <w:highlight w:val="none"/>
          <w:lang w:val="en-US" w:eastAsia="zh-CN"/>
        </w:rPr>
        <w:t>409室</w:t>
      </w:r>
    </w:p>
    <w:p w14:paraId="74F43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14:paraId="2730C0A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陈凯华</w:t>
      </w:r>
    </w:p>
    <w:p w14:paraId="226098FE">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项目联系方式（询问）：0573-838076</w:t>
      </w:r>
      <w:r>
        <w:rPr>
          <w:rFonts w:hint="eastAsia" w:ascii="宋体" w:hAnsi="宋体" w:cs="宋体"/>
          <w:color w:val="auto"/>
          <w:szCs w:val="21"/>
          <w:highlight w:val="none"/>
          <w:lang w:val="en-US" w:eastAsia="zh-CN"/>
        </w:rPr>
        <w:t>98</w:t>
      </w:r>
    </w:p>
    <w:p w14:paraId="33D0067E">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沈丹蕾</w:t>
      </w:r>
    </w:p>
    <w:p w14:paraId="7893644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质疑联系方式：0573-838076</w:t>
      </w:r>
      <w:r>
        <w:rPr>
          <w:rFonts w:hint="eastAsia" w:ascii="宋体" w:hAnsi="宋体" w:cs="宋体"/>
          <w:color w:val="auto"/>
          <w:szCs w:val="21"/>
          <w:highlight w:val="none"/>
          <w:lang w:val="en-US" w:eastAsia="zh-CN"/>
        </w:rPr>
        <w:t>98</w:t>
      </w:r>
    </w:p>
    <w:p w14:paraId="7355A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1552A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称：嘉兴市财政局</w:t>
      </w:r>
    </w:p>
    <w:p w14:paraId="66079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址：嘉兴市南湖区环城西路55号</w:t>
      </w:r>
    </w:p>
    <w:p w14:paraId="66C65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6E3F4F51">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姚先生</w:t>
      </w:r>
    </w:p>
    <w:p w14:paraId="45C97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监督投诉电话：0573-82031217</w:t>
      </w:r>
    </w:p>
    <w:p w14:paraId="5990A36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2B8F2151">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CA问题联系电话（人工）：汇信CA 400-888-4636；天谷CA 400-087-8198。</w:t>
      </w:r>
    </w:p>
    <w:p w14:paraId="5495C375">
      <w:pPr>
        <w:adjustRightInd/>
        <w:spacing w:before="240" w:beforeLines="100" w:after="240" w:afterLines="100"/>
        <w:jc w:val="center"/>
        <w:outlineLvl w:val="0"/>
        <w:rPr>
          <w:rFonts w:ascii="宋体" w:hAnsi="宋体" w:cs="宋体"/>
          <w:b/>
          <w:color w:val="auto"/>
          <w:sz w:val="36"/>
          <w:szCs w:val="20"/>
          <w:highlight w:val="none"/>
        </w:rPr>
      </w:pPr>
    </w:p>
    <w:p w14:paraId="7FB31C4E">
      <w:pPr>
        <w:adjustRightInd/>
        <w:spacing w:before="240" w:beforeLines="100" w:after="240" w:afterLines="100"/>
        <w:jc w:val="center"/>
        <w:outlineLvl w:val="0"/>
        <w:rPr>
          <w:rFonts w:ascii="宋体" w:hAnsi="宋体" w:cs="宋体"/>
          <w:b/>
          <w:color w:val="auto"/>
          <w:sz w:val="36"/>
          <w:szCs w:val="20"/>
          <w:highlight w:val="none"/>
        </w:rPr>
      </w:pPr>
    </w:p>
    <w:p w14:paraId="18566536">
      <w:pPr>
        <w:adjustRightInd/>
        <w:spacing w:before="240" w:beforeLines="100" w:after="240" w:afterLines="100"/>
        <w:jc w:val="center"/>
        <w:outlineLvl w:val="0"/>
        <w:rPr>
          <w:rFonts w:ascii="宋体" w:hAnsi="宋体" w:cs="宋体"/>
          <w:b/>
          <w:color w:val="auto"/>
          <w:sz w:val="36"/>
          <w:szCs w:val="20"/>
          <w:highlight w:val="none"/>
        </w:rPr>
      </w:pPr>
    </w:p>
    <w:p w14:paraId="6E3E56FE">
      <w:pPr>
        <w:adjustRightInd/>
        <w:spacing w:before="240" w:beforeLines="100" w:after="240" w:afterLines="100"/>
        <w:jc w:val="center"/>
        <w:outlineLvl w:val="0"/>
        <w:rPr>
          <w:rFonts w:ascii="宋体" w:hAnsi="宋体" w:cs="宋体"/>
          <w:b/>
          <w:color w:val="auto"/>
          <w:sz w:val="36"/>
          <w:szCs w:val="20"/>
          <w:highlight w:val="none"/>
        </w:rPr>
      </w:pPr>
    </w:p>
    <w:p w14:paraId="58C0207E">
      <w:pPr>
        <w:adjustRightInd/>
        <w:spacing w:before="240" w:beforeLines="100" w:after="240" w:afterLines="100"/>
        <w:jc w:val="center"/>
        <w:outlineLvl w:val="0"/>
        <w:rPr>
          <w:rFonts w:ascii="宋体" w:hAnsi="宋体" w:cs="宋体"/>
          <w:b/>
          <w:color w:val="auto"/>
          <w:sz w:val="36"/>
          <w:szCs w:val="20"/>
          <w:highlight w:val="none"/>
        </w:rPr>
      </w:pPr>
    </w:p>
    <w:p w14:paraId="5267553D">
      <w:pPr>
        <w:adjustRightInd/>
        <w:spacing w:before="240" w:beforeLines="100" w:after="240" w:afterLines="100"/>
        <w:jc w:val="center"/>
        <w:outlineLvl w:val="0"/>
        <w:rPr>
          <w:rFonts w:ascii="宋体" w:hAnsi="宋体" w:cs="宋体"/>
          <w:b/>
          <w:color w:val="auto"/>
          <w:sz w:val="36"/>
          <w:szCs w:val="20"/>
          <w:highlight w:val="none"/>
        </w:rPr>
      </w:pPr>
    </w:p>
    <w:p w14:paraId="32849445">
      <w:pPr>
        <w:adjustRightInd/>
        <w:spacing w:before="240" w:beforeLines="100" w:after="240" w:afterLines="100"/>
        <w:jc w:val="center"/>
        <w:outlineLvl w:val="0"/>
        <w:rPr>
          <w:rFonts w:ascii="宋体" w:hAnsi="宋体" w:cs="宋体"/>
          <w:b/>
          <w:color w:val="auto"/>
          <w:sz w:val="36"/>
          <w:szCs w:val="20"/>
          <w:highlight w:val="none"/>
        </w:rPr>
      </w:pPr>
    </w:p>
    <w:p w14:paraId="38618696">
      <w:pPr>
        <w:adjustRightInd/>
        <w:spacing w:before="240" w:beforeLines="100" w:after="240" w:afterLines="100"/>
        <w:jc w:val="center"/>
        <w:outlineLvl w:val="0"/>
        <w:rPr>
          <w:rFonts w:ascii="宋体" w:hAnsi="宋体" w:cs="宋体"/>
          <w:b/>
          <w:color w:val="auto"/>
          <w:sz w:val="36"/>
          <w:szCs w:val="20"/>
          <w:highlight w:val="none"/>
        </w:rPr>
      </w:pPr>
    </w:p>
    <w:p w14:paraId="7AF206AC">
      <w:pPr>
        <w:adjustRightInd/>
        <w:spacing w:before="240" w:beforeLines="100" w:after="240" w:afterLines="100"/>
        <w:jc w:val="center"/>
        <w:outlineLvl w:val="0"/>
        <w:rPr>
          <w:rFonts w:ascii="宋体" w:hAnsi="宋体" w:cs="宋体"/>
          <w:b/>
          <w:color w:val="auto"/>
          <w:sz w:val="36"/>
          <w:szCs w:val="20"/>
          <w:highlight w:val="none"/>
        </w:rPr>
      </w:pPr>
    </w:p>
    <w:p w14:paraId="138C26A1">
      <w:pPr>
        <w:adjustRightInd/>
        <w:spacing w:before="240" w:beforeLines="100" w:after="240" w:afterLines="100"/>
        <w:jc w:val="center"/>
        <w:outlineLvl w:val="0"/>
        <w:rPr>
          <w:rFonts w:ascii="宋体" w:hAnsi="宋体" w:cs="宋体"/>
          <w:b/>
          <w:color w:val="auto"/>
          <w:sz w:val="36"/>
          <w:szCs w:val="20"/>
          <w:highlight w:val="none"/>
        </w:rPr>
      </w:pPr>
    </w:p>
    <w:p w14:paraId="3DA43739">
      <w:pPr>
        <w:adjustRightInd/>
        <w:spacing w:before="240" w:beforeLines="100" w:after="240" w:afterLines="100"/>
        <w:jc w:val="center"/>
        <w:outlineLvl w:val="0"/>
        <w:rPr>
          <w:rFonts w:ascii="宋体" w:hAnsi="宋体" w:cs="宋体"/>
          <w:b/>
          <w:color w:val="auto"/>
          <w:sz w:val="36"/>
          <w:szCs w:val="20"/>
          <w:highlight w:val="none"/>
        </w:rPr>
      </w:pPr>
    </w:p>
    <w:p w14:paraId="0EBDD151">
      <w:pPr>
        <w:adjustRightInd/>
        <w:spacing w:before="240" w:beforeLines="100" w:after="240" w:afterLines="100"/>
        <w:jc w:val="center"/>
        <w:outlineLvl w:val="0"/>
        <w:rPr>
          <w:rFonts w:ascii="宋体" w:hAnsi="宋体" w:cs="宋体"/>
          <w:b/>
          <w:color w:val="auto"/>
          <w:sz w:val="36"/>
          <w:szCs w:val="20"/>
          <w:highlight w:val="none"/>
        </w:rPr>
      </w:pPr>
    </w:p>
    <w:p w14:paraId="3EDAC713">
      <w:pPr>
        <w:adjustRightInd/>
        <w:spacing w:before="240" w:beforeLines="100" w:after="240" w:afterLines="100"/>
        <w:jc w:val="center"/>
        <w:outlineLvl w:val="0"/>
        <w:rPr>
          <w:rFonts w:ascii="宋体" w:hAnsi="宋体" w:cs="宋体"/>
          <w:b/>
          <w:color w:val="auto"/>
          <w:sz w:val="36"/>
          <w:szCs w:val="20"/>
          <w:highlight w:val="none"/>
        </w:rPr>
      </w:pPr>
    </w:p>
    <w:p w14:paraId="1D405010">
      <w:pPr>
        <w:adjustRightInd/>
        <w:spacing w:before="240" w:beforeLines="100" w:after="240" w:afterLines="100"/>
        <w:jc w:val="center"/>
        <w:outlineLvl w:val="0"/>
        <w:rPr>
          <w:rFonts w:ascii="宋体" w:hAnsi="宋体" w:cs="宋体"/>
          <w:b/>
          <w:color w:val="auto"/>
          <w:sz w:val="36"/>
          <w:szCs w:val="20"/>
          <w:highlight w:val="none"/>
        </w:rPr>
      </w:pPr>
    </w:p>
    <w:p w14:paraId="074A878E">
      <w:pPr>
        <w:adjustRightInd/>
        <w:spacing w:before="240" w:beforeLines="100" w:after="240" w:afterLines="100"/>
        <w:jc w:val="center"/>
        <w:outlineLvl w:val="0"/>
        <w:rPr>
          <w:rFonts w:ascii="宋体" w:hAnsi="宋体" w:cs="宋体"/>
          <w:b/>
          <w:color w:val="auto"/>
          <w:sz w:val="36"/>
          <w:szCs w:val="20"/>
          <w:highlight w:val="none"/>
        </w:rPr>
      </w:pPr>
    </w:p>
    <w:p w14:paraId="2CB48D4F">
      <w:pPr>
        <w:adjustRightInd/>
        <w:spacing w:before="240" w:beforeLines="100" w:after="240" w:afterLines="100"/>
        <w:jc w:val="center"/>
        <w:outlineLvl w:val="0"/>
        <w:rPr>
          <w:rFonts w:ascii="宋体" w:hAnsi="宋体" w:cs="宋体"/>
          <w:b/>
          <w:color w:val="auto"/>
          <w:sz w:val="36"/>
          <w:szCs w:val="20"/>
          <w:highlight w:val="none"/>
        </w:rPr>
      </w:pPr>
    </w:p>
    <w:p w14:paraId="46CE6121">
      <w:pPr>
        <w:adjustRightInd/>
        <w:spacing w:before="240" w:beforeLines="100"/>
        <w:jc w:val="center"/>
        <w:outlineLvl w:val="0"/>
        <w:rPr>
          <w:rFonts w:hint="eastAsia" w:ascii="宋体" w:hAnsi="宋体" w:cs="宋体"/>
          <w:b/>
          <w:color w:val="auto"/>
          <w:sz w:val="36"/>
          <w:szCs w:val="20"/>
          <w:highlight w:val="none"/>
        </w:rPr>
      </w:pPr>
    </w:p>
    <w:p w14:paraId="67D2E920">
      <w:pPr>
        <w:adjustRightInd/>
        <w:spacing w:before="240" w:beforeLines="10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C7DF8A8">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4FE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62FF4C7C">
            <w:pPr>
              <w:snapToGrid w:val="0"/>
              <w:jc w:val="center"/>
              <w:rPr>
                <w:rFonts w:ascii="宋体" w:hAnsi="宋体" w:cs="宋体"/>
                <w:color w:val="auto"/>
                <w:highlight w:val="none"/>
              </w:rPr>
            </w:pPr>
            <w:r>
              <w:rPr>
                <w:rFonts w:hint="eastAsia" w:ascii="宋体" w:hAnsi="宋体" w:cs="宋体"/>
                <w:b/>
                <w:color w:val="auto"/>
                <w:szCs w:val="21"/>
                <w:highlight w:val="none"/>
              </w:rPr>
              <w:t>序号</w:t>
            </w:r>
          </w:p>
        </w:tc>
        <w:tc>
          <w:tcPr>
            <w:tcW w:w="1907" w:type="dxa"/>
            <w:shd w:val="clear" w:color="auto" w:fill="DCE6F2" w:themeFill="accent1" w:themeFillTint="32"/>
            <w:vAlign w:val="center"/>
          </w:tcPr>
          <w:p w14:paraId="41BC2E25">
            <w:pPr>
              <w:snapToGrid w:val="0"/>
              <w:jc w:val="center"/>
              <w:rPr>
                <w:rFonts w:ascii="宋体" w:hAnsi="宋体" w:cs="宋体"/>
                <w:color w:val="auto"/>
                <w:highlight w:val="none"/>
              </w:rPr>
            </w:pPr>
            <w:r>
              <w:rPr>
                <w:rFonts w:hint="eastAsia" w:ascii="宋体" w:hAnsi="宋体" w:cs="宋体"/>
                <w:b/>
                <w:color w:val="auto"/>
                <w:szCs w:val="21"/>
                <w:highlight w:val="none"/>
              </w:rPr>
              <w:t>事项</w:t>
            </w:r>
          </w:p>
        </w:tc>
        <w:tc>
          <w:tcPr>
            <w:tcW w:w="6366" w:type="dxa"/>
            <w:shd w:val="clear" w:color="auto" w:fill="DCE6F2" w:themeFill="accent1" w:themeFillTint="32"/>
            <w:vAlign w:val="center"/>
          </w:tcPr>
          <w:p w14:paraId="42BC4245">
            <w:pPr>
              <w:snapToGrid w:val="0"/>
              <w:jc w:val="center"/>
              <w:rPr>
                <w:rFonts w:ascii="宋体" w:hAnsi="宋体" w:cs="宋体"/>
                <w:color w:val="auto"/>
                <w:highlight w:val="none"/>
              </w:rPr>
            </w:pPr>
            <w:r>
              <w:rPr>
                <w:rFonts w:hint="eastAsia" w:ascii="宋体" w:hAnsi="宋体" w:cs="宋体"/>
                <w:b/>
                <w:color w:val="auto"/>
                <w:szCs w:val="21"/>
                <w:highlight w:val="none"/>
              </w:rPr>
              <w:t>本项目的特别规定</w:t>
            </w:r>
          </w:p>
        </w:tc>
      </w:tr>
      <w:tr w14:paraId="552E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58987A3C">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7" w:type="dxa"/>
            <w:shd w:val="clear" w:color="auto" w:fill="FFFFFF" w:themeFill="background1"/>
            <w:vAlign w:val="center"/>
          </w:tcPr>
          <w:p w14:paraId="349EFE2D">
            <w:pPr>
              <w:snapToGrid w:val="0"/>
              <w:jc w:val="center"/>
              <w:rPr>
                <w:rFonts w:ascii="宋体" w:hAnsi="宋体" w:cs="宋体"/>
                <w:color w:val="auto"/>
                <w:szCs w:val="21"/>
                <w:highlight w:val="none"/>
              </w:rPr>
            </w:pPr>
            <w:r>
              <w:rPr>
                <w:rFonts w:hint="eastAsia" w:ascii="宋体" w:hAnsi="宋体" w:cs="宋体"/>
                <w:color w:val="auto"/>
                <w:szCs w:val="21"/>
                <w:highlight w:val="none"/>
              </w:rPr>
              <w:t>项目属性</w:t>
            </w:r>
          </w:p>
        </w:tc>
        <w:tc>
          <w:tcPr>
            <w:tcW w:w="6366" w:type="dxa"/>
            <w:shd w:val="clear" w:color="auto" w:fill="FFFFFF" w:themeFill="background1"/>
            <w:vAlign w:val="center"/>
          </w:tcPr>
          <w:p w14:paraId="4C78EB1C">
            <w:pPr>
              <w:rPr>
                <w:rFonts w:ascii="宋体" w:hAnsi="宋体" w:cs="宋体"/>
                <w:b/>
                <w:color w:val="auto"/>
                <w:kern w:val="0"/>
                <w:szCs w:val="21"/>
                <w:highlight w:val="none"/>
              </w:rPr>
            </w:pPr>
            <w:r>
              <w:rPr>
                <w:rFonts w:hint="eastAsia" w:ascii="宋体" w:hAnsi="宋体" w:cs="宋体"/>
                <w:bCs/>
                <w:color w:val="auto"/>
                <w:kern w:val="0"/>
                <w:szCs w:val="21"/>
                <w:highlight w:val="none"/>
              </w:rPr>
              <w:t>服务类</w:t>
            </w:r>
          </w:p>
        </w:tc>
      </w:tr>
      <w:tr w14:paraId="4B6B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2FB78E14">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7" w:type="dxa"/>
            <w:shd w:val="clear" w:color="auto" w:fill="FFFFFF" w:themeFill="background1"/>
            <w:vAlign w:val="center"/>
          </w:tcPr>
          <w:p w14:paraId="5F843E8D">
            <w:pPr>
              <w:snapToGrid w:val="0"/>
              <w:jc w:val="center"/>
              <w:rPr>
                <w:rFonts w:ascii="宋体" w:hAnsi="宋体" w:cs="宋体"/>
                <w:color w:val="auto"/>
                <w:szCs w:val="21"/>
                <w:highlight w:val="none"/>
              </w:rPr>
            </w:pPr>
            <w:r>
              <w:rPr>
                <w:rFonts w:hint="eastAsia" w:ascii="宋体" w:hAnsi="宋体" w:cs="宋体"/>
                <w:color w:val="auto"/>
                <w:szCs w:val="21"/>
                <w:highlight w:val="none"/>
              </w:rPr>
              <w:t>采购标的及其对应的中小企业划分标准所属行业</w:t>
            </w:r>
          </w:p>
        </w:tc>
        <w:tc>
          <w:tcPr>
            <w:tcW w:w="6366" w:type="dxa"/>
            <w:shd w:val="clear" w:color="auto" w:fill="FFFFFF" w:themeFill="background1"/>
            <w:vAlign w:val="center"/>
          </w:tcPr>
          <w:p w14:paraId="595250EB">
            <w:pPr>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标的：</w:t>
            </w:r>
            <w:r>
              <w:rPr>
                <w:rFonts w:hint="eastAsia" w:ascii="宋体" w:hAnsi="宋体" w:cs="宋体"/>
                <w:b/>
                <w:color w:val="auto"/>
                <w:kern w:val="0"/>
                <w:szCs w:val="21"/>
                <w:highlight w:val="none"/>
                <w:u w:val="single"/>
              </w:rPr>
              <w:t>2025年嘉兴港日常安全管理服务项目</w:t>
            </w:r>
            <w:r>
              <w:rPr>
                <w:rFonts w:hint="eastAsia" w:ascii="宋体" w:hAnsi="宋体" w:cs="宋体"/>
                <w:b/>
                <w:color w:val="auto"/>
                <w:kern w:val="0"/>
                <w:szCs w:val="21"/>
                <w:highlight w:val="none"/>
              </w:rPr>
              <w:t>，属于</w:t>
            </w:r>
            <w:r>
              <w:rPr>
                <w:rFonts w:hint="eastAsia" w:ascii="宋体" w:hAnsi="宋体" w:cs="宋体"/>
                <w:b/>
                <w:color w:val="auto"/>
                <w:kern w:val="0"/>
                <w:szCs w:val="21"/>
                <w:highlight w:val="none"/>
                <w:u w:val="single"/>
              </w:rPr>
              <w:t>其他未列明行业</w:t>
            </w:r>
            <w:r>
              <w:rPr>
                <w:rFonts w:hint="eastAsia" w:ascii="宋体" w:hAnsi="宋体" w:cs="宋体"/>
                <w:b/>
                <w:color w:val="auto"/>
                <w:kern w:val="0"/>
                <w:szCs w:val="21"/>
                <w:highlight w:val="none"/>
              </w:rPr>
              <w:t>；</w:t>
            </w:r>
          </w:p>
        </w:tc>
      </w:tr>
      <w:tr w14:paraId="524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5FAB3EB6">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7" w:type="dxa"/>
            <w:shd w:val="clear" w:color="auto" w:fill="FFFFFF" w:themeFill="background1"/>
            <w:vAlign w:val="center"/>
          </w:tcPr>
          <w:p w14:paraId="6F442DA8">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是否允许采购进口产品</w:t>
            </w:r>
          </w:p>
        </w:tc>
        <w:tc>
          <w:tcPr>
            <w:tcW w:w="6366" w:type="dxa"/>
            <w:shd w:val="clear" w:color="auto" w:fill="FFFFFF" w:themeFill="background1"/>
            <w:vAlign w:val="center"/>
          </w:tcPr>
          <w:p w14:paraId="7FB9513B">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本项目不允许采购进口产品。</w:t>
            </w:r>
          </w:p>
          <w:p w14:paraId="72224E56">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可以就</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cs="宋体"/>
                <w:bCs/>
                <w:color w:val="auto"/>
                <w:kern w:val="0"/>
                <w:szCs w:val="21"/>
                <w:highlight w:val="none"/>
                <w:u w:val="single"/>
              </w:rPr>
              <w:t>评分标准</w:t>
            </w:r>
            <w:r>
              <w:rPr>
                <w:rFonts w:hint="eastAsia" w:ascii="宋体" w:hAnsi="宋体" w:cs="宋体"/>
                <w:bCs/>
                <w:color w:val="auto"/>
                <w:kern w:val="0"/>
                <w:szCs w:val="21"/>
                <w:highlight w:val="none"/>
              </w:rPr>
              <w:t>。</w:t>
            </w:r>
          </w:p>
        </w:tc>
      </w:tr>
      <w:tr w14:paraId="5C3B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D8B7E75">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7" w:type="dxa"/>
            <w:shd w:val="clear" w:color="auto" w:fill="FFFFFF" w:themeFill="background1"/>
            <w:vAlign w:val="center"/>
          </w:tcPr>
          <w:p w14:paraId="7EA7B7D5">
            <w:pPr>
              <w:snapToGrid w:val="0"/>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366" w:type="dxa"/>
            <w:shd w:val="clear" w:color="auto" w:fill="FFFFFF" w:themeFill="background1"/>
            <w:vAlign w:val="center"/>
          </w:tcPr>
          <w:p w14:paraId="427B492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A同意将非主体、非关键性的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工作分包。</w:t>
            </w:r>
          </w:p>
          <w:p w14:paraId="0BDB58B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B不同意分包。</w:t>
            </w:r>
          </w:p>
          <w:p w14:paraId="0D1A9A2F">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注：不得限制大中型企业向小微企业合理分包。</w:t>
            </w:r>
          </w:p>
        </w:tc>
      </w:tr>
      <w:tr w14:paraId="75B7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3F321697">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7" w:type="dxa"/>
            <w:shd w:val="clear" w:color="auto" w:fill="FFFFFF" w:themeFill="background1"/>
            <w:vAlign w:val="center"/>
          </w:tcPr>
          <w:p w14:paraId="07623F6F">
            <w:pPr>
              <w:snapToGrid w:val="0"/>
              <w:jc w:val="center"/>
              <w:rPr>
                <w:rFonts w:ascii="宋体" w:hAnsi="宋体" w:cs="宋体"/>
                <w:color w:val="auto"/>
                <w:szCs w:val="21"/>
                <w:highlight w:val="none"/>
              </w:rPr>
            </w:pPr>
            <w:r>
              <w:rPr>
                <w:rFonts w:hint="eastAsia" w:ascii="宋体" w:hAnsi="宋体" w:cs="宋体"/>
                <w:color w:val="auto"/>
                <w:szCs w:val="21"/>
                <w:highlight w:val="none"/>
              </w:rPr>
              <w:t>开标前答疑会或现场考察</w:t>
            </w:r>
          </w:p>
        </w:tc>
        <w:tc>
          <w:tcPr>
            <w:tcW w:w="6366" w:type="dxa"/>
            <w:shd w:val="clear" w:color="auto" w:fill="FFFFFF" w:themeFill="background1"/>
            <w:vAlign w:val="center"/>
          </w:tcPr>
          <w:p w14:paraId="3B61EC95">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A不组织。</w:t>
            </w:r>
          </w:p>
          <w:p w14:paraId="3623DA4C">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77705770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B组织，时间：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tc>
      </w:tr>
      <w:tr w14:paraId="2B75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BFA85B2">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7" w:type="dxa"/>
            <w:shd w:val="clear" w:color="auto" w:fill="FFFFFF" w:themeFill="background1"/>
            <w:vAlign w:val="center"/>
          </w:tcPr>
          <w:p w14:paraId="706E6DC1">
            <w:pPr>
              <w:snapToGrid w:val="0"/>
              <w:jc w:val="center"/>
              <w:rPr>
                <w:rFonts w:ascii="宋体" w:hAnsi="宋体" w:cs="宋体"/>
                <w:color w:val="auto"/>
                <w:szCs w:val="21"/>
                <w:highlight w:val="none"/>
              </w:rPr>
            </w:pPr>
            <w:r>
              <w:rPr>
                <w:rFonts w:hint="eastAsia" w:ascii="宋体" w:hAnsi="宋体" w:cs="宋体"/>
                <w:color w:val="auto"/>
                <w:szCs w:val="21"/>
                <w:highlight w:val="none"/>
              </w:rPr>
              <w:t>样品提供</w:t>
            </w:r>
          </w:p>
        </w:tc>
        <w:tc>
          <w:tcPr>
            <w:tcW w:w="6366" w:type="dxa"/>
            <w:shd w:val="clear" w:color="auto" w:fill="FFFFFF" w:themeFill="background1"/>
            <w:vAlign w:val="center"/>
          </w:tcPr>
          <w:p w14:paraId="791F1DDC">
            <w:pPr>
              <w:wordWrap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1F560AFE">
            <w:pPr>
              <w:wordWrap w:val="0"/>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B要求提供，</w:t>
            </w:r>
          </w:p>
          <w:p w14:paraId="5C7DF4BD">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8807729">
            <w:pPr>
              <w:wordWrap w:val="0"/>
              <w:spacing w:line="400" w:lineRule="exact"/>
              <w:rPr>
                <w:rFonts w:ascii="宋体" w:hAnsi="宋体" w:cs="宋体"/>
                <w:color w:val="auto"/>
                <w:kern w:val="0"/>
                <w:szCs w:val="21"/>
                <w:highlight w:val="none"/>
              </w:rPr>
            </w:pPr>
            <w:r>
              <w:rPr>
                <w:rFonts w:hint="eastAsia" w:ascii="宋体" w:hAnsi="宋体" w:cs="宋体"/>
                <w:snapToGrid w:val="0"/>
                <w:color w:val="auto"/>
                <w:kern w:val="28"/>
                <w:szCs w:val="21"/>
                <w:highlight w:val="none"/>
              </w:rPr>
              <w:t>（2）样品制作的标准和要求：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ECC2F7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6EF3F1F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AE03A1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25C14B2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739E66">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（7）制作、运输、安装和保管样品所发生的一切费用由投标人自理。</w:t>
            </w:r>
          </w:p>
        </w:tc>
      </w:tr>
      <w:tr w14:paraId="4A6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2209FF6A">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07" w:type="dxa"/>
            <w:shd w:val="clear" w:color="auto" w:fill="FFFFFF" w:themeFill="background1"/>
            <w:vAlign w:val="center"/>
          </w:tcPr>
          <w:p w14:paraId="53E8C396">
            <w:pPr>
              <w:snapToGrid w:val="0"/>
              <w:jc w:val="center"/>
              <w:rPr>
                <w:rFonts w:ascii="宋体" w:hAnsi="宋体" w:cs="宋体"/>
                <w:color w:val="auto"/>
                <w:szCs w:val="21"/>
                <w:highlight w:val="none"/>
              </w:rPr>
            </w:pPr>
            <w:r>
              <w:rPr>
                <w:rFonts w:hint="eastAsia" w:ascii="宋体" w:hAnsi="宋体" w:cs="宋体"/>
                <w:color w:val="auto"/>
                <w:szCs w:val="21"/>
                <w:highlight w:val="none"/>
              </w:rPr>
              <w:t>方案讲解演示</w:t>
            </w:r>
          </w:p>
        </w:tc>
        <w:tc>
          <w:tcPr>
            <w:tcW w:w="6366" w:type="dxa"/>
            <w:shd w:val="clear" w:color="auto" w:fill="FFFFFF" w:themeFill="background1"/>
            <w:vAlign w:val="center"/>
          </w:tcPr>
          <w:p w14:paraId="06A7A155">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bCs/>
                <w:color w:val="auto"/>
                <w:kern w:val="0"/>
                <w:szCs w:val="21"/>
                <w:highlight w:val="none"/>
              </w:rPr>
              <w:t>A不组织。</w:t>
            </w:r>
          </w:p>
          <w:p w14:paraId="582F5D57">
            <w:pPr>
              <w:spacing w:line="400" w:lineRule="exact"/>
              <w:rPr>
                <w:rFonts w:ascii="宋体" w:hAnsi="宋体" w:cs="宋体"/>
                <w:bCs/>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B组织。</w:t>
            </w:r>
          </w:p>
          <w:p w14:paraId="05C825B8">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12679CA">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（2）方案讲解演示可选择以下其中一种方式：</w:t>
            </w:r>
          </w:p>
          <w:p w14:paraId="4D2196FC">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方式一：政采云平台在线讲解演示。政采云平台在线讲解需投标人根据政采云平台操作要求做好准备工作，提前完善软硬件配置环境。</w:t>
            </w:r>
          </w:p>
          <w:p w14:paraId="570521F4">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方式二：采购代理机构现场讲解演示。现场讲解地点为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6DF35421">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2EE5CEC0">
            <w:pPr>
              <w:spacing w:line="400" w:lineRule="exact"/>
              <w:rPr>
                <w:rFonts w:ascii="宋体" w:hAnsi="宋体" w:cs="宋体"/>
                <w:b/>
                <w:color w:val="auto"/>
                <w:kern w:val="0"/>
                <w:szCs w:val="21"/>
                <w:highlight w:val="none"/>
              </w:rPr>
            </w:pPr>
            <w:r>
              <w:rPr>
                <w:rFonts w:hint="eastAsia" w:ascii="宋体" w:hAnsi="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06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4EAF3D80">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07" w:type="dxa"/>
            <w:vMerge w:val="restart"/>
            <w:shd w:val="clear" w:color="auto" w:fill="FFFFFF" w:themeFill="background1"/>
            <w:vAlign w:val="center"/>
          </w:tcPr>
          <w:p w14:paraId="76B16078">
            <w:pPr>
              <w:snapToGrid w:val="0"/>
              <w:jc w:val="center"/>
              <w:rPr>
                <w:rFonts w:ascii="宋体" w:hAnsi="宋体" w:cs="宋体"/>
                <w:color w:val="auto"/>
                <w:szCs w:val="21"/>
                <w:highlight w:val="none"/>
              </w:rPr>
            </w:pPr>
            <w:r>
              <w:rPr>
                <w:rFonts w:hint="eastAsia" w:ascii="宋体" w:hAnsi="宋体" w:cs="宋体"/>
                <w:color w:val="auto"/>
                <w:szCs w:val="21"/>
                <w:highlight w:val="none"/>
              </w:rPr>
              <w:t>投标人应当提供的资格、资信证明文件</w:t>
            </w:r>
          </w:p>
        </w:tc>
        <w:tc>
          <w:tcPr>
            <w:tcW w:w="6366" w:type="dxa"/>
            <w:shd w:val="clear" w:color="auto" w:fill="FFFFFF" w:themeFill="background1"/>
            <w:vAlign w:val="center"/>
          </w:tcPr>
          <w:p w14:paraId="2E265A84">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10D36E1E">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52CC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9" w:type="dxa"/>
            <w:vMerge w:val="continue"/>
            <w:shd w:val="clear" w:color="auto" w:fill="FFFFFF" w:themeFill="background1"/>
            <w:vAlign w:val="center"/>
          </w:tcPr>
          <w:p w14:paraId="1208ADA3">
            <w:pPr>
              <w:snapToGrid w:val="0"/>
              <w:jc w:val="center"/>
              <w:rPr>
                <w:rFonts w:ascii="宋体" w:hAnsi="宋体" w:cs="宋体"/>
                <w:color w:val="auto"/>
                <w:szCs w:val="21"/>
                <w:highlight w:val="none"/>
              </w:rPr>
            </w:pPr>
          </w:p>
        </w:tc>
        <w:tc>
          <w:tcPr>
            <w:tcW w:w="1907" w:type="dxa"/>
            <w:vMerge w:val="continue"/>
            <w:shd w:val="clear" w:color="auto" w:fill="FFFFFF" w:themeFill="background1"/>
            <w:vAlign w:val="center"/>
          </w:tcPr>
          <w:p w14:paraId="3B6DA7B2">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25D6DE85">
            <w:pPr>
              <w:rPr>
                <w:rFonts w:ascii="宋体" w:hAnsi="宋体" w:cs="宋体"/>
                <w:b/>
                <w:color w:val="auto"/>
                <w:kern w:val="0"/>
                <w:szCs w:val="21"/>
                <w:highlight w:val="none"/>
              </w:rPr>
            </w:pPr>
            <w:r>
              <w:rPr>
                <w:rFonts w:hint="eastAsia" w:ascii="宋体" w:hAnsi="宋体" w:cs="宋体"/>
                <w:color w:val="auto"/>
                <w:szCs w:val="21"/>
                <w:highlight w:val="none"/>
              </w:rPr>
              <w:t>（2）资信证明文件：根据招标文件第四部分评标标准提供。</w:t>
            </w:r>
          </w:p>
        </w:tc>
      </w:tr>
      <w:tr w14:paraId="307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29D11C46">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1907" w:type="dxa"/>
            <w:shd w:val="clear" w:color="auto" w:fill="FFFFFF" w:themeFill="background1"/>
            <w:vAlign w:val="center"/>
          </w:tcPr>
          <w:p w14:paraId="5B4EF356">
            <w:pPr>
              <w:snapToGrid w:val="0"/>
              <w:jc w:val="center"/>
              <w:rPr>
                <w:rFonts w:ascii="宋体" w:hAnsi="宋体" w:cs="宋体"/>
                <w:color w:val="auto"/>
                <w:szCs w:val="21"/>
                <w:highlight w:val="none"/>
              </w:rPr>
            </w:pPr>
            <w:r>
              <w:rPr>
                <w:rFonts w:hint="eastAsia" w:ascii="宋体" w:hAnsi="宋体" w:cs="宋体"/>
                <w:color w:val="auto"/>
                <w:szCs w:val="21"/>
                <w:highlight w:val="none"/>
              </w:rPr>
              <w:t>节能产品、环境标志产品政府优先采购或强制采购</w:t>
            </w:r>
          </w:p>
        </w:tc>
        <w:tc>
          <w:tcPr>
            <w:tcW w:w="6366" w:type="dxa"/>
            <w:shd w:val="clear" w:color="auto" w:fill="FFFFFF" w:themeFill="background1"/>
            <w:vAlign w:val="center"/>
          </w:tcPr>
          <w:p w14:paraId="5AAC2F82">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实施政府优先采购，详见</w:t>
            </w:r>
            <w:r>
              <w:rPr>
                <w:rFonts w:hint="eastAsia" w:ascii="宋体" w:hAnsi="宋体" w:cs="宋体"/>
                <w:color w:val="auto"/>
                <w:kern w:val="0"/>
                <w:szCs w:val="21"/>
                <w:highlight w:val="none"/>
                <w:u w:val="single"/>
              </w:rPr>
              <w:t>评分标准</w:t>
            </w:r>
            <w:r>
              <w:rPr>
                <w:rFonts w:hint="eastAsia" w:ascii="宋体" w:hAnsi="宋体" w:cs="宋体"/>
                <w:color w:val="auto"/>
                <w:kern w:val="0"/>
                <w:szCs w:val="21"/>
                <w:highlight w:val="none"/>
              </w:rPr>
              <w:t>；▲对</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实施政府强制采购，</w:t>
            </w:r>
            <w:r>
              <w:rPr>
                <w:rFonts w:hint="eastAsia" w:ascii="宋体" w:hAnsi="宋体" w:cs="宋体"/>
                <w:b/>
                <w:bCs/>
                <w:color w:val="auto"/>
                <w:kern w:val="0"/>
                <w:szCs w:val="21"/>
                <w:highlight w:val="none"/>
              </w:rPr>
              <w:t>投标人就相应的投标产品未提供国家确定的认证机构出具的、处于有效期之内的节能产品认证证书的，投标无效。</w:t>
            </w:r>
          </w:p>
          <w:p w14:paraId="67043801">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依据国家确定的认证机构出具的、处于有效期之内的环境标志产品认证证书，对获得证书的</w:t>
            </w:r>
            <w:r>
              <w:rPr>
                <w:rFonts w:hint="eastAsia" w:ascii="宋体" w:hAnsi="宋体" w:cs="宋体"/>
                <w:color w:val="auto"/>
                <w:kern w:val="0"/>
                <w:szCs w:val="21"/>
                <w:highlight w:val="none"/>
                <w:u w:val="single"/>
              </w:rPr>
              <w:t>产品名称****</w:t>
            </w:r>
            <w:r>
              <w:rPr>
                <w:rFonts w:hint="eastAsia" w:ascii="宋体" w:hAnsi="宋体" w:cs="宋体"/>
                <w:color w:val="auto"/>
                <w:kern w:val="0"/>
                <w:szCs w:val="21"/>
                <w:highlight w:val="none"/>
              </w:rPr>
              <w:t>实施政府优先采购，详见</w:t>
            </w:r>
            <w:r>
              <w:rPr>
                <w:rFonts w:hint="eastAsia" w:ascii="宋体" w:hAnsi="宋体" w:cs="宋体"/>
                <w:color w:val="auto"/>
                <w:kern w:val="0"/>
                <w:szCs w:val="21"/>
                <w:highlight w:val="none"/>
                <w:u w:val="single"/>
              </w:rPr>
              <w:t>评分标准</w:t>
            </w:r>
            <w:r>
              <w:rPr>
                <w:rFonts w:hint="eastAsia" w:ascii="宋体" w:hAnsi="宋体" w:cs="宋体"/>
                <w:color w:val="auto"/>
                <w:kern w:val="0"/>
                <w:szCs w:val="21"/>
                <w:highlight w:val="none"/>
              </w:rPr>
              <w:t>。</w:t>
            </w:r>
          </w:p>
          <w:p w14:paraId="533251B6">
            <w:pPr>
              <w:spacing w:line="400" w:lineRule="exact"/>
              <w:rPr>
                <w:rFonts w:ascii="宋体" w:hAnsi="宋体" w:cs="宋体"/>
                <w:b/>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无。</w:t>
            </w:r>
          </w:p>
        </w:tc>
      </w:tr>
      <w:tr w14:paraId="3F4D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5BD0B527">
            <w:pPr>
              <w:snapToGrid w:val="0"/>
              <w:jc w:val="center"/>
              <w:rPr>
                <w:rFonts w:ascii="宋体" w:hAnsi="宋体" w:cs="宋体"/>
                <w:color w:val="auto"/>
                <w:highlight w:val="none"/>
              </w:rPr>
            </w:pPr>
            <w:r>
              <w:rPr>
                <w:rFonts w:hint="eastAsia" w:ascii="宋体" w:hAnsi="宋体" w:cs="宋体"/>
                <w:color w:val="auto"/>
                <w:szCs w:val="21"/>
                <w:highlight w:val="none"/>
              </w:rPr>
              <w:t>10</w:t>
            </w:r>
          </w:p>
        </w:tc>
        <w:tc>
          <w:tcPr>
            <w:tcW w:w="1907" w:type="dxa"/>
            <w:shd w:val="clear" w:color="auto" w:fill="FFFFFF" w:themeFill="background1"/>
            <w:vAlign w:val="center"/>
          </w:tcPr>
          <w:p w14:paraId="301B9269">
            <w:pPr>
              <w:snapToGrid w:val="0"/>
              <w:jc w:val="center"/>
              <w:rPr>
                <w:rFonts w:ascii="宋体" w:hAnsi="宋体" w:cs="宋体"/>
                <w:color w:val="auto"/>
                <w:highlight w:val="none"/>
              </w:rPr>
            </w:pPr>
            <w:r>
              <w:rPr>
                <w:rFonts w:hint="eastAsia" w:ascii="宋体" w:hAnsi="宋体" w:cs="宋体"/>
                <w:color w:val="auto"/>
                <w:szCs w:val="21"/>
                <w:highlight w:val="none"/>
              </w:rPr>
              <w:t>报价要求</w:t>
            </w:r>
          </w:p>
        </w:tc>
        <w:tc>
          <w:tcPr>
            <w:tcW w:w="6366" w:type="dxa"/>
            <w:shd w:val="clear" w:color="auto" w:fill="FFFFFF" w:themeFill="background1"/>
            <w:vAlign w:val="center"/>
          </w:tcPr>
          <w:p w14:paraId="59487A6F">
            <w:pPr>
              <w:snapToGrid w:val="0"/>
              <w:spacing w:line="40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w:t>
            </w:r>
            <w:r>
              <w:rPr>
                <w:rFonts w:hint="eastAsia" w:ascii="宋体" w:hAnsi="宋体" w:cs="宋体"/>
                <w:color w:val="auto"/>
                <w:szCs w:val="21"/>
                <w:highlight w:val="none"/>
              </w:rPr>
              <w:t>所需的所有费用（含税费）均计入报价。</w:t>
            </w:r>
            <w:r>
              <w:rPr>
                <w:rFonts w:hint="eastAsia" w:ascii="宋体" w:hAnsi="宋体" w:cs="宋体"/>
                <w:b/>
                <w:bCs/>
                <w:color w:val="auto"/>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bCs/>
                <w:color w:val="auto"/>
                <w:kern w:val="0"/>
                <w:szCs w:val="21"/>
                <w:highlight w:val="none"/>
              </w:rPr>
              <w:t>提醒：验收时检测费用由采购人承担，不包含在投标总价中。</w:t>
            </w:r>
          </w:p>
          <w:p w14:paraId="09229953">
            <w:pPr>
              <w:snapToGrid w:val="0"/>
              <w:spacing w:line="40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25132513">
            <w:pPr>
              <w:snapToGrid w:val="0"/>
              <w:spacing w:line="400" w:lineRule="exact"/>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0754C9C5">
            <w:pPr>
              <w:snapToGrid w:val="0"/>
              <w:spacing w:line="400" w:lineRule="exact"/>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215ABF26">
            <w:pPr>
              <w:spacing w:line="400" w:lineRule="exact"/>
              <w:ind w:firstLine="211" w:firstLineChars="1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17CC925F">
            <w:pPr>
              <w:spacing w:line="400" w:lineRule="exact"/>
              <w:ind w:firstLine="211" w:firstLineChars="100"/>
              <w:rPr>
                <w:rFonts w:ascii="宋体" w:hAnsi="宋体" w:cs="宋体"/>
                <w:color w:val="auto"/>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5844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8FD1185">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07" w:type="dxa"/>
            <w:shd w:val="clear" w:color="auto" w:fill="FFFFFF" w:themeFill="background1"/>
            <w:vAlign w:val="center"/>
          </w:tcPr>
          <w:p w14:paraId="5C3D82FF">
            <w:pPr>
              <w:snapToGrid w:val="0"/>
              <w:jc w:val="center"/>
              <w:rPr>
                <w:rFonts w:ascii="宋体" w:hAnsi="宋体" w:cs="宋体"/>
                <w:color w:val="auto"/>
                <w:szCs w:val="21"/>
                <w:highlight w:val="none"/>
              </w:rPr>
            </w:pPr>
            <w:r>
              <w:rPr>
                <w:rFonts w:hint="eastAsia" w:ascii="宋体" w:hAnsi="宋体" w:cs="宋体"/>
                <w:color w:val="auto"/>
                <w:szCs w:val="21"/>
                <w:highlight w:val="none"/>
              </w:rPr>
              <w:t>中小企业信用融资</w:t>
            </w:r>
          </w:p>
        </w:tc>
        <w:tc>
          <w:tcPr>
            <w:tcW w:w="6366" w:type="dxa"/>
            <w:shd w:val="clear" w:color="auto" w:fill="FFFFFF" w:themeFill="background1"/>
            <w:vAlign w:val="center"/>
          </w:tcPr>
          <w:p w14:paraId="2BFABC2E">
            <w:pPr>
              <w:pStyle w:val="7"/>
              <w:wordWrap w:val="0"/>
              <w:spacing w:line="400" w:lineRule="exact"/>
              <w:rPr>
                <w:rFonts w:hAnsi="宋体" w:cs="宋体"/>
                <w:b/>
                <w:color w:val="auto"/>
                <w:highlight w:val="none"/>
              </w:rPr>
            </w:pPr>
            <w:r>
              <w:rPr>
                <w:rFonts w:hint="eastAsia" w:hAnsi="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E4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6FB84CF6">
            <w:pPr>
              <w:snapToGrid w:val="0"/>
              <w:jc w:val="center"/>
              <w:rPr>
                <w:rFonts w:ascii="宋体" w:hAnsi="宋体" w:cs="宋体"/>
                <w:color w:val="auto"/>
                <w:highlight w:val="none"/>
              </w:rPr>
            </w:pPr>
            <w:r>
              <w:rPr>
                <w:rFonts w:hint="eastAsia" w:ascii="宋体" w:hAnsi="宋体" w:cs="宋体"/>
                <w:color w:val="auto"/>
                <w:szCs w:val="21"/>
                <w:highlight w:val="none"/>
              </w:rPr>
              <w:t>12</w:t>
            </w:r>
          </w:p>
        </w:tc>
        <w:tc>
          <w:tcPr>
            <w:tcW w:w="1907" w:type="dxa"/>
            <w:shd w:val="clear" w:color="auto" w:fill="FFFFFF" w:themeFill="background1"/>
            <w:vAlign w:val="center"/>
          </w:tcPr>
          <w:p w14:paraId="7367A122">
            <w:pPr>
              <w:snapToGrid w:val="0"/>
              <w:jc w:val="center"/>
              <w:rPr>
                <w:rFonts w:ascii="宋体" w:hAnsi="宋体" w:cs="宋体"/>
                <w:color w:val="auto"/>
                <w:highlight w:val="none"/>
              </w:rPr>
            </w:pPr>
            <w:r>
              <w:rPr>
                <w:rFonts w:hint="eastAsia" w:ascii="宋体" w:hAnsi="宋体" w:cs="宋体"/>
                <w:color w:val="auto"/>
                <w:szCs w:val="21"/>
                <w:highlight w:val="none"/>
              </w:rPr>
              <w:t>备份投标文件送达地点和签收人员</w:t>
            </w:r>
          </w:p>
        </w:tc>
        <w:tc>
          <w:tcPr>
            <w:tcW w:w="6366" w:type="dxa"/>
            <w:shd w:val="clear" w:color="auto" w:fill="FFFFFF" w:themeFill="background1"/>
            <w:vAlign w:val="center"/>
          </w:tcPr>
          <w:p w14:paraId="25FD0E5B">
            <w:pPr>
              <w:pStyle w:val="7"/>
              <w:spacing w:line="400" w:lineRule="exact"/>
              <w:rPr>
                <w:rFonts w:hAnsi="宋体" w:cs="宋体"/>
                <w:color w:val="auto"/>
                <w:highlight w:val="none"/>
              </w:rPr>
            </w:pPr>
            <w:r>
              <w:rPr>
                <w:rFonts w:hint="eastAsia" w:hAnsi="宋体" w:cs="宋体"/>
                <w:color w:val="auto"/>
                <w:kern w:val="28"/>
                <w:highlight w:val="none"/>
              </w:rPr>
              <w:t>备份投标文件送达地点：</w:t>
            </w:r>
            <w:r>
              <w:rPr>
                <w:rFonts w:hint="eastAsia" w:hAnsi="宋体" w:cs="宋体"/>
                <w:color w:val="auto"/>
                <w:kern w:val="28"/>
                <w:highlight w:val="none"/>
                <w:u w:val="single"/>
              </w:rPr>
              <w:t>嘉兴市秀洲区成秀路205号鼎盛大厦4楼409招标代理部</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18667388226</w:t>
            </w:r>
            <w:r>
              <w:rPr>
                <w:rFonts w:hint="eastAsia" w:hAnsi="宋体" w:cs="宋体"/>
                <w:color w:val="auto"/>
                <w:kern w:val="28"/>
                <w:highlight w:val="none"/>
              </w:rPr>
              <w:t>。</w:t>
            </w:r>
            <w:r>
              <w:rPr>
                <w:rFonts w:hint="eastAsia" w:hAnsi="宋体" w:cs="宋体"/>
                <w:b/>
                <w:color w:val="auto"/>
                <w:highlight w:val="none"/>
              </w:rPr>
              <w:t>采购人、采购代理机构不强制或变相强制投标人提交备份投标文件。</w:t>
            </w:r>
          </w:p>
        </w:tc>
      </w:tr>
      <w:tr w14:paraId="5977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EFCA88D">
            <w:pPr>
              <w:snapToGrid w:val="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07" w:type="dxa"/>
            <w:shd w:val="clear" w:color="auto" w:fill="FFFFFF" w:themeFill="background1"/>
            <w:vAlign w:val="center"/>
          </w:tcPr>
          <w:p w14:paraId="7CFED6C6">
            <w:pPr>
              <w:snapToGrid w:val="0"/>
              <w:jc w:val="center"/>
              <w:rPr>
                <w:rFonts w:ascii="宋体" w:hAnsi="宋体" w:cs="宋体"/>
                <w:color w:val="auto"/>
                <w:szCs w:val="21"/>
                <w:highlight w:val="none"/>
              </w:rPr>
            </w:pPr>
            <w:r>
              <w:rPr>
                <w:rFonts w:hint="eastAsia" w:ascii="宋体" w:hAnsi="宋体" w:cs="宋体"/>
                <w:color w:val="auto"/>
                <w:szCs w:val="21"/>
                <w:highlight w:val="none"/>
              </w:rPr>
              <w:t>采购代理机构代理服务费用</w:t>
            </w:r>
          </w:p>
        </w:tc>
        <w:tc>
          <w:tcPr>
            <w:tcW w:w="6366" w:type="dxa"/>
            <w:shd w:val="clear" w:color="auto" w:fill="FFFFFF" w:themeFill="background1"/>
            <w:vAlign w:val="center"/>
          </w:tcPr>
          <w:p w14:paraId="2B131461">
            <w:pPr>
              <w:pStyle w:val="7"/>
              <w:spacing w:line="400" w:lineRule="exact"/>
              <w:contextualSpacing/>
              <w:rPr>
                <w:rFonts w:hAnsi="宋体" w:cs="宋体"/>
                <w:color w:val="auto"/>
                <w:highlight w:val="none"/>
              </w:rPr>
            </w:pPr>
            <w:r>
              <w:rPr>
                <w:rFonts w:hint="eastAsia" w:hAnsi="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0C44E7DE">
            <w:pPr>
              <w:pStyle w:val="7"/>
              <w:spacing w:line="400" w:lineRule="exact"/>
              <w:contextualSpacing/>
              <w:rPr>
                <w:rFonts w:hAnsi="宋体" w:cs="宋体"/>
                <w:color w:val="auto"/>
                <w:highlight w:val="none"/>
              </w:rPr>
            </w:pPr>
            <w:r>
              <w:rPr>
                <w:rFonts w:hint="eastAsia" w:hAnsi="宋体" w:cs="宋体"/>
                <w:color w:val="auto"/>
                <w:highlight w:val="none"/>
              </w:rPr>
              <w:t>2.中标人应在收取《中标通知书》时向采购代理机构交纳招标代理服务费，服务费的收费标准按计价【2002】1980号文规定计算；</w:t>
            </w:r>
          </w:p>
          <w:p w14:paraId="45976C80">
            <w:pPr>
              <w:pStyle w:val="7"/>
              <w:spacing w:line="400" w:lineRule="exact"/>
              <w:contextualSpacing/>
              <w:rPr>
                <w:rFonts w:hAnsi="宋体" w:cs="宋体"/>
                <w:color w:val="auto"/>
                <w:highlight w:val="none"/>
              </w:rPr>
            </w:pPr>
            <w:r>
              <w:rPr>
                <w:rFonts w:hint="eastAsia" w:hAnsi="宋体" w:cs="宋体"/>
                <w:color w:val="auto"/>
                <w:highlight w:val="none"/>
              </w:rPr>
              <w:t>3.本项目以</w:t>
            </w:r>
            <w:r>
              <w:rPr>
                <w:rFonts w:hint="eastAsia" w:hAnsi="宋体" w:cs="宋体"/>
                <w:color w:val="auto"/>
                <w:highlight w:val="none"/>
                <w:u w:val="single"/>
              </w:rPr>
              <w:t xml:space="preserve"> 服务类 </w:t>
            </w:r>
            <w:r>
              <w:rPr>
                <w:rFonts w:hint="eastAsia" w:hAnsi="宋体" w:cs="宋体"/>
                <w:color w:val="auto"/>
                <w:highlight w:val="none"/>
              </w:rPr>
              <w:t>招标收费标准收取中标服务费，对于招标代理服务费不足6000元的按6000元计取招标代理服务费；</w:t>
            </w:r>
          </w:p>
          <w:p w14:paraId="37B4C03D">
            <w:pPr>
              <w:pStyle w:val="7"/>
              <w:spacing w:line="400" w:lineRule="exact"/>
              <w:contextualSpacing/>
              <w:rPr>
                <w:rFonts w:hAnsi="宋体" w:cs="宋体"/>
                <w:color w:val="auto"/>
                <w:highlight w:val="none"/>
              </w:rPr>
            </w:pPr>
            <w:r>
              <w:rPr>
                <w:rFonts w:hint="eastAsia" w:hAnsi="宋体" w:cs="宋体"/>
                <w:color w:val="auto"/>
                <w:highlight w:val="none"/>
              </w:rPr>
              <w:t>4.服务费的货币为人民币；</w:t>
            </w:r>
          </w:p>
          <w:p w14:paraId="7BA3A60F">
            <w:pPr>
              <w:pStyle w:val="7"/>
              <w:spacing w:line="400" w:lineRule="exact"/>
              <w:contextualSpacing/>
              <w:rPr>
                <w:rFonts w:hAnsi="宋体" w:cs="宋体"/>
                <w:color w:val="auto"/>
                <w:highlight w:val="none"/>
              </w:rPr>
            </w:pPr>
            <w:r>
              <w:rPr>
                <w:rFonts w:hint="eastAsia" w:hAnsi="宋体" w:cs="宋体"/>
                <w:color w:val="auto"/>
                <w:highlight w:val="none"/>
              </w:rPr>
              <w:t>5.服务费支付方式：一次性以银行划账、电汇、汇票或支票的形式支付；</w:t>
            </w:r>
          </w:p>
          <w:p w14:paraId="490A20F3">
            <w:pPr>
              <w:pStyle w:val="7"/>
              <w:spacing w:line="400" w:lineRule="exact"/>
              <w:contextualSpacing/>
              <w:rPr>
                <w:rFonts w:hAnsi="宋体" w:cs="宋体"/>
                <w:color w:val="auto"/>
                <w:highlight w:val="none"/>
              </w:rPr>
            </w:pPr>
            <w:r>
              <w:rPr>
                <w:rFonts w:hint="eastAsia" w:hAnsi="宋体" w:cs="宋体"/>
                <w:color w:val="auto"/>
                <w:highlight w:val="none"/>
              </w:rPr>
              <w:t>6.服务费以银行划账方式按下列要求提交：</w:t>
            </w:r>
          </w:p>
          <w:p w14:paraId="21C54F66">
            <w:pPr>
              <w:pStyle w:val="7"/>
              <w:spacing w:line="400" w:lineRule="exact"/>
              <w:contextualSpacing/>
              <w:rPr>
                <w:rFonts w:hAnsi="宋体" w:cs="宋体"/>
                <w:color w:val="auto"/>
                <w:highlight w:val="none"/>
              </w:rPr>
            </w:pPr>
            <w:r>
              <w:rPr>
                <w:rFonts w:hint="eastAsia" w:hAnsi="宋体" w:cs="宋体"/>
                <w:color w:val="auto"/>
                <w:highlight w:val="none"/>
              </w:rPr>
              <w:t>收款人：浙江展图工程咨询有限公司秀洲分公司</w:t>
            </w:r>
          </w:p>
          <w:p w14:paraId="34C79272">
            <w:pPr>
              <w:pStyle w:val="7"/>
              <w:spacing w:line="400" w:lineRule="exact"/>
              <w:contextualSpacing/>
              <w:rPr>
                <w:rFonts w:hAnsi="宋体" w:cs="宋体"/>
                <w:color w:val="auto"/>
                <w:highlight w:val="none"/>
              </w:rPr>
            </w:pPr>
            <w:r>
              <w:rPr>
                <w:rFonts w:hint="eastAsia" w:hAnsi="宋体" w:cs="宋体"/>
                <w:color w:val="auto"/>
                <w:highlight w:val="none"/>
              </w:rPr>
              <w:t>户名：浙江展图工程咨询有限公司秀洲分公司</w:t>
            </w:r>
          </w:p>
          <w:p w14:paraId="39F75418">
            <w:pPr>
              <w:pStyle w:val="7"/>
              <w:spacing w:line="400" w:lineRule="exact"/>
              <w:contextualSpacing/>
              <w:rPr>
                <w:rFonts w:hAnsi="宋体" w:cs="宋体"/>
                <w:color w:val="auto"/>
                <w:highlight w:val="none"/>
              </w:rPr>
            </w:pPr>
            <w:r>
              <w:rPr>
                <w:rFonts w:hint="eastAsia" w:hAnsi="宋体" w:cs="宋体"/>
                <w:color w:val="auto"/>
                <w:highlight w:val="none"/>
              </w:rPr>
              <w:t>开户银行：中国建设银行股份有限公司嘉兴秀洲支行</w:t>
            </w:r>
          </w:p>
          <w:p w14:paraId="5E24F0D3">
            <w:pPr>
              <w:pStyle w:val="7"/>
              <w:spacing w:line="400" w:lineRule="exact"/>
              <w:contextualSpacing/>
              <w:rPr>
                <w:rFonts w:hAnsi="宋体" w:cs="宋体"/>
                <w:color w:val="auto"/>
                <w:highlight w:val="none"/>
              </w:rPr>
            </w:pPr>
            <w:r>
              <w:rPr>
                <w:rFonts w:hint="eastAsia" w:hAnsi="宋体" w:cs="宋体"/>
                <w:color w:val="auto"/>
                <w:highlight w:val="none"/>
              </w:rPr>
              <w:t>账号：33050163803500001860</w:t>
            </w:r>
          </w:p>
          <w:p w14:paraId="37BA1067">
            <w:pPr>
              <w:pStyle w:val="7"/>
              <w:spacing w:line="400" w:lineRule="exact"/>
              <w:contextualSpacing/>
              <w:rPr>
                <w:rFonts w:hAnsi="宋体" w:cs="宋体"/>
                <w:color w:val="auto"/>
                <w:highlight w:val="none"/>
              </w:rPr>
            </w:pPr>
            <w:r>
              <w:rPr>
                <w:rFonts w:hint="eastAsia" w:hAnsi="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13A2B430">
            <w:pPr>
              <w:pStyle w:val="7"/>
              <w:spacing w:line="400" w:lineRule="exact"/>
              <w:contextualSpacing/>
              <w:rPr>
                <w:rFonts w:hAnsi="宋体" w:cs="宋体"/>
                <w:color w:val="auto"/>
                <w:kern w:val="28"/>
                <w:highlight w:val="none"/>
              </w:rPr>
            </w:pPr>
            <w:r>
              <w:rPr>
                <w:rFonts w:hint="eastAsia" w:hAnsi="宋体" w:cs="宋体"/>
                <w:color w:val="auto"/>
                <w:highlight w:val="none"/>
              </w:rPr>
              <w:t>8.服务费不在投标报价中单列。</w:t>
            </w:r>
          </w:p>
        </w:tc>
      </w:tr>
      <w:tr w14:paraId="68D4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39" w:hRule="exact"/>
          <w:jc w:val="center"/>
        </w:trPr>
        <w:tc>
          <w:tcPr>
            <w:tcW w:w="729" w:type="dxa"/>
            <w:vMerge w:val="restart"/>
            <w:shd w:val="clear" w:color="auto" w:fill="FFFFFF" w:themeFill="background1"/>
            <w:vAlign w:val="center"/>
          </w:tcPr>
          <w:p w14:paraId="7EDACAC7">
            <w:pPr>
              <w:snapToGrid w:val="0"/>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07" w:type="dxa"/>
            <w:vMerge w:val="restart"/>
            <w:shd w:val="clear" w:color="auto" w:fill="FFFFFF" w:themeFill="background1"/>
            <w:vAlign w:val="center"/>
          </w:tcPr>
          <w:p w14:paraId="15254774">
            <w:pPr>
              <w:snapToGrid w:val="0"/>
              <w:jc w:val="center"/>
              <w:rPr>
                <w:rFonts w:ascii="宋体" w:hAnsi="宋体" w:cs="宋体"/>
                <w:color w:val="auto"/>
                <w:szCs w:val="21"/>
                <w:highlight w:val="none"/>
              </w:rPr>
            </w:pPr>
            <w:r>
              <w:rPr>
                <w:rFonts w:hint="eastAsia" w:ascii="宋体" w:hAnsi="宋体" w:cs="宋体"/>
                <w:color w:val="auto"/>
                <w:szCs w:val="21"/>
                <w:highlight w:val="none"/>
              </w:rPr>
              <w:t>特别说明</w:t>
            </w:r>
          </w:p>
        </w:tc>
        <w:tc>
          <w:tcPr>
            <w:tcW w:w="6366" w:type="dxa"/>
            <w:shd w:val="clear" w:color="auto" w:fill="FFFFFF" w:themeFill="background1"/>
            <w:vAlign w:val="center"/>
          </w:tcPr>
          <w:p w14:paraId="1146D3D1">
            <w:pPr>
              <w:spacing w:line="400" w:lineRule="exact"/>
              <w:rPr>
                <w:rFonts w:ascii="宋体" w:hAnsi="宋体" w:cs="宋体"/>
                <w:color w:val="auto"/>
                <w:kern w:val="28"/>
                <w:szCs w:val="21"/>
                <w:highlight w:val="none"/>
              </w:rPr>
            </w:pPr>
            <w:r>
              <w:rPr>
                <w:rFonts w:hint="eastAsia" w:ascii="宋体" w:hAnsi="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2DA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exact"/>
          <w:jc w:val="center"/>
        </w:trPr>
        <w:tc>
          <w:tcPr>
            <w:tcW w:w="729" w:type="dxa"/>
            <w:vMerge w:val="continue"/>
            <w:shd w:val="clear" w:color="auto" w:fill="FFFFFF" w:themeFill="background1"/>
            <w:vAlign w:val="center"/>
          </w:tcPr>
          <w:p w14:paraId="3FB0C326">
            <w:pPr>
              <w:snapToGrid w:val="0"/>
              <w:jc w:val="center"/>
              <w:rPr>
                <w:rFonts w:ascii="宋体" w:hAnsi="宋体" w:cs="宋体"/>
                <w:color w:val="auto"/>
                <w:szCs w:val="21"/>
                <w:highlight w:val="none"/>
              </w:rPr>
            </w:pPr>
            <w:bookmarkStart w:id="11" w:name="_Toc164416483"/>
            <w:bookmarkStart w:id="12" w:name="第三部分"/>
          </w:p>
        </w:tc>
        <w:tc>
          <w:tcPr>
            <w:tcW w:w="1907" w:type="dxa"/>
            <w:vMerge w:val="continue"/>
            <w:shd w:val="clear" w:color="auto" w:fill="FFFFFF" w:themeFill="background1"/>
            <w:vAlign w:val="center"/>
          </w:tcPr>
          <w:p w14:paraId="543ACC8E">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5F975C59">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7F5299AE">
            <w:pPr>
              <w:spacing w:line="400" w:lineRule="exact"/>
              <w:rPr>
                <w:rFonts w:ascii="宋体" w:hAnsi="宋体" w:cs="宋体"/>
                <w:color w:val="auto"/>
                <w:kern w:val="28"/>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3E1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729" w:type="dxa"/>
            <w:vMerge w:val="continue"/>
            <w:shd w:val="clear" w:color="auto" w:fill="FFFFFF" w:themeFill="background1"/>
            <w:vAlign w:val="center"/>
          </w:tcPr>
          <w:p w14:paraId="6889C4C3">
            <w:pPr>
              <w:snapToGrid w:val="0"/>
              <w:jc w:val="center"/>
              <w:rPr>
                <w:rFonts w:ascii="宋体" w:hAnsi="宋体" w:cs="宋体"/>
                <w:color w:val="auto"/>
                <w:szCs w:val="21"/>
                <w:highlight w:val="none"/>
              </w:rPr>
            </w:pPr>
          </w:p>
        </w:tc>
        <w:tc>
          <w:tcPr>
            <w:tcW w:w="1907" w:type="dxa"/>
            <w:vMerge w:val="continue"/>
            <w:shd w:val="clear" w:color="auto" w:fill="FFFFFF" w:themeFill="background1"/>
            <w:vAlign w:val="center"/>
          </w:tcPr>
          <w:p w14:paraId="5187DC02">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64C679EC">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7ED3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7" w:hRule="exact"/>
          <w:jc w:val="center"/>
        </w:trPr>
        <w:tc>
          <w:tcPr>
            <w:tcW w:w="729" w:type="dxa"/>
            <w:vMerge w:val="continue"/>
            <w:shd w:val="clear" w:color="auto" w:fill="FFFFFF" w:themeFill="background1"/>
            <w:vAlign w:val="center"/>
          </w:tcPr>
          <w:p w14:paraId="11805D9A">
            <w:pPr>
              <w:snapToGrid w:val="0"/>
              <w:jc w:val="center"/>
              <w:rPr>
                <w:rFonts w:ascii="宋体" w:hAnsi="宋体" w:cs="宋体"/>
                <w:color w:val="auto"/>
                <w:szCs w:val="21"/>
                <w:highlight w:val="none"/>
              </w:rPr>
            </w:pPr>
          </w:p>
        </w:tc>
        <w:tc>
          <w:tcPr>
            <w:tcW w:w="1907" w:type="dxa"/>
            <w:vMerge w:val="continue"/>
            <w:shd w:val="clear" w:color="auto" w:fill="FFFFFF" w:themeFill="background1"/>
            <w:vAlign w:val="center"/>
          </w:tcPr>
          <w:p w14:paraId="225220AB">
            <w:pPr>
              <w:snapToGrid w:val="0"/>
              <w:jc w:val="center"/>
              <w:rPr>
                <w:rFonts w:ascii="宋体" w:hAnsi="宋体" w:cs="宋体"/>
                <w:color w:val="auto"/>
                <w:szCs w:val="21"/>
                <w:highlight w:val="none"/>
              </w:rPr>
            </w:pPr>
          </w:p>
        </w:tc>
        <w:tc>
          <w:tcPr>
            <w:tcW w:w="6366" w:type="dxa"/>
            <w:shd w:val="clear" w:color="auto" w:fill="FFFFFF" w:themeFill="background1"/>
            <w:vAlign w:val="center"/>
          </w:tcPr>
          <w:p w14:paraId="61D19F4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本项目评审报告推荐的中标候选人数量：</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w:t>
            </w:r>
          </w:p>
          <w:p w14:paraId="7432E76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0A25289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重新招标</w:t>
            </w:r>
          </w:p>
          <w:p w14:paraId="55295D5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按中标候选人名单排序依次确定其他中标候选人为中标人</w:t>
            </w:r>
          </w:p>
        </w:tc>
      </w:tr>
      <w:bookmarkEnd w:id="10"/>
    </w:tbl>
    <w:p w14:paraId="1E5003AD">
      <w:pPr>
        <w:adjustRightInd/>
        <w:spacing w:before="240" w:beforeLines="100" w:after="240" w:afterLines="100"/>
        <w:jc w:val="center"/>
        <w:outlineLvl w:val="0"/>
        <w:rPr>
          <w:rFonts w:ascii="宋体" w:hAnsi="宋体" w:cs="宋体"/>
          <w:b/>
          <w:color w:val="auto"/>
          <w:sz w:val="36"/>
          <w:szCs w:val="21"/>
          <w:highlight w:val="none"/>
        </w:rPr>
      </w:pPr>
    </w:p>
    <w:p w14:paraId="62292B53">
      <w:pPr>
        <w:adjustRightInd/>
        <w:spacing w:before="240" w:beforeLines="100" w:after="240" w:afterLines="100"/>
        <w:jc w:val="center"/>
        <w:outlineLvl w:val="0"/>
        <w:rPr>
          <w:rFonts w:ascii="宋体" w:hAnsi="宋体" w:cs="宋体"/>
          <w:b/>
          <w:color w:val="auto"/>
          <w:sz w:val="36"/>
          <w:szCs w:val="21"/>
          <w:highlight w:val="none"/>
        </w:rPr>
      </w:pPr>
    </w:p>
    <w:p w14:paraId="07CA5DDB">
      <w:pPr>
        <w:adjustRightInd/>
        <w:spacing w:before="240" w:beforeLines="100" w:after="240" w:afterLines="100"/>
        <w:jc w:val="center"/>
        <w:outlineLvl w:val="0"/>
        <w:rPr>
          <w:rFonts w:ascii="宋体" w:hAnsi="宋体" w:cs="宋体"/>
          <w:b/>
          <w:color w:val="auto"/>
          <w:sz w:val="36"/>
          <w:szCs w:val="21"/>
          <w:highlight w:val="none"/>
        </w:rPr>
      </w:pPr>
    </w:p>
    <w:p w14:paraId="19F9FF9C">
      <w:pPr>
        <w:adjustRightInd/>
        <w:spacing w:before="240" w:beforeLines="100" w:after="240" w:afterLines="100"/>
        <w:jc w:val="center"/>
        <w:outlineLvl w:val="0"/>
        <w:rPr>
          <w:rFonts w:ascii="宋体" w:hAnsi="宋体" w:cs="宋体"/>
          <w:b/>
          <w:color w:val="auto"/>
          <w:sz w:val="36"/>
          <w:szCs w:val="21"/>
          <w:highlight w:val="none"/>
        </w:rPr>
      </w:pPr>
    </w:p>
    <w:p w14:paraId="29C9CF01">
      <w:pPr>
        <w:adjustRightInd/>
        <w:spacing w:before="240" w:beforeLines="100" w:after="240" w:afterLines="100"/>
        <w:jc w:val="center"/>
        <w:outlineLvl w:val="0"/>
        <w:rPr>
          <w:rFonts w:ascii="宋体" w:hAnsi="宋体" w:cs="宋体"/>
          <w:b/>
          <w:color w:val="auto"/>
          <w:sz w:val="36"/>
          <w:szCs w:val="21"/>
          <w:highlight w:val="none"/>
        </w:rPr>
      </w:pPr>
    </w:p>
    <w:p w14:paraId="64C59BE1">
      <w:pPr>
        <w:adjustRightInd/>
        <w:spacing w:before="240" w:beforeLines="100" w:after="240" w:afterLines="100"/>
        <w:jc w:val="center"/>
        <w:outlineLvl w:val="0"/>
        <w:rPr>
          <w:rFonts w:ascii="宋体" w:hAnsi="宋体" w:cs="宋体"/>
          <w:b/>
          <w:color w:val="auto"/>
          <w:sz w:val="36"/>
          <w:szCs w:val="21"/>
          <w:highlight w:val="none"/>
        </w:rPr>
      </w:pPr>
    </w:p>
    <w:p w14:paraId="1757E2E0">
      <w:pPr>
        <w:adjustRightInd/>
        <w:spacing w:before="240" w:beforeLines="100" w:after="24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一、总则</w:t>
      </w:r>
    </w:p>
    <w:p w14:paraId="06644C3B">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1.适用范围</w:t>
      </w:r>
    </w:p>
    <w:p w14:paraId="6CC4D1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59309E3C">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2.定义</w:t>
      </w:r>
    </w:p>
    <w:p w14:paraId="4EC1D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2D27AD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55D45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5B095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7EAF73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BEB7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“电子交易平台”是指本项目政府采购活动所依托的政府采购云平台（https://www.zcygov.cn/）。</w:t>
      </w:r>
    </w:p>
    <w:p w14:paraId="50D14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1297023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szCs w:val="21"/>
          <w:highlight w:val="none"/>
        </w:rPr>
        <w:t>”系指不适用本项目的要求。</w:t>
      </w:r>
    </w:p>
    <w:p w14:paraId="716DB268">
      <w:pPr>
        <w:snapToGrid w:val="0"/>
        <w:spacing w:before="240" w:beforeLines="100" w:after="240" w:afterLines="100"/>
        <w:jc w:val="left"/>
        <w:outlineLvl w:val="1"/>
        <w:rPr>
          <w:rFonts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14:paraId="1013F2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进口产品采购管理</w:t>
      </w:r>
    </w:p>
    <w:p w14:paraId="1304F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723E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18A53311">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72279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2EF71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2308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10DC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支持中小企业发展</w:t>
      </w:r>
    </w:p>
    <w:p w14:paraId="7AF84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2AEF6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10F5DD8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3.3.2 </w:t>
      </w:r>
      <w:r>
        <w:rPr>
          <w:rFonts w:hint="eastAsia" w:ascii="宋体" w:hAnsi="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E38DE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1D078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F72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599319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44E7A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985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 中小企业享受扶持政策获得政府采购合同的，小微企业不得将合同分包给大中型企业，中型企业不得将合同分包给大型企业。</w:t>
      </w:r>
    </w:p>
    <w:p w14:paraId="26D43F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 支持创新发展</w:t>
      </w:r>
    </w:p>
    <w:p w14:paraId="3705A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69D280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6F07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 平等对待内外资企业和符合条件的破产重整企业</w:t>
      </w:r>
    </w:p>
    <w:p w14:paraId="122A7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137624B7">
      <w:pPr>
        <w:spacing w:before="240" w:beforeLines="100" w:after="240" w:afterLines="100"/>
        <w:rPr>
          <w:rFonts w:ascii="宋体" w:hAnsi="宋体" w:cs="宋体"/>
          <w:b/>
          <w:color w:val="auto"/>
          <w:szCs w:val="21"/>
          <w:highlight w:val="none"/>
        </w:rPr>
      </w:pPr>
      <w:r>
        <w:rPr>
          <w:rFonts w:hint="eastAsia" w:ascii="宋体" w:hAnsi="宋体" w:cs="宋体"/>
          <w:b/>
          <w:color w:val="auto"/>
          <w:szCs w:val="21"/>
          <w:highlight w:val="none"/>
        </w:rPr>
        <w:t>4.询问、质疑、投诉</w:t>
      </w:r>
    </w:p>
    <w:p w14:paraId="1D5356C7">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 在线询问、质疑、投诉。</w:t>
      </w:r>
    </w:p>
    <w:p w14:paraId="7B64C6B5">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根据《浙江省财政厅关于进一步促进政府采购公平竞争打造最优营商环境的通知》</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浙财采监2021</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A90B5D">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zh-CN"/>
        </w:rPr>
        <w:t>供应商询问</w:t>
      </w:r>
    </w:p>
    <w:p w14:paraId="6A7999F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121726">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lang w:val="zh-CN"/>
        </w:rPr>
        <w:t>供应商质疑</w:t>
      </w:r>
    </w:p>
    <w:p w14:paraId="228F015E">
      <w:pPr>
        <w:pStyle w:val="7"/>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 提出质疑的供应商应当是参与所质疑项目采购活动的供应商。潜在供应商已依法获取其可质疑的招标文件的，可以对该文件提出质疑。</w:t>
      </w:r>
    </w:p>
    <w:p w14:paraId="51FE7572">
      <w:pPr>
        <w:pStyle w:val="7"/>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3902AE">
      <w:pPr>
        <w:pStyle w:val="18"/>
        <w:spacing w:line="360" w:lineRule="auto"/>
        <w:ind w:firstLine="840" w:firstLineChars="4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 对招标文件提出质疑的，质疑期限为供应商获得招标文件之日或者招标文件公告期限届满之日起计算。</w:t>
      </w:r>
    </w:p>
    <w:p w14:paraId="2FBD104F">
      <w:pPr>
        <w:pStyle w:val="7"/>
        <w:spacing w:line="360" w:lineRule="auto"/>
        <w:ind w:firstLine="840" w:firstLineChars="400"/>
        <w:rPr>
          <w:rFonts w:hAnsi="宋体" w:cs="宋体"/>
          <w:color w:val="auto"/>
          <w:highlight w:val="none"/>
        </w:rPr>
      </w:pPr>
      <w:r>
        <w:rPr>
          <w:rFonts w:hint="eastAsia" w:hAnsi="宋体" w:cs="宋体"/>
          <w:color w:val="auto"/>
          <w:highlight w:val="none"/>
        </w:rPr>
        <w:t>4.3.2.2 对采购过程提出质疑的，质疑期限为各采购程序环节结束之日起计算。</w:t>
      </w:r>
    </w:p>
    <w:p w14:paraId="4071E11A">
      <w:pPr>
        <w:pStyle w:val="7"/>
        <w:spacing w:line="360" w:lineRule="auto"/>
        <w:ind w:firstLine="840" w:firstLineChars="400"/>
        <w:rPr>
          <w:rFonts w:hAnsi="宋体" w:cs="宋体"/>
          <w:color w:val="auto"/>
          <w:highlight w:val="none"/>
        </w:rPr>
      </w:pPr>
      <w:r>
        <w:rPr>
          <w:rFonts w:hint="eastAsia" w:hAnsi="宋体" w:cs="宋体"/>
          <w:color w:val="auto"/>
          <w:highlight w:val="none"/>
        </w:rPr>
        <w:t>4.3.2.3 对采购结果提出质疑的，质疑期限自采购结果公告期限届满之日起计算。</w:t>
      </w:r>
    </w:p>
    <w:p w14:paraId="755504DE">
      <w:pPr>
        <w:pStyle w:val="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kern w:val="0"/>
          <w:highlight w:val="none"/>
        </w:rPr>
        <w:t xml:space="preserve"> </w:t>
      </w:r>
      <w:r>
        <w:rPr>
          <w:rFonts w:hint="eastAsia" w:hAnsi="宋体" w:cs="宋体"/>
          <w:color w:val="auto"/>
          <w:highlight w:val="none"/>
        </w:rPr>
        <w:t>供应商提出质疑应当提交质疑函和必要的证明材料。质疑函应当包括下列内容：</w:t>
      </w:r>
    </w:p>
    <w:p w14:paraId="16FADEE5">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w:t>
      </w:r>
      <w:r>
        <w:rPr>
          <w:rFonts w:hint="eastAsia" w:hAnsi="宋体" w:cs="宋体"/>
          <w:color w:val="auto"/>
          <w:kern w:val="0"/>
          <w:highlight w:val="none"/>
        </w:rPr>
        <w:t xml:space="preserve"> </w:t>
      </w:r>
      <w:r>
        <w:rPr>
          <w:rFonts w:hint="eastAsia" w:hAnsi="宋体" w:cs="宋体"/>
          <w:color w:val="auto"/>
          <w:kern w:val="0"/>
          <w:highlight w:val="none"/>
          <w:lang w:val="zh-CN"/>
        </w:rPr>
        <w:t>供应商的姓名或者名称、地址、邮编、联系人及联系电话；</w:t>
      </w:r>
    </w:p>
    <w:p w14:paraId="6A310949">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w:t>
      </w:r>
      <w:r>
        <w:rPr>
          <w:rFonts w:hint="eastAsia" w:hAnsi="宋体" w:cs="宋体"/>
          <w:color w:val="auto"/>
          <w:kern w:val="0"/>
          <w:highlight w:val="none"/>
        </w:rPr>
        <w:t xml:space="preserve"> </w:t>
      </w:r>
      <w:r>
        <w:rPr>
          <w:rFonts w:hint="eastAsia" w:hAnsi="宋体" w:cs="宋体"/>
          <w:color w:val="auto"/>
          <w:kern w:val="0"/>
          <w:highlight w:val="none"/>
          <w:lang w:val="zh-CN"/>
        </w:rPr>
        <w:t>质疑项目的名称、编号；</w:t>
      </w:r>
    </w:p>
    <w:p w14:paraId="3444918F">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w:t>
      </w:r>
      <w:r>
        <w:rPr>
          <w:rFonts w:hint="eastAsia" w:hAnsi="宋体" w:cs="宋体"/>
          <w:color w:val="auto"/>
          <w:kern w:val="0"/>
          <w:highlight w:val="none"/>
        </w:rPr>
        <w:t xml:space="preserve"> </w:t>
      </w:r>
      <w:r>
        <w:rPr>
          <w:rFonts w:hint="eastAsia" w:hAnsi="宋体" w:cs="宋体"/>
          <w:color w:val="auto"/>
          <w:kern w:val="0"/>
          <w:highlight w:val="none"/>
          <w:lang w:val="zh-CN"/>
        </w:rPr>
        <w:t>具体、明确的质疑事项和与质疑事项相关的请求；</w:t>
      </w:r>
    </w:p>
    <w:p w14:paraId="1029E548">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w:t>
      </w:r>
      <w:r>
        <w:rPr>
          <w:rFonts w:hint="eastAsia" w:hAnsi="宋体" w:cs="宋体"/>
          <w:color w:val="auto"/>
          <w:kern w:val="0"/>
          <w:highlight w:val="none"/>
        </w:rPr>
        <w:t xml:space="preserve"> </w:t>
      </w:r>
      <w:r>
        <w:rPr>
          <w:rFonts w:hint="eastAsia" w:hAnsi="宋体" w:cs="宋体"/>
          <w:color w:val="auto"/>
          <w:kern w:val="0"/>
          <w:highlight w:val="none"/>
          <w:lang w:val="zh-CN"/>
        </w:rPr>
        <w:t>事实依据；</w:t>
      </w:r>
    </w:p>
    <w:p w14:paraId="0D56CA53">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w:t>
      </w:r>
      <w:r>
        <w:rPr>
          <w:rFonts w:hint="eastAsia" w:hAnsi="宋体" w:cs="宋体"/>
          <w:color w:val="auto"/>
          <w:kern w:val="0"/>
          <w:highlight w:val="none"/>
        </w:rPr>
        <w:t xml:space="preserve"> </w:t>
      </w:r>
      <w:r>
        <w:rPr>
          <w:rFonts w:hint="eastAsia" w:hAnsi="宋体" w:cs="宋体"/>
          <w:color w:val="auto"/>
          <w:kern w:val="0"/>
          <w:highlight w:val="none"/>
          <w:lang w:val="zh-CN"/>
        </w:rPr>
        <w:t>必要的法律依据；</w:t>
      </w:r>
    </w:p>
    <w:p w14:paraId="0CDD3DC7">
      <w:pPr>
        <w:pStyle w:val="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w:t>
      </w:r>
      <w:r>
        <w:rPr>
          <w:rFonts w:hint="eastAsia" w:hAnsi="宋体" w:cs="宋体"/>
          <w:color w:val="auto"/>
          <w:kern w:val="0"/>
          <w:highlight w:val="none"/>
        </w:rPr>
        <w:t xml:space="preserve"> </w:t>
      </w:r>
      <w:r>
        <w:rPr>
          <w:rFonts w:hint="eastAsia" w:hAnsi="宋体" w:cs="宋体"/>
          <w:color w:val="auto"/>
          <w:kern w:val="0"/>
          <w:highlight w:val="none"/>
          <w:lang w:val="zh-CN"/>
        </w:rPr>
        <w:t>提出质疑的日期。</w:t>
      </w:r>
    </w:p>
    <w:p w14:paraId="547E5833">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8253261">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2A8D4B68">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 对同一采购程序环节的质疑，供应商须在法定质疑期内一次性提出。</w:t>
      </w:r>
    </w:p>
    <w:p w14:paraId="4548F6EA">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0EBF0F9A">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rPr>
        <w:t>3.6 询问或者质疑事项可能影响采购结果的，采购人应当暂停签订合同，已经签订合同的，应当中止履行合同。</w:t>
      </w:r>
    </w:p>
    <w:p w14:paraId="5E3B2A14">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lang w:val="zh-CN"/>
        </w:rPr>
        <w:t>供应商投诉</w:t>
      </w:r>
    </w:p>
    <w:p w14:paraId="4AE0A18E">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66A11404">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 xml:space="preserve"> 供应商投诉的事项不得超出已质疑事项的范围，基于质疑答复内容提出的投诉事项除外。</w:t>
      </w:r>
    </w:p>
    <w:p w14:paraId="58E22EE8">
      <w:pPr>
        <w:pStyle w:val="891"/>
        <w:widowControl w:val="0"/>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 供应商投诉应当有明确的请求和必要的证明材料。</w:t>
      </w:r>
    </w:p>
    <w:p w14:paraId="5B11EC62">
      <w:pPr>
        <w:pStyle w:val="891"/>
        <w:shd w:val="clear" w:color="auto" w:fill="FFFFFF"/>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 以联合体形式参加政府采购活动的，其投诉应当由组成联合体的所有供应商共同提出。</w:t>
      </w:r>
    </w:p>
    <w:p w14:paraId="57EFBD38">
      <w:pPr>
        <w:pStyle w:val="891"/>
        <w:shd w:val="clear" w:color="auto" w:fill="FFFFFF"/>
        <w:snapToGrid w:val="0"/>
        <w:spacing w:before="0" w:beforeAutospacing="0" w:after="0" w:afterAutospacing="0" w:line="360" w:lineRule="auto"/>
        <w:ind w:firstLine="420" w:firstLineChars="200"/>
        <w:contextualSpacing/>
        <w:rPr>
          <w:color w:val="auto"/>
          <w:highlight w:val="none"/>
        </w:rPr>
      </w:pPr>
      <w:r>
        <w:rPr>
          <w:rFonts w:hint="eastAsia"/>
          <w:color w:val="auto"/>
          <w:sz w:val="21"/>
          <w:szCs w:val="21"/>
          <w:highlight w:val="none"/>
        </w:rPr>
        <w:t>投诉书范本及制作说明详见附件3。</w:t>
      </w:r>
    </w:p>
    <w:p w14:paraId="79EE779B">
      <w:pPr>
        <w:adjustRightInd/>
        <w:spacing w:before="240" w:beforeLines="100" w:after="240" w:afterLines="100"/>
        <w:jc w:val="center"/>
        <w:outlineLvl w:val="0"/>
        <w:rPr>
          <w:rFonts w:ascii="宋体" w:hAnsi="宋体" w:cs="宋体"/>
          <w:b/>
          <w:color w:val="auto"/>
          <w:sz w:val="36"/>
          <w:szCs w:val="21"/>
          <w:highlight w:val="none"/>
        </w:rPr>
      </w:pPr>
      <w:r>
        <w:rPr>
          <w:rFonts w:hint="eastAsia" w:ascii="宋体" w:hAnsi="宋体" w:cs="宋体"/>
          <w:b/>
          <w:color w:val="auto"/>
          <w:sz w:val="36"/>
          <w:szCs w:val="21"/>
          <w:highlight w:val="none"/>
        </w:rPr>
        <w:t>二、招标文件的构成、澄清、修改</w:t>
      </w:r>
    </w:p>
    <w:p w14:paraId="73B02F4B">
      <w:pPr>
        <w:pStyle w:val="7"/>
        <w:spacing w:before="240" w:beforeLines="100" w:after="240" w:afterLines="100"/>
        <w:rPr>
          <w:rFonts w:hAnsi="宋体" w:cs="宋体"/>
          <w:b/>
          <w:color w:val="auto"/>
          <w:highlight w:val="none"/>
        </w:rPr>
      </w:pPr>
      <w:r>
        <w:rPr>
          <w:rFonts w:hint="eastAsia" w:hAnsi="宋体" w:cs="宋体"/>
          <w:b/>
          <w:color w:val="auto"/>
          <w:highlight w:val="none"/>
        </w:rPr>
        <w:t>5.招标文件的构成</w:t>
      </w:r>
    </w:p>
    <w:p w14:paraId="71D255FB">
      <w:pPr>
        <w:pStyle w:val="7"/>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745C9925">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 招标公告；</w:t>
      </w:r>
    </w:p>
    <w:p w14:paraId="1062DB51">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 投标人须知；</w:t>
      </w:r>
    </w:p>
    <w:p w14:paraId="2278DA4E">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 采购需求；</w:t>
      </w:r>
    </w:p>
    <w:p w14:paraId="41C34079">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 评标办法；</w:t>
      </w:r>
    </w:p>
    <w:p w14:paraId="6B31A299">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 拟签订的合同文本；</w:t>
      </w:r>
    </w:p>
    <w:p w14:paraId="08054C46">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 应提交的有关格式范例。</w:t>
      </w:r>
    </w:p>
    <w:p w14:paraId="6199BF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61A3AC55">
      <w:pPr>
        <w:pStyle w:val="7"/>
        <w:spacing w:before="240" w:beforeLines="100" w:after="240" w:afterLines="100"/>
        <w:rPr>
          <w:rFonts w:hAnsi="宋体" w:cs="宋体"/>
          <w:b/>
          <w:color w:val="auto"/>
          <w:highlight w:val="none"/>
        </w:rPr>
      </w:pPr>
      <w:r>
        <w:rPr>
          <w:rFonts w:hint="eastAsia" w:hAnsi="宋体" w:cs="宋体"/>
          <w:b/>
          <w:color w:val="auto"/>
          <w:highlight w:val="none"/>
        </w:rPr>
        <w:t>6.招标文件的澄清、修改</w:t>
      </w:r>
    </w:p>
    <w:p w14:paraId="0F2873D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 已获取招标文件的潜在投标人，若有问题需要澄清，应于投标截止时间前，以书面形式向采购代理机构提出。</w:t>
      </w:r>
    </w:p>
    <w:p w14:paraId="3520A882">
      <w:pPr>
        <w:pStyle w:val="135"/>
        <w:snapToGrid w:val="0"/>
        <w:spacing w:before="0"/>
        <w:ind w:firstLine="420"/>
        <w:rPr>
          <w:rFonts w:ascii="宋体" w:hAnsi="宋体" w:cs="宋体"/>
          <w:color w:val="auto"/>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24443C">
      <w:pPr>
        <w:adjustRightInd/>
        <w:spacing w:before="240" w:beforeLines="100" w:after="240" w:afterLines="100"/>
        <w:jc w:val="center"/>
        <w:outlineLvl w:val="0"/>
        <w:rPr>
          <w:rFonts w:ascii="宋体" w:hAnsi="宋体" w:cs="宋体"/>
          <w:b/>
          <w:color w:val="auto"/>
          <w:sz w:val="36"/>
          <w:szCs w:val="22"/>
          <w:highlight w:val="none"/>
        </w:rPr>
      </w:pPr>
      <w:r>
        <w:rPr>
          <w:rFonts w:hint="eastAsia" w:ascii="宋体" w:hAnsi="宋体" w:cs="宋体"/>
          <w:b/>
          <w:color w:val="auto"/>
          <w:sz w:val="36"/>
          <w:szCs w:val="22"/>
          <w:highlight w:val="none"/>
        </w:rPr>
        <w:t>三、投标</w:t>
      </w:r>
    </w:p>
    <w:p w14:paraId="7FB01634">
      <w:pPr>
        <w:pStyle w:val="7"/>
        <w:spacing w:before="240" w:beforeLines="100" w:after="240" w:afterLines="100"/>
        <w:rPr>
          <w:rFonts w:hAnsi="宋体" w:cs="宋体"/>
          <w:b/>
          <w:color w:val="auto"/>
          <w:highlight w:val="none"/>
        </w:rPr>
      </w:pPr>
      <w:r>
        <w:rPr>
          <w:rFonts w:hint="eastAsia" w:hAnsi="宋体" w:cs="宋体"/>
          <w:b/>
          <w:color w:val="auto"/>
          <w:highlight w:val="none"/>
        </w:rPr>
        <w:t>7.招标文件的获取</w:t>
      </w:r>
    </w:p>
    <w:p w14:paraId="648AF03D">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2A15E67D">
      <w:pPr>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bCs/>
          <w:color w:val="auto"/>
          <w:szCs w:val="21"/>
          <w:highlight w:val="none"/>
        </w:rPr>
        <w:t>▲</w:t>
      </w:r>
      <w:r>
        <w:rPr>
          <w:rFonts w:hint="eastAsia" w:ascii="宋体" w:hAnsi="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2547D750">
      <w:pPr>
        <w:pStyle w:val="7"/>
        <w:spacing w:before="240" w:beforeLines="100" w:after="240" w:afterLines="100"/>
        <w:rPr>
          <w:rFonts w:hAnsi="宋体" w:cs="宋体"/>
          <w:b/>
          <w:color w:val="auto"/>
          <w:highlight w:val="none"/>
        </w:rPr>
      </w:pPr>
      <w:r>
        <w:rPr>
          <w:rFonts w:hAnsi="宋体" w:cs="宋体"/>
          <w:b/>
          <w:color w:val="auto"/>
          <w:highlight w:val="none"/>
        </w:rPr>
        <w:t>8.</w:t>
      </w:r>
      <w:r>
        <w:rPr>
          <w:rFonts w:hint="eastAsia" w:hAnsi="宋体" w:cs="宋体"/>
          <w:b/>
          <w:color w:val="auto"/>
          <w:highlight w:val="none"/>
        </w:rPr>
        <w:t xml:space="preserve"> 开标前答疑会或现场考察</w:t>
      </w:r>
    </w:p>
    <w:p w14:paraId="0CA135FE">
      <w:pPr>
        <w:pStyle w:val="7"/>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42377940">
      <w:pPr>
        <w:pStyle w:val="7"/>
        <w:spacing w:before="240" w:beforeLines="100" w:after="240" w:afterLines="100"/>
        <w:rPr>
          <w:rFonts w:hAnsi="宋体" w:cs="宋体"/>
          <w:b/>
          <w:color w:val="auto"/>
          <w:highlight w:val="none"/>
        </w:rPr>
      </w:pPr>
      <w:r>
        <w:rPr>
          <w:rFonts w:hAnsi="宋体" w:cs="宋体"/>
          <w:b/>
          <w:color w:val="auto"/>
          <w:highlight w:val="none"/>
        </w:rPr>
        <w:t>9.</w:t>
      </w:r>
      <w:r>
        <w:rPr>
          <w:rFonts w:hint="eastAsia" w:hAnsi="宋体" w:cs="宋体"/>
          <w:b/>
          <w:color w:val="auto"/>
          <w:highlight w:val="none"/>
        </w:rPr>
        <w:t>投标保证金</w:t>
      </w:r>
    </w:p>
    <w:p w14:paraId="3491A439">
      <w:pPr>
        <w:pStyle w:val="18"/>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735021A8">
      <w:pPr>
        <w:pStyle w:val="7"/>
        <w:spacing w:before="240" w:beforeLines="100" w:after="240" w:afterLines="100"/>
        <w:rPr>
          <w:rFonts w:hAnsi="宋体" w:cs="宋体"/>
          <w:b/>
          <w:color w:val="auto"/>
          <w:highlight w:val="none"/>
        </w:rPr>
      </w:pPr>
      <w:r>
        <w:rPr>
          <w:rFonts w:hAnsi="宋体" w:cs="宋体"/>
          <w:b/>
          <w:color w:val="auto"/>
          <w:highlight w:val="none"/>
        </w:rPr>
        <w:t>10.</w:t>
      </w:r>
      <w:r>
        <w:rPr>
          <w:rFonts w:hint="eastAsia" w:hAnsi="宋体" w:cs="宋体"/>
          <w:b/>
          <w:color w:val="auto"/>
          <w:highlight w:val="none"/>
        </w:rPr>
        <w:t>投标文件的语言</w:t>
      </w:r>
    </w:p>
    <w:p w14:paraId="09FD7DC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EBD87EC">
      <w:pPr>
        <w:pStyle w:val="7"/>
        <w:spacing w:before="240" w:beforeLines="100" w:after="240" w:afterLines="100"/>
        <w:rPr>
          <w:rFonts w:hAnsi="宋体" w:cs="宋体"/>
          <w:b/>
          <w:color w:val="auto"/>
          <w:highlight w:val="none"/>
        </w:rPr>
      </w:pPr>
      <w:r>
        <w:rPr>
          <w:rFonts w:hAnsi="宋体" w:cs="宋体"/>
          <w:b/>
          <w:color w:val="auto"/>
          <w:highlight w:val="none"/>
        </w:rPr>
        <w:t>11.</w:t>
      </w:r>
      <w:r>
        <w:rPr>
          <w:rFonts w:hint="eastAsia" w:hAnsi="宋体" w:cs="宋体"/>
          <w:b/>
          <w:color w:val="auto"/>
          <w:highlight w:val="none"/>
        </w:rPr>
        <w:t>投标文件的组成</w:t>
      </w:r>
    </w:p>
    <w:p w14:paraId="1008C0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11.1 </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56279E5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 符合参加政府采购活动应当具备的一般条件的承诺函；</w:t>
      </w:r>
    </w:p>
    <w:p w14:paraId="25AD99F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 联合协议（如果有）；</w:t>
      </w:r>
    </w:p>
    <w:p w14:paraId="68CCAF3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11.1.3 落实政府采购政策需满足的资格要求（如果有）；</w:t>
      </w:r>
    </w:p>
    <w:p w14:paraId="0D31B00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 本项目的特定资格要求（如果有）。</w:t>
      </w:r>
    </w:p>
    <w:p w14:paraId="5A390891">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 商务技术</w:t>
      </w:r>
      <w:r>
        <w:rPr>
          <w:rFonts w:hint="eastAsia" w:ascii="宋体" w:hAnsi="宋体" w:cs="宋体"/>
          <w:b/>
          <w:bCs/>
          <w:color w:val="auto"/>
          <w:szCs w:val="21"/>
          <w:highlight w:val="none"/>
          <w:lang w:val="zh-CN"/>
        </w:rPr>
        <w:t>文件：</w:t>
      </w:r>
    </w:p>
    <w:p w14:paraId="5271E1A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 投标函；</w:t>
      </w:r>
    </w:p>
    <w:p w14:paraId="3C6BEF6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 授权委托书或法定代表人（单位负责人、自然人本人）身份证明；</w:t>
      </w:r>
    </w:p>
    <w:p w14:paraId="441CC16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 分包意向协议（如果有）；</w:t>
      </w:r>
    </w:p>
    <w:p w14:paraId="0A4DFBE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 符合性审查资料；</w:t>
      </w:r>
    </w:p>
    <w:p w14:paraId="1C0E601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 评标标准相应的商务技术资料；</w:t>
      </w:r>
    </w:p>
    <w:p w14:paraId="51AB6B3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 投标标的清单；</w:t>
      </w:r>
    </w:p>
    <w:p w14:paraId="66224A6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 商务技术偏离表；</w:t>
      </w:r>
    </w:p>
    <w:p w14:paraId="61B2976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8 </w:t>
      </w:r>
      <w:r>
        <w:rPr>
          <w:rFonts w:hint="eastAsia" w:ascii="宋体" w:hAnsi="宋体" w:cs="宋体"/>
          <w:color w:val="auto"/>
          <w:szCs w:val="21"/>
          <w:highlight w:val="none"/>
          <w:lang w:val="zh-CN"/>
        </w:rPr>
        <w:t>政府采购供应商廉洁自律承诺书；</w:t>
      </w:r>
    </w:p>
    <w:p w14:paraId="7C371014">
      <w:pPr>
        <w:snapToGrid w:val="0"/>
        <w:spacing w:line="360" w:lineRule="auto"/>
        <w:ind w:firstLine="422" w:firstLineChars="200"/>
        <w:rPr>
          <w:rFonts w:ascii="宋体" w:hAnsi="宋体" w:cs="宋体"/>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 xml:space="preserve">3 </w:t>
      </w:r>
      <w:r>
        <w:rPr>
          <w:rFonts w:hint="eastAsia" w:ascii="宋体" w:hAnsi="宋体" w:cs="宋体"/>
          <w:b/>
          <w:color w:val="auto"/>
          <w:szCs w:val="21"/>
          <w:highlight w:val="none"/>
        </w:rPr>
        <w:t>报价文件：</w:t>
      </w:r>
    </w:p>
    <w:p w14:paraId="7102A9F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 开标一览表（报价表）；</w:t>
      </w:r>
    </w:p>
    <w:p w14:paraId="7ADCEF58">
      <w:pPr>
        <w:snapToGrid w:val="0"/>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报价情况说明（如供应商报价低于项目预算50%的，应当提交本文档，详细阐述不影响产品质量或者诚信履约的具体原因）</w:t>
      </w:r>
      <w:r>
        <w:rPr>
          <w:rFonts w:hint="eastAsia" w:ascii="宋体" w:hAnsi="宋体" w:cs="宋体"/>
          <w:color w:val="auto"/>
          <w:szCs w:val="21"/>
          <w:highlight w:val="none"/>
          <w:lang w:eastAsia="zh-CN"/>
        </w:rPr>
        <w:t>；</w:t>
      </w:r>
    </w:p>
    <w:p w14:paraId="50A6A8A4">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中小企业声明函（如本项目专门面向中小企业采购，此处可不提供）</w:t>
      </w:r>
      <w:r>
        <w:rPr>
          <w:rFonts w:hint="eastAsia" w:ascii="宋体" w:hAnsi="宋体" w:cs="宋体"/>
          <w:color w:val="auto"/>
          <w:szCs w:val="21"/>
          <w:highlight w:val="none"/>
          <w:lang w:eastAsia="zh-CN"/>
        </w:rPr>
        <w:t>。</w:t>
      </w:r>
    </w:p>
    <w:p w14:paraId="5491479C">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rPr>
        <w:t>投标文件含有采购人不能接受的附加条件的，投标无效；</w:t>
      </w:r>
    </w:p>
    <w:p w14:paraId="30981896">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rPr>
        <w:t>投标人提供虚假材料投标的，投标无效。</w:t>
      </w:r>
    </w:p>
    <w:p w14:paraId="007A6F5F">
      <w:pPr>
        <w:pStyle w:val="135"/>
        <w:snapToGrid w:val="0"/>
        <w:spacing w:before="240" w:beforeLines="100" w:after="24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51DC515E">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F2ACD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B31927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69BA14CF">
      <w:pPr>
        <w:pStyle w:val="135"/>
        <w:snapToGrid w:val="0"/>
        <w:spacing w:before="240" w:beforeLines="100" w:after="240" w:afterLines="100" w:line="240" w:lineRule="auto"/>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4224EB7B">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 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u w:val="single"/>
        </w:rPr>
        <w:t>。</w:t>
      </w:r>
    </w:p>
    <w:p w14:paraId="513EA74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3905EF4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 招标文件对投标文件签署、盖章的要求适用于电子签名。</w:t>
      </w:r>
    </w:p>
    <w:p w14:paraId="4CBE9567">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306A1996">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cs="宋体"/>
          <w:color w:val="auto"/>
          <w:sz w:val="21"/>
          <w:szCs w:val="21"/>
          <w:highlight w:val="none"/>
        </w:rPr>
        <w:t>投标截止时间前未完成传输的，视为撤回投标文件。投标截止时间后递交的投标文件，电子交易平台将拒收。</w:t>
      </w:r>
    </w:p>
    <w:p w14:paraId="78490392">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7C52402C">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7D58738F">
      <w:pPr>
        <w:pStyle w:val="7"/>
        <w:spacing w:before="240" w:beforeLines="100" w:after="240" w:afterLines="100"/>
        <w:rPr>
          <w:rFonts w:hAnsi="宋体" w:cs="宋体"/>
          <w:b/>
          <w:color w:val="auto"/>
          <w:highlight w:val="none"/>
        </w:rPr>
      </w:pPr>
      <w:r>
        <w:rPr>
          <w:rFonts w:hint="eastAsia" w:hAnsi="宋体" w:cs="宋体"/>
          <w:b/>
          <w:color w:val="auto"/>
          <w:highlight w:val="none"/>
        </w:rPr>
        <w:t>15.备份投标文件</w:t>
      </w:r>
    </w:p>
    <w:p w14:paraId="7DC1325E">
      <w:pPr>
        <w:pStyle w:val="7"/>
        <w:spacing w:line="360" w:lineRule="auto"/>
        <w:ind w:firstLine="420" w:firstLineChars="200"/>
        <w:rPr>
          <w:rFonts w:hAnsi="宋体" w:cs="宋体"/>
          <w:b/>
          <w:color w:val="auto"/>
          <w:highlight w:val="none"/>
        </w:rPr>
      </w:pPr>
      <w:r>
        <w:rPr>
          <w:rFonts w:hint="eastAsia" w:hAnsi="宋体" w:cs="宋体"/>
          <w:color w:val="auto"/>
          <w:highlight w:val="none"/>
        </w:rPr>
        <w:t>15.1 投标人在电子交易平台传输递交投标文件后，还可以在投标截止时间前直接提交或者以邮政快递方式递交备份投标文件1份，</w:t>
      </w:r>
      <w:r>
        <w:rPr>
          <w:rFonts w:hint="eastAsia" w:hAnsi="宋体" w:cs="宋体"/>
          <w:b/>
          <w:color w:val="auto"/>
          <w:highlight w:val="none"/>
          <w:u w:val="single"/>
        </w:rPr>
        <w:t>但采购人、采购代理机构不强制或变相强制投标人提交备份投标文件。</w:t>
      </w:r>
    </w:p>
    <w:p w14:paraId="5207B5DF">
      <w:pPr>
        <w:pStyle w:val="7"/>
        <w:spacing w:line="360" w:lineRule="auto"/>
        <w:ind w:firstLine="420" w:firstLineChars="200"/>
        <w:rPr>
          <w:rFonts w:hAnsi="宋体" w:cs="宋体"/>
          <w:b/>
          <w:bCs/>
          <w:color w:val="auto"/>
          <w:highlight w:val="none"/>
          <w:u w:val="single"/>
        </w:rPr>
      </w:pPr>
      <w:r>
        <w:rPr>
          <w:rFonts w:hint="eastAsia" w:hAnsi="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color w:val="auto"/>
          <w:highlight w:val="none"/>
          <w:u w:val="single"/>
        </w:rPr>
        <w:t>不符合上述制作、存储、密封规定的备份投标文件将被视为无效或者被拒绝接收。</w:t>
      </w:r>
    </w:p>
    <w:p w14:paraId="18597199">
      <w:pPr>
        <w:pStyle w:val="7"/>
        <w:spacing w:line="360" w:lineRule="auto"/>
        <w:ind w:firstLine="420" w:firstLineChars="200"/>
        <w:rPr>
          <w:rFonts w:hAnsi="宋体" w:cs="宋体"/>
          <w:color w:val="auto"/>
          <w:highlight w:val="none"/>
        </w:rPr>
      </w:pPr>
      <w:r>
        <w:rPr>
          <w:rFonts w:hint="eastAsia" w:hAnsi="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48A48B70">
      <w:pPr>
        <w:pStyle w:val="7"/>
        <w:spacing w:line="360" w:lineRule="auto"/>
        <w:ind w:firstLine="420" w:firstLineChars="200"/>
        <w:rPr>
          <w:rFonts w:hAnsi="宋体" w:cs="宋体"/>
          <w:color w:val="auto"/>
          <w:highlight w:val="none"/>
        </w:rPr>
      </w:pPr>
      <w:r>
        <w:rPr>
          <w:rFonts w:hint="eastAsia" w:hAnsi="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78DC2618">
      <w:pPr>
        <w:pStyle w:val="7"/>
        <w:spacing w:line="360" w:lineRule="auto"/>
        <w:ind w:firstLine="422" w:firstLineChars="200"/>
        <w:rPr>
          <w:rFonts w:hAnsi="宋体" w:cs="宋体"/>
          <w:b/>
          <w:color w:val="auto"/>
          <w:highlight w:val="none"/>
        </w:rPr>
      </w:pPr>
      <w:r>
        <w:rPr>
          <w:rFonts w:hint="eastAsia" w:hAnsi="宋体" w:cs="宋体"/>
          <w:b/>
          <w:color w:val="auto"/>
          <w:highlight w:val="none"/>
        </w:rPr>
        <w:t xml:space="preserve">15.5 </w:t>
      </w:r>
      <w:r>
        <w:rPr>
          <w:rFonts w:hint="eastAsia" w:hAnsi="宋体" w:cs="宋体"/>
          <w:b/>
          <w:color w:val="auto"/>
          <w:highlight w:val="none"/>
          <w:u w:val="single"/>
        </w:rPr>
        <w:t>投标人仅提交备份投标文件，没有在电子交易平台传输递交投标文件的，投标无效。</w:t>
      </w:r>
    </w:p>
    <w:p w14:paraId="62C2D8B4">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4B12C23F">
      <w:pPr>
        <w:pStyle w:val="19"/>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728DD4D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67E6137">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 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p>
    <w:p w14:paraId="5839AF1A">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 投标文件合格投递后，自投标截止日期起，在投标有效期内有效。</w:t>
      </w:r>
    </w:p>
    <w:p w14:paraId="45CC488C">
      <w:pPr>
        <w:pStyle w:val="135"/>
        <w:spacing w:before="0"/>
        <w:ind w:firstLine="420"/>
        <w:rPr>
          <w:rFonts w:ascii="宋体" w:hAnsi="宋体" w:cs="宋体"/>
          <w:color w:val="auto"/>
          <w:highlight w:val="none"/>
        </w:rPr>
      </w:pPr>
      <w:r>
        <w:rPr>
          <w:rFonts w:hint="eastAsia" w:ascii="宋体" w:hAnsi="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0301740E">
      <w:pPr>
        <w:pStyle w:val="135"/>
        <w:spacing w:before="240" w:beforeLines="100" w:after="240" w:afterLines="100" w:line="240" w:lineRule="auto"/>
        <w:ind w:firstLine="0" w:firstLineChars="0"/>
        <w:jc w:val="center"/>
        <w:rPr>
          <w:rFonts w:ascii="宋体" w:hAnsi="宋体" w:cs="宋体"/>
          <w:b/>
          <w:color w:val="auto"/>
          <w:sz w:val="36"/>
          <w:szCs w:val="21"/>
          <w:highlight w:val="none"/>
        </w:rPr>
      </w:pPr>
      <w:r>
        <w:rPr>
          <w:rFonts w:hint="eastAsia" w:ascii="宋体" w:hAnsi="宋体" w:cs="宋体"/>
          <w:b/>
          <w:color w:val="auto"/>
          <w:sz w:val="36"/>
          <w:szCs w:val="21"/>
          <w:highlight w:val="none"/>
        </w:rPr>
        <w:t>四、开标、资格审查与信用信息查询</w:t>
      </w:r>
    </w:p>
    <w:p w14:paraId="6DDC267A">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18.开标</w:t>
      </w:r>
    </w:p>
    <w:p w14:paraId="091384FE">
      <w:pPr>
        <w:pStyle w:val="559"/>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 采购代理机构按照招标文件规定的时间通过电子交易平台组织开标，所有投标人均应当准时在线参加。投标人不足3家的，不得开标。</w:t>
      </w:r>
    </w:p>
    <w:p w14:paraId="163F2771">
      <w:pPr>
        <w:pStyle w:val="559"/>
        <w:wordWrap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491D1154">
      <w:pPr>
        <w:pStyle w:val="559"/>
        <w:wordWrap w:val="0"/>
        <w:spacing w:before="0" w:line="360" w:lineRule="auto"/>
        <w:ind w:left="0" w:firstLine="420" w:firstLineChars="200"/>
        <w:contextualSpacing/>
        <w:rPr>
          <w:rFonts w:ascii="宋体" w:hAnsi="宋体" w:cs="宋体"/>
          <w:b/>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670E5AD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2FC2C505">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 开标后，采购人将依据法律法规和招标文件的规定，对投标人的资格进行审查。</w:t>
      </w:r>
    </w:p>
    <w:p w14:paraId="3A228A19">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 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40823B0A">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 对未通过资格审查的投标人，告知其未通过的原因。</w:t>
      </w:r>
    </w:p>
    <w:p w14:paraId="0BB3BA04">
      <w:pPr>
        <w:pStyle w:val="135"/>
        <w:wordWrap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 合格投标人不足3家的，不再评标。</w:t>
      </w:r>
    </w:p>
    <w:p w14:paraId="0167BFE0">
      <w:pPr>
        <w:pStyle w:val="135"/>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6B000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0760A3A">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 信用信息查询渠道及截止时间：</w:t>
      </w:r>
      <w:r>
        <w:rPr>
          <w:rFonts w:hint="eastAsia" w:ascii="宋体" w:hAnsi="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12E39D1E">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 信用信息查询记录和证据留存的具体方式：</w:t>
      </w:r>
      <w:r>
        <w:rPr>
          <w:rFonts w:hint="eastAsia" w:ascii="宋体" w:hAnsi="宋体" w:cs="宋体"/>
          <w:color w:val="auto"/>
          <w:kern w:val="0"/>
          <w:sz w:val="21"/>
          <w:szCs w:val="21"/>
          <w:highlight w:val="none"/>
          <w:u w:val="single"/>
        </w:rPr>
        <w:t>现场查询的投标人的信用记录、查询结果经确认后将与采购文件一起存档。</w:t>
      </w:r>
    </w:p>
    <w:p w14:paraId="776F38AE">
      <w:pPr>
        <w:pStyle w:val="135"/>
        <w:wordWrap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 信用信息的使用规则：</w:t>
      </w:r>
      <w:r>
        <w:rPr>
          <w:rFonts w:hint="eastAsia" w:ascii="宋体" w:hAnsi="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056AC88B">
      <w:pPr>
        <w:pStyle w:val="135"/>
        <w:wordWrap w:val="0"/>
        <w:spacing w:before="0"/>
        <w:ind w:firstLine="420"/>
        <w:rPr>
          <w:rFonts w:ascii="宋体" w:hAnsi="宋体" w:cs="宋体"/>
          <w:color w:val="auto"/>
          <w:highlight w:val="none"/>
        </w:rPr>
      </w:pPr>
      <w:r>
        <w:rPr>
          <w:rFonts w:hint="eastAsia" w:ascii="宋体" w:hAnsi="宋体" w:cs="宋体"/>
          <w:color w:val="auto"/>
          <w:kern w:val="0"/>
          <w:sz w:val="21"/>
          <w:szCs w:val="21"/>
          <w:highlight w:val="none"/>
        </w:rPr>
        <w:t>20.4 联合体信用信息查询：</w:t>
      </w:r>
      <w:r>
        <w:rPr>
          <w:rFonts w:hint="eastAsia" w:ascii="宋体" w:hAnsi="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u w:val="single"/>
        </w:rPr>
        <w:t>。</w:t>
      </w:r>
    </w:p>
    <w:p w14:paraId="3AFC6927">
      <w:pPr>
        <w:snapToGrid w:val="0"/>
        <w:spacing w:before="240" w:beforeLines="100" w:after="24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8CA2C10">
      <w:pPr>
        <w:pStyle w:val="135"/>
        <w:spacing w:before="240" w:beforeLines="100" w:after="240" w:afterLines="100" w:line="240" w:lineRule="auto"/>
        <w:ind w:firstLine="0" w:firstLineChars="0"/>
        <w:rPr>
          <w:rFonts w:ascii="宋体" w:hAnsi="宋体" w:cs="宋体"/>
          <w:b/>
          <w:color w:val="auto"/>
          <w:sz w:val="21"/>
          <w:szCs w:val="21"/>
          <w:highlight w:val="none"/>
        </w:rPr>
      </w:pPr>
      <w:bookmarkStart w:id="13" w:name="_Toc91899903"/>
      <w:r>
        <w:rPr>
          <w:rFonts w:hint="eastAsia" w:ascii="宋体" w:hAnsi="宋体" w:cs="宋体"/>
          <w:b/>
          <w:color w:val="auto"/>
          <w:sz w:val="21"/>
          <w:szCs w:val="21"/>
          <w:highlight w:val="none"/>
        </w:rPr>
        <w:t>21.评标</w:t>
      </w:r>
    </w:p>
    <w:p w14:paraId="0DEFA5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评标委员会由政府采购评审专家4人和采购人代表1人，共5人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BFD7C3B">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详见招标文件第四部分评标办法。</w:t>
      </w:r>
    </w:p>
    <w:p w14:paraId="1AF63E79">
      <w:pPr>
        <w:snapToGrid w:val="0"/>
        <w:spacing w:before="240" w:beforeLines="100" w:after="240"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3DF5E6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22.确定中标供应商</w:t>
      </w:r>
    </w:p>
    <w:p w14:paraId="543A6B2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F3C74A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35D71BD4">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6A6625C3">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6B0B23">
      <w:pPr>
        <w:widowControl/>
        <w:shd w:val="clear" w:color="auto" w:fill="FFFFFF"/>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23.3 公告期限为1个工作日。</w:t>
      </w:r>
    </w:p>
    <w:p w14:paraId="710BBD2B">
      <w:pPr>
        <w:snapToGrid w:val="0"/>
        <w:spacing w:before="240" w:beforeLines="100" w:after="240" w:afterLines="100"/>
        <w:jc w:val="center"/>
        <w:rPr>
          <w:rFonts w:ascii="宋体" w:hAnsi="宋体" w:cs="宋体"/>
          <w:b/>
          <w:color w:val="auto"/>
          <w:sz w:val="36"/>
          <w:szCs w:val="28"/>
          <w:highlight w:val="none"/>
        </w:rPr>
      </w:pPr>
      <w:r>
        <w:rPr>
          <w:rFonts w:hint="eastAsia" w:ascii="宋体" w:hAnsi="宋体" w:cs="宋体"/>
          <w:b/>
          <w:color w:val="auto"/>
          <w:sz w:val="36"/>
          <w:szCs w:val="28"/>
          <w:highlight w:val="none"/>
        </w:rPr>
        <w:t>七、合同授予</w:t>
      </w:r>
    </w:p>
    <w:p w14:paraId="5B3F23A6">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24.合同主要条款</w:t>
      </w:r>
    </w:p>
    <w:p w14:paraId="307D2EAE">
      <w:pPr>
        <w:pStyle w:val="19"/>
        <w:spacing w:line="360" w:lineRule="auto"/>
        <w:ind w:firstLine="420"/>
        <w:rPr>
          <w:rFonts w:cs="宋体"/>
          <w:b/>
          <w:color w:val="auto"/>
          <w:sz w:val="21"/>
          <w:szCs w:val="21"/>
          <w:highlight w:val="none"/>
        </w:rPr>
      </w:pPr>
      <w:r>
        <w:rPr>
          <w:rFonts w:hint="eastAsia" w:cs="宋体"/>
          <w:color w:val="auto"/>
          <w:sz w:val="21"/>
          <w:szCs w:val="21"/>
          <w:highlight w:val="none"/>
        </w:rPr>
        <w:t>合同主要条款详见第五部分拟签订的合同文本。</w:t>
      </w:r>
    </w:p>
    <w:p w14:paraId="118A24DE">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25.合同的签订</w:t>
      </w:r>
    </w:p>
    <w:p w14:paraId="506E0EBC">
      <w:pPr>
        <w:widowControl/>
        <w:shd w:val="clear" w:color="auto" w:fill="FFFFFF"/>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996B30">
      <w:pPr>
        <w:pStyle w:val="135"/>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8203FC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 如签订合同并生效后，供应商无故拒绝或延期，除按照合同条款处理外，列入不良行为记录一次，并给予通报。</w:t>
      </w:r>
    </w:p>
    <w:p w14:paraId="777B699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1CF626B3">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 采购合同由采购人与中标供应商根据招标文件、投标文件等内容通过政府采购电子交易平台在线签订，自动备案。</w:t>
      </w:r>
    </w:p>
    <w:p w14:paraId="09650D2D">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26.履约保证金</w:t>
      </w:r>
    </w:p>
    <w:p w14:paraId="02A40F58">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FD81B2F">
      <w:pPr>
        <w:pStyle w:val="135"/>
        <w:snapToGrid w:val="0"/>
        <w:spacing w:before="0"/>
        <w:ind w:left="420" w:leftChars="200" w:firstLine="0" w:firstLineChars="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供应商可登录政采云平台-【金融服务】—【我的项目】—【已备案合同】以保函形式提供：</w:t>
      </w:r>
    </w:p>
    <w:p w14:paraId="1DE3ACE2">
      <w:pPr>
        <w:pStyle w:val="135"/>
        <w:snapToGrid w:val="0"/>
        <w:spacing w:before="0"/>
        <w:ind w:left="420" w:leftChars="200" w:firstLine="0" w:firstLineChars="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）供应商在合同列表选择需要投保的合同，点击[保函推荐]；</w:t>
      </w:r>
    </w:p>
    <w:p w14:paraId="57B775C9">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）在弹框里查看推荐的保函产品，供应商自行选择保函产品，点击[立即申请]；</w:t>
      </w:r>
    </w:p>
    <w:p w14:paraId="37EBF07F">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）在弹框里填写保函申请信息。</w:t>
      </w:r>
    </w:p>
    <w:p w14:paraId="4C5B00B8">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5487DED4">
      <w:pPr>
        <w:pStyle w:val="135"/>
        <w:spacing w:before="240" w:beforeLines="100" w:after="240" w:afterLines="100" w:line="240" w:lineRule="auto"/>
        <w:ind w:firstLine="0" w:firstLineChars="0"/>
        <w:rPr>
          <w:rFonts w:ascii="宋体" w:hAnsi="宋体" w:cs="宋体"/>
          <w:b/>
          <w:color w:val="auto"/>
          <w:sz w:val="21"/>
          <w:szCs w:val="21"/>
          <w:highlight w:val="none"/>
          <w:lang w:val="zh-CN"/>
        </w:rPr>
      </w:pPr>
      <w:r>
        <w:rPr>
          <w:rFonts w:hint="eastAsia" w:ascii="宋体" w:hAnsi="宋体" w:cs="宋体"/>
          <w:b/>
          <w:color w:val="auto"/>
          <w:sz w:val="21"/>
          <w:szCs w:val="21"/>
          <w:highlight w:val="none"/>
        </w:rPr>
        <w:t xml:space="preserve">27. </w:t>
      </w:r>
      <w:r>
        <w:rPr>
          <w:rFonts w:hint="eastAsia" w:ascii="宋体" w:hAnsi="宋体" w:cs="宋体"/>
          <w:b/>
          <w:color w:val="auto"/>
          <w:sz w:val="21"/>
          <w:szCs w:val="21"/>
          <w:highlight w:val="none"/>
          <w:lang w:val="zh-CN"/>
        </w:rPr>
        <w:t>预付款</w:t>
      </w:r>
    </w:p>
    <w:p w14:paraId="1C4CA879">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10272C5E">
      <w:pPr>
        <w:pStyle w:val="135"/>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38F1A8C">
      <w:pPr>
        <w:snapToGrid w:val="0"/>
        <w:spacing w:before="240" w:beforeLines="100" w:after="24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219A455F">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28. 电子交易活动的中止</w:t>
      </w:r>
    </w:p>
    <w:p w14:paraId="46880457">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565C1E05">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28.1 电子交易平台发生故障而无法登录访问的； </w:t>
      </w:r>
    </w:p>
    <w:p w14:paraId="2CE99BF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28.2 电子交易平台应用或数据库出现错误，不能进行正常操作的；</w:t>
      </w:r>
    </w:p>
    <w:p w14:paraId="34D46E8A">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28.3 电子交易平台发现严重安全漏洞，有潜在泄密危险的；</w:t>
      </w:r>
    </w:p>
    <w:p w14:paraId="5E6CA45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28.4 病毒发作导致不能进行正常操作的； </w:t>
      </w:r>
    </w:p>
    <w:p w14:paraId="6842E2F5">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28.5 其他无法保证电子交易的公平、公正和安全的情况。</w:t>
      </w:r>
    </w:p>
    <w:p w14:paraId="15F69CB5">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29. 电子交易活动异常的处理</w:t>
      </w:r>
    </w:p>
    <w:p w14:paraId="4BD7135B">
      <w:pPr>
        <w:pStyle w:val="135"/>
        <w:snapToGrid w:val="0"/>
        <w:spacing w:before="0"/>
        <w:ind w:firstLine="422"/>
        <w:rPr>
          <w:rFonts w:ascii="宋体" w:hAnsi="宋体" w:cs="宋体"/>
          <w:b/>
          <w:bCs/>
          <w:color w:val="auto"/>
          <w:highlight w:val="none"/>
          <w:u w:val="single"/>
        </w:rPr>
      </w:pPr>
      <w:r>
        <w:rPr>
          <w:rFonts w:hint="eastAsia" w:ascii="宋体" w:hAnsi="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55165315">
      <w:pPr>
        <w:snapToGrid w:val="0"/>
        <w:spacing w:before="240" w:beforeLines="100" w:after="240" w:afterLines="100"/>
        <w:jc w:val="center"/>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248337A1">
      <w:pPr>
        <w:pStyle w:val="135"/>
        <w:spacing w:before="240" w:beforeLines="100" w:after="240" w:afterLines="100" w:line="24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30. 验收</w:t>
      </w:r>
    </w:p>
    <w:p w14:paraId="204D43C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14FABE">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242BABD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FF5838">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32E615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pgBorders>
            <w:top w:val="none" w:sz="0" w:space="0"/>
            <w:left w:val="none" w:sz="0" w:space="0"/>
            <w:bottom w:val="none" w:sz="0" w:space="0"/>
            <w:right w:val="none" w:sz="0" w:space="0"/>
          </w:pgBorders>
          <w:cols w:space="720" w:num="1"/>
          <w:titlePg/>
          <w:docGrid w:linePitch="312" w:charSpace="0"/>
        </w:sectPr>
      </w:pPr>
      <w:bookmarkStart w:id="14" w:name="_Hlt75236101"/>
      <w:bookmarkEnd w:id="14"/>
      <w:bookmarkStart w:id="15" w:name="_Hlt74730295"/>
      <w:bookmarkEnd w:id="15"/>
      <w:bookmarkStart w:id="16" w:name="_Hlt68057669"/>
      <w:bookmarkEnd w:id="16"/>
      <w:bookmarkStart w:id="17" w:name="_Hlt68073093"/>
      <w:bookmarkEnd w:id="17"/>
      <w:bookmarkStart w:id="18" w:name="_Hlt75236011"/>
      <w:bookmarkEnd w:id="18"/>
      <w:bookmarkStart w:id="19" w:name="_Hlt74714665"/>
      <w:bookmarkEnd w:id="19"/>
      <w:bookmarkStart w:id="20" w:name="_Hlt74729768"/>
      <w:bookmarkEnd w:id="20"/>
      <w:bookmarkStart w:id="21" w:name="_Hlt68403820"/>
      <w:bookmarkEnd w:id="21"/>
      <w:bookmarkStart w:id="22" w:name="_Hlt68072990"/>
      <w:bookmarkEnd w:id="22"/>
      <w:bookmarkStart w:id="23" w:name="_Hlt74707468"/>
      <w:bookmarkEnd w:id="23"/>
      <w:bookmarkStart w:id="24" w:name="_Hlt75236290"/>
      <w:bookmarkEnd w:id="24"/>
      <w:bookmarkStart w:id="25" w:name="_Hlt68072998"/>
      <w:bookmarkEnd w:id="25"/>
    </w:p>
    <w:bookmarkEnd w:id="11"/>
    <w:bookmarkEnd w:id="12"/>
    <w:p w14:paraId="0AD0BABD">
      <w:pPr>
        <w:spacing w:before="319" w:beforeLines="100" w:after="319" w:afterLines="100"/>
        <w:contextualSpacing/>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1B8C9761">
      <w:pPr>
        <w:keepNext w:val="0"/>
        <w:keepLines w:val="0"/>
        <w:pageBreakBefore w:val="0"/>
        <w:numPr>
          <w:ilvl w:val="0"/>
          <w:numId w:val="0"/>
        </w:numPr>
        <w:kinsoku/>
        <w:wordWrap/>
        <w:overflowPunct/>
        <w:topLinePunct w:val="0"/>
        <w:autoSpaceDE/>
        <w:autoSpaceDN/>
        <w:bidi w:val="0"/>
        <w:adjustRightInd w:val="0"/>
        <w:spacing w:line="360" w:lineRule="auto"/>
        <w:ind w:left="0" w:leftChars="0" w:firstLine="420" w:firstLineChars="0"/>
        <w:textAlignment w:val="auto"/>
        <w:rPr>
          <w:rFonts w:hint="eastAsia" w:ascii="宋体" w:hAnsi="宋体" w:eastAsia="宋体" w:cs="宋体"/>
          <w:b/>
          <w:color w:val="auto"/>
          <w:sz w:val="21"/>
          <w:szCs w:val="21"/>
          <w:highlight w:val="none"/>
        </w:rPr>
      </w:pPr>
      <w:bookmarkStart w:id="27" w:name="_Toc355959986"/>
      <w:r>
        <w:rPr>
          <w:rFonts w:hint="eastAsia" w:ascii="宋体" w:hAnsi="宋体" w:eastAsia="宋体" w:cs="宋体"/>
          <w:b/>
          <w:color w:val="auto"/>
          <w:kern w:val="2"/>
          <w:sz w:val="21"/>
          <w:szCs w:val="21"/>
          <w:lang w:val="en-US" w:eastAsia="zh-CN" w:bidi="ar-SA"/>
        </w:rPr>
        <w:t>一、</w:t>
      </w:r>
      <w:r>
        <w:rPr>
          <w:rFonts w:hint="eastAsia" w:ascii="宋体" w:hAnsi="宋体" w:eastAsia="宋体" w:cs="宋体"/>
          <w:b/>
          <w:color w:val="auto"/>
          <w:sz w:val="21"/>
          <w:szCs w:val="21"/>
          <w:highlight w:val="none"/>
        </w:rPr>
        <w:t>项目</w:t>
      </w:r>
      <w:bookmarkEnd w:id="27"/>
      <w:r>
        <w:rPr>
          <w:rFonts w:hint="eastAsia" w:ascii="宋体" w:hAnsi="宋体" w:eastAsia="宋体" w:cs="宋体"/>
          <w:b/>
          <w:color w:val="auto"/>
          <w:sz w:val="21"/>
          <w:szCs w:val="21"/>
          <w:highlight w:val="none"/>
        </w:rPr>
        <w:t>总预算需求表</w:t>
      </w:r>
    </w:p>
    <w:tbl>
      <w:tblPr>
        <w:tblStyle w:val="66"/>
        <w:tblW w:w="96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106"/>
        <w:gridCol w:w="1058"/>
        <w:gridCol w:w="900"/>
        <w:gridCol w:w="1804"/>
      </w:tblGrid>
      <w:tr w14:paraId="309C0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2" w:type="dxa"/>
            <w:tcBorders>
              <w:tl2br w:val="nil"/>
              <w:tr2bl w:val="nil"/>
            </w:tcBorders>
            <w:noWrap w:val="0"/>
            <w:vAlign w:val="center"/>
          </w:tcPr>
          <w:p w14:paraId="263BC6DF">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106" w:type="dxa"/>
            <w:tcBorders>
              <w:tl2br w:val="nil"/>
              <w:tr2bl w:val="nil"/>
            </w:tcBorders>
            <w:noWrap w:val="0"/>
            <w:vAlign w:val="center"/>
          </w:tcPr>
          <w:p w14:paraId="0969D82F">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1058" w:type="dxa"/>
            <w:tcBorders>
              <w:tl2br w:val="nil"/>
              <w:tr2bl w:val="nil"/>
            </w:tcBorders>
            <w:noWrap w:val="0"/>
            <w:vAlign w:val="center"/>
          </w:tcPr>
          <w:p w14:paraId="11A74326">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900" w:type="dxa"/>
            <w:tcBorders>
              <w:tl2br w:val="nil"/>
              <w:tr2bl w:val="nil"/>
            </w:tcBorders>
            <w:noWrap w:val="0"/>
            <w:vAlign w:val="center"/>
          </w:tcPr>
          <w:p w14:paraId="5E195510">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804" w:type="dxa"/>
            <w:tcBorders>
              <w:tl2br w:val="nil"/>
              <w:tr2bl w:val="nil"/>
            </w:tcBorders>
            <w:noWrap w:val="0"/>
            <w:vAlign w:val="center"/>
          </w:tcPr>
          <w:p w14:paraId="241E6FFE">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w:t>
            </w:r>
          </w:p>
        </w:tc>
      </w:tr>
      <w:tr w14:paraId="08DC0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2" w:type="dxa"/>
            <w:tcBorders>
              <w:tl2br w:val="nil"/>
              <w:tr2bl w:val="nil"/>
            </w:tcBorders>
            <w:noWrap w:val="0"/>
            <w:vAlign w:val="center"/>
          </w:tcPr>
          <w:p w14:paraId="13F5A799">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106" w:type="dxa"/>
            <w:tcBorders>
              <w:tl2br w:val="nil"/>
              <w:tr2bl w:val="nil"/>
            </w:tcBorders>
            <w:noWrap w:val="0"/>
            <w:vAlign w:val="center"/>
          </w:tcPr>
          <w:p w14:paraId="1FE61218">
            <w:pPr>
              <w:keepNext w:val="0"/>
              <w:keepLines w:val="0"/>
              <w:pageBreakBefore w:val="0"/>
              <w:widowControl/>
              <w:numPr>
                <w:ilvl w:val="0"/>
                <w:numId w:val="0"/>
              </w:numPr>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202</w:t>
            </w: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年嘉兴港日常安全管理服务项目</w:t>
            </w:r>
          </w:p>
        </w:tc>
        <w:tc>
          <w:tcPr>
            <w:tcW w:w="1058" w:type="dxa"/>
            <w:tcBorders>
              <w:tl2br w:val="nil"/>
              <w:tr2bl w:val="nil"/>
            </w:tcBorders>
            <w:noWrap w:val="0"/>
            <w:vAlign w:val="center"/>
          </w:tcPr>
          <w:p w14:paraId="28987153">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w:t>
            </w:r>
          </w:p>
        </w:tc>
        <w:tc>
          <w:tcPr>
            <w:tcW w:w="900" w:type="dxa"/>
            <w:tcBorders>
              <w:tl2br w:val="nil"/>
              <w:tr2bl w:val="nil"/>
            </w:tcBorders>
            <w:noWrap w:val="0"/>
            <w:vAlign w:val="center"/>
          </w:tcPr>
          <w:p w14:paraId="76AC7F46">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w:t>
            </w:r>
          </w:p>
        </w:tc>
        <w:tc>
          <w:tcPr>
            <w:tcW w:w="1804" w:type="dxa"/>
            <w:tcBorders>
              <w:tl2br w:val="nil"/>
              <w:tr2bl w:val="nil"/>
            </w:tcBorders>
            <w:noWrap w:val="0"/>
            <w:vAlign w:val="center"/>
          </w:tcPr>
          <w:p w14:paraId="17464264">
            <w:pPr>
              <w:keepNext w:val="0"/>
              <w:keepLines w:val="0"/>
              <w:pageBreakBefore w:val="0"/>
              <w:widowControl/>
              <w:kinsoku/>
              <w:wordWrap/>
              <w:overflowPunct/>
              <w:topLinePunct w:val="0"/>
              <w:autoSpaceDE/>
              <w:autoSpaceDN/>
              <w:bidi w:val="0"/>
              <w:adjustRightInd w:val="0"/>
              <w:snapToGrid/>
              <w:spacing w:line="240" w:lineRule="auto"/>
              <w:ind w:right="0" w:right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1000000元</w:t>
            </w:r>
          </w:p>
        </w:tc>
      </w:tr>
    </w:tbl>
    <w:p w14:paraId="623F61B1">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napToGrid/>
          <w:color w:val="auto"/>
          <w:kern w:val="2"/>
          <w:sz w:val="21"/>
          <w:szCs w:val="21"/>
          <w:lang w:val="en-US" w:eastAsia="zh-CN" w:bidi="ar-SA"/>
        </w:rPr>
        <w:t>二、</w:t>
      </w:r>
      <w:r>
        <w:rPr>
          <w:rFonts w:hint="eastAsia" w:ascii="宋体" w:hAnsi="宋体" w:eastAsia="宋体" w:cs="宋体"/>
          <w:b/>
          <w:bCs/>
          <w:color w:val="auto"/>
          <w:sz w:val="21"/>
          <w:szCs w:val="21"/>
          <w:highlight w:val="none"/>
          <w:lang w:val="en-US" w:eastAsia="zh-CN"/>
        </w:rPr>
        <w:t>嘉兴港港口企业</w:t>
      </w:r>
      <w:r>
        <w:rPr>
          <w:rFonts w:hint="eastAsia" w:hAnsi="宋体" w:cs="宋体"/>
          <w:b/>
          <w:bCs/>
          <w:color w:val="auto"/>
          <w:sz w:val="21"/>
          <w:szCs w:val="21"/>
          <w:highlight w:val="none"/>
          <w:lang w:val="en-US" w:eastAsia="zh-CN"/>
        </w:rPr>
        <w:t>安全</w:t>
      </w:r>
      <w:r>
        <w:rPr>
          <w:rFonts w:hint="eastAsia" w:ascii="宋体" w:hAnsi="宋体" w:eastAsia="宋体" w:cs="宋体"/>
          <w:b/>
          <w:bCs/>
          <w:color w:val="auto"/>
          <w:sz w:val="21"/>
          <w:szCs w:val="21"/>
          <w:highlight w:val="none"/>
          <w:lang w:val="en-US" w:eastAsia="zh-CN"/>
        </w:rPr>
        <w:t>检查服务</w:t>
      </w:r>
    </w:p>
    <w:p w14:paraId="2DE6E159">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1.服务对象</w:t>
      </w:r>
    </w:p>
    <w:p w14:paraId="0195BADE">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嘉兴港港口经营企业（目前3</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家）</w:t>
      </w:r>
    </w:p>
    <w:p w14:paraId="0F1E499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2.服务内容</w:t>
      </w:r>
    </w:p>
    <w:p w14:paraId="3186CAA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开展嘉兴港日常检查</w:t>
      </w:r>
      <w:r>
        <w:rPr>
          <w:rFonts w:hint="eastAsia" w:hAnsi="宋体" w:cs="宋体"/>
          <w:b w:val="0"/>
          <w:bCs w:val="0"/>
          <w:color w:val="auto"/>
          <w:sz w:val="21"/>
          <w:szCs w:val="21"/>
          <w:highlight w:val="none"/>
          <w:lang w:val="en-US" w:eastAsia="zh-CN"/>
        </w:rPr>
        <w:t>、交叉检查和</w:t>
      </w:r>
      <w:r>
        <w:rPr>
          <w:rFonts w:hint="eastAsia" w:ascii="宋体" w:hAnsi="宋体" w:eastAsia="宋体" w:cs="宋体"/>
          <w:b w:val="0"/>
          <w:bCs w:val="0"/>
          <w:color w:val="auto"/>
          <w:sz w:val="21"/>
          <w:szCs w:val="21"/>
          <w:highlight w:val="none"/>
          <w:lang w:val="en-US" w:eastAsia="zh-CN"/>
        </w:rPr>
        <w:t>随机抽查服务，日常检查要求嘉兴港港口经营企业</w:t>
      </w:r>
      <w:r>
        <w:rPr>
          <w:rFonts w:hint="eastAsia" w:hAnsi="宋体" w:cs="宋体"/>
          <w:b w:val="0"/>
          <w:bCs w:val="0"/>
          <w:color w:val="auto"/>
          <w:sz w:val="21"/>
          <w:szCs w:val="21"/>
          <w:highlight w:val="none"/>
          <w:lang w:val="en-US" w:eastAsia="zh-CN"/>
        </w:rPr>
        <w:t>危货、普货</w:t>
      </w:r>
      <w:r>
        <w:rPr>
          <w:rFonts w:hint="eastAsia" w:ascii="宋体" w:hAnsi="宋体" w:eastAsia="宋体" w:cs="宋体"/>
          <w:b w:val="0"/>
          <w:bCs w:val="0"/>
          <w:color w:val="auto"/>
          <w:sz w:val="21"/>
          <w:szCs w:val="21"/>
          <w:highlight w:val="none"/>
          <w:lang w:val="en-US" w:eastAsia="zh-CN"/>
        </w:rPr>
        <w:t>季度全覆盖，分批次</w:t>
      </w:r>
      <w:r>
        <w:rPr>
          <w:rFonts w:hint="eastAsia" w:hAnsi="宋体" w:cs="宋体"/>
          <w:b w:val="0"/>
          <w:bCs w:val="0"/>
          <w:color w:val="auto"/>
          <w:sz w:val="21"/>
          <w:szCs w:val="21"/>
          <w:highlight w:val="none"/>
          <w:lang w:val="en-US" w:eastAsia="zh-CN"/>
        </w:rPr>
        <w:t>按</w:t>
      </w:r>
      <w:r>
        <w:rPr>
          <w:rFonts w:hint="eastAsia" w:ascii="宋体" w:hAnsi="宋体" w:eastAsia="宋体" w:cs="宋体"/>
          <w:b w:val="0"/>
          <w:bCs w:val="0"/>
          <w:color w:val="auto"/>
          <w:sz w:val="21"/>
          <w:szCs w:val="21"/>
          <w:highlight w:val="none"/>
          <w:lang w:val="en-US" w:eastAsia="zh-CN"/>
        </w:rPr>
        <w:t>月开展有针对性的安全检查；</w:t>
      </w:r>
      <w:r>
        <w:rPr>
          <w:rFonts w:hint="eastAsia" w:hAnsi="宋体" w:cs="宋体"/>
          <w:b w:val="0"/>
          <w:bCs w:val="0"/>
          <w:color w:val="auto"/>
          <w:sz w:val="21"/>
          <w:szCs w:val="21"/>
          <w:highlight w:val="none"/>
          <w:lang w:val="en-US" w:eastAsia="zh-CN"/>
        </w:rPr>
        <w:t>交叉检查要求组织企业负责人、安全管理人员开展企业间互查，每半年开展1次；</w:t>
      </w:r>
      <w:r>
        <w:rPr>
          <w:rFonts w:hint="eastAsia" w:ascii="宋体" w:hAnsi="宋体" w:eastAsia="宋体" w:cs="宋体"/>
          <w:b w:val="0"/>
          <w:bCs w:val="0"/>
          <w:color w:val="auto"/>
          <w:sz w:val="21"/>
          <w:szCs w:val="21"/>
          <w:highlight w:val="none"/>
          <w:lang w:val="en-US" w:eastAsia="zh-CN"/>
        </w:rPr>
        <w:t>随机抽查主要根据上级要求或本地突发安全事故、或重要时间节点、敏感时段，对嘉兴港港口经营企业开展抽查检查。根据采购人需要，依据有关检查要求和标准规范，形成隐患检查清单，</w:t>
      </w:r>
      <w:r>
        <w:rPr>
          <w:rFonts w:hint="eastAsia" w:hAnsi="宋体" w:cs="宋体"/>
          <w:b w:val="0"/>
          <w:bCs w:val="0"/>
          <w:color w:val="auto"/>
          <w:sz w:val="21"/>
          <w:szCs w:val="21"/>
          <w:highlight w:val="none"/>
          <w:lang w:val="en-US" w:eastAsia="zh-CN"/>
        </w:rPr>
        <w:t>总服务</w:t>
      </w:r>
      <w:r>
        <w:rPr>
          <w:rFonts w:hint="eastAsia" w:ascii="宋体" w:hAnsi="宋体" w:eastAsia="宋体" w:cs="宋体"/>
          <w:b w:val="0"/>
          <w:bCs w:val="0"/>
          <w:color w:val="auto"/>
          <w:sz w:val="21"/>
          <w:szCs w:val="21"/>
          <w:highlight w:val="none"/>
          <w:lang w:val="en-US" w:eastAsia="zh-CN"/>
        </w:rPr>
        <w:t>次数</w:t>
      </w:r>
      <w:r>
        <w:rPr>
          <w:rFonts w:hint="eastAsia" w:hAnsi="宋体" w:cs="宋体"/>
          <w:b w:val="0"/>
          <w:bCs w:val="0"/>
          <w:color w:val="auto"/>
          <w:sz w:val="21"/>
          <w:szCs w:val="21"/>
          <w:highlight w:val="none"/>
          <w:lang w:val="en-US" w:eastAsia="zh-CN"/>
        </w:rPr>
        <w:t>不少于</w:t>
      </w:r>
      <w:r>
        <w:rPr>
          <w:rFonts w:hint="eastAsia" w:ascii="宋体" w:hAnsi="宋体" w:eastAsia="宋体" w:cs="宋体"/>
          <w:b w:val="0"/>
          <w:bCs w:val="0"/>
          <w:color w:val="auto"/>
          <w:sz w:val="21"/>
          <w:szCs w:val="21"/>
          <w:highlight w:val="none"/>
          <w:lang w:val="en-US" w:eastAsia="zh-CN"/>
        </w:rPr>
        <w:t>12次</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检查时长为每家企业不超过8小时。</w:t>
      </w:r>
    </w:p>
    <w:p w14:paraId="1BB53A49">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3.服务方式</w:t>
      </w:r>
    </w:p>
    <w:p w14:paraId="7EE70B69">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检查中，均需对受检企业现场作业管理（包括但不限于：罐区码头作业、管线阀门等维护情况、充装车台作业、现场作业环境）进行检查。</w:t>
      </w:r>
    </w:p>
    <w:p w14:paraId="1EF59CBE">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val="en-US" w:eastAsia="zh-CN"/>
        </w:rPr>
        <w:t>日常</w:t>
      </w:r>
      <w:r>
        <w:rPr>
          <w:rFonts w:hint="eastAsia" w:ascii="宋体" w:hAnsi="宋体" w:eastAsia="宋体" w:cs="宋体"/>
          <w:b w:val="0"/>
          <w:bCs w:val="0"/>
          <w:color w:val="auto"/>
          <w:sz w:val="21"/>
          <w:szCs w:val="21"/>
          <w:highlight w:val="none"/>
          <w:lang w:val="en-US" w:eastAsia="zh-CN"/>
        </w:rPr>
        <w:t>检查</w:t>
      </w:r>
      <w:r>
        <w:rPr>
          <w:rFonts w:hint="eastAsia" w:hAnsi="宋体" w:cs="宋体"/>
          <w:b w:val="0"/>
          <w:bCs w:val="0"/>
          <w:color w:val="auto"/>
          <w:sz w:val="21"/>
          <w:szCs w:val="21"/>
          <w:highlight w:val="none"/>
          <w:lang w:val="en-US" w:eastAsia="zh-CN"/>
        </w:rPr>
        <w:t>结束后，需在当月完成问题闭环情况统计，并在下一次检查时</w:t>
      </w:r>
      <w:r>
        <w:rPr>
          <w:rFonts w:hint="eastAsia" w:ascii="宋体" w:hAnsi="宋体" w:eastAsia="宋体" w:cs="宋体"/>
          <w:b w:val="0"/>
          <w:bCs w:val="0"/>
          <w:color w:val="auto"/>
          <w:sz w:val="21"/>
          <w:szCs w:val="21"/>
          <w:highlight w:val="none"/>
          <w:lang w:val="en-US" w:eastAsia="zh-CN"/>
        </w:rPr>
        <w:t>对上一次检查问题整改情况进行复核（第一次除外），最后一次检查结束后，应对检查问题整改情况完成一次复核，复核工作完成时间不得迟于合同结束。</w:t>
      </w:r>
    </w:p>
    <w:p w14:paraId="77184A2B">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交叉</w:t>
      </w:r>
      <w:r>
        <w:rPr>
          <w:rFonts w:hint="eastAsia" w:ascii="宋体" w:hAnsi="宋体" w:eastAsia="宋体" w:cs="宋体"/>
          <w:b w:val="0"/>
          <w:bCs w:val="0"/>
          <w:color w:val="auto"/>
          <w:sz w:val="21"/>
          <w:szCs w:val="21"/>
          <w:highlight w:val="none"/>
          <w:lang w:val="en-US" w:eastAsia="zh-CN"/>
        </w:rPr>
        <w:t>检查</w:t>
      </w:r>
      <w:r>
        <w:rPr>
          <w:rFonts w:hint="eastAsia" w:hAnsi="宋体" w:cs="宋体"/>
          <w:b w:val="0"/>
          <w:bCs w:val="0"/>
          <w:color w:val="auto"/>
          <w:sz w:val="21"/>
          <w:szCs w:val="21"/>
          <w:highlight w:val="none"/>
          <w:lang w:val="en-US" w:eastAsia="zh-CN"/>
        </w:rPr>
        <w:t>主要目的是同类型企业间交流安全管理经验，选派某一领域专业性比较强的专家作为现场指导，通过现场检查、台账资料查阅等方式，交流在安全管理工作中存在的问题，并提出好的意见建议，互查结束后应留有记录。</w:t>
      </w:r>
    </w:p>
    <w:p w14:paraId="72D35D33">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检查通过查资料、看现场、人员座谈提问、查看取证、现场应急能力测试、夜间检查等多种方式相结合来进行，对企业安全管理情况进行深入全面检查，不仅要向企业指出安全隐患，还要提出相应的整改建议，同时也要为企业如何提升安全管理水平提出对策和建议。</w:t>
      </w:r>
    </w:p>
    <w:p w14:paraId="5A18D889">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)在每次检查前针对需求制定符合实际的检查表，并提供检查人员资质列表、检查人员满足招标文件要求的确认书。检查人员需要严格按照检查表进行检查。</w:t>
      </w:r>
    </w:p>
    <w:p w14:paraId="738CC3D6">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)严格按照签订的合同协议和实施方案开展安全检查工作，每次检查结束后，被委托服务机构工作人员及外聘专家在检查表上签字确认。</w:t>
      </w:r>
    </w:p>
    <w:p w14:paraId="1BA995CC">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)如发现受检企业存在重大隐患，判定标准应参照《危险货物港口作业重大事故隐患判定指南》（服务期间如重新修订应参照修订后版本），应立即上报采购人，并对企业整改方案提供建议。</w:t>
      </w:r>
    </w:p>
    <w:p w14:paraId="5CBFFAC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)配合采购人在原有的安全生产监督检查档案进行归档保存相关的检查内容、整改结果。应保证电子、纸质双重存档。</w:t>
      </w:r>
    </w:p>
    <w:p w14:paraId="20B70DD0">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)检查人员、专家与被检查对象有利害关系的，应回避。检查过程中，检查人员应严格执行有关纪律要求，不应影响企业的正常生产经营活动，对涉及企业的工作机密、商业机密和个人隐私，应为其保密。</w:t>
      </w:r>
    </w:p>
    <w:p w14:paraId="3D0D9BCB">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)如采购人认为部分问题应移交执法部门处理，供应商应配合提供处罚依据。</w:t>
      </w:r>
    </w:p>
    <w:p w14:paraId="7A94BC3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)根据上级管理部门报送信息内容要求，配合采购人进行报送相关内容信息。</w:t>
      </w:r>
    </w:p>
    <w:p w14:paraId="76F9378C">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4.人员要求</w:t>
      </w:r>
    </w:p>
    <w:p w14:paraId="533CF62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备3人以上（包括3人），需具备相关专业（如安全工程、油气储运工程、石油化工、化学工程与工艺、电气工程、港口、机械等专业学历）本科以上学历，并根据实际检查企业特点建立不同的专业对口专家组，带队组长需具备相关专业高级技术职称，并从事安全管理相关工作6年以上，熟悉港口安全生产相关法律法规和标准规范，年龄不超过60岁；专家组组员需具备相关专业中级以上技术职称，并从事安全管理相关工作6年以上，须为注册安全工程师，熟悉港口安全生产相关法律法规和标准规范，年龄不超过60岁。被委托服务机构可在满足人员要求（即包含专家后总人数为不少于人员要求人数）的前提下，聘请交通运输安全生产领域技术专家名录库专家参与检查工作。</w:t>
      </w:r>
    </w:p>
    <w:p w14:paraId="0525CD02">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5.服务结果</w:t>
      </w:r>
    </w:p>
    <w:p w14:paraId="67F9C150">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次检查后形成隐患明细清单、检查数据统计清单，并更新隐患整改情况，根据采购人需求，配合采购人形成检查计划，定期进行报送相关内容信息，对检查隐患进行分析、总结、建议。如采购人需要，应形成定期检查报告，对出具的检查结果要全面负责。</w:t>
      </w:r>
    </w:p>
    <w:p w14:paraId="1CC055B4">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6.服务时间</w:t>
      </w:r>
    </w:p>
    <w:p w14:paraId="311C052D">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自签订合同之日起至2025年12月31日止。服务期内对服务对象完成不少于12次服务。</w:t>
      </w:r>
    </w:p>
    <w:p w14:paraId="6A36AF79">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嘉兴港港口企业警示教育服务</w:t>
      </w:r>
      <w:r>
        <w:rPr>
          <w:rFonts w:hint="eastAsia" w:hAnsi="宋体" w:cs="宋体"/>
          <w:b/>
          <w:bCs/>
          <w:color w:val="auto"/>
          <w:sz w:val="21"/>
          <w:szCs w:val="21"/>
          <w:highlight w:val="none"/>
          <w:lang w:val="en-US" w:eastAsia="zh-CN"/>
        </w:rPr>
        <w:t>和港口企业技能竞赛服务</w:t>
      </w:r>
    </w:p>
    <w:p w14:paraId="51FED72E">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1.嘉兴港港口企业警示教育服务</w:t>
      </w:r>
    </w:p>
    <w:p w14:paraId="6248A77D">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培训内容：为嘉兴港港口危险货物企业和管理机构提供2次集中教育，每次参加人数不多于100人。根据采购人需要，针对嘉兴港危险货物企业制订年度考核内容、针对嘉兴港港口企业管理人员或作业人员制作考试内容（均为电子版）。</w:t>
      </w:r>
    </w:p>
    <w:p w14:paraId="685FFA8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color w:val="auto"/>
          <w:highlight w:val="none"/>
          <w:lang w:val="en-US" w:eastAsia="zh-CN"/>
        </w:rPr>
      </w:pPr>
    </w:p>
    <w:p w14:paraId="75E16640">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时间要求：2025年12月31日之前安排2次，培训时间不得少于3个小时。</w:t>
      </w:r>
    </w:p>
    <w:p w14:paraId="71DFB240">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培训主题：根据采购人需求商定。</w:t>
      </w:r>
    </w:p>
    <w:p w14:paraId="375BFBD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2.港口企业技能竞赛服务</w:t>
      </w:r>
    </w:p>
    <w:p w14:paraId="7D08AE5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(1)竞赛内容：开展嘉兴港港口企业技能竞赛1次。</w:t>
      </w:r>
    </w:p>
    <w:p w14:paraId="1B2A5240">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时间要求：2025年12月31日之前安排</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次，</w:t>
      </w:r>
      <w:r>
        <w:rPr>
          <w:rFonts w:hint="eastAsia" w:hAnsi="宋体" w:cs="宋体"/>
          <w:color w:val="auto"/>
          <w:sz w:val="21"/>
          <w:szCs w:val="21"/>
          <w:highlight w:val="none"/>
          <w:lang w:val="en-US" w:eastAsia="zh-CN"/>
        </w:rPr>
        <w:t>活动</w:t>
      </w:r>
      <w:r>
        <w:rPr>
          <w:rFonts w:hint="eastAsia" w:ascii="宋体" w:hAnsi="宋体" w:eastAsia="宋体" w:cs="宋体"/>
          <w:color w:val="auto"/>
          <w:sz w:val="21"/>
          <w:szCs w:val="21"/>
          <w:highlight w:val="none"/>
          <w:lang w:val="en-US" w:eastAsia="zh-CN"/>
        </w:rPr>
        <w:t>时间</w:t>
      </w:r>
      <w:r>
        <w:rPr>
          <w:rFonts w:hint="eastAsia" w:hAnsi="宋体" w:cs="宋体"/>
          <w:color w:val="auto"/>
          <w:sz w:val="21"/>
          <w:szCs w:val="21"/>
          <w:highlight w:val="none"/>
          <w:lang w:val="en-US" w:eastAsia="zh-CN"/>
        </w:rPr>
        <w:t>不超过1天</w:t>
      </w:r>
      <w:r>
        <w:rPr>
          <w:rFonts w:hint="eastAsia" w:ascii="宋体" w:hAnsi="宋体" w:eastAsia="宋体" w:cs="宋体"/>
          <w:color w:val="auto"/>
          <w:sz w:val="21"/>
          <w:szCs w:val="21"/>
          <w:highlight w:val="none"/>
          <w:lang w:val="en-US" w:eastAsia="zh-CN"/>
        </w:rPr>
        <w:t>。</w:t>
      </w:r>
    </w:p>
    <w:p w14:paraId="46C4137B">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培训主题：根据采购人需求商定。</w:t>
      </w:r>
    </w:p>
    <w:p w14:paraId="35E4C58A">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港口日常管理监督咨询服务</w:t>
      </w:r>
    </w:p>
    <w:p w14:paraId="088279D2">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1.事故处置</w:t>
      </w:r>
    </w:p>
    <w:p w14:paraId="428935C4">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内容：如嘉兴港管辖企业突发安全事故或出现引发事故苗头（如管道泄漏），应采购人要求，需配合采购人进行前期处置，配合组织事故调查组进行调查，按时提交事故调查相关内容，分析事故原因和处理意见以及事故防范和整改措施，并配合监督企业落实整改情况（仅2020年发生一起一般安全生产事故，一起管道轻微泄漏隐患）。事故处置需根据事故类型匹配相关专业人员提供技术支持，由供应商根据采购人实际需求配合安排。</w:t>
      </w:r>
    </w:p>
    <w:p w14:paraId="142243D1">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(2)服务方式：考虑到事故发生的紧急性，应采购人要求，需供应商指派人员及时前往事故发生现场。</w:t>
      </w:r>
    </w:p>
    <w:p w14:paraId="4B46BD1D">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(3)服务时间：自签订合同之日起至2025年12月31日止。</w:t>
      </w:r>
    </w:p>
    <w:p w14:paraId="527BBC6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2.资料提供</w:t>
      </w:r>
    </w:p>
    <w:p w14:paraId="75EDF8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(1)采购人提供清单目录，为采购人提供现行法律法规、标准规范的纸质版或电子版</w:t>
      </w:r>
      <w:r>
        <w:rPr>
          <w:rFonts w:hint="eastAsia" w:ascii="宋体" w:hAnsi="宋体" w:cs="宋体"/>
          <w:color w:val="auto"/>
          <w:sz w:val="21"/>
          <w:szCs w:val="21"/>
          <w:highlight w:val="none"/>
          <w:lang w:val="en-US" w:eastAsia="zh-CN"/>
        </w:rPr>
        <w:t>，有新修订规范时，应及时提供</w:t>
      </w:r>
      <w:r>
        <w:rPr>
          <w:rFonts w:hint="eastAsia" w:ascii="宋体" w:hAnsi="宋体" w:eastAsia="宋体" w:cs="宋体"/>
          <w:color w:val="auto"/>
          <w:sz w:val="21"/>
          <w:szCs w:val="21"/>
          <w:highlight w:val="none"/>
          <w:lang w:val="en-US" w:eastAsia="zh-CN"/>
        </w:rPr>
        <w:t>。</w:t>
      </w:r>
    </w:p>
    <w:p w14:paraId="006C3DB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根据检查计划，每次检查前，应将涉及到的法规、规范整理后发采购人</w:t>
      </w:r>
      <w:r>
        <w:rPr>
          <w:rFonts w:hint="eastAsia" w:ascii="宋体" w:hAnsi="宋体" w:eastAsia="宋体" w:cs="宋体"/>
          <w:color w:val="auto"/>
          <w:sz w:val="21"/>
          <w:szCs w:val="21"/>
          <w:highlight w:val="none"/>
          <w:lang w:val="en-US" w:eastAsia="zh-CN"/>
        </w:rPr>
        <w:t>。</w:t>
      </w:r>
    </w:p>
    <w:p w14:paraId="67943A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)如采购人需要，针对嘉兴港港口经营企业制订年度考核内容，针对港口经营企业提供管理思路、方案（均为电子版）。</w:t>
      </w:r>
    </w:p>
    <w:p w14:paraId="2921E54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)如采购人需要，收集国内外港口典型事故案例、类似危化品事故案例（包括事故分析、案例处罚）（均为电子版）。</w:t>
      </w:r>
    </w:p>
    <w:p w14:paraId="05F8AD8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)服务时间：自签订合同之日起至2025年12月31日止。</w:t>
      </w:r>
    </w:p>
    <w:p w14:paraId="222E6966">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bidi="ar-SA"/>
        </w:rPr>
        <w:t>五、</w:t>
      </w:r>
      <w:r>
        <w:rPr>
          <w:rFonts w:hint="eastAsia" w:ascii="宋体" w:hAnsi="宋体" w:eastAsia="宋体" w:cs="宋体"/>
          <w:b/>
          <w:bCs/>
          <w:color w:val="auto"/>
          <w:sz w:val="21"/>
          <w:szCs w:val="21"/>
          <w:highlight w:val="none"/>
          <w:lang w:val="en-US" w:eastAsia="zh-CN"/>
        </w:rPr>
        <w:t>合同支付</w:t>
      </w:r>
    </w:p>
    <w:p w14:paraId="533A12E0">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napToGrid/>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项目合同</w:t>
      </w:r>
      <w:r>
        <w:rPr>
          <w:rFonts w:hint="eastAsia" w:hAnsi="宋体" w:cs="宋体"/>
          <w:b w:val="0"/>
          <w:bCs w:val="0"/>
          <w:color w:val="auto"/>
          <w:sz w:val="21"/>
          <w:szCs w:val="21"/>
          <w:highlight w:val="none"/>
          <w:lang w:val="en-US" w:eastAsia="zh-CN"/>
        </w:rPr>
        <w:t>签订</w:t>
      </w:r>
      <w:r>
        <w:rPr>
          <w:rFonts w:hint="eastAsia" w:ascii="宋体" w:hAnsi="宋体" w:eastAsia="宋体" w:cs="宋体"/>
          <w:b w:val="0"/>
          <w:bCs w:val="0"/>
          <w:color w:val="auto"/>
          <w:sz w:val="21"/>
          <w:szCs w:val="21"/>
          <w:highlight w:val="none"/>
          <w:lang w:val="en-US" w:eastAsia="zh-CN"/>
        </w:rPr>
        <w:t>后7个日内，采购</w:t>
      </w:r>
      <w:r>
        <w:rPr>
          <w:rFonts w:hint="eastAsia"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eastAsia="zh-CN"/>
        </w:rPr>
        <w:t>进行第一次支付，支付项目合同总金额的50%；采购</w:t>
      </w:r>
      <w:r>
        <w:rPr>
          <w:rFonts w:hint="eastAsia"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eastAsia="zh-CN"/>
        </w:rPr>
        <w:t>在202</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年12月进行第二次支付，项目验收通过后，采购</w:t>
      </w:r>
      <w:r>
        <w:rPr>
          <w:rFonts w:hint="eastAsia"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eastAsia="zh-CN"/>
        </w:rPr>
        <w:t>进行尾款支付（具体付款时间以财政拨款为准）。</w:t>
      </w:r>
    </w:p>
    <w:p w14:paraId="10605225">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snapToGrid/>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本项目合同服务日期为自签订合同之日起至2025年12月31日止。</w:t>
      </w:r>
      <w:r>
        <w:rPr>
          <w:rFonts w:hint="eastAsia" w:hAnsi="宋体" w:cs="宋体"/>
          <w:b w:val="0"/>
          <w:bCs w:val="0"/>
          <w:color w:val="auto"/>
          <w:sz w:val="21"/>
          <w:szCs w:val="21"/>
          <w:highlight w:val="none"/>
          <w:lang w:val="en-US" w:eastAsia="zh-CN"/>
        </w:rPr>
        <w:t>第二年采购资金下达且供应商履约良好的情况下，双方同意后，可续签合同一年。</w:t>
      </w:r>
    </w:p>
    <w:p w14:paraId="6F75614B">
      <w:pPr>
        <w:pStyle w:val="28"/>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bidi="ar-SA"/>
        </w:rPr>
        <w:t>六、</w:t>
      </w:r>
      <w:r>
        <w:rPr>
          <w:rFonts w:hint="eastAsia" w:ascii="宋体" w:hAnsi="宋体" w:eastAsia="宋体" w:cs="宋体"/>
          <w:b/>
          <w:bCs/>
          <w:color w:val="auto"/>
          <w:sz w:val="21"/>
          <w:szCs w:val="21"/>
          <w:highlight w:val="none"/>
          <w:lang w:val="en-US" w:eastAsia="zh-CN"/>
        </w:rPr>
        <w:t>其他</w:t>
      </w:r>
    </w:p>
    <w:p w14:paraId="49C9C2D5">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供应商中标后参与本项目研究的资料、成果等知识产权归采购</w:t>
      </w:r>
      <w:r>
        <w:rPr>
          <w:rFonts w:hint="eastAsia"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，有关的信息未经采购</w:t>
      </w:r>
      <w:r>
        <w:rPr>
          <w:rFonts w:hint="eastAsia"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同意不得向第三方泄露。</w:t>
      </w:r>
    </w:p>
    <w:p w14:paraId="5AF137EF">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中标人应积极配合提供相关资料和成果。中标人有责任对涉及项目的重要信息进行保密，中标人如因为项目的开展需要向第三方提供资料，必须提前得到采购</w:t>
      </w:r>
      <w:r>
        <w:rPr>
          <w:rFonts w:hint="eastAsia"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批准。</w:t>
      </w:r>
    </w:p>
    <w:p w14:paraId="7B7D854C">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在服务时间内，应参照《浙江省港口第三方安全抽检服务操作规程》开展工作，不得向服务对象收取任何费用，不得要求服务对象安排晚宴，不得接受礼品、礼金，服务期间相关服务人员严禁向服务对象提出任何与工作无关的要求，严禁要求服务对象购买中标人经营范围内业务，并严格遵守服务对象的安全管理规定，应当尽量减少对服务对象的正常生产影响，严禁擅自操作服务对象重要设备等。</w:t>
      </w:r>
    </w:p>
    <w:p w14:paraId="05C0807B">
      <w:pPr>
        <w:pStyle w:val="28"/>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中标人应考虑服务的及时性，在项目服务所在地（浙江省嘉兴市）派遣人员常驻或2小时内到现场提供技术服务，配合采购</w:t>
      </w:r>
      <w:r>
        <w:rPr>
          <w:rFonts w:hint="eastAsia"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进行本项目服务内容。</w:t>
      </w:r>
    </w:p>
    <w:p w14:paraId="55629D5D">
      <w:pPr>
        <w:keepNext w:val="0"/>
        <w:keepLines w:val="0"/>
        <w:pageBreakBefore w:val="0"/>
        <w:widowControl w:val="0"/>
        <w:kinsoku/>
        <w:wordWrap w:val="0"/>
        <w:overflowPunct/>
        <w:topLinePunct/>
        <w:autoSpaceDE/>
        <w:autoSpaceDN/>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中标人未履行上述要求，由此造成的一切后果及经济损失均由中标人承担，构成犯罪的，采购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提请司法部门，依法追究刑事责任。</w:t>
      </w:r>
    </w:p>
    <w:p w14:paraId="79DFD6A2">
      <w:pPr>
        <w:pStyle w:val="5"/>
        <w:wordWrap w:val="0"/>
        <w:ind w:left="0" w:leftChars="0" w:firstLine="0" w:firstLineChars="0"/>
        <w:jc w:val="center"/>
        <w:rPr>
          <w:rFonts w:ascii="宋体" w:hAnsi="宋体" w:cs="宋体"/>
          <w:b/>
          <w:color w:val="auto"/>
          <w:highlight w:val="none"/>
        </w:rPr>
      </w:pPr>
      <w:r>
        <w:rPr>
          <w:rFonts w:hint="eastAsia" w:ascii="宋体" w:hAnsi="宋体" w:cs="宋体"/>
          <w:b/>
          <w:color w:val="auto"/>
          <w:highlight w:val="none"/>
        </w:rPr>
        <w:br w:type="page"/>
      </w:r>
    </w:p>
    <w:p w14:paraId="0EA261EE">
      <w:pPr>
        <w:pStyle w:val="5"/>
        <w:wordWrap w:val="0"/>
        <w:spacing w:before="319" w:beforeLines="100" w:line="240" w:lineRule="auto"/>
        <w:ind w:left="0" w:leftChars="0"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28" w:name="_Toc184313282"/>
      <w:bookmarkEnd w:id="28"/>
      <w:bookmarkStart w:id="29" w:name="_Toc184314438"/>
      <w:bookmarkEnd w:id="29"/>
      <w:bookmarkStart w:id="30" w:name="_Toc184314476"/>
      <w:bookmarkEnd w:id="30"/>
      <w:bookmarkStart w:id="31" w:name="_Toc184312093"/>
      <w:bookmarkEnd w:id="31"/>
      <w:bookmarkStart w:id="32" w:name="_Toc184312138"/>
      <w:bookmarkEnd w:id="32"/>
      <w:bookmarkStart w:id="33" w:name="_Toc184314418"/>
      <w:bookmarkEnd w:id="33"/>
      <w:bookmarkStart w:id="34" w:name="_Toc184308046"/>
      <w:bookmarkEnd w:id="34"/>
      <w:bookmarkStart w:id="35" w:name="_Toc184312099"/>
      <w:bookmarkEnd w:id="35"/>
      <w:bookmarkStart w:id="36" w:name="_Toc184314412"/>
      <w:bookmarkEnd w:id="36"/>
      <w:bookmarkStart w:id="37" w:name="_Toc184310295"/>
      <w:bookmarkEnd w:id="37"/>
      <w:bookmarkStart w:id="38" w:name="_Toc184310333"/>
      <w:bookmarkEnd w:id="38"/>
      <w:bookmarkStart w:id="39" w:name="_Toc184314471"/>
      <w:bookmarkEnd w:id="39"/>
      <w:bookmarkStart w:id="40" w:name="_Toc184314473"/>
      <w:bookmarkEnd w:id="40"/>
      <w:bookmarkStart w:id="41" w:name="_Toc184314413"/>
      <w:bookmarkEnd w:id="41"/>
      <w:bookmarkStart w:id="42" w:name="_Toc184310327"/>
      <w:bookmarkEnd w:id="42"/>
      <w:bookmarkStart w:id="43" w:name="_Toc184312115"/>
      <w:bookmarkEnd w:id="43"/>
      <w:bookmarkStart w:id="44" w:name="_Toc184312091"/>
      <w:bookmarkEnd w:id="44"/>
      <w:bookmarkStart w:id="45" w:name="_Toc184313257"/>
      <w:bookmarkEnd w:id="45"/>
      <w:bookmarkStart w:id="46" w:name="_Toc184310340"/>
      <w:bookmarkEnd w:id="46"/>
      <w:bookmarkStart w:id="47" w:name="_Toc184310280"/>
      <w:bookmarkEnd w:id="47"/>
      <w:bookmarkStart w:id="48" w:name="_Toc184308095"/>
      <w:bookmarkEnd w:id="48"/>
      <w:bookmarkStart w:id="49" w:name="_Toc184314417"/>
      <w:bookmarkEnd w:id="49"/>
      <w:bookmarkStart w:id="50" w:name="_Toc184308108"/>
      <w:bookmarkEnd w:id="50"/>
      <w:bookmarkStart w:id="51" w:name="_Toc184314467"/>
      <w:bookmarkEnd w:id="51"/>
      <w:bookmarkStart w:id="52" w:name="_Toc184312107"/>
      <w:bookmarkEnd w:id="52"/>
      <w:bookmarkStart w:id="53" w:name="_Toc184313283"/>
      <w:bookmarkEnd w:id="53"/>
      <w:bookmarkStart w:id="54" w:name="_Toc184310294"/>
      <w:bookmarkEnd w:id="54"/>
      <w:bookmarkStart w:id="55" w:name="_Toc184308075"/>
      <w:bookmarkEnd w:id="55"/>
      <w:bookmarkStart w:id="56" w:name="_Toc184314440"/>
      <w:bookmarkEnd w:id="56"/>
      <w:bookmarkStart w:id="57" w:name="_Toc184314430"/>
      <w:bookmarkEnd w:id="57"/>
      <w:bookmarkStart w:id="58" w:name="_Toc184310300"/>
      <w:bookmarkEnd w:id="58"/>
      <w:bookmarkStart w:id="59" w:name="_Toc184314462"/>
      <w:bookmarkEnd w:id="59"/>
      <w:bookmarkStart w:id="60" w:name="_Toc184313307"/>
      <w:bookmarkEnd w:id="60"/>
      <w:bookmarkStart w:id="61" w:name="_Toc184314433"/>
      <w:bookmarkEnd w:id="61"/>
      <w:bookmarkStart w:id="62" w:name="_Toc184310282"/>
      <w:bookmarkEnd w:id="62"/>
      <w:bookmarkStart w:id="63" w:name="_Toc184312131"/>
      <w:bookmarkEnd w:id="63"/>
      <w:bookmarkStart w:id="64" w:name="_Toc184313250"/>
      <w:bookmarkEnd w:id="64"/>
      <w:bookmarkStart w:id="65" w:name="_Toc184312092"/>
      <w:bookmarkEnd w:id="65"/>
      <w:bookmarkStart w:id="66" w:name="_Toc184312116"/>
      <w:bookmarkEnd w:id="66"/>
      <w:bookmarkStart w:id="67" w:name="_Toc184314464"/>
      <w:bookmarkEnd w:id="67"/>
      <w:bookmarkStart w:id="68" w:name="_Toc184313284"/>
      <w:bookmarkEnd w:id="68"/>
      <w:bookmarkStart w:id="69" w:name="_Toc184310291"/>
      <w:bookmarkEnd w:id="69"/>
      <w:bookmarkStart w:id="70" w:name="_Toc184310319"/>
      <w:bookmarkEnd w:id="70"/>
      <w:bookmarkStart w:id="71" w:name="_Toc184310334"/>
      <w:bookmarkEnd w:id="71"/>
      <w:bookmarkStart w:id="72" w:name="_Toc184310323"/>
      <w:bookmarkEnd w:id="72"/>
      <w:bookmarkStart w:id="73" w:name="_Toc184308047"/>
      <w:bookmarkEnd w:id="73"/>
      <w:bookmarkStart w:id="74" w:name="_Toc184308044"/>
      <w:bookmarkEnd w:id="74"/>
      <w:bookmarkStart w:id="75" w:name="_Toc184312121"/>
      <w:bookmarkEnd w:id="75"/>
      <w:bookmarkStart w:id="76" w:name="_Toc184308040"/>
      <w:bookmarkEnd w:id="76"/>
      <w:bookmarkStart w:id="77" w:name="_Toc184313263"/>
      <w:bookmarkEnd w:id="77"/>
      <w:bookmarkStart w:id="78" w:name="_Toc184310281"/>
      <w:bookmarkEnd w:id="78"/>
      <w:bookmarkStart w:id="79" w:name="_Toc184310276"/>
      <w:bookmarkEnd w:id="79"/>
      <w:bookmarkStart w:id="80" w:name="_Toc184308091"/>
      <w:bookmarkEnd w:id="80"/>
      <w:bookmarkStart w:id="81" w:name="_Toc184308096"/>
      <w:bookmarkEnd w:id="81"/>
      <w:bookmarkStart w:id="82" w:name="_Toc184314457"/>
      <w:bookmarkEnd w:id="82"/>
      <w:bookmarkStart w:id="83" w:name="_Toc184314447"/>
      <w:bookmarkEnd w:id="83"/>
      <w:bookmarkStart w:id="84" w:name="_Toc184314441"/>
      <w:bookmarkEnd w:id="84"/>
      <w:bookmarkStart w:id="85" w:name="_Toc184313303"/>
      <w:bookmarkEnd w:id="85"/>
      <w:bookmarkStart w:id="86" w:name="_Toc184310338"/>
      <w:bookmarkEnd w:id="86"/>
      <w:bookmarkStart w:id="87" w:name="_Toc184312129"/>
      <w:bookmarkEnd w:id="87"/>
      <w:bookmarkStart w:id="88" w:name="_Toc184308074"/>
      <w:bookmarkEnd w:id="88"/>
      <w:bookmarkStart w:id="89" w:name="_Toc184312097"/>
      <w:bookmarkEnd w:id="89"/>
      <w:bookmarkStart w:id="90" w:name="_Toc184308036"/>
      <w:bookmarkEnd w:id="90"/>
      <w:bookmarkStart w:id="91" w:name="_Toc184310328"/>
      <w:bookmarkEnd w:id="91"/>
      <w:bookmarkStart w:id="92" w:name="_Toc184313310"/>
      <w:bookmarkEnd w:id="92"/>
      <w:bookmarkStart w:id="93" w:name="_Toc184312089"/>
      <w:bookmarkEnd w:id="93"/>
      <w:bookmarkStart w:id="94" w:name="_Toc184308099"/>
      <w:bookmarkEnd w:id="94"/>
      <w:bookmarkStart w:id="95" w:name="_Toc184314446"/>
      <w:bookmarkEnd w:id="95"/>
      <w:bookmarkStart w:id="96" w:name="_Toc184314480"/>
      <w:bookmarkEnd w:id="96"/>
      <w:bookmarkStart w:id="97" w:name="_Toc184314444"/>
      <w:bookmarkEnd w:id="97"/>
      <w:bookmarkStart w:id="98" w:name="_Toc184310298"/>
      <w:bookmarkEnd w:id="98"/>
      <w:bookmarkStart w:id="99" w:name="_Toc184313305"/>
      <w:bookmarkEnd w:id="99"/>
      <w:bookmarkStart w:id="100" w:name="_Toc184314461"/>
      <w:bookmarkEnd w:id="100"/>
      <w:bookmarkStart w:id="101" w:name="_Toc184308098"/>
      <w:bookmarkEnd w:id="101"/>
      <w:bookmarkStart w:id="102" w:name="_Toc184314422"/>
      <w:bookmarkEnd w:id="102"/>
      <w:bookmarkStart w:id="103" w:name="_Toc184308063"/>
      <w:bookmarkEnd w:id="103"/>
      <w:bookmarkStart w:id="104" w:name="_Toc184308057"/>
      <w:bookmarkEnd w:id="104"/>
      <w:bookmarkStart w:id="105" w:name="_Toc184308062"/>
      <w:bookmarkEnd w:id="105"/>
      <w:bookmarkStart w:id="106" w:name="_Toc184314449"/>
      <w:bookmarkEnd w:id="106"/>
      <w:bookmarkStart w:id="107" w:name="_Toc184314414"/>
      <w:bookmarkEnd w:id="107"/>
      <w:bookmarkStart w:id="108" w:name="_Toc184313309"/>
      <w:bookmarkEnd w:id="108"/>
      <w:bookmarkStart w:id="109" w:name="_Toc184313269"/>
      <w:bookmarkEnd w:id="109"/>
      <w:bookmarkStart w:id="110" w:name="_Toc184310320"/>
      <w:bookmarkEnd w:id="110"/>
      <w:bookmarkStart w:id="111" w:name="_Toc184308054"/>
      <w:bookmarkEnd w:id="111"/>
      <w:bookmarkStart w:id="112" w:name="_Toc184314481"/>
      <w:bookmarkEnd w:id="112"/>
      <w:bookmarkStart w:id="113" w:name="_Toc184314453"/>
      <w:bookmarkEnd w:id="113"/>
      <w:bookmarkStart w:id="114" w:name="_Toc184314426"/>
      <w:bookmarkEnd w:id="114"/>
      <w:bookmarkStart w:id="115" w:name="_Toc184310304"/>
      <w:bookmarkEnd w:id="115"/>
      <w:bookmarkStart w:id="116" w:name="_Toc184308092"/>
      <w:bookmarkEnd w:id="116"/>
      <w:bookmarkStart w:id="117" w:name="_Toc184308082"/>
      <w:bookmarkEnd w:id="117"/>
      <w:bookmarkStart w:id="118" w:name="_Toc184312075"/>
      <w:bookmarkEnd w:id="118"/>
      <w:bookmarkStart w:id="119" w:name="_Toc184310284"/>
      <w:bookmarkEnd w:id="119"/>
      <w:bookmarkStart w:id="120" w:name="_Toc184308048"/>
      <w:bookmarkEnd w:id="120"/>
      <w:bookmarkStart w:id="121" w:name="_Toc184312110"/>
      <w:bookmarkEnd w:id="121"/>
      <w:bookmarkStart w:id="122" w:name="_Toc184312128"/>
      <w:bookmarkEnd w:id="122"/>
      <w:bookmarkStart w:id="123" w:name="_Toc184313296"/>
      <w:bookmarkEnd w:id="123"/>
      <w:bookmarkStart w:id="124" w:name="_Toc184314435"/>
      <w:bookmarkEnd w:id="124"/>
      <w:bookmarkStart w:id="125" w:name="_Toc184314475"/>
      <w:bookmarkEnd w:id="125"/>
      <w:bookmarkStart w:id="126" w:name="_Toc184312101"/>
      <w:bookmarkEnd w:id="126"/>
      <w:bookmarkStart w:id="127" w:name="_Toc184310339"/>
      <w:bookmarkEnd w:id="127"/>
      <w:bookmarkStart w:id="128" w:name="_Toc184314429"/>
      <w:bookmarkEnd w:id="128"/>
      <w:bookmarkStart w:id="129" w:name="_Toc184310344"/>
      <w:bookmarkEnd w:id="129"/>
      <w:bookmarkStart w:id="130" w:name="_Toc184308093"/>
      <w:bookmarkEnd w:id="130"/>
      <w:bookmarkStart w:id="131" w:name="_Toc184313289"/>
      <w:bookmarkEnd w:id="131"/>
      <w:bookmarkStart w:id="132" w:name="_Toc184312083"/>
      <w:bookmarkEnd w:id="132"/>
      <w:bookmarkStart w:id="133" w:name="_Toc184313271"/>
      <w:bookmarkEnd w:id="133"/>
      <w:bookmarkStart w:id="134" w:name="_Toc184313264"/>
      <w:bookmarkEnd w:id="134"/>
      <w:bookmarkStart w:id="135" w:name="_Toc184312104"/>
      <w:bookmarkEnd w:id="135"/>
      <w:bookmarkStart w:id="136" w:name="_Toc184314482"/>
      <w:bookmarkEnd w:id="136"/>
      <w:bookmarkStart w:id="137" w:name="_Toc184310272"/>
      <w:bookmarkEnd w:id="137"/>
      <w:bookmarkStart w:id="138" w:name="_Toc184308104"/>
      <w:bookmarkEnd w:id="138"/>
      <w:bookmarkStart w:id="139" w:name="_Toc184310311"/>
      <w:bookmarkEnd w:id="139"/>
      <w:bookmarkStart w:id="140" w:name="_Toc184313247"/>
      <w:bookmarkEnd w:id="140"/>
      <w:bookmarkStart w:id="141" w:name="_Toc184314410"/>
      <w:bookmarkEnd w:id="141"/>
      <w:bookmarkStart w:id="142" w:name="_Toc184313256"/>
      <w:bookmarkEnd w:id="142"/>
      <w:bookmarkStart w:id="143" w:name="_Toc184310278"/>
      <w:bookmarkEnd w:id="143"/>
      <w:bookmarkStart w:id="144" w:name="_Toc184308071"/>
      <w:bookmarkEnd w:id="144"/>
      <w:bookmarkStart w:id="145" w:name="_Toc184312070"/>
      <w:bookmarkEnd w:id="145"/>
      <w:bookmarkStart w:id="146" w:name="_Toc184310343"/>
      <w:bookmarkEnd w:id="146"/>
      <w:bookmarkStart w:id="147" w:name="_Toc184308064"/>
      <w:bookmarkEnd w:id="147"/>
      <w:bookmarkStart w:id="148" w:name="_Toc184310293"/>
      <w:bookmarkEnd w:id="148"/>
      <w:bookmarkStart w:id="149" w:name="_Toc184308061"/>
      <w:bookmarkEnd w:id="149"/>
      <w:bookmarkStart w:id="150" w:name="_Toc184312085"/>
      <w:bookmarkEnd w:id="150"/>
      <w:bookmarkStart w:id="151" w:name="_Toc184310283"/>
      <w:bookmarkEnd w:id="151"/>
      <w:bookmarkStart w:id="152" w:name="_Toc184312098"/>
      <w:bookmarkEnd w:id="152"/>
      <w:bookmarkStart w:id="153" w:name="_Toc184312082"/>
      <w:bookmarkEnd w:id="153"/>
      <w:bookmarkStart w:id="154" w:name="_Toc184310277"/>
      <w:bookmarkEnd w:id="154"/>
      <w:bookmarkStart w:id="155" w:name="_Toc184310279"/>
      <w:bookmarkEnd w:id="155"/>
      <w:bookmarkStart w:id="156" w:name="_Toc184310341"/>
      <w:bookmarkEnd w:id="156"/>
      <w:bookmarkStart w:id="157" w:name="_Toc184308037"/>
      <w:bookmarkEnd w:id="157"/>
      <w:bookmarkStart w:id="158" w:name="_Toc184314439"/>
      <w:bookmarkEnd w:id="158"/>
      <w:bookmarkStart w:id="159" w:name="_Toc184308086"/>
      <w:bookmarkEnd w:id="159"/>
      <w:bookmarkStart w:id="160" w:name="_Toc184314425"/>
      <w:bookmarkEnd w:id="160"/>
      <w:bookmarkStart w:id="161" w:name="_Toc184308052"/>
      <w:bookmarkEnd w:id="161"/>
      <w:bookmarkStart w:id="162" w:name="_Toc184308078"/>
      <w:bookmarkEnd w:id="162"/>
      <w:bookmarkStart w:id="163" w:name="_Toc184313286"/>
      <w:bookmarkEnd w:id="163"/>
      <w:bookmarkStart w:id="164" w:name="_Toc184314478"/>
      <w:bookmarkEnd w:id="164"/>
      <w:bookmarkStart w:id="165" w:name="_Toc184310325"/>
      <w:bookmarkEnd w:id="165"/>
      <w:bookmarkStart w:id="166" w:name="_Toc184310314"/>
      <w:bookmarkEnd w:id="166"/>
      <w:bookmarkStart w:id="167" w:name="_Toc184308079"/>
      <w:bookmarkEnd w:id="167"/>
      <w:bookmarkStart w:id="168" w:name="_Toc184314456"/>
      <w:bookmarkEnd w:id="168"/>
      <w:bookmarkStart w:id="169" w:name="_Toc184308080"/>
      <w:bookmarkEnd w:id="169"/>
      <w:bookmarkStart w:id="170" w:name="_Toc184308067"/>
      <w:bookmarkEnd w:id="170"/>
      <w:bookmarkStart w:id="171" w:name="_Toc184313262"/>
      <w:bookmarkEnd w:id="171"/>
      <w:bookmarkStart w:id="172" w:name="_Toc184308073"/>
      <w:bookmarkEnd w:id="172"/>
      <w:bookmarkStart w:id="173" w:name="_Toc184310302"/>
      <w:bookmarkEnd w:id="173"/>
      <w:bookmarkStart w:id="174" w:name="_Toc184312079"/>
      <w:bookmarkEnd w:id="174"/>
      <w:bookmarkStart w:id="175" w:name="_Toc184314443"/>
      <w:bookmarkEnd w:id="175"/>
      <w:bookmarkStart w:id="176" w:name="_Toc184312109"/>
      <w:bookmarkEnd w:id="176"/>
      <w:bookmarkStart w:id="177" w:name="_Toc184310303"/>
      <w:bookmarkEnd w:id="177"/>
      <w:bookmarkStart w:id="178" w:name="_Toc184310312"/>
      <w:bookmarkEnd w:id="178"/>
      <w:bookmarkStart w:id="179" w:name="_Toc184314455"/>
      <w:bookmarkEnd w:id="179"/>
      <w:bookmarkStart w:id="180" w:name="_Toc184308056"/>
      <w:bookmarkEnd w:id="180"/>
      <w:bookmarkStart w:id="181" w:name="_Toc184314477"/>
      <w:bookmarkEnd w:id="181"/>
      <w:bookmarkStart w:id="182" w:name="_Toc184312112"/>
      <w:bookmarkEnd w:id="182"/>
      <w:bookmarkStart w:id="183" w:name="_Toc184313280"/>
      <w:bookmarkEnd w:id="183"/>
      <w:bookmarkStart w:id="184" w:name="_Toc184310286"/>
      <w:bookmarkEnd w:id="184"/>
      <w:bookmarkStart w:id="185" w:name="_Toc184312090"/>
      <w:bookmarkEnd w:id="185"/>
      <w:bookmarkStart w:id="186" w:name="_Toc184314442"/>
      <w:bookmarkEnd w:id="186"/>
      <w:bookmarkStart w:id="187" w:name="_Toc184310324"/>
      <w:bookmarkEnd w:id="187"/>
      <w:bookmarkStart w:id="188" w:name="_Toc184314424"/>
      <w:bookmarkEnd w:id="188"/>
      <w:bookmarkStart w:id="189" w:name="_Toc184314421"/>
      <w:bookmarkEnd w:id="189"/>
      <w:bookmarkStart w:id="190" w:name="_Toc184312127"/>
      <w:bookmarkEnd w:id="190"/>
      <w:bookmarkStart w:id="191" w:name="_Toc184308103"/>
      <w:bookmarkEnd w:id="191"/>
      <w:bookmarkStart w:id="192" w:name="_Toc184308101"/>
      <w:bookmarkEnd w:id="192"/>
      <w:bookmarkStart w:id="193" w:name="_Toc184308066"/>
      <w:bookmarkEnd w:id="193"/>
      <w:bookmarkStart w:id="194" w:name="_Toc184312132"/>
      <w:bookmarkEnd w:id="194"/>
      <w:bookmarkStart w:id="195" w:name="_Toc184314427"/>
      <w:bookmarkEnd w:id="195"/>
      <w:bookmarkStart w:id="196" w:name="_Toc184308107"/>
      <w:bookmarkEnd w:id="196"/>
      <w:bookmarkStart w:id="197" w:name="_Toc184308076"/>
      <w:bookmarkEnd w:id="197"/>
      <w:bookmarkStart w:id="198" w:name="_Toc184314419"/>
      <w:bookmarkEnd w:id="198"/>
      <w:bookmarkStart w:id="199" w:name="_Toc184310274"/>
      <w:bookmarkEnd w:id="199"/>
      <w:bookmarkStart w:id="200" w:name="_Toc184314436"/>
      <w:bookmarkEnd w:id="200"/>
      <w:bookmarkStart w:id="201" w:name="_Toc184312086"/>
      <w:bookmarkEnd w:id="201"/>
      <w:bookmarkStart w:id="202" w:name="_Toc184310275"/>
      <w:bookmarkEnd w:id="202"/>
      <w:bookmarkStart w:id="203" w:name="_Toc184308105"/>
      <w:bookmarkEnd w:id="203"/>
      <w:bookmarkStart w:id="204" w:name="_Toc184312119"/>
      <w:bookmarkEnd w:id="204"/>
      <w:bookmarkStart w:id="205" w:name="_Toc184308042"/>
      <w:bookmarkEnd w:id="205"/>
      <w:bookmarkStart w:id="206" w:name="_Toc184313279"/>
      <w:bookmarkEnd w:id="206"/>
      <w:bookmarkStart w:id="207" w:name="_Toc184308065"/>
      <w:bookmarkEnd w:id="207"/>
      <w:bookmarkStart w:id="208" w:name="_Toc184313292"/>
      <w:bookmarkEnd w:id="208"/>
      <w:bookmarkStart w:id="209" w:name="_Toc184308106"/>
      <w:bookmarkEnd w:id="209"/>
      <w:bookmarkStart w:id="210" w:name="_Toc184312069"/>
      <w:bookmarkEnd w:id="210"/>
      <w:bookmarkStart w:id="211" w:name="_Toc184312068"/>
      <w:bookmarkEnd w:id="211"/>
      <w:bookmarkStart w:id="212" w:name="_Toc184312136"/>
      <w:bookmarkEnd w:id="212"/>
      <w:bookmarkStart w:id="213" w:name="_Toc184313287"/>
      <w:bookmarkEnd w:id="213"/>
      <w:bookmarkStart w:id="214" w:name="_Toc184314460"/>
      <w:bookmarkEnd w:id="214"/>
      <w:bookmarkStart w:id="215" w:name="_Toc184313274"/>
      <w:bookmarkEnd w:id="215"/>
      <w:bookmarkStart w:id="216" w:name="_Toc184312077"/>
      <w:bookmarkEnd w:id="216"/>
      <w:bookmarkStart w:id="217" w:name="_Toc184308069"/>
      <w:bookmarkEnd w:id="217"/>
      <w:bookmarkStart w:id="218" w:name="_Toc184314452"/>
      <w:bookmarkEnd w:id="218"/>
      <w:bookmarkStart w:id="219" w:name="_Toc184314411"/>
      <w:bookmarkEnd w:id="219"/>
      <w:bookmarkStart w:id="220" w:name="_Toc184313255"/>
      <w:bookmarkEnd w:id="220"/>
      <w:bookmarkStart w:id="221" w:name="_Toc184312081"/>
      <w:bookmarkEnd w:id="221"/>
      <w:bookmarkStart w:id="222" w:name="_Toc184313259"/>
      <w:bookmarkEnd w:id="222"/>
      <w:bookmarkStart w:id="223" w:name="_Toc184313295"/>
      <w:bookmarkEnd w:id="223"/>
      <w:bookmarkStart w:id="224" w:name="_Toc184313254"/>
      <w:bookmarkEnd w:id="224"/>
      <w:bookmarkStart w:id="225" w:name="_Toc184310342"/>
      <w:bookmarkEnd w:id="225"/>
      <w:bookmarkStart w:id="226" w:name="_Toc184313268"/>
      <w:bookmarkEnd w:id="226"/>
      <w:bookmarkStart w:id="227" w:name="_Toc184313239"/>
      <w:bookmarkEnd w:id="227"/>
      <w:bookmarkStart w:id="228" w:name="_Toc184313288"/>
      <w:bookmarkEnd w:id="228"/>
      <w:bookmarkStart w:id="229" w:name="_Toc184313281"/>
      <w:bookmarkEnd w:id="229"/>
      <w:bookmarkStart w:id="230" w:name="_Toc184313248"/>
      <w:bookmarkEnd w:id="230"/>
      <w:bookmarkStart w:id="231" w:name="_Toc184312103"/>
      <w:bookmarkEnd w:id="231"/>
      <w:bookmarkStart w:id="232" w:name="_Toc184310335"/>
      <w:bookmarkEnd w:id="232"/>
      <w:bookmarkStart w:id="233" w:name="_Toc184313241"/>
      <w:bookmarkEnd w:id="233"/>
      <w:bookmarkStart w:id="234" w:name="_Toc184310296"/>
      <w:bookmarkEnd w:id="234"/>
      <w:bookmarkStart w:id="235" w:name="_Toc184308050"/>
      <w:bookmarkEnd w:id="235"/>
      <w:bookmarkStart w:id="236" w:name="_Toc184310318"/>
      <w:bookmarkEnd w:id="236"/>
      <w:bookmarkStart w:id="237" w:name="_Toc184308058"/>
      <w:bookmarkEnd w:id="237"/>
      <w:bookmarkStart w:id="238" w:name="_Toc184308087"/>
      <w:bookmarkEnd w:id="238"/>
      <w:bookmarkStart w:id="239" w:name="_Toc184308068"/>
      <w:bookmarkEnd w:id="239"/>
      <w:bookmarkStart w:id="240" w:name="_Toc184308041"/>
      <w:bookmarkEnd w:id="240"/>
      <w:bookmarkStart w:id="241" w:name="_Toc184312076"/>
      <w:bookmarkEnd w:id="241"/>
      <w:bookmarkStart w:id="242" w:name="_Toc184308051"/>
      <w:bookmarkEnd w:id="242"/>
      <w:bookmarkStart w:id="243" w:name="_Toc184313300"/>
      <w:bookmarkEnd w:id="243"/>
      <w:bookmarkStart w:id="244" w:name="_Toc184312073"/>
      <w:bookmarkEnd w:id="244"/>
      <w:bookmarkStart w:id="245" w:name="_Toc184314468"/>
      <w:bookmarkEnd w:id="245"/>
      <w:bookmarkStart w:id="246" w:name="_Toc184310297"/>
      <w:bookmarkEnd w:id="246"/>
      <w:bookmarkStart w:id="247" w:name="_Toc184312072"/>
      <w:bookmarkEnd w:id="247"/>
      <w:bookmarkStart w:id="248" w:name="_Toc184308077"/>
      <w:bookmarkEnd w:id="248"/>
      <w:bookmarkStart w:id="249" w:name="_Toc184313293"/>
      <w:bookmarkEnd w:id="249"/>
      <w:bookmarkStart w:id="250" w:name="_Toc184310306"/>
      <w:bookmarkEnd w:id="250"/>
      <w:bookmarkStart w:id="251" w:name="_Toc184314463"/>
      <w:bookmarkEnd w:id="251"/>
      <w:bookmarkStart w:id="252" w:name="_Toc184312088"/>
      <w:bookmarkEnd w:id="252"/>
      <w:bookmarkStart w:id="253" w:name="_Toc184313260"/>
      <w:bookmarkEnd w:id="253"/>
      <w:bookmarkStart w:id="254" w:name="_Toc184312096"/>
      <w:bookmarkEnd w:id="254"/>
      <w:bookmarkStart w:id="255" w:name="_Toc184312134"/>
      <w:bookmarkEnd w:id="255"/>
      <w:bookmarkStart w:id="256" w:name="_Toc184314420"/>
      <w:bookmarkEnd w:id="256"/>
      <w:bookmarkStart w:id="257" w:name="_Toc184313276"/>
      <w:bookmarkEnd w:id="257"/>
      <w:bookmarkStart w:id="258" w:name="_Toc184314469"/>
      <w:bookmarkEnd w:id="258"/>
      <w:bookmarkStart w:id="259" w:name="_Toc184312124"/>
      <w:bookmarkEnd w:id="259"/>
      <w:bookmarkStart w:id="260" w:name="_Toc184313277"/>
      <w:bookmarkEnd w:id="260"/>
      <w:bookmarkStart w:id="261" w:name="_Toc184310316"/>
      <w:bookmarkEnd w:id="261"/>
      <w:bookmarkStart w:id="262" w:name="_Toc184312123"/>
      <w:bookmarkEnd w:id="262"/>
      <w:bookmarkStart w:id="263" w:name="_Toc184308097"/>
      <w:bookmarkEnd w:id="263"/>
      <w:bookmarkStart w:id="264" w:name="_Toc184312094"/>
      <w:bookmarkEnd w:id="264"/>
      <w:bookmarkStart w:id="265" w:name="_Toc184308094"/>
      <w:bookmarkEnd w:id="265"/>
      <w:bookmarkStart w:id="266" w:name="_Toc184314423"/>
      <w:bookmarkEnd w:id="266"/>
      <w:bookmarkStart w:id="267" w:name="_Toc184310289"/>
      <w:bookmarkEnd w:id="267"/>
      <w:bookmarkStart w:id="268" w:name="_Toc184313294"/>
      <w:bookmarkEnd w:id="268"/>
      <w:bookmarkStart w:id="269" w:name="_Toc184313302"/>
      <w:bookmarkEnd w:id="269"/>
      <w:bookmarkStart w:id="270" w:name="_Toc184308038"/>
      <w:bookmarkEnd w:id="270"/>
      <w:bookmarkStart w:id="271" w:name="_Toc184308081"/>
      <w:bookmarkEnd w:id="271"/>
      <w:bookmarkStart w:id="272" w:name="_Toc184310310"/>
      <w:bookmarkEnd w:id="272"/>
      <w:bookmarkStart w:id="273" w:name="_Toc184308049"/>
      <w:bookmarkEnd w:id="273"/>
      <w:bookmarkStart w:id="274" w:name="_Toc184310290"/>
      <w:bookmarkEnd w:id="274"/>
      <w:bookmarkStart w:id="275" w:name="_Toc184314470"/>
      <w:bookmarkEnd w:id="275"/>
      <w:bookmarkStart w:id="276" w:name="_Toc184314451"/>
      <w:bookmarkEnd w:id="276"/>
      <w:bookmarkStart w:id="277" w:name="_Toc184314459"/>
      <w:bookmarkEnd w:id="277"/>
      <w:bookmarkStart w:id="278" w:name="_Toc184313258"/>
      <w:bookmarkEnd w:id="278"/>
      <w:bookmarkStart w:id="279" w:name="_Toc184310285"/>
      <w:bookmarkEnd w:id="279"/>
      <w:bookmarkStart w:id="280" w:name="_Toc184314479"/>
      <w:bookmarkEnd w:id="280"/>
      <w:bookmarkStart w:id="281" w:name="_Toc184310337"/>
      <w:bookmarkEnd w:id="281"/>
      <w:bookmarkStart w:id="282" w:name="_Toc184313291"/>
      <w:bookmarkEnd w:id="282"/>
      <w:bookmarkStart w:id="283" w:name="_Toc184308090"/>
      <w:bookmarkEnd w:id="283"/>
      <w:bookmarkStart w:id="284" w:name="_Toc184314450"/>
      <w:bookmarkEnd w:id="284"/>
      <w:bookmarkStart w:id="285" w:name="_Toc184312078"/>
      <w:bookmarkEnd w:id="285"/>
      <w:bookmarkStart w:id="286" w:name="_Toc184313249"/>
      <w:bookmarkEnd w:id="286"/>
      <w:bookmarkStart w:id="287" w:name="_Toc184310331"/>
      <w:bookmarkEnd w:id="287"/>
      <w:bookmarkStart w:id="288" w:name="_Toc184310307"/>
      <w:bookmarkEnd w:id="288"/>
      <w:bookmarkStart w:id="289" w:name="_Toc184314448"/>
      <w:bookmarkEnd w:id="289"/>
      <w:bookmarkStart w:id="290" w:name="_Toc184310322"/>
      <w:bookmarkEnd w:id="290"/>
      <w:bookmarkStart w:id="291" w:name="_Toc184313240"/>
      <w:bookmarkEnd w:id="291"/>
      <w:bookmarkStart w:id="292" w:name="_Toc184312087"/>
      <w:bookmarkEnd w:id="292"/>
      <w:bookmarkStart w:id="293" w:name="_Toc184313261"/>
      <w:bookmarkEnd w:id="293"/>
      <w:bookmarkStart w:id="294" w:name="_Toc184312105"/>
      <w:bookmarkEnd w:id="294"/>
      <w:bookmarkStart w:id="295" w:name="_Toc184308045"/>
      <w:bookmarkEnd w:id="295"/>
      <w:bookmarkStart w:id="296" w:name="_Toc184314434"/>
      <w:bookmarkEnd w:id="296"/>
      <w:bookmarkStart w:id="297" w:name="_Toc184313238"/>
      <w:bookmarkEnd w:id="297"/>
      <w:bookmarkStart w:id="298" w:name="_Toc184312067"/>
      <w:bookmarkEnd w:id="298"/>
      <w:bookmarkStart w:id="299" w:name="_Toc184314445"/>
      <w:bookmarkEnd w:id="299"/>
      <w:bookmarkStart w:id="300" w:name="_Toc184312071"/>
      <w:bookmarkEnd w:id="300"/>
      <w:bookmarkStart w:id="301" w:name="_Toc184313275"/>
      <w:bookmarkEnd w:id="301"/>
      <w:bookmarkStart w:id="302" w:name="_Toc184313242"/>
      <w:bookmarkEnd w:id="302"/>
      <w:bookmarkStart w:id="303" w:name="_Toc184312139"/>
      <w:bookmarkEnd w:id="303"/>
      <w:bookmarkStart w:id="304" w:name="_Toc184312122"/>
      <w:bookmarkEnd w:id="304"/>
      <w:bookmarkStart w:id="305" w:name="_Toc184310299"/>
      <w:bookmarkEnd w:id="305"/>
      <w:bookmarkStart w:id="306" w:name="_Toc184313267"/>
      <w:bookmarkEnd w:id="306"/>
      <w:bookmarkStart w:id="307" w:name="_Toc184310308"/>
      <w:bookmarkEnd w:id="307"/>
      <w:bookmarkStart w:id="308" w:name="_Toc184313278"/>
      <w:bookmarkEnd w:id="308"/>
      <w:bookmarkStart w:id="309" w:name="_Toc184308085"/>
      <w:bookmarkEnd w:id="309"/>
      <w:bookmarkStart w:id="310" w:name="_Toc184313290"/>
      <w:bookmarkEnd w:id="310"/>
      <w:bookmarkStart w:id="311" w:name="_Toc184312080"/>
      <w:bookmarkEnd w:id="311"/>
      <w:bookmarkStart w:id="312" w:name="_Toc184313251"/>
      <w:bookmarkEnd w:id="312"/>
      <w:bookmarkStart w:id="313" w:name="_Toc184313266"/>
      <w:bookmarkEnd w:id="313"/>
      <w:bookmarkStart w:id="314" w:name="_Toc184314474"/>
      <w:bookmarkEnd w:id="314"/>
      <w:bookmarkStart w:id="315" w:name="_Toc184314431"/>
      <w:bookmarkEnd w:id="315"/>
      <w:bookmarkStart w:id="316" w:name="_Toc184308060"/>
      <w:bookmarkEnd w:id="316"/>
      <w:bookmarkStart w:id="317" w:name="_Toc184313265"/>
      <w:bookmarkEnd w:id="317"/>
      <w:bookmarkStart w:id="318" w:name="_Toc184312137"/>
      <w:bookmarkEnd w:id="318"/>
      <w:bookmarkStart w:id="319" w:name="_Toc184308043"/>
      <w:bookmarkEnd w:id="319"/>
      <w:bookmarkStart w:id="320" w:name="_Toc184308039"/>
      <w:bookmarkEnd w:id="320"/>
      <w:bookmarkStart w:id="321" w:name="_Toc184312100"/>
      <w:bookmarkEnd w:id="321"/>
      <w:bookmarkStart w:id="322" w:name="_Toc184313285"/>
      <w:bookmarkEnd w:id="322"/>
      <w:bookmarkStart w:id="323" w:name="_Toc184312084"/>
      <w:bookmarkEnd w:id="323"/>
      <w:bookmarkStart w:id="324" w:name="_Toc184313301"/>
      <w:bookmarkEnd w:id="324"/>
      <w:bookmarkStart w:id="325" w:name="_Toc184312117"/>
      <w:bookmarkEnd w:id="325"/>
      <w:bookmarkStart w:id="326" w:name="_Toc184313244"/>
      <w:bookmarkEnd w:id="326"/>
      <w:bookmarkStart w:id="327" w:name="_Toc184313272"/>
      <w:bookmarkEnd w:id="327"/>
      <w:bookmarkStart w:id="328" w:name="_Toc184310336"/>
      <w:bookmarkEnd w:id="328"/>
      <w:bookmarkStart w:id="329" w:name="_Toc184313304"/>
      <w:bookmarkEnd w:id="329"/>
      <w:bookmarkStart w:id="330" w:name="_Toc184314458"/>
      <w:bookmarkEnd w:id="330"/>
      <w:bookmarkStart w:id="331" w:name="_Toc184313245"/>
      <w:bookmarkEnd w:id="331"/>
      <w:bookmarkStart w:id="332" w:name="_Toc184313270"/>
      <w:bookmarkEnd w:id="332"/>
      <w:bookmarkStart w:id="333" w:name="_Toc184310288"/>
      <w:bookmarkEnd w:id="333"/>
      <w:bookmarkStart w:id="334" w:name="_Toc184313306"/>
      <w:bookmarkEnd w:id="334"/>
      <w:bookmarkStart w:id="335" w:name="_Toc184310305"/>
      <w:bookmarkEnd w:id="335"/>
      <w:bookmarkStart w:id="336" w:name="_Toc184308070"/>
      <w:bookmarkEnd w:id="336"/>
      <w:bookmarkStart w:id="337" w:name="_Toc184308072"/>
      <w:bookmarkEnd w:id="337"/>
      <w:bookmarkStart w:id="338" w:name="_Toc184312135"/>
      <w:bookmarkEnd w:id="338"/>
      <w:bookmarkStart w:id="339" w:name="_Toc184310329"/>
      <w:bookmarkEnd w:id="339"/>
      <w:bookmarkStart w:id="340" w:name="_Toc184312102"/>
      <w:bookmarkEnd w:id="340"/>
      <w:bookmarkStart w:id="341" w:name="_Toc184312095"/>
      <w:bookmarkEnd w:id="341"/>
      <w:bookmarkStart w:id="342" w:name="_Toc184310330"/>
      <w:bookmarkEnd w:id="342"/>
      <w:bookmarkStart w:id="343" w:name="_Toc184308089"/>
      <w:bookmarkEnd w:id="343"/>
      <w:bookmarkStart w:id="344" w:name="_Toc184312108"/>
      <w:bookmarkEnd w:id="344"/>
      <w:bookmarkStart w:id="345" w:name="_Toc184313273"/>
      <w:bookmarkEnd w:id="345"/>
      <w:bookmarkStart w:id="346" w:name="_Toc184310273"/>
      <w:bookmarkEnd w:id="346"/>
      <w:bookmarkStart w:id="347" w:name="_Toc184308088"/>
      <w:bookmarkEnd w:id="347"/>
      <w:bookmarkStart w:id="348" w:name="_Toc184314437"/>
      <w:bookmarkEnd w:id="348"/>
      <w:bookmarkStart w:id="349" w:name="_Toc184310292"/>
      <w:bookmarkEnd w:id="349"/>
      <w:bookmarkStart w:id="350" w:name="_Toc184314472"/>
      <w:bookmarkEnd w:id="350"/>
      <w:bookmarkStart w:id="351" w:name="_Toc184313308"/>
      <w:bookmarkEnd w:id="351"/>
      <w:bookmarkStart w:id="352" w:name="_Toc184310301"/>
      <w:bookmarkEnd w:id="352"/>
      <w:bookmarkStart w:id="353" w:name="_Toc184312126"/>
      <w:bookmarkEnd w:id="353"/>
      <w:bookmarkStart w:id="354" w:name="_Toc184308083"/>
      <w:bookmarkEnd w:id="354"/>
      <w:bookmarkStart w:id="355" w:name="_Toc184310287"/>
      <w:bookmarkEnd w:id="355"/>
      <w:bookmarkStart w:id="356" w:name="_Toc184312074"/>
      <w:bookmarkEnd w:id="356"/>
      <w:bookmarkStart w:id="357" w:name="_Toc184308055"/>
      <w:bookmarkEnd w:id="357"/>
      <w:bookmarkStart w:id="358" w:name="_Toc184312120"/>
      <w:bookmarkEnd w:id="358"/>
      <w:bookmarkStart w:id="359" w:name="_Toc184310313"/>
      <w:bookmarkEnd w:id="359"/>
      <w:bookmarkStart w:id="360" w:name="_Toc184312114"/>
      <w:bookmarkEnd w:id="360"/>
      <w:bookmarkStart w:id="361" w:name="_Toc184313297"/>
      <w:bookmarkEnd w:id="361"/>
      <w:bookmarkStart w:id="362" w:name="_Toc184310332"/>
      <w:bookmarkEnd w:id="362"/>
      <w:bookmarkStart w:id="363" w:name="_Toc184313299"/>
      <w:bookmarkEnd w:id="363"/>
      <w:bookmarkStart w:id="364" w:name="_Toc184308084"/>
      <w:bookmarkEnd w:id="364"/>
      <w:bookmarkStart w:id="365" w:name="_Toc184312106"/>
      <w:bookmarkEnd w:id="365"/>
      <w:bookmarkStart w:id="366" w:name="_Toc184308059"/>
      <w:bookmarkEnd w:id="366"/>
      <w:bookmarkStart w:id="367" w:name="_Toc184314432"/>
      <w:bookmarkEnd w:id="367"/>
      <w:bookmarkStart w:id="368" w:name="_Toc184313246"/>
      <w:bookmarkEnd w:id="368"/>
      <w:bookmarkStart w:id="369" w:name="_Toc184313243"/>
      <w:bookmarkEnd w:id="369"/>
      <w:bookmarkStart w:id="370" w:name="_Toc184308100"/>
      <w:bookmarkEnd w:id="370"/>
      <w:bookmarkStart w:id="371" w:name="_Toc184312125"/>
      <w:bookmarkEnd w:id="371"/>
      <w:bookmarkStart w:id="372" w:name="_Toc184310321"/>
      <w:bookmarkEnd w:id="372"/>
      <w:bookmarkStart w:id="373" w:name="_Toc184308053"/>
      <w:bookmarkEnd w:id="373"/>
      <w:bookmarkStart w:id="374" w:name="_Toc184314465"/>
      <w:bookmarkEnd w:id="374"/>
      <w:bookmarkStart w:id="375" w:name="_Toc184312111"/>
      <w:bookmarkEnd w:id="375"/>
      <w:bookmarkStart w:id="376" w:name="_Toc184312130"/>
      <w:bookmarkEnd w:id="376"/>
      <w:bookmarkStart w:id="377" w:name="_Toc184312113"/>
      <w:bookmarkEnd w:id="377"/>
      <w:bookmarkStart w:id="378" w:name="_Toc184313253"/>
      <w:bookmarkEnd w:id="378"/>
      <w:bookmarkStart w:id="379" w:name="_Toc184310326"/>
      <w:bookmarkEnd w:id="379"/>
      <w:bookmarkStart w:id="380" w:name="_Toc184314428"/>
      <w:bookmarkEnd w:id="380"/>
      <w:bookmarkStart w:id="381" w:name="_Toc184314466"/>
      <w:bookmarkEnd w:id="381"/>
      <w:bookmarkStart w:id="382" w:name="_Toc184313298"/>
      <w:bookmarkEnd w:id="382"/>
      <w:bookmarkStart w:id="383" w:name="_Toc184314454"/>
      <w:bookmarkEnd w:id="383"/>
      <w:bookmarkStart w:id="384" w:name="_Toc184313252"/>
      <w:bookmarkEnd w:id="384"/>
      <w:bookmarkStart w:id="385" w:name="_Toc184312118"/>
      <w:bookmarkEnd w:id="385"/>
      <w:bookmarkStart w:id="386" w:name="_Toc184312133"/>
      <w:bookmarkEnd w:id="386"/>
      <w:bookmarkStart w:id="387" w:name="_Toc184310317"/>
      <w:bookmarkEnd w:id="387"/>
      <w:bookmarkStart w:id="388" w:name="_Toc184314415"/>
      <w:bookmarkEnd w:id="388"/>
      <w:bookmarkStart w:id="389" w:name="_Toc184310309"/>
      <w:bookmarkEnd w:id="389"/>
      <w:bookmarkStart w:id="390" w:name="_Toc184308102"/>
      <w:bookmarkEnd w:id="390"/>
      <w:bookmarkStart w:id="391" w:name="_Toc184310315"/>
      <w:bookmarkEnd w:id="391"/>
      <w:bookmarkStart w:id="392" w:name="_Toc184314416"/>
      <w:bookmarkEnd w:id="392"/>
      <w:r>
        <w:rPr>
          <w:rFonts w:hint="eastAsia" w:ascii="宋体" w:hAnsi="宋体" w:cs="宋体"/>
          <w:b/>
          <w:color w:val="auto"/>
          <w:sz w:val="36"/>
          <w:szCs w:val="36"/>
          <w:highlight w:val="none"/>
        </w:rPr>
        <w:t>评标办法</w:t>
      </w:r>
    </w:p>
    <w:p w14:paraId="05244336">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95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307"/>
        <w:gridCol w:w="4936"/>
        <w:gridCol w:w="576"/>
        <w:gridCol w:w="935"/>
        <w:gridCol w:w="1261"/>
      </w:tblGrid>
      <w:tr w14:paraId="34C83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5" w:type="dxa"/>
            <w:tcBorders>
              <w:tl2br w:val="nil"/>
              <w:tr2bl w:val="nil"/>
            </w:tcBorders>
            <w:vAlign w:val="center"/>
          </w:tcPr>
          <w:p w14:paraId="7F9494DC">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07" w:type="dxa"/>
            <w:tcBorders>
              <w:tl2br w:val="nil"/>
              <w:tr2bl w:val="nil"/>
            </w:tcBorders>
            <w:vAlign w:val="center"/>
          </w:tcPr>
          <w:p w14:paraId="45675DF1">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评分内容</w:t>
            </w:r>
          </w:p>
        </w:tc>
        <w:tc>
          <w:tcPr>
            <w:tcW w:w="4936" w:type="dxa"/>
            <w:tcBorders>
              <w:tl2br w:val="nil"/>
              <w:tr2bl w:val="nil"/>
            </w:tcBorders>
            <w:vAlign w:val="center"/>
          </w:tcPr>
          <w:p w14:paraId="398A30EA">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576" w:type="dxa"/>
            <w:tcBorders>
              <w:tl2br w:val="nil"/>
              <w:tr2bl w:val="nil"/>
            </w:tcBorders>
            <w:vAlign w:val="center"/>
          </w:tcPr>
          <w:p w14:paraId="189544A3">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权值</w:t>
            </w:r>
          </w:p>
        </w:tc>
        <w:tc>
          <w:tcPr>
            <w:tcW w:w="935" w:type="dxa"/>
            <w:tcBorders>
              <w:tl2br w:val="nil"/>
              <w:tr2bl w:val="nil"/>
            </w:tcBorders>
            <w:vAlign w:val="center"/>
          </w:tcPr>
          <w:p w14:paraId="0B0F8A25">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61" w:type="dxa"/>
            <w:tcBorders>
              <w:tl2br w:val="nil"/>
              <w:tr2bl w:val="nil"/>
            </w:tcBorders>
            <w:vAlign w:val="center"/>
          </w:tcPr>
          <w:p w14:paraId="4233C082">
            <w:pPr>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4B72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restart"/>
            <w:tcBorders>
              <w:tl2br w:val="nil"/>
              <w:tr2bl w:val="nil"/>
            </w:tcBorders>
            <w:vAlign w:val="center"/>
          </w:tcPr>
          <w:p w14:paraId="1EA9ACDF">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07" w:type="dxa"/>
            <w:vMerge w:val="restart"/>
            <w:tcBorders>
              <w:tl2br w:val="nil"/>
              <w:tr2bl w:val="nil"/>
            </w:tcBorders>
            <w:vAlign w:val="center"/>
          </w:tcPr>
          <w:p w14:paraId="7BA2824D">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14:paraId="62ACF29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（48分）</w:t>
            </w:r>
          </w:p>
        </w:tc>
        <w:tc>
          <w:tcPr>
            <w:tcW w:w="4936" w:type="dxa"/>
            <w:tcBorders>
              <w:tl2br w:val="nil"/>
              <w:tr2bl w:val="nil"/>
            </w:tcBorders>
            <w:vAlign w:val="center"/>
          </w:tcPr>
          <w:p w14:paraId="69C55CEE">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根据投标人项目总体思路是否明确、有针对性、科学性、可操作性等方面综合评分：</w:t>
            </w:r>
          </w:p>
          <w:p w14:paraId="46B1CD54">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项目总体思路明确、有针对性、科学性、可操作性的得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8分；项目总体思路较明确、较有针对性、较有科学性、较有可操作性的得5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分；项目总体思路模糊、缺乏针对性、缺乏科学性、缺乏可操作性的得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分。</w:t>
            </w:r>
          </w:p>
        </w:tc>
        <w:tc>
          <w:tcPr>
            <w:tcW w:w="576" w:type="dxa"/>
            <w:tcBorders>
              <w:tl2br w:val="nil"/>
              <w:tr2bl w:val="nil"/>
            </w:tcBorders>
            <w:vAlign w:val="center"/>
          </w:tcPr>
          <w:p w14:paraId="3B0D3DBF">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0087492A">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731F9329">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07E59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vAlign w:val="center"/>
          </w:tcPr>
          <w:p w14:paraId="6FB08FF5">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40CF1462">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0CBC7119">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根据投标人主要工作内容是否明确、有针对性，技术方法的科学性、可操作性等方面综合评分：</w:t>
            </w:r>
          </w:p>
          <w:p w14:paraId="15FBA565">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工作内容明确、有针对性，技术方法的科学性、可操作性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8分；工作内容较明确、</w:t>
            </w:r>
            <w:r>
              <w:rPr>
                <w:rFonts w:hint="eastAsia" w:ascii="宋体" w:hAnsi="宋体" w:eastAsia="宋体" w:cs="宋体"/>
                <w:color w:val="auto"/>
                <w:sz w:val="21"/>
                <w:szCs w:val="21"/>
                <w:highlight w:val="none"/>
                <w:lang w:val="en-US" w:eastAsia="zh-CN"/>
              </w:rPr>
              <w:t>比</w:t>
            </w:r>
            <w:r>
              <w:rPr>
                <w:rFonts w:hint="eastAsia" w:ascii="宋体" w:hAnsi="宋体" w:eastAsia="宋体" w:cs="宋体"/>
                <w:color w:val="auto"/>
                <w:sz w:val="21"/>
                <w:szCs w:val="21"/>
                <w:highlight w:val="none"/>
                <w:lang w:eastAsia="zh-CN"/>
              </w:rPr>
              <w:t>较有针对性，</w:t>
            </w:r>
            <w:r>
              <w:rPr>
                <w:rFonts w:hint="eastAsia" w:ascii="宋体" w:hAnsi="宋体" w:eastAsia="宋体" w:cs="宋体"/>
                <w:color w:val="auto"/>
                <w:sz w:val="21"/>
                <w:szCs w:val="21"/>
                <w:highlight w:val="none"/>
                <w:lang w:val="en-US" w:eastAsia="zh-CN"/>
              </w:rPr>
              <w:t>比</w:t>
            </w:r>
            <w:r>
              <w:rPr>
                <w:rFonts w:hint="eastAsia" w:ascii="宋体" w:hAnsi="宋体" w:eastAsia="宋体" w:cs="宋体"/>
                <w:color w:val="auto"/>
                <w:sz w:val="21"/>
                <w:szCs w:val="21"/>
                <w:highlight w:val="none"/>
                <w:lang w:eastAsia="zh-CN"/>
              </w:rPr>
              <w:t>较技术方法的科学性、</w:t>
            </w:r>
            <w:r>
              <w:rPr>
                <w:rFonts w:hint="eastAsia" w:ascii="宋体" w:hAnsi="宋体" w:eastAsia="宋体" w:cs="宋体"/>
                <w:color w:val="auto"/>
                <w:sz w:val="21"/>
                <w:szCs w:val="21"/>
                <w:highlight w:val="none"/>
                <w:lang w:val="en-US" w:eastAsia="zh-CN"/>
              </w:rPr>
              <w:t>比</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eastAsia="zh-CN"/>
              </w:rPr>
              <w:t>可操作性的得5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分；工作内容模糊、缺乏针对性，缺乏技术方法的科学性、缺乏可操作性的得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分。</w:t>
            </w:r>
          </w:p>
        </w:tc>
        <w:tc>
          <w:tcPr>
            <w:tcW w:w="576" w:type="dxa"/>
            <w:tcBorders>
              <w:tl2br w:val="nil"/>
              <w:tr2bl w:val="nil"/>
            </w:tcBorders>
            <w:vAlign w:val="center"/>
          </w:tcPr>
          <w:p w14:paraId="14474394">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094DCAE6">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6AE02F8A">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269E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vAlign w:val="center"/>
          </w:tcPr>
          <w:p w14:paraId="1EA28AB6">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688AB891">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38688A38">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根据投标人项目工作方案内容是否齐全、结构完整，表述准确、条理清晰程度综合评分。</w:t>
            </w:r>
          </w:p>
          <w:p w14:paraId="4E72958A">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工作方案内容齐全、结构完整，表述准确、条理清晰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8分；工作方案内容</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齐全、结构</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完整，表述</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准确、条理</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清晰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分；工作方案内容</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齐全、结构</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完整，表述</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准确、条理</w:t>
            </w:r>
            <w:r>
              <w:rPr>
                <w:rFonts w:hint="eastAsia" w:ascii="宋体" w:hAnsi="宋体" w:eastAsia="宋体" w:cs="宋体"/>
                <w:color w:val="auto"/>
                <w:sz w:val="21"/>
                <w:szCs w:val="21"/>
                <w:highlight w:val="none"/>
                <w:lang w:val="en-US" w:eastAsia="zh-CN"/>
              </w:rPr>
              <w:t>模糊</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分。</w:t>
            </w:r>
          </w:p>
        </w:tc>
        <w:tc>
          <w:tcPr>
            <w:tcW w:w="576" w:type="dxa"/>
            <w:tcBorders>
              <w:tl2br w:val="nil"/>
              <w:tr2bl w:val="nil"/>
            </w:tcBorders>
            <w:vAlign w:val="center"/>
          </w:tcPr>
          <w:p w14:paraId="3F448EC4">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06FD1AD3">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308F3782">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54C4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vAlign w:val="center"/>
          </w:tcPr>
          <w:p w14:paraId="424AF8D8">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712FB41C">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65A60113">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根据投标人对本项目的重点、难点分析</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p>
          <w:p w14:paraId="6BFD04BD">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准确性（</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p>
          <w:p w14:paraId="277D928C">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全面性（</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p>
          <w:p w14:paraId="3DB65546">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科学性（</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p>
          <w:p w14:paraId="7CD93379">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解决措施（</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p>
        </w:tc>
        <w:tc>
          <w:tcPr>
            <w:tcW w:w="576" w:type="dxa"/>
            <w:tcBorders>
              <w:tl2br w:val="nil"/>
              <w:tr2bl w:val="nil"/>
            </w:tcBorders>
            <w:vAlign w:val="center"/>
          </w:tcPr>
          <w:p w14:paraId="3B9A187C">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2CBA130B">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3E54DBC7">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315D5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Merge w:val="continue"/>
            <w:tcBorders>
              <w:tl2br w:val="nil"/>
              <w:tr2bl w:val="nil"/>
            </w:tcBorders>
            <w:vAlign w:val="center"/>
          </w:tcPr>
          <w:p w14:paraId="311F4487">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5115C336">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24A64A61">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根据投标人项目保证措施的科学合理性、严密性情况综合评分：</w:t>
            </w:r>
          </w:p>
          <w:p w14:paraId="1B31A9D0">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项目保证措施的科学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、严密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8分；项目保证措施的</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科学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eastAsia="zh-CN"/>
              </w:rPr>
              <w:t>严密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分；项目保证措施的</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科学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严密的得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tc>
        <w:tc>
          <w:tcPr>
            <w:tcW w:w="576" w:type="dxa"/>
            <w:tcBorders>
              <w:tl2br w:val="nil"/>
              <w:tr2bl w:val="nil"/>
            </w:tcBorders>
            <w:vAlign w:val="center"/>
          </w:tcPr>
          <w:p w14:paraId="2E60D4B8">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2AC3F077">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7C96BDE6">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3A0E0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vAlign w:val="center"/>
          </w:tcPr>
          <w:p w14:paraId="43B4CB1C">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2A95DA0D">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411718E9">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根据投标人提供的内部质量控制体系的说明和证明，是否具有针对性、可行性、实操性等情况综合评分：</w:t>
            </w:r>
          </w:p>
          <w:p w14:paraId="4EF1E62F">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投标人提供的内部质量控制体系具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eastAsia="zh-CN"/>
              </w:rPr>
              <w:t>针对性、可行性、实操性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8分；投标人提供的内部质量控制体系</w:t>
            </w:r>
            <w:r>
              <w:rPr>
                <w:rFonts w:hint="eastAsia" w:ascii="宋体" w:hAnsi="宋体" w:eastAsia="宋体" w:cs="宋体"/>
                <w:color w:val="auto"/>
                <w:sz w:val="21"/>
                <w:szCs w:val="21"/>
                <w:highlight w:val="none"/>
                <w:lang w:val="en-US" w:eastAsia="zh-CN"/>
              </w:rPr>
              <w:t>比较有</w:t>
            </w:r>
            <w:r>
              <w:rPr>
                <w:rFonts w:hint="eastAsia" w:ascii="宋体" w:hAnsi="宋体" w:eastAsia="宋体" w:cs="宋体"/>
                <w:color w:val="auto"/>
                <w:sz w:val="21"/>
                <w:szCs w:val="21"/>
                <w:highlight w:val="none"/>
                <w:lang w:eastAsia="zh-CN"/>
              </w:rPr>
              <w:t>针对性、</w:t>
            </w:r>
            <w:r>
              <w:rPr>
                <w:rFonts w:hint="eastAsia" w:ascii="宋体" w:hAnsi="宋体" w:eastAsia="宋体" w:cs="宋体"/>
                <w:color w:val="auto"/>
                <w:sz w:val="21"/>
                <w:szCs w:val="21"/>
                <w:highlight w:val="none"/>
                <w:lang w:val="en-US" w:eastAsia="zh-CN"/>
              </w:rPr>
              <w:t>比较有</w:t>
            </w:r>
            <w:r>
              <w:rPr>
                <w:rFonts w:hint="eastAsia" w:ascii="宋体" w:hAnsi="宋体" w:eastAsia="宋体" w:cs="宋体"/>
                <w:color w:val="auto"/>
                <w:sz w:val="21"/>
                <w:szCs w:val="21"/>
                <w:highlight w:val="none"/>
                <w:lang w:eastAsia="zh-CN"/>
              </w:rPr>
              <w:t>可行性、</w:t>
            </w:r>
            <w:r>
              <w:rPr>
                <w:rFonts w:hint="eastAsia" w:ascii="宋体" w:hAnsi="宋体" w:eastAsia="宋体" w:cs="宋体"/>
                <w:color w:val="auto"/>
                <w:sz w:val="21"/>
                <w:szCs w:val="21"/>
                <w:highlight w:val="none"/>
                <w:lang w:val="en-US" w:eastAsia="zh-CN"/>
              </w:rPr>
              <w:t>比较有</w:t>
            </w:r>
            <w:r>
              <w:rPr>
                <w:rFonts w:hint="eastAsia" w:ascii="宋体" w:hAnsi="宋体" w:eastAsia="宋体" w:cs="宋体"/>
                <w:color w:val="auto"/>
                <w:sz w:val="21"/>
                <w:szCs w:val="21"/>
                <w:highlight w:val="none"/>
                <w:lang w:eastAsia="zh-CN"/>
              </w:rPr>
              <w:t>实操性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分；投标人提供的内部质量控制体系</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eastAsia="zh-CN"/>
              </w:rPr>
              <w:t>针对性、</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eastAsia="zh-CN"/>
              </w:rPr>
              <w:t>可行性、</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eastAsia="zh-CN"/>
              </w:rPr>
              <w:t>实操性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分。</w:t>
            </w:r>
          </w:p>
        </w:tc>
        <w:tc>
          <w:tcPr>
            <w:tcW w:w="576" w:type="dxa"/>
            <w:tcBorders>
              <w:tl2br w:val="nil"/>
              <w:tr2bl w:val="nil"/>
            </w:tcBorders>
            <w:vAlign w:val="center"/>
          </w:tcPr>
          <w:p w14:paraId="7A530230">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35" w:type="dxa"/>
            <w:tcBorders>
              <w:tl2br w:val="nil"/>
              <w:tr2bl w:val="nil"/>
            </w:tcBorders>
            <w:vAlign w:val="center"/>
          </w:tcPr>
          <w:p w14:paraId="1839E946">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5F4F6D59">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16ABC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698B5C4A">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07" w:type="dxa"/>
            <w:tcBorders>
              <w:tl2br w:val="nil"/>
              <w:tr2bl w:val="nil"/>
            </w:tcBorders>
            <w:vAlign w:val="center"/>
          </w:tcPr>
          <w:p w14:paraId="612EEB85">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p w14:paraId="5B0D5D6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（5分）</w:t>
            </w:r>
          </w:p>
        </w:tc>
        <w:tc>
          <w:tcPr>
            <w:tcW w:w="4936" w:type="dxa"/>
            <w:tcBorders>
              <w:tl2br w:val="nil"/>
              <w:tr2bl w:val="nil"/>
            </w:tcBorders>
            <w:vAlign w:val="center"/>
          </w:tcPr>
          <w:p w14:paraId="0CC0B09A">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项目负责人具有安全工程、油气储运工程、石油化工、化学工程与工艺、电气工程、港口工程、机械等</w:t>
            </w:r>
            <w:r>
              <w:rPr>
                <w:rFonts w:hint="eastAsia" w:ascii="宋体" w:hAnsi="宋体" w:eastAsia="宋体" w:cs="宋体"/>
                <w:color w:val="auto"/>
                <w:sz w:val="21"/>
                <w:szCs w:val="21"/>
                <w:highlight w:val="none"/>
                <w:lang w:val="en-US" w:eastAsia="zh-CN"/>
              </w:rPr>
              <w:t>任一</w:t>
            </w:r>
            <w:r>
              <w:rPr>
                <w:rFonts w:hint="eastAsia" w:ascii="宋体" w:hAnsi="宋体" w:eastAsia="宋体" w:cs="宋体"/>
                <w:color w:val="auto"/>
                <w:sz w:val="21"/>
                <w:szCs w:val="21"/>
                <w:highlight w:val="none"/>
              </w:rPr>
              <w:t>港口安全相关专业领域高级职称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（包括高级工程师或同级别职称），得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69D013C">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rPr>
              <w:t>职称证书扫描件</w:t>
            </w:r>
            <w:r>
              <w:rPr>
                <w:rFonts w:hint="eastAsia" w:ascii="宋体" w:hAnsi="宋体" w:eastAsia="宋体" w:cs="宋体"/>
                <w:color w:val="auto"/>
                <w:sz w:val="21"/>
                <w:szCs w:val="21"/>
                <w:highlight w:val="none"/>
                <w:lang w:eastAsia="zh-CN"/>
              </w:rPr>
              <w:t>。</w:t>
            </w:r>
          </w:p>
          <w:p w14:paraId="30F9A421">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项目负责人执业资格为一级安全评价师，得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4853D80">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rPr>
              <w:t>安全评价师职业资格证书扫描件</w:t>
            </w:r>
            <w:r>
              <w:rPr>
                <w:rFonts w:hint="eastAsia" w:ascii="宋体" w:hAnsi="宋体" w:eastAsia="宋体" w:cs="宋体"/>
                <w:color w:val="auto"/>
                <w:sz w:val="21"/>
                <w:szCs w:val="21"/>
                <w:highlight w:val="none"/>
                <w:lang w:eastAsia="zh-CN"/>
              </w:rPr>
              <w:t>。</w:t>
            </w:r>
          </w:p>
          <w:p w14:paraId="47025D0C">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月1日以来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项目负责人主持过</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有一个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最高得1分</w:t>
            </w:r>
            <w:r>
              <w:rPr>
                <w:rFonts w:hint="eastAsia" w:ascii="宋体" w:hAnsi="宋体" w:eastAsia="宋体" w:cs="宋体"/>
                <w:color w:val="auto"/>
                <w:sz w:val="21"/>
                <w:szCs w:val="21"/>
                <w:highlight w:val="none"/>
              </w:rPr>
              <w:t>。</w:t>
            </w:r>
          </w:p>
          <w:p w14:paraId="54D962D6">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rPr>
              <w:t>能体现项目负责人姓名证明材料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时间以合同签订时间为准</w:t>
            </w:r>
            <w:r>
              <w:rPr>
                <w:rFonts w:hint="eastAsia" w:ascii="宋体" w:hAnsi="宋体" w:eastAsia="宋体" w:cs="宋体"/>
                <w:color w:val="auto"/>
                <w:sz w:val="21"/>
                <w:szCs w:val="21"/>
                <w:highlight w:val="none"/>
                <w:lang w:eastAsia="zh-CN"/>
              </w:rPr>
              <w:t>。</w:t>
            </w:r>
          </w:p>
          <w:p w14:paraId="3A8A4BD5">
            <w:pPr>
              <w:widowControl/>
              <w:snapToGrid w:val="0"/>
              <w:spacing w:line="340" w:lineRule="exact"/>
              <w:textAlignment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u w:val="single"/>
                <w:lang w:val="en-US" w:eastAsia="zh-CN"/>
              </w:rPr>
              <w:t>注：投标人应提供自招标公告发布之日起投标人参保地社保机构出具的项目负责人社会保险参保证明文件（投标人参保地社保机构出具并盖章的社会保险参保证明或经由社保系统自助打印的带有电子章的社会保险参保证明）。未按要求提供社会保险参保证明文件的，上述(1)、(2)、(3)项均不得分。</w:t>
            </w:r>
          </w:p>
        </w:tc>
        <w:tc>
          <w:tcPr>
            <w:tcW w:w="576" w:type="dxa"/>
            <w:tcBorders>
              <w:tl2br w:val="nil"/>
              <w:tr2bl w:val="nil"/>
            </w:tcBorders>
            <w:vAlign w:val="center"/>
          </w:tcPr>
          <w:p w14:paraId="35AB684D">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35" w:type="dxa"/>
            <w:tcBorders>
              <w:tl2br w:val="nil"/>
              <w:tr2bl w:val="nil"/>
            </w:tcBorders>
            <w:vAlign w:val="center"/>
          </w:tcPr>
          <w:p w14:paraId="440968CF">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261" w:type="dxa"/>
            <w:tcBorders>
              <w:tl2br w:val="nil"/>
              <w:tr2bl w:val="nil"/>
            </w:tcBorders>
            <w:vAlign w:val="center"/>
          </w:tcPr>
          <w:p w14:paraId="7980037B">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4A25D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6195C052">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07" w:type="dxa"/>
            <w:tcBorders>
              <w:tl2br w:val="nil"/>
              <w:tr2bl w:val="nil"/>
            </w:tcBorders>
            <w:vAlign w:val="center"/>
          </w:tcPr>
          <w:p w14:paraId="207F7B2C">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团队</w:t>
            </w:r>
          </w:p>
          <w:p w14:paraId="65A08B9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（项目负责人除外）</w:t>
            </w:r>
          </w:p>
          <w:p w14:paraId="0C889EB3">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（16分）</w:t>
            </w:r>
          </w:p>
        </w:tc>
        <w:tc>
          <w:tcPr>
            <w:tcW w:w="4936" w:type="dxa"/>
            <w:tcBorders>
              <w:tl2br w:val="nil"/>
              <w:tr2bl w:val="nil"/>
            </w:tcBorders>
            <w:vAlign w:val="center"/>
          </w:tcPr>
          <w:p w14:paraId="045849ED">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中具有安全工程、油气储运工程、石油化工、化学工程与工艺、电气工程、港口工程、机械等</w:t>
            </w:r>
            <w:r>
              <w:rPr>
                <w:rFonts w:hint="eastAsia" w:ascii="宋体" w:hAnsi="宋体" w:eastAsia="宋体" w:cs="宋体"/>
                <w:color w:val="auto"/>
                <w:sz w:val="21"/>
                <w:szCs w:val="21"/>
                <w:highlight w:val="none"/>
                <w:lang w:val="en-US" w:eastAsia="zh-CN"/>
              </w:rPr>
              <w:t>任一</w:t>
            </w:r>
            <w:r>
              <w:rPr>
                <w:rFonts w:hint="eastAsia" w:ascii="宋体" w:hAnsi="宋体" w:eastAsia="宋体" w:cs="宋体"/>
                <w:color w:val="auto"/>
                <w:sz w:val="21"/>
                <w:szCs w:val="21"/>
                <w:highlight w:val="none"/>
              </w:rPr>
              <w:t>港口安全相关专业</w:t>
            </w: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级职称的，每</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一人得1分</w:t>
            </w:r>
            <w:r>
              <w:rPr>
                <w:rFonts w:hint="eastAsia" w:ascii="宋体" w:hAnsi="宋体" w:eastAsia="宋体" w:cs="宋体"/>
                <w:color w:val="auto"/>
                <w:sz w:val="21"/>
                <w:szCs w:val="21"/>
                <w:highlight w:val="none"/>
                <w:lang w:eastAsia="zh-CN"/>
              </w:rPr>
              <w:t>，有中级职称的，每有一人得</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476437">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rPr>
              <w:t>职称证书扫描件。</w:t>
            </w:r>
          </w:p>
          <w:p w14:paraId="72A8F8A9">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中具有安全评价</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级以上职业资格并且取得注册安全工程师执业资格的，每人得1分，最高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0C4BBC2">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需附证明材料：</w:t>
            </w:r>
            <w:r>
              <w:rPr>
                <w:rFonts w:hint="eastAsia" w:ascii="宋体" w:hAnsi="宋体" w:eastAsia="宋体" w:cs="宋体"/>
                <w:color w:val="auto"/>
                <w:sz w:val="21"/>
                <w:szCs w:val="21"/>
                <w:highlight w:val="none"/>
              </w:rPr>
              <w:t>安全评价师职业资格证书</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安全工程师执业资格注册证书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扫描件</w:t>
            </w:r>
            <w:r>
              <w:rPr>
                <w:rFonts w:hint="eastAsia" w:ascii="宋体" w:hAnsi="宋体" w:eastAsia="宋体" w:cs="宋体"/>
                <w:color w:val="auto"/>
                <w:sz w:val="21"/>
                <w:szCs w:val="21"/>
                <w:highlight w:val="none"/>
                <w:lang w:eastAsia="zh-CN"/>
              </w:rPr>
              <w:t>。</w:t>
            </w:r>
          </w:p>
          <w:p w14:paraId="28A103CB">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对的</w:t>
            </w:r>
            <w:r>
              <w:rPr>
                <w:rFonts w:hint="eastAsia" w:ascii="宋体" w:hAnsi="宋体" w:eastAsia="宋体" w:cs="宋体"/>
                <w:color w:val="auto"/>
                <w:sz w:val="21"/>
                <w:szCs w:val="21"/>
                <w:highlight w:val="none"/>
              </w:rPr>
              <w:t>的其他优势</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项目需求内容相关的从业年限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得奖情况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9971251">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val="en-US" w:eastAsia="zh-CN"/>
              </w:rPr>
              <w:t>注：投标人应提供自招标公告发布之日起投标人参保地社保机构出具的项目团队成员社会保险参保证明文件（投标人参保地社保机构出具并盖章的社会保险参保证明或经由社保系统自助打印的带有电子章的社会保险参保证明）。未按要求提供社会保险参保证明文件的，上述(1)、(2)、(3)项均不得分。</w:t>
            </w:r>
          </w:p>
        </w:tc>
        <w:tc>
          <w:tcPr>
            <w:tcW w:w="576" w:type="dxa"/>
            <w:tcBorders>
              <w:tl2br w:val="nil"/>
              <w:tr2bl w:val="nil"/>
            </w:tcBorders>
            <w:vAlign w:val="center"/>
          </w:tcPr>
          <w:p w14:paraId="5A446131">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35" w:type="dxa"/>
            <w:tcBorders>
              <w:tl2br w:val="nil"/>
              <w:tr2bl w:val="nil"/>
            </w:tcBorders>
            <w:vAlign w:val="center"/>
          </w:tcPr>
          <w:p w14:paraId="4DC8DDF2">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261" w:type="dxa"/>
            <w:tcBorders>
              <w:tl2br w:val="nil"/>
              <w:tr2bl w:val="nil"/>
            </w:tcBorders>
            <w:vAlign w:val="center"/>
          </w:tcPr>
          <w:p w14:paraId="29B0221F">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28260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restart"/>
            <w:tcBorders>
              <w:tl2br w:val="nil"/>
              <w:tr2bl w:val="nil"/>
            </w:tcBorders>
            <w:vAlign w:val="center"/>
          </w:tcPr>
          <w:p w14:paraId="5A70DA3A">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07" w:type="dxa"/>
            <w:vMerge w:val="restart"/>
            <w:tcBorders>
              <w:tl2br w:val="nil"/>
              <w:tr2bl w:val="nil"/>
            </w:tcBorders>
            <w:vAlign w:val="center"/>
          </w:tcPr>
          <w:p w14:paraId="54C5CA34">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p>
          <w:p w14:paraId="718C9279">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936" w:type="dxa"/>
            <w:tcBorders>
              <w:tl2br w:val="nil"/>
              <w:tr2bl w:val="nil"/>
            </w:tcBorders>
            <w:vAlign w:val="center"/>
          </w:tcPr>
          <w:p w14:paraId="2952A09C">
            <w:pPr>
              <w:widowControl/>
              <w:snapToGrid w:val="0"/>
              <w:spacing w:line="340" w:lineRule="exac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投标人承诺能够根据采购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的需要，于项目服务地常驻人员3名以上（包括3名），</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2小时内到现场提供技术服务</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，得6分</w:t>
            </w:r>
            <w:r>
              <w:rPr>
                <w:rFonts w:hint="eastAsia" w:ascii="宋体" w:hAnsi="宋体" w:eastAsia="宋体" w:cs="宋体"/>
                <w:color w:val="auto"/>
                <w:sz w:val="21"/>
                <w:szCs w:val="21"/>
                <w:highlight w:val="none"/>
                <w:lang w:eastAsia="zh-CN"/>
              </w:rPr>
              <w:t>。</w:t>
            </w:r>
          </w:p>
          <w:p w14:paraId="0C34787D">
            <w:pPr>
              <w:widowControl/>
              <w:snapToGrid w:val="0"/>
              <w:spacing w:line="3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需附证明材料：承诺书加盖投标人单位公章。</w:t>
            </w:r>
          </w:p>
        </w:tc>
        <w:tc>
          <w:tcPr>
            <w:tcW w:w="576" w:type="dxa"/>
            <w:tcBorders>
              <w:tl2br w:val="nil"/>
              <w:tr2bl w:val="nil"/>
            </w:tcBorders>
            <w:vAlign w:val="center"/>
          </w:tcPr>
          <w:p w14:paraId="1DD4245A">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5" w:type="dxa"/>
            <w:tcBorders>
              <w:tl2br w:val="nil"/>
              <w:tr2bl w:val="nil"/>
            </w:tcBorders>
            <w:vAlign w:val="center"/>
          </w:tcPr>
          <w:p w14:paraId="196E42EC">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w:t>
            </w:r>
            <w:r>
              <w:rPr>
                <w:rFonts w:hint="eastAsia" w:ascii="宋体" w:hAnsi="宋体" w:eastAsia="宋体" w:cs="宋体"/>
                <w:color w:val="auto"/>
                <w:sz w:val="21"/>
                <w:szCs w:val="21"/>
                <w:highlight w:val="none"/>
                <w:lang w:val="en-US" w:eastAsia="zh-CN"/>
              </w:rPr>
              <w:t>分</w:t>
            </w:r>
          </w:p>
        </w:tc>
        <w:tc>
          <w:tcPr>
            <w:tcW w:w="1261" w:type="dxa"/>
            <w:tcBorders>
              <w:tl2br w:val="nil"/>
              <w:tr2bl w:val="nil"/>
            </w:tcBorders>
            <w:vAlign w:val="center"/>
          </w:tcPr>
          <w:p w14:paraId="1B5B4534">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01E3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vAlign w:val="center"/>
          </w:tcPr>
          <w:p w14:paraId="2402E8E9">
            <w:pPr>
              <w:snapToGrid w:val="0"/>
              <w:jc w:val="center"/>
              <w:rPr>
                <w:rFonts w:hint="eastAsia" w:ascii="宋体" w:hAnsi="宋体" w:eastAsia="宋体" w:cs="宋体"/>
                <w:color w:val="auto"/>
                <w:sz w:val="21"/>
                <w:szCs w:val="21"/>
                <w:highlight w:val="none"/>
              </w:rPr>
            </w:pPr>
          </w:p>
        </w:tc>
        <w:tc>
          <w:tcPr>
            <w:tcW w:w="1307" w:type="dxa"/>
            <w:vMerge w:val="continue"/>
            <w:tcBorders>
              <w:tl2br w:val="nil"/>
              <w:tr2bl w:val="nil"/>
            </w:tcBorders>
            <w:vAlign w:val="center"/>
          </w:tcPr>
          <w:p w14:paraId="15713C7B">
            <w:pPr>
              <w:snapToGrid w:val="0"/>
              <w:jc w:val="center"/>
              <w:rPr>
                <w:rFonts w:hint="eastAsia" w:ascii="宋体" w:hAnsi="宋体" w:eastAsia="宋体" w:cs="宋体"/>
                <w:color w:val="auto"/>
                <w:sz w:val="21"/>
                <w:szCs w:val="21"/>
                <w:highlight w:val="none"/>
              </w:rPr>
            </w:pPr>
          </w:p>
        </w:tc>
        <w:tc>
          <w:tcPr>
            <w:tcW w:w="4936" w:type="dxa"/>
            <w:tcBorders>
              <w:tl2br w:val="nil"/>
              <w:tr2bl w:val="nil"/>
            </w:tcBorders>
            <w:vAlign w:val="center"/>
          </w:tcPr>
          <w:p w14:paraId="2E137541">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质量保证</w:t>
            </w:r>
            <w:r>
              <w:rPr>
                <w:rFonts w:hint="eastAsia" w:ascii="宋体" w:hAnsi="宋体" w:eastAsia="宋体" w:cs="宋体"/>
                <w:color w:val="auto"/>
                <w:sz w:val="21"/>
                <w:szCs w:val="21"/>
                <w:highlight w:val="none"/>
              </w:rPr>
              <w:t>方案、服务承诺</w:t>
            </w:r>
            <w:r>
              <w:rPr>
                <w:rFonts w:hint="eastAsia" w:ascii="宋体" w:hAnsi="宋体" w:eastAsia="宋体" w:cs="宋体"/>
                <w:color w:val="auto"/>
                <w:sz w:val="21"/>
                <w:szCs w:val="21"/>
                <w:highlight w:val="none"/>
                <w:lang w:val="en-US" w:eastAsia="zh-CN"/>
              </w:rPr>
              <w:t>进行评分：(1)</w:t>
            </w:r>
            <w:r>
              <w:rPr>
                <w:rFonts w:hint="eastAsia" w:ascii="宋体" w:hAnsi="宋体" w:eastAsia="宋体" w:cs="宋体"/>
                <w:color w:val="auto"/>
                <w:sz w:val="21"/>
                <w:szCs w:val="21"/>
                <w:highlight w:val="none"/>
              </w:rPr>
              <w:t>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完整性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服务承诺落实的保障措施（0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76" w:type="dxa"/>
            <w:tcBorders>
              <w:tl2br w:val="nil"/>
              <w:tr2bl w:val="nil"/>
            </w:tcBorders>
            <w:vAlign w:val="center"/>
          </w:tcPr>
          <w:p w14:paraId="705851C4">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35" w:type="dxa"/>
            <w:tcBorders>
              <w:tl2br w:val="nil"/>
              <w:tr2bl w:val="nil"/>
            </w:tcBorders>
            <w:vAlign w:val="center"/>
          </w:tcPr>
          <w:p w14:paraId="3D2C1DCC">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4EAD6F41">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676C4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7D939B0B">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07" w:type="dxa"/>
            <w:tcBorders>
              <w:tl2br w:val="nil"/>
              <w:tr2bl w:val="nil"/>
            </w:tcBorders>
            <w:vAlign w:val="center"/>
          </w:tcPr>
          <w:p w14:paraId="111A0A7D">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p w14:paraId="4419632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（3分）</w:t>
            </w:r>
          </w:p>
        </w:tc>
        <w:tc>
          <w:tcPr>
            <w:tcW w:w="4936" w:type="dxa"/>
            <w:tcBorders>
              <w:tl2br w:val="nil"/>
              <w:tr2bl w:val="nil"/>
            </w:tcBorders>
            <w:vAlign w:val="center"/>
          </w:tcPr>
          <w:p w14:paraId="0A554854">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根据对本项目建设需求深入了解，针对项目推进和实施中可能会出现的问题和存在的困难，进行客观仔细地分析，并结合自身专业、经验等实际情况，提出合理化建议以及解决对策，</w:t>
            </w:r>
            <w:r>
              <w:rPr>
                <w:rFonts w:hint="eastAsia" w:ascii="宋体" w:hAnsi="宋体" w:eastAsia="宋体" w:cs="宋体"/>
                <w:color w:val="auto"/>
                <w:sz w:val="21"/>
                <w:szCs w:val="21"/>
                <w:highlight w:val="none"/>
                <w:lang w:val="en-US" w:eastAsia="zh-CN"/>
              </w:rPr>
              <w:t>由评标委员会一致认定有效可行的，每一条得1分，最多得3分。</w:t>
            </w:r>
          </w:p>
        </w:tc>
        <w:tc>
          <w:tcPr>
            <w:tcW w:w="576" w:type="dxa"/>
            <w:tcBorders>
              <w:tl2br w:val="nil"/>
              <w:tr2bl w:val="nil"/>
            </w:tcBorders>
            <w:vAlign w:val="center"/>
          </w:tcPr>
          <w:p w14:paraId="0E2A3ECF">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35" w:type="dxa"/>
            <w:tcBorders>
              <w:tl2br w:val="nil"/>
              <w:tr2bl w:val="nil"/>
            </w:tcBorders>
            <w:vAlign w:val="center"/>
          </w:tcPr>
          <w:p w14:paraId="49B24261">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261" w:type="dxa"/>
            <w:tcBorders>
              <w:tl2br w:val="nil"/>
              <w:tr2bl w:val="nil"/>
            </w:tcBorders>
            <w:vAlign w:val="center"/>
          </w:tcPr>
          <w:p w14:paraId="3D6F0924">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56DD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44E697F2">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07" w:type="dxa"/>
            <w:tcBorders>
              <w:tl2br w:val="nil"/>
              <w:tr2bl w:val="nil"/>
            </w:tcBorders>
            <w:vAlign w:val="center"/>
          </w:tcPr>
          <w:p w14:paraId="2F2A0DC5">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认证证书</w:t>
            </w:r>
          </w:p>
          <w:p w14:paraId="22D01C4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（5分）</w:t>
            </w:r>
          </w:p>
        </w:tc>
        <w:tc>
          <w:tcPr>
            <w:tcW w:w="4936" w:type="dxa"/>
            <w:tcBorders>
              <w:tl2br w:val="nil"/>
              <w:tr2bl w:val="nil"/>
            </w:tcBorders>
            <w:vAlign w:val="center"/>
          </w:tcPr>
          <w:p w14:paraId="49DEF863">
            <w:pPr>
              <w:widowControl/>
              <w:snapToGrid w:val="0"/>
              <w:spacing w:line="340" w:lineRule="exact"/>
              <w:textAlignment w:val="center"/>
              <w:rPr>
                <w:rFonts w:hint="eastAsia" w:ascii="宋体" w:hAnsi="宋体" w:eastAsia="宋体" w:cs="宋体"/>
                <w:color w:val="auto"/>
                <w:sz w:val="21"/>
                <w:szCs w:val="21"/>
                <w:highlight w:val="none"/>
                <w:lang w:val="en-US" w:eastAsia="zh-CN"/>
              </w:rPr>
            </w:pPr>
            <w:bookmarkStart w:id="525" w:name="_GoBack"/>
            <w:r>
              <w:rPr>
                <w:rFonts w:hint="eastAsia" w:ascii="宋体" w:hAnsi="宋体" w:eastAsia="宋体" w:cs="宋体"/>
                <w:color w:val="auto"/>
                <w:sz w:val="21"/>
                <w:szCs w:val="21"/>
                <w:highlight w:val="none"/>
                <w:lang w:val="en-US" w:eastAsia="zh-CN"/>
              </w:rPr>
              <w:t>投标人具备有效期内的ISO9001质量管理体系认证证书的，得5分。</w:t>
            </w:r>
          </w:p>
          <w:p w14:paraId="07CB2E8C">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需附证明材料：有效期内的认证证书原件的扫描件（或复印件）并加盖投标人单位公章。 </w:t>
            </w:r>
            <w:bookmarkEnd w:id="525"/>
          </w:p>
        </w:tc>
        <w:tc>
          <w:tcPr>
            <w:tcW w:w="576" w:type="dxa"/>
            <w:tcBorders>
              <w:tl2br w:val="nil"/>
              <w:tr2bl w:val="nil"/>
            </w:tcBorders>
            <w:vAlign w:val="center"/>
          </w:tcPr>
          <w:p w14:paraId="2B3A97B1">
            <w:pPr>
              <w:widowControl/>
              <w:snapToGrid w:val="0"/>
              <w:spacing w:line="3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35" w:type="dxa"/>
            <w:tcBorders>
              <w:tl2br w:val="nil"/>
              <w:tr2bl w:val="nil"/>
            </w:tcBorders>
            <w:vAlign w:val="center"/>
          </w:tcPr>
          <w:p w14:paraId="5317F74D">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261" w:type="dxa"/>
            <w:tcBorders>
              <w:tl2br w:val="nil"/>
              <w:tr2bl w:val="nil"/>
            </w:tcBorders>
            <w:vAlign w:val="center"/>
          </w:tcPr>
          <w:p w14:paraId="11523B36">
            <w:pPr>
              <w:widowControl/>
              <w:snapToGrid w:val="0"/>
              <w:spacing w:line="340" w:lineRule="exact"/>
              <w:jc w:val="center"/>
              <w:textAlignment w:val="center"/>
              <w:rPr>
                <w:rFonts w:hint="eastAsia" w:ascii="宋体" w:hAnsi="宋体" w:eastAsia="宋体" w:cs="宋体"/>
                <w:color w:val="auto"/>
                <w:sz w:val="21"/>
                <w:szCs w:val="21"/>
                <w:highlight w:val="none"/>
              </w:rPr>
            </w:pPr>
          </w:p>
        </w:tc>
      </w:tr>
      <w:tr w14:paraId="5CD5F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vAlign w:val="center"/>
          </w:tcPr>
          <w:p w14:paraId="4B73CA34">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307" w:type="dxa"/>
            <w:tcBorders>
              <w:tl2br w:val="nil"/>
              <w:tr2bl w:val="nil"/>
            </w:tcBorders>
            <w:vAlign w:val="center"/>
          </w:tcPr>
          <w:p w14:paraId="7A7375F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p w14:paraId="569DF92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936" w:type="dxa"/>
            <w:tcBorders>
              <w:tl2br w:val="nil"/>
              <w:tr2bl w:val="nil"/>
            </w:tcBorders>
            <w:vAlign w:val="center"/>
          </w:tcPr>
          <w:p w14:paraId="14CBFB9A">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64C5D7C6">
            <w:pPr>
              <w:widowControl/>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576" w:type="dxa"/>
            <w:tcBorders>
              <w:tl2br w:val="nil"/>
              <w:tr2bl w:val="nil"/>
            </w:tcBorders>
            <w:vAlign w:val="center"/>
          </w:tcPr>
          <w:p w14:paraId="43820B2A">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35" w:type="dxa"/>
            <w:tcBorders>
              <w:tl2br w:val="nil"/>
              <w:tr2bl w:val="nil"/>
            </w:tcBorders>
            <w:vAlign w:val="center"/>
          </w:tcPr>
          <w:p w14:paraId="7689CA7C">
            <w:pPr>
              <w:widowControl/>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1" w:type="dxa"/>
            <w:tcBorders>
              <w:tl2br w:val="nil"/>
              <w:tr2bl w:val="nil"/>
            </w:tcBorders>
            <w:vAlign w:val="center"/>
          </w:tcPr>
          <w:p w14:paraId="40594690">
            <w:pPr>
              <w:widowControl/>
              <w:snapToGrid w:val="0"/>
              <w:spacing w:line="340" w:lineRule="exact"/>
              <w:jc w:val="center"/>
              <w:textAlignment w:val="center"/>
              <w:rPr>
                <w:rFonts w:hint="eastAsia" w:ascii="宋体" w:hAnsi="宋体" w:eastAsia="宋体" w:cs="宋体"/>
                <w:color w:val="auto"/>
                <w:sz w:val="21"/>
                <w:szCs w:val="21"/>
                <w:highlight w:val="none"/>
              </w:rPr>
            </w:pPr>
          </w:p>
        </w:tc>
      </w:tr>
    </w:tbl>
    <w:p w14:paraId="2FEDCFB1">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备注：上述内容缺项不得分，投标人编制投标文件（商务技术文件部分）时，建议按此目录（序号和内容）提供评标标准相应的商务技术资料。 </w:t>
      </w:r>
    </w:p>
    <w:p w14:paraId="1425B112">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一、评标方法</w:t>
      </w:r>
    </w:p>
    <w:p w14:paraId="087F451E">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75AAEE02">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二、评标标准</w:t>
      </w:r>
    </w:p>
    <w:p w14:paraId="1DDEA1DA">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587931D3">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三、评标程序</w:t>
      </w:r>
    </w:p>
    <w:p w14:paraId="12233548">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 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128F9039">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20B00379">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 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6F15AB8">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 报价评审。</w:t>
      </w:r>
    </w:p>
    <w:p w14:paraId="35ACECF4">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 投标文件报价出现前后不一致的，按照下列规定修正：</w:t>
      </w:r>
    </w:p>
    <w:p w14:paraId="1330417C">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 投标文件中开标一览表(报价表)内容与投标文件中相应内容不一致的，以开标一览表(报价表)为准；</w:t>
      </w:r>
    </w:p>
    <w:p w14:paraId="4A5C9E5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 大写金额和小写金额不一致的，以大写金额为准；</w:t>
      </w:r>
    </w:p>
    <w:p w14:paraId="1CCA401B">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 单价金额小数点或者百分比有明显错位的，以开标一览表的总价为准，并修改单价；</w:t>
      </w:r>
    </w:p>
    <w:p w14:paraId="511366B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 总价金额与按单价汇总金额不一致的，以单价金额计算结果为准。</w:t>
      </w:r>
    </w:p>
    <w:p w14:paraId="32A9A4FB">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 同时出现两种以上不一致的，按照3.4.1规定的顺序修正。修正后的报价按照财政部第87号</w:t>
      </w:r>
    </w:p>
    <w:p w14:paraId="6F7350B7">
      <w:pPr>
        <w:pStyle w:val="135"/>
        <w:wordWrap w:val="0"/>
        <w:topLinePunct/>
        <w:spacing w:before="0"/>
        <w:ind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令《政府采购货物和服务招标投标管理办法》第五十一条第二款的规定经投标人确认后产生约束力。</w:t>
      </w:r>
    </w:p>
    <w:p w14:paraId="74FA6B05">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 投标文件出现不是唯一的、有选择性投标报价的，投标无效。</w:t>
      </w:r>
    </w:p>
    <w:p w14:paraId="65ED1586">
      <w:pPr>
        <w:pStyle w:val="135"/>
        <w:wordWrap w:val="0"/>
        <w:topLinePunct/>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 投标报价超过招标文件中规定的预算金额或者最高限价的，投标无效。</w:t>
      </w:r>
    </w:p>
    <w:p w14:paraId="7EE6773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9F280C">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E8D6099">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 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13669B">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EBE82E">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7369CC">
      <w:pPr>
        <w:snapToGrid w:val="0"/>
        <w:spacing w:before="319" w:beforeLines="100" w:after="319" w:afterLines="100"/>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0004C3BC">
      <w:pPr>
        <w:pStyle w:val="135"/>
        <w:spacing w:before="0"/>
        <w:ind w:firstLine="42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 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5C6613">
      <w:pPr>
        <w:pStyle w:val="19"/>
        <w:spacing w:line="360" w:lineRule="auto"/>
        <w:ind w:firstLine="422"/>
        <w:rPr>
          <w:rFonts w:cs="宋体"/>
          <w:color w:val="auto"/>
          <w:sz w:val="21"/>
          <w:szCs w:val="21"/>
          <w:highlight w:val="none"/>
        </w:rPr>
      </w:pPr>
      <w:r>
        <w:rPr>
          <w:rFonts w:hint="eastAsia" w:cs="宋体"/>
          <w:b/>
          <w:color w:val="auto"/>
          <w:kern w:val="0"/>
          <w:sz w:val="21"/>
          <w:szCs w:val="21"/>
          <w:highlight w:val="none"/>
        </w:rPr>
        <w:t>4.2 投标无效。</w:t>
      </w:r>
      <w:r>
        <w:rPr>
          <w:rFonts w:hint="eastAsia" w:cs="宋体"/>
          <w:color w:val="auto"/>
          <w:sz w:val="21"/>
          <w:szCs w:val="21"/>
          <w:highlight w:val="none"/>
        </w:rPr>
        <w:t>有下列情况之一的，投标无效：</w:t>
      </w:r>
    </w:p>
    <w:p w14:paraId="317784B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 投标人不具备招标文件中规定的资格要求的（投标人未提供有效的资格文件的，视为投标人不具备招标文件中规定的资格要求）；</w:t>
      </w:r>
    </w:p>
    <w:p w14:paraId="2A68740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 投标文件未按照招标文件要求签署、盖章的；</w:t>
      </w:r>
    </w:p>
    <w:p w14:paraId="43C00B1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62AB53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 投标文件含有采购人不能接受的附加条件的；</w:t>
      </w:r>
    </w:p>
    <w:p w14:paraId="642972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 投标文件中承诺的投标有效期少于招标文件中载明的投标有效期的；</w:t>
      </w:r>
    </w:p>
    <w:p w14:paraId="4A84356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 投标文件出现不是唯一的、有选择性投标报价的；</w:t>
      </w:r>
    </w:p>
    <w:p w14:paraId="3DA7D1C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 投标报价超过招标文件中规定的预算金额或者最高限价的；</w:t>
      </w:r>
    </w:p>
    <w:p w14:paraId="01301C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00784A4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 投标人对根据修正原则修正后的报价不确认的；</w:t>
      </w:r>
    </w:p>
    <w:p w14:paraId="48D2BA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 投标人提供虚假材料投标的；</w:t>
      </w:r>
    </w:p>
    <w:p w14:paraId="41DB9AA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 投标人有恶意串通、妨碍其他投标人的竞争行为、损害采购人或者其他投标人的合法权益情形的；</w:t>
      </w:r>
    </w:p>
    <w:p w14:paraId="6D94E77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 投标人仅提交备份投标文件，未在电子交易平台传输递交投标文件的，投标无效；</w:t>
      </w:r>
    </w:p>
    <w:p w14:paraId="647D4DC6">
      <w:pPr>
        <w:keepNext/>
        <w:keepLines/>
        <w:tabs>
          <w:tab w:val="left" w:pos="432"/>
        </w:tabs>
        <w:adjustRightInd/>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 投标文件不满足招标文件的其它实质性要求的；</w:t>
      </w:r>
    </w:p>
    <w:p w14:paraId="1D99DB38">
      <w:pPr>
        <w:wordWrap w:val="0"/>
        <w:topLinePunct/>
        <w:spacing w:line="360" w:lineRule="auto"/>
        <w:ind w:left="210" w:leftChars="100"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4.2.14 法律、法规、规章（适用本市的）及省级以上规范性文件（适用本市的）规定的其他无效情形。</w:t>
      </w:r>
    </w:p>
    <w:p w14:paraId="0C0EAE43">
      <w:pPr>
        <w:wordWrap w:val="0"/>
        <w:topLinePunct/>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kern w:val="0"/>
          <w:szCs w:val="21"/>
          <w:highlight w:val="none"/>
        </w:rPr>
        <w:t>5.废标。根据《中华人民共和国政府采购法》第三十六条之规定，在采购中，出现下列情形之一的，应予废标：</w:t>
      </w:r>
    </w:p>
    <w:p w14:paraId="7F4E16C6">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5.1 符合专业条件的供应商或者对招标文件作实质响应的供应商不足3家的；</w:t>
      </w:r>
    </w:p>
    <w:p w14:paraId="01120E2B">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5.2 出现影响采购公正的违法、违规行为的；</w:t>
      </w:r>
    </w:p>
    <w:p w14:paraId="1FFF9607">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5.3 投标人的报价均超过了采购预算，采购人不能支付的；</w:t>
      </w:r>
    </w:p>
    <w:p w14:paraId="772927C0">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5.4 因重大变故，采购任务取消的。</w:t>
      </w:r>
    </w:p>
    <w:p w14:paraId="0CCF2178">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5813E71C">
      <w:pPr>
        <w:pStyle w:val="19"/>
        <w:snapToGrid w:val="0"/>
        <w:spacing w:line="360" w:lineRule="auto"/>
        <w:ind w:firstLine="42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141AEE">
      <w:pPr>
        <w:pStyle w:val="19"/>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365E5532">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05CAFF81">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6EBA0176">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5EB81C8C">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70C89417">
      <w:pPr>
        <w:pStyle w:val="19"/>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879300A">
      <w:pPr>
        <w:pStyle w:val="18"/>
        <w:rPr>
          <w:rFonts w:hAnsi="宋体" w:cs="宋体"/>
          <w:color w:val="auto"/>
          <w:highlight w:val="none"/>
        </w:rPr>
      </w:pPr>
    </w:p>
    <w:p w14:paraId="030F2875">
      <w:pPr>
        <w:pStyle w:val="19"/>
        <w:snapToGrid w:val="0"/>
        <w:spacing w:line="360" w:lineRule="auto"/>
        <w:ind w:firstLine="0" w:firstLineChars="0"/>
        <w:rPr>
          <w:rFonts w:cs="宋体"/>
          <w:color w:val="auto"/>
          <w:highlight w:val="none"/>
        </w:rPr>
      </w:pPr>
    </w:p>
    <w:bookmarkEnd w:id="26"/>
    <w:p w14:paraId="778F74C3">
      <w:pPr>
        <w:spacing w:before="319" w:beforeLines="100" w:after="319" w:afterLines="100"/>
        <w:jc w:val="center"/>
        <w:outlineLvl w:val="0"/>
        <w:rPr>
          <w:rFonts w:ascii="宋体" w:hAnsi="宋体" w:cs="宋体"/>
          <w:b/>
          <w:color w:val="auto"/>
          <w:sz w:val="36"/>
          <w:szCs w:val="36"/>
          <w:highlight w:val="none"/>
        </w:rPr>
      </w:pPr>
      <w:bookmarkStart w:id="393" w:name="_Toc86217003"/>
      <w:bookmarkStart w:id="394" w:name="第五部分"/>
    </w:p>
    <w:p w14:paraId="2060807C">
      <w:pPr>
        <w:spacing w:before="319" w:beforeLines="100" w:after="319" w:afterLines="100"/>
        <w:jc w:val="center"/>
        <w:outlineLvl w:val="0"/>
        <w:rPr>
          <w:rFonts w:ascii="宋体" w:hAnsi="宋体" w:cs="宋体"/>
          <w:b/>
          <w:color w:val="auto"/>
          <w:sz w:val="36"/>
          <w:szCs w:val="36"/>
          <w:highlight w:val="none"/>
        </w:rPr>
      </w:pPr>
    </w:p>
    <w:p w14:paraId="35F9B03B">
      <w:pPr>
        <w:spacing w:before="319" w:beforeLines="100" w:after="319" w:afterLines="100"/>
        <w:jc w:val="center"/>
        <w:outlineLvl w:val="0"/>
        <w:rPr>
          <w:rFonts w:ascii="宋体" w:hAnsi="宋体" w:cs="宋体"/>
          <w:b/>
          <w:color w:val="auto"/>
          <w:sz w:val="36"/>
          <w:szCs w:val="36"/>
          <w:highlight w:val="none"/>
        </w:rPr>
      </w:pPr>
    </w:p>
    <w:p w14:paraId="34EF84BF">
      <w:pPr>
        <w:spacing w:before="319" w:beforeLines="100" w:after="319" w:afterLines="1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383FC9A">
      <w:pPr>
        <w:spacing w:before="319" w:beforeLines="100" w:after="319" w:afterLines="100"/>
        <w:jc w:val="left"/>
        <w:rPr>
          <w:rFonts w:ascii="宋体" w:hAnsi="宋体" w:cs="宋体"/>
          <w:color w:val="auto"/>
          <w:sz w:val="32"/>
          <w:szCs w:val="32"/>
          <w:highlight w:val="none"/>
        </w:rPr>
      </w:pPr>
      <w:r>
        <w:rPr>
          <w:rFonts w:hint="eastAsia" w:ascii="宋体" w:hAnsi="宋体" w:cs="宋体"/>
          <w:color w:val="auto"/>
          <w:sz w:val="32"/>
          <w:szCs w:val="32"/>
          <w:highlight w:val="none"/>
        </w:rPr>
        <w:t>合同编号：</w:t>
      </w:r>
    </w:p>
    <w:p w14:paraId="52B9B8B5">
      <w:pPr>
        <w:spacing w:line="360" w:lineRule="auto"/>
        <w:rPr>
          <w:rFonts w:ascii="宋体" w:hAnsi="宋体" w:cs="宋体"/>
          <w:color w:val="auto"/>
          <w:sz w:val="28"/>
          <w:highlight w:val="none"/>
        </w:rPr>
      </w:pPr>
    </w:p>
    <w:p w14:paraId="711D4683">
      <w:pPr>
        <w:spacing w:line="360" w:lineRule="auto"/>
        <w:rPr>
          <w:rFonts w:ascii="宋体" w:hAnsi="宋体" w:cs="宋体"/>
          <w:color w:val="auto"/>
          <w:sz w:val="28"/>
          <w:highlight w:val="none"/>
        </w:rPr>
      </w:pPr>
    </w:p>
    <w:p w14:paraId="68CF6C7A">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14:paraId="563D9C05">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2C24E21C">
      <w:pPr>
        <w:spacing w:line="360" w:lineRule="auto"/>
        <w:rPr>
          <w:rFonts w:ascii="宋体" w:hAnsi="宋体" w:cs="宋体"/>
          <w:color w:val="auto"/>
          <w:sz w:val="28"/>
          <w:highlight w:val="none"/>
        </w:rPr>
      </w:pPr>
    </w:p>
    <w:p w14:paraId="6B8ABD7B">
      <w:pPr>
        <w:pStyle w:val="50"/>
        <w:spacing w:before="20" w:after="20"/>
        <w:rPr>
          <w:rFonts w:ascii="宋体" w:hAnsi="宋体" w:eastAsia="宋体" w:cs="宋体"/>
          <w:color w:val="auto"/>
          <w:sz w:val="32"/>
          <w:highlight w:val="none"/>
        </w:rPr>
      </w:pPr>
      <w:bookmarkStart w:id="395" w:name="_Toc97118735"/>
      <w:bookmarkStart w:id="396" w:name="_Toc117259210"/>
      <w:bookmarkStart w:id="397" w:name="_Toc132308033"/>
      <w:bookmarkStart w:id="398" w:name="_Toc97118341"/>
      <w:bookmarkStart w:id="399" w:name="_Toc104208269"/>
      <w:r>
        <w:rPr>
          <w:rFonts w:hint="eastAsia" w:ascii="宋体" w:hAnsi="宋体" w:eastAsia="宋体" w:cs="宋体"/>
          <w:color w:val="auto"/>
          <w:sz w:val="32"/>
          <w:highlight w:val="none"/>
        </w:rPr>
        <w:t>第一部分 合同书</w:t>
      </w:r>
      <w:bookmarkEnd w:id="395"/>
      <w:bookmarkEnd w:id="396"/>
      <w:bookmarkEnd w:id="397"/>
      <w:bookmarkEnd w:id="398"/>
      <w:bookmarkEnd w:id="399"/>
    </w:p>
    <w:p w14:paraId="11E94DDE">
      <w:pPr>
        <w:spacing w:line="360" w:lineRule="auto"/>
        <w:rPr>
          <w:rFonts w:ascii="宋体" w:hAnsi="宋体" w:cs="宋体"/>
          <w:color w:val="auto"/>
          <w:sz w:val="28"/>
          <w:highlight w:val="none"/>
        </w:rPr>
      </w:pPr>
    </w:p>
    <w:p w14:paraId="216B5DB4">
      <w:pPr>
        <w:spacing w:line="360" w:lineRule="auto"/>
        <w:rPr>
          <w:rFonts w:ascii="宋体" w:hAnsi="宋体" w:cs="宋体"/>
          <w:color w:val="auto"/>
          <w:sz w:val="28"/>
          <w:highlight w:val="none"/>
        </w:rPr>
      </w:pPr>
    </w:p>
    <w:tbl>
      <w:tblPr>
        <w:tblStyle w:val="66"/>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6D6E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2B2509B7">
            <w:pPr>
              <w:rPr>
                <w:rFonts w:ascii="宋体" w:hAnsi="宋体" w:cs="宋体"/>
                <w:color w:val="auto"/>
                <w:sz w:val="28"/>
                <w:highlight w:val="none"/>
              </w:rPr>
            </w:pPr>
            <w:r>
              <w:rPr>
                <w:rFonts w:hint="eastAsia" w:ascii="宋体" w:hAnsi="宋体" w:cs="宋体"/>
                <w:color w:val="auto"/>
                <w:sz w:val="28"/>
                <w:highlight w:val="none"/>
              </w:rPr>
              <w:t>项目名称：</w:t>
            </w:r>
            <w:r>
              <w:rPr>
                <w:rFonts w:hint="eastAsia" w:ascii="宋体" w:hAnsi="宋体" w:cs="宋体"/>
                <w:color w:val="auto"/>
                <w:sz w:val="28"/>
                <w:highlight w:val="none"/>
                <w:lang w:val="en-US" w:eastAsia="zh-CN"/>
              </w:rPr>
              <w:t>2025年嘉兴港日常安全管理服务项目</w:t>
            </w:r>
          </w:p>
        </w:tc>
      </w:tr>
      <w:tr w14:paraId="4797B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F8BA62D">
            <w:pPr>
              <w:rPr>
                <w:rFonts w:ascii="宋体" w:hAnsi="宋体" w:cs="宋体"/>
                <w:color w:val="auto"/>
                <w:sz w:val="28"/>
                <w:highlight w:val="none"/>
              </w:rPr>
            </w:pPr>
            <w:r>
              <w:rPr>
                <w:rFonts w:hint="eastAsia" w:ascii="宋体" w:hAnsi="宋体" w:cs="宋体"/>
                <w:color w:val="auto"/>
                <w:sz w:val="28"/>
                <w:highlight w:val="none"/>
              </w:rPr>
              <w:t>甲    方：嘉兴市港航管理服务中心</w:t>
            </w:r>
          </w:p>
        </w:tc>
      </w:tr>
      <w:tr w14:paraId="0B366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419CE5B1">
            <w:pPr>
              <w:rPr>
                <w:rFonts w:ascii="宋体" w:hAnsi="宋体" w:cs="宋体"/>
                <w:color w:val="auto"/>
                <w:sz w:val="28"/>
                <w:highlight w:val="none"/>
              </w:rPr>
            </w:pPr>
            <w:r>
              <w:rPr>
                <w:rFonts w:hint="eastAsia" w:ascii="宋体" w:hAnsi="宋体" w:cs="宋体"/>
                <w:color w:val="auto"/>
                <w:sz w:val="28"/>
                <w:highlight w:val="none"/>
              </w:rPr>
              <w:t>乙    方</w:t>
            </w:r>
            <w:r>
              <w:rPr>
                <w:rFonts w:hint="eastAsia" w:ascii="宋体" w:hAnsi="宋体" w:cs="宋体"/>
                <w:i w:val="0"/>
                <w:iCs w:val="0"/>
                <w:color w:val="auto"/>
                <w:sz w:val="28"/>
                <w:highlight w:val="none"/>
              </w:rPr>
              <w:t>：</w:t>
            </w:r>
            <w:r>
              <w:rPr>
                <w:rFonts w:hint="eastAsia" w:ascii="宋体" w:hAnsi="宋体" w:cs="宋体"/>
                <w:i w:val="0"/>
                <w:iCs w:val="0"/>
                <w:color w:val="auto"/>
                <w:sz w:val="28"/>
                <w:highlight w:val="none"/>
                <w:u w:val="single"/>
              </w:rPr>
              <w:t>（中标人名称）</w:t>
            </w:r>
          </w:p>
        </w:tc>
      </w:tr>
      <w:tr w14:paraId="234DD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9B3D0D6">
            <w:pPr>
              <w:rPr>
                <w:rFonts w:ascii="宋体" w:hAnsi="宋体" w:cs="宋体"/>
                <w:color w:val="auto"/>
                <w:sz w:val="28"/>
                <w:highlight w:val="none"/>
                <w:u w:val="single"/>
              </w:rPr>
            </w:pPr>
            <w:r>
              <w:rPr>
                <w:rFonts w:hint="eastAsia" w:ascii="宋体" w:hAnsi="宋体" w:cs="宋体"/>
                <w:color w:val="auto"/>
                <w:sz w:val="28"/>
                <w:highlight w:val="none"/>
              </w:rPr>
              <w:t>签 订 地：</w:t>
            </w:r>
          </w:p>
        </w:tc>
      </w:tr>
      <w:tr w14:paraId="7255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02D669E2">
            <w:pPr>
              <w:jc w:val="center"/>
              <w:rPr>
                <w:rFonts w:ascii="宋体" w:hAnsi="宋体" w:cs="宋体"/>
                <w:color w:val="auto"/>
                <w:sz w:val="28"/>
                <w:highlight w:val="none"/>
              </w:rPr>
            </w:pPr>
            <w:r>
              <w:rPr>
                <w:rFonts w:hint="eastAsia" w:ascii="宋体" w:hAnsi="宋体" w:cs="宋体"/>
                <w:color w:val="auto"/>
                <w:sz w:val="28"/>
                <w:highlight w:val="none"/>
              </w:rPr>
              <w:t>签订日期：   年  月  日</w:t>
            </w:r>
          </w:p>
        </w:tc>
      </w:tr>
    </w:tbl>
    <w:p w14:paraId="741080AE">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br w:type="page"/>
      </w:r>
      <w:bookmarkStart w:id="400" w:name="_Toc10340"/>
      <w:bookmarkStart w:id="401" w:name="_Toc22618"/>
      <w:bookmarkStart w:id="402" w:name="_Toc1814"/>
      <w:r>
        <w:rPr>
          <w:rFonts w:hint="eastAsia" w:ascii="宋体" w:hAnsi="宋体" w:cs="宋体"/>
          <w:color w:val="auto"/>
          <w:highlight w:val="none"/>
          <w:u w:val="singl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（政府采购方式）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（相关评定主体名称）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（中标或者成交供应商名称） </w:t>
      </w:r>
      <w:r>
        <w:rPr>
          <w:rFonts w:hint="eastAsia" w:ascii="宋体" w:hAnsi="宋体" w:cs="宋体"/>
          <w:color w:val="auto"/>
          <w:szCs w:val="21"/>
          <w:highlight w:val="none"/>
        </w:rPr>
        <w:t>为该项目中标或者成交供应商。现于中标或者成交通知书发出之日起10个工作日内，按照采购文件确定的事项签订本合同。</w:t>
      </w:r>
    </w:p>
    <w:p w14:paraId="13F4C73E">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（中或者成交标供应商名称）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032BABB">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03" w:name="_Toc20421"/>
      <w:bookmarkStart w:id="404" w:name="_Toc19273"/>
      <w:bookmarkStart w:id="405" w:name="_Toc22967"/>
      <w:bookmarkStart w:id="406" w:name="_Toc15367"/>
      <w:bookmarkStart w:id="407" w:name="_Toc28855"/>
      <w:r>
        <w:rPr>
          <w:rFonts w:hint="eastAsia" w:ascii="宋体" w:hAnsi="宋体" w:cs="宋体"/>
          <w:color w:val="auto"/>
          <w:sz w:val="21"/>
          <w:szCs w:val="21"/>
          <w:highlight w:val="none"/>
        </w:rPr>
        <w:t>1.1 合同组成部分</w:t>
      </w:r>
      <w:bookmarkEnd w:id="403"/>
      <w:bookmarkEnd w:id="404"/>
      <w:bookmarkEnd w:id="405"/>
      <w:bookmarkEnd w:id="406"/>
      <w:bookmarkEnd w:id="407"/>
    </w:p>
    <w:p w14:paraId="56EFDC2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2450A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1.1.1本合同及其补充合同、变更协议；</w:t>
      </w:r>
    </w:p>
    <w:p w14:paraId="45ADEAD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1.1.2中标或者成交通知书；</w:t>
      </w:r>
    </w:p>
    <w:p w14:paraId="1DD976A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1.1.3投标或者响应文件（含澄清或者说明文件）；</w:t>
      </w:r>
    </w:p>
    <w:p w14:paraId="79BF494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1.1.4采购文件（含澄清或者修改文件）；</w:t>
      </w:r>
    </w:p>
    <w:p w14:paraId="72B94F83">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1.1.5其他相关采购文件。</w:t>
      </w:r>
    </w:p>
    <w:p w14:paraId="236702F6">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08" w:name="_Toc6311"/>
      <w:bookmarkStart w:id="409" w:name="_Toc6773"/>
      <w:bookmarkStart w:id="410" w:name="_Toc2918"/>
      <w:bookmarkStart w:id="411" w:name="_Toc18585"/>
      <w:bookmarkStart w:id="412" w:name="_Toc22185"/>
      <w:r>
        <w:rPr>
          <w:rFonts w:hint="eastAsia" w:ascii="宋体" w:hAnsi="宋体" w:cs="宋体"/>
          <w:color w:val="auto"/>
          <w:sz w:val="21"/>
          <w:szCs w:val="21"/>
          <w:highlight w:val="none"/>
        </w:rPr>
        <w:t>1.2 标的</w:t>
      </w:r>
      <w:bookmarkEnd w:id="408"/>
      <w:bookmarkEnd w:id="409"/>
      <w:bookmarkEnd w:id="410"/>
      <w:bookmarkEnd w:id="411"/>
      <w:bookmarkEnd w:id="412"/>
    </w:p>
    <w:p w14:paraId="7BCD5FC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69555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41C62E">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967D0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81C05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1.2.5合同（是/否）涉及货物。若涉及货物的的，则：</w:t>
      </w:r>
    </w:p>
    <w:p w14:paraId="2D74E013">
      <w:pPr>
        <w:adjustRightInd/>
        <w:spacing w:line="360" w:lineRule="auto"/>
        <w:ind w:firstLine="420" w:firstLineChars="200"/>
        <w:rPr>
          <w:rFonts w:ascii="宋体" w:hAnsi="宋体" w:cs="宋体"/>
          <w:color w:val="auto"/>
          <w:szCs w:val="21"/>
          <w:highlight w:val="none"/>
        </w:rPr>
      </w:pPr>
      <w:bookmarkStart w:id="413" w:name="_Toc21124"/>
      <w:bookmarkStart w:id="414" w:name="_Toc1386"/>
      <w:bookmarkStart w:id="415" w:name="_Toc4929"/>
      <w:bookmarkStart w:id="416" w:name="_Toc13918"/>
      <w:bookmarkStart w:id="417" w:name="_Toc5635"/>
      <w:r>
        <w:rPr>
          <w:rFonts w:hint="eastAsia" w:ascii="宋体" w:hAnsi="宋体" w:cs="宋体"/>
          <w:color w:val="auto"/>
          <w:szCs w:val="21"/>
          <w:highlight w:val="none"/>
        </w:rPr>
        <w:t>1.2.5.1货物名称、品牌、规格型号、花色：；</w:t>
      </w:r>
    </w:p>
    <w:p w14:paraId="2F84824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1.2.5.2货物数量：；</w:t>
      </w:r>
    </w:p>
    <w:p w14:paraId="172E9CB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018FE7">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1.3 价款</w:t>
      </w:r>
      <w:bookmarkEnd w:id="413"/>
      <w:bookmarkEnd w:id="414"/>
      <w:bookmarkEnd w:id="415"/>
      <w:bookmarkEnd w:id="416"/>
      <w:bookmarkEnd w:id="417"/>
    </w:p>
    <w:p w14:paraId="621E32B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本项目采用以下第1.3.1条款规定的计价方式计价。</w:t>
      </w:r>
    </w:p>
    <w:p w14:paraId="1893FF4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1.3.1总价合同，本合同总价（含税）为：￥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6203A22F">
      <w:pPr>
        <w:adjustRightInd/>
        <w:spacing w:line="360" w:lineRule="auto"/>
        <w:ind w:firstLine="420" w:firstLineChars="200"/>
        <w:rPr>
          <w:rFonts w:ascii="宋体" w:hAnsi="宋体" w:cs="宋体"/>
          <w:color w:val="auto"/>
          <w:sz w:val="24"/>
          <w:highlight w:val="none"/>
          <w:u w:val="single"/>
        </w:rPr>
      </w:pPr>
      <w:r>
        <w:rPr>
          <w:rFonts w:hint="eastAsia" w:ascii="宋体" w:hAnsi="宋体" w:cs="宋体"/>
          <w:color w:val="auto"/>
          <w:szCs w:val="21"/>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420"/>
        <w:gridCol w:w="2581"/>
      </w:tblGrid>
      <w:tr w14:paraId="7A54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90" w:type="dxa"/>
            <w:vAlign w:val="center"/>
          </w:tcPr>
          <w:p w14:paraId="2676AF62">
            <w:pPr>
              <w:pStyle w:val="324"/>
              <w:jc w:val="center"/>
              <w:rPr>
                <w:rFonts w:hAnsi="宋体" w:cs="宋体"/>
                <w:color w:val="auto"/>
                <w:sz w:val="21"/>
                <w:szCs w:val="21"/>
                <w:highlight w:val="none"/>
              </w:rPr>
            </w:pPr>
            <w:r>
              <w:rPr>
                <w:rFonts w:hint="eastAsia" w:hAnsi="宋体" w:cs="宋体"/>
                <w:color w:val="auto"/>
                <w:sz w:val="21"/>
                <w:szCs w:val="21"/>
                <w:highlight w:val="none"/>
              </w:rPr>
              <w:t>序号</w:t>
            </w:r>
          </w:p>
        </w:tc>
        <w:tc>
          <w:tcPr>
            <w:tcW w:w="4420" w:type="dxa"/>
            <w:vAlign w:val="center"/>
          </w:tcPr>
          <w:p w14:paraId="57ECAD27">
            <w:pPr>
              <w:pStyle w:val="324"/>
              <w:ind w:firstLine="200"/>
              <w:jc w:val="center"/>
              <w:rPr>
                <w:rFonts w:hAnsi="宋体" w:cs="宋体"/>
                <w:color w:val="auto"/>
                <w:sz w:val="21"/>
                <w:szCs w:val="21"/>
                <w:highlight w:val="none"/>
              </w:rPr>
            </w:pPr>
            <w:r>
              <w:rPr>
                <w:rFonts w:hint="eastAsia" w:hAnsi="宋体" w:cs="宋体"/>
                <w:color w:val="auto"/>
                <w:sz w:val="21"/>
                <w:szCs w:val="21"/>
                <w:highlight w:val="none"/>
              </w:rPr>
              <w:t>分项名称</w:t>
            </w:r>
          </w:p>
        </w:tc>
        <w:tc>
          <w:tcPr>
            <w:tcW w:w="2581" w:type="dxa"/>
            <w:vAlign w:val="center"/>
          </w:tcPr>
          <w:p w14:paraId="4AC773CC">
            <w:pPr>
              <w:pStyle w:val="324"/>
              <w:jc w:val="center"/>
              <w:rPr>
                <w:rFonts w:hAnsi="宋体" w:cs="宋体"/>
                <w:color w:val="auto"/>
                <w:sz w:val="21"/>
                <w:szCs w:val="21"/>
                <w:highlight w:val="none"/>
              </w:rPr>
            </w:pPr>
            <w:r>
              <w:rPr>
                <w:rFonts w:hint="eastAsia" w:hAnsi="宋体" w:cs="宋体"/>
                <w:color w:val="auto"/>
                <w:sz w:val="21"/>
                <w:szCs w:val="21"/>
                <w:highlight w:val="none"/>
              </w:rPr>
              <w:t>分项价格</w:t>
            </w:r>
          </w:p>
        </w:tc>
      </w:tr>
      <w:tr w14:paraId="5380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2B9234F7">
            <w:pPr>
              <w:pStyle w:val="324"/>
              <w:spacing w:line="560" w:lineRule="exact"/>
              <w:ind w:firstLine="200"/>
              <w:jc w:val="center"/>
              <w:rPr>
                <w:rFonts w:hAnsi="宋体" w:cs="宋体"/>
                <w:color w:val="auto"/>
                <w:sz w:val="21"/>
                <w:szCs w:val="21"/>
                <w:highlight w:val="none"/>
              </w:rPr>
            </w:pPr>
          </w:p>
        </w:tc>
        <w:tc>
          <w:tcPr>
            <w:tcW w:w="4420" w:type="dxa"/>
            <w:vAlign w:val="center"/>
          </w:tcPr>
          <w:p w14:paraId="0FB04B8B">
            <w:pPr>
              <w:pStyle w:val="324"/>
              <w:spacing w:line="560" w:lineRule="exact"/>
              <w:ind w:firstLine="200"/>
              <w:jc w:val="center"/>
              <w:rPr>
                <w:rFonts w:hAnsi="宋体" w:cs="宋体"/>
                <w:color w:val="auto"/>
                <w:sz w:val="21"/>
                <w:szCs w:val="21"/>
                <w:highlight w:val="none"/>
              </w:rPr>
            </w:pPr>
          </w:p>
        </w:tc>
        <w:tc>
          <w:tcPr>
            <w:tcW w:w="2581" w:type="dxa"/>
            <w:vAlign w:val="center"/>
          </w:tcPr>
          <w:p w14:paraId="23016B84">
            <w:pPr>
              <w:pStyle w:val="324"/>
              <w:spacing w:line="560" w:lineRule="exact"/>
              <w:ind w:firstLine="200"/>
              <w:jc w:val="center"/>
              <w:rPr>
                <w:rFonts w:hAnsi="宋体" w:cs="宋体"/>
                <w:color w:val="auto"/>
                <w:sz w:val="21"/>
                <w:szCs w:val="21"/>
                <w:highlight w:val="none"/>
              </w:rPr>
            </w:pPr>
          </w:p>
        </w:tc>
      </w:tr>
      <w:tr w14:paraId="6D4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21D6DF2">
            <w:pPr>
              <w:pStyle w:val="324"/>
              <w:spacing w:line="560" w:lineRule="exact"/>
              <w:ind w:firstLine="200"/>
              <w:jc w:val="center"/>
              <w:rPr>
                <w:rFonts w:hAnsi="宋体" w:cs="宋体"/>
                <w:color w:val="auto"/>
                <w:sz w:val="21"/>
                <w:szCs w:val="21"/>
                <w:highlight w:val="none"/>
              </w:rPr>
            </w:pPr>
          </w:p>
        </w:tc>
        <w:tc>
          <w:tcPr>
            <w:tcW w:w="4420" w:type="dxa"/>
            <w:vAlign w:val="center"/>
          </w:tcPr>
          <w:p w14:paraId="03BA2D99">
            <w:pPr>
              <w:pStyle w:val="324"/>
              <w:spacing w:line="560" w:lineRule="exact"/>
              <w:ind w:firstLine="200"/>
              <w:jc w:val="center"/>
              <w:rPr>
                <w:rFonts w:hAnsi="宋体" w:cs="宋体"/>
                <w:color w:val="auto"/>
                <w:sz w:val="21"/>
                <w:szCs w:val="21"/>
                <w:highlight w:val="none"/>
              </w:rPr>
            </w:pPr>
          </w:p>
        </w:tc>
        <w:tc>
          <w:tcPr>
            <w:tcW w:w="2581" w:type="dxa"/>
            <w:vAlign w:val="center"/>
          </w:tcPr>
          <w:p w14:paraId="39E43E07">
            <w:pPr>
              <w:pStyle w:val="324"/>
              <w:spacing w:line="560" w:lineRule="exact"/>
              <w:ind w:firstLine="200"/>
              <w:jc w:val="center"/>
              <w:rPr>
                <w:rFonts w:hAnsi="宋体" w:cs="宋体"/>
                <w:color w:val="auto"/>
                <w:sz w:val="21"/>
                <w:szCs w:val="21"/>
                <w:highlight w:val="none"/>
              </w:rPr>
            </w:pPr>
          </w:p>
        </w:tc>
      </w:tr>
      <w:tr w14:paraId="4DB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5BD145DC">
            <w:pPr>
              <w:pStyle w:val="324"/>
              <w:spacing w:line="560" w:lineRule="exact"/>
              <w:ind w:firstLine="200"/>
              <w:jc w:val="center"/>
              <w:rPr>
                <w:rFonts w:hAnsi="宋体" w:cs="宋体"/>
                <w:color w:val="auto"/>
                <w:sz w:val="21"/>
                <w:szCs w:val="21"/>
                <w:highlight w:val="none"/>
              </w:rPr>
            </w:pPr>
          </w:p>
        </w:tc>
        <w:tc>
          <w:tcPr>
            <w:tcW w:w="4420" w:type="dxa"/>
            <w:vAlign w:val="center"/>
          </w:tcPr>
          <w:p w14:paraId="404A7D19">
            <w:pPr>
              <w:pStyle w:val="324"/>
              <w:spacing w:line="560" w:lineRule="exact"/>
              <w:ind w:firstLine="200"/>
              <w:jc w:val="center"/>
              <w:rPr>
                <w:rFonts w:hAnsi="宋体" w:cs="宋体"/>
                <w:color w:val="auto"/>
                <w:sz w:val="21"/>
                <w:szCs w:val="21"/>
                <w:highlight w:val="none"/>
              </w:rPr>
            </w:pPr>
          </w:p>
        </w:tc>
        <w:tc>
          <w:tcPr>
            <w:tcW w:w="2581" w:type="dxa"/>
            <w:vAlign w:val="center"/>
          </w:tcPr>
          <w:p w14:paraId="22E5FDE1">
            <w:pPr>
              <w:pStyle w:val="324"/>
              <w:spacing w:line="560" w:lineRule="exact"/>
              <w:ind w:firstLine="200"/>
              <w:jc w:val="center"/>
              <w:rPr>
                <w:rFonts w:hAnsi="宋体" w:cs="宋体"/>
                <w:color w:val="auto"/>
                <w:sz w:val="21"/>
                <w:szCs w:val="21"/>
                <w:highlight w:val="none"/>
              </w:rPr>
            </w:pPr>
          </w:p>
        </w:tc>
      </w:tr>
      <w:tr w14:paraId="77A6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06223741">
            <w:pPr>
              <w:pStyle w:val="324"/>
              <w:spacing w:line="560" w:lineRule="exact"/>
              <w:ind w:firstLine="200"/>
              <w:jc w:val="center"/>
              <w:rPr>
                <w:rFonts w:hAnsi="宋体" w:cs="宋体"/>
                <w:color w:val="auto"/>
                <w:sz w:val="21"/>
                <w:szCs w:val="21"/>
                <w:highlight w:val="none"/>
              </w:rPr>
            </w:pPr>
          </w:p>
        </w:tc>
        <w:tc>
          <w:tcPr>
            <w:tcW w:w="4420" w:type="dxa"/>
            <w:vAlign w:val="center"/>
          </w:tcPr>
          <w:p w14:paraId="5DEBE97C">
            <w:pPr>
              <w:pStyle w:val="324"/>
              <w:spacing w:line="560" w:lineRule="exact"/>
              <w:ind w:firstLine="200"/>
              <w:jc w:val="center"/>
              <w:rPr>
                <w:rFonts w:hAnsi="宋体" w:cs="宋体"/>
                <w:color w:val="auto"/>
                <w:sz w:val="21"/>
                <w:szCs w:val="21"/>
                <w:highlight w:val="none"/>
              </w:rPr>
            </w:pPr>
          </w:p>
        </w:tc>
        <w:tc>
          <w:tcPr>
            <w:tcW w:w="2581" w:type="dxa"/>
            <w:vAlign w:val="center"/>
          </w:tcPr>
          <w:p w14:paraId="00911002">
            <w:pPr>
              <w:pStyle w:val="324"/>
              <w:spacing w:line="560" w:lineRule="exact"/>
              <w:ind w:firstLine="200"/>
              <w:jc w:val="center"/>
              <w:rPr>
                <w:rFonts w:hAnsi="宋体" w:cs="宋体"/>
                <w:color w:val="auto"/>
                <w:sz w:val="21"/>
                <w:szCs w:val="21"/>
                <w:highlight w:val="none"/>
              </w:rPr>
            </w:pPr>
          </w:p>
        </w:tc>
      </w:tr>
      <w:tr w14:paraId="1EA6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10" w:type="dxa"/>
            <w:gridSpan w:val="2"/>
            <w:vAlign w:val="center"/>
          </w:tcPr>
          <w:p w14:paraId="475CF184">
            <w:pPr>
              <w:pStyle w:val="324"/>
              <w:jc w:val="center"/>
              <w:rPr>
                <w:rFonts w:hAnsi="宋体" w:cs="宋体"/>
                <w:color w:val="auto"/>
                <w:sz w:val="21"/>
                <w:szCs w:val="21"/>
                <w:highlight w:val="none"/>
              </w:rPr>
            </w:pPr>
            <w:r>
              <w:rPr>
                <w:rFonts w:hint="eastAsia" w:hAnsi="宋体" w:cs="宋体"/>
                <w:color w:val="auto"/>
                <w:sz w:val="21"/>
                <w:szCs w:val="21"/>
                <w:highlight w:val="none"/>
              </w:rPr>
              <w:t>总价</w:t>
            </w:r>
          </w:p>
        </w:tc>
        <w:tc>
          <w:tcPr>
            <w:tcW w:w="2581" w:type="dxa"/>
            <w:vAlign w:val="center"/>
          </w:tcPr>
          <w:p w14:paraId="46361673">
            <w:pPr>
              <w:pStyle w:val="324"/>
              <w:spacing w:line="560" w:lineRule="exact"/>
              <w:ind w:firstLine="200"/>
              <w:jc w:val="center"/>
              <w:rPr>
                <w:rFonts w:hAnsi="宋体" w:cs="宋体"/>
                <w:color w:val="auto"/>
                <w:sz w:val="21"/>
                <w:szCs w:val="21"/>
                <w:highlight w:val="none"/>
              </w:rPr>
            </w:pPr>
          </w:p>
        </w:tc>
      </w:tr>
    </w:tbl>
    <w:p w14:paraId="51E4968E">
      <w:pPr>
        <w:adjustRightInd/>
        <w:spacing w:line="360" w:lineRule="auto"/>
        <w:ind w:firstLine="420" w:firstLineChars="200"/>
        <w:rPr>
          <w:rFonts w:ascii="宋体" w:hAnsi="宋体" w:cs="宋体"/>
          <w:color w:val="auto"/>
          <w:szCs w:val="21"/>
          <w:highlight w:val="none"/>
        </w:rPr>
      </w:pPr>
      <w:bookmarkStart w:id="418" w:name="_Toc11108"/>
      <w:bookmarkStart w:id="419" w:name="_Toc8772"/>
      <w:bookmarkStart w:id="420" w:name="_Toc3625"/>
      <w:bookmarkStart w:id="421" w:name="_Toc4760"/>
      <w:bookmarkStart w:id="422" w:name="_Toc31421"/>
      <w:r>
        <w:rPr>
          <w:rFonts w:hint="eastAsia" w:ascii="宋体" w:hAnsi="宋体" w:cs="宋体"/>
          <w:color w:val="auto"/>
          <w:szCs w:val="21"/>
          <w:highlight w:val="none"/>
        </w:rPr>
        <w:t>1.3.2单价合同，本合同单价（含税）标准为：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。服务工作量的计量方式为：</w:t>
      </w:r>
      <w:r>
        <w:rPr>
          <w:rFonts w:hint="eastAsia" w:ascii="宋体" w:hAnsi="宋体" w:cs="宋体"/>
          <w:b/>
          <w:bCs/>
          <w:i/>
          <w:iCs/>
          <w:color w:val="auto"/>
          <w:szCs w:val="21"/>
          <w:highlight w:val="none"/>
          <w:u w:val="single"/>
        </w:rPr>
        <w:t>合同专用条款</w:t>
      </w:r>
      <w:r>
        <w:rPr>
          <w:rFonts w:hint="eastAsia" w:ascii="宋体" w:hAnsi="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70B9CB5E">
      <w:pPr>
        <w:adjustRightInd/>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1.3.3其他计价方式：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A49E47">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1.4履约保证金</w:t>
      </w:r>
    </w:p>
    <w:p w14:paraId="7B49139B">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乙方（是/否）需要支付履约保证金。若需要支付履约保证金的，则：</w:t>
      </w:r>
    </w:p>
    <w:p w14:paraId="23868CB4">
      <w:pPr>
        <w:adjustRightInd/>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1.4.1履约保证金的比例为合同金额的</w:t>
      </w:r>
      <w:r>
        <w:rPr>
          <w:rFonts w:hint="eastAsia" w:ascii="宋体" w:hAnsi="宋体" w:cs="宋体"/>
          <w:b/>
          <w:i/>
          <w:color w:val="auto"/>
          <w:szCs w:val="21"/>
          <w:highlight w:val="none"/>
          <w:u w:val="single"/>
        </w:rPr>
        <w:t xml:space="preserve">      </w:t>
      </w:r>
      <w:r>
        <w:rPr>
          <w:rFonts w:hint="eastAsia" w:ascii="宋体" w:hAnsi="宋体" w:cs="宋体"/>
          <w:color w:val="auto"/>
          <w:kern w:val="0"/>
          <w:szCs w:val="21"/>
          <w:highlight w:val="none"/>
        </w:rPr>
        <w:t>%；</w:t>
      </w:r>
    </w:p>
    <w:p w14:paraId="20B60BC6">
      <w:pPr>
        <w:adjustRightInd/>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1.4.2履约保证金支付方式详见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0DA5FADC">
      <w:pPr>
        <w:pStyle w:val="4"/>
        <w:tabs>
          <w:tab w:val="left" w:pos="0"/>
        </w:tabs>
        <w:ind w:left="0" w:firstLine="420" w:firstLineChars="200"/>
        <w:rPr>
          <w:rFonts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5D2391">
      <w:pPr>
        <w:adjustRightInd/>
        <w:spacing w:line="360" w:lineRule="auto"/>
        <w:ind w:firstLine="420" w:firstLineChars="200"/>
        <w:outlineLvl w:val="0"/>
        <w:rPr>
          <w:rFonts w:ascii="宋体" w:hAnsi="宋体" w:cs="宋体"/>
          <w:color w:val="auto"/>
          <w:kern w:val="0"/>
          <w:sz w:val="24"/>
          <w:highlight w:val="none"/>
        </w:rPr>
      </w:pPr>
      <w:r>
        <w:rPr>
          <w:rFonts w:hint="eastAsia" w:ascii="宋体" w:hAnsi="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Cs w:val="21"/>
          <w:highlight w:val="none"/>
          <w:u w:val="single"/>
        </w:rPr>
        <w:t xml:space="preserve">  0.05  </w:t>
      </w:r>
      <w:r>
        <w:rPr>
          <w:rFonts w:hint="eastAsia" w:ascii="宋体" w:hAnsi="宋体" w:cs="宋体"/>
          <w:color w:val="auto"/>
          <w:kern w:val="0"/>
          <w:szCs w:val="21"/>
          <w:highlight w:val="none"/>
        </w:rPr>
        <w:t>%计算，最高限额为本合同履约保证金的</w:t>
      </w:r>
      <w:r>
        <w:rPr>
          <w:rFonts w:hint="eastAsia" w:ascii="宋体" w:hAnsi="宋体" w:cs="宋体"/>
          <w:color w:val="auto"/>
          <w:kern w:val="0"/>
          <w:szCs w:val="21"/>
          <w:highlight w:val="none"/>
          <w:u w:val="single"/>
        </w:rPr>
        <w:t xml:space="preserve">  20  </w:t>
      </w:r>
      <w:r>
        <w:rPr>
          <w:rFonts w:hint="eastAsia" w:ascii="宋体" w:hAnsi="宋体" w:cs="宋体"/>
          <w:color w:val="auto"/>
          <w:kern w:val="0"/>
          <w:szCs w:val="21"/>
          <w:highlight w:val="none"/>
        </w:rPr>
        <w:t xml:space="preserve"> %。</w:t>
      </w:r>
    </w:p>
    <w:p w14:paraId="3069C2EB">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1.5预付款</w:t>
      </w:r>
    </w:p>
    <w:p w14:paraId="191AB03E">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甲方（是/否）需要支付预付款。若需要支付预付款的，则：</w:t>
      </w:r>
    </w:p>
    <w:p w14:paraId="0AB8C15B">
      <w:pPr>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4D7E07CF">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14:paraId="6AE9F621">
      <w:pPr>
        <w:pStyle w:val="961"/>
        <w:spacing w:before="0" w:beforeAutospacing="0" w:after="0" w:afterAutospacing="0" w:line="360" w:lineRule="auto"/>
        <w:ind w:firstLine="420" w:firstLineChars="200"/>
        <w:rPr>
          <w:color w:val="auto"/>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14:paraId="01428CD9">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1.6资金支付</w:t>
      </w:r>
    </w:p>
    <w:p w14:paraId="5360BE34">
      <w:pPr>
        <w:pStyle w:val="961"/>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50A01C">
      <w:pPr>
        <w:adjustRightInd/>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1AA4A416">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1.7 履行期限、地点和方式</w:t>
      </w:r>
      <w:bookmarkEnd w:id="418"/>
      <w:bookmarkEnd w:id="419"/>
      <w:bookmarkEnd w:id="420"/>
      <w:bookmarkEnd w:id="421"/>
      <w:bookmarkEnd w:id="422"/>
    </w:p>
    <w:p w14:paraId="6D245E0D">
      <w:pPr>
        <w:adjustRightInd/>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4BB580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1.7.2服务交付（实施）的地点（地域范围）：</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65C9C62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1.7.3服务交付（实施）的方式：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2F6995BF">
      <w:pPr>
        <w:adjustRightInd/>
        <w:spacing w:line="360" w:lineRule="auto"/>
        <w:ind w:firstLine="420" w:firstLineChars="200"/>
        <w:outlineLvl w:val="0"/>
        <w:rPr>
          <w:rFonts w:ascii="宋体" w:hAnsi="宋体" w:cs="宋体"/>
          <w:bCs/>
          <w:color w:val="auto"/>
          <w:szCs w:val="21"/>
          <w:highlight w:val="none"/>
        </w:rPr>
      </w:pPr>
      <w:bookmarkStart w:id="423" w:name="_Toc24662"/>
      <w:bookmarkStart w:id="424" w:name="_Toc5698"/>
      <w:bookmarkStart w:id="425" w:name="_Toc8586"/>
      <w:bookmarkStart w:id="426" w:name="_Toc2375"/>
      <w:bookmarkStart w:id="427" w:name="_Toc3079"/>
      <w:r>
        <w:rPr>
          <w:rFonts w:hint="eastAsia" w:ascii="宋体" w:hAnsi="宋体" w:cs="宋体"/>
          <w:bCs/>
          <w:color w:val="auto"/>
          <w:szCs w:val="21"/>
          <w:highlight w:val="none"/>
        </w:rPr>
        <w:t>1.7.4若服务涉及货物的，则货物的：</w:t>
      </w:r>
    </w:p>
    <w:p w14:paraId="6F35B784">
      <w:pPr>
        <w:adjustRightInd/>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1.7.4.1交付期限：详见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0D4D40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3F0786E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831D4E1">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1.8违约责任</w:t>
      </w:r>
      <w:bookmarkEnd w:id="423"/>
      <w:bookmarkEnd w:id="424"/>
      <w:bookmarkEnd w:id="425"/>
      <w:bookmarkEnd w:id="426"/>
      <w:bookmarkEnd w:id="427"/>
    </w:p>
    <w:p w14:paraId="30AF756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 xml:space="preserve">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779933C0">
      <w:pPr>
        <w:pStyle w:val="4"/>
        <w:ind w:left="0"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3FD951E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033C1E24">
      <w:pPr>
        <w:adjustRightInd/>
        <w:spacing w:line="360" w:lineRule="auto"/>
        <w:ind w:firstLine="420" w:firstLineChars="200"/>
        <w:rPr>
          <w:rFonts w:ascii="宋体" w:hAnsi="宋体" w:cs="宋体"/>
          <w:color w:val="auto"/>
          <w:szCs w:val="21"/>
          <w:highlight w:val="none"/>
        </w:rPr>
      </w:pPr>
      <w:bookmarkStart w:id="428" w:name="_Toc26807"/>
      <w:bookmarkStart w:id="429" w:name="_Toc30329"/>
      <w:bookmarkStart w:id="430" w:name="_Toc18683"/>
      <w:bookmarkStart w:id="431" w:name="_Toc32454"/>
      <w:bookmarkStart w:id="432" w:name="_Toc9497"/>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A6644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29CCC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FF932B7">
      <w:pPr>
        <w:adjustRightInd/>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bookmarkEnd w:id="428"/>
    <w:bookmarkEnd w:id="429"/>
    <w:bookmarkEnd w:id="430"/>
    <w:bookmarkEnd w:id="431"/>
    <w:bookmarkEnd w:id="432"/>
    <w:p w14:paraId="4813A43D">
      <w:pPr>
        <w:pStyle w:val="6"/>
        <w:adjustRightInd/>
        <w:spacing w:before="319" w:beforeLines="100" w:after="319" w:afterLines="100" w:line="240" w:lineRule="auto"/>
        <w:ind w:left="0" w:firstLine="422" w:firstLineChars="200"/>
        <w:rPr>
          <w:rFonts w:hint="eastAsia" w:ascii="宋体" w:hAnsi="宋体" w:cs="宋体"/>
          <w:color w:val="auto"/>
          <w:sz w:val="21"/>
          <w:szCs w:val="21"/>
          <w:highlight w:val="none"/>
          <w:lang w:eastAsia="zh-CN"/>
        </w:rPr>
      </w:pPr>
      <w:bookmarkStart w:id="433" w:name="_Toc16021"/>
      <w:bookmarkStart w:id="434" w:name="_Toc15583"/>
      <w:bookmarkStart w:id="435" w:name="_Toc28375"/>
      <w:r>
        <w:rPr>
          <w:rFonts w:hint="eastAsia" w:ascii="宋体" w:hAnsi="宋体" w:cs="宋体"/>
          <w:color w:val="auto"/>
          <w:sz w:val="21"/>
          <w:szCs w:val="21"/>
          <w:highlight w:val="none"/>
        </w:rPr>
        <w:t>1.9</w:t>
      </w:r>
      <w:r>
        <w:rPr>
          <w:rFonts w:hint="eastAsia" w:ascii="宋体" w:hAnsi="宋体" w:cs="宋体"/>
          <w:color w:val="auto"/>
          <w:sz w:val="21"/>
          <w:szCs w:val="21"/>
          <w:highlight w:val="none"/>
          <w:lang w:eastAsia="zh-CN"/>
        </w:rPr>
        <w:t>附加条款</w:t>
      </w:r>
    </w:p>
    <w:p w14:paraId="7A80927B">
      <w:pPr>
        <w:pStyle w:val="7"/>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Arial"/>
          <w:color w:val="000000"/>
          <w:kern w:val="0"/>
          <w:szCs w:val="21"/>
          <w:highlight w:val="none"/>
        </w:rPr>
      </w:pPr>
      <w:r>
        <w:rPr>
          <w:rFonts w:hint="eastAsia" w:ascii="宋体" w:hAnsi="宋体" w:cs="宋体"/>
          <w:color w:val="auto"/>
          <w:szCs w:val="21"/>
          <w:highlight w:val="none"/>
        </w:rPr>
        <w:t>1.9.1</w:t>
      </w:r>
      <w:r>
        <w:rPr>
          <w:rFonts w:hint="eastAsia" w:ascii="宋体" w:hAnsi="宋体" w:cs="Arial"/>
          <w:color w:val="000000"/>
          <w:kern w:val="0"/>
          <w:szCs w:val="21"/>
          <w:highlight w:val="none"/>
        </w:rPr>
        <w:t>乙方在履行服务期间，如被上级检查发现重大隐患，而乙方检查</w:t>
      </w:r>
      <w:r>
        <w:rPr>
          <w:rFonts w:hint="eastAsia" w:hAnsi="宋体" w:cs="Arial"/>
          <w:color w:val="000000"/>
          <w:kern w:val="0"/>
          <w:szCs w:val="21"/>
          <w:highlight w:val="none"/>
          <w:lang w:eastAsia="zh-CN"/>
        </w:rPr>
        <w:t>中</w:t>
      </w:r>
      <w:r>
        <w:rPr>
          <w:rFonts w:hint="eastAsia" w:ascii="宋体" w:hAnsi="宋体" w:cs="Arial"/>
          <w:color w:val="000000"/>
          <w:kern w:val="0"/>
          <w:szCs w:val="21"/>
          <w:highlight w:val="none"/>
        </w:rPr>
        <w:t>未发现，</w:t>
      </w:r>
      <w:r>
        <w:rPr>
          <w:rFonts w:hint="eastAsia" w:hAnsi="宋体" w:cs="Arial"/>
          <w:color w:val="000000"/>
          <w:kern w:val="0"/>
          <w:szCs w:val="21"/>
          <w:highlight w:val="none"/>
          <w:lang w:eastAsia="zh-CN"/>
        </w:rPr>
        <w:t>视情</w:t>
      </w:r>
      <w:r>
        <w:rPr>
          <w:rFonts w:hint="eastAsia" w:ascii="宋体" w:hAnsi="宋体" w:cs="Arial"/>
          <w:color w:val="000000"/>
          <w:kern w:val="0"/>
          <w:szCs w:val="21"/>
          <w:highlight w:val="none"/>
        </w:rPr>
        <w:t>按照合同款项的</w:t>
      </w:r>
      <w:r>
        <w:rPr>
          <w:rFonts w:hint="eastAsia" w:hAnsi="宋体" w:cs="Arial"/>
          <w:color w:val="000000"/>
          <w:kern w:val="0"/>
          <w:szCs w:val="21"/>
          <w:highlight w:val="none"/>
          <w:lang w:val="en-US" w:eastAsia="zh-CN"/>
        </w:rPr>
        <w:t>1%</w:t>
      </w:r>
      <w:r>
        <w:rPr>
          <w:rFonts w:hint="eastAsia" w:ascii="宋体" w:hAnsi="宋体" w:cs="Arial"/>
          <w:color w:val="000000"/>
          <w:kern w:val="0"/>
          <w:szCs w:val="21"/>
          <w:highlight w:val="none"/>
        </w:rPr>
        <w:t>比例扣除。</w:t>
      </w:r>
    </w:p>
    <w:p w14:paraId="70281990">
      <w:pPr>
        <w:pStyle w:val="7"/>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Arial"/>
          <w:color w:val="000000"/>
          <w:kern w:val="0"/>
          <w:szCs w:val="21"/>
          <w:highlight w:val="yellow"/>
        </w:rPr>
      </w:pPr>
      <w:r>
        <w:rPr>
          <w:rFonts w:hint="eastAsia" w:ascii="宋体" w:hAnsi="宋体" w:cs="宋体"/>
          <w:color w:val="auto"/>
          <w:szCs w:val="21"/>
          <w:highlight w:val="none"/>
        </w:rPr>
        <w:t>1.9.2</w:t>
      </w:r>
      <w:r>
        <w:rPr>
          <w:rFonts w:hint="eastAsia" w:ascii="宋体" w:hAnsi="宋体" w:cs="Arial"/>
          <w:color w:val="000000"/>
          <w:kern w:val="0"/>
          <w:szCs w:val="21"/>
          <w:highlight w:val="none"/>
        </w:rPr>
        <w:t>乙方服务期间，如发生</w:t>
      </w:r>
      <w:r>
        <w:rPr>
          <w:rFonts w:hint="eastAsia" w:hAnsi="宋体" w:cs="Arial"/>
          <w:color w:val="000000"/>
          <w:kern w:val="0"/>
          <w:szCs w:val="21"/>
          <w:highlight w:val="none"/>
          <w:lang w:eastAsia="zh-CN"/>
        </w:rPr>
        <w:t>一般等级以上事故的，</w:t>
      </w:r>
      <w:r>
        <w:rPr>
          <w:rFonts w:hint="eastAsia" w:ascii="宋体" w:hAnsi="宋体" w:cs="Arial"/>
          <w:color w:val="000000"/>
          <w:kern w:val="0"/>
          <w:szCs w:val="21"/>
          <w:highlight w:val="none"/>
          <w:lang w:eastAsia="zh-CN"/>
        </w:rPr>
        <w:t>且</w:t>
      </w:r>
      <w:r>
        <w:rPr>
          <w:rFonts w:hint="eastAsia" w:hAnsi="宋体" w:cs="Arial"/>
          <w:color w:val="000000"/>
          <w:kern w:val="0"/>
          <w:szCs w:val="21"/>
          <w:highlight w:val="none"/>
          <w:lang w:eastAsia="zh-CN"/>
        </w:rPr>
        <w:t>在乙方服务范畴以内</w:t>
      </w:r>
      <w:r>
        <w:rPr>
          <w:rFonts w:hint="eastAsia" w:ascii="宋体" w:hAnsi="宋体" w:cs="Arial"/>
          <w:color w:val="000000"/>
          <w:kern w:val="0"/>
          <w:szCs w:val="21"/>
          <w:highlight w:val="none"/>
          <w:lang w:eastAsia="zh-CN"/>
        </w:rPr>
        <w:t>，</w:t>
      </w:r>
      <w:r>
        <w:rPr>
          <w:rFonts w:hint="eastAsia" w:hAnsi="宋体" w:cs="Arial"/>
          <w:color w:val="000000"/>
          <w:kern w:val="0"/>
          <w:szCs w:val="21"/>
          <w:highlight w:val="none"/>
          <w:lang w:eastAsia="zh-CN"/>
        </w:rPr>
        <w:t>视情</w:t>
      </w:r>
      <w:r>
        <w:rPr>
          <w:rFonts w:hint="eastAsia" w:ascii="宋体" w:hAnsi="宋体" w:cs="Arial"/>
          <w:color w:val="000000"/>
          <w:kern w:val="0"/>
          <w:szCs w:val="21"/>
          <w:highlight w:val="none"/>
        </w:rPr>
        <w:t>按照一定比例扣除合同款项，</w:t>
      </w:r>
      <w:r>
        <w:rPr>
          <w:rFonts w:hint="eastAsia" w:hAnsi="宋体" w:cs="Arial"/>
          <w:color w:val="000000"/>
          <w:kern w:val="0"/>
          <w:szCs w:val="21"/>
          <w:highlight w:val="none"/>
          <w:lang w:eastAsia="zh-CN"/>
        </w:rPr>
        <w:t>不低于合同款项的</w:t>
      </w:r>
      <w:r>
        <w:rPr>
          <w:rFonts w:hint="eastAsia" w:hAnsi="宋体" w:cs="Arial"/>
          <w:color w:val="000000"/>
          <w:kern w:val="0"/>
          <w:szCs w:val="21"/>
          <w:highlight w:val="none"/>
          <w:lang w:val="en-US" w:eastAsia="zh-CN"/>
        </w:rPr>
        <w:t>2%</w:t>
      </w:r>
      <w:r>
        <w:rPr>
          <w:rFonts w:hint="eastAsia" w:hAnsi="宋体" w:cs="Arial"/>
          <w:color w:val="000000"/>
          <w:kern w:val="0"/>
          <w:szCs w:val="21"/>
          <w:highlight w:val="none"/>
          <w:lang w:eastAsia="zh-CN"/>
        </w:rPr>
        <w:t>且不高过合同款项的</w:t>
      </w:r>
      <w:r>
        <w:rPr>
          <w:rFonts w:hint="eastAsia" w:hAnsi="宋体" w:cs="Arial"/>
          <w:color w:val="000000"/>
          <w:kern w:val="0"/>
          <w:szCs w:val="21"/>
          <w:highlight w:val="none"/>
          <w:lang w:val="en-US" w:eastAsia="zh-CN"/>
        </w:rPr>
        <w:t>10%</w:t>
      </w:r>
      <w:r>
        <w:rPr>
          <w:rFonts w:hint="eastAsia" w:ascii="宋体" w:hAnsi="宋体" w:cs="Arial"/>
          <w:color w:val="000000"/>
          <w:kern w:val="0"/>
          <w:szCs w:val="21"/>
          <w:highlight w:val="none"/>
        </w:rPr>
        <w:t>。</w:t>
      </w:r>
    </w:p>
    <w:p w14:paraId="1A6BB233">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合同争议的解决</w:t>
      </w:r>
      <w:bookmarkEnd w:id="433"/>
      <w:bookmarkEnd w:id="434"/>
      <w:bookmarkEnd w:id="435"/>
    </w:p>
    <w:p w14:paraId="3CDAD9A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color w:val="auto"/>
          <w:szCs w:val="21"/>
          <w:highlight w:val="none"/>
          <w:u w:val="single"/>
          <w:lang w:val="en-US" w:eastAsia="zh-CN"/>
        </w:rPr>
        <w:t xml:space="preserve"> 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条款规定的方式解决：</w:t>
      </w:r>
    </w:p>
    <w:p w14:paraId="24D1C70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0C55C4F1">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703D395E">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36" w:name="_Toc7245"/>
      <w:bookmarkStart w:id="437" w:name="_Toc11173"/>
      <w:bookmarkStart w:id="438" w:name="_Toc15322"/>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 xml:space="preserve"> 合同生效</w:t>
      </w:r>
      <w:bookmarkEnd w:id="436"/>
      <w:bookmarkEnd w:id="437"/>
      <w:bookmarkEnd w:id="438"/>
    </w:p>
    <w:p w14:paraId="519CC46B">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本合同自双方当事人盖章签字时生效。</w:t>
      </w:r>
    </w:p>
    <w:p w14:paraId="7A702FCF">
      <w:pPr>
        <w:autoSpaceDE w:val="0"/>
        <w:autoSpaceDN w:val="0"/>
        <w:spacing w:line="360"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23A9562D">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5F37B31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6527253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法定代表人或</w:t>
      </w:r>
    </w:p>
    <w:p w14:paraId="7CF6A7C6">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授权代表（签字）： </w:t>
      </w:r>
    </w:p>
    <w:p w14:paraId="2AA0A394">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6EFA1D4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437A1B3A">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25F61C3C">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55AE043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49208D09">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68B9885D">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06C29D21">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7CE53303">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开户账号：                               开户账号：</w:t>
      </w:r>
    </w:p>
    <w:bookmarkEnd w:id="400"/>
    <w:bookmarkEnd w:id="401"/>
    <w:bookmarkEnd w:id="402"/>
    <w:p w14:paraId="582D58FF">
      <w:pPr>
        <w:pStyle w:val="50"/>
        <w:rPr>
          <w:rFonts w:ascii="宋体" w:hAnsi="宋体" w:eastAsia="宋体" w:cs="宋体"/>
          <w:color w:val="auto"/>
          <w:highlight w:val="none"/>
        </w:rPr>
      </w:pPr>
      <w:bookmarkStart w:id="439" w:name="_Toc331685783"/>
      <w:r>
        <w:rPr>
          <w:rFonts w:hint="eastAsia" w:ascii="宋体" w:hAnsi="宋体" w:eastAsia="宋体" w:cs="宋体"/>
          <w:color w:val="auto"/>
          <w:highlight w:val="none"/>
        </w:rPr>
        <w:br w:type="page"/>
      </w:r>
      <w:bookmarkStart w:id="440" w:name="_Toc132308034"/>
      <w:bookmarkStart w:id="441" w:name="_Toc97118736"/>
      <w:bookmarkStart w:id="442" w:name="_Toc126654845"/>
      <w:bookmarkStart w:id="443" w:name="_Toc97118342"/>
      <w:r>
        <w:rPr>
          <w:rFonts w:hint="eastAsia" w:ascii="宋体" w:hAnsi="宋体" w:eastAsia="宋体" w:cs="宋体"/>
          <w:color w:val="auto"/>
          <w:sz w:val="32"/>
          <w:highlight w:val="none"/>
        </w:rPr>
        <w:t>第二部分 合同一般条款</w:t>
      </w:r>
      <w:bookmarkEnd w:id="439"/>
      <w:bookmarkEnd w:id="440"/>
      <w:bookmarkEnd w:id="441"/>
      <w:bookmarkEnd w:id="442"/>
      <w:bookmarkEnd w:id="443"/>
    </w:p>
    <w:p w14:paraId="4BFC2D69">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44" w:name="_Toc31297"/>
      <w:bookmarkStart w:id="445" w:name="_Toc5228"/>
      <w:bookmarkStart w:id="446" w:name="_Toc25079"/>
      <w:bookmarkStart w:id="447" w:name="_Toc14021"/>
      <w:bookmarkStart w:id="448" w:name="_Toc19680"/>
      <w:r>
        <w:rPr>
          <w:rFonts w:hint="eastAsia" w:ascii="宋体" w:hAnsi="宋体" w:cs="宋体"/>
          <w:color w:val="auto"/>
          <w:sz w:val="21"/>
          <w:szCs w:val="21"/>
          <w:highlight w:val="none"/>
        </w:rPr>
        <w:t>2.1 定义</w:t>
      </w:r>
      <w:bookmarkEnd w:id="444"/>
      <w:bookmarkEnd w:id="445"/>
      <w:bookmarkEnd w:id="446"/>
      <w:bookmarkEnd w:id="447"/>
      <w:bookmarkEnd w:id="448"/>
    </w:p>
    <w:p w14:paraId="68EA723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4CDD6E9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14:paraId="2625032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14:paraId="13B71E2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3A50329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2.1.4“甲方”系指与中标或成交供应商签署合同的采购人；采购人委托采购代理机构代表其与乙方签订合同的，采购人的授权委托书作为合同附件。</w:t>
      </w:r>
    </w:p>
    <w:p w14:paraId="401533A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C5031C">
      <w:pPr>
        <w:adjustRightInd/>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2.1.6“现场”系指合同约定提供服务的地点。</w:t>
      </w:r>
    </w:p>
    <w:p w14:paraId="6D9291B5">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49" w:name="_Toc31402"/>
      <w:bookmarkStart w:id="450" w:name="_Toc3769"/>
      <w:bookmarkStart w:id="451" w:name="_Toc16752"/>
      <w:bookmarkStart w:id="452" w:name="_Toc19539"/>
      <w:bookmarkStart w:id="453" w:name="_Toc23289"/>
      <w:r>
        <w:rPr>
          <w:rFonts w:hint="eastAsia" w:ascii="宋体" w:hAnsi="宋体" w:cs="宋体"/>
          <w:color w:val="auto"/>
          <w:sz w:val="21"/>
          <w:szCs w:val="21"/>
          <w:highlight w:val="none"/>
        </w:rPr>
        <w:t>2.2 技术规范</w:t>
      </w:r>
      <w:bookmarkEnd w:id="449"/>
      <w:bookmarkEnd w:id="450"/>
      <w:bookmarkEnd w:id="451"/>
      <w:bookmarkEnd w:id="452"/>
      <w:bookmarkEnd w:id="453"/>
    </w:p>
    <w:p w14:paraId="4C73A6F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83FCFA">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54" w:name="_Toc27945"/>
      <w:bookmarkStart w:id="455" w:name="_Toc4133"/>
      <w:bookmarkStart w:id="456" w:name="_Toc9161"/>
      <w:bookmarkStart w:id="457" w:name="_Toc13673"/>
      <w:bookmarkStart w:id="458" w:name="_Toc12412"/>
      <w:r>
        <w:rPr>
          <w:rFonts w:hint="eastAsia" w:ascii="宋体" w:hAnsi="宋体" w:cs="宋体"/>
          <w:color w:val="auto"/>
          <w:sz w:val="21"/>
          <w:szCs w:val="21"/>
          <w:highlight w:val="none"/>
        </w:rPr>
        <w:t>2.3 知识产权</w:t>
      </w:r>
      <w:bookmarkEnd w:id="454"/>
      <w:bookmarkEnd w:id="455"/>
      <w:bookmarkEnd w:id="456"/>
      <w:bookmarkEnd w:id="457"/>
      <w:bookmarkEnd w:id="458"/>
    </w:p>
    <w:p w14:paraId="40F37DC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E32EF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2.3.2合同涉及技术成果的归属和收益的分成办法的，详见合同专用条款。</w:t>
      </w:r>
    </w:p>
    <w:p w14:paraId="32E0CBDB">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 履约检查和问题反馈</w:t>
      </w:r>
    </w:p>
    <w:p w14:paraId="36B4588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4A0244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p>
    <w:p w14:paraId="0DADA774">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59" w:name="_Toc26555"/>
      <w:bookmarkStart w:id="460" w:name="_Toc22011"/>
      <w:bookmarkStart w:id="461" w:name="_Toc31233"/>
      <w:bookmarkStart w:id="462" w:name="_Toc32670"/>
      <w:bookmarkStart w:id="463" w:name="_Toc15447"/>
      <w:r>
        <w:rPr>
          <w:rFonts w:hint="eastAsia" w:ascii="宋体" w:hAnsi="宋体" w:cs="宋体"/>
          <w:color w:val="auto"/>
          <w:sz w:val="21"/>
          <w:szCs w:val="21"/>
          <w:highlight w:val="none"/>
        </w:rPr>
        <w:t>2.5 结算方式和付款条件</w:t>
      </w:r>
      <w:bookmarkEnd w:id="459"/>
      <w:bookmarkEnd w:id="460"/>
      <w:bookmarkEnd w:id="461"/>
      <w:bookmarkEnd w:id="462"/>
      <w:bookmarkEnd w:id="463"/>
    </w:p>
    <w:p w14:paraId="2D0FB70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12C34689">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64" w:name="_Toc18990"/>
      <w:bookmarkStart w:id="465" w:name="_Toc13467"/>
      <w:bookmarkStart w:id="466" w:name="_Toc13154"/>
      <w:bookmarkStart w:id="467" w:name="_Toc16163"/>
      <w:bookmarkStart w:id="468" w:name="_Toc30507"/>
      <w:r>
        <w:rPr>
          <w:rFonts w:hint="eastAsia" w:ascii="宋体" w:hAnsi="宋体" w:cs="宋体"/>
          <w:color w:val="auto"/>
          <w:sz w:val="21"/>
          <w:szCs w:val="21"/>
          <w:highlight w:val="none"/>
        </w:rPr>
        <w:t>2.6 技术资料和保密义务</w:t>
      </w:r>
      <w:bookmarkEnd w:id="464"/>
      <w:bookmarkEnd w:id="465"/>
      <w:bookmarkEnd w:id="466"/>
      <w:bookmarkEnd w:id="467"/>
      <w:bookmarkEnd w:id="468"/>
    </w:p>
    <w:p w14:paraId="1CEC6D7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4B5BA49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0F8B905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74675F">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69" w:name="_Toc19069"/>
      <w:r>
        <w:rPr>
          <w:rFonts w:hint="eastAsia" w:ascii="宋体" w:hAnsi="宋体" w:cs="宋体"/>
          <w:color w:val="auto"/>
          <w:sz w:val="21"/>
          <w:szCs w:val="21"/>
          <w:highlight w:val="none"/>
        </w:rPr>
        <w:t>2.7 质量保证</w:t>
      </w:r>
      <w:bookmarkEnd w:id="469"/>
    </w:p>
    <w:p w14:paraId="431F373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7794E15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4ABED5AC">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0" w:name="_Toc22267"/>
      <w:r>
        <w:rPr>
          <w:rFonts w:hint="eastAsia" w:ascii="宋体" w:hAnsi="宋体" w:cs="宋体"/>
          <w:color w:val="auto"/>
          <w:sz w:val="21"/>
          <w:szCs w:val="21"/>
          <w:highlight w:val="none"/>
        </w:rPr>
        <w:t>2.8 延迟履行</w:t>
      </w:r>
      <w:bookmarkEnd w:id="470"/>
    </w:p>
    <w:p w14:paraId="0E61307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C66A20">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1" w:name="_Toc10611"/>
      <w:r>
        <w:rPr>
          <w:rFonts w:hint="eastAsia" w:ascii="宋体" w:hAnsi="宋体" w:cs="宋体"/>
          <w:color w:val="auto"/>
          <w:sz w:val="21"/>
          <w:szCs w:val="21"/>
          <w:highlight w:val="none"/>
        </w:rPr>
        <w:t>2.9 合同变更</w:t>
      </w:r>
      <w:bookmarkEnd w:id="471"/>
    </w:p>
    <w:p w14:paraId="5172AE1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39EEE5E7">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2" w:name="_Toc23368"/>
      <w:bookmarkStart w:id="473" w:name="_Toc26689"/>
      <w:bookmarkStart w:id="474" w:name="_Toc21830"/>
      <w:bookmarkStart w:id="475" w:name="_Toc42"/>
      <w:bookmarkStart w:id="476" w:name="_Toc10663"/>
      <w:r>
        <w:rPr>
          <w:rFonts w:hint="eastAsia" w:ascii="宋体" w:hAnsi="宋体" w:cs="宋体"/>
          <w:color w:val="auto"/>
          <w:sz w:val="21"/>
          <w:szCs w:val="21"/>
          <w:highlight w:val="none"/>
        </w:rPr>
        <w:t>2.10 合同转让和分包</w:t>
      </w:r>
      <w:bookmarkEnd w:id="472"/>
      <w:bookmarkEnd w:id="473"/>
      <w:bookmarkEnd w:id="474"/>
      <w:bookmarkEnd w:id="475"/>
      <w:bookmarkEnd w:id="476"/>
    </w:p>
    <w:p w14:paraId="2603AF5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95B0C1">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77" w:name="_Toc4720"/>
      <w:bookmarkStart w:id="478" w:name="_Toc25571"/>
      <w:bookmarkStart w:id="479" w:name="_Toc32494"/>
      <w:bookmarkStart w:id="480" w:name="_Toc14371"/>
      <w:bookmarkStart w:id="481" w:name="_Toc26633"/>
      <w:r>
        <w:rPr>
          <w:rFonts w:hint="eastAsia" w:ascii="宋体" w:hAnsi="宋体" w:cs="宋体"/>
          <w:color w:val="auto"/>
          <w:sz w:val="21"/>
          <w:szCs w:val="21"/>
          <w:highlight w:val="none"/>
        </w:rPr>
        <w:t>2.11 不可抗力</w:t>
      </w:r>
      <w:bookmarkEnd w:id="477"/>
      <w:bookmarkEnd w:id="478"/>
      <w:bookmarkEnd w:id="479"/>
      <w:bookmarkEnd w:id="480"/>
      <w:bookmarkEnd w:id="481"/>
    </w:p>
    <w:p w14:paraId="093ED6C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20B3646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3DBFA87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26F1DBF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59ABB6D0">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82" w:name="_Toc25783"/>
      <w:bookmarkStart w:id="483" w:name="_Toc14115"/>
      <w:bookmarkStart w:id="484" w:name="_Toc24465"/>
      <w:bookmarkStart w:id="485" w:name="_Toc3638"/>
      <w:bookmarkStart w:id="486" w:name="_Toc23854"/>
      <w:r>
        <w:rPr>
          <w:rFonts w:hint="eastAsia" w:ascii="宋体" w:hAnsi="宋体" w:cs="宋体"/>
          <w:color w:val="auto"/>
          <w:sz w:val="21"/>
          <w:szCs w:val="21"/>
          <w:highlight w:val="none"/>
        </w:rPr>
        <w:t>2.12 税费</w:t>
      </w:r>
      <w:bookmarkEnd w:id="482"/>
      <w:bookmarkEnd w:id="483"/>
      <w:bookmarkEnd w:id="484"/>
      <w:bookmarkEnd w:id="485"/>
      <w:bookmarkEnd w:id="486"/>
    </w:p>
    <w:p w14:paraId="1795839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120B8FB0">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87" w:name="_Toc30105"/>
      <w:bookmarkStart w:id="488" w:name="_Toc7315"/>
      <w:bookmarkStart w:id="489" w:name="_Toc25525"/>
      <w:bookmarkStart w:id="490" w:name="_Toc14814"/>
      <w:bookmarkStart w:id="491" w:name="_Toc26883"/>
      <w:r>
        <w:rPr>
          <w:rFonts w:hint="eastAsia" w:ascii="宋体" w:hAnsi="宋体" w:cs="宋体"/>
          <w:color w:val="auto"/>
          <w:sz w:val="21"/>
          <w:szCs w:val="21"/>
          <w:highlight w:val="none"/>
        </w:rPr>
        <w:t>2.13 乙方破产</w:t>
      </w:r>
      <w:bookmarkEnd w:id="487"/>
      <w:bookmarkEnd w:id="488"/>
      <w:bookmarkEnd w:id="489"/>
      <w:bookmarkEnd w:id="490"/>
      <w:bookmarkEnd w:id="491"/>
    </w:p>
    <w:p w14:paraId="55A6A39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2CE43C">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92" w:name="_Toc2016"/>
      <w:bookmarkStart w:id="493" w:name="_Toc23323"/>
      <w:bookmarkStart w:id="494" w:name="_Toc1123"/>
      <w:r>
        <w:rPr>
          <w:rFonts w:hint="eastAsia" w:ascii="宋体" w:hAnsi="宋体" w:cs="宋体"/>
          <w:color w:val="auto"/>
          <w:sz w:val="21"/>
          <w:szCs w:val="21"/>
          <w:highlight w:val="none"/>
        </w:rPr>
        <w:t>2.14 合同中止、终止</w:t>
      </w:r>
      <w:bookmarkEnd w:id="492"/>
      <w:bookmarkEnd w:id="493"/>
      <w:bookmarkEnd w:id="494"/>
    </w:p>
    <w:p w14:paraId="7B96374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236FE70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7FF9F93B">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95" w:name="_Toc17363"/>
      <w:bookmarkStart w:id="496" w:name="_Toc14525"/>
      <w:bookmarkStart w:id="497" w:name="_Toc1969"/>
      <w:r>
        <w:rPr>
          <w:rFonts w:hint="eastAsia" w:ascii="宋体" w:hAnsi="宋体" w:cs="宋体"/>
          <w:color w:val="auto"/>
          <w:sz w:val="21"/>
          <w:szCs w:val="21"/>
          <w:highlight w:val="none"/>
        </w:rPr>
        <w:t>2.15 检验和验收</w:t>
      </w:r>
      <w:bookmarkEnd w:id="495"/>
      <w:bookmarkEnd w:id="496"/>
      <w:bookmarkEnd w:id="497"/>
    </w:p>
    <w:p w14:paraId="07224206">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2.15.1乙方按照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7079AAED">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FA540E">
      <w:pPr>
        <w:tabs>
          <w:tab w:val="left" w:pos="360"/>
          <w:tab w:val="left" w:pos="540"/>
          <w:tab w:val="left" w:pos="1080"/>
        </w:tabs>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p w14:paraId="74DED558">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498" w:name="_Toc31892"/>
      <w:bookmarkStart w:id="499" w:name="_Toc12666"/>
      <w:bookmarkStart w:id="500" w:name="_Toc9808"/>
      <w:bookmarkStart w:id="501" w:name="_Toc2308"/>
      <w:bookmarkStart w:id="502" w:name="_Toc25198"/>
      <w:r>
        <w:rPr>
          <w:rFonts w:hint="eastAsia" w:ascii="宋体" w:hAnsi="宋体" w:cs="宋体"/>
          <w:color w:val="auto"/>
          <w:sz w:val="21"/>
          <w:szCs w:val="21"/>
          <w:highlight w:val="none"/>
        </w:rPr>
        <w:t>2.16 通知和送达</w:t>
      </w:r>
      <w:bookmarkEnd w:id="498"/>
      <w:bookmarkEnd w:id="499"/>
      <w:bookmarkEnd w:id="500"/>
      <w:bookmarkEnd w:id="501"/>
      <w:bookmarkEnd w:id="502"/>
    </w:p>
    <w:p w14:paraId="736BB569">
      <w:pPr>
        <w:wordWrap w:val="0"/>
        <w:adjustRightInd/>
        <w:spacing w:line="360" w:lineRule="auto"/>
        <w:ind w:firstLine="420" w:firstLineChars="200"/>
        <w:rPr>
          <w:rFonts w:ascii="宋体" w:hAnsi="宋体" w:cs="宋体"/>
          <w:color w:val="auto"/>
          <w:szCs w:val="21"/>
          <w:highlight w:val="none"/>
        </w:rPr>
      </w:pPr>
      <w:bookmarkStart w:id="503" w:name="_Toc18401"/>
      <w:bookmarkStart w:id="504" w:name="_Toc27674"/>
      <w:r>
        <w:rPr>
          <w:rFonts w:hint="eastAsia" w:ascii="宋体" w:hAnsi="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000D28F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76AEBFDD">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505" w:name="_Toc12254"/>
      <w:bookmarkStart w:id="506" w:name="_Toc27644"/>
      <w:bookmarkStart w:id="507" w:name="_Toc5063"/>
      <w:bookmarkStart w:id="508" w:name="_Toc20808"/>
      <w:bookmarkStart w:id="509" w:name="_Toc28906"/>
      <w:r>
        <w:rPr>
          <w:rFonts w:hint="eastAsia" w:ascii="宋体" w:hAnsi="宋体" w:cs="宋体"/>
          <w:color w:val="auto"/>
          <w:sz w:val="21"/>
          <w:szCs w:val="21"/>
          <w:highlight w:val="none"/>
        </w:rPr>
        <w:t>2.17 合同使用的文字和适用的法律</w:t>
      </w:r>
      <w:bookmarkEnd w:id="505"/>
      <w:bookmarkEnd w:id="506"/>
      <w:bookmarkEnd w:id="507"/>
      <w:bookmarkEnd w:id="508"/>
      <w:bookmarkEnd w:id="509"/>
    </w:p>
    <w:p w14:paraId="3570827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2.17.1 合同使用汉语书就、变更和解释；</w:t>
      </w:r>
    </w:p>
    <w:p w14:paraId="4CA597D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2.17.2 合同适用中华人民共和国法律。</w:t>
      </w:r>
    </w:p>
    <w:p w14:paraId="58293C7E">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bookmarkStart w:id="510" w:name="_Toc30599"/>
      <w:bookmarkStart w:id="511" w:name="_Toc18540"/>
      <w:bookmarkStart w:id="512" w:name="_Toc4355"/>
      <w:r>
        <w:rPr>
          <w:rFonts w:hint="eastAsia" w:ascii="宋体" w:hAnsi="宋体" w:cs="宋体"/>
          <w:color w:val="auto"/>
          <w:sz w:val="21"/>
          <w:szCs w:val="21"/>
          <w:highlight w:val="none"/>
        </w:rPr>
        <w:t>2.18 计量单位</w:t>
      </w:r>
      <w:bookmarkEnd w:id="510"/>
      <w:bookmarkEnd w:id="511"/>
      <w:bookmarkEnd w:id="512"/>
    </w:p>
    <w:p w14:paraId="0CA1FB5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7C484C1F">
      <w:pPr>
        <w:pStyle w:val="6"/>
        <w:adjustRightInd/>
        <w:spacing w:before="319" w:beforeLines="100" w:after="319" w:afterLines="100" w:line="24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2.19合同份数</w:t>
      </w:r>
    </w:p>
    <w:p w14:paraId="2C8FDE6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14:paraId="7B8CAD24">
      <w:pPr>
        <w:widowControl/>
        <w:jc w:val="left"/>
        <w:rPr>
          <w:rFonts w:ascii="宋体" w:hAnsi="宋体" w:cs="宋体"/>
          <w:color w:val="auto"/>
          <w:sz w:val="24"/>
          <w:szCs w:val="20"/>
          <w:highlight w:val="none"/>
        </w:rPr>
      </w:pPr>
      <w:r>
        <w:rPr>
          <w:rFonts w:hint="eastAsia" w:ascii="宋体" w:hAnsi="宋体" w:cs="宋体"/>
          <w:color w:val="auto"/>
          <w:highlight w:val="none"/>
        </w:rPr>
        <w:br w:type="page"/>
      </w:r>
    </w:p>
    <w:p w14:paraId="3E020AC4">
      <w:pPr>
        <w:pStyle w:val="50"/>
        <w:spacing w:before="319" w:beforeLines="100" w:after="319" w:afterLines="100"/>
        <w:rPr>
          <w:rFonts w:ascii="宋体" w:hAnsi="宋体" w:eastAsia="宋体" w:cs="宋体"/>
          <w:color w:val="auto"/>
          <w:sz w:val="32"/>
          <w:highlight w:val="none"/>
        </w:rPr>
      </w:pPr>
      <w:bookmarkStart w:id="513" w:name="_Toc126654846"/>
      <w:bookmarkStart w:id="514" w:name="_Toc132308035"/>
      <w:r>
        <w:rPr>
          <w:rFonts w:hint="eastAsia" w:ascii="宋体" w:hAnsi="宋体" w:eastAsia="宋体" w:cs="宋体"/>
          <w:color w:val="auto"/>
          <w:sz w:val="32"/>
          <w:highlight w:val="none"/>
        </w:rPr>
        <w:t>第三部分 合同专用条款</w:t>
      </w:r>
      <w:bookmarkEnd w:id="513"/>
      <w:bookmarkEnd w:id="514"/>
    </w:p>
    <w:p w14:paraId="13A3D528">
      <w:pPr>
        <w:pStyle w:val="7"/>
        <w:adjustRightInd/>
        <w:spacing w:line="360" w:lineRule="auto"/>
        <w:ind w:firstLine="420" w:firstLineChars="200"/>
        <w:rPr>
          <w:rFonts w:hAnsi="宋体" w:cs="宋体"/>
          <w:b/>
          <w:i/>
          <w:color w:val="auto"/>
          <w:sz w:val="24"/>
          <w:szCs w:val="24"/>
          <w:highlight w:val="none"/>
          <w:u w:val="single"/>
        </w:rPr>
      </w:pPr>
      <w:r>
        <w:rPr>
          <w:rFonts w:hint="eastAsia" w:hAnsi="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7F4E7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3762BC34">
            <w:pPr>
              <w:keepLines/>
              <w:wordWrap w:val="0"/>
              <w:topLinePunct/>
              <w:adjustRightInd/>
              <w:jc w:val="center"/>
              <w:rPr>
                <w:rFonts w:ascii="宋体" w:hAnsi="宋体" w:cs="宋体"/>
                <w:bCs/>
                <w:color w:val="auto"/>
                <w:szCs w:val="21"/>
                <w:highlight w:val="none"/>
              </w:rPr>
            </w:pPr>
            <w:r>
              <w:rPr>
                <w:rFonts w:hint="eastAsia" w:ascii="宋体" w:hAnsi="宋体" w:cs="宋体"/>
                <w:bCs/>
                <w:color w:val="auto"/>
                <w:szCs w:val="21"/>
                <w:highlight w:val="none"/>
              </w:rPr>
              <w:t>条款号</w:t>
            </w:r>
          </w:p>
        </w:tc>
        <w:tc>
          <w:tcPr>
            <w:tcW w:w="4366" w:type="pct"/>
            <w:tcBorders>
              <w:tl2br w:val="nil"/>
              <w:tr2bl w:val="nil"/>
            </w:tcBorders>
            <w:vAlign w:val="center"/>
          </w:tcPr>
          <w:p w14:paraId="5F507EBD">
            <w:pPr>
              <w:keepLines/>
              <w:wordWrap w:val="0"/>
              <w:topLinePunct/>
              <w:adjustRightInd/>
              <w:jc w:val="center"/>
              <w:rPr>
                <w:rFonts w:ascii="宋体" w:hAnsi="宋体" w:cs="宋体"/>
                <w:bCs/>
                <w:color w:val="auto"/>
                <w:szCs w:val="21"/>
                <w:highlight w:val="none"/>
              </w:rPr>
            </w:pPr>
            <w:r>
              <w:rPr>
                <w:rFonts w:hint="eastAsia" w:ascii="宋体" w:hAnsi="宋体" w:cs="宋体"/>
                <w:bCs/>
                <w:color w:val="auto"/>
                <w:szCs w:val="21"/>
                <w:highlight w:val="none"/>
              </w:rPr>
              <w:t>约定内容</w:t>
            </w:r>
          </w:p>
        </w:tc>
      </w:tr>
      <w:tr w14:paraId="166BE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399F4F4D">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1.3.2</w:t>
            </w:r>
          </w:p>
        </w:tc>
        <w:tc>
          <w:tcPr>
            <w:tcW w:w="4366" w:type="pct"/>
            <w:tcBorders>
              <w:tl2br w:val="nil"/>
              <w:tr2bl w:val="nil"/>
            </w:tcBorders>
            <w:vAlign w:val="center"/>
          </w:tcPr>
          <w:p w14:paraId="64924F93">
            <w:pPr>
              <w:keepLines/>
              <w:wordWrap w:val="0"/>
              <w:topLinePunct/>
              <w:adjustRightInd/>
              <w:ind w:left="105" w:leftChars="50" w:right="105" w:rightChars="50"/>
              <w:rPr>
                <w:rFonts w:ascii="宋体" w:hAnsi="宋体" w:cs="宋体"/>
                <w:color w:val="auto"/>
                <w:szCs w:val="21"/>
                <w:highlight w:val="none"/>
                <w:u w:val="single"/>
              </w:rPr>
            </w:pPr>
            <w:r>
              <w:rPr>
                <w:rFonts w:hint="eastAsia" w:ascii="宋体" w:hAnsi="宋体" w:cs="宋体"/>
                <w:color w:val="auto"/>
                <w:szCs w:val="21"/>
                <w:highlight w:val="none"/>
              </w:rPr>
              <w:t>服务工作量的计量方式：</w:t>
            </w:r>
            <w:r>
              <w:rPr>
                <w:rFonts w:hint="eastAsia" w:ascii="宋体" w:hAnsi="宋体" w:cs="宋体"/>
                <w:color w:val="auto"/>
                <w:szCs w:val="21"/>
                <w:highlight w:val="none"/>
                <w:u w:val="single"/>
              </w:rPr>
              <w:t xml:space="preserve"> / </w:t>
            </w:r>
          </w:p>
        </w:tc>
      </w:tr>
      <w:tr w14:paraId="0903B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18A09AC">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1.4.2</w:t>
            </w:r>
          </w:p>
        </w:tc>
        <w:tc>
          <w:tcPr>
            <w:tcW w:w="4366" w:type="pct"/>
            <w:tcBorders>
              <w:tl2br w:val="nil"/>
              <w:tr2bl w:val="nil"/>
            </w:tcBorders>
            <w:vAlign w:val="center"/>
          </w:tcPr>
          <w:p w14:paraId="287931C9">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履约保证金支付方式：</w:t>
            </w:r>
            <w:r>
              <w:rPr>
                <w:rFonts w:hint="eastAsia" w:ascii="宋体" w:hAnsi="宋体" w:cs="宋体"/>
                <w:color w:val="auto"/>
                <w:szCs w:val="21"/>
                <w:highlight w:val="none"/>
                <w:u w:val="single"/>
              </w:rPr>
              <w:t xml:space="preserve"> / </w:t>
            </w:r>
          </w:p>
        </w:tc>
      </w:tr>
      <w:tr w14:paraId="71822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1818D8EF">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1.5.1</w:t>
            </w:r>
          </w:p>
        </w:tc>
        <w:tc>
          <w:tcPr>
            <w:tcW w:w="4366" w:type="pct"/>
            <w:tcBorders>
              <w:tl2br w:val="nil"/>
              <w:tr2bl w:val="nil"/>
            </w:tcBorders>
            <w:vAlign w:val="center"/>
          </w:tcPr>
          <w:p w14:paraId="3BA9ECC6">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预付款比例：</w:t>
            </w:r>
            <w:r>
              <w:rPr>
                <w:rFonts w:hint="eastAsia" w:ascii="宋体" w:hAnsi="宋体" w:cs="宋体"/>
                <w:color w:val="auto"/>
                <w:szCs w:val="21"/>
                <w:highlight w:val="none"/>
                <w:u w:val="single"/>
              </w:rPr>
              <w:t>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w:t>
            </w:r>
          </w:p>
          <w:p w14:paraId="49F7F3C0">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预付款支付方式：</w:t>
            </w:r>
            <w:r>
              <w:rPr>
                <w:rFonts w:hint="eastAsia" w:ascii="宋体" w:hAnsi="宋体" w:cs="宋体"/>
                <w:color w:val="auto"/>
                <w:szCs w:val="21"/>
                <w:highlight w:val="none"/>
                <w:u w:val="single"/>
              </w:rPr>
              <w:t>转账方式，支付至乙方账户</w:t>
            </w:r>
          </w:p>
          <w:p w14:paraId="1F451703">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预付款支付时间：</w:t>
            </w:r>
            <w:r>
              <w:rPr>
                <w:rFonts w:hint="eastAsia" w:ascii="宋体" w:hAnsi="宋体" w:cs="宋体"/>
                <w:color w:val="auto"/>
                <w:szCs w:val="21"/>
                <w:highlight w:val="none"/>
                <w:u w:val="single"/>
              </w:rPr>
              <w:t>合同签订后</w:t>
            </w:r>
            <w:r>
              <w:rPr>
                <w:rFonts w:ascii="宋体" w:hAnsi="宋体" w:cs="宋体"/>
                <w:color w:val="auto"/>
                <w:szCs w:val="21"/>
                <w:highlight w:val="none"/>
                <w:u w:val="single"/>
              </w:rPr>
              <w:t>7</w:t>
            </w:r>
            <w:r>
              <w:rPr>
                <w:rFonts w:hint="eastAsia" w:ascii="宋体" w:hAnsi="宋体" w:cs="宋体"/>
                <w:color w:val="auto"/>
                <w:szCs w:val="21"/>
                <w:highlight w:val="none"/>
                <w:u w:val="single"/>
                <w:lang w:val="en-US" w:eastAsia="zh-CN"/>
              </w:rPr>
              <w:t>个</w:t>
            </w:r>
            <w:r>
              <w:rPr>
                <w:rFonts w:hint="eastAsia" w:ascii="宋体" w:hAnsi="宋体" w:cs="宋体"/>
                <w:color w:val="auto"/>
                <w:szCs w:val="21"/>
                <w:highlight w:val="none"/>
                <w:u w:val="single"/>
              </w:rPr>
              <w:t>日内</w:t>
            </w:r>
          </w:p>
        </w:tc>
      </w:tr>
      <w:tr w14:paraId="3CE55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FE82B6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1.5.2</w:t>
            </w:r>
          </w:p>
        </w:tc>
        <w:tc>
          <w:tcPr>
            <w:tcW w:w="4366" w:type="pct"/>
            <w:tcBorders>
              <w:tl2br w:val="nil"/>
              <w:tr2bl w:val="nil"/>
            </w:tcBorders>
            <w:vAlign w:val="center"/>
          </w:tcPr>
          <w:p w14:paraId="7200E65B">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预付款的扣回方式：</w:t>
            </w:r>
            <w:r>
              <w:rPr>
                <w:rFonts w:hint="eastAsia" w:ascii="宋体" w:hAnsi="宋体" w:cs="宋体"/>
                <w:color w:val="auto"/>
                <w:szCs w:val="21"/>
                <w:highlight w:val="none"/>
                <w:u w:val="single"/>
              </w:rPr>
              <w:t>不扣回，资金支付时转为合同款</w:t>
            </w:r>
          </w:p>
        </w:tc>
      </w:tr>
      <w:tr w14:paraId="3337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AC91C5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1.5.3</w:t>
            </w:r>
          </w:p>
        </w:tc>
        <w:tc>
          <w:tcPr>
            <w:tcW w:w="4366" w:type="pct"/>
            <w:tcBorders>
              <w:tl2br w:val="nil"/>
              <w:tr2bl w:val="nil"/>
            </w:tcBorders>
            <w:vAlign w:val="center"/>
          </w:tcPr>
          <w:p w14:paraId="231DFF98">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预付款的担保措施：</w:t>
            </w:r>
            <w:r>
              <w:rPr>
                <w:rFonts w:hint="eastAsia" w:ascii="宋体" w:hAnsi="宋体" w:cs="宋体"/>
                <w:color w:val="auto"/>
                <w:szCs w:val="21"/>
                <w:highlight w:val="none"/>
                <w:u w:val="single"/>
              </w:rPr>
              <w:t xml:space="preserve"> 无 </w:t>
            </w:r>
          </w:p>
        </w:tc>
      </w:tr>
      <w:tr w14:paraId="08307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9" w:hRule="exact"/>
          <w:jc w:val="center"/>
        </w:trPr>
        <w:tc>
          <w:tcPr>
            <w:tcW w:w="633" w:type="pct"/>
            <w:tcBorders>
              <w:tl2br w:val="nil"/>
              <w:tr2bl w:val="nil"/>
            </w:tcBorders>
            <w:vAlign w:val="center"/>
          </w:tcPr>
          <w:p w14:paraId="643D0AAB">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1.6.2</w:t>
            </w:r>
          </w:p>
        </w:tc>
        <w:tc>
          <w:tcPr>
            <w:tcW w:w="4366" w:type="pct"/>
            <w:tcBorders>
              <w:tl2br w:val="nil"/>
              <w:tr2bl w:val="nil"/>
            </w:tcBorders>
            <w:vAlign w:val="center"/>
          </w:tcPr>
          <w:p w14:paraId="5AF17DF9">
            <w:pPr>
              <w:keepLines/>
              <w:wordWrap w:val="0"/>
              <w:topLinePunct/>
              <w:adjustRightInd/>
              <w:spacing w:line="360" w:lineRule="auto"/>
              <w:ind w:left="105" w:leftChars="50" w:right="105" w:rightChars="50"/>
              <w:rPr>
                <w:rFonts w:hint="eastAsia" w:ascii="宋体" w:hAnsi="宋体" w:cs="宋体"/>
                <w:color w:val="auto"/>
                <w:szCs w:val="21"/>
                <w:highlight w:val="none"/>
                <w:u w:val="single"/>
              </w:rPr>
            </w:pPr>
            <w:r>
              <w:rPr>
                <w:rFonts w:hint="eastAsia" w:ascii="宋体" w:hAnsi="宋体" w:cs="宋体"/>
                <w:color w:val="auto"/>
                <w:szCs w:val="21"/>
                <w:highlight w:val="none"/>
              </w:rPr>
              <w:t>资金支付的方式、时间和条件：</w:t>
            </w:r>
            <w:r>
              <w:rPr>
                <w:rFonts w:hint="eastAsia" w:ascii="宋体" w:hAnsi="宋体" w:eastAsia="宋体" w:cs="宋体"/>
                <w:b w:val="0"/>
                <w:bCs w:val="0"/>
                <w:color w:val="auto"/>
                <w:sz w:val="21"/>
                <w:szCs w:val="21"/>
                <w:highlight w:val="none"/>
                <w:u w:val="single"/>
                <w:lang w:val="en-US" w:eastAsia="zh-CN"/>
              </w:rPr>
              <w:t>项目合同</w:t>
            </w:r>
            <w:r>
              <w:rPr>
                <w:rFonts w:hint="eastAsia" w:hAnsi="宋体" w:cs="宋体"/>
                <w:b w:val="0"/>
                <w:bCs w:val="0"/>
                <w:color w:val="auto"/>
                <w:sz w:val="21"/>
                <w:szCs w:val="21"/>
                <w:highlight w:val="none"/>
                <w:u w:val="single"/>
                <w:lang w:val="en-US" w:eastAsia="zh-CN"/>
              </w:rPr>
              <w:t>签订</w:t>
            </w:r>
            <w:r>
              <w:rPr>
                <w:rFonts w:hint="eastAsia" w:ascii="宋体" w:hAnsi="宋体" w:eastAsia="宋体" w:cs="宋体"/>
                <w:b w:val="0"/>
                <w:bCs w:val="0"/>
                <w:color w:val="auto"/>
                <w:sz w:val="21"/>
                <w:szCs w:val="21"/>
                <w:highlight w:val="none"/>
                <w:u w:val="single"/>
                <w:lang w:val="en-US" w:eastAsia="zh-CN"/>
              </w:rPr>
              <w:t>后</w:t>
            </w:r>
            <w:r>
              <w:rPr>
                <w:rFonts w:ascii="宋体" w:hAnsi="宋体" w:cs="宋体"/>
                <w:color w:val="auto"/>
                <w:szCs w:val="21"/>
                <w:highlight w:val="none"/>
                <w:u w:val="single"/>
              </w:rPr>
              <w:t>7</w:t>
            </w:r>
            <w:r>
              <w:rPr>
                <w:rFonts w:hint="eastAsia" w:ascii="宋体" w:hAnsi="宋体" w:cs="宋体"/>
                <w:color w:val="auto"/>
                <w:szCs w:val="21"/>
                <w:highlight w:val="none"/>
                <w:u w:val="single"/>
                <w:lang w:val="en-US" w:eastAsia="zh-CN"/>
              </w:rPr>
              <w:t>个工作</w:t>
            </w:r>
            <w:r>
              <w:rPr>
                <w:rFonts w:hint="eastAsia" w:ascii="宋体" w:hAnsi="宋体" w:cs="宋体"/>
                <w:color w:val="auto"/>
                <w:szCs w:val="21"/>
                <w:highlight w:val="none"/>
                <w:u w:val="single"/>
              </w:rPr>
              <w:t>日内</w:t>
            </w:r>
            <w:r>
              <w:rPr>
                <w:rFonts w:hint="eastAsia" w:ascii="宋体" w:hAnsi="宋体" w:eastAsia="宋体" w:cs="宋体"/>
                <w:b w:val="0"/>
                <w:bCs w:val="0"/>
                <w:color w:val="auto"/>
                <w:sz w:val="21"/>
                <w:szCs w:val="21"/>
                <w:highlight w:val="none"/>
                <w:u w:val="single"/>
                <w:lang w:val="en-US" w:eastAsia="zh-CN"/>
              </w:rPr>
              <w:t>，甲方进行第一次支付，支付项目合同总金额的50%；甲方在202</w:t>
            </w:r>
            <w:r>
              <w:rPr>
                <w:rFonts w:hint="eastAsia" w:hAnsi="宋体" w:cs="宋体"/>
                <w:b w:val="0"/>
                <w:bCs w:val="0"/>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u w:val="single"/>
                <w:lang w:val="en-US" w:eastAsia="zh-CN"/>
              </w:rPr>
              <w:t>年12月进行第二次支付，项目验收通过后，甲方进行尾款支付（具体付款时间以财政拨款为准）。</w:t>
            </w:r>
          </w:p>
        </w:tc>
      </w:tr>
      <w:tr w14:paraId="22286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8" w:hRule="exact"/>
          <w:jc w:val="center"/>
        </w:trPr>
        <w:tc>
          <w:tcPr>
            <w:tcW w:w="633" w:type="pct"/>
            <w:tcBorders>
              <w:tl2br w:val="nil"/>
              <w:tr2bl w:val="nil"/>
            </w:tcBorders>
            <w:vAlign w:val="center"/>
          </w:tcPr>
          <w:p w14:paraId="46876E71">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1.7.1</w:t>
            </w:r>
          </w:p>
        </w:tc>
        <w:tc>
          <w:tcPr>
            <w:tcW w:w="4366" w:type="pct"/>
            <w:tcBorders>
              <w:tl2br w:val="nil"/>
              <w:tr2bl w:val="nil"/>
            </w:tcBorders>
            <w:vAlign w:val="center"/>
          </w:tcPr>
          <w:p w14:paraId="211396FF">
            <w:pPr>
              <w:keepNext w:val="0"/>
              <w:keepLines/>
              <w:pageBreakBefore w:val="0"/>
              <w:widowControl w:val="0"/>
              <w:kinsoku/>
              <w:wordWrap w:val="0"/>
              <w:overflowPunct/>
              <w:topLinePunct/>
              <w:autoSpaceDE/>
              <w:autoSpaceDN/>
              <w:bidi w:val="0"/>
              <w:adjustRightInd/>
              <w:snapToGrid/>
              <w:spacing w:line="360" w:lineRule="auto"/>
              <w:ind w:left="105" w:leftChars="50" w:right="105" w:rightChars="50"/>
              <w:textAlignment w:val="auto"/>
              <w:rPr>
                <w:rFonts w:ascii="宋体" w:hAnsi="宋体" w:cs="宋体"/>
                <w:color w:val="auto"/>
                <w:szCs w:val="21"/>
                <w:highlight w:val="none"/>
              </w:rPr>
            </w:pPr>
            <w:r>
              <w:rPr>
                <w:rFonts w:hint="eastAsia" w:ascii="宋体" w:hAnsi="宋体" w:cs="宋体"/>
                <w:color w:val="auto"/>
                <w:szCs w:val="21"/>
                <w:highlight w:val="none"/>
              </w:rPr>
              <w:t>服务交付（实施）的时间（期限）：</w:t>
            </w:r>
            <w:r>
              <w:rPr>
                <w:rFonts w:hint="eastAsia" w:ascii="宋体" w:hAnsi="宋体" w:eastAsia="宋体" w:cs="宋体"/>
                <w:color w:val="auto"/>
                <w:sz w:val="21"/>
                <w:szCs w:val="21"/>
                <w:highlight w:val="none"/>
                <w:u w:val="single"/>
                <w:lang w:val="en-US" w:eastAsia="zh-CN"/>
              </w:rPr>
              <w:t>自签订合同之日起至2025年12月31日止。第二年采购资金下达且供应商履约良好的情况下，双方同意后，可续签合同一年。</w:t>
            </w:r>
          </w:p>
        </w:tc>
      </w:tr>
      <w:tr w14:paraId="0F3D2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1F91FBB">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1.7.2</w:t>
            </w:r>
          </w:p>
        </w:tc>
        <w:tc>
          <w:tcPr>
            <w:tcW w:w="4366" w:type="pct"/>
            <w:tcBorders>
              <w:tl2br w:val="nil"/>
              <w:tr2bl w:val="nil"/>
            </w:tcBorders>
            <w:vAlign w:val="center"/>
          </w:tcPr>
          <w:p w14:paraId="1D67F0A3">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服务交付（实施）的地点（地域范围）：</w:t>
            </w:r>
            <w:r>
              <w:rPr>
                <w:rFonts w:hint="eastAsia" w:ascii="宋体" w:hAnsi="宋体" w:cs="宋体"/>
                <w:color w:val="auto"/>
                <w:szCs w:val="21"/>
                <w:highlight w:val="none"/>
                <w:u w:val="single"/>
              </w:rPr>
              <w:t>甲方指定地点</w:t>
            </w:r>
          </w:p>
        </w:tc>
      </w:tr>
      <w:tr w14:paraId="08EFD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5E71FCD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1.7.3</w:t>
            </w:r>
          </w:p>
        </w:tc>
        <w:tc>
          <w:tcPr>
            <w:tcW w:w="4366" w:type="pct"/>
            <w:tcBorders>
              <w:tl2br w:val="nil"/>
              <w:tr2bl w:val="nil"/>
            </w:tcBorders>
            <w:vAlign w:val="center"/>
          </w:tcPr>
          <w:p w14:paraId="0428CC70">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服务交付（实施）的方式：</w:t>
            </w:r>
            <w:r>
              <w:rPr>
                <w:rFonts w:hint="eastAsia" w:ascii="宋体" w:hAnsi="宋体" w:cs="宋体"/>
                <w:color w:val="auto"/>
                <w:szCs w:val="21"/>
                <w:highlight w:val="none"/>
                <w:u w:val="single"/>
              </w:rPr>
              <w:t>采购标的的所有内容均由乙方负责，完成本项目各项服务可能发生的全部费用均包含在合同总价中。</w:t>
            </w:r>
          </w:p>
        </w:tc>
      </w:tr>
      <w:tr w14:paraId="79134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7AC4E68">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4366" w:type="pct"/>
            <w:tcBorders>
              <w:tl2br w:val="nil"/>
              <w:tr2bl w:val="nil"/>
            </w:tcBorders>
            <w:vAlign w:val="center"/>
          </w:tcPr>
          <w:p w14:paraId="2E32B012">
            <w:pPr>
              <w:keepLines/>
              <w:wordWrap w:val="0"/>
              <w:topLinePunct/>
              <w:adjustRightInd/>
              <w:ind w:left="105" w:leftChars="50" w:right="105" w:rightChars="50"/>
              <w:rPr>
                <w:rFonts w:ascii="宋体" w:hAnsi="宋体" w:cs="宋体"/>
                <w:color w:val="auto"/>
                <w:szCs w:val="21"/>
                <w:highlight w:val="none"/>
                <w:u w:val="single"/>
              </w:rPr>
            </w:pPr>
            <w:r>
              <w:rPr>
                <w:rFonts w:hint="eastAsia" w:ascii="宋体" w:hAnsi="宋体" w:cs="宋体"/>
                <w:color w:val="auto"/>
                <w:szCs w:val="21"/>
                <w:highlight w:val="none"/>
              </w:rPr>
              <w:t>交付期限：</w:t>
            </w:r>
            <w:r>
              <w:rPr>
                <w:rFonts w:hint="eastAsia" w:ascii="宋体" w:hAnsi="宋体" w:cs="宋体"/>
                <w:color w:val="auto"/>
                <w:szCs w:val="21"/>
                <w:highlight w:val="none"/>
                <w:u w:val="single"/>
              </w:rPr>
              <w:t>同1.7.1款</w:t>
            </w:r>
          </w:p>
        </w:tc>
      </w:tr>
      <w:tr w14:paraId="3B208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BBD1DA7">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1.7.4.2</w:t>
            </w:r>
          </w:p>
        </w:tc>
        <w:tc>
          <w:tcPr>
            <w:tcW w:w="4366" w:type="pct"/>
            <w:tcBorders>
              <w:tl2br w:val="nil"/>
              <w:tr2bl w:val="nil"/>
            </w:tcBorders>
            <w:vAlign w:val="center"/>
          </w:tcPr>
          <w:p w14:paraId="2C823602">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交付地点：</w:t>
            </w:r>
            <w:r>
              <w:rPr>
                <w:rFonts w:hint="eastAsia" w:ascii="宋体" w:hAnsi="宋体" w:cs="宋体"/>
                <w:color w:val="auto"/>
                <w:szCs w:val="21"/>
                <w:highlight w:val="none"/>
                <w:u w:val="single"/>
              </w:rPr>
              <w:t>甲方指定地点</w:t>
            </w:r>
          </w:p>
        </w:tc>
      </w:tr>
      <w:tr w14:paraId="423B6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766478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1.7.4.3</w:t>
            </w:r>
          </w:p>
        </w:tc>
        <w:tc>
          <w:tcPr>
            <w:tcW w:w="4366" w:type="pct"/>
            <w:tcBorders>
              <w:tl2br w:val="nil"/>
              <w:tr2bl w:val="nil"/>
            </w:tcBorders>
            <w:vAlign w:val="center"/>
          </w:tcPr>
          <w:p w14:paraId="634F9DA0">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交付方式：</w:t>
            </w:r>
            <w:r>
              <w:rPr>
                <w:rFonts w:hint="eastAsia" w:ascii="宋体" w:hAnsi="宋体" w:cs="宋体"/>
                <w:color w:val="auto"/>
                <w:szCs w:val="21"/>
                <w:highlight w:val="none"/>
                <w:u w:val="single"/>
              </w:rPr>
              <w:t>同1.7.3款</w:t>
            </w:r>
          </w:p>
        </w:tc>
      </w:tr>
      <w:tr w14:paraId="3C9A9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FFC083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1.8.7</w:t>
            </w:r>
          </w:p>
        </w:tc>
        <w:tc>
          <w:tcPr>
            <w:tcW w:w="4366" w:type="pct"/>
            <w:tcBorders>
              <w:tl2br w:val="nil"/>
              <w:tr2bl w:val="nil"/>
            </w:tcBorders>
            <w:vAlign w:val="center"/>
          </w:tcPr>
          <w:p w14:paraId="6B5C2F95">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违约责任特殊约定：</w:t>
            </w:r>
            <w:r>
              <w:rPr>
                <w:rFonts w:hint="eastAsia" w:ascii="宋体" w:hAnsi="宋体" w:cs="宋体"/>
                <w:color w:val="auto"/>
                <w:szCs w:val="21"/>
                <w:highlight w:val="none"/>
                <w:u w:val="single"/>
              </w:rPr>
              <w:t xml:space="preserve"> / </w:t>
            </w:r>
          </w:p>
        </w:tc>
      </w:tr>
      <w:tr w14:paraId="3DB2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50751ECC">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1.9.1</w:t>
            </w:r>
          </w:p>
        </w:tc>
        <w:tc>
          <w:tcPr>
            <w:tcW w:w="4366" w:type="pct"/>
            <w:tcBorders>
              <w:tl2br w:val="nil"/>
              <w:tr2bl w:val="nil"/>
            </w:tcBorders>
            <w:vAlign w:val="center"/>
          </w:tcPr>
          <w:p w14:paraId="0675E3F0">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仲裁委员会名称：</w:t>
            </w:r>
            <w:r>
              <w:rPr>
                <w:rFonts w:hint="eastAsia" w:ascii="宋体" w:hAnsi="宋体" w:cs="宋体"/>
                <w:color w:val="auto"/>
                <w:szCs w:val="21"/>
                <w:highlight w:val="none"/>
                <w:u w:val="single"/>
              </w:rPr>
              <w:t xml:space="preserve"> / </w:t>
            </w:r>
          </w:p>
        </w:tc>
      </w:tr>
      <w:tr w14:paraId="740BB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4F601C72">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1.9.2</w:t>
            </w:r>
          </w:p>
        </w:tc>
        <w:tc>
          <w:tcPr>
            <w:tcW w:w="4366" w:type="pct"/>
            <w:tcBorders>
              <w:tl2br w:val="nil"/>
              <w:tr2bl w:val="nil"/>
            </w:tcBorders>
            <w:vAlign w:val="center"/>
          </w:tcPr>
          <w:p w14:paraId="04855E93">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起诉机构：</w:t>
            </w:r>
            <w:r>
              <w:rPr>
                <w:rFonts w:hint="eastAsia" w:ascii="宋体" w:hAnsi="宋体" w:cs="宋体"/>
                <w:color w:val="auto"/>
                <w:szCs w:val="21"/>
                <w:highlight w:val="none"/>
                <w:u w:val="single"/>
              </w:rPr>
              <w:t>甲方所在地人民法院</w:t>
            </w:r>
          </w:p>
        </w:tc>
      </w:tr>
      <w:tr w14:paraId="3A6DA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1" w:hRule="exact"/>
          <w:jc w:val="center"/>
        </w:trPr>
        <w:tc>
          <w:tcPr>
            <w:tcW w:w="633" w:type="pct"/>
            <w:tcBorders>
              <w:tl2br w:val="nil"/>
              <w:tr2bl w:val="nil"/>
            </w:tcBorders>
            <w:vAlign w:val="center"/>
          </w:tcPr>
          <w:p w14:paraId="64D7C8E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2.3.2</w:t>
            </w:r>
          </w:p>
        </w:tc>
        <w:tc>
          <w:tcPr>
            <w:tcW w:w="4366" w:type="pct"/>
            <w:tcBorders>
              <w:tl2br w:val="nil"/>
              <w:tr2bl w:val="nil"/>
            </w:tcBorders>
            <w:vAlign w:val="center"/>
          </w:tcPr>
          <w:p w14:paraId="46BCFA67">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技术成果的归属和收益：</w:t>
            </w:r>
            <w:r>
              <w:rPr>
                <w:rFonts w:hint="eastAsia" w:ascii="宋体" w:hAnsi="宋体" w:cs="宋体"/>
                <w:color w:val="auto"/>
                <w:szCs w:val="21"/>
                <w:highlight w:val="none"/>
                <w:u w:val="single"/>
              </w:rPr>
              <w:t>双方共有，未经对方同意，任何一方不得将资料、文件提供给与本项目无关的第三方使用。</w:t>
            </w:r>
          </w:p>
        </w:tc>
      </w:tr>
      <w:tr w14:paraId="1477C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EBE9781">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2.5</w:t>
            </w:r>
          </w:p>
        </w:tc>
        <w:tc>
          <w:tcPr>
            <w:tcW w:w="4366" w:type="pct"/>
            <w:tcBorders>
              <w:tl2br w:val="nil"/>
              <w:tr2bl w:val="nil"/>
            </w:tcBorders>
            <w:vAlign w:val="center"/>
          </w:tcPr>
          <w:p w14:paraId="269AED91">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同1.6.2款</w:t>
            </w:r>
          </w:p>
        </w:tc>
      </w:tr>
      <w:tr w14:paraId="75548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162CA606">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2.11.3</w:t>
            </w:r>
          </w:p>
        </w:tc>
        <w:tc>
          <w:tcPr>
            <w:tcW w:w="4366" w:type="pct"/>
            <w:tcBorders>
              <w:tl2br w:val="nil"/>
              <w:tr2bl w:val="nil"/>
            </w:tcBorders>
            <w:vAlign w:val="center"/>
          </w:tcPr>
          <w:p w14:paraId="1FCCE13F">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因不可抗力致使合同有变更必要的，双方当事人应在3个工作日内以书面形式变更合同</w:t>
            </w:r>
          </w:p>
        </w:tc>
      </w:tr>
      <w:tr w14:paraId="3C033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5AF256BA">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2.11.4</w:t>
            </w:r>
          </w:p>
        </w:tc>
        <w:tc>
          <w:tcPr>
            <w:tcW w:w="4366" w:type="pct"/>
            <w:tcBorders>
              <w:tl2br w:val="nil"/>
              <w:tr2bl w:val="nil"/>
            </w:tcBorders>
            <w:vAlign w:val="center"/>
          </w:tcPr>
          <w:p w14:paraId="67950F25">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2CD58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3F35833">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2.15.1</w:t>
            </w:r>
          </w:p>
        </w:tc>
        <w:tc>
          <w:tcPr>
            <w:tcW w:w="4366" w:type="pct"/>
            <w:tcBorders>
              <w:tl2br w:val="nil"/>
              <w:tr2bl w:val="nil"/>
            </w:tcBorders>
            <w:vAlign w:val="center"/>
          </w:tcPr>
          <w:p w14:paraId="28F55331">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乙方按合同要求提供服务，甲方每月根据相关要求及考核办法进行验收</w:t>
            </w:r>
          </w:p>
        </w:tc>
      </w:tr>
      <w:tr w14:paraId="5A8E1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62BC7B97">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2.15.3</w:t>
            </w:r>
          </w:p>
        </w:tc>
        <w:tc>
          <w:tcPr>
            <w:tcW w:w="4366" w:type="pct"/>
            <w:tcBorders>
              <w:tl2br w:val="nil"/>
              <w:tr2bl w:val="nil"/>
            </w:tcBorders>
            <w:vAlign w:val="center"/>
          </w:tcPr>
          <w:p w14:paraId="6BDE81DC">
            <w:pPr>
              <w:keepLines/>
              <w:wordWrap w:val="0"/>
              <w:topLinePunct/>
              <w:adjustRightInd/>
              <w:spacing w:line="360" w:lineRule="auto"/>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检验和验收标准、程序等具体内容以及前述验收书的效力：</w:t>
            </w:r>
            <w:r>
              <w:rPr>
                <w:rFonts w:hint="eastAsia" w:ascii="宋体" w:hAnsi="宋体" w:cs="宋体"/>
                <w:color w:val="auto"/>
                <w:szCs w:val="21"/>
                <w:highlight w:val="none"/>
                <w:u w:val="single"/>
              </w:rPr>
              <w:t>满足相关规范要求以及甲方制定的考核办法（如有）。</w:t>
            </w:r>
          </w:p>
        </w:tc>
      </w:tr>
      <w:tr w14:paraId="60321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9519E39">
            <w:pPr>
              <w:keepLines/>
              <w:wordWrap w:val="0"/>
              <w:topLinePunct/>
              <w:adjustRightInd/>
              <w:jc w:val="center"/>
              <w:rPr>
                <w:rFonts w:ascii="宋体" w:hAnsi="宋体" w:cs="宋体"/>
                <w:color w:val="auto"/>
                <w:szCs w:val="21"/>
                <w:highlight w:val="none"/>
              </w:rPr>
            </w:pPr>
            <w:r>
              <w:rPr>
                <w:rFonts w:hint="eastAsia" w:ascii="宋体" w:hAnsi="宋体" w:cs="宋体"/>
                <w:color w:val="auto"/>
                <w:szCs w:val="21"/>
                <w:highlight w:val="none"/>
              </w:rPr>
              <w:t>2.19</w:t>
            </w:r>
          </w:p>
        </w:tc>
        <w:tc>
          <w:tcPr>
            <w:tcW w:w="4366" w:type="pct"/>
            <w:tcBorders>
              <w:tl2br w:val="nil"/>
              <w:tr2bl w:val="nil"/>
            </w:tcBorders>
            <w:vAlign w:val="center"/>
          </w:tcPr>
          <w:p w14:paraId="23200A39">
            <w:pPr>
              <w:keepLines/>
              <w:wordWrap w:val="0"/>
              <w:topLinePunct/>
              <w:adjustRightInd/>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合同份数：</w:t>
            </w:r>
            <w:r>
              <w:rPr>
                <w:rFonts w:hint="eastAsia" w:ascii="宋体" w:hAnsi="宋体" w:cs="宋体"/>
                <w:color w:val="auto"/>
                <w:szCs w:val="21"/>
                <w:highlight w:val="none"/>
                <w:u w:val="single"/>
              </w:rPr>
              <w:t>一式肆份，双方各执贰份</w:t>
            </w:r>
          </w:p>
        </w:tc>
      </w:tr>
    </w:tbl>
    <w:p w14:paraId="1169753E">
      <w:pPr>
        <w:pStyle w:val="7"/>
        <w:snapToGrid w:val="0"/>
        <w:spacing w:before="120" w:after="120" w:line="360" w:lineRule="auto"/>
        <w:rPr>
          <w:rFonts w:hAnsi="宋体" w:cs="宋体"/>
          <w:color w:val="auto"/>
          <w:highlight w:val="none"/>
        </w:rPr>
      </w:pPr>
    </w:p>
    <w:p w14:paraId="3FBCDDA6">
      <w:pPr>
        <w:rPr>
          <w:rFonts w:ascii="宋体" w:hAnsi="宋体" w:cs="宋体"/>
          <w:color w:val="auto"/>
          <w:szCs w:val="21"/>
          <w:highlight w:val="none"/>
        </w:rPr>
      </w:pPr>
      <w:r>
        <w:rPr>
          <w:rFonts w:hint="eastAsia" w:ascii="宋体" w:hAnsi="宋体" w:cs="宋体"/>
          <w:color w:val="auto"/>
          <w:szCs w:val="21"/>
          <w:highlight w:val="none"/>
        </w:rPr>
        <w:br w:type="page"/>
      </w:r>
    </w:p>
    <w:p w14:paraId="6F0D983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bookmarkEnd w:id="394"/>
      <w:r>
        <w:rPr>
          <w:rFonts w:hint="eastAsia" w:ascii="宋体" w:hAnsi="宋体" w:cs="宋体"/>
          <w:b/>
          <w:color w:val="auto"/>
          <w:sz w:val="36"/>
          <w:szCs w:val="20"/>
          <w:highlight w:val="none"/>
        </w:rPr>
        <w:t xml:space="preserve"> 应提交的有关格式范例</w:t>
      </w:r>
    </w:p>
    <w:p w14:paraId="055447A7">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资格文件部分</w:t>
      </w:r>
    </w:p>
    <w:p w14:paraId="4866D346">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52A3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符合参加政府采购活动应当具备的一般条件的承诺函………………（页码）</w:t>
      </w:r>
    </w:p>
    <w:p w14:paraId="5353E5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联合协议…………………………………………………………………（页码）</w:t>
      </w:r>
    </w:p>
    <w:p w14:paraId="71C3BC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落实政府采购政策需满足的资格要求…………………………………（页码）</w:t>
      </w:r>
    </w:p>
    <w:p w14:paraId="4CF654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本项目的特定资格要求…………………………………………………（页码）</w:t>
      </w:r>
    </w:p>
    <w:p w14:paraId="344AEE76">
      <w:pPr>
        <w:snapToGrid w:val="0"/>
        <w:spacing w:line="360" w:lineRule="auto"/>
        <w:ind w:firstLine="480" w:firstLineChars="200"/>
        <w:rPr>
          <w:rFonts w:ascii="宋体" w:hAnsi="宋体" w:cs="宋体"/>
          <w:color w:val="auto"/>
          <w:sz w:val="24"/>
          <w:highlight w:val="none"/>
        </w:rPr>
      </w:pPr>
    </w:p>
    <w:p w14:paraId="49D2C90C">
      <w:pPr>
        <w:spacing w:line="360" w:lineRule="auto"/>
        <w:ind w:firstLine="480" w:firstLineChars="200"/>
        <w:rPr>
          <w:rFonts w:ascii="宋体" w:hAnsi="宋体" w:cs="宋体"/>
          <w:color w:val="auto"/>
          <w:sz w:val="24"/>
          <w:highlight w:val="none"/>
        </w:rPr>
      </w:pPr>
    </w:p>
    <w:p w14:paraId="66F80D06">
      <w:pPr>
        <w:jc w:val="center"/>
        <w:rPr>
          <w:rFonts w:ascii="宋体" w:hAnsi="宋体" w:cs="宋体"/>
          <w:color w:val="auto"/>
          <w:highlight w:val="none"/>
        </w:rPr>
      </w:pPr>
      <w:r>
        <w:rPr>
          <w:rFonts w:hint="eastAsia" w:ascii="宋体" w:hAnsi="宋体" w:cs="宋体"/>
          <w:color w:val="auto"/>
          <w:kern w:val="0"/>
          <w:sz w:val="24"/>
          <w:highlight w:val="none"/>
        </w:rPr>
        <w:br w:type="page"/>
      </w:r>
    </w:p>
    <w:p w14:paraId="7242D8E6">
      <w:pPr>
        <w:snapToGrid w:val="0"/>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 符合参加政府采购活动应当具备的一般条件的承诺函</w:t>
      </w:r>
    </w:p>
    <w:p w14:paraId="142F84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4350EB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我方参与（项目名称）【招标编号：（采购编号）】政府采购活动，郑重承诺：</w:t>
      </w:r>
    </w:p>
    <w:p w14:paraId="5EA4A2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61B7D0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B55A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77233D9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08E1D3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EAF25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19F3C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7620D17B">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07F8D8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56932E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BD10A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CE16E28">
      <w:pPr>
        <w:snapToGrid w:val="0"/>
        <w:spacing w:line="360" w:lineRule="auto"/>
        <w:ind w:firstLine="4830" w:firstLineChars="2300"/>
        <w:rPr>
          <w:rFonts w:ascii="宋体" w:hAnsi="宋体" w:cs="宋体"/>
          <w:color w:val="auto"/>
          <w:kern w:val="0"/>
          <w:szCs w:val="21"/>
          <w:highlight w:val="none"/>
          <w:lang w:val="zh-CN"/>
        </w:rPr>
      </w:pPr>
    </w:p>
    <w:p w14:paraId="7C8F0375">
      <w:pPr>
        <w:snapToGrid w:val="0"/>
        <w:spacing w:line="360" w:lineRule="auto"/>
        <w:ind w:firstLine="4620" w:firstLineChars="2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5742D41C">
      <w:pPr>
        <w:snapToGrid w:val="0"/>
        <w:spacing w:line="360" w:lineRule="auto"/>
        <w:ind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1E95249">
      <w:pPr>
        <w:snapToGrid w:val="0"/>
        <w:spacing w:line="360" w:lineRule="auto"/>
        <w:ind w:firstLine="4620" w:firstLineChars="2200"/>
        <w:jc w:val="left"/>
        <w:rPr>
          <w:rFonts w:ascii="宋体" w:hAnsi="宋体" w:cs="宋体"/>
          <w:color w:val="auto"/>
          <w:kern w:val="0"/>
          <w:szCs w:val="21"/>
          <w:highlight w:val="none"/>
          <w:lang w:val="zh-CN"/>
        </w:rPr>
      </w:pPr>
    </w:p>
    <w:p w14:paraId="271A2968">
      <w:pPr>
        <w:snapToGrid w:val="0"/>
        <w:spacing w:line="360" w:lineRule="auto"/>
        <w:ind w:firstLine="4620" w:firstLineChars="2200"/>
        <w:jc w:val="left"/>
        <w:rPr>
          <w:rFonts w:ascii="宋体" w:hAnsi="宋体" w:cs="宋体"/>
          <w:color w:val="auto"/>
          <w:kern w:val="0"/>
          <w:szCs w:val="21"/>
          <w:highlight w:val="none"/>
          <w:lang w:val="zh-CN"/>
        </w:rPr>
      </w:pPr>
    </w:p>
    <w:p w14:paraId="768FA7AE">
      <w:pPr>
        <w:snapToGrid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7333B73">
      <w:pPr>
        <w:snapToGrid w:val="0"/>
        <w:spacing w:line="360" w:lineRule="auto"/>
        <w:ind w:right="480"/>
        <w:jc w:val="center"/>
        <w:rPr>
          <w:rFonts w:ascii="宋体" w:hAnsi="宋体" w:cs="宋体"/>
          <w:b/>
          <w:color w:val="auto"/>
          <w:kern w:val="0"/>
          <w:sz w:val="32"/>
          <w:szCs w:val="32"/>
          <w:highlight w:val="none"/>
        </w:rPr>
      </w:pPr>
    </w:p>
    <w:p w14:paraId="7EE595A0">
      <w:pPr>
        <w:pStyle w:val="4"/>
        <w:rPr>
          <w:rFonts w:ascii="宋体" w:hAnsi="宋体" w:eastAsia="宋体" w:cs="宋体"/>
          <w:color w:val="auto"/>
          <w:kern w:val="0"/>
          <w:highlight w:val="none"/>
        </w:rPr>
      </w:pPr>
    </w:p>
    <w:p w14:paraId="2237A20C">
      <w:pPr>
        <w:rPr>
          <w:rFonts w:ascii="宋体" w:hAnsi="宋体" w:cs="宋体"/>
          <w:b/>
          <w:color w:val="auto"/>
          <w:kern w:val="0"/>
          <w:sz w:val="32"/>
          <w:szCs w:val="32"/>
          <w:highlight w:val="none"/>
        </w:rPr>
      </w:pPr>
    </w:p>
    <w:p w14:paraId="5E500F60">
      <w:pPr>
        <w:snapToGrid w:val="0"/>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7FDCDBAA">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[以联合体形式投标的，提供联合协议（附件5）；本项目不接受联合体投标或者投标人不以联合体形式投标的，则不需要提供。]</w:t>
      </w:r>
    </w:p>
    <w:p w14:paraId="7D582B35">
      <w:pPr>
        <w:snapToGrid w:val="0"/>
        <w:spacing w:before="319" w:beforeLines="100" w:after="319" w:afterLines="100"/>
        <w:jc w:val="center"/>
        <w:rPr>
          <w:rFonts w:ascii="宋体" w:hAnsi="宋体" w:cs="宋体"/>
          <w:b/>
          <w:color w:val="auto"/>
          <w:kern w:val="0"/>
          <w:sz w:val="28"/>
          <w:szCs w:val="28"/>
          <w:highlight w:val="none"/>
        </w:rPr>
      </w:pPr>
    </w:p>
    <w:p w14:paraId="4B537230">
      <w:pPr>
        <w:snapToGrid w:val="0"/>
        <w:spacing w:before="319" w:beforeLines="100" w:after="319" w:afterLines="100"/>
        <w:jc w:val="center"/>
        <w:rPr>
          <w:rFonts w:ascii="宋体" w:hAnsi="宋体" w:cs="宋体"/>
          <w:b/>
          <w:color w:val="auto"/>
          <w:kern w:val="0"/>
          <w:sz w:val="28"/>
          <w:szCs w:val="28"/>
          <w:highlight w:val="none"/>
        </w:rPr>
      </w:pPr>
    </w:p>
    <w:p w14:paraId="1EF91F35">
      <w:pPr>
        <w:snapToGrid w:val="0"/>
        <w:spacing w:before="319" w:beforeLines="100" w:after="319" w:afterLines="100"/>
        <w:jc w:val="center"/>
        <w:rPr>
          <w:rFonts w:ascii="宋体" w:hAnsi="宋体" w:cs="宋体"/>
          <w:b/>
          <w:color w:val="auto"/>
          <w:kern w:val="0"/>
          <w:sz w:val="28"/>
          <w:szCs w:val="28"/>
          <w:highlight w:val="none"/>
        </w:rPr>
      </w:pPr>
    </w:p>
    <w:p w14:paraId="591664D4">
      <w:pPr>
        <w:snapToGrid w:val="0"/>
        <w:spacing w:before="319" w:beforeLines="100" w:after="319" w:afterLines="100"/>
        <w:jc w:val="center"/>
        <w:rPr>
          <w:rFonts w:ascii="宋体" w:hAnsi="宋体" w:cs="宋体"/>
          <w:b/>
          <w:color w:val="auto"/>
          <w:kern w:val="0"/>
          <w:sz w:val="28"/>
          <w:szCs w:val="28"/>
          <w:highlight w:val="none"/>
        </w:rPr>
      </w:pPr>
    </w:p>
    <w:p w14:paraId="06F383E7">
      <w:pPr>
        <w:pStyle w:val="4"/>
        <w:rPr>
          <w:rFonts w:ascii="宋体" w:hAnsi="宋体" w:eastAsia="宋体" w:cs="宋体"/>
          <w:color w:val="auto"/>
          <w:kern w:val="0"/>
          <w:sz w:val="28"/>
          <w:szCs w:val="28"/>
          <w:highlight w:val="none"/>
        </w:rPr>
      </w:pPr>
    </w:p>
    <w:p w14:paraId="3B92B179">
      <w:pPr>
        <w:rPr>
          <w:rFonts w:ascii="宋体" w:hAnsi="宋体" w:cs="宋体"/>
          <w:b/>
          <w:color w:val="auto"/>
          <w:kern w:val="0"/>
          <w:sz w:val="28"/>
          <w:szCs w:val="28"/>
          <w:highlight w:val="none"/>
        </w:rPr>
      </w:pPr>
    </w:p>
    <w:p w14:paraId="0EB25780">
      <w:pPr>
        <w:pStyle w:val="4"/>
        <w:rPr>
          <w:rFonts w:ascii="宋体" w:hAnsi="宋体" w:eastAsia="宋体" w:cs="宋体"/>
          <w:color w:val="auto"/>
          <w:kern w:val="0"/>
          <w:sz w:val="28"/>
          <w:szCs w:val="28"/>
          <w:highlight w:val="none"/>
        </w:rPr>
      </w:pPr>
    </w:p>
    <w:p w14:paraId="406FECB6">
      <w:pPr>
        <w:rPr>
          <w:rFonts w:ascii="宋体" w:hAnsi="宋体" w:cs="宋体"/>
          <w:b/>
          <w:color w:val="auto"/>
          <w:kern w:val="0"/>
          <w:sz w:val="28"/>
          <w:szCs w:val="28"/>
          <w:highlight w:val="none"/>
        </w:rPr>
      </w:pPr>
    </w:p>
    <w:p w14:paraId="49FBC50A">
      <w:pPr>
        <w:pStyle w:val="4"/>
        <w:rPr>
          <w:rFonts w:ascii="宋体" w:hAnsi="宋体" w:eastAsia="宋体" w:cs="宋体"/>
          <w:color w:val="auto"/>
          <w:kern w:val="0"/>
          <w:sz w:val="28"/>
          <w:szCs w:val="28"/>
          <w:highlight w:val="none"/>
        </w:rPr>
      </w:pPr>
    </w:p>
    <w:p w14:paraId="6A963799">
      <w:pPr>
        <w:rPr>
          <w:rFonts w:ascii="宋体" w:hAnsi="宋体" w:cs="宋体"/>
          <w:b/>
          <w:color w:val="auto"/>
          <w:kern w:val="0"/>
          <w:sz w:val="28"/>
          <w:szCs w:val="28"/>
          <w:highlight w:val="none"/>
        </w:rPr>
      </w:pPr>
    </w:p>
    <w:p w14:paraId="455C6C0A">
      <w:pPr>
        <w:pStyle w:val="4"/>
        <w:rPr>
          <w:rFonts w:ascii="宋体" w:hAnsi="宋体" w:eastAsia="宋体" w:cs="宋体"/>
          <w:color w:val="auto"/>
          <w:kern w:val="0"/>
          <w:sz w:val="28"/>
          <w:szCs w:val="28"/>
          <w:highlight w:val="none"/>
        </w:rPr>
      </w:pPr>
    </w:p>
    <w:p w14:paraId="37C25FF2">
      <w:pPr>
        <w:rPr>
          <w:rFonts w:ascii="宋体" w:hAnsi="宋体" w:cs="宋体"/>
          <w:b/>
          <w:color w:val="auto"/>
          <w:kern w:val="0"/>
          <w:sz w:val="28"/>
          <w:szCs w:val="28"/>
          <w:highlight w:val="none"/>
        </w:rPr>
      </w:pPr>
    </w:p>
    <w:p w14:paraId="409A4407">
      <w:pPr>
        <w:pStyle w:val="4"/>
        <w:rPr>
          <w:rFonts w:ascii="宋体" w:hAnsi="宋体" w:eastAsia="宋体" w:cs="宋体"/>
          <w:color w:val="auto"/>
          <w:kern w:val="0"/>
          <w:sz w:val="28"/>
          <w:szCs w:val="28"/>
          <w:highlight w:val="none"/>
        </w:rPr>
      </w:pPr>
    </w:p>
    <w:p w14:paraId="7AF92520">
      <w:pPr>
        <w:rPr>
          <w:rFonts w:ascii="宋体" w:hAnsi="宋体" w:cs="宋体"/>
          <w:b/>
          <w:color w:val="auto"/>
          <w:kern w:val="0"/>
          <w:sz w:val="28"/>
          <w:szCs w:val="28"/>
          <w:highlight w:val="none"/>
        </w:rPr>
      </w:pPr>
    </w:p>
    <w:p w14:paraId="23D53861">
      <w:pPr>
        <w:pStyle w:val="4"/>
        <w:rPr>
          <w:rFonts w:ascii="宋体" w:hAnsi="宋体" w:eastAsia="宋体" w:cs="宋体"/>
          <w:color w:val="auto"/>
          <w:kern w:val="0"/>
          <w:sz w:val="28"/>
          <w:szCs w:val="28"/>
          <w:highlight w:val="none"/>
        </w:rPr>
      </w:pPr>
    </w:p>
    <w:p w14:paraId="620E8968">
      <w:pPr>
        <w:rPr>
          <w:rFonts w:ascii="宋体" w:hAnsi="宋体" w:cs="宋体"/>
          <w:b/>
          <w:color w:val="auto"/>
          <w:kern w:val="0"/>
          <w:sz w:val="28"/>
          <w:szCs w:val="28"/>
          <w:highlight w:val="none"/>
        </w:rPr>
      </w:pPr>
    </w:p>
    <w:p w14:paraId="70555227">
      <w:pPr>
        <w:pStyle w:val="4"/>
        <w:rPr>
          <w:rFonts w:ascii="宋体" w:hAnsi="宋体" w:eastAsia="宋体" w:cs="宋体"/>
          <w:color w:val="auto"/>
          <w:kern w:val="0"/>
          <w:sz w:val="28"/>
          <w:szCs w:val="28"/>
          <w:highlight w:val="none"/>
        </w:rPr>
      </w:pPr>
    </w:p>
    <w:p w14:paraId="5E4E9013">
      <w:pPr>
        <w:rPr>
          <w:rFonts w:ascii="宋体" w:hAnsi="宋体" w:cs="宋体"/>
          <w:b/>
          <w:color w:val="auto"/>
          <w:kern w:val="0"/>
          <w:sz w:val="28"/>
          <w:szCs w:val="28"/>
          <w:highlight w:val="none"/>
        </w:rPr>
      </w:pPr>
    </w:p>
    <w:p w14:paraId="482F8377">
      <w:pPr>
        <w:snapToGrid w:val="0"/>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502A2FA1">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3C1D1B98">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.专门面向中小企业，服务全部由符合政策要求的中小企业（或小微企业）承接的，提供相应的中小企业声明函（附件7）。</w:t>
      </w:r>
    </w:p>
    <w:p w14:paraId="5B272FD2">
      <w:pPr>
        <w:widowControl/>
        <w:spacing w:line="360" w:lineRule="auto"/>
        <w:ind w:firstLine="420" w:firstLineChars="200"/>
        <w:jc w:val="left"/>
        <w:rPr>
          <w:rFonts w:ascii="宋体" w:hAnsi="宋体" w:cs="宋体"/>
          <w:color w:val="auto"/>
          <w:szCs w:val="21"/>
          <w:highlight w:val="none"/>
        </w:rPr>
      </w:pPr>
    </w:p>
    <w:p w14:paraId="79CD6D62">
      <w:pPr>
        <w:widowControl/>
        <w:spacing w:line="360" w:lineRule="auto"/>
        <w:ind w:firstLine="422" w:firstLineChars="200"/>
        <w:jc w:val="left"/>
        <w:rPr>
          <w:rFonts w:ascii="宋体" w:hAnsi="宋体" w:cs="宋体"/>
          <w:color w:val="auto"/>
          <w:sz w:val="24"/>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06D1213E">
      <w:pPr>
        <w:spacing w:line="360" w:lineRule="auto"/>
        <w:ind w:firstLine="422" w:firstLineChars="200"/>
        <w:rPr>
          <w:rFonts w:ascii="宋体" w:hAnsi="宋体" w:cs="宋体"/>
          <w:b/>
          <w:color w:val="auto"/>
          <w:szCs w:val="21"/>
          <w:highlight w:val="none"/>
        </w:rPr>
      </w:pPr>
    </w:p>
    <w:p w14:paraId="650151BF">
      <w:pPr>
        <w:spacing w:line="360" w:lineRule="auto"/>
        <w:ind w:firstLine="422" w:firstLineChars="200"/>
        <w:rPr>
          <w:rFonts w:ascii="宋体" w:hAnsi="宋体" w:cs="宋体"/>
          <w:color w:val="auto"/>
          <w:sz w:val="24"/>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08568E0">
      <w:pPr>
        <w:spacing w:line="360" w:lineRule="auto"/>
        <w:jc w:val="center"/>
        <w:rPr>
          <w:rFonts w:ascii="宋体" w:hAnsi="宋体" w:cs="宋体"/>
          <w:color w:val="auto"/>
          <w:kern w:val="0"/>
          <w:sz w:val="24"/>
          <w:highlight w:val="none"/>
          <w:lang w:val="zh-CN"/>
        </w:rPr>
      </w:pPr>
    </w:p>
    <w:p w14:paraId="6BC03FC1">
      <w:pPr>
        <w:widowControl/>
        <w:spacing w:line="360" w:lineRule="auto"/>
        <w:ind w:left="150"/>
        <w:jc w:val="center"/>
        <w:rPr>
          <w:rFonts w:ascii="宋体" w:hAnsi="宋体" w:cs="宋体"/>
          <w:b/>
          <w:color w:val="auto"/>
          <w:kern w:val="0"/>
          <w:sz w:val="32"/>
          <w:szCs w:val="32"/>
          <w:highlight w:val="none"/>
        </w:rPr>
      </w:pPr>
    </w:p>
    <w:p w14:paraId="06C3F4C7">
      <w:pPr>
        <w:widowControl/>
        <w:spacing w:line="360" w:lineRule="auto"/>
        <w:ind w:left="150"/>
        <w:jc w:val="center"/>
        <w:rPr>
          <w:rFonts w:ascii="宋体" w:hAnsi="宋体" w:cs="宋体"/>
          <w:b/>
          <w:color w:val="auto"/>
          <w:kern w:val="0"/>
          <w:sz w:val="32"/>
          <w:szCs w:val="32"/>
          <w:highlight w:val="none"/>
        </w:rPr>
      </w:pPr>
    </w:p>
    <w:p w14:paraId="4A503907">
      <w:pPr>
        <w:widowControl/>
        <w:spacing w:line="360" w:lineRule="auto"/>
        <w:ind w:left="150"/>
        <w:jc w:val="center"/>
        <w:rPr>
          <w:rFonts w:ascii="宋体" w:hAnsi="宋体" w:cs="宋体"/>
          <w:b/>
          <w:color w:val="auto"/>
          <w:kern w:val="0"/>
          <w:sz w:val="32"/>
          <w:szCs w:val="32"/>
          <w:highlight w:val="none"/>
        </w:rPr>
      </w:pPr>
    </w:p>
    <w:p w14:paraId="4A413A55">
      <w:pPr>
        <w:widowControl/>
        <w:spacing w:line="360" w:lineRule="auto"/>
        <w:ind w:left="150"/>
        <w:jc w:val="center"/>
        <w:rPr>
          <w:rFonts w:ascii="宋体" w:hAnsi="宋体" w:cs="宋体"/>
          <w:b/>
          <w:color w:val="auto"/>
          <w:kern w:val="0"/>
          <w:sz w:val="32"/>
          <w:szCs w:val="32"/>
          <w:highlight w:val="none"/>
        </w:rPr>
      </w:pPr>
    </w:p>
    <w:p w14:paraId="55B5BE43">
      <w:pPr>
        <w:widowControl/>
        <w:spacing w:line="360" w:lineRule="auto"/>
        <w:ind w:left="150"/>
        <w:jc w:val="center"/>
        <w:rPr>
          <w:rFonts w:ascii="宋体" w:hAnsi="宋体" w:cs="宋体"/>
          <w:b/>
          <w:color w:val="auto"/>
          <w:kern w:val="0"/>
          <w:sz w:val="32"/>
          <w:szCs w:val="32"/>
          <w:highlight w:val="none"/>
        </w:rPr>
      </w:pPr>
    </w:p>
    <w:p w14:paraId="2A44FC92">
      <w:pPr>
        <w:widowControl/>
        <w:spacing w:line="360" w:lineRule="auto"/>
        <w:ind w:left="150"/>
        <w:jc w:val="center"/>
        <w:rPr>
          <w:rFonts w:ascii="宋体" w:hAnsi="宋体" w:cs="宋体"/>
          <w:b/>
          <w:color w:val="auto"/>
          <w:kern w:val="0"/>
          <w:sz w:val="32"/>
          <w:szCs w:val="32"/>
          <w:highlight w:val="none"/>
        </w:rPr>
      </w:pPr>
    </w:p>
    <w:p w14:paraId="31052399">
      <w:pPr>
        <w:widowControl/>
        <w:spacing w:line="360" w:lineRule="auto"/>
        <w:ind w:left="150"/>
        <w:jc w:val="center"/>
        <w:rPr>
          <w:rFonts w:ascii="宋体" w:hAnsi="宋体" w:cs="宋体"/>
          <w:b/>
          <w:color w:val="auto"/>
          <w:kern w:val="0"/>
          <w:sz w:val="32"/>
          <w:szCs w:val="32"/>
          <w:highlight w:val="none"/>
        </w:rPr>
      </w:pPr>
    </w:p>
    <w:p w14:paraId="7A95EE3C">
      <w:pPr>
        <w:widowControl/>
        <w:spacing w:line="360" w:lineRule="auto"/>
        <w:ind w:left="150"/>
        <w:jc w:val="center"/>
        <w:rPr>
          <w:rFonts w:ascii="宋体" w:hAnsi="宋体" w:cs="宋体"/>
          <w:b/>
          <w:color w:val="auto"/>
          <w:kern w:val="0"/>
          <w:sz w:val="32"/>
          <w:szCs w:val="32"/>
          <w:highlight w:val="none"/>
        </w:rPr>
      </w:pPr>
    </w:p>
    <w:p w14:paraId="03456038">
      <w:pPr>
        <w:widowControl/>
        <w:spacing w:line="360" w:lineRule="auto"/>
        <w:ind w:left="150"/>
        <w:jc w:val="center"/>
        <w:rPr>
          <w:rFonts w:ascii="宋体" w:hAnsi="宋体" w:cs="宋体"/>
          <w:b/>
          <w:color w:val="auto"/>
          <w:kern w:val="0"/>
          <w:sz w:val="32"/>
          <w:szCs w:val="32"/>
          <w:highlight w:val="none"/>
        </w:rPr>
      </w:pPr>
    </w:p>
    <w:p w14:paraId="302D371E">
      <w:pPr>
        <w:snapToGrid w:val="0"/>
        <w:spacing w:before="319" w:beforeLines="100" w:after="319" w:afterLines="100"/>
        <w:jc w:val="center"/>
        <w:rPr>
          <w:rFonts w:ascii="宋体" w:hAnsi="宋体" w:cs="宋体"/>
          <w:b/>
          <w:color w:val="auto"/>
          <w:kern w:val="0"/>
          <w:sz w:val="28"/>
          <w:szCs w:val="28"/>
          <w:highlight w:val="none"/>
        </w:rPr>
      </w:pPr>
    </w:p>
    <w:p w14:paraId="76E9E212">
      <w:pPr>
        <w:snapToGrid w:val="0"/>
        <w:spacing w:before="319" w:beforeLines="100" w:after="319" w:afterLines="100"/>
        <w:jc w:val="center"/>
        <w:rPr>
          <w:rFonts w:ascii="宋体" w:hAnsi="宋体" w:cs="宋体"/>
          <w:b/>
          <w:color w:val="auto"/>
          <w:kern w:val="0"/>
          <w:sz w:val="28"/>
          <w:szCs w:val="28"/>
          <w:highlight w:val="none"/>
        </w:rPr>
      </w:pPr>
    </w:p>
    <w:p w14:paraId="209959F8">
      <w:pPr>
        <w:snapToGrid w:val="0"/>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56285BF5">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43AF8150">
      <w:pPr>
        <w:rPr>
          <w:rFonts w:ascii="宋体" w:hAnsi="宋体" w:cs="宋体"/>
          <w:color w:val="auto"/>
          <w:highlight w:val="none"/>
        </w:rPr>
      </w:pPr>
    </w:p>
    <w:p w14:paraId="171735F5">
      <w:pPr>
        <w:snapToGrid w:val="0"/>
        <w:spacing w:line="360" w:lineRule="auto"/>
        <w:ind w:right="480"/>
        <w:jc w:val="center"/>
        <w:rPr>
          <w:rFonts w:ascii="宋体" w:hAnsi="宋体" w:cs="宋体"/>
          <w:b/>
          <w:color w:val="auto"/>
          <w:kern w:val="0"/>
          <w:sz w:val="32"/>
          <w:szCs w:val="32"/>
          <w:highlight w:val="none"/>
        </w:rPr>
      </w:pPr>
    </w:p>
    <w:p w14:paraId="7784399F">
      <w:pPr>
        <w:snapToGrid w:val="0"/>
        <w:spacing w:line="360" w:lineRule="auto"/>
        <w:ind w:right="480"/>
        <w:jc w:val="center"/>
        <w:rPr>
          <w:rFonts w:ascii="宋体" w:hAnsi="宋体" w:cs="宋体"/>
          <w:b/>
          <w:color w:val="auto"/>
          <w:kern w:val="0"/>
          <w:sz w:val="32"/>
          <w:szCs w:val="32"/>
          <w:highlight w:val="none"/>
        </w:rPr>
      </w:pPr>
    </w:p>
    <w:p w14:paraId="252B395B">
      <w:pPr>
        <w:snapToGrid w:val="0"/>
        <w:spacing w:line="360" w:lineRule="auto"/>
        <w:ind w:right="480"/>
        <w:jc w:val="center"/>
        <w:rPr>
          <w:rFonts w:ascii="宋体" w:hAnsi="宋体" w:cs="宋体"/>
          <w:b/>
          <w:color w:val="auto"/>
          <w:kern w:val="0"/>
          <w:sz w:val="32"/>
          <w:szCs w:val="32"/>
          <w:highlight w:val="none"/>
        </w:rPr>
      </w:pPr>
    </w:p>
    <w:p w14:paraId="48A27768">
      <w:pPr>
        <w:snapToGrid w:val="0"/>
        <w:spacing w:line="360" w:lineRule="auto"/>
        <w:ind w:right="480"/>
        <w:jc w:val="center"/>
        <w:rPr>
          <w:rFonts w:ascii="宋体" w:hAnsi="宋体" w:cs="宋体"/>
          <w:b/>
          <w:color w:val="auto"/>
          <w:kern w:val="0"/>
          <w:sz w:val="32"/>
          <w:szCs w:val="32"/>
          <w:highlight w:val="none"/>
        </w:rPr>
      </w:pPr>
    </w:p>
    <w:p w14:paraId="43603F53">
      <w:pPr>
        <w:snapToGrid w:val="0"/>
        <w:spacing w:line="360" w:lineRule="auto"/>
        <w:ind w:right="480"/>
        <w:jc w:val="center"/>
        <w:rPr>
          <w:rFonts w:ascii="宋体" w:hAnsi="宋体" w:cs="宋体"/>
          <w:b/>
          <w:color w:val="auto"/>
          <w:kern w:val="0"/>
          <w:sz w:val="32"/>
          <w:szCs w:val="32"/>
          <w:highlight w:val="none"/>
        </w:rPr>
      </w:pPr>
    </w:p>
    <w:p w14:paraId="3426ADF7">
      <w:pPr>
        <w:snapToGrid w:val="0"/>
        <w:spacing w:line="360" w:lineRule="auto"/>
        <w:ind w:right="480"/>
        <w:jc w:val="center"/>
        <w:rPr>
          <w:rFonts w:ascii="宋体" w:hAnsi="宋体" w:cs="宋体"/>
          <w:b/>
          <w:color w:val="auto"/>
          <w:kern w:val="0"/>
          <w:sz w:val="32"/>
          <w:szCs w:val="32"/>
          <w:highlight w:val="none"/>
        </w:rPr>
      </w:pPr>
    </w:p>
    <w:p w14:paraId="4E5EEB53">
      <w:pPr>
        <w:spacing w:line="360" w:lineRule="auto"/>
        <w:jc w:val="center"/>
        <w:outlineLvl w:val="0"/>
        <w:rPr>
          <w:rFonts w:ascii="宋体" w:hAnsi="宋体" w:cs="宋体"/>
          <w:b/>
          <w:color w:val="auto"/>
          <w:kern w:val="0"/>
          <w:sz w:val="36"/>
          <w:szCs w:val="36"/>
          <w:highlight w:val="none"/>
        </w:rPr>
      </w:pPr>
    </w:p>
    <w:p w14:paraId="4E4D93BD">
      <w:pPr>
        <w:snapToGrid w:val="0"/>
        <w:spacing w:line="360" w:lineRule="auto"/>
        <w:ind w:right="480"/>
        <w:jc w:val="center"/>
        <w:rPr>
          <w:rFonts w:ascii="宋体" w:hAnsi="宋体" w:cs="宋体"/>
          <w:b/>
          <w:color w:val="auto"/>
          <w:kern w:val="0"/>
          <w:sz w:val="32"/>
          <w:szCs w:val="32"/>
          <w:highlight w:val="none"/>
        </w:rPr>
      </w:pPr>
    </w:p>
    <w:p w14:paraId="0525F2FD">
      <w:pPr>
        <w:spacing w:line="360" w:lineRule="auto"/>
        <w:jc w:val="center"/>
        <w:outlineLvl w:val="0"/>
        <w:rPr>
          <w:rFonts w:ascii="宋体" w:hAnsi="宋体" w:cs="宋体"/>
          <w:b/>
          <w:color w:val="auto"/>
          <w:kern w:val="0"/>
          <w:sz w:val="36"/>
          <w:szCs w:val="36"/>
          <w:highlight w:val="none"/>
        </w:rPr>
      </w:pPr>
    </w:p>
    <w:p w14:paraId="4E766A51">
      <w:pPr>
        <w:snapToGrid w:val="0"/>
        <w:spacing w:line="360" w:lineRule="auto"/>
        <w:ind w:right="480"/>
        <w:jc w:val="center"/>
        <w:rPr>
          <w:rFonts w:ascii="宋体" w:hAnsi="宋体" w:cs="宋体"/>
          <w:b/>
          <w:color w:val="auto"/>
          <w:kern w:val="0"/>
          <w:sz w:val="32"/>
          <w:szCs w:val="32"/>
          <w:highlight w:val="none"/>
        </w:rPr>
      </w:pPr>
    </w:p>
    <w:p w14:paraId="5838DE38">
      <w:pPr>
        <w:spacing w:line="360" w:lineRule="auto"/>
        <w:jc w:val="center"/>
        <w:outlineLvl w:val="0"/>
        <w:rPr>
          <w:rFonts w:ascii="宋体" w:hAnsi="宋体" w:cs="宋体"/>
          <w:b/>
          <w:color w:val="auto"/>
          <w:kern w:val="0"/>
          <w:sz w:val="36"/>
          <w:szCs w:val="36"/>
          <w:highlight w:val="none"/>
        </w:rPr>
      </w:pPr>
    </w:p>
    <w:p w14:paraId="3073A42A">
      <w:pPr>
        <w:adjustRightInd/>
        <w:spacing w:before="319" w:beforeLines="100" w:after="319" w:afterLines="10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28"/>
          <w:szCs w:val="28"/>
          <w:highlight w:val="none"/>
        </w:rPr>
        <w:t>商务技术文件部分</w:t>
      </w:r>
    </w:p>
    <w:p w14:paraId="372232A4">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F9D863">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投标函…………………………………………………………………………（页码）</w:t>
      </w:r>
    </w:p>
    <w:p w14:paraId="3B783FCA">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授权委托书或法定代表人（单位负责人、自然人本人）身份证明………（页码）</w:t>
      </w:r>
    </w:p>
    <w:p w14:paraId="4170EE38">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分包意向协议…………………………………………………………………（页码）</w:t>
      </w:r>
    </w:p>
    <w:p w14:paraId="67D6C524">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符合性审查资料………………………………………………………………（页码）</w:t>
      </w:r>
    </w:p>
    <w:p w14:paraId="4785B4E9">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评标标准相应的商务技术资料………………………………………………（页码）</w:t>
      </w:r>
    </w:p>
    <w:p w14:paraId="75B2787B">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投标标的清单…………………………………………………………………（页码）</w:t>
      </w:r>
    </w:p>
    <w:p w14:paraId="4B5A5D17">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商务技术偏离表………………………………………………………………（页码）</w:t>
      </w:r>
    </w:p>
    <w:p w14:paraId="69115FDA">
      <w:p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2F75A44B">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18987B6">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6383DD04">
      <w:pPr>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2C004956">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（采购编号）】招标的有关活动，并对此项目进行投标。为此：</w:t>
      </w:r>
    </w:p>
    <w:p w14:paraId="6A869510">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0C9F77AA">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235641E0">
      <w:pPr>
        <w:snapToGrid w:val="0"/>
        <w:spacing w:line="312" w:lineRule="auto"/>
        <w:ind w:firstLine="630" w:firstLineChars="300"/>
        <w:rPr>
          <w:rFonts w:ascii="宋体" w:hAnsi="宋体" w:cs="宋体"/>
          <w:b/>
          <w:bCs/>
          <w:color w:val="auto"/>
          <w:szCs w:val="21"/>
          <w:highlight w:val="none"/>
        </w:rPr>
      </w:pPr>
      <w:r>
        <w:rPr>
          <w:rFonts w:hint="eastAsia" w:ascii="宋体" w:hAnsi="宋体" w:cs="宋体"/>
          <w:color w:val="auto"/>
          <w:szCs w:val="21"/>
          <w:highlight w:val="none"/>
        </w:rPr>
        <w:t>2.1 资格文件：</w:t>
      </w:r>
    </w:p>
    <w:p w14:paraId="2848DD24">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2.1.1 承诺函；</w:t>
      </w:r>
    </w:p>
    <w:p w14:paraId="2D4E9E96">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2.1.2 联合协议（如果有）；</w:t>
      </w:r>
    </w:p>
    <w:p w14:paraId="178A2BAC">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2.1.3 落实政府采购政策需满足的资格要求（如果有）；</w:t>
      </w:r>
    </w:p>
    <w:p w14:paraId="07E48C83">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2.1.4 本项目的特定资格要求（如果有）。</w:t>
      </w:r>
    </w:p>
    <w:p w14:paraId="043403A5">
      <w:pPr>
        <w:snapToGrid w:val="0"/>
        <w:spacing w:line="312" w:lineRule="auto"/>
        <w:ind w:firstLine="630" w:firstLineChars="3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 商务技术</w:t>
      </w:r>
      <w:r>
        <w:rPr>
          <w:rFonts w:hint="eastAsia" w:ascii="宋体" w:hAnsi="宋体" w:cs="宋体"/>
          <w:color w:val="auto"/>
          <w:szCs w:val="21"/>
          <w:highlight w:val="none"/>
          <w:lang w:val="zh-CN"/>
        </w:rPr>
        <w:t>文件：</w:t>
      </w:r>
    </w:p>
    <w:p w14:paraId="02CC0E01">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2.2.1 投标函；</w:t>
      </w:r>
    </w:p>
    <w:p w14:paraId="1AFBBE09">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2.2.2 授权委托书或法定代表人（单位负责人）身份证明；</w:t>
      </w:r>
    </w:p>
    <w:p w14:paraId="7AEE4287">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2.2.3 分包意向协议（如果有）；</w:t>
      </w:r>
    </w:p>
    <w:p w14:paraId="3ECD35D4">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2.2.4 符合性审查资料；</w:t>
      </w:r>
    </w:p>
    <w:p w14:paraId="4D111D87">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2.2.5 评标标准相应的商务技术资料；</w:t>
      </w:r>
    </w:p>
    <w:p w14:paraId="0B855935">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2.2.6 投标标的清单；</w:t>
      </w:r>
    </w:p>
    <w:p w14:paraId="2B86A0A1">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2.2.7 商务技术偏离表；</w:t>
      </w:r>
    </w:p>
    <w:p w14:paraId="5E99C87C">
      <w:pPr>
        <w:snapToGrid w:val="0"/>
        <w:spacing w:line="312"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8 </w:t>
      </w:r>
      <w:r>
        <w:rPr>
          <w:rFonts w:hint="eastAsia" w:ascii="宋体" w:hAnsi="宋体" w:cs="宋体"/>
          <w:color w:val="auto"/>
          <w:szCs w:val="21"/>
          <w:highlight w:val="none"/>
          <w:lang w:val="zh-CN"/>
        </w:rPr>
        <w:t>政府采购供应商廉洁自律承诺书；</w:t>
      </w:r>
    </w:p>
    <w:p w14:paraId="7147A33A">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 报价文件</w:t>
      </w:r>
    </w:p>
    <w:p w14:paraId="69334FFE">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2.3.1 开标一览表（报价表）；</w:t>
      </w:r>
    </w:p>
    <w:p w14:paraId="20B47F65">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2.3.2 报价明细表；</w:t>
      </w:r>
    </w:p>
    <w:p w14:paraId="6607C055">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2.3.3 报价情况说明（如有）；</w:t>
      </w:r>
    </w:p>
    <w:p w14:paraId="362976B0">
      <w:pPr>
        <w:snapToGrid w:val="0"/>
        <w:spacing w:line="312"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2.3.3 中小企业声明函（如果有，招标公告中明确本项目专门面向中小企业采购的，此处可不提供）。</w:t>
      </w:r>
    </w:p>
    <w:p w14:paraId="5BFA6A51">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1EE17BFD">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5897F9C9">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4.1 在收到中标通知书后，在中标通知书规定的期限内与你方签订合同； </w:t>
      </w:r>
    </w:p>
    <w:p w14:paraId="7EDE479E">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4.2 在签订合同时不向你方提出附加条件； </w:t>
      </w:r>
    </w:p>
    <w:p w14:paraId="5F2EAE77">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4.3 按照招标文件要求提交履约保证金； </w:t>
      </w:r>
    </w:p>
    <w:p w14:paraId="085C8CFA">
      <w:pPr>
        <w:snapToGrid w:val="0"/>
        <w:spacing w:line="312"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4.4 在合同约定的期限内完成合同规定的全部义务。 </w:t>
      </w:r>
    </w:p>
    <w:p w14:paraId="7B0557F0">
      <w:pPr>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1737D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2166EBD8">
      <w:pPr>
        <w:spacing w:line="360" w:lineRule="auto"/>
        <w:ind w:firstLine="4620" w:firstLineChars="2200"/>
        <w:rPr>
          <w:rFonts w:ascii="宋体" w:hAnsi="宋体" w:cs="宋体"/>
          <w:color w:val="auto"/>
          <w:sz w:val="24"/>
          <w:highlight w:val="none"/>
        </w:rPr>
      </w:pPr>
      <w:r>
        <w:rPr>
          <w:rFonts w:hint="eastAsia" w:ascii="宋体" w:hAnsi="宋体" w:cs="宋体"/>
          <w:color w:val="auto"/>
          <w:szCs w:val="21"/>
          <w:highlight w:val="none"/>
        </w:rPr>
        <w:t>日期：  年   月   日</w:t>
      </w:r>
    </w:p>
    <w:p w14:paraId="0B043720">
      <w:pPr>
        <w:snapToGrid w:val="0"/>
        <w:rPr>
          <w:rFonts w:ascii="宋体" w:hAnsi="宋体" w:cs="宋体"/>
          <w:b/>
          <w:bCs/>
          <w:color w:val="auto"/>
          <w:szCs w:val="21"/>
          <w:highlight w:val="none"/>
        </w:rPr>
      </w:pPr>
      <w:r>
        <w:rPr>
          <w:rFonts w:hint="eastAsia" w:ascii="宋体" w:hAnsi="宋体" w:cs="宋体"/>
          <w:b/>
          <w:bCs/>
          <w:color w:val="auto"/>
          <w:szCs w:val="21"/>
          <w:highlight w:val="none"/>
          <w:lang w:val="zh-CN"/>
        </w:rPr>
        <w:t>注</w:t>
      </w:r>
      <w:r>
        <w:rPr>
          <w:rFonts w:hint="eastAsia" w:ascii="宋体" w:hAnsi="宋体" w:cs="宋体"/>
          <w:b/>
          <w:bCs/>
          <w:color w:val="auto"/>
          <w:szCs w:val="21"/>
          <w:highlight w:val="none"/>
        </w:rPr>
        <w:t>：</w:t>
      </w:r>
      <w:r>
        <w:rPr>
          <w:rFonts w:hint="eastAsia" w:ascii="宋体" w:hAnsi="宋体" w:cs="宋体"/>
          <w:b/>
          <w:bCs/>
          <w:color w:val="auto"/>
          <w:szCs w:val="21"/>
          <w:highlight w:val="none"/>
          <w:lang w:val="zh-CN"/>
        </w:rPr>
        <w:t>按本格式和要求提供。</w:t>
      </w:r>
    </w:p>
    <w:p w14:paraId="2EA8BD11">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188AD5BC">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zh-CN"/>
        </w:rPr>
        <w:t>授权委托书（适用于非联合体投标）</w:t>
      </w:r>
    </w:p>
    <w:p w14:paraId="7C28113A">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58AE9005">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政府采购投标的一切事项，其法律后果由我方承担。</w:t>
      </w:r>
    </w:p>
    <w:p w14:paraId="614AA8A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1D10BE5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621C928D">
      <w:pPr>
        <w:snapToGrid w:val="0"/>
        <w:spacing w:line="360" w:lineRule="auto"/>
        <w:ind w:firstLine="4620" w:firstLineChars="22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33A3C61E">
      <w:pPr>
        <w:snapToGrid w:val="0"/>
        <w:spacing w:line="360" w:lineRule="auto"/>
        <w:ind w:firstLine="4620" w:firstLineChars="220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签发日期：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D85A4CB">
      <w:pPr>
        <w:snapToGrid w:val="0"/>
        <w:spacing w:line="360" w:lineRule="auto"/>
        <w:rPr>
          <w:rFonts w:ascii="宋体" w:hAnsi="宋体" w:cs="宋体"/>
          <w:color w:val="auto"/>
          <w:sz w:val="24"/>
          <w:highlight w:val="none"/>
        </w:rPr>
      </w:pPr>
    </w:p>
    <w:p w14:paraId="54B2C744">
      <w:pPr>
        <w:jc w:val="center"/>
        <w:rPr>
          <w:rFonts w:ascii="宋体" w:hAnsi="宋体" w:cs="宋体"/>
          <w:b/>
          <w:color w:val="auto"/>
          <w:kern w:val="0"/>
          <w:sz w:val="32"/>
          <w:szCs w:val="32"/>
          <w:highlight w:val="none"/>
          <w:lang w:val="zh-CN"/>
        </w:rPr>
      </w:pPr>
    </w:p>
    <w:p w14:paraId="0F02B7E9">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14:paraId="3BBCDECD">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3EF2303A">
      <w:pPr>
        <w:wordWrap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（项目名称）【招标编号：</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政府采购投标的一切事项，其法律后果由我方承担。</w:t>
      </w:r>
    </w:p>
    <w:p w14:paraId="23A16FB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2686BA2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14:paraId="5AFD2933">
      <w:pPr>
        <w:spacing w:line="360" w:lineRule="auto"/>
        <w:jc w:val="center"/>
        <w:rPr>
          <w:rFonts w:ascii="宋体" w:hAnsi="宋体" w:cs="宋体"/>
          <w:b/>
          <w:color w:val="auto"/>
          <w:kern w:val="0"/>
          <w:szCs w:val="21"/>
          <w:highlight w:val="none"/>
        </w:rPr>
      </w:pPr>
    </w:p>
    <w:p w14:paraId="238D2428">
      <w:pPr>
        <w:spacing w:line="360" w:lineRule="auto"/>
        <w:rPr>
          <w:rFonts w:ascii="宋体" w:hAnsi="宋体" w:cs="宋体"/>
          <w:color w:val="auto"/>
          <w:szCs w:val="21"/>
          <w:highlight w:val="none"/>
        </w:rPr>
      </w:pPr>
    </w:p>
    <w:p w14:paraId="39F8E52C">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0DCBB2AE">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4D850088">
      <w:pPr>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788892CD">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44986DEA">
      <w:pPr>
        <w:autoSpaceDE w:val="0"/>
        <w:autoSpaceDN w:val="0"/>
        <w:spacing w:line="360" w:lineRule="auto"/>
        <w:jc w:val="center"/>
        <w:rPr>
          <w:rFonts w:ascii="宋体" w:hAnsi="宋体" w:cs="宋体"/>
          <w:b/>
          <w:color w:val="auto"/>
          <w:kern w:val="0"/>
          <w:sz w:val="32"/>
          <w:szCs w:val="32"/>
          <w:highlight w:val="none"/>
          <w:lang w:val="zh-CN"/>
        </w:rPr>
      </w:pPr>
    </w:p>
    <w:p w14:paraId="374FF41C">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11702A9C">
      <w:pPr>
        <w:pStyle w:val="153"/>
        <w:spacing w:line="360" w:lineRule="auto"/>
        <w:rPr>
          <w:rFonts w:hAnsi="宋体" w:cs="宋体"/>
          <w:bCs/>
          <w:color w:val="auto"/>
          <w:highlight w:val="none"/>
        </w:rPr>
      </w:pPr>
      <w:r>
        <w:rPr>
          <w:rFonts w:hint="eastAsia" w:hAnsi="宋体" w:cs="宋体"/>
          <w:bCs/>
          <w:color w:val="auto"/>
          <w:highlight w:val="none"/>
        </w:rPr>
        <w:t>身份证件扫描件：</w:t>
      </w:r>
    </w:p>
    <w:tbl>
      <w:tblPr>
        <w:tblStyle w:val="66"/>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902"/>
        <w:gridCol w:w="4829"/>
      </w:tblGrid>
      <w:tr w14:paraId="6D740A9E">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812" w:hRule="atLeast"/>
          <w:jc w:val="center"/>
        </w:trPr>
        <w:tc>
          <w:tcPr>
            <w:tcW w:w="4902" w:type="dxa"/>
            <w:tcBorders>
              <w:tl2br w:val="nil"/>
              <w:tr2bl w:val="nil"/>
            </w:tcBorders>
          </w:tcPr>
          <w:p w14:paraId="60CBE676">
            <w:pPr>
              <w:pStyle w:val="153"/>
              <w:adjustRightInd w:val="0"/>
              <w:spacing w:line="360" w:lineRule="auto"/>
              <w:rPr>
                <w:rFonts w:hAnsi="宋体" w:cs="宋体"/>
                <w:bCs/>
                <w:color w:val="auto"/>
                <w:highlight w:val="none"/>
              </w:rPr>
            </w:pPr>
            <w:r>
              <w:rPr>
                <w:rFonts w:hint="eastAsia" w:hAnsi="宋体" w:cs="宋体"/>
                <w:bCs/>
                <w:color w:val="auto"/>
                <w:highlight w:val="none"/>
              </w:rPr>
              <w:t>正面：</w:t>
            </w:r>
          </w:p>
          <w:p w14:paraId="5D15628A">
            <w:pPr>
              <w:pStyle w:val="153"/>
              <w:adjustRightInd w:val="0"/>
              <w:spacing w:line="360" w:lineRule="auto"/>
              <w:rPr>
                <w:rFonts w:hAnsi="宋体" w:cs="宋体"/>
                <w:bCs/>
                <w:color w:val="auto"/>
                <w:highlight w:val="none"/>
              </w:rPr>
            </w:pPr>
          </w:p>
        </w:tc>
        <w:tc>
          <w:tcPr>
            <w:tcW w:w="4829" w:type="dxa"/>
            <w:tcBorders>
              <w:tl2br w:val="nil"/>
              <w:tr2bl w:val="nil"/>
            </w:tcBorders>
          </w:tcPr>
          <w:p w14:paraId="795C04FF">
            <w:pPr>
              <w:pStyle w:val="153"/>
              <w:adjustRightInd w:val="0"/>
              <w:spacing w:line="360" w:lineRule="auto"/>
              <w:rPr>
                <w:rFonts w:hAnsi="宋体" w:cs="宋体"/>
                <w:bCs/>
                <w:color w:val="auto"/>
                <w:highlight w:val="none"/>
              </w:rPr>
            </w:pPr>
            <w:r>
              <w:rPr>
                <w:rFonts w:hint="eastAsia" w:hAnsi="宋体" w:cs="宋体"/>
                <w:bCs/>
                <w:color w:val="auto"/>
                <w:highlight w:val="none"/>
              </w:rPr>
              <w:t>反面：</w:t>
            </w:r>
          </w:p>
        </w:tc>
      </w:tr>
    </w:tbl>
    <w:p w14:paraId="04210EEA">
      <w:pPr>
        <w:snapToGrid w:val="0"/>
        <w:spacing w:line="360" w:lineRule="auto"/>
        <w:ind w:firstLine="576"/>
        <w:jc w:val="center"/>
        <w:rPr>
          <w:rFonts w:ascii="宋体" w:hAnsi="宋体" w:cs="宋体"/>
          <w:color w:val="auto"/>
          <w:kern w:val="0"/>
          <w:szCs w:val="21"/>
          <w:highlight w:val="none"/>
          <w:lang w:val="zh-CN"/>
        </w:rPr>
      </w:pPr>
    </w:p>
    <w:p w14:paraId="36FCF0D9">
      <w:pPr>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678AB721">
      <w:pPr>
        <w:spacing w:line="360" w:lineRule="auto"/>
        <w:ind w:firstLine="4620" w:firstLineChars="220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2B6876E">
      <w:pPr>
        <w:jc w:val="center"/>
        <w:rPr>
          <w:rFonts w:ascii="宋体" w:hAnsi="宋体" w:cs="宋体"/>
          <w:b/>
          <w:color w:val="auto"/>
          <w:kern w:val="0"/>
          <w:sz w:val="32"/>
          <w:szCs w:val="32"/>
          <w:highlight w:val="none"/>
        </w:rPr>
      </w:pPr>
    </w:p>
    <w:p w14:paraId="40EF2883">
      <w:pPr>
        <w:jc w:val="center"/>
        <w:rPr>
          <w:rFonts w:ascii="宋体" w:hAnsi="宋体" w:cs="宋体"/>
          <w:b/>
          <w:color w:val="auto"/>
          <w:kern w:val="0"/>
          <w:sz w:val="32"/>
          <w:szCs w:val="32"/>
          <w:highlight w:val="none"/>
        </w:rPr>
      </w:pPr>
    </w:p>
    <w:p w14:paraId="58696E47">
      <w:pPr>
        <w:jc w:val="center"/>
        <w:rPr>
          <w:rFonts w:ascii="宋体" w:hAnsi="宋体" w:cs="宋体"/>
          <w:b/>
          <w:color w:val="auto"/>
          <w:kern w:val="0"/>
          <w:sz w:val="32"/>
          <w:szCs w:val="32"/>
          <w:highlight w:val="none"/>
        </w:rPr>
      </w:pPr>
    </w:p>
    <w:p w14:paraId="086A436D">
      <w:pPr>
        <w:jc w:val="center"/>
        <w:rPr>
          <w:rFonts w:ascii="宋体" w:hAnsi="宋体" w:cs="宋体"/>
          <w:b/>
          <w:color w:val="auto"/>
          <w:kern w:val="0"/>
          <w:sz w:val="32"/>
          <w:szCs w:val="32"/>
          <w:highlight w:val="none"/>
        </w:rPr>
      </w:pPr>
    </w:p>
    <w:p w14:paraId="602C1AC3">
      <w:pPr>
        <w:jc w:val="center"/>
        <w:rPr>
          <w:rFonts w:ascii="宋体" w:hAnsi="宋体" w:cs="宋体"/>
          <w:b/>
          <w:color w:val="auto"/>
          <w:kern w:val="0"/>
          <w:sz w:val="32"/>
          <w:szCs w:val="32"/>
          <w:highlight w:val="none"/>
        </w:rPr>
      </w:pPr>
    </w:p>
    <w:p w14:paraId="69DB3759">
      <w:pPr>
        <w:jc w:val="center"/>
        <w:rPr>
          <w:rFonts w:ascii="宋体" w:hAnsi="宋体" w:cs="宋体"/>
          <w:b/>
          <w:color w:val="auto"/>
          <w:kern w:val="0"/>
          <w:sz w:val="32"/>
          <w:szCs w:val="32"/>
          <w:highlight w:val="none"/>
        </w:rPr>
      </w:pPr>
    </w:p>
    <w:p w14:paraId="4263DC3D">
      <w:pPr>
        <w:jc w:val="center"/>
        <w:rPr>
          <w:rFonts w:ascii="宋体" w:hAnsi="宋体" w:cs="宋体"/>
          <w:b/>
          <w:color w:val="auto"/>
          <w:kern w:val="0"/>
          <w:sz w:val="32"/>
          <w:szCs w:val="32"/>
          <w:highlight w:val="none"/>
        </w:rPr>
      </w:pPr>
    </w:p>
    <w:p w14:paraId="339147BE">
      <w:pPr>
        <w:jc w:val="center"/>
        <w:rPr>
          <w:rFonts w:ascii="宋体" w:hAnsi="宋体" w:cs="宋体"/>
          <w:b/>
          <w:color w:val="auto"/>
          <w:kern w:val="0"/>
          <w:sz w:val="32"/>
          <w:szCs w:val="32"/>
          <w:highlight w:val="none"/>
        </w:rPr>
      </w:pPr>
    </w:p>
    <w:p w14:paraId="534F82B2">
      <w:pPr>
        <w:widowControl/>
        <w:adjustRightInd/>
        <w:spacing w:before="319" w:beforeLines="100" w:after="319" w:afterLines="10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val="zh-CN"/>
        </w:rPr>
        <w:t>、分包意向协议（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14:paraId="31A5AF9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14:paraId="503D4A92">
      <w:pPr>
        <w:snapToGrid w:val="0"/>
        <w:spacing w:line="360" w:lineRule="auto"/>
        <w:rPr>
          <w:rFonts w:ascii="宋体" w:hAnsi="宋体" w:cs="宋体"/>
          <w:color w:val="auto"/>
          <w:kern w:val="0"/>
          <w:sz w:val="24"/>
          <w:highlight w:val="none"/>
          <w:lang w:val="zh-CN"/>
        </w:rPr>
      </w:pPr>
    </w:p>
    <w:p w14:paraId="36E41B4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B2398A">
      <w:pPr>
        <w:widowControl/>
        <w:adjustRightInd/>
        <w:spacing w:before="319" w:before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tbl>
      <w:tblPr>
        <w:tblStyle w:val="66"/>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69C50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3932E1FD">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441" w:type="dxa"/>
            <w:tcBorders>
              <w:tl2br w:val="nil"/>
              <w:tr2bl w:val="nil"/>
            </w:tcBorders>
            <w:vAlign w:val="center"/>
          </w:tcPr>
          <w:p w14:paraId="1E593D7E">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实质性要求</w:t>
            </w:r>
          </w:p>
        </w:tc>
        <w:tc>
          <w:tcPr>
            <w:tcW w:w="3173" w:type="dxa"/>
            <w:tcBorders>
              <w:tl2br w:val="nil"/>
              <w:tr2bl w:val="nil"/>
            </w:tcBorders>
            <w:vAlign w:val="center"/>
          </w:tcPr>
          <w:p w14:paraId="6E763461">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需要提供的符合性审查资料</w:t>
            </w:r>
          </w:p>
        </w:tc>
        <w:tc>
          <w:tcPr>
            <w:tcW w:w="2508" w:type="dxa"/>
            <w:tcBorders>
              <w:tl2br w:val="nil"/>
              <w:tr2bl w:val="nil"/>
            </w:tcBorders>
            <w:vAlign w:val="center"/>
          </w:tcPr>
          <w:p w14:paraId="0715BE9F">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投标文件中的</w:t>
            </w:r>
          </w:p>
          <w:p w14:paraId="4BD83A19">
            <w:pPr>
              <w:snapToGrid w:val="0"/>
              <w:spacing w:line="240" w:lineRule="atLeast"/>
              <w:jc w:val="center"/>
              <w:rPr>
                <w:rFonts w:ascii="宋体" w:hAnsi="宋体" w:cs="宋体"/>
                <w:bCs/>
                <w:color w:val="auto"/>
                <w:szCs w:val="21"/>
                <w:highlight w:val="none"/>
              </w:rPr>
            </w:pPr>
            <w:r>
              <w:rPr>
                <w:rFonts w:hint="eastAsia" w:ascii="宋体" w:hAnsi="宋体" w:cs="宋体"/>
                <w:bCs/>
                <w:color w:val="auto"/>
                <w:szCs w:val="21"/>
                <w:highlight w:val="none"/>
              </w:rPr>
              <w:t>页码位置</w:t>
            </w:r>
          </w:p>
        </w:tc>
      </w:tr>
      <w:tr w14:paraId="4076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5B29418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441" w:type="dxa"/>
            <w:tcBorders>
              <w:tl2br w:val="nil"/>
              <w:tr2bl w:val="nil"/>
            </w:tcBorders>
            <w:vAlign w:val="center"/>
          </w:tcPr>
          <w:p w14:paraId="5ED6FB29">
            <w:pP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173" w:type="dxa"/>
            <w:tcBorders>
              <w:tl2br w:val="nil"/>
              <w:tr2bl w:val="nil"/>
            </w:tcBorders>
            <w:vAlign w:val="center"/>
          </w:tcPr>
          <w:p w14:paraId="40DCFB6C">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508" w:type="dxa"/>
            <w:tcBorders>
              <w:tl2br w:val="nil"/>
              <w:tr2bl w:val="nil"/>
            </w:tcBorders>
            <w:vAlign w:val="center"/>
          </w:tcPr>
          <w:p w14:paraId="523B5879">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4CF2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4D8C680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441" w:type="dxa"/>
            <w:tcBorders>
              <w:tl2br w:val="nil"/>
              <w:tr2bl w:val="nil"/>
            </w:tcBorders>
            <w:vAlign w:val="center"/>
          </w:tcPr>
          <w:p w14:paraId="10FA5BA5">
            <w:pP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1A735EF2">
            <w:pPr>
              <w:rPr>
                <w:rFonts w:ascii="宋体" w:hAnsi="宋体" w:cs="宋体"/>
                <w:color w:val="auto"/>
                <w:szCs w:val="21"/>
                <w:highlight w:val="none"/>
              </w:rPr>
            </w:pPr>
            <w:r>
              <w:rPr>
                <w:rFonts w:hint="eastAsia" w:ascii="宋体" w:hAnsi="宋体" w:cs="宋体"/>
                <w:color w:val="auto"/>
                <w:szCs w:val="21"/>
                <w:highlight w:val="none"/>
              </w:rPr>
              <w:t>投标函</w:t>
            </w:r>
          </w:p>
        </w:tc>
        <w:tc>
          <w:tcPr>
            <w:tcW w:w="2508" w:type="dxa"/>
            <w:tcBorders>
              <w:tl2br w:val="nil"/>
              <w:tr2bl w:val="nil"/>
            </w:tcBorders>
            <w:vAlign w:val="center"/>
          </w:tcPr>
          <w:p w14:paraId="0B77F21D">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DA4C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340477E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441" w:type="dxa"/>
            <w:tcBorders>
              <w:tl2br w:val="nil"/>
              <w:tr2bl w:val="nil"/>
            </w:tcBorders>
            <w:vAlign w:val="center"/>
          </w:tcPr>
          <w:p w14:paraId="5E800D4F">
            <w:pP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173" w:type="dxa"/>
            <w:tcBorders>
              <w:tl2br w:val="nil"/>
              <w:tr2bl w:val="nil"/>
            </w:tcBorders>
            <w:vAlign w:val="center"/>
          </w:tcPr>
          <w:p w14:paraId="7BF4BB36">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7E33E80D">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22C7E04D">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65004F43">
      <w:pPr>
        <w:rPr>
          <w:rFonts w:ascii="宋体" w:hAnsi="宋体" w:cs="宋体"/>
          <w:b/>
          <w:color w:val="auto"/>
          <w:kern w:val="0"/>
          <w:sz w:val="32"/>
          <w:szCs w:val="32"/>
          <w:highlight w:val="none"/>
        </w:rPr>
      </w:pPr>
    </w:p>
    <w:p w14:paraId="493D6C28">
      <w:pPr>
        <w:jc w:val="center"/>
        <w:rPr>
          <w:rFonts w:ascii="宋体" w:hAnsi="宋体" w:cs="宋体"/>
          <w:b/>
          <w:color w:val="auto"/>
          <w:kern w:val="0"/>
          <w:sz w:val="32"/>
          <w:szCs w:val="32"/>
          <w:highlight w:val="none"/>
        </w:rPr>
      </w:pPr>
    </w:p>
    <w:p w14:paraId="56566B51">
      <w:pPr>
        <w:jc w:val="center"/>
        <w:rPr>
          <w:rFonts w:ascii="宋体" w:hAnsi="宋体" w:cs="宋体"/>
          <w:b/>
          <w:color w:val="auto"/>
          <w:kern w:val="0"/>
          <w:sz w:val="32"/>
          <w:szCs w:val="32"/>
          <w:highlight w:val="none"/>
        </w:rPr>
      </w:pPr>
    </w:p>
    <w:p w14:paraId="546C76D6">
      <w:pPr>
        <w:jc w:val="center"/>
        <w:rPr>
          <w:rFonts w:ascii="宋体" w:hAnsi="宋体" w:cs="宋体"/>
          <w:b/>
          <w:color w:val="auto"/>
          <w:kern w:val="0"/>
          <w:sz w:val="32"/>
          <w:szCs w:val="32"/>
          <w:highlight w:val="none"/>
        </w:rPr>
      </w:pPr>
    </w:p>
    <w:p w14:paraId="006E1B6E">
      <w:pPr>
        <w:jc w:val="center"/>
        <w:rPr>
          <w:rFonts w:ascii="宋体" w:hAnsi="宋体" w:cs="宋体"/>
          <w:b/>
          <w:color w:val="auto"/>
          <w:kern w:val="0"/>
          <w:sz w:val="32"/>
          <w:szCs w:val="32"/>
          <w:highlight w:val="none"/>
        </w:rPr>
      </w:pPr>
    </w:p>
    <w:p w14:paraId="49A3D736">
      <w:pPr>
        <w:jc w:val="center"/>
        <w:rPr>
          <w:rFonts w:ascii="宋体" w:hAnsi="宋体" w:cs="宋体"/>
          <w:b/>
          <w:color w:val="auto"/>
          <w:kern w:val="0"/>
          <w:sz w:val="32"/>
          <w:szCs w:val="32"/>
          <w:highlight w:val="none"/>
        </w:rPr>
      </w:pPr>
    </w:p>
    <w:p w14:paraId="098734ED">
      <w:pPr>
        <w:jc w:val="center"/>
        <w:rPr>
          <w:rFonts w:ascii="宋体" w:hAnsi="宋体" w:cs="宋体"/>
          <w:b/>
          <w:color w:val="auto"/>
          <w:kern w:val="0"/>
          <w:sz w:val="32"/>
          <w:szCs w:val="32"/>
          <w:highlight w:val="none"/>
        </w:rPr>
      </w:pPr>
    </w:p>
    <w:p w14:paraId="23EC9AB3">
      <w:pPr>
        <w:jc w:val="center"/>
        <w:rPr>
          <w:rFonts w:ascii="宋体" w:hAnsi="宋体" w:cs="宋体"/>
          <w:b/>
          <w:color w:val="auto"/>
          <w:kern w:val="0"/>
          <w:sz w:val="32"/>
          <w:szCs w:val="32"/>
          <w:highlight w:val="none"/>
        </w:rPr>
      </w:pPr>
    </w:p>
    <w:p w14:paraId="4D7FF257">
      <w:pPr>
        <w:jc w:val="center"/>
        <w:rPr>
          <w:rFonts w:ascii="宋体" w:hAnsi="宋体" w:cs="宋体"/>
          <w:b/>
          <w:color w:val="auto"/>
          <w:kern w:val="0"/>
          <w:sz w:val="32"/>
          <w:szCs w:val="32"/>
          <w:highlight w:val="none"/>
        </w:rPr>
      </w:pPr>
    </w:p>
    <w:p w14:paraId="169A868A">
      <w:pPr>
        <w:jc w:val="center"/>
        <w:rPr>
          <w:rFonts w:ascii="宋体" w:hAnsi="宋体" w:cs="宋体"/>
          <w:b/>
          <w:color w:val="auto"/>
          <w:kern w:val="0"/>
          <w:sz w:val="32"/>
          <w:szCs w:val="32"/>
          <w:highlight w:val="none"/>
        </w:rPr>
      </w:pPr>
    </w:p>
    <w:p w14:paraId="3A820710">
      <w:pPr>
        <w:jc w:val="center"/>
        <w:rPr>
          <w:rFonts w:ascii="宋体" w:hAnsi="宋体" w:cs="宋体"/>
          <w:b/>
          <w:color w:val="auto"/>
          <w:kern w:val="0"/>
          <w:sz w:val="32"/>
          <w:szCs w:val="32"/>
          <w:highlight w:val="none"/>
        </w:rPr>
      </w:pPr>
    </w:p>
    <w:p w14:paraId="470DB9CA">
      <w:pPr>
        <w:jc w:val="center"/>
        <w:rPr>
          <w:rFonts w:ascii="宋体" w:hAnsi="宋体" w:cs="宋体"/>
          <w:b/>
          <w:color w:val="auto"/>
          <w:kern w:val="0"/>
          <w:sz w:val="32"/>
          <w:szCs w:val="32"/>
          <w:highlight w:val="none"/>
        </w:rPr>
      </w:pPr>
    </w:p>
    <w:p w14:paraId="70067692">
      <w:pPr>
        <w:jc w:val="center"/>
        <w:rPr>
          <w:rFonts w:ascii="宋体" w:hAnsi="宋体" w:cs="宋体"/>
          <w:b/>
          <w:color w:val="auto"/>
          <w:kern w:val="0"/>
          <w:sz w:val="32"/>
          <w:szCs w:val="32"/>
          <w:highlight w:val="none"/>
        </w:rPr>
      </w:pPr>
    </w:p>
    <w:p w14:paraId="71ACEB7E">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29B72BE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[按招标文件第四部分评标办法前附表中“投标文件中评标标准相应的商务技术资料目录”提供资料。]</w:t>
      </w:r>
    </w:p>
    <w:p w14:paraId="1ED154B1">
      <w:pPr>
        <w:jc w:val="center"/>
        <w:rPr>
          <w:rFonts w:ascii="宋体" w:hAnsi="宋体" w:cs="宋体"/>
          <w:b/>
          <w:color w:val="auto"/>
          <w:kern w:val="0"/>
          <w:sz w:val="32"/>
          <w:szCs w:val="32"/>
          <w:highlight w:val="none"/>
        </w:rPr>
      </w:pPr>
    </w:p>
    <w:p w14:paraId="21163DBD">
      <w:pPr>
        <w:jc w:val="center"/>
        <w:rPr>
          <w:rFonts w:ascii="宋体" w:hAnsi="宋体" w:cs="宋体"/>
          <w:b/>
          <w:color w:val="auto"/>
          <w:kern w:val="0"/>
          <w:sz w:val="32"/>
          <w:szCs w:val="32"/>
          <w:highlight w:val="none"/>
        </w:rPr>
      </w:pPr>
    </w:p>
    <w:p w14:paraId="1DB0D2F9">
      <w:pPr>
        <w:pStyle w:val="7"/>
        <w:spacing w:line="360" w:lineRule="auto"/>
        <w:jc w:val="left"/>
        <w:rPr>
          <w:rFonts w:hAnsi="宋体" w:cs="宋体"/>
          <w:color w:val="auto"/>
          <w:sz w:val="24"/>
          <w:highlight w:val="none"/>
        </w:rPr>
      </w:pPr>
    </w:p>
    <w:p w14:paraId="33106014">
      <w:pPr>
        <w:jc w:val="center"/>
        <w:rPr>
          <w:rFonts w:ascii="宋体" w:hAnsi="宋体" w:cs="宋体"/>
          <w:b/>
          <w:color w:val="auto"/>
          <w:kern w:val="0"/>
          <w:sz w:val="32"/>
          <w:szCs w:val="32"/>
          <w:highlight w:val="none"/>
        </w:rPr>
      </w:pPr>
    </w:p>
    <w:p w14:paraId="72E954D1">
      <w:pPr>
        <w:jc w:val="center"/>
        <w:rPr>
          <w:rFonts w:ascii="宋体" w:hAnsi="宋体" w:cs="宋体"/>
          <w:b/>
          <w:color w:val="auto"/>
          <w:kern w:val="0"/>
          <w:sz w:val="32"/>
          <w:szCs w:val="32"/>
          <w:highlight w:val="none"/>
        </w:rPr>
      </w:pPr>
    </w:p>
    <w:p w14:paraId="3A818E3F">
      <w:pPr>
        <w:jc w:val="center"/>
        <w:rPr>
          <w:rFonts w:ascii="宋体" w:hAnsi="宋体" w:cs="宋体"/>
          <w:b/>
          <w:color w:val="auto"/>
          <w:kern w:val="0"/>
          <w:sz w:val="32"/>
          <w:szCs w:val="32"/>
          <w:highlight w:val="none"/>
        </w:rPr>
      </w:pPr>
    </w:p>
    <w:p w14:paraId="1AFDB541">
      <w:pPr>
        <w:jc w:val="center"/>
        <w:rPr>
          <w:rFonts w:ascii="宋体" w:hAnsi="宋体" w:cs="宋体"/>
          <w:b/>
          <w:color w:val="auto"/>
          <w:kern w:val="0"/>
          <w:sz w:val="32"/>
          <w:szCs w:val="32"/>
          <w:highlight w:val="none"/>
        </w:rPr>
      </w:pPr>
    </w:p>
    <w:p w14:paraId="5C47E8B5">
      <w:pPr>
        <w:jc w:val="center"/>
        <w:rPr>
          <w:rFonts w:ascii="宋体" w:hAnsi="宋体" w:cs="宋体"/>
          <w:b/>
          <w:color w:val="auto"/>
          <w:kern w:val="0"/>
          <w:sz w:val="32"/>
          <w:szCs w:val="32"/>
          <w:highlight w:val="none"/>
        </w:rPr>
      </w:pPr>
    </w:p>
    <w:p w14:paraId="5BD59BF0">
      <w:pPr>
        <w:jc w:val="center"/>
        <w:rPr>
          <w:rFonts w:ascii="宋体" w:hAnsi="宋体" w:cs="宋体"/>
          <w:b/>
          <w:color w:val="auto"/>
          <w:kern w:val="0"/>
          <w:sz w:val="32"/>
          <w:szCs w:val="32"/>
          <w:highlight w:val="none"/>
        </w:rPr>
      </w:pPr>
    </w:p>
    <w:p w14:paraId="5D9BE98A">
      <w:pPr>
        <w:jc w:val="center"/>
        <w:rPr>
          <w:rFonts w:ascii="宋体" w:hAnsi="宋体" w:cs="宋体"/>
          <w:b/>
          <w:color w:val="auto"/>
          <w:kern w:val="0"/>
          <w:sz w:val="32"/>
          <w:szCs w:val="32"/>
          <w:highlight w:val="none"/>
        </w:rPr>
      </w:pPr>
    </w:p>
    <w:p w14:paraId="39FE0BAE">
      <w:pPr>
        <w:jc w:val="center"/>
        <w:rPr>
          <w:rFonts w:ascii="宋体" w:hAnsi="宋体" w:cs="宋体"/>
          <w:b/>
          <w:color w:val="auto"/>
          <w:kern w:val="0"/>
          <w:sz w:val="32"/>
          <w:szCs w:val="32"/>
          <w:highlight w:val="none"/>
        </w:rPr>
      </w:pPr>
    </w:p>
    <w:p w14:paraId="2D2E0FCE">
      <w:pPr>
        <w:jc w:val="center"/>
        <w:rPr>
          <w:rFonts w:ascii="宋体" w:hAnsi="宋体" w:cs="宋体"/>
          <w:b/>
          <w:color w:val="auto"/>
          <w:kern w:val="0"/>
          <w:sz w:val="32"/>
          <w:szCs w:val="32"/>
          <w:highlight w:val="none"/>
        </w:rPr>
      </w:pPr>
    </w:p>
    <w:p w14:paraId="09A2ACB7">
      <w:pPr>
        <w:jc w:val="center"/>
        <w:rPr>
          <w:rFonts w:ascii="宋体" w:hAnsi="宋体" w:cs="宋体"/>
          <w:b/>
          <w:color w:val="auto"/>
          <w:kern w:val="0"/>
          <w:sz w:val="32"/>
          <w:szCs w:val="32"/>
          <w:highlight w:val="none"/>
        </w:rPr>
      </w:pPr>
    </w:p>
    <w:p w14:paraId="76F30B23">
      <w:pPr>
        <w:rPr>
          <w:rFonts w:ascii="宋体" w:hAnsi="宋体" w:cs="宋体"/>
          <w:b/>
          <w:color w:val="auto"/>
          <w:kern w:val="0"/>
          <w:sz w:val="32"/>
          <w:szCs w:val="32"/>
          <w:highlight w:val="none"/>
        </w:rPr>
      </w:pPr>
    </w:p>
    <w:p w14:paraId="2648240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tbl>
      <w:tblPr>
        <w:tblStyle w:val="67"/>
        <w:tblpPr w:leftFromText="180" w:rightFromText="180" w:vertAnchor="text" w:horzAnchor="page" w:tblpX="1184" w:tblpY="638"/>
        <w:tblOverlap w:val="never"/>
        <w:tblW w:w="97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361"/>
        <w:gridCol w:w="1397"/>
        <w:gridCol w:w="1302"/>
        <w:gridCol w:w="1086"/>
        <w:gridCol w:w="1200"/>
        <w:gridCol w:w="2333"/>
      </w:tblGrid>
      <w:tr w14:paraId="1803A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1038" w:type="dxa"/>
            <w:tcBorders>
              <w:tl2br w:val="nil"/>
              <w:tr2bl w:val="nil"/>
            </w:tcBorders>
            <w:vAlign w:val="center"/>
          </w:tcPr>
          <w:p w14:paraId="5C277F82">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361" w:type="dxa"/>
            <w:tcBorders>
              <w:tl2br w:val="nil"/>
              <w:tr2bl w:val="nil"/>
            </w:tcBorders>
            <w:vAlign w:val="center"/>
          </w:tcPr>
          <w:p w14:paraId="72ECA112">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1397" w:type="dxa"/>
            <w:tcBorders>
              <w:tl2br w:val="nil"/>
              <w:tr2bl w:val="nil"/>
            </w:tcBorders>
            <w:vAlign w:val="center"/>
          </w:tcPr>
          <w:p w14:paraId="5931F31C">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服务范围</w:t>
            </w:r>
          </w:p>
        </w:tc>
        <w:tc>
          <w:tcPr>
            <w:tcW w:w="1302" w:type="dxa"/>
            <w:tcBorders>
              <w:tl2br w:val="nil"/>
              <w:tr2bl w:val="nil"/>
            </w:tcBorders>
            <w:vAlign w:val="center"/>
          </w:tcPr>
          <w:p w14:paraId="6401D54D">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服务要求</w:t>
            </w:r>
          </w:p>
        </w:tc>
        <w:tc>
          <w:tcPr>
            <w:tcW w:w="1086" w:type="dxa"/>
            <w:tcBorders>
              <w:tl2br w:val="nil"/>
              <w:tr2bl w:val="nil"/>
            </w:tcBorders>
            <w:vAlign w:val="center"/>
          </w:tcPr>
          <w:p w14:paraId="753EBDDF">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服务时间</w:t>
            </w:r>
          </w:p>
        </w:tc>
        <w:tc>
          <w:tcPr>
            <w:tcW w:w="1200" w:type="dxa"/>
            <w:tcBorders>
              <w:tl2br w:val="nil"/>
              <w:tr2bl w:val="nil"/>
            </w:tcBorders>
            <w:vAlign w:val="center"/>
          </w:tcPr>
          <w:p w14:paraId="1763F019">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服务标准</w:t>
            </w:r>
          </w:p>
        </w:tc>
        <w:tc>
          <w:tcPr>
            <w:tcW w:w="2333" w:type="dxa"/>
            <w:tcBorders>
              <w:tl2br w:val="nil"/>
              <w:tr2bl w:val="nil"/>
            </w:tcBorders>
            <w:vAlign w:val="center"/>
          </w:tcPr>
          <w:p w14:paraId="5D0C0C44">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p w14:paraId="1151AF50">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（如果有）</w:t>
            </w:r>
          </w:p>
        </w:tc>
      </w:tr>
      <w:tr w14:paraId="093A2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8" w:type="dxa"/>
            <w:tcBorders>
              <w:tl2br w:val="nil"/>
              <w:tr2bl w:val="nil"/>
            </w:tcBorders>
            <w:vAlign w:val="center"/>
          </w:tcPr>
          <w:p w14:paraId="357E2FE3">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361" w:type="dxa"/>
            <w:tcBorders>
              <w:tl2br w:val="nil"/>
              <w:tr2bl w:val="nil"/>
            </w:tcBorders>
            <w:vAlign w:val="center"/>
          </w:tcPr>
          <w:p w14:paraId="391F6190">
            <w:pPr>
              <w:widowControl/>
              <w:adjustRightInd/>
              <w:jc w:val="center"/>
              <w:rPr>
                <w:rFonts w:ascii="宋体" w:hAnsi="宋体" w:cs="宋体"/>
                <w:bCs/>
                <w:color w:val="auto"/>
                <w:kern w:val="0"/>
                <w:szCs w:val="21"/>
                <w:highlight w:val="none"/>
              </w:rPr>
            </w:pPr>
          </w:p>
        </w:tc>
        <w:tc>
          <w:tcPr>
            <w:tcW w:w="1397" w:type="dxa"/>
            <w:tcBorders>
              <w:tl2br w:val="nil"/>
              <w:tr2bl w:val="nil"/>
            </w:tcBorders>
            <w:vAlign w:val="center"/>
          </w:tcPr>
          <w:p w14:paraId="0FB44916">
            <w:pPr>
              <w:widowControl/>
              <w:adjustRightInd/>
              <w:jc w:val="center"/>
              <w:rPr>
                <w:rFonts w:ascii="宋体" w:hAnsi="宋体" w:cs="宋体"/>
                <w:bCs/>
                <w:color w:val="auto"/>
                <w:kern w:val="0"/>
                <w:szCs w:val="21"/>
                <w:highlight w:val="none"/>
              </w:rPr>
            </w:pPr>
          </w:p>
        </w:tc>
        <w:tc>
          <w:tcPr>
            <w:tcW w:w="1302" w:type="dxa"/>
            <w:tcBorders>
              <w:tl2br w:val="nil"/>
              <w:tr2bl w:val="nil"/>
            </w:tcBorders>
            <w:vAlign w:val="center"/>
          </w:tcPr>
          <w:p w14:paraId="513720B7">
            <w:pPr>
              <w:widowControl/>
              <w:adjustRightInd/>
              <w:jc w:val="center"/>
              <w:rPr>
                <w:rFonts w:ascii="宋体" w:hAnsi="宋体" w:cs="宋体"/>
                <w:bCs/>
                <w:color w:val="auto"/>
                <w:kern w:val="0"/>
                <w:szCs w:val="21"/>
                <w:highlight w:val="none"/>
              </w:rPr>
            </w:pPr>
          </w:p>
        </w:tc>
        <w:tc>
          <w:tcPr>
            <w:tcW w:w="1086" w:type="dxa"/>
            <w:tcBorders>
              <w:tl2br w:val="nil"/>
              <w:tr2bl w:val="nil"/>
            </w:tcBorders>
            <w:vAlign w:val="center"/>
          </w:tcPr>
          <w:p w14:paraId="3BF70285">
            <w:pPr>
              <w:widowControl/>
              <w:adjustRightInd/>
              <w:jc w:val="center"/>
              <w:rPr>
                <w:rFonts w:ascii="宋体" w:hAnsi="宋体" w:cs="宋体"/>
                <w:bCs/>
                <w:color w:val="auto"/>
                <w:kern w:val="0"/>
                <w:szCs w:val="21"/>
                <w:highlight w:val="none"/>
              </w:rPr>
            </w:pPr>
          </w:p>
        </w:tc>
        <w:tc>
          <w:tcPr>
            <w:tcW w:w="1200" w:type="dxa"/>
            <w:tcBorders>
              <w:tl2br w:val="nil"/>
              <w:tr2bl w:val="nil"/>
            </w:tcBorders>
            <w:vAlign w:val="center"/>
          </w:tcPr>
          <w:p w14:paraId="626FD436">
            <w:pPr>
              <w:widowControl/>
              <w:adjustRightInd/>
              <w:jc w:val="center"/>
              <w:rPr>
                <w:rFonts w:ascii="宋体" w:hAnsi="宋体" w:cs="宋体"/>
                <w:bCs/>
                <w:color w:val="auto"/>
                <w:kern w:val="0"/>
                <w:szCs w:val="21"/>
                <w:highlight w:val="none"/>
              </w:rPr>
            </w:pPr>
          </w:p>
        </w:tc>
        <w:tc>
          <w:tcPr>
            <w:tcW w:w="2333" w:type="dxa"/>
            <w:tcBorders>
              <w:tl2br w:val="nil"/>
              <w:tr2bl w:val="nil"/>
            </w:tcBorders>
            <w:vAlign w:val="center"/>
          </w:tcPr>
          <w:p w14:paraId="6C055082">
            <w:pPr>
              <w:widowControl/>
              <w:adjustRightInd/>
              <w:jc w:val="center"/>
              <w:rPr>
                <w:rFonts w:ascii="宋体" w:hAnsi="宋体" w:cs="宋体"/>
                <w:bCs/>
                <w:color w:val="auto"/>
                <w:kern w:val="0"/>
                <w:szCs w:val="21"/>
                <w:highlight w:val="none"/>
              </w:rPr>
            </w:pPr>
          </w:p>
        </w:tc>
      </w:tr>
      <w:tr w14:paraId="298DF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8" w:type="dxa"/>
            <w:tcBorders>
              <w:tl2br w:val="nil"/>
              <w:tr2bl w:val="nil"/>
            </w:tcBorders>
            <w:vAlign w:val="center"/>
          </w:tcPr>
          <w:p w14:paraId="23DE4C55">
            <w:pPr>
              <w:widowControl/>
              <w:adjustRightInd/>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361" w:type="dxa"/>
            <w:tcBorders>
              <w:tl2br w:val="nil"/>
              <w:tr2bl w:val="nil"/>
            </w:tcBorders>
            <w:vAlign w:val="center"/>
          </w:tcPr>
          <w:p w14:paraId="55F4537D">
            <w:pPr>
              <w:widowControl/>
              <w:adjustRightInd/>
              <w:jc w:val="center"/>
              <w:rPr>
                <w:rFonts w:ascii="宋体" w:hAnsi="宋体" w:cs="宋体"/>
                <w:bCs/>
                <w:color w:val="auto"/>
                <w:kern w:val="0"/>
                <w:szCs w:val="21"/>
                <w:highlight w:val="none"/>
              </w:rPr>
            </w:pPr>
          </w:p>
        </w:tc>
        <w:tc>
          <w:tcPr>
            <w:tcW w:w="1397" w:type="dxa"/>
            <w:tcBorders>
              <w:tl2br w:val="nil"/>
              <w:tr2bl w:val="nil"/>
            </w:tcBorders>
            <w:vAlign w:val="center"/>
          </w:tcPr>
          <w:p w14:paraId="2EF4EAB8">
            <w:pPr>
              <w:widowControl/>
              <w:adjustRightInd/>
              <w:jc w:val="center"/>
              <w:rPr>
                <w:rFonts w:ascii="宋体" w:hAnsi="宋体" w:cs="宋体"/>
                <w:bCs/>
                <w:color w:val="auto"/>
                <w:kern w:val="0"/>
                <w:szCs w:val="21"/>
                <w:highlight w:val="none"/>
              </w:rPr>
            </w:pPr>
          </w:p>
        </w:tc>
        <w:tc>
          <w:tcPr>
            <w:tcW w:w="1302" w:type="dxa"/>
            <w:tcBorders>
              <w:tl2br w:val="nil"/>
              <w:tr2bl w:val="nil"/>
            </w:tcBorders>
            <w:vAlign w:val="center"/>
          </w:tcPr>
          <w:p w14:paraId="4818F553">
            <w:pPr>
              <w:widowControl/>
              <w:adjustRightInd/>
              <w:jc w:val="center"/>
              <w:rPr>
                <w:rFonts w:ascii="宋体" w:hAnsi="宋体" w:cs="宋体"/>
                <w:bCs/>
                <w:color w:val="auto"/>
                <w:kern w:val="0"/>
                <w:szCs w:val="21"/>
                <w:highlight w:val="none"/>
              </w:rPr>
            </w:pPr>
          </w:p>
        </w:tc>
        <w:tc>
          <w:tcPr>
            <w:tcW w:w="1086" w:type="dxa"/>
            <w:tcBorders>
              <w:tl2br w:val="nil"/>
              <w:tr2bl w:val="nil"/>
            </w:tcBorders>
            <w:vAlign w:val="center"/>
          </w:tcPr>
          <w:p w14:paraId="27A39445">
            <w:pPr>
              <w:widowControl/>
              <w:adjustRightInd/>
              <w:jc w:val="center"/>
              <w:rPr>
                <w:rFonts w:ascii="宋体" w:hAnsi="宋体" w:cs="宋体"/>
                <w:bCs/>
                <w:color w:val="auto"/>
                <w:kern w:val="0"/>
                <w:szCs w:val="21"/>
                <w:highlight w:val="none"/>
              </w:rPr>
            </w:pPr>
          </w:p>
        </w:tc>
        <w:tc>
          <w:tcPr>
            <w:tcW w:w="1200" w:type="dxa"/>
            <w:tcBorders>
              <w:tl2br w:val="nil"/>
              <w:tr2bl w:val="nil"/>
            </w:tcBorders>
            <w:vAlign w:val="center"/>
          </w:tcPr>
          <w:p w14:paraId="44F7CDDE">
            <w:pPr>
              <w:widowControl/>
              <w:adjustRightInd/>
              <w:jc w:val="center"/>
              <w:rPr>
                <w:rFonts w:ascii="宋体" w:hAnsi="宋体" w:cs="宋体"/>
                <w:bCs/>
                <w:color w:val="auto"/>
                <w:kern w:val="0"/>
                <w:szCs w:val="21"/>
                <w:highlight w:val="none"/>
              </w:rPr>
            </w:pPr>
          </w:p>
        </w:tc>
        <w:tc>
          <w:tcPr>
            <w:tcW w:w="2333" w:type="dxa"/>
            <w:tcBorders>
              <w:tl2br w:val="nil"/>
              <w:tr2bl w:val="nil"/>
            </w:tcBorders>
            <w:vAlign w:val="center"/>
          </w:tcPr>
          <w:p w14:paraId="2B766208">
            <w:pPr>
              <w:widowControl/>
              <w:adjustRightInd/>
              <w:jc w:val="center"/>
              <w:rPr>
                <w:rFonts w:ascii="宋体" w:hAnsi="宋体" w:cs="宋体"/>
                <w:bCs/>
                <w:color w:val="auto"/>
                <w:kern w:val="0"/>
                <w:szCs w:val="21"/>
                <w:highlight w:val="none"/>
              </w:rPr>
            </w:pPr>
          </w:p>
        </w:tc>
      </w:tr>
      <w:tr w14:paraId="14A08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8" w:type="dxa"/>
            <w:tcBorders>
              <w:tl2br w:val="nil"/>
              <w:tr2bl w:val="nil"/>
            </w:tcBorders>
            <w:vAlign w:val="center"/>
          </w:tcPr>
          <w:p w14:paraId="584026D9">
            <w:pPr>
              <w:widowControl/>
              <w:adjustRightInd/>
              <w:jc w:val="center"/>
              <w:rPr>
                <w:rFonts w:ascii="宋体" w:hAnsi="宋体" w:cs="宋体"/>
                <w:b/>
                <w:bCs/>
                <w:color w:val="auto"/>
                <w:kern w:val="0"/>
                <w:szCs w:val="21"/>
                <w:highlight w:val="none"/>
              </w:rPr>
            </w:pPr>
            <w:r>
              <w:rPr>
                <w:rFonts w:hint="eastAsia" w:ascii="宋体" w:hAnsi="宋体" w:cs="宋体"/>
                <w:color w:val="auto"/>
                <w:sz w:val="24"/>
                <w:highlight w:val="none"/>
              </w:rPr>
              <w:t>……</w:t>
            </w:r>
          </w:p>
        </w:tc>
        <w:tc>
          <w:tcPr>
            <w:tcW w:w="1361" w:type="dxa"/>
            <w:tcBorders>
              <w:tl2br w:val="nil"/>
              <w:tr2bl w:val="nil"/>
            </w:tcBorders>
            <w:vAlign w:val="center"/>
          </w:tcPr>
          <w:p w14:paraId="2E7246A5">
            <w:pPr>
              <w:widowControl/>
              <w:adjustRightInd/>
              <w:jc w:val="center"/>
              <w:rPr>
                <w:rFonts w:ascii="宋体" w:hAnsi="宋体" w:cs="宋体"/>
                <w:b/>
                <w:bCs/>
                <w:color w:val="auto"/>
                <w:kern w:val="0"/>
                <w:szCs w:val="21"/>
                <w:highlight w:val="none"/>
              </w:rPr>
            </w:pPr>
          </w:p>
        </w:tc>
        <w:tc>
          <w:tcPr>
            <w:tcW w:w="1397" w:type="dxa"/>
            <w:tcBorders>
              <w:tl2br w:val="nil"/>
              <w:tr2bl w:val="nil"/>
            </w:tcBorders>
            <w:vAlign w:val="center"/>
          </w:tcPr>
          <w:p w14:paraId="55C6AD55">
            <w:pPr>
              <w:widowControl/>
              <w:adjustRightInd/>
              <w:jc w:val="center"/>
              <w:rPr>
                <w:rFonts w:ascii="宋体" w:hAnsi="宋体" w:cs="宋体"/>
                <w:b/>
                <w:bCs/>
                <w:color w:val="auto"/>
                <w:kern w:val="0"/>
                <w:szCs w:val="21"/>
                <w:highlight w:val="none"/>
              </w:rPr>
            </w:pPr>
          </w:p>
        </w:tc>
        <w:tc>
          <w:tcPr>
            <w:tcW w:w="1302" w:type="dxa"/>
            <w:tcBorders>
              <w:tl2br w:val="nil"/>
              <w:tr2bl w:val="nil"/>
            </w:tcBorders>
            <w:vAlign w:val="center"/>
          </w:tcPr>
          <w:p w14:paraId="2441B738">
            <w:pPr>
              <w:widowControl/>
              <w:adjustRightInd/>
              <w:jc w:val="center"/>
              <w:rPr>
                <w:rFonts w:ascii="宋体" w:hAnsi="宋体" w:cs="宋体"/>
                <w:b/>
                <w:bCs/>
                <w:color w:val="auto"/>
                <w:kern w:val="0"/>
                <w:szCs w:val="21"/>
                <w:highlight w:val="none"/>
              </w:rPr>
            </w:pPr>
          </w:p>
        </w:tc>
        <w:tc>
          <w:tcPr>
            <w:tcW w:w="1086" w:type="dxa"/>
            <w:tcBorders>
              <w:tl2br w:val="nil"/>
              <w:tr2bl w:val="nil"/>
            </w:tcBorders>
            <w:vAlign w:val="center"/>
          </w:tcPr>
          <w:p w14:paraId="30C365DA">
            <w:pPr>
              <w:widowControl/>
              <w:adjustRightInd/>
              <w:jc w:val="center"/>
              <w:rPr>
                <w:rFonts w:ascii="宋体" w:hAnsi="宋体" w:cs="宋体"/>
                <w:b/>
                <w:bCs/>
                <w:color w:val="auto"/>
                <w:kern w:val="0"/>
                <w:szCs w:val="21"/>
                <w:highlight w:val="none"/>
              </w:rPr>
            </w:pPr>
          </w:p>
        </w:tc>
        <w:tc>
          <w:tcPr>
            <w:tcW w:w="1200" w:type="dxa"/>
            <w:tcBorders>
              <w:tl2br w:val="nil"/>
              <w:tr2bl w:val="nil"/>
            </w:tcBorders>
            <w:vAlign w:val="center"/>
          </w:tcPr>
          <w:p w14:paraId="3FED7993">
            <w:pPr>
              <w:widowControl/>
              <w:adjustRightInd/>
              <w:jc w:val="center"/>
              <w:rPr>
                <w:rFonts w:ascii="宋体" w:hAnsi="宋体" w:cs="宋体"/>
                <w:b/>
                <w:bCs/>
                <w:color w:val="auto"/>
                <w:kern w:val="0"/>
                <w:szCs w:val="21"/>
                <w:highlight w:val="none"/>
              </w:rPr>
            </w:pPr>
          </w:p>
        </w:tc>
        <w:tc>
          <w:tcPr>
            <w:tcW w:w="2333" w:type="dxa"/>
            <w:tcBorders>
              <w:tl2br w:val="nil"/>
              <w:tr2bl w:val="nil"/>
            </w:tcBorders>
            <w:vAlign w:val="center"/>
          </w:tcPr>
          <w:p w14:paraId="56D75E1F">
            <w:pPr>
              <w:widowControl/>
              <w:adjustRightInd/>
              <w:jc w:val="center"/>
              <w:rPr>
                <w:rFonts w:ascii="宋体" w:hAnsi="宋体" w:cs="宋体"/>
                <w:b/>
                <w:bCs/>
                <w:color w:val="auto"/>
                <w:kern w:val="0"/>
                <w:szCs w:val="21"/>
                <w:highlight w:val="none"/>
              </w:rPr>
            </w:pPr>
          </w:p>
        </w:tc>
      </w:tr>
    </w:tbl>
    <w:p w14:paraId="3694E5FA">
      <w:pPr>
        <w:widowControl/>
        <w:adjustRightInd/>
        <w:spacing w:before="319" w:before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p w14:paraId="03A6E11B">
      <w:pPr>
        <w:rPr>
          <w:rFonts w:ascii="宋体" w:hAnsi="宋体" w:cs="宋体"/>
          <w:b/>
          <w:color w:val="auto"/>
          <w:kern w:val="0"/>
          <w:szCs w:val="21"/>
          <w:highlight w:val="none"/>
        </w:rPr>
      </w:pPr>
      <w:r>
        <w:rPr>
          <w:rFonts w:hint="eastAsia" w:ascii="宋体" w:hAnsi="宋体" w:cs="宋体"/>
          <w:b/>
          <w:color w:val="auto"/>
          <w:kern w:val="0"/>
          <w:szCs w:val="21"/>
          <w:highlight w:val="none"/>
        </w:rPr>
        <w:t>注：按本格式和要求提供。</w:t>
      </w:r>
    </w:p>
    <w:p w14:paraId="76FAB907">
      <w:pPr>
        <w:widowControl/>
        <w:adjustRightInd/>
        <w:spacing w:before="319" w:beforeLines="100" w:after="319" w:afterLines="100"/>
        <w:jc w:val="center"/>
        <w:rPr>
          <w:rFonts w:ascii="宋体" w:hAnsi="宋体" w:cs="宋体"/>
          <w:b/>
          <w:color w:val="auto"/>
          <w:kern w:val="0"/>
          <w:sz w:val="28"/>
          <w:szCs w:val="28"/>
          <w:highlight w:val="none"/>
        </w:rPr>
      </w:pPr>
    </w:p>
    <w:p w14:paraId="4D2467AF">
      <w:pPr>
        <w:widowControl/>
        <w:adjustRightInd/>
        <w:spacing w:before="319" w:beforeLines="100" w:after="319" w:afterLines="100"/>
        <w:jc w:val="center"/>
        <w:rPr>
          <w:rFonts w:ascii="宋体" w:hAnsi="宋体" w:cs="宋体"/>
          <w:b/>
          <w:color w:val="auto"/>
          <w:kern w:val="0"/>
          <w:sz w:val="28"/>
          <w:szCs w:val="28"/>
          <w:highlight w:val="none"/>
        </w:rPr>
      </w:pPr>
    </w:p>
    <w:p w14:paraId="55A9D064">
      <w:pPr>
        <w:widowControl/>
        <w:adjustRightInd/>
        <w:spacing w:before="319" w:beforeLines="100" w:after="319" w:afterLines="100"/>
        <w:jc w:val="center"/>
        <w:rPr>
          <w:rFonts w:ascii="宋体" w:hAnsi="宋体" w:cs="宋体"/>
          <w:b/>
          <w:color w:val="auto"/>
          <w:kern w:val="0"/>
          <w:sz w:val="28"/>
          <w:szCs w:val="28"/>
          <w:highlight w:val="none"/>
        </w:rPr>
      </w:pPr>
    </w:p>
    <w:p w14:paraId="53E31C7D">
      <w:pPr>
        <w:widowControl/>
        <w:adjustRightInd/>
        <w:spacing w:before="319" w:beforeLines="100" w:after="319" w:afterLines="100"/>
        <w:jc w:val="center"/>
        <w:rPr>
          <w:rFonts w:ascii="宋体" w:hAnsi="宋体" w:cs="宋体"/>
          <w:b/>
          <w:color w:val="auto"/>
          <w:kern w:val="0"/>
          <w:sz w:val="28"/>
          <w:szCs w:val="28"/>
          <w:highlight w:val="none"/>
        </w:rPr>
      </w:pPr>
    </w:p>
    <w:p w14:paraId="13187742">
      <w:pPr>
        <w:widowControl/>
        <w:adjustRightInd/>
        <w:spacing w:before="319" w:beforeLines="100" w:after="319" w:afterLines="100"/>
        <w:jc w:val="center"/>
        <w:rPr>
          <w:rFonts w:ascii="宋体" w:hAnsi="宋体" w:cs="宋体"/>
          <w:b/>
          <w:color w:val="auto"/>
          <w:kern w:val="0"/>
          <w:sz w:val="28"/>
          <w:szCs w:val="28"/>
          <w:highlight w:val="none"/>
        </w:rPr>
      </w:pPr>
    </w:p>
    <w:p w14:paraId="5F8D20F8">
      <w:pPr>
        <w:widowControl/>
        <w:adjustRightInd/>
        <w:spacing w:before="319" w:beforeLines="100" w:after="319" w:afterLines="100"/>
        <w:jc w:val="center"/>
        <w:rPr>
          <w:rFonts w:ascii="宋体" w:hAnsi="宋体" w:cs="宋体"/>
          <w:b/>
          <w:color w:val="auto"/>
          <w:kern w:val="0"/>
          <w:sz w:val="28"/>
          <w:szCs w:val="28"/>
          <w:highlight w:val="none"/>
        </w:rPr>
      </w:pPr>
    </w:p>
    <w:p w14:paraId="48A2DED7">
      <w:pPr>
        <w:widowControl/>
        <w:adjustRightInd/>
        <w:spacing w:before="319" w:beforeLines="100" w:after="319" w:afterLines="100"/>
        <w:jc w:val="center"/>
        <w:rPr>
          <w:rFonts w:ascii="宋体" w:hAnsi="宋体" w:cs="宋体"/>
          <w:b/>
          <w:color w:val="auto"/>
          <w:kern w:val="0"/>
          <w:sz w:val="28"/>
          <w:szCs w:val="28"/>
          <w:highlight w:val="none"/>
        </w:rPr>
      </w:pPr>
    </w:p>
    <w:p w14:paraId="602B1CE6">
      <w:pPr>
        <w:widowControl/>
        <w:adjustRightInd/>
        <w:spacing w:before="319" w:beforeLines="100" w:after="319" w:afterLines="100"/>
        <w:jc w:val="center"/>
        <w:rPr>
          <w:rFonts w:ascii="宋体" w:hAnsi="宋体" w:cs="宋体"/>
          <w:b/>
          <w:color w:val="auto"/>
          <w:kern w:val="0"/>
          <w:sz w:val="28"/>
          <w:szCs w:val="28"/>
          <w:highlight w:val="none"/>
        </w:rPr>
      </w:pPr>
    </w:p>
    <w:p w14:paraId="4C8015D0">
      <w:pPr>
        <w:widowControl/>
        <w:adjustRightInd/>
        <w:spacing w:before="319" w:beforeLines="100" w:after="319" w:afterLines="100"/>
        <w:jc w:val="center"/>
        <w:rPr>
          <w:rFonts w:ascii="宋体" w:hAnsi="宋体" w:cs="宋体"/>
          <w:b/>
          <w:color w:val="auto"/>
          <w:kern w:val="0"/>
          <w:sz w:val="28"/>
          <w:szCs w:val="28"/>
          <w:highlight w:val="none"/>
        </w:rPr>
      </w:pPr>
    </w:p>
    <w:p w14:paraId="7CBC104C">
      <w:pPr>
        <w:widowControl/>
        <w:adjustRightInd/>
        <w:spacing w:before="319" w:beforeLines="100" w:after="319" w:afterLines="100"/>
        <w:jc w:val="center"/>
        <w:rPr>
          <w:rFonts w:ascii="宋体" w:hAnsi="宋体" w:cs="宋体"/>
          <w:b/>
          <w:color w:val="auto"/>
          <w:kern w:val="0"/>
          <w:sz w:val="28"/>
          <w:szCs w:val="28"/>
          <w:highlight w:val="none"/>
        </w:rPr>
      </w:pPr>
    </w:p>
    <w:p w14:paraId="74612CEC">
      <w:pPr>
        <w:widowControl/>
        <w:adjustRightInd/>
        <w:spacing w:before="319" w:beforeLines="100" w:after="319" w:afterLines="100"/>
        <w:jc w:val="center"/>
        <w:rPr>
          <w:rFonts w:ascii="宋体" w:hAnsi="宋体" w:cs="宋体"/>
          <w:b/>
          <w:color w:val="auto"/>
          <w:kern w:val="0"/>
          <w:sz w:val="28"/>
          <w:szCs w:val="28"/>
          <w:highlight w:val="none"/>
        </w:rPr>
      </w:pPr>
    </w:p>
    <w:p w14:paraId="3CE96E1F">
      <w:pPr>
        <w:widowControl/>
        <w:adjustRightInd/>
        <w:spacing w:before="319" w:before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7"/>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C92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35CE962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31" w:type="dxa"/>
            <w:tcBorders>
              <w:tl2br w:val="nil"/>
              <w:tr2bl w:val="nil"/>
            </w:tcBorders>
            <w:vAlign w:val="center"/>
          </w:tcPr>
          <w:p w14:paraId="1058CFB8">
            <w:pPr>
              <w:jc w:val="center"/>
              <w:rPr>
                <w:rFonts w:ascii="宋体" w:hAnsi="宋体" w:cs="宋体"/>
                <w:color w:val="auto"/>
                <w:szCs w:val="21"/>
                <w:highlight w:val="none"/>
              </w:rPr>
            </w:pPr>
            <w:r>
              <w:rPr>
                <w:rFonts w:hint="eastAsia" w:ascii="宋体" w:hAnsi="宋体" w:cs="宋体"/>
                <w:color w:val="auto"/>
                <w:szCs w:val="21"/>
                <w:highlight w:val="none"/>
              </w:rPr>
              <w:t>招标文件章节及具体内容</w:t>
            </w:r>
          </w:p>
        </w:tc>
        <w:tc>
          <w:tcPr>
            <w:tcW w:w="2995" w:type="dxa"/>
            <w:tcBorders>
              <w:tl2br w:val="nil"/>
              <w:tr2bl w:val="nil"/>
            </w:tcBorders>
            <w:vAlign w:val="center"/>
          </w:tcPr>
          <w:p w14:paraId="785A898F">
            <w:pPr>
              <w:jc w:val="center"/>
              <w:rPr>
                <w:rFonts w:ascii="宋体" w:hAnsi="宋体" w:cs="宋体"/>
                <w:color w:val="auto"/>
                <w:szCs w:val="21"/>
                <w:highlight w:val="none"/>
              </w:rPr>
            </w:pPr>
            <w:r>
              <w:rPr>
                <w:rFonts w:hint="eastAsia" w:ascii="宋体" w:hAnsi="宋体" w:cs="宋体"/>
                <w:color w:val="auto"/>
                <w:szCs w:val="21"/>
                <w:highlight w:val="none"/>
              </w:rPr>
              <w:t>投标文件章节及具体内容</w:t>
            </w:r>
          </w:p>
        </w:tc>
        <w:tc>
          <w:tcPr>
            <w:tcW w:w="2687" w:type="dxa"/>
            <w:tcBorders>
              <w:tl2br w:val="nil"/>
              <w:tr2bl w:val="nil"/>
            </w:tcBorders>
            <w:vAlign w:val="center"/>
          </w:tcPr>
          <w:p w14:paraId="4F6F2E98">
            <w:pPr>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208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4BC8A5C">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1" w:type="dxa"/>
            <w:tcBorders>
              <w:tl2br w:val="nil"/>
              <w:tr2bl w:val="nil"/>
            </w:tcBorders>
            <w:vAlign w:val="center"/>
          </w:tcPr>
          <w:p w14:paraId="7238871D">
            <w:pPr>
              <w:jc w:val="center"/>
              <w:rPr>
                <w:rFonts w:ascii="宋体" w:hAnsi="宋体" w:cs="宋体"/>
                <w:b/>
                <w:color w:val="auto"/>
                <w:kern w:val="0"/>
                <w:szCs w:val="21"/>
                <w:highlight w:val="none"/>
              </w:rPr>
            </w:pPr>
          </w:p>
        </w:tc>
        <w:tc>
          <w:tcPr>
            <w:tcW w:w="2995" w:type="dxa"/>
            <w:tcBorders>
              <w:tl2br w:val="nil"/>
              <w:tr2bl w:val="nil"/>
            </w:tcBorders>
            <w:vAlign w:val="center"/>
          </w:tcPr>
          <w:p w14:paraId="2B81E4EA">
            <w:pPr>
              <w:jc w:val="center"/>
              <w:rPr>
                <w:rFonts w:ascii="宋体" w:hAnsi="宋体" w:cs="宋体"/>
                <w:b/>
                <w:color w:val="auto"/>
                <w:kern w:val="0"/>
                <w:szCs w:val="21"/>
                <w:highlight w:val="none"/>
              </w:rPr>
            </w:pPr>
          </w:p>
        </w:tc>
        <w:tc>
          <w:tcPr>
            <w:tcW w:w="2687" w:type="dxa"/>
            <w:tcBorders>
              <w:tl2br w:val="nil"/>
              <w:tr2bl w:val="nil"/>
            </w:tcBorders>
            <w:vAlign w:val="center"/>
          </w:tcPr>
          <w:p w14:paraId="7D35B379">
            <w:pPr>
              <w:jc w:val="center"/>
              <w:rPr>
                <w:rFonts w:ascii="宋体" w:hAnsi="宋体" w:cs="宋体"/>
                <w:b/>
                <w:color w:val="auto"/>
                <w:kern w:val="0"/>
                <w:szCs w:val="21"/>
                <w:highlight w:val="none"/>
              </w:rPr>
            </w:pPr>
          </w:p>
        </w:tc>
      </w:tr>
      <w:tr w14:paraId="19162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00C0898B">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31" w:type="dxa"/>
            <w:tcBorders>
              <w:tl2br w:val="nil"/>
              <w:tr2bl w:val="nil"/>
            </w:tcBorders>
            <w:vAlign w:val="center"/>
          </w:tcPr>
          <w:p w14:paraId="7DD49633">
            <w:pPr>
              <w:jc w:val="center"/>
              <w:rPr>
                <w:rFonts w:ascii="宋体" w:hAnsi="宋体" w:cs="宋体"/>
                <w:b/>
                <w:color w:val="auto"/>
                <w:kern w:val="0"/>
                <w:szCs w:val="21"/>
                <w:highlight w:val="none"/>
              </w:rPr>
            </w:pPr>
          </w:p>
        </w:tc>
        <w:tc>
          <w:tcPr>
            <w:tcW w:w="2995" w:type="dxa"/>
            <w:tcBorders>
              <w:tl2br w:val="nil"/>
              <w:tr2bl w:val="nil"/>
            </w:tcBorders>
            <w:vAlign w:val="center"/>
          </w:tcPr>
          <w:p w14:paraId="1CE4C036">
            <w:pPr>
              <w:jc w:val="center"/>
              <w:rPr>
                <w:rFonts w:ascii="宋体" w:hAnsi="宋体" w:cs="宋体"/>
                <w:b/>
                <w:color w:val="auto"/>
                <w:kern w:val="0"/>
                <w:szCs w:val="21"/>
                <w:highlight w:val="none"/>
              </w:rPr>
            </w:pPr>
          </w:p>
        </w:tc>
        <w:tc>
          <w:tcPr>
            <w:tcW w:w="2687" w:type="dxa"/>
            <w:tcBorders>
              <w:tl2br w:val="nil"/>
              <w:tr2bl w:val="nil"/>
            </w:tcBorders>
            <w:vAlign w:val="center"/>
          </w:tcPr>
          <w:p w14:paraId="2905F723">
            <w:pPr>
              <w:jc w:val="center"/>
              <w:rPr>
                <w:rFonts w:ascii="宋体" w:hAnsi="宋体" w:cs="宋体"/>
                <w:b/>
                <w:color w:val="auto"/>
                <w:kern w:val="0"/>
                <w:szCs w:val="21"/>
                <w:highlight w:val="none"/>
              </w:rPr>
            </w:pPr>
          </w:p>
        </w:tc>
      </w:tr>
      <w:tr w14:paraId="19AAB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7FF52240">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231" w:type="dxa"/>
            <w:tcBorders>
              <w:tl2br w:val="nil"/>
              <w:tr2bl w:val="nil"/>
            </w:tcBorders>
            <w:vAlign w:val="center"/>
          </w:tcPr>
          <w:p w14:paraId="4BECB43C">
            <w:pPr>
              <w:jc w:val="center"/>
              <w:rPr>
                <w:rFonts w:ascii="宋体" w:hAnsi="宋体" w:cs="宋体"/>
                <w:b/>
                <w:color w:val="auto"/>
                <w:kern w:val="0"/>
                <w:szCs w:val="21"/>
                <w:highlight w:val="none"/>
              </w:rPr>
            </w:pPr>
          </w:p>
        </w:tc>
        <w:tc>
          <w:tcPr>
            <w:tcW w:w="2995" w:type="dxa"/>
            <w:tcBorders>
              <w:tl2br w:val="nil"/>
              <w:tr2bl w:val="nil"/>
            </w:tcBorders>
            <w:vAlign w:val="center"/>
          </w:tcPr>
          <w:p w14:paraId="3424F149">
            <w:pPr>
              <w:jc w:val="center"/>
              <w:rPr>
                <w:rFonts w:ascii="宋体" w:hAnsi="宋体" w:cs="宋体"/>
                <w:b/>
                <w:color w:val="auto"/>
                <w:kern w:val="0"/>
                <w:szCs w:val="21"/>
                <w:highlight w:val="none"/>
              </w:rPr>
            </w:pPr>
          </w:p>
        </w:tc>
        <w:tc>
          <w:tcPr>
            <w:tcW w:w="2687" w:type="dxa"/>
            <w:tcBorders>
              <w:tl2br w:val="nil"/>
              <w:tr2bl w:val="nil"/>
            </w:tcBorders>
            <w:vAlign w:val="center"/>
          </w:tcPr>
          <w:p w14:paraId="1ED9778B">
            <w:pPr>
              <w:jc w:val="center"/>
              <w:rPr>
                <w:rFonts w:ascii="宋体" w:hAnsi="宋体" w:cs="宋体"/>
                <w:b/>
                <w:color w:val="auto"/>
                <w:kern w:val="0"/>
                <w:szCs w:val="21"/>
                <w:highlight w:val="none"/>
              </w:rPr>
            </w:pPr>
          </w:p>
        </w:tc>
      </w:tr>
    </w:tbl>
    <w:p w14:paraId="6C5938DF">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投标人保证：除商务技术偏离表列出的偏离外，投标人响应招标文件的全部要求。</w:t>
      </w:r>
    </w:p>
    <w:p w14:paraId="42126536">
      <w:pPr>
        <w:pStyle w:val="4"/>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3FC86620">
      <w:pPr>
        <w:pStyle w:val="4"/>
        <w:rPr>
          <w:rFonts w:ascii="宋体" w:hAnsi="宋体" w:eastAsia="宋体" w:cs="宋体"/>
          <w:color w:val="auto"/>
          <w:highlight w:val="none"/>
          <w:lang w:val="en-US"/>
        </w:rPr>
      </w:pPr>
    </w:p>
    <w:p w14:paraId="49EC581A">
      <w:pPr>
        <w:jc w:val="center"/>
        <w:rPr>
          <w:rFonts w:ascii="宋体" w:hAnsi="宋体" w:cs="宋体"/>
          <w:b/>
          <w:color w:val="auto"/>
          <w:kern w:val="0"/>
          <w:sz w:val="32"/>
          <w:szCs w:val="32"/>
          <w:highlight w:val="none"/>
        </w:rPr>
      </w:pPr>
    </w:p>
    <w:p w14:paraId="21390BDA">
      <w:pPr>
        <w:jc w:val="center"/>
        <w:rPr>
          <w:rFonts w:ascii="宋体" w:hAnsi="宋体" w:cs="宋体"/>
          <w:b/>
          <w:color w:val="auto"/>
          <w:kern w:val="0"/>
          <w:sz w:val="32"/>
          <w:szCs w:val="32"/>
          <w:highlight w:val="none"/>
        </w:rPr>
      </w:pPr>
    </w:p>
    <w:p w14:paraId="4673E159">
      <w:pPr>
        <w:jc w:val="center"/>
        <w:rPr>
          <w:rFonts w:ascii="宋体" w:hAnsi="宋体" w:cs="宋体"/>
          <w:b/>
          <w:color w:val="auto"/>
          <w:kern w:val="0"/>
          <w:sz w:val="32"/>
          <w:szCs w:val="32"/>
          <w:highlight w:val="none"/>
        </w:rPr>
      </w:pPr>
    </w:p>
    <w:p w14:paraId="775B5640">
      <w:pPr>
        <w:jc w:val="center"/>
        <w:rPr>
          <w:rFonts w:ascii="宋体" w:hAnsi="宋体" w:cs="宋体"/>
          <w:b/>
          <w:color w:val="auto"/>
          <w:kern w:val="0"/>
          <w:sz w:val="32"/>
          <w:szCs w:val="32"/>
          <w:highlight w:val="none"/>
        </w:rPr>
      </w:pPr>
    </w:p>
    <w:p w14:paraId="1392AF9B">
      <w:pPr>
        <w:jc w:val="center"/>
        <w:rPr>
          <w:rFonts w:ascii="宋体" w:hAnsi="宋体" w:cs="宋体"/>
          <w:b/>
          <w:color w:val="auto"/>
          <w:kern w:val="0"/>
          <w:sz w:val="32"/>
          <w:szCs w:val="32"/>
          <w:highlight w:val="none"/>
        </w:rPr>
      </w:pPr>
    </w:p>
    <w:p w14:paraId="10E30DB9">
      <w:pPr>
        <w:jc w:val="center"/>
        <w:rPr>
          <w:rFonts w:ascii="宋体" w:hAnsi="宋体" w:cs="宋体"/>
          <w:b/>
          <w:color w:val="auto"/>
          <w:kern w:val="0"/>
          <w:sz w:val="32"/>
          <w:szCs w:val="32"/>
          <w:highlight w:val="none"/>
        </w:rPr>
      </w:pPr>
    </w:p>
    <w:p w14:paraId="25E6634B">
      <w:pPr>
        <w:jc w:val="center"/>
        <w:rPr>
          <w:rFonts w:ascii="宋体" w:hAnsi="宋体" w:cs="宋体"/>
          <w:b/>
          <w:color w:val="auto"/>
          <w:kern w:val="0"/>
          <w:sz w:val="32"/>
          <w:szCs w:val="32"/>
          <w:highlight w:val="none"/>
        </w:rPr>
      </w:pPr>
    </w:p>
    <w:p w14:paraId="0167FE6B">
      <w:pPr>
        <w:jc w:val="center"/>
        <w:rPr>
          <w:rFonts w:ascii="宋体" w:hAnsi="宋体" w:cs="宋体"/>
          <w:b/>
          <w:color w:val="auto"/>
          <w:kern w:val="0"/>
          <w:sz w:val="32"/>
          <w:szCs w:val="32"/>
          <w:highlight w:val="none"/>
        </w:rPr>
      </w:pPr>
    </w:p>
    <w:p w14:paraId="17AFFC00">
      <w:pPr>
        <w:jc w:val="center"/>
        <w:rPr>
          <w:rFonts w:ascii="宋体" w:hAnsi="宋体" w:cs="宋体"/>
          <w:b/>
          <w:color w:val="auto"/>
          <w:kern w:val="0"/>
          <w:sz w:val="32"/>
          <w:szCs w:val="32"/>
          <w:highlight w:val="none"/>
        </w:rPr>
      </w:pPr>
    </w:p>
    <w:p w14:paraId="53FEF856">
      <w:pPr>
        <w:jc w:val="center"/>
        <w:rPr>
          <w:rFonts w:ascii="宋体" w:hAnsi="宋体" w:cs="宋体"/>
          <w:b/>
          <w:color w:val="auto"/>
          <w:kern w:val="0"/>
          <w:sz w:val="32"/>
          <w:szCs w:val="32"/>
          <w:highlight w:val="none"/>
        </w:rPr>
      </w:pPr>
    </w:p>
    <w:p w14:paraId="5BEE8C51">
      <w:pPr>
        <w:jc w:val="center"/>
        <w:rPr>
          <w:rFonts w:ascii="宋体" w:hAnsi="宋体" w:cs="宋体"/>
          <w:b/>
          <w:color w:val="auto"/>
          <w:kern w:val="0"/>
          <w:sz w:val="32"/>
          <w:szCs w:val="32"/>
          <w:highlight w:val="none"/>
        </w:rPr>
      </w:pPr>
    </w:p>
    <w:p w14:paraId="71318FBD">
      <w:pPr>
        <w:jc w:val="center"/>
        <w:rPr>
          <w:rFonts w:ascii="宋体" w:hAnsi="宋体" w:cs="宋体"/>
          <w:b/>
          <w:color w:val="auto"/>
          <w:kern w:val="0"/>
          <w:sz w:val="32"/>
          <w:szCs w:val="32"/>
          <w:highlight w:val="none"/>
        </w:rPr>
      </w:pPr>
    </w:p>
    <w:p w14:paraId="4C352E01">
      <w:pPr>
        <w:ind w:firstLine="2891" w:firstLineChars="900"/>
        <w:rPr>
          <w:rFonts w:ascii="宋体" w:hAnsi="宋体" w:cs="宋体"/>
          <w:b/>
          <w:bCs/>
          <w:color w:val="auto"/>
          <w:sz w:val="32"/>
          <w:szCs w:val="32"/>
          <w:highlight w:val="none"/>
        </w:rPr>
      </w:pPr>
    </w:p>
    <w:p w14:paraId="5F8BDBAF">
      <w:pPr>
        <w:ind w:firstLine="2891" w:firstLineChars="900"/>
        <w:rPr>
          <w:rFonts w:ascii="宋体" w:hAnsi="宋体" w:cs="宋体"/>
          <w:b/>
          <w:bCs/>
          <w:color w:val="auto"/>
          <w:sz w:val="32"/>
          <w:szCs w:val="32"/>
          <w:highlight w:val="none"/>
        </w:rPr>
      </w:pPr>
    </w:p>
    <w:p w14:paraId="6427CD36">
      <w:pPr>
        <w:widowControl/>
        <w:adjustRightInd/>
        <w:spacing w:before="319" w:beforeLines="100" w:after="319" w:afterLines="1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4B28BFA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4AA9628D">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我单位响应你单位项目招标要求参加投标。在这次投标过程中和中标后，我们将严格遵守国家法律法规要求，并郑重承诺：</w:t>
      </w:r>
    </w:p>
    <w:p w14:paraId="77916BD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一、不向项目有关人员及部门赠送礼金礼物、有价证券、回扣以及中介费、介绍费、咨询费等好处费；</w:t>
      </w:r>
    </w:p>
    <w:p w14:paraId="64CA7675">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二、不为项目有关人员及部门报销应由你方单位或个人支付的费用；</w:t>
      </w:r>
    </w:p>
    <w:p w14:paraId="16A083C0">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三、不向项目有关人员及部门提供有可能影响公正的宴请和健身娱乐等活动；</w:t>
      </w:r>
    </w:p>
    <w:p w14:paraId="5188C9FE">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6104ECA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34A0F8B8">
      <w:pPr>
        <w:wordWrap w:val="0"/>
        <w:autoSpaceDE w:val="0"/>
        <w:autoSpaceDN w:val="0"/>
        <w:spacing w:line="360" w:lineRule="auto"/>
        <w:ind w:left="420" w:left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六、</w:t>
      </w:r>
      <w:r>
        <w:rPr>
          <w:rFonts w:hint="eastAsia" w:ascii="宋体" w:hAnsi="宋体" w:cs="宋体"/>
          <w:color w:val="auto"/>
          <w:kern w:val="0"/>
          <w:szCs w:val="21"/>
          <w:highlight w:val="none"/>
          <w:lang w:val="zh-CN"/>
        </w:rPr>
        <w:t>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等法律法规，诚实守信，合法经营，坚决抵制各种违法违纪行为。</w:t>
      </w:r>
    </w:p>
    <w:p w14:paraId="052A54BE">
      <w:pPr>
        <w:wordWrap w:val="0"/>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7E9A62DD">
      <w:pPr>
        <w:autoSpaceDE w:val="0"/>
        <w:autoSpaceDN w:val="0"/>
        <w:spacing w:line="360" w:lineRule="auto"/>
        <w:ind w:firstLine="420" w:firstLineChars="200"/>
        <w:jc w:val="left"/>
        <w:rPr>
          <w:rFonts w:ascii="宋体" w:hAnsi="宋体" w:cs="宋体"/>
          <w:color w:val="auto"/>
          <w:kern w:val="0"/>
          <w:szCs w:val="21"/>
          <w:highlight w:val="none"/>
          <w:lang w:val="zh-CN"/>
        </w:rPr>
      </w:pPr>
    </w:p>
    <w:p w14:paraId="15ED0D7E">
      <w:pPr>
        <w:autoSpaceDE w:val="0"/>
        <w:autoSpaceDN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w:t>
      </w:r>
    </w:p>
    <w:p w14:paraId="4B432BC1">
      <w:pPr>
        <w:spacing w:line="360" w:lineRule="auto"/>
        <w:ind w:firstLine="4620" w:firstLineChars="2200"/>
        <w:rPr>
          <w:rFonts w:ascii="宋体" w:hAnsi="宋体" w:cs="宋体"/>
          <w:color w:val="auto"/>
          <w:sz w:val="24"/>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62AF0D1">
      <w:pPr>
        <w:spacing w:line="360" w:lineRule="auto"/>
        <w:jc w:val="center"/>
        <w:rPr>
          <w:rFonts w:ascii="宋体" w:hAnsi="宋体" w:cs="宋体"/>
          <w:b/>
          <w:bCs/>
          <w:color w:val="auto"/>
          <w:sz w:val="24"/>
          <w:highlight w:val="none"/>
        </w:rPr>
      </w:pPr>
    </w:p>
    <w:p w14:paraId="4C2C882A">
      <w:pPr>
        <w:pStyle w:val="4"/>
        <w:rPr>
          <w:rFonts w:ascii="宋体" w:hAnsi="宋体" w:eastAsia="宋体" w:cs="宋体"/>
          <w:color w:val="auto"/>
          <w:sz w:val="24"/>
          <w:highlight w:val="none"/>
        </w:rPr>
      </w:pPr>
    </w:p>
    <w:p w14:paraId="212F89BC">
      <w:pPr>
        <w:rPr>
          <w:rFonts w:ascii="宋体" w:hAnsi="宋体" w:cs="宋体"/>
          <w:b/>
          <w:bCs/>
          <w:color w:val="auto"/>
          <w:szCs w:val="21"/>
          <w:highlight w:val="none"/>
        </w:rPr>
      </w:pPr>
      <w:r>
        <w:rPr>
          <w:rFonts w:hint="eastAsia" w:ascii="宋体" w:hAnsi="宋体" w:cs="宋体"/>
          <w:b/>
          <w:bCs/>
          <w:color w:val="auto"/>
          <w:szCs w:val="21"/>
          <w:highlight w:val="none"/>
        </w:rPr>
        <w:t>注：按本格式和要求提供。</w:t>
      </w:r>
    </w:p>
    <w:p w14:paraId="5C44A56F">
      <w:pPr>
        <w:spacing w:line="360" w:lineRule="auto"/>
        <w:jc w:val="center"/>
        <w:rPr>
          <w:rFonts w:ascii="宋体" w:hAnsi="宋体" w:cs="宋体"/>
          <w:b/>
          <w:bCs/>
          <w:color w:val="auto"/>
          <w:sz w:val="24"/>
          <w:highlight w:val="none"/>
        </w:rPr>
        <w:sectPr>
          <w:footerReference r:id="rId8"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73B30EEA">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报价文件部分</w:t>
      </w:r>
    </w:p>
    <w:p w14:paraId="5B017835">
      <w:pPr>
        <w:spacing w:before="319" w:beforeLines="100" w:after="319" w:afterLines="100"/>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27CF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开标一览表（报价表）………………………………………………………（页码）</w:t>
      </w:r>
    </w:p>
    <w:p w14:paraId="21EB5A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报价情况说明…………………………………………………………………（页码）</w:t>
      </w:r>
    </w:p>
    <w:p w14:paraId="4A3C22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中小企业声明函………………………………………………………………（页码）</w:t>
      </w:r>
    </w:p>
    <w:p w14:paraId="4E2E8E8F">
      <w:pPr>
        <w:snapToGrid w:val="0"/>
        <w:spacing w:line="360" w:lineRule="auto"/>
        <w:rPr>
          <w:rFonts w:ascii="宋体" w:hAnsi="宋体" w:cs="宋体"/>
          <w:color w:val="auto"/>
          <w:szCs w:val="21"/>
          <w:highlight w:val="none"/>
        </w:rPr>
        <w:sectPr>
          <w:headerReference r:id="rId10" w:type="first"/>
          <w:footerReference r:id="rId12" w:type="first"/>
          <w:headerReference r:id="rId9" w:type="default"/>
          <w:footerReference r:id="rId11" w:type="default"/>
          <w:pgSz w:w="11905" w:h="16838"/>
          <w:pgMar w:top="1440" w:right="1080" w:bottom="1440" w:left="1080" w:header="851" w:footer="992" w:gutter="0"/>
          <w:pgBorders>
            <w:top w:val="none" w:sz="0" w:space="0"/>
            <w:left w:val="none" w:sz="0" w:space="0"/>
            <w:bottom w:val="none" w:sz="0" w:space="0"/>
            <w:right w:val="none" w:sz="0" w:space="0"/>
          </w:pgBorders>
          <w:cols w:space="0" w:num="1"/>
          <w:docGrid w:type="lines" w:linePitch="319" w:charSpace="0"/>
        </w:sectPr>
      </w:pPr>
    </w:p>
    <w:p w14:paraId="36D7208E">
      <w:pPr>
        <w:pStyle w:val="695"/>
        <w:keepNext w:val="0"/>
        <w:pageBreakBefore w:val="0"/>
        <w:tabs>
          <w:tab w:val="clear" w:pos="720"/>
        </w:tabs>
        <w:snapToGrid w:val="0"/>
        <w:spacing w:before="319" w:beforeLines="100" w:after="319"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3C2489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（采购人）、（采购代理机构）：</w:t>
      </w:r>
    </w:p>
    <w:p w14:paraId="18E934AA">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（采购编号）】的实施</w:t>
      </w:r>
      <w:r>
        <w:rPr>
          <w:rFonts w:hint="eastAsia" w:ascii="宋体" w:hAnsi="宋体" w:cs="宋体"/>
          <w:color w:val="auto"/>
          <w:kern w:val="0"/>
          <w:szCs w:val="21"/>
          <w:highlight w:val="none"/>
          <w:lang w:val="zh-CN"/>
        </w:rPr>
        <w:t>。</w:t>
      </w:r>
    </w:p>
    <w:p w14:paraId="635065C5">
      <w:pPr>
        <w:spacing w:line="360" w:lineRule="auto"/>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开标一览表（报价表）(单位均为人民币元)</w:t>
      </w:r>
    </w:p>
    <w:tbl>
      <w:tblPr>
        <w:tblStyle w:val="66"/>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6"/>
        <w:gridCol w:w="2424"/>
        <w:gridCol w:w="1209"/>
        <w:gridCol w:w="1412"/>
      </w:tblGrid>
      <w:tr w14:paraId="763D0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5" w:type="dxa"/>
            <w:tcBorders>
              <w:tl2br w:val="nil"/>
              <w:tr2bl w:val="nil"/>
            </w:tcBorders>
            <w:vAlign w:val="center"/>
          </w:tcPr>
          <w:p w14:paraId="4CD7EB04">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966" w:type="dxa"/>
            <w:tcBorders>
              <w:tl2br w:val="nil"/>
              <w:tr2bl w:val="nil"/>
            </w:tcBorders>
            <w:vAlign w:val="center"/>
          </w:tcPr>
          <w:p w14:paraId="6BC5D6DF">
            <w:pPr>
              <w:jc w:val="center"/>
              <w:rPr>
                <w:rFonts w:ascii="宋体" w:hAnsi="宋体" w:cs="宋体"/>
                <w:bCs/>
                <w:color w:val="auto"/>
                <w:szCs w:val="21"/>
                <w:highlight w:val="none"/>
              </w:rPr>
            </w:pPr>
            <w:r>
              <w:rPr>
                <w:rFonts w:hint="eastAsia" w:ascii="宋体" w:hAnsi="宋体" w:cs="宋体"/>
                <w:bCs/>
                <w:color w:val="auto"/>
                <w:szCs w:val="21"/>
                <w:highlight w:val="none"/>
              </w:rPr>
              <w:t>名称</w:t>
            </w:r>
          </w:p>
        </w:tc>
        <w:tc>
          <w:tcPr>
            <w:tcW w:w="2424" w:type="dxa"/>
            <w:tcBorders>
              <w:tl2br w:val="nil"/>
              <w:tr2bl w:val="nil"/>
            </w:tcBorders>
            <w:vAlign w:val="center"/>
          </w:tcPr>
          <w:p w14:paraId="3BF3327D">
            <w:pPr>
              <w:jc w:val="center"/>
              <w:rPr>
                <w:rFonts w:ascii="宋体" w:hAnsi="宋体" w:cs="宋体"/>
                <w:bCs/>
                <w:color w:val="auto"/>
                <w:szCs w:val="21"/>
                <w:highlight w:val="none"/>
              </w:rPr>
            </w:pPr>
            <w:r>
              <w:rPr>
                <w:rFonts w:hint="eastAsia" w:ascii="宋体" w:hAnsi="宋体" w:cs="宋体"/>
                <w:bCs/>
                <w:color w:val="auto"/>
                <w:szCs w:val="21"/>
                <w:highlight w:val="none"/>
              </w:rPr>
              <w:t>服务时间</w:t>
            </w:r>
          </w:p>
        </w:tc>
        <w:tc>
          <w:tcPr>
            <w:tcW w:w="1209" w:type="dxa"/>
            <w:tcBorders>
              <w:tl2br w:val="nil"/>
              <w:tr2bl w:val="nil"/>
            </w:tcBorders>
            <w:vAlign w:val="center"/>
          </w:tcPr>
          <w:p w14:paraId="6D791D4B">
            <w:pPr>
              <w:jc w:val="center"/>
              <w:rPr>
                <w:rFonts w:ascii="宋体" w:hAnsi="宋体" w:cs="宋体"/>
                <w:bCs/>
                <w:color w:val="auto"/>
                <w:szCs w:val="21"/>
                <w:highlight w:val="none"/>
              </w:rPr>
            </w:pPr>
            <w:r>
              <w:rPr>
                <w:rFonts w:hint="eastAsia" w:ascii="宋体" w:hAnsi="宋体" w:cs="宋体"/>
                <w:bCs/>
                <w:color w:val="auto"/>
                <w:szCs w:val="21"/>
                <w:highlight w:val="none"/>
              </w:rPr>
              <w:t>服务人数</w:t>
            </w:r>
          </w:p>
        </w:tc>
        <w:tc>
          <w:tcPr>
            <w:tcW w:w="1412" w:type="dxa"/>
            <w:tcBorders>
              <w:tl2br w:val="nil"/>
              <w:tr2bl w:val="nil"/>
            </w:tcBorders>
            <w:vAlign w:val="center"/>
          </w:tcPr>
          <w:p w14:paraId="7711BF8B">
            <w:pPr>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p w14:paraId="428C6CB9">
            <w:pPr>
              <w:jc w:val="center"/>
              <w:rPr>
                <w:rFonts w:ascii="宋体" w:hAnsi="宋体" w:cs="宋体"/>
                <w:bCs/>
                <w:color w:val="auto"/>
                <w:szCs w:val="21"/>
                <w:highlight w:val="none"/>
              </w:rPr>
            </w:pPr>
            <w:r>
              <w:rPr>
                <w:rFonts w:hint="eastAsia" w:ascii="宋体" w:hAnsi="宋体" w:cs="宋体"/>
                <w:bCs/>
                <w:color w:val="auto"/>
                <w:szCs w:val="21"/>
                <w:highlight w:val="none"/>
              </w:rPr>
              <w:t>（如果有）</w:t>
            </w:r>
          </w:p>
        </w:tc>
      </w:tr>
      <w:tr w14:paraId="0401D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tcBorders>
              <w:tl2br w:val="nil"/>
              <w:tr2bl w:val="nil"/>
            </w:tcBorders>
            <w:vAlign w:val="center"/>
          </w:tcPr>
          <w:p w14:paraId="03F47B5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966" w:type="dxa"/>
            <w:tcBorders>
              <w:tl2br w:val="nil"/>
              <w:tr2bl w:val="nil"/>
            </w:tcBorders>
            <w:vAlign w:val="center"/>
          </w:tcPr>
          <w:p w14:paraId="57449A1E">
            <w:pPr>
              <w:snapToGrid w:val="0"/>
              <w:jc w:val="center"/>
              <w:rPr>
                <w:rFonts w:ascii="宋体" w:hAnsi="宋体" w:cs="宋体"/>
                <w:color w:val="auto"/>
                <w:szCs w:val="21"/>
                <w:highlight w:val="none"/>
              </w:rPr>
            </w:pPr>
          </w:p>
        </w:tc>
        <w:tc>
          <w:tcPr>
            <w:tcW w:w="2424" w:type="dxa"/>
            <w:tcBorders>
              <w:tl2br w:val="nil"/>
              <w:tr2bl w:val="nil"/>
            </w:tcBorders>
            <w:vAlign w:val="center"/>
          </w:tcPr>
          <w:p w14:paraId="3E16110A">
            <w:pPr>
              <w:snapToGrid w:val="0"/>
              <w:jc w:val="center"/>
              <w:rPr>
                <w:rFonts w:ascii="宋体" w:hAnsi="宋体" w:cs="宋体"/>
                <w:color w:val="auto"/>
                <w:szCs w:val="21"/>
                <w:highlight w:val="none"/>
              </w:rPr>
            </w:pPr>
          </w:p>
        </w:tc>
        <w:tc>
          <w:tcPr>
            <w:tcW w:w="1209" w:type="dxa"/>
            <w:tcBorders>
              <w:tl2br w:val="nil"/>
              <w:tr2bl w:val="nil"/>
            </w:tcBorders>
            <w:vAlign w:val="center"/>
          </w:tcPr>
          <w:p w14:paraId="5F6C8213">
            <w:pPr>
              <w:jc w:val="center"/>
              <w:rPr>
                <w:rFonts w:ascii="宋体" w:hAnsi="宋体" w:cs="宋体"/>
                <w:color w:val="auto"/>
                <w:szCs w:val="21"/>
                <w:highlight w:val="none"/>
              </w:rPr>
            </w:pPr>
          </w:p>
        </w:tc>
        <w:tc>
          <w:tcPr>
            <w:tcW w:w="1412" w:type="dxa"/>
            <w:tcBorders>
              <w:tl2br w:val="nil"/>
              <w:tr2bl w:val="nil"/>
            </w:tcBorders>
            <w:vAlign w:val="center"/>
          </w:tcPr>
          <w:p w14:paraId="0F67C7C4">
            <w:pPr>
              <w:jc w:val="center"/>
              <w:rPr>
                <w:rFonts w:ascii="宋体" w:hAnsi="宋体" w:cs="宋体"/>
                <w:color w:val="auto"/>
                <w:szCs w:val="21"/>
                <w:highlight w:val="none"/>
              </w:rPr>
            </w:pPr>
          </w:p>
        </w:tc>
      </w:tr>
      <w:tr w14:paraId="54246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4252E75F">
            <w:pPr>
              <w:jc w:val="center"/>
              <w:rPr>
                <w:rFonts w:ascii="宋体" w:hAnsi="宋体" w:cs="宋体"/>
                <w:bCs/>
                <w:color w:val="auto"/>
                <w:szCs w:val="21"/>
                <w:highlight w:val="none"/>
              </w:rPr>
            </w:pPr>
            <w:r>
              <w:rPr>
                <w:rFonts w:hint="eastAsia" w:ascii="宋体" w:hAnsi="宋体" w:cs="宋体"/>
                <w:bCs/>
                <w:color w:val="auto"/>
                <w:szCs w:val="21"/>
                <w:highlight w:val="none"/>
              </w:rPr>
              <w:t>投标报价（小写）</w:t>
            </w:r>
          </w:p>
        </w:tc>
        <w:tc>
          <w:tcPr>
            <w:tcW w:w="5045" w:type="dxa"/>
            <w:gridSpan w:val="3"/>
            <w:tcBorders>
              <w:tl2br w:val="nil"/>
              <w:tr2bl w:val="nil"/>
            </w:tcBorders>
            <w:vAlign w:val="center"/>
          </w:tcPr>
          <w:p w14:paraId="5F6AAF9C">
            <w:pPr>
              <w:jc w:val="center"/>
              <w:rPr>
                <w:rFonts w:ascii="宋体" w:hAnsi="宋体" w:cs="宋体"/>
                <w:color w:val="auto"/>
                <w:szCs w:val="21"/>
                <w:highlight w:val="none"/>
              </w:rPr>
            </w:pPr>
          </w:p>
        </w:tc>
      </w:tr>
      <w:tr w14:paraId="713A2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7543188B">
            <w:pPr>
              <w:jc w:val="center"/>
              <w:rPr>
                <w:rFonts w:ascii="宋体" w:hAnsi="宋体" w:cs="宋体"/>
                <w:bCs/>
                <w:color w:val="auto"/>
                <w:szCs w:val="21"/>
                <w:highlight w:val="none"/>
              </w:rPr>
            </w:pPr>
            <w:r>
              <w:rPr>
                <w:rFonts w:hint="eastAsia" w:ascii="宋体" w:hAnsi="宋体" w:cs="宋体"/>
                <w:bCs/>
                <w:color w:val="auto"/>
                <w:szCs w:val="21"/>
                <w:highlight w:val="none"/>
              </w:rPr>
              <w:t>投标报价（大写）</w:t>
            </w:r>
          </w:p>
        </w:tc>
        <w:tc>
          <w:tcPr>
            <w:tcW w:w="5045" w:type="dxa"/>
            <w:gridSpan w:val="3"/>
            <w:tcBorders>
              <w:tl2br w:val="nil"/>
              <w:tr2bl w:val="nil"/>
            </w:tcBorders>
            <w:vAlign w:val="center"/>
          </w:tcPr>
          <w:p w14:paraId="260CD50E">
            <w:pPr>
              <w:jc w:val="center"/>
              <w:rPr>
                <w:rFonts w:ascii="宋体" w:hAnsi="宋体" w:cs="宋体"/>
                <w:color w:val="auto"/>
                <w:szCs w:val="21"/>
                <w:highlight w:val="none"/>
              </w:rPr>
            </w:pPr>
          </w:p>
        </w:tc>
      </w:tr>
    </w:tbl>
    <w:p w14:paraId="084853AB">
      <w:pPr>
        <w:snapToGrid w:val="0"/>
        <w:spacing w:line="360" w:lineRule="auto"/>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553EA1D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bCs/>
          <w:color w:val="auto"/>
          <w:kern w:val="0"/>
          <w:szCs w:val="21"/>
          <w:highlight w:val="none"/>
          <w:lang w:val="zh-CN"/>
        </w:rPr>
        <w:t>否则视为投标文件含有采购人不能接受的附加条件，投标无效。</w:t>
      </w:r>
    </w:p>
    <w:p w14:paraId="53EAF59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投标文件含有采购人不能接受的附加条件的，投标无效</w:t>
      </w:r>
      <w:r>
        <w:rPr>
          <w:rFonts w:hint="eastAsia" w:ascii="宋体" w:hAnsi="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06BED5B1">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、特别提示：采购</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5E9D7D1B">
      <w:pPr>
        <w:snapToGrid w:val="0"/>
        <w:spacing w:line="360" w:lineRule="auto"/>
        <w:ind w:firstLine="420" w:firstLineChars="200"/>
        <w:rPr>
          <w:rFonts w:ascii="宋体" w:hAnsi="宋体" w:cs="宋体"/>
          <w:color w:val="auto"/>
          <w:kern w:val="0"/>
          <w:szCs w:val="21"/>
          <w:highlight w:val="none"/>
          <w:lang w:val="zh-CN"/>
        </w:rPr>
        <w:sectPr>
          <w:pgSz w:w="11905" w:h="16838"/>
          <w:pgMar w:top="1440" w:right="1083" w:bottom="1440" w:left="1083"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5070A1">
      <w:pPr>
        <w:pStyle w:val="695"/>
        <w:keepNext w:val="0"/>
        <w:pageBreakBefore w:val="0"/>
        <w:tabs>
          <w:tab w:val="clear" w:pos="720"/>
        </w:tabs>
        <w:snapToGrid w:val="0"/>
        <w:spacing w:before="319" w:beforeLines="100" w:after="319"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rPr>
        <w:t>、报价情况说明（如果有）</w:t>
      </w:r>
    </w:p>
    <w:p w14:paraId="1CF72F92">
      <w:pPr>
        <w:widowControl/>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（如供应商报价低于项目预算50%的，应当提交本文档，详细阐述不影响产品质量或者诚信履约的具体原因，否则投标无效。）</w:t>
      </w:r>
    </w:p>
    <w:p w14:paraId="37A528B2">
      <w:pPr>
        <w:pStyle w:val="695"/>
        <w:keepNext w:val="0"/>
        <w:keepLines w:val="0"/>
        <w:pageBreakBefore/>
        <w:widowControl w:val="0"/>
        <w:tabs>
          <w:tab w:val="clear" w:pos="720"/>
        </w:tabs>
        <w:kinsoku/>
        <w:wordWrap/>
        <w:overflowPunct/>
        <w:topLinePunct w:val="0"/>
        <w:autoSpaceDE/>
        <w:autoSpaceDN/>
        <w:bidi w:val="0"/>
        <w:adjustRightInd w:val="0"/>
        <w:snapToGrid w:val="0"/>
        <w:spacing w:before="319" w:beforeLines="100" w:after="319" w:afterLines="100" w:line="240" w:lineRule="auto"/>
        <w:textAlignment w:val="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三</w:t>
      </w:r>
      <w:r>
        <w:rPr>
          <w:rFonts w:hint="eastAsia" w:ascii="宋体" w:hAnsi="宋体" w:eastAsia="宋体" w:cs="宋体"/>
          <w:color w:val="auto"/>
          <w:kern w:val="2"/>
          <w:sz w:val="28"/>
          <w:szCs w:val="28"/>
          <w:highlight w:val="none"/>
        </w:rPr>
        <w:t>、中小企业声明函（如果有）</w:t>
      </w:r>
    </w:p>
    <w:p w14:paraId="5C2F1DEA">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D46DD7">
      <w:pPr>
        <w:pStyle w:val="4"/>
        <w:rPr>
          <w:rFonts w:ascii="宋体" w:hAnsi="宋体" w:eastAsia="宋体" w:cs="宋体"/>
          <w:color w:val="auto"/>
          <w:highlight w:val="none"/>
        </w:rPr>
      </w:pPr>
      <w:r>
        <w:rPr>
          <w:rFonts w:hint="eastAsia" w:ascii="宋体" w:hAnsi="宋体" w:eastAsia="宋体" w:cs="宋体"/>
          <w:color w:val="auto"/>
          <w:highlight w:val="none"/>
        </w:rPr>
        <w:br w:type="page"/>
      </w:r>
    </w:p>
    <w:p w14:paraId="53D2F295">
      <w:pPr>
        <w:pStyle w:val="3"/>
        <w:keepNext w:val="0"/>
        <w:keepLines w:val="0"/>
        <w:pageBreakBefore/>
        <w:widowControl/>
        <w:spacing w:before="319" w:beforeLines="100" w:after="319" w:afterLines="100" w:line="240" w:lineRule="auto"/>
        <w:ind w:left="0" w:firstLine="0"/>
        <w:jc w:val="center"/>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2E100954">
      <w:pPr>
        <w:spacing w:before="319" w:beforeLines="100" w:after="319" w:afterLines="100"/>
        <w:rPr>
          <w:rFonts w:ascii="宋体" w:hAnsi="宋体" w:cs="宋体"/>
          <w:b/>
          <w:color w:val="auto"/>
          <w:sz w:val="28"/>
          <w:szCs w:val="28"/>
          <w:highlight w:val="none"/>
        </w:rPr>
      </w:pPr>
      <w:r>
        <w:rPr>
          <w:rFonts w:hint="eastAsia" w:ascii="宋体" w:hAnsi="宋体" w:cs="宋体"/>
          <w:b/>
          <w:color w:val="auto"/>
          <w:sz w:val="28"/>
          <w:szCs w:val="28"/>
          <w:highlight w:val="none"/>
        </w:rPr>
        <w:t>附件1：</w:t>
      </w:r>
    </w:p>
    <w:p w14:paraId="2C5A98AE">
      <w:pPr>
        <w:pStyle w:val="695"/>
        <w:keepNext w:val="0"/>
        <w:pageBreakBefore w:val="0"/>
        <w:tabs>
          <w:tab w:val="clear" w:pos="720"/>
        </w:tabs>
        <w:snapToGrid w:val="0"/>
        <w:spacing w:before="319" w:beforeLines="100" w:line="240" w:lineRule="auto"/>
        <w:outlineLvl w:val="9"/>
        <w:rPr>
          <w:rFonts w:ascii="宋体" w:hAnsi="宋体" w:eastAsia="宋体" w:cs="宋体"/>
          <w:color w:val="auto"/>
          <w:kern w:val="2"/>
          <w:sz w:val="28"/>
          <w:szCs w:val="28"/>
          <w:highlight w:val="none"/>
        </w:rPr>
      </w:pPr>
      <w:bookmarkStart w:id="516" w:name="OLE_LINK14"/>
      <w:bookmarkStart w:id="517" w:name="OLE_LINK13"/>
      <w:r>
        <w:rPr>
          <w:rFonts w:hint="eastAsia" w:ascii="宋体" w:hAnsi="宋体" w:eastAsia="宋体" w:cs="宋体"/>
          <w:color w:val="auto"/>
          <w:kern w:val="2"/>
          <w:sz w:val="28"/>
          <w:szCs w:val="28"/>
          <w:highlight w:val="none"/>
        </w:rPr>
        <w:t>残疾人福利性单位声明函</w:t>
      </w:r>
    </w:p>
    <w:bookmarkEnd w:id="516"/>
    <w:bookmarkEnd w:id="517"/>
    <w:p w14:paraId="6F7C12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DC1F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206AA11">
      <w:pPr>
        <w:spacing w:line="360" w:lineRule="auto"/>
        <w:ind w:firstLine="420" w:firstLineChars="200"/>
        <w:rPr>
          <w:rFonts w:ascii="宋体" w:hAnsi="宋体" w:cs="宋体"/>
          <w:color w:val="auto"/>
          <w:szCs w:val="21"/>
          <w:highlight w:val="none"/>
        </w:rPr>
      </w:pPr>
    </w:p>
    <w:p w14:paraId="7DB57AB4">
      <w:pPr>
        <w:spacing w:line="360" w:lineRule="auto"/>
        <w:ind w:firstLine="420" w:firstLineChars="200"/>
        <w:rPr>
          <w:rFonts w:ascii="宋体" w:hAnsi="宋体" w:cs="宋体"/>
          <w:color w:val="auto"/>
          <w:szCs w:val="21"/>
          <w:highlight w:val="none"/>
        </w:rPr>
      </w:pPr>
    </w:p>
    <w:p w14:paraId="7704EF9D">
      <w:pPr>
        <w:tabs>
          <w:tab w:val="left" w:pos="4860"/>
        </w:tabs>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7B948F25">
      <w:pPr>
        <w:tabs>
          <w:tab w:val="left" w:pos="4860"/>
        </w:tabs>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2582DFB6">
      <w:pPr>
        <w:spacing w:line="360" w:lineRule="auto"/>
        <w:ind w:firstLine="480" w:firstLineChars="200"/>
        <w:rPr>
          <w:rFonts w:ascii="宋体" w:hAnsi="宋体" w:cs="宋体"/>
          <w:color w:val="auto"/>
          <w:sz w:val="24"/>
          <w:highlight w:val="none"/>
        </w:rPr>
      </w:pPr>
    </w:p>
    <w:p w14:paraId="3E8C7C29">
      <w:pPr>
        <w:spacing w:line="360" w:lineRule="auto"/>
        <w:ind w:firstLine="420" w:firstLineChars="200"/>
        <w:rPr>
          <w:rFonts w:ascii="宋体" w:hAnsi="宋体" w:cs="宋体"/>
          <w:color w:val="auto"/>
          <w:highlight w:val="none"/>
        </w:rPr>
      </w:pPr>
    </w:p>
    <w:p w14:paraId="31C4890D">
      <w:pPr>
        <w:spacing w:line="360" w:lineRule="auto"/>
        <w:ind w:firstLine="420" w:firstLineChars="200"/>
        <w:rPr>
          <w:rFonts w:ascii="宋体" w:hAnsi="宋体" w:cs="宋体"/>
          <w:color w:val="auto"/>
          <w:highlight w:val="none"/>
        </w:rPr>
      </w:pPr>
    </w:p>
    <w:p w14:paraId="1453A33A">
      <w:pPr>
        <w:spacing w:line="360" w:lineRule="auto"/>
        <w:ind w:firstLine="420" w:firstLineChars="200"/>
        <w:rPr>
          <w:rFonts w:ascii="宋体" w:hAnsi="宋体" w:cs="宋体"/>
          <w:color w:val="auto"/>
          <w:highlight w:val="none"/>
        </w:rPr>
      </w:pPr>
    </w:p>
    <w:p w14:paraId="1D6BBD9F">
      <w:pPr>
        <w:spacing w:line="360" w:lineRule="auto"/>
        <w:ind w:firstLine="420" w:firstLineChars="200"/>
        <w:rPr>
          <w:rFonts w:ascii="宋体" w:hAnsi="宋体" w:cs="宋体"/>
          <w:color w:val="auto"/>
          <w:highlight w:val="none"/>
        </w:rPr>
      </w:pPr>
    </w:p>
    <w:p w14:paraId="36EEF5ED">
      <w:pPr>
        <w:spacing w:line="360" w:lineRule="auto"/>
        <w:rPr>
          <w:rFonts w:ascii="宋体" w:hAnsi="宋体" w:cs="宋体"/>
          <w:b/>
          <w:color w:val="auto"/>
          <w:sz w:val="24"/>
          <w:highlight w:val="none"/>
        </w:rPr>
      </w:pPr>
    </w:p>
    <w:p w14:paraId="2139E5F3">
      <w:pPr>
        <w:spacing w:line="360" w:lineRule="auto"/>
        <w:rPr>
          <w:rFonts w:ascii="宋体" w:hAnsi="宋体" w:cs="宋体"/>
          <w:b/>
          <w:color w:val="auto"/>
          <w:sz w:val="24"/>
          <w:highlight w:val="none"/>
        </w:rPr>
      </w:pPr>
    </w:p>
    <w:p w14:paraId="489EA4DF">
      <w:pPr>
        <w:spacing w:line="360" w:lineRule="auto"/>
        <w:rPr>
          <w:rFonts w:ascii="宋体" w:hAnsi="宋体" w:cs="宋体"/>
          <w:b/>
          <w:color w:val="auto"/>
          <w:sz w:val="24"/>
          <w:highlight w:val="none"/>
        </w:rPr>
      </w:pPr>
    </w:p>
    <w:p w14:paraId="519FE659">
      <w:pPr>
        <w:spacing w:line="360" w:lineRule="auto"/>
        <w:rPr>
          <w:rFonts w:ascii="宋体" w:hAnsi="宋体" w:cs="宋体"/>
          <w:b/>
          <w:color w:val="auto"/>
          <w:sz w:val="24"/>
          <w:highlight w:val="none"/>
        </w:rPr>
      </w:pPr>
    </w:p>
    <w:p w14:paraId="738C73A5">
      <w:pPr>
        <w:spacing w:line="360" w:lineRule="auto"/>
        <w:rPr>
          <w:rFonts w:ascii="宋体" w:hAnsi="宋体" w:cs="宋体"/>
          <w:b/>
          <w:color w:val="auto"/>
          <w:sz w:val="24"/>
          <w:highlight w:val="none"/>
        </w:rPr>
      </w:pPr>
    </w:p>
    <w:p w14:paraId="43ED6FEE">
      <w:pPr>
        <w:spacing w:line="360" w:lineRule="auto"/>
        <w:rPr>
          <w:rFonts w:ascii="宋体" w:hAnsi="宋体" w:cs="宋体"/>
          <w:b/>
          <w:color w:val="auto"/>
          <w:sz w:val="24"/>
          <w:highlight w:val="none"/>
        </w:rPr>
      </w:pPr>
    </w:p>
    <w:p w14:paraId="41051CED">
      <w:pPr>
        <w:spacing w:line="360" w:lineRule="auto"/>
        <w:rPr>
          <w:rFonts w:ascii="宋体" w:hAnsi="宋体" w:cs="宋体"/>
          <w:b/>
          <w:color w:val="auto"/>
          <w:sz w:val="24"/>
          <w:highlight w:val="none"/>
        </w:rPr>
      </w:pPr>
    </w:p>
    <w:p w14:paraId="6B6A2B3C">
      <w:pPr>
        <w:spacing w:before="319" w:beforeLines="100" w:after="319" w:afterLines="100"/>
        <w:jc w:val="left"/>
        <w:rPr>
          <w:rFonts w:ascii="宋体" w:hAnsi="宋体" w:cs="宋体"/>
          <w:b/>
          <w:color w:val="auto"/>
          <w:sz w:val="28"/>
          <w:szCs w:val="28"/>
          <w:highlight w:val="none"/>
        </w:rPr>
      </w:pPr>
    </w:p>
    <w:p w14:paraId="5FFC63B6">
      <w:pPr>
        <w:spacing w:before="319" w:beforeLines="100" w:after="319" w:afterLines="100"/>
        <w:jc w:val="left"/>
        <w:rPr>
          <w:rFonts w:ascii="宋体" w:hAnsi="宋体" w:cs="宋体"/>
          <w:b/>
          <w:color w:val="auto"/>
          <w:sz w:val="28"/>
          <w:szCs w:val="28"/>
          <w:highlight w:val="none"/>
        </w:rPr>
      </w:pPr>
      <w:r>
        <w:rPr>
          <w:rFonts w:hint="eastAsia" w:ascii="宋体" w:hAnsi="宋体" w:cs="宋体"/>
          <w:b/>
          <w:color w:val="auto"/>
          <w:sz w:val="28"/>
          <w:szCs w:val="28"/>
          <w:highlight w:val="none"/>
        </w:rPr>
        <w:t>附件2：质疑函范本及制作说明</w:t>
      </w:r>
    </w:p>
    <w:p w14:paraId="66EDD0A5">
      <w:pPr>
        <w:spacing w:before="319" w:beforeLines="100" w:after="319" w:afterLines="100"/>
        <w:jc w:val="center"/>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14:paraId="08CA5344">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37F86844">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p>
    <w:p w14:paraId="2AC3B7F3">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2945D0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联系人：联系电话：</w:t>
      </w:r>
    </w:p>
    <w:p w14:paraId="17998F1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p>
    <w:p w14:paraId="014FE1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34A95E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w:t>
      </w:r>
    </w:p>
    <w:p w14:paraId="6E2F887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5144317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p>
    <w:p w14:paraId="509D30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质疑项目的编号：包号：</w:t>
      </w:r>
    </w:p>
    <w:p w14:paraId="064A6C4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p>
    <w:p w14:paraId="1B0615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p>
    <w:p w14:paraId="3431CAF7">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08DFAE3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p>
    <w:p w14:paraId="1C6A549B">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p>
    <w:p w14:paraId="3EFE78B0">
      <w:pPr>
        <w:snapToGrid w:val="0"/>
        <w:spacing w:line="360" w:lineRule="auto"/>
        <w:rPr>
          <w:rFonts w:ascii="宋体" w:hAnsi="宋体" w:cs="宋体"/>
          <w:color w:val="auto"/>
          <w:szCs w:val="21"/>
          <w:highlight w:val="none"/>
        </w:rPr>
      </w:pPr>
    </w:p>
    <w:p w14:paraId="58FDDA8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p>
    <w:p w14:paraId="2B4C8FBC">
      <w:pPr>
        <w:snapToGrid w:val="0"/>
        <w:spacing w:line="360" w:lineRule="auto"/>
        <w:rPr>
          <w:rFonts w:ascii="宋体" w:hAnsi="宋体" w:cs="宋体"/>
          <w:color w:val="auto"/>
          <w:szCs w:val="21"/>
          <w:highlight w:val="none"/>
          <w:u w:val="dotted"/>
        </w:rPr>
      </w:pPr>
    </w:p>
    <w:p w14:paraId="3AA4079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571944A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6A09279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3157541C">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p>
    <w:p w14:paraId="4D43ED50">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32A0BA14">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435751B8">
      <w:pPr>
        <w:spacing w:line="360" w:lineRule="auto"/>
        <w:rPr>
          <w:rFonts w:ascii="宋体" w:hAnsi="宋体" w:cs="宋体"/>
          <w:b/>
          <w:color w:val="auto"/>
          <w:szCs w:val="21"/>
          <w:highlight w:val="none"/>
        </w:rPr>
      </w:pPr>
    </w:p>
    <w:p w14:paraId="51EB1341">
      <w:pPr>
        <w:spacing w:line="360" w:lineRule="auto"/>
        <w:rPr>
          <w:rFonts w:ascii="宋体" w:hAnsi="宋体" w:cs="宋体"/>
          <w:b/>
          <w:color w:val="auto"/>
          <w:szCs w:val="21"/>
          <w:highlight w:val="none"/>
        </w:rPr>
      </w:pPr>
    </w:p>
    <w:p w14:paraId="58D98992">
      <w:pPr>
        <w:spacing w:line="360" w:lineRule="auto"/>
        <w:rPr>
          <w:rFonts w:ascii="宋体" w:hAnsi="宋体" w:cs="宋体"/>
          <w:b/>
          <w:color w:val="auto"/>
          <w:szCs w:val="21"/>
          <w:highlight w:val="none"/>
        </w:rPr>
      </w:pPr>
    </w:p>
    <w:p w14:paraId="1F9496FC">
      <w:pPr>
        <w:spacing w:line="360" w:lineRule="auto"/>
        <w:rPr>
          <w:rFonts w:ascii="宋体" w:hAnsi="宋体" w:cs="宋体"/>
          <w:b/>
          <w:color w:val="auto"/>
          <w:szCs w:val="21"/>
          <w:highlight w:val="none"/>
        </w:rPr>
      </w:pPr>
    </w:p>
    <w:p w14:paraId="700279A8">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7A3B916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6AB8980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75219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2553BE6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1A1BA80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E5EB9E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6922912">
      <w:pPr>
        <w:widowControl/>
        <w:spacing w:line="360" w:lineRule="auto"/>
        <w:ind w:firstLine="600" w:firstLineChars="200"/>
        <w:jc w:val="left"/>
        <w:rPr>
          <w:rFonts w:ascii="宋体" w:hAnsi="宋体" w:cs="宋体"/>
          <w:color w:val="auto"/>
          <w:sz w:val="30"/>
          <w:szCs w:val="30"/>
          <w:highlight w:val="none"/>
        </w:rPr>
      </w:pPr>
    </w:p>
    <w:p w14:paraId="2EA45E2F">
      <w:pPr>
        <w:spacing w:line="360" w:lineRule="auto"/>
        <w:jc w:val="center"/>
        <w:rPr>
          <w:rFonts w:ascii="宋体" w:hAnsi="宋体" w:cs="宋体"/>
          <w:b/>
          <w:color w:val="auto"/>
          <w:spacing w:val="6"/>
          <w:sz w:val="32"/>
          <w:szCs w:val="32"/>
          <w:highlight w:val="none"/>
        </w:rPr>
      </w:pPr>
    </w:p>
    <w:p w14:paraId="3A402C30">
      <w:pPr>
        <w:spacing w:line="360" w:lineRule="auto"/>
        <w:jc w:val="center"/>
        <w:rPr>
          <w:rFonts w:ascii="宋体" w:hAnsi="宋体" w:cs="宋体"/>
          <w:b/>
          <w:color w:val="auto"/>
          <w:spacing w:val="6"/>
          <w:sz w:val="32"/>
          <w:szCs w:val="32"/>
          <w:highlight w:val="none"/>
        </w:rPr>
      </w:pPr>
    </w:p>
    <w:p w14:paraId="0055C423">
      <w:pPr>
        <w:spacing w:line="360" w:lineRule="auto"/>
        <w:jc w:val="center"/>
        <w:rPr>
          <w:rFonts w:ascii="宋体" w:hAnsi="宋体" w:cs="宋体"/>
          <w:b/>
          <w:color w:val="auto"/>
          <w:spacing w:val="6"/>
          <w:sz w:val="32"/>
          <w:szCs w:val="32"/>
          <w:highlight w:val="none"/>
        </w:rPr>
      </w:pPr>
    </w:p>
    <w:p w14:paraId="3DB82586">
      <w:pPr>
        <w:spacing w:line="360" w:lineRule="auto"/>
        <w:jc w:val="center"/>
        <w:rPr>
          <w:rFonts w:ascii="宋体" w:hAnsi="宋体" w:cs="宋体"/>
          <w:b/>
          <w:color w:val="auto"/>
          <w:spacing w:val="6"/>
          <w:sz w:val="32"/>
          <w:szCs w:val="32"/>
          <w:highlight w:val="none"/>
        </w:rPr>
      </w:pPr>
    </w:p>
    <w:p w14:paraId="2FE942D9">
      <w:pPr>
        <w:spacing w:line="360" w:lineRule="auto"/>
        <w:jc w:val="center"/>
        <w:rPr>
          <w:rFonts w:ascii="宋体" w:hAnsi="宋体" w:cs="宋体"/>
          <w:b/>
          <w:color w:val="auto"/>
          <w:spacing w:val="6"/>
          <w:sz w:val="32"/>
          <w:szCs w:val="32"/>
          <w:highlight w:val="none"/>
        </w:rPr>
      </w:pPr>
    </w:p>
    <w:p w14:paraId="7F78637E">
      <w:pPr>
        <w:spacing w:line="360" w:lineRule="auto"/>
        <w:jc w:val="center"/>
        <w:rPr>
          <w:rFonts w:ascii="宋体" w:hAnsi="宋体" w:cs="宋体"/>
          <w:b/>
          <w:color w:val="auto"/>
          <w:spacing w:val="6"/>
          <w:sz w:val="32"/>
          <w:szCs w:val="32"/>
          <w:highlight w:val="none"/>
        </w:rPr>
      </w:pPr>
    </w:p>
    <w:p w14:paraId="239ADD6A">
      <w:pPr>
        <w:spacing w:line="360" w:lineRule="auto"/>
        <w:jc w:val="center"/>
        <w:rPr>
          <w:rFonts w:ascii="宋体" w:hAnsi="宋体" w:cs="宋体"/>
          <w:b/>
          <w:color w:val="auto"/>
          <w:spacing w:val="6"/>
          <w:sz w:val="32"/>
          <w:szCs w:val="32"/>
          <w:highlight w:val="none"/>
        </w:rPr>
      </w:pPr>
    </w:p>
    <w:p w14:paraId="6FABF0EB">
      <w:pPr>
        <w:spacing w:line="360" w:lineRule="auto"/>
        <w:jc w:val="center"/>
        <w:rPr>
          <w:rFonts w:ascii="宋体" w:hAnsi="宋体" w:cs="宋体"/>
          <w:b/>
          <w:color w:val="auto"/>
          <w:spacing w:val="6"/>
          <w:sz w:val="32"/>
          <w:szCs w:val="32"/>
          <w:highlight w:val="none"/>
        </w:rPr>
      </w:pPr>
    </w:p>
    <w:p w14:paraId="075B119B">
      <w:pPr>
        <w:spacing w:line="360" w:lineRule="auto"/>
        <w:jc w:val="center"/>
        <w:rPr>
          <w:rFonts w:ascii="宋体" w:hAnsi="宋体" w:cs="宋体"/>
          <w:b/>
          <w:color w:val="auto"/>
          <w:spacing w:val="6"/>
          <w:sz w:val="32"/>
          <w:szCs w:val="32"/>
          <w:highlight w:val="none"/>
        </w:rPr>
      </w:pPr>
    </w:p>
    <w:p w14:paraId="551B761C">
      <w:pPr>
        <w:spacing w:line="360" w:lineRule="auto"/>
        <w:jc w:val="center"/>
        <w:rPr>
          <w:rFonts w:ascii="宋体" w:hAnsi="宋体" w:cs="宋体"/>
          <w:b/>
          <w:color w:val="auto"/>
          <w:spacing w:val="6"/>
          <w:sz w:val="32"/>
          <w:szCs w:val="32"/>
          <w:highlight w:val="none"/>
        </w:rPr>
      </w:pPr>
    </w:p>
    <w:p w14:paraId="4D020904">
      <w:pPr>
        <w:spacing w:line="360" w:lineRule="auto"/>
        <w:jc w:val="center"/>
        <w:rPr>
          <w:rFonts w:ascii="宋体" w:hAnsi="宋体" w:cs="宋体"/>
          <w:b/>
          <w:color w:val="auto"/>
          <w:spacing w:val="6"/>
          <w:sz w:val="32"/>
          <w:szCs w:val="32"/>
          <w:highlight w:val="none"/>
        </w:rPr>
      </w:pPr>
    </w:p>
    <w:p w14:paraId="452853D2">
      <w:pPr>
        <w:spacing w:line="360" w:lineRule="auto"/>
        <w:jc w:val="center"/>
        <w:rPr>
          <w:rFonts w:ascii="宋体" w:hAnsi="宋体" w:cs="宋体"/>
          <w:b/>
          <w:color w:val="auto"/>
          <w:spacing w:val="6"/>
          <w:sz w:val="32"/>
          <w:szCs w:val="32"/>
          <w:highlight w:val="none"/>
        </w:rPr>
      </w:pPr>
    </w:p>
    <w:p w14:paraId="32C5B922">
      <w:pPr>
        <w:spacing w:before="319" w:beforeLines="100" w:after="319" w:afterLines="100"/>
        <w:jc w:val="left"/>
        <w:rPr>
          <w:rFonts w:ascii="宋体" w:hAnsi="宋体" w:cs="宋体"/>
          <w:b/>
          <w:color w:val="auto"/>
          <w:spacing w:val="6"/>
          <w:sz w:val="28"/>
          <w:szCs w:val="28"/>
          <w:highlight w:val="none"/>
        </w:rPr>
      </w:pPr>
    </w:p>
    <w:p w14:paraId="2E4BCB23">
      <w:pPr>
        <w:spacing w:before="319" w:beforeLines="100" w:after="319" w:afterLines="100"/>
        <w:jc w:val="left"/>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附件3：投诉书范本及制作说明</w:t>
      </w:r>
    </w:p>
    <w:p w14:paraId="5FFF52C5">
      <w:pPr>
        <w:spacing w:before="319" w:beforeLines="100" w:after="319" w:afterLines="100"/>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6393C033">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19B43224">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p>
    <w:p w14:paraId="4224882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7494A5A1">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p>
    <w:p w14:paraId="3A899DB9">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p>
    <w:p w14:paraId="7BAF033D">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授权代表：联系电话：</w:t>
      </w:r>
    </w:p>
    <w:p w14:paraId="03B0F768">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地址：邮编：</w:t>
      </w:r>
    </w:p>
    <w:p w14:paraId="466B243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p>
    <w:p w14:paraId="2A41D5B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34EDEF6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272EDD96">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2437610A">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6C1C424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p>
    <w:p w14:paraId="11D9E55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地址：邮编：</w:t>
      </w:r>
    </w:p>
    <w:p w14:paraId="19B237D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025E512F">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2399CAD9">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p>
    <w:p w14:paraId="490C3DC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采购项目编号：包号：</w:t>
      </w:r>
    </w:p>
    <w:p w14:paraId="691CEC5A">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16E5EDF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p>
    <w:p w14:paraId="1FB6DF9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742FEB4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p>
    <w:p w14:paraId="26DFB7C3">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4AB0B902">
      <w:pPr>
        <w:wordWrap w:val="0"/>
        <w:spacing w:line="360" w:lineRule="auto"/>
        <w:ind w:left="630" w:leftChars="200" w:hanging="210" w:hangingChars="100"/>
        <w:rPr>
          <w:rFonts w:ascii="宋体" w:hAnsi="宋体" w:cs="宋体"/>
          <w:color w:val="auto"/>
          <w:szCs w:val="21"/>
          <w:highlight w:val="none"/>
          <w:u w:val="dotted"/>
        </w:rPr>
      </w:pPr>
      <w:r>
        <w:rPr>
          <w:rFonts w:hint="eastAsia" w:ascii="宋体" w:hAnsi="宋体" w:cs="宋体"/>
          <w:color w:val="auto"/>
          <w:szCs w:val="21"/>
          <w:highlight w:val="none"/>
        </w:rPr>
        <w:t>投诉人于年月日,向提出质疑，质疑事项为：</w:t>
      </w:r>
    </w:p>
    <w:p w14:paraId="30D1CFEA">
      <w:pPr>
        <w:wordWrap w:val="0"/>
        <w:spacing w:line="360" w:lineRule="auto"/>
        <w:rPr>
          <w:rFonts w:ascii="宋体" w:hAnsi="宋体" w:cs="宋体"/>
          <w:color w:val="auto"/>
          <w:szCs w:val="21"/>
          <w:highlight w:val="none"/>
          <w:u w:val="dotted"/>
        </w:rPr>
      </w:pPr>
    </w:p>
    <w:p w14:paraId="2E94E4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于年月日,就质疑事项作出了答复/没有在法定期限内作出答复。</w:t>
      </w:r>
    </w:p>
    <w:p w14:paraId="46B4033F">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5D8D92F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投诉事项1：</w:t>
      </w:r>
    </w:p>
    <w:p w14:paraId="147BC6EF">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p>
    <w:p w14:paraId="4DDC8D72">
      <w:pPr>
        <w:spacing w:line="360" w:lineRule="auto"/>
        <w:rPr>
          <w:rFonts w:ascii="宋体" w:hAnsi="宋体" w:cs="宋体"/>
          <w:color w:val="auto"/>
          <w:szCs w:val="21"/>
          <w:highlight w:val="none"/>
          <w:u w:val="dotted"/>
        </w:rPr>
      </w:pPr>
    </w:p>
    <w:p w14:paraId="542676D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p>
    <w:p w14:paraId="7A3C2B97">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6D8F7F31">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7626896D">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00746E77">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p>
    <w:p w14:paraId="4C3F4E99">
      <w:pPr>
        <w:spacing w:line="360" w:lineRule="auto"/>
        <w:rPr>
          <w:rFonts w:ascii="宋体" w:hAnsi="宋体" w:cs="宋体"/>
          <w:color w:val="auto"/>
          <w:szCs w:val="21"/>
          <w:highlight w:val="none"/>
          <w:u w:val="single"/>
        </w:rPr>
      </w:pPr>
    </w:p>
    <w:p w14:paraId="3D8F13B3">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5AE83A0E">
      <w:pPr>
        <w:spacing w:line="360" w:lineRule="auto"/>
        <w:ind w:firstLine="4620" w:firstLineChars="2200"/>
        <w:rPr>
          <w:rFonts w:ascii="宋体" w:hAnsi="宋体" w:cs="宋体"/>
          <w:color w:val="auto"/>
          <w:sz w:val="24"/>
          <w:highlight w:val="none"/>
        </w:rPr>
      </w:pPr>
      <w:r>
        <w:rPr>
          <w:rFonts w:hint="eastAsia" w:ascii="宋体" w:hAnsi="宋体" w:cs="宋体"/>
          <w:color w:val="auto"/>
          <w:szCs w:val="21"/>
          <w:highlight w:val="none"/>
        </w:rPr>
        <w:t>日期：</w:t>
      </w:r>
    </w:p>
    <w:p w14:paraId="4F6DB6C4">
      <w:pPr>
        <w:spacing w:line="360" w:lineRule="auto"/>
        <w:rPr>
          <w:rFonts w:ascii="宋体" w:hAnsi="宋体" w:cs="宋体"/>
          <w:b/>
          <w:color w:val="auto"/>
          <w:sz w:val="24"/>
          <w:highlight w:val="none"/>
        </w:rPr>
      </w:pPr>
    </w:p>
    <w:p w14:paraId="0F7F7C94">
      <w:pPr>
        <w:spacing w:line="360" w:lineRule="auto"/>
        <w:rPr>
          <w:rFonts w:ascii="宋体" w:hAnsi="宋体" w:cs="宋体"/>
          <w:b/>
          <w:color w:val="auto"/>
          <w:sz w:val="24"/>
          <w:highlight w:val="none"/>
        </w:rPr>
      </w:pPr>
    </w:p>
    <w:p w14:paraId="130E728E">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36E8851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3C6CDB7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0060E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33EA861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5058D26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25D0309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09592F2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49DC7961">
      <w:pPr>
        <w:spacing w:line="360" w:lineRule="auto"/>
        <w:rPr>
          <w:rFonts w:ascii="宋体" w:hAnsi="宋体" w:cs="宋体"/>
          <w:b/>
          <w:color w:val="auto"/>
          <w:sz w:val="24"/>
          <w:highlight w:val="none"/>
        </w:rPr>
      </w:pPr>
    </w:p>
    <w:p w14:paraId="58425B7A">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77C4AD">
      <w:pPr>
        <w:spacing w:line="360" w:lineRule="auto"/>
        <w:rPr>
          <w:rFonts w:ascii="宋体" w:hAnsi="宋体" w:cs="宋体"/>
          <w:color w:val="auto"/>
          <w:szCs w:val="21"/>
          <w:highlight w:val="none"/>
        </w:rPr>
      </w:pPr>
      <w:r>
        <w:rPr>
          <w:rFonts w:hint="eastAsia" w:ascii="宋体" w:hAnsi="宋体" w:cs="宋体"/>
          <w:color w:val="auto"/>
          <w:szCs w:val="21"/>
          <w:highlight w:val="none"/>
        </w:rPr>
        <w:t>（采购人）、（采购代理机构）：</w:t>
      </w:r>
    </w:p>
    <w:p w14:paraId="70FE535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我方所使用的“XX专用章”与法定名称章具有同等的法律效力，对使用“XX专用章”的行为予以完全承认，并愿意承担相应责任。</w:t>
      </w:r>
    </w:p>
    <w:p w14:paraId="119C3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49C670A3">
      <w:pPr>
        <w:spacing w:line="360" w:lineRule="auto"/>
        <w:ind w:firstLine="494"/>
        <w:rPr>
          <w:rFonts w:ascii="宋体" w:hAnsi="宋体" w:cs="宋体"/>
          <w:color w:val="auto"/>
          <w:sz w:val="24"/>
          <w:highlight w:val="none"/>
        </w:rPr>
      </w:pPr>
    </w:p>
    <w:p w14:paraId="62A6C3C7">
      <w:pPr>
        <w:spacing w:line="360" w:lineRule="auto"/>
        <w:ind w:firstLine="494"/>
        <w:rPr>
          <w:rFonts w:ascii="宋体" w:hAnsi="宋体" w:cs="宋体"/>
          <w:color w:val="auto"/>
          <w:sz w:val="24"/>
          <w:highlight w:val="none"/>
        </w:rPr>
      </w:pPr>
    </w:p>
    <w:p w14:paraId="280DAD83">
      <w:pPr>
        <w:spacing w:line="360" w:lineRule="auto"/>
        <w:ind w:firstLine="494"/>
        <w:rPr>
          <w:rFonts w:ascii="宋体" w:hAnsi="宋体" w:cs="宋体"/>
          <w:color w:val="auto"/>
          <w:sz w:val="24"/>
          <w:highlight w:val="none"/>
        </w:rPr>
      </w:pPr>
    </w:p>
    <w:p w14:paraId="7DB02F48">
      <w:pPr>
        <w:spacing w:line="360" w:lineRule="auto"/>
        <w:ind w:firstLine="494"/>
        <w:rPr>
          <w:rFonts w:ascii="宋体" w:hAnsi="宋体" w:cs="宋体"/>
          <w:color w:val="auto"/>
          <w:sz w:val="24"/>
          <w:highlight w:val="none"/>
        </w:rPr>
      </w:pPr>
    </w:p>
    <w:p w14:paraId="66ADDDA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38CD91BD">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25F0FD4C">
      <w:pPr>
        <w:rPr>
          <w:rFonts w:ascii="宋体" w:hAnsi="宋体" w:cs="宋体"/>
          <w:color w:val="auto"/>
          <w:szCs w:val="21"/>
          <w:highlight w:val="none"/>
        </w:rPr>
      </w:pPr>
      <w:r>
        <w:rPr>
          <w:rFonts w:hint="eastAsia" w:ascii="宋体" w:hAnsi="宋体" w:cs="宋体"/>
          <w:color w:val="auto"/>
          <w:szCs w:val="21"/>
          <w:highlight w:val="none"/>
        </w:rPr>
        <w:t>附：</w:t>
      </w:r>
    </w:p>
    <w:p w14:paraId="7490442F">
      <w:pPr>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投标单位法定名称章（印模）投标单位“XX专用章”（印模）</w:t>
      </w:r>
    </w:p>
    <w:p w14:paraId="0B9A6FF6">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50800</wp:posOffset>
                </wp:positionV>
                <wp:extent cx="2704465" cy="2270760"/>
                <wp:effectExtent l="4445" t="4445" r="8890" b="1079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7076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4pt;height:178.8pt;width:212.95pt;z-index:-251657216;mso-width-relative:page;mso-height-relative:page;" fillcolor="#FFFFFF" filled="t" stroked="t" coordsize="21600,21600" o:gfxdata="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sEBbZAAAACQEAAA8AAAAAAAAAAQAgAAAAIgAAAGRycy9kb3ducmV2LnhtbFBL&#10;AQIUABQAAAAIAIdO4kAOYnMpLgIAAIIEAAAOAAAAAAAAAAEAIAAAACgBAABkcnMvZTJvRG9jLnht&#10;bFBLBQYAAAAABgAGAFkBAADIBQAAAAA=&#10;">
                <v:fill on="t" focussize="0,0"/>
                <v:stroke color="#000000" miterlimit="2" joinstyle="miter"/>
                <v:imagedata o:title=""/>
                <o:lock v:ext="edit" aspectratio="f"/>
              </v:rect>
            </w:pict>
          </mc:Fallback>
        </mc:AlternateContent>
      </w:r>
    </w:p>
    <w:p w14:paraId="4BAB79A9">
      <w:pPr>
        <w:autoSpaceDE w:val="0"/>
        <w:autoSpaceDN w:val="0"/>
        <w:jc w:val="center"/>
        <w:rPr>
          <w:rFonts w:ascii="宋体" w:hAnsi="宋体" w:cs="宋体"/>
          <w:b/>
          <w:color w:val="auto"/>
          <w:spacing w:val="6"/>
          <w:sz w:val="32"/>
          <w:szCs w:val="32"/>
          <w:highlight w:val="none"/>
        </w:rPr>
      </w:pPr>
    </w:p>
    <w:p w14:paraId="4AC179F2">
      <w:pPr>
        <w:autoSpaceDE w:val="0"/>
        <w:autoSpaceDN w:val="0"/>
        <w:jc w:val="center"/>
        <w:rPr>
          <w:rFonts w:ascii="宋体" w:hAnsi="宋体" w:cs="宋体"/>
          <w:b/>
          <w:color w:val="auto"/>
          <w:spacing w:val="6"/>
          <w:sz w:val="32"/>
          <w:szCs w:val="32"/>
          <w:highlight w:val="none"/>
        </w:rPr>
      </w:pPr>
    </w:p>
    <w:p w14:paraId="26A4A889">
      <w:pPr>
        <w:autoSpaceDE w:val="0"/>
        <w:autoSpaceDN w:val="0"/>
        <w:jc w:val="center"/>
        <w:rPr>
          <w:rFonts w:ascii="宋体" w:hAnsi="宋体" w:cs="宋体"/>
          <w:b/>
          <w:color w:val="auto"/>
          <w:spacing w:val="6"/>
          <w:sz w:val="32"/>
          <w:szCs w:val="32"/>
          <w:highlight w:val="none"/>
        </w:rPr>
      </w:pPr>
    </w:p>
    <w:p w14:paraId="23560FB8">
      <w:pPr>
        <w:autoSpaceDE w:val="0"/>
        <w:autoSpaceDN w:val="0"/>
        <w:jc w:val="center"/>
        <w:rPr>
          <w:rFonts w:ascii="宋体" w:hAnsi="宋体" w:cs="宋体"/>
          <w:b/>
          <w:color w:val="auto"/>
          <w:spacing w:val="6"/>
          <w:sz w:val="32"/>
          <w:szCs w:val="32"/>
          <w:highlight w:val="none"/>
        </w:rPr>
      </w:pPr>
    </w:p>
    <w:p w14:paraId="3D0B3C05">
      <w:pPr>
        <w:autoSpaceDE w:val="0"/>
        <w:autoSpaceDN w:val="0"/>
        <w:jc w:val="center"/>
        <w:rPr>
          <w:rFonts w:ascii="宋体" w:hAnsi="宋体" w:cs="宋体"/>
          <w:b/>
          <w:color w:val="auto"/>
          <w:spacing w:val="6"/>
          <w:sz w:val="32"/>
          <w:szCs w:val="32"/>
          <w:highlight w:val="none"/>
        </w:rPr>
      </w:pPr>
    </w:p>
    <w:p w14:paraId="6D7B7918">
      <w:pPr>
        <w:autoSpaceDE w:val="0"/>
        <w:autoSpaceDN w:val="0"/>
        <w:jc w:val="center"/>
        <w:rPr>
          <w:rFonts w:ascii="宋体" w:hAnsi="宋体" w:cs="宋体"/>
          <w:b/>
          <w:color w:val="auto"/>
          <w:spacing w:val="6"/>
          <w:sz w:val="32"/>
          <w:szCs w:val="32"/>
          <w:highlight w:val="none"/>
        </w:rPr>
      </w:pPr>
    </w:p>
    <w:p w14:paraId="377E21B3">
      <w:pPr>
        <w:autoSpaceDE w:val="0"/>
        <w:autoSpaceDN w:val="0"/>
        <w:jc w:val="center"/>
        <w:rPr>
          <w:rFonts w:ascii="宋体" w:hAnsi="宋体" w:cs="宋体"/>
          <w:b/>
          <w:color w:val="auto"/>
          <w:spacing w:val="6"/>
          <w:sz w:val="32"/>
          <w:szCs w:val="32"/>
          <w:highlight w:val="none"/>
        </w:rPr>
      </w:pPr>
    </w:p>
    <w:p w14:paraId="6CFA1EC9">
      <w:pPr>
        <w:autoSpaceDE w:val="0"/>
        <w:autoSpaceDN w:val="0"/>
        <w:jc w:val="center"/>
        <w:rPr>
          <w:rFonts w:ascii="宋体" w:hAnsi="宋体" w:cs="宋体"/>
          <w:b/>
          <w:color w:val="auto"/>
          <w:spacing w:val="6"/>
          <w:sz w:val="32"/>
          <w:szCs w:val="32"/>
          <w:highlight w:val="none"/>
        </w:rPr>
      </w:pPr>
    </w:p>
    <w:p w14:paraId="3921BAD0">
      <w:pPr>
        <w:autoSpaceDE w:val="0"/>
        <w:autoSpaceDN w:val="0"/>
        <w:jc w:val="center"/>
        <w:rPr>
          <w:rFonts w:ascii="宋体" w:hAnsi="宋体" w:cs="宋体"/>
          <w:b/>
          <w:color w:val="auto"/>
          <w:spacing w:val="6"/>
          <w:sz w:val="32"/>
          <w:szCs w:val="32"/>
          <w:highlight w:val="none"/>
        </w:rPr>
      </w:pPr>
    </w:p>
    <w:p w14:paraId="2B54CC35">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pacing w:val="6"/>
          <w:sz w:val="32"/>
          <w:szCs w:val="32"/>
          <w:highlight w:val="none"/>
          <w:lang w:val="zh-CN"/>
        </w:rPr>
        <w:t>联合协议</w:t>
      </w:r>
    </w:p>
    <w:p w14:paraId="5ED86F5F">
      <w:pPr>
        <w:widowControl/>
        <w:wordWrap w:val="0"/>
        <w:topLinePunct/>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[以联合体形式投标的，提供联合协议；本项目不接受联合体投标或者投标人不以联合体形式投标的，则不需要提供。]</w:t>
      </w:r>
    </w:p>
    <w:p w14:paraId="34C0B877">
      <w:pPr>
        <w:wordWrap w:val="0"/>
        <w:topLinePunct/>
        <w:snapToGrid w:val="0"/>
        <w:spacing w:line="360" w:lineRule="auto"/>
        <w:ind w:firstLine="420" w:firstLineChars="200"/>
        <w:rPr>
          <w:rFonts w:ascii="宋体" w:hAnsi="宋体" w:cs="宋体"/>
          <w:color w:val="auto"/>
          <w:kern w:val="0"/>
          <w:szCs w:val="21"/>
          <w:highlight w:val="none"/>
          <w:u w:val="single"/>
        </w:rPr>
      </w:pPr>
    </w:p>
    <w:p w14:paraId="65F16E6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3F273635">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21F784F7">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FF6C80B">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20CEBD47">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14:paraId="61463221">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14:paraId="6A796C98">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7F24EBA2">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4D99AB17">
      <w:pPr>
        <w:wordWrap w:val="0"/>
        <w:topLinePunct/>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18" w:name="_Hlk101131882"/>
      <w:r>
        <w:rPr>
          <w:rFonts w:hint="eastAsia" w:ascii="宋体" w:hAnsi="宋体" w:cs="宋体"/>
          <w:color w:val="auto"/>
          <w:kern w:val="0"/>
          <w:szCs w:val="21"/>
          <w:highlight w:val="none"/>
          <w:u w:val="single"/>
        </w:rPr>
        <w:t>联合体成员X，……</w:t>
      </w:r>
      <w:bookmarkEnd w:id="518"/>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519" w:name="_Hlk101133598"/>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bookmarkEnd w:id="519"/>
      <w:r>
        <w:rPr>
          <w:rFonts w:hint="eastAsia" w:ascii="宋体" w:hAnsi="宋体" w:cs="宋体"/>
          <w:b/>
          <w:color w:val="auto"/>
          <w:kern w:val="0"/>
          <w:szCs w:val="21"/>
          <w:highlight w:val="none"/>
          <w:lang w:val="zh-CN"/>
        </w:rPr>
        <w:t>）</w:t>
      </w:r>
    </w:p>
    <w:p w14:paraId="7E00A2EF">
      <w:pPr>
        <w:wordWrap w:val="0"/>
        <w:topLinePunct/>
        <w:snapToGri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20" w:name="_Hlk101133173"/>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20"/>
    </w:p>
    <w:p w14:paraId="40B09500">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4459387E">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75FF1F13">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60A3DB3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7CEFC59">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29033B9E">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3D4FA94">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8EECD68">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5AB38B12">
      <w:pPr>
        <w:wordWrap w:val="0"/>
        <w:topLinePunct/>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2167990C">
      <w:pPr>
        <w:wordWrap w:val="0"/>
        <w:topLinePunct/>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1EF64CBC">
      <w:pPr>
        <w:autoSpaceDE w:val="0"/>
        <w:autoSpaceDN w:val="0"/>
        <w:spacing w:before="319" w:beforeLines="100" w:after="319" w:afterLines="100"/>
        <w:jc w:val="center"/>
        <w:rPr>
          <w:rFonts w:ascii="宋体" w:hAnsi="宋体" w:cs="宋体"/>
          <w:b/>
          <w:color w:val="auto"/>
          <w:spacing w:val="6"/>
          <w:sz w:val="32"/>
          <w:szCs w:val="32"/>
          <w:highlight w:val="none"/>
        </w:rPr>
      </w:pPr>
    </w:p>
    <w:p w14:paraId="0585CFF0">
      <w:pPr>
        <w:autoSpaceDE w:val="0"/>
        <w:autoSpaceDN w:val="0"/>
        <w:spacing w:before="319" w:beforeLines="100" w:after="319" w:afterLines="100"/>
        <w:jc w:val="center"/>
        <w:rPr>
          <w:rFonts w:ascii="宋体" w:hAnsi="宋体" w:cs="宋体"/>
          <w:b/>
          <w:color w:val="auto"/>
          <w:spacing w:val="6"/>
          <w:sz w:val="32"/>
          <w:szCs w:val="32"/>
          <w:highlight w:val="none"/>
        </w:rPr>
      </w:pPr>
    </w:p>
    <w:p w14:paraId="5ECBAE3E">
      <w:pPr>
        <w:autoSpaceDE w:val="0"/>
        <w:autoSpaceDN w:val="0"/>
        <w:spacing w:before="319" w:beforeLines="100" w:after="319" w:afterLines="100"/>
        <w:jc w:val="center"/>
        <w:rPr>
          <w:rFonts w:ascii="宋体" w:hAnsi="宋体" w:cs="宋体"/>
          <w:b/>
          <w:color w:val="auto"/>
          <w:spacing w:val="6"/>
          <w:sz w:val="32"/>
          <w:szCs w:val="32"/>
          <w:highlight w:val="none"/>
        </w:rPr>
      </w:pPr>
    </w:p>
    <w:p w14:paraId="57EA2D26">
      <w:pPr>
        <w:autoSpaceDE w:val="0"/>
        <w:autoSpaceDN w:val="0"/>
        <w:spacing w:before="319" w:beforeLines="100" w:after="319" w:afterLines="100"/>
        <w:jc w:val="center"/>
        <w:rPr>
          <w:rFonts w:ascii="宋体" w:hAnsi="宋体" w:cs="宋体"/>
          <w:b/>
          <w:color w:val="auto"/>
          <w:spacing w:val="6"/>
          <w:sz w:val="32"/>
          <w:szCs w:val="32"/>
          <w:highlight w:val="none"/>
        </w:rPr>
      </w:pPr>
    </w:p>
    <w:p w14:paraId="6CF2AADE">
      <w:pPr>
        <w:autoSpaceDE w:val="0"/>
        <w:autoSpaceDN w:val="0"/>
        <w:spacing w:before="319" w:beforeLines="100" w:after="319" w:afterLines="100"/>
        <w:jc w:val="center"/>
        <w:rPr>
          <w:rFonts w:ascii="宋体" w:hAnsi="宋体" w:cs="宋体"/>
          <w:b/>
          <w:color w:val="auto"/>
          <w:spacing w:val="6"/>
          <w:sz w:val="32"/>
          <w:szCs w:val="32"/>
          <w:highlight w:val="none"/>
        </w:rPr>
      </w:pPr>
    </w:p>
    <w:p w14:paraId="582BE3CE">
      <w:pPr>
        <w:autoSpaceDE w:val="0"/>
        <w:autoSpaceDN w:val="0"/>
        <w:spacing w:before="319" w:beforeLines="100" w:after="319" w:afterLines="100"/>
        <w:jc w:val="center"/>
        <w:rPr>
          <w:rFonts w:ascii="宋体" w:hAnsi="宋体" w:cs="宋体"/>
          <w:b/>
          <w:color w:val="auto"/>
          <w:spacing w:val="6"/>
          <w:sz w:val="32"/>
          <w:szCs w:val="32"/>
          <w:highlight w:val="none"/>
        </w:rPr>
      </w:pPr>
    </w:p>
    <w:p w14:paraId="5E255D48">
      <w:pPr>
        <w:autoSpaceDE w:val="0"/>
        <w:autoSpaceDN w:val="0"/>
        <w:spacing w:before="319" w:beforeLines="100" w:after="319" w:afterLines="100"/>
        <w:jc w:val="center"/>
        <w:rPr>
          <w:rFonts w:ascii="宋体" w:hAnsi="宋体" w:cs="宋体"/>
          <w:b/>
          <w:color w:val="auto"/>
          <w:spacing w:val="6"/>
          <w:sz w:val="32"/>
          <w:szCs w:val="32"/>
          <w:highlight w:val="none"/>
        </w:rPr>
      </w:pPr>
    </w:p>
    <w:p w14:paraId="30E81216">
      <w:pPr>
        <w:autoSpaceDE w:val="0"/>
        <w:autoSpaceDN w:val="0"/>
        <w:spacing w:before="319" w:beforeLines="100" w:after="319" w:afterLines="100"/>
        <w:jc w:val="center"/>
        <w:rPr>
          <w:rFonts w:ascii="宋体" w:hAnsi="宋体" w:cs="宋体"/>
          <w:b/>
          <w:color w:val="auto"/>
          <w:spacing w:val="6"/>
          <w:sz w:val="32"/>
          <w:szCs w:val="32"/>
          <w:highlight w:val="none"/>
        </w:rPr>
      </w:pPr>
    </w:p>
    <w:p w14:paraId="2E495152">
      <w:pPr>
        <w:autoSpaceDE w:val="0"/>
        <w:autoSpaceDN w:val="0"/>
        <w:spacing w:before="319" w:beforeLines="100" w:after="319" w:afterLines="100"/>
        <w:jc w:val="center"/>
        <w:rPr>
          <w:rFonts w:ascii="宋体" w:hAnsi="宋体" w:cs="宋体"/>
          <w:b/>
          <w:color w:val="auto"/>
          <w:spacing w:val="6"/>
          <w:sz w:val="32"/>
          <w:szCs w:val="32"/>
          <w:highlight w:val="none"/>
        </w:rPr>
      </w:pPr>
    </w:p>
    <w:p w14:paraId="29126BA7">
      <w:pPr>
        <w:autoSpaceDE w:val="0"/>
        <w:autoSpaceDN w:val="0"/>
        <w:spacing w:before="319" w:beforeLines="100" w:after="319" w:afterLines="100"/>
        <w:jc w:val="center"/>
        <w:rPr>
          <w:rFonts w:ascii="宋体" w:hAnsi="宋体" w:cs="宋体"/>
          <w:b/>
          <w:color w:val="auto"/>
          <w:spacing w:val="6"/>
          <w:sz w:val="32"/>
          <w:szCs w:val="32"/>
          <w:highlight w:val="none"/>
        </w:rPr>
      </w:pPr>
    </w:p>
    <w:p w14:paraId="01ED57A6">
      <w:pPr>
        <w:autoSpaceDE w:val="0"/>
        <w:autoSpaceDN w:val="0"/>
        <w:spacing w:before="319" w:beforeLines="100" w:after="319" w:afterLines="100"/>
        <w:jc w:val="center"/>
        <w:rPr>
          <w:rFonts w:ascii="宋体" w:hAnsi="宋体" w:cs="宋体"/>
          <w:b/>
          <w:color w:val="auto"/>
          <w:spacing w:val="6"/>
          <w:sz w:val="32"/>
          <w:szCs w:val="32"/>
          <w:highlight w:val="none"/>
        </w:rPr>
      </w:pPr>
    </w:p>
    <w:p w14:paraId="4F5A05BE">
      <w:pPr>
        <w:autoSpaceDE w:val="0"/>
        <w:autoSpaceDN w:val="0"/>
        <w:spacing w:before="319" w:beforeLines="100" w:after="319" w:afterLines="100"/>
        <w:jc w:val="center"/>
        <w:rPr>
          <w:rFonts w:ascii="宋体" w:hAnsi="宋体" w:cs="宋体"/>
          <w:b/>
          <w:color w:val="auto"/>
          <w:spacing w:val="6"/>
          <w:sz w:val="32"/>
          <w:szCs w:val="32"/>
          <w:highlight w:val="none"/>
        </w:rPr>
      </w:pPr>
    </w:p>
    <w:p w14:paraId="475100A2">
      <w:pPr>
        <w:autoSpaceDE w:val="0"/>
        <w:autoSpaceDN w:val="0"/>
        <w:spacing w:before="319" w:beforeLines="100" w:after="319" w:afterLines="1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spacing w:val="6"/>
          <w:sz w:val="32"/>
          <w:szCs w:val="32"/>
          <w:highlight w:val="none"/>
          <w:lang w:val="zh-CN"/>
        </w:rPr>
        <w:t>分包意向协议</w:t>
      </w:r>
    </w:p>
    <w:p w14:paraId="1E978949">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[中标后以分包方式履行合同的，提供分包意向协议；采购人不同意分包或者投标人中标后不以分包方式履行合同的，则不需要提供。]</w:t>
      </w:r>
    </w:p>
    <w:p w14:paraId="7F492EC4">
      <w:pPr>
        <w:wordWrap w:val="0"/>
        <w:snapToGrid w:val="0"/>
        <w:spacing w:line="312" w:lineRule="auto"/>
        <w:ind w:firstLine="420" w:firstLineChars="200"/>
        <w:rPr>
          <w:rFonts w:ascii="宋体" w:hAnsi="宋体" w:cs="宋体"/>
          <w:color w:val="auto"/>
          <w:kern w:val="0"/>
          <w:szCs w:val="21"/>
          <w:highlight w:val="none"/>
          <w:u w:val="single"/>
        </w:rPr>
      </w:pPr>
    </w:p>
    <w:p w14:paraId="3BE2F485">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1979B8A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0D57F7FF">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17F9E1DD">
      <w:pPr>
        <w:tabs>
          <w:tab w:val="left" w:pos="432"/>
        </w:tabs>
        <w:wordWrap w:val="0"/>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p>
    <w:p w14:paraId="4EFC1A79">
      <w:pPr>
        <w:wordWrap w:val="0"/>
        <w:topLinePunct/>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22567135">
      <w:pPr>
        <w:wordWrap w:val="0"/>
        <w:topLinePunct/>
        <w:snapToGrid w:val="0"/>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5C30E8ED">
      <w:pPr>
        <w:wordWrap w:val="0"/>
        <w:topLinePunct/>
        <w:snapToGri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454F21D6">
      <w:pPr>
        <w:wordWrap w:val="0"/>
        <w:topLinePunct/>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0328ED48">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4313C115">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06CD4D3A">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51AA978E">
      <w:pPr>
        <w:wordWrap w:val="0"/>
        <w:snapToGrid w:val="0"/>
        <w:spacing w:line="312"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257B1E37">
      <w:pPr>
        <w:wordWrap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6AC16707">
      <w:pPr>
        <w:wordWrap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p>
    <w:p w14:paraId="1A6EBE1A">
      <w:pPr>
        <w:wordWrap w:val="0"/>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64716281">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1C05C7C6">
      <w:pPr>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6D34A3C8">
      <w:pPr>
        <w:snapToGrid w:val="0"/>
        <w:spacing w:line="360" w:lineRule="auto"/>
        <w:ind w:firstLine="4620" w:firstLineChars="2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9719D48">
      <w:pPr>
        <w:spacing w:line="312" w:lineRule="auto"/>
        <w:rPr>
          <w:rFonts w:ascii="宋体" w:hAnsi="宋体" w:cs="宋体"/>
          <w:b/>
          <w:bCs/>
          <w:color w:val="auto"/>
          <w:sz w:val="32"/>
          <w:szCs w:val="32"/>
          <w:highlight w:val="none"/>
        </w:rPr>
      </w:pPr>
      <w:r>
        <w:rPr>
          <w:rFonts w:hint="eastAsia" w:ascii="宋体" w:hAnsi="宋体" w:cs="宋体"/>
          <w:b/>
          <w:bCs/>
          <w:color w:val="auto"/>
          <w:szCs w:val="21"/>
          <w:highlight w:val="none"/>
        </w:rPr>
        <w:t>注：按本格式和要求提供。</w:t>
      </w:r>
    </w:p>
    <w:p w14:paraId="3D8B78C5">
      <w:pPr>
        <w:spacing w:before="319" w:beforeLines="100" w:after="319" w:afterLines="100"/>
        <w:jc w:val="center"/>
        <w:rPr>
          <w:rFonts w:ascii="宋体" w:hAnsi="宋体" w:cs="宋体"/>
          <w:b/>
          <w:color w:val="auto"/>
          <w:sz w:val="32"/>
          <w:szCs w:val="32"/>
          <w:highlight w:val="none"/>
        </w:rPr>
      </w:pPr>
    </w:p>
    <w:p w14:paraId="77B78B7A">
      <w:pPr>
        <w:spacing w:before="319" w:beforeLines="100" w:after="319"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2998E01A">
      <w:pPr>
        <w:spacing w:before="319" w:before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7254B0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C58AE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1BC316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56498C5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7070F5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48BA32B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4F0F765">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08292252">
      <w:pPr>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日期：   年   月   日</w:t>
      </w:r>
    </w:p>
    <w:p w14:paraId="3E820BA3">
      <w:pPr>
        <w:spacing w:line="360" w:lineRule="auto"/>
        <w:ind w:firstLine="422" w:firstLineChars="200"/>
        <w:jc w:val="left"/>
        <w:rPr>
          <w:rFonts w:ascii="宋体" w:hAnsi="宋体" w:cs="宋体"/>
          <w:b/>
          <w:color w:val="auto"/>
          <w:szCs w:val="21"/>
          <w:highlight w:val="none"/>
        </w:rPr>
      </w:pPr>
    </w:p>
    <w:p w14:paraId="0972CE71">
      <w:pPr>
        <w:spacing w:line="360" w:lineRule="auto"/>
        <w:ind w:firstLine="422" w:firstLineChars="200"/>
        <w:jc w:val="left"/>
        <w:rPr>
          <w:rFonts w:ascii="宋体" w:hAnsi="宋体" w:cs="宋体"/>
          <w:b/>
          <w:color w:val="auto"/>
          <w:szCs w:val="21"/>
          <w:highlight w:val="none"/>
        </w:rPr>
      </w:pPr>
    </w:p>
    <w:p w14:paraId="2066239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从业人员、营业收入、资产总额填报上一年度数据，无上一年度数据的新成立企业可不填报。</w:t>
      </w:r>
    </w:p>
    <w:p w14:paraId="4CA4AA9B">
      <w:pPr>
        <w:spacing w:line="360" w:lineRule="auto"/>
        <w:ind w:firstLine="420" w:firstLineChars="200"/>
        <w:rPr>
          <w:rFonts w:ascii="宋体" w:hAnsi="宋体" w:cs="宋体"/>
          <w:color w:val="auto"/>
          <w:szCs w:val="21"/>
          <w:highlight w:val="none"/>
        </w:rPr>
      </w:pPr>
    </w:p>
    <w:p w14:paraId="6C23D8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25442E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6B360D">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2A4510">
      <w:pPr>
        <w:spacing w:line="360" w:lineRule="auto"/>
        <w:ind w:right="420"/>
        <w:rPr>
          <w:rFonts w:ascii="宋体" w:hAnsi="宋体" w:cs="宋体"/>
          <w:color w:val="auto"/>
          <w:highlight w:val="none"/>
        </w:rPr>
      </w:pPr>
    </w:p>
    <w:p w14:paraId="33203278">
      <w:pPr>
        <w:spacing w:line="360" w:lineRule="auto"/>
        <w:rPr>
          <w:rFonts w:ascii="宋体" w:hAnsi="宋体" w:cs="宋体"/>
          <w:bCs/>
          <w:color w:val="auto"/>
          <w:sz w:val="24"/>
          <w:highlight w:val="none"/>
        </w:rPr>
      </w:pPr>
    </w:p>
    <w:sectPr>
      <w:headerReference r:id="rId13" w:type="first"/>
      <w:footerReference r:id="rId16" w:type="first"/>
      <w:footerReference r:id="rId14" w:type="default"/>
      <w:footerReference r:id="rId15" w:type="even"/>
      <w:pgSz w:w="11905" w:h="16838"/>
      <w:pgMar w:top="1440" w:right="1083" w:bottom="1440" w:left="108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0AB8">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2BB7">
    <w:pPr>
      <w:pStyle w:val="42"/>
      <w:framePr w:wrap="around" w:vAnchor="text" w:hAnchor="margin" w:xAlign="right" w:y="1"/>
      <w:rPr>
        <w:rStyle w:val="76"/>
      </w:rPr>
    </w:pPr>
    <w:r>
      <w:fldChar w:fldCharType="begin"/>
    </w:r>
    <w:r>
      <w:rPr>
        <w:rStyle w:val="76"/>
      </w:rPr>
      <w:instrText xml:space="preserve">PAGE  </w:instrText>
    </w:r>
    <w:r>
      <w:fldChar w:fldCharType="end"/>
    </w:r>
  </w:p>
  <w:p w14:paraId="090FE99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16A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7C8A">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31</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p w14:paraId="1EE1C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F10D">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hint="eastAsia" w:ascii="幼圆" w:hAnsi="幼圆" w:eastAsia="幼圆" w:cs="幼圆"/>
        <w:kern w:val="0"/>
      </w:rPr>
      <w:t>66</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hint="eastAsia" w:ascii="幼圆" w:hAnsi="幼圆" w:eastAsia="幼圆" w:cs="幼圆"/>
        <w:kern w:val="0"/>
      </w:rPr>
      <w:t>78</w:t>
    </w:r>
    <w:r>
      <w:rPr>
        <w:rFonts w:hint="eastAsia" w:ascii="幼圆" w:hAnsi="幼圆" w:eastAsia="幼圆" w:cs="幼圆"/>
        <w:kern w:val="0"/>
      </w:rPr>
      <w:fldChar w:fldCharType="end"/>
    </w:r>
    <w:r>
      <w:rPr>
        <w:rFonts w:hint="eastAsia" w:ascii="幼圆" w:hAnsi="幼圆" w:eastAsia="幼圆" w:cs="幼圆"/>
        <w:kern w:val="0"/>
      </w:rPr>
      <w:t xml:space="preserve"> 页</w:t>
    </w:r>
  </w:p>
  <w:p w14:paraId="78E846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27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6C20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3E70">
    <w:pPr>
      <w:pStyle w:val="42"/>
      <w:jc w:val="center"/>
      <w:rPr>
        <w:rFonts w:hint="eastAsia" w:ascii="幼圆" w:hAnsi="幼圆" w:eastAsia="幼圆" w:cs="幼圆"/>
        <w:szCs w:val="24"/>
      </w:rPr>
    </w:pPr>
    <w:r>
      <w:rPr>
        <w:rFonts w:hint="eastAsia" w:ascii="幼圆" w:hAnsi="幼圆" w:eastAsia="幼圆" w:cs="幼圆"/>
        <w:kern w:val="0"/>
        <w:szCs w:val="21"/>
      </w:rPr>
      <w:t xml:space="preserve">第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PAGE </w:instrText>
    </w:r>
    <w:r>
      <w:rPr>
        <w:rFonts w:hint="eastAsia" w:ascii="幼圆" w:hAnsi="幼圆" w:eastAsia="幼圆" w:cs="幼圆"/>
        <w:kern w:val="0"/>
        <w:szCs w:val="21"/>
      </w:rPr>
      <w:fldChar w:fldCharType="separate"/>
    </w:r>
    <w:r>
      <w:rPr>
        <w:rFonts w:hint="eastAsia" w:ascii="幼圆" w:hAnsi="幼圆" w:eastAsia="幼圆" w:cs="幼圆"/>
        <w:kern w:val="0"/>
        <w:szCs w:val="21"/>
      </w:rPr>
      <w:t>67</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 共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NUMPAGES </w:instrText>
    </w:r>
    <w:r>
      <w:rPr>
        <w:rFonts w:hint="eastAsia" w:ascii="幼圆" w:hAnsi="幼圆" w:eastAsia="幼圆" w:cs="幼圆"/>
        <w:kern w:val="0"/>
        <w:szCs w:val="21"/>
      </w:rPr>
      <w:fldChar w:fldCharType="separate"/>
    </w:r>
    <w:r>
      <w:rPr>
        <w:rFonts w:hint="eastAsia" w:ascii="幼圆" w:hAnsi="幼圆" w:eastAsia="幼圆" w:cs="幼圆"/>
        <w:kern w:val="0"/>
        <w:szCs w:val="21"/>
      </w:rPr>
      <w:t>78</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1D34">
    <w:pPr>
      <w:pStyle w:val="42"/>
      <w:framePr w:wrap="around" w:vAnchor="text" w:hAnchor="margin" w:xAlign="right" w:y="1"/>
      <w:rPr>
        <w:rStyle w:val="76"/>
      </w:rPr>
    </w:pPr>
    <w:r>
      <w:fldChar w:fldCharType="begin"/>
    </w:r>
    <w:r>
      <w:rPr>
        <w:rStyle w:val="76"/>
      </w:rPr>
      <w:instrText xml:space="preserve">PAGE  </w:instrText>
    </w:r>
    <w:r>
      <w:fldChar w:fldCharType="end"/>
    </w:r>
  </w:p>
  <w:p w14:paraId="6A840775">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88E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64085800"/>
    <w:bookmarkStart w:id="522" w:name="_Toc91899912"/>
    <w:bookmarkStart w:id="523" w:name="_Toc131845147"/>
    <w:bookmarkStart w:id="524" w:name="_Toc36110187"/>
    <w:r>
      <w:rPr>
        <w:rFonts w:hint="eastAsia" w:ascii="仿宋_GB2312" w:eastAsia="仿宋_GB2312"/>
        <w:kern w:val="0"/>
        <w:szCs w:val="21"/>
      </w:rPr>
      <w:t xml:space="preserve"> 页</w:t>
    </w:r>
    <w:bookmarkEnd w:id="521"/>
    <w:bookmarkEnd w:id="522"/>
    <w:bookmarkEnd w:id="523"/>
    <w:bookmarkEnd w:id="5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ECAE">
    <w:pPr>
      <w:pStyle w:val="63"/>
      <w:pBdr>
        <w:bottom w:val="thickThinLargeGap" w:color="auto" w:sz="4" w:space="0"/>
      </w:pBdr>
      <w:tabs>
        <w:tab w:val="center" w:pos="4535"/>
        <w:tab w:val="right" w:pos="9070"/>
      </w:tabs>
      <w:jc w:val="right"/>
      <w:rPr>
        <w:rFonts w:ascii="仿宋_GB2312" w:eastAsia="黑体"/>
        <w:b w:val="0"/>
        <w:i/>
        <w:sz w:val="18"/>
        <w:u w:val="single"/>
        <w:lang w:val="en-US"/>
      </w:rPr>
    </w:pPr>
    <w:r>
      <w:rPr>
        <w:rFonts w:hint="eastAsia" w:ascii="黑体" w:hAnsi="黑体" w:eastAsia="黑体" w:cs="黑体"/>
        <w:bCs/>
        <w:kern w:val="2"/>
        <w:sz w:val="18"/>
        <w:szCs w:val="18"/>
        <w:lang w:val="en-US"/>
      </w:rPr>
      <w:t xml:space="preserve">                             </w:t>
    </w:r>
    <w:r>
      <w:rPr>
        <w:rFonts w:hint="eastAsia" w:ascii="幼圆" w:hAnsi="幼圆" w:eastAsia="幼圆" w:cs="幼圆"/>
        <w:b w:val="0"/>
        <w:kern w:val="2"/>
        <w:sz w:val="18"/>
        <w:szCs w:val="18"/>
        <w:lang w:val="en-US"/>
      </w:rPr>
      <w:t>202</w:t>
    </w:r>
    <w:r>
      <w:rPr>
        <w:rFonts w:hint="eastAsia" w:ascii="幼圆" w:hAnsi="幼圆" w:eastAsia="幼圆" w:cs="幼圆"/>
        <w:b w:val="0"/>
        <w:kern w:val="2"/>
        <w:sz w:val="18"/>
        <w:szCs w:val="18"/>
        <w:lang w:val="en-US" w:eastAsia="zh-CN"/>
      </w:rPr>
      <w:t>5</w:t>
    </w:r>
    <w:r>
      <w:rPr>
        <w:rFonts w:hint="eastAsia" w:ascii="幼圆" w:hAnsi="幼圆" w:eastAsia="幼圆" w:cs="幼圆"/>
        <w:b w:val="0"/>
        <w:kern w:val="2"/>
        <w:sz w:val="18"/>
        <w:szCs w:val="18"/>
        <w:lang w:val="en-US"/>
      </w:rPr>
      <w:t>年嘉兴港日常安全管理服务项目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BC1E">
    <w:pPr>
      <w:pStyle w:val="44"/>
      <w:pBdr>
        <w:bottom w:val="thickThinLargeGap" w:color="auto" w:sz="4" w:space="0"/>
      </w:pBdr>
      <w:tabs>
        <w:tab w:val="center" w:pos="4535"/>
        <w:tab w:val="right" w:pos="9070"/>
        <w:tab w:val="clear" w:pos="4153"/>
        <w:tab w:val="clear" w:pos="8306"/>
      </w:tabs>
      <w:jc w:val="both"/>
    </w:pPr>
    <w:r>
      <w:rPr>
        <w:rFonts w:hint="eastAsia" w:ascii="黑体" w:hAnsi="黑体" w:eastAsia="黑体" w:cs="黑体"/>
        <w:b/>
        <w:bCs/>
      </w:rPr>
      <w:t xml:space="preserve">                                                                     </w:t>
    </w:r>
    <w:r>
      <w:rPr>
        <w:rFonts w:hint="eastAsia" w:ascii="黑体" w:hAnsi="黑体" w:eastAsia="黑体" w:cs="黑体"/>
        <w:b/>
        <w:bCs/>
        <w:lang w:val="en-US" w:eastAsia="zh-CN"/>
      </w:rPr>
      <w:t xml:space="preserve">   </w:t>
    </w:r>
    <w:r>
      <w:rPr>
        <w:rFonts w:hint="eastAsia" w:ascii="幼圆" w:hAnsi="幼圆" w:eastAsia="幼圆" w:cs="幼圆"/>
      </w:rPr>
      <w:t>202</w:t>
    </w:r>
    <w:r>
      <w:rPr>
        <w:rFonts w:hint="eastAsia" w:ascii="幼圆" w:hAnsi="幼圆" w:eastAsia="幼圆" w:cs="幼圆"/>
        <w:lang w:val="en-US" w:eastAsia="zh-CN"/>
      </w:rPr>
      <w:t>5</w:t>
    </w:r>
    <w:r>
      <w:rPr>
        <w:rFonts w:hint="eastAsia" w:ascii="幼圆" w:hAnsi="幼圆" w:eastAsia="幼圆" w:cs="幼圆"/>
      </w:rPr>
      <w:t>年嘉兴港日常安全管理服务项目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59EB">
    <w:pPr>
      <w:pStyle w:val="44"/>
      <w:pBdr>
        <w:bottom w:val="thickThinLargeGap" w:color="auto" w:sz="4" w:space="1"/>
      </w:pBdr>
      <w:jc w:val="both"/>
      <w:rPr>
        <w:rFonts w:ascii="仿宋_GB2312" w:eastAsia="黑体"/>
        <w:b/>
        <w:i/>
        <w:u w:val="single"/>
      </w:rPr>
    </w:pPr>
    <w:r>
      <w:rPr>
        <w:rFonts w:hint="eastAsia" w:ascii="黑体" w:hAnsi="黑体" w:eastAsia="黑体" w:cs="黑体"/>
        <w:b/>
        <w:bCs/>
      </w:rPr>
      <w:t xml:space="preserve">                                             </w:t>
    </w:r>
    <w:r>
      <w:rPr>
        <w:rFonts w:hint="eastAsia" w:ascii="黑体" w:hAnsi="黑体" w:eastAsia="黑体" w:cs="黑体"/>
        <w:b/>
        <w:bCs/>
        <w:lang w:val="en-US" w:eastAsia="zh-CN"/>
      </w:rPr>
      <w:t xml:space="preserve">                              </w:t>
    </w:r>
    <w:r>
      <w:rPr>
        <w:rFonts w:hint="eastAsia" w:ascii="幼圆" w:hAnsi="幼圆" w:eastAsia="幼圆" w:cs="幼圆"/>
      </w:rPr>
      <w:t>202</w:t>
    </w:r>
    <w:r>
      <w:rPr>
        <w:rFonts w:hint="eastAsia" w:ascii="幼圆" w:hAnsi="幼圆" w:eastAsia="幼圆" w:cs="幼圆"/>
        <w:lang w:val="en-US" w:eastAsia="zh-CN"/>
      </w:rPr>
      <w:t>5</w:t>
    </w:r>
    <w:r>
      <w:rPr>
        <w:rFonts w:hint="eastAsia" w:ascii="幼圆" w:hAnsi="幼圆" w:eastAsia="幼圆" w:cs="幼圆"/>
      </w:rPr>
      <w:t>年嘉兴港日常安全管理服务项目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EEA9">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4062">
    <w:pPr>
      <w:pStyle w:val="4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9232C4"/>
    <w:rsid w:val="019F7441"/>
    <w:rsid w:val="01B37585"/>
    <w:rsid w:val="01D55165"/>
    <w:rsid w:val="01DF6BF8"/>
    <w:rsid w:val="01EC2C57"/>
    <w:rsid w:val="026B2E25"/>
    <w:rsid w:val="02824D4D"/>
    <w:rsid w:val="02DC4B10"/>
    <w:rsid w:val="02DD76CE"/>
    <w:rsid w:val="02F208C2"/>
    <w:rsid w:val="02F36323"/>
    <w:rsid w:val="02F5619C"/>
    <w:rsid w:val="0326446A"/>
    <w:rsid w:val="032D5555"/>
    <w:rsid w:val="035703C5"/>
    <w:rsid w:val="036634D2"/>
    <w:rsid w:val="03DD35E4"/>
    <w:rsid w:val="04076900"/>
    <w:rsid w:val="041A5A3B"/>
    <w:rsid w:val="042311BA"/>
    <w:rsid w:val="042B157A"/>
    <w:rsid w:val="04325B30"/>
    <w:rsid w:val="04637523"/>
    <w:rsid w:val="048F763B"/>
    <w:rsid w:val="049F330E"/>
    <w:rsid w:val="04AA775C"/>
    <w:rsid w:val="04AF1889"/>
    <w:rsid w:val="04E7136E"/>
    <w:rsid w:val="04F66F48"/>
    <w:rsid w:val="05251E14"/>
    <w:rsid w:val="05524952"/>
    <w:rsid w:val="05A16594"/>
    <w:rsid w:val="05A7762D"/>
    <w:rsid w:val="060E5941"/>
    <w:rsid w:val="06110FAF"/>
    <w:rsid w:val="06493CA7"/>
    <w:rsid w:val="065A6178"/>
    <w:rsid w:val="066F1CF3"/>
    <w:rsid w:val="06925398"/>
    <w:rsid w:val="06930BB8"/>
    <w:rsid w:val="069B7C33"/>
    <w:rsid w:val="07064C57"/>
    <w:rsid w:val="07245D42"/>
    <w:rsid w:val="07264C62"/>
    <w:rsid w:val="0779354C"/>
    <w:rsid w:val="07F3387A"/>
    <w:rsid w:val="08061376"/>
    <w:rsid w:val="08452D77"/>
    <w:rsid w:val="086401F8"/>
    <w:rsid w:val="08751CAA"/>
    <w:rsid w:val="087E4C40"/>
    <w:rsid w:val="08D66AD6"/>
    <w:rsid w:val="08DA33A3"/>
    <w:rsid w:val="08E51639"/>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0F2E11"/>
    <w:rsid w:val="0A1C0718"/>
    <w:rsid w:val="0A3E7710"/>
    <w:rsid w:val="0A402FCB"/>
    <w:rsid w:val="0A5B7E63"/>
    <w:rsid w:val="0AA374A5"/>
    <w:rsid w:val="0AAB7649"/>
    <w:rsid w:val="0ABC5606"/>
    <w:rsid w:val="0ADB7197"/>
    <w:rsid w:val="0B2C7471"/>
    <w:rsid w:val="0B30404E"/>
    <w:rsid w:val="0B4C6C14"/>
    <w:rsid w:val="0B631A88"/>
    <w:rsid w:val="0B683D45"/>
    <w:rsid w:val="0B7F3F11"/>
    <w:rsid w:val="0B884417"/>
    <w:rsid w:val="0BF6188C"/>
    <w:rsid w:val="0BF73C91"/>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B74B8"/>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421E87"/>
    <w:rsid w:val="10646583"/>
    <w:rsid w:val="107D4B15"/>
    <w:rsid w:val="108A3C80"/>
    <w:rsid w:val="10C26171"/>
    <w:rsid w:val="10F33360"/>
    <w:rsid w:val="10FC16EA"/>
    <w:rsid w:val="110F1D40"/>
    <w:rsid w:val="11266F33"/>
    <w:rsid w:val="118963A1"/>
    <w:rsid w:val="119473D2"/>
    <w:rsid w:val="11C6522A"/>
    <w:rsid w:val="11E104CC"/>
    <w:rsid w:val="11E20309"/>
    <w:rsid w:val="12255233"/>
    <w:rsid w:val="12530213"/>
    <w:rsid w:val="127723A9"/>
    <w:rsid w:val="12862074"/>
    <w:rsid w:val="12883966"/>
    <w:rsid w:val="129E45B4"/>
    <w:rsid w:val="12B855CF"/>
    <w:rsid w:val="12D81596"/>
    <w:rsid w:val="13072A44"/>
    <w:rsid w:val="135F4BE2"/>
    <w:rsid w:val="139B1A0A"/>
    <w:rsid w:val="139D25C7"/>
    <w:rsid w:val="13BF3CE4"/>
    <w:rsid w:val="13DF72EE"/>
    <w:rsid w:val="141008D8"/>
    <w:rsid w:val="14125FE6"/>
    <w:rsid w:val="146D271E"/>
    <w:rsid w:val="14982588"/>
    <w:rsid w:val="149A5AD9"/>
    <w:rsid w:val="14A7619D"/>
    <w:rsid w:val="14D70121"/>
    <w:rsid w:val="14E326F3"/>
    <w:rsid w:val="150536C3"/>
    <w:rsid w:val="150C1963"/>
    <w:rsid w:val="151447A0"/>
    <w:rsid w:val="154A6454"/>
    <w:rsid w:val="15762120"/>
    <w:rsid w:val="15D05B4B"/>
    <w:rsid w:val="15D27773"/>
    <w:rsid w:val="15D54F0F"/>
    <w:rsid w:val="15FB5702"/>
    <w:rsid w:val="16155B22"/>
    <w:rsid w:val="16A8729C"/>
    <w:rsid w:val="16B33777"/>
    <w:rsid w:val="16BC70A7"/>
    <w:rsid w:val="16C6339E"/>
    <w:rsid w:val="16F97B5B"/>
    <w:rsid w:val="16FC6A01"/>
    <w:rsid w:val="1705609A"/>
    <w:rsid w:val="170F1DAE"/>
    <w:rsid w:val="172E00FB"/>
    <w:rsid w:val="172F2D79"/>
    <w:rsid w:val="17557BEF"/>
    <w:rsid w:val="179A2834"/>
    <w:rsid w:val="17D349C1"/>
    <w:rsid w:val="1830729E"/>
    <w:rsid w:val="1870062C"/>
    <w:rsid w:val="18817102"/>
    <w:rsid w:val="18824C15"/>
    <w:rsid w:val="18830A15"/>
    <w:rsid w:val="18852B28"/>
    <w:rsid w:val="188B5321"/>
    <w:rsid w:val="18A63149"/>
    <w:rsid w:val="193F6FDA"/>
    <w:rsid w:val="19932372"/>
    <w:rsid w:val="19A20DD5"/>
    <w:rsid w:val="19AE03F1"/>
    <w:rsid w:val="1A071A03"/>
    <w:rsid w:val="1A1F16AE"/>
    <w:rsid w:val="1A3B5C77"/>
    <w:rsid w:val="1A984BAD"/>
    <w:rsid w:val="1A9C233C"/>
    <w:rsid w:val="1AB8220E"/>
    <w:rsid w:val="1AE4166C"/>
    <w:rsid w:val="1AF06CFB"/>
    <w:rsid w:val="1AF11B8D"/>
    <w:rsid w:val="1B11359C"/>
    <w:rsid w:val="1B2A271F"/>
    <w:rsid w:val="1B530544"/>
    <w:rsid w:val="1B713184"/>
    <w:rsid w:val="1B841FD5"/>
    <w:rsid w:val="1BA209CF"/>
    <w:rsid w:val="1BB4777D"/>
    <w:rsid w:val="1BD75AB8"/>
    <w:rsid w:val="1C0459C2"/>
    <w:rsid w:val="1C1B3B4A"/>
    <w:rsid w:val="1C88086E"/>
    <w:rsid w:val="1CF81355"/>
    <w:rsid w:val="1D266CE1"/>
    <w:rsid w:val="1D2D3883"/>
    <w:rsid w:val="1D3963AF"/>
    <w:rsid w:val="1D50293C"/>
    <w:rsid w:val="1D504EC1"/>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F0A0FF3"/>
    <w:rsid w:val="1F5771FF"/>
    <w:rsid w:val="1FE76643"/>
    <w:rsid w:val="1FE868A9"/>
    <w:rsid w:val="1FF92231"/>
    <w:rsid w:val="20034907"/>
    <w:rsid w:val="20173E4B"/>
    <w:rsid w:val="204E48BC"/>
    <w:rsid w:val="208921B3"/>
    <w:rsid w:val="20973DEB"/>
    <w:rsid w:val="20B26522"/>
    <w:rsid w:val="20B44310"/>
    <w:rsid w:val="20C85AF0"/>
    <w:rsid w:val="211116EB"/>
    <w:rsid w:val="216133FC"/>
    <w:rsid w:val="21D56769"/>
    <w:rsid w:val="21DA281F"/>
    <w:rsid w:val="21DF070C"/>
    <w:rsid w:val="21DF6686"/>
    <w:rsid w:val="21E52EF3"/>
    <w:rsid w:val="21FB5D7B"/>
    <w:rsid w:val="220B1C3D"/>
    <w:rsid w:val="220D3C83"/>
    <w:rsid w:val="221D1D20"/>
    <w:rsid w:val="221D25B7"/>
    <w:rsid w:val="221F59EE"/>
    <w:rsid w:val="221F78FD"/>
    <w:rsid w:val="22334A87"/>
    <w:rsid w:val="22BE6801"/>
    <w:rsid w:val="233500BF"/>
    <w:rsid w:val="23377FF7"/>
    <w:rsid w:val="236B425F"/>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5005CA4"/>
    <w:rsid w:val="251063F9"/>
    <w:rsid w:val="25684B40"/>
    <w:rsid w:val="258B00E2"/>
    <w:rsid w:val="25A917A6"/>
    <w:rsid w:val="25BE27CC"/>
    <w:rsid w:val="25F74A5C"/>
    <w:rsid w:val="2628662C"/>
    <w:rsid w:val="262D45DE"/>
    <w:rsid w:val="26370614"/>
    <w:rsid w:val="266F000B"/>
    <w:rsid w:val="26A53EF9"/>
    <w:rsid w:val="26A94201"/>
    <w:rsid w:val="26AC274F"/>
    <w:rsid w:val="27044A29"/>
    <w:rsid w:val="271D34C8"/>
    <w:rsid w:val="272717DA"/>
    <w:rsid w:val="27425763"/>
    <w:rsid w:val="276142BF"/>
    <w:rsid w:val="27783712"/>
    <w:rsid w:val="27907362"/>
    <w:rsid w:val="27CE49D7"/>
    <w:rsid w:val="28333E1D"/>
    <w:rsid w:val="28454BD6"/>
    <w:rsid w:val="28455253"/>
    <w:rsid w:val="28551971"/>
    <w:rsid w:val="285B1C53"/>
    <w:rsid w:val="289F7086"/>
    <w:rsid w:val="28C32028"/>
    <w:rsid w:val="28CC490F"/>
    <w:rsid w:val="28DE40AA"/>
    <w:rsid w:val="29345E77"/>
    <w:rsid w:val="294C65AD"/>
    <w:rsid w:val="2969358F"/>
    <w:rsid w:val="29806583"/>
    <w:rsid w:val="298B3C4C"/>
    <w:rsid w:val="29932CBF"/>
    <w:rsid w:val="29EB7F9B"/>
    <w:rsid w:val="29F26D24"/>
    <w:rsid w:val="2A15033F"/>
    <w:rsid w:val="2A1662C1"/>
    <w:rsid w:val="2A1C7367"/>
    <w:rsid w:val="2A2815FA"/>
    <w:rsid w:val="2A6D6092"/>
    <w:rsid w:val="2A7D76B4"/>
    <w:rsid w:val="2B2F1CAA"/>
    <w:rsid w:val="2B431325"/>
    <w:rsid w:val="2B437463"/>
    <w:rsid w:val="2B487D7C"/>
    <w:rsid w:val="2B7807EE"/>
    <w:rsid w:val="2BBE2C91"/>
    <w:rsid w:val="2BBF00EC"/>
    <w:rsid w:val="2BC37CFD"/>
    <w:rsid w:val="2BD5237F"/>
    <w:rsid w:val="2BE536CE"/>
    <w:rsid w:val="2BE758D9"/>
    <w:rsid w:val="2BEB1704"/>
    <w:rsid w:val="2C09049E"/>
    <w:rsid w:val="2C0A653C"/>
    <w:rsid w:val="2C191F85"/>
    <w:rsid w:val="2C212804"/>
    <w:rsid w:val="2C574D97"/>
    <w:rsid w:val="2C711F40"/>
    <w:rsid w:val="2CCD46A4"/>
    <w:rsid w:val="2CE82D6F"/>
    <w:rsid w:val="2D343236"/>
    <w:rsid w:val="2D7A60D5"/>
    <w:rsid w:val="2DD15014"/>
    <w:rsid w:val="2DE73489"/>
    <w:rsid w:val="2DF72DE4"/>
    <w:rsid w:val="2E0220AF"/>
    <w:rsid w:val="2E2D690F"/>
    <w:rsid w:val="2E4B082A"/>
    <w:rsid w:val="2E5D4E86"/>
    <w:rsid w:val="2E5D790B"/>
    <w:rsid w:val="2E907CAC"/>
    <w:rsid w:val="2E9A3C18"/>
    <w:rsid w:val="2EAE5EE7"/>
    <w:rsid w:val="2EB96E75"/>
    <w:rsid w:val="2EBB0FEE"/>
    <w:rsid w:val="2EC63002"/>
    <w:rsid w:val="2F0A6B38"/>
    <w:rsid w:val="2F427356"/>
    <w:rsid w:val="2F8310E0"/>
    <w:rsid w:val="2F946CCB"/>
    <w:rsid w:val="2FD25781"/>
    <w:rsid w:val="2FFD7934"/>
    <w:rsid w:val="3027350F"/>
    <w:rsid w:val="304229F7"/>
    <w:rsid w:val="30733ACD"/>
    <w:rsid w:val="308C3862"/>
    <w:rsid w:val="309379D8"/>
    <w:rsid w:val="30A16923"/>
    <w:rsid w:val="30A270F7"/>
    <w:rsid w:val="30DF1478"/>
    <w:rsid w:val="30E40B8A"/>
    <w:rsid w:val="30EC586F"/>
    <w:rsid w:val="31590FFB"/>
    <w:rsid w:val="319C6071"/>
    <w:rsid w:val="31AC537E"/>
    <w:rsid w:val="31E3679B"/>
    <w:rsid w:val="31E732FD"/>
    <w:rsid w:val="32517576"/>
    <w:rsid w:val="32BE5C2C"/>
    <w:rsid w:val="32FB6478"/>
    <w:rsid w:val="33026E1D"/>
    <w:rsid w:val="33263B3F"/>
    <w:rsid w:val="336963EB"/>
    <w:rsid w:val="33816EEB"/>
    <w:rsid w:val="338B4ADF"/>
    <w:rsid w:val="33AD49A1"/>
    <w:rsid w:val="33D83D04"/>
    <w:rsid w:val="33EB55CD"/>
    <w:rsid w:val="33EC4C02"/>
    <w:rsid w:val="33FB67AC"/>
    <w:rsid w:val="340D2360"/>
    <w:rsid w:val="3410665D"/>
    <w:rsid w:val="34211214"/>
    <w:rsid w:val="342E63AB"/>
    <w:rsid w:val="346769BB"/>
    <w:rsid w:val="34950E68"/>
    <w:rsid w:val="34986E94"/>
    <w:rsid w:val="34AF62C9"/>
    <w:rsid w:val="34CB4388"/>
    <w:rsid w:val="34FA6E12"/>
    <w:rsid w:val="358D5588"/>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7F87D3F"/>
    <w:rsid w:val="38296C89"/>
    <w:rsid w:val="383002EB"/>
    <w:rsid w:val="383511CC"/>
    <w:rsid w:val="38586797"/>
    <w:rsid w:val="385C6928"/>
    <w:rsid w:val="38743CBC"/>
    <w:rsid w:val="38BC0149"/>
    <w:rsid w:val="38D417C5"/>
    <w:rsid w:val="38D87D1C"/>
    <w:rsid w:val="38E044AD"/>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CF3BB7"/>
    <w:rsid w:val="3CD17D17"/>
    <w:rsid w:val="3D2F666C"/>
    <w:rsid w:val="3D3C7F39"/>
    <w:rsid w:val="3D440F09"/>
    <w:rsid w:val="3D4504A0"/>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6E9E01"/>
    <w:rsid w:val="3F756B8F"/>
    <w:rsid w:val="3F95482B"/>
    <w:rsid w:val="3FAC23E3"/>
    <w:rsid w:val="4019356B"/>
    <w:rsid w:val="40592157"/>
    <w:rsid w:val="406E1CAE"/>
    <w:rsid w:val="40814F73"/>
    <w:rsid w:val="40A0133A"/>
    <w:rsid w:val="40B64990"/>
    <w:rsid w:val="40C31A53"/>
    <w:rsid w:val="40E01788"/>
    <w:rsid w:val="40FF2192"/>
    <w:rsid w:val="40FF545D"/>
    <w:rsid w:val="410067C8"/>
    <w:rsid w:val="4122312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DE09EE"/>
    <w:rsid w:val="43FB3B18"/>
    <w:rsid w:val="44002FAD"/>
    <w:rsid w:val="44887711"/>
    <w:rsid w:val="449101DD"/>
    <w:rsid w:val="44B82185"/>
    <w:rsid w:val="44DE1391"/>
    <w:rsid w:val="451B225C"/>
    <w:rsid w:val="452410C9"/>
    <w:rsid w:val="45317DFB"/>
    <w:rsid w:val="456D3CE4"/>
    <w:rsid w:val="4579042C"/>
    <w:rsid w:val="457F0571"/>
    <w:rsid w:val="45851176"/>
    <w:rsid w:val="45AF18A8"/>
    <w:rsid w:val="45C63B94"/>
    <w:rsid w:val="460E7DA5"/>
    <w:rsid w:val="463C5764"/>
    <w:rsid w:val="46422483"/>
    <w:rsid w:val="4659254A"/>
    <w:rsid w:val="465B0637"/>
    <w:rsid w:val="465E3F0D"/>
    <w:rsid w:val="466A16E6"/>
    <w:rsid w:val="46893F2B"/>
    <w:rsid w:val="46C4686E"/>
    <w:rsid w:val="47282841"/>
    <w:rsid w:val="47477F6F"/>
    <w:rsid w:val="47583623"/>
    <w:rsid w:val="477B778F"/>
    <w:rsid w:val="478203EC"/>
    <w:rsid w:val="47B025FA"/>
    <w:rsid w:val="4809698F"/>
    <w:rsid w:val="4811697D"/>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F6167F"/>
    <w:rsid w:val="4A064FA0"/>
    <w:rsid w:val="4A16615C"/>
    <w:rsid w:val="4A4424D7"/>
    <w:rsid w:val="4A792E07"/>
    <w:rsid w:val="4AB82D0F"/>
    <w:rsid w:val="4ACC2F2D"/>
    <w:rsid w:val="4AEB7664"/>
    <w:rsid w:val="4AFD7C19"/>
    <w:rsid w:val="4B0567D1"/>
    <w:rsid w:val="4B1650A7"/>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227A9"/>
    <w:rsid w:val="50E772C9"/>
    <w:rsid w:val="50E97CFC"/>
    <w:rsid w:val="50FA4028"/>
    <w:rsid w:val="510D65B7"/>
    <w:rsid w:val="511157AB"/>
    <w:rsid w:val="5142540C"/>
    <w:rsid w:val="51883119"/>
    <w:rsid w:val="518832C8"/>
    <w:rsid w:val="51A0432A"/>
    <w:rsid w:val="51A85D4C"/>
    <w:rsid w:val="51A86090"/>
    <w:rsid w:val="51B7396D"/>
    <w:rsid w:val="522E4CC3"/>
    <w:rsid w:val="5244713B"/>
    <w:rsid w:val="52615633"/>
    <w:rsid w:val="52977FD4"/>
    <w:rsid w:val="52A25790"/>
    <w:rsid w:val="52A96B6F"/>
    <w:rsid w:val="52B45975"/>
    <w:rsid w:val="52D94AA4"/>
    <w:rsid w:val="52EA3A62"/>
    <w:rsid w:val="52F50BB8"/>
    <w:rsid w:val="53097272"/>
    <w:rsid w:val="53422A0F"/>
    <w:rsid w:val="53544462"/>
    <w:rsid w:val="536E566D"/>
    <w:rsid w:val="5397158E"/>
    <w:rsid w:val="53D53D51"/>
    <w:rsid w:val="54013861"/>
    <w:rsid w:val="54487265"/>
    <w:rsid w:val="544D6070"/>
    <w:rsid w:val="54605E1E"/>
    <w:rsid w:val="546A0AE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A6554F"/>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D15549"/>
    <w:rsid w:val="59F80043"/>
    <w:rsid w:val="5A09252F"/>
    <w:rsid w:val="5A0B2778"/>
    <w:rsid w:val="5A2A7C7B"/>
    <w:rsid w:val="5A3E2560"/>
    <w:rsid w:val="5A4F343E"/>
    <w:rsid w:val="5A5D3B6E"/>
    <w:rsid w:val="5A637A76"/>
    <w:rsid w:val="5A6D33BA"/>
    <w:rsid w:val="5A792B1F"/>
    <w:rsid w:val="5A874767"/>
    <w:rsid w:val="5AAD6F28"/>
    <w:rsid w:val="5AD63A24"/>
    <w:rsid w:val="5B2E1A1D"/>
    <w:rsid w:val="5B843A1C"/>
    <w:rsid w:val="5B873E3F"/>
    <w:rsid w:val="5C02690E"/>
    <w:rsid w:val="5C196DA7"/>
    <w:rsid w:val="5C28123C"/>
    <w:rsid w:val="5C2A048C"/>
    <w:rsid w:val="5C80234E"/>
    <w:rsid w:val="5C8A680C"/>
    <w:rsid w:val="5CB17682"/>
    <w:rsid w:val="5CDA0FB4"/>
    <w:rsid w:val="5CEE378D"/>
    <w:rsid w:val="5D0C4701"/>
    <w:rsid w:val="5D0F0395"/>
    <w:rsid w:val="5D0F619A"/>
    <w:rsid w:val="5D221076"/>
    <w:rsid w:val="5D397964"/>
    <w:rsid w:val="5D5A391C"/>
    <w:rsid w:val="5D5F10C0"/>
    <w:rsid w:val="5D891B7B"/>
    <w:rsid w:val="5D9562FF"/>
    <w:rsid w:val="5DAD38EE"/>
    <w:rsid w:val="5E006862"/>
    <w:rsid w:val="5E0207B9"/>
    <w:rsid w:val="5E1834A1"/>
    <w:rsid w:val="5E261785"/>
    <w:rsid w:val="5E4A7017"/>
    <w:rsid w:val="5E552BBA"/>
    <w:rsid w:val="5E611C10"/>
    <w:rsid w:val="5E7F2C2E"/>
    <w:rsid w:val="5EFC7377"/>
    <w:rsid w:val="5F06174D"/>
    <w:rsid w:val="5F3A3602"/>
    <w:rsid w:val="5F6277C6"/>
    <w:rsid w:val="5F6D0B1D"/>
    <w:rsid w:val="5F8D0B82"/>
    <w:rsid w:val="5FACCEA0"/>
    <w:rsid w:val="5FCC5339"/>
    <w:rsid w:val="5FE34A5B"/>
    <w:rsid w:val="5FE7410A"/>
    <w:rsid w:val="5FFE1E36"/>
    <w:rsid w:val="60232584"/>
    <w:rsid w:val="607330CE"/>
    <w:rsid w:val="60753D8B"/>
    <w:rsid w:val="60825176"/>
    <w:rsid w:val="608C37ED"/>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170A1"/>
    <w:rsid w:val="62C3746A"/>
    <w:rsid w:val="62F40B65"/>
    <w:rsid w:val="62FC2CFE"/>
    <w:rsid w:val="63024505"/>
    <w:rsid w:val="63037672"/>
    <w:rsid w:val="63436839"/>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336FC"/>
    <w:rsid w:val="660B715E"/>
    <w:rsid w:val="66195831"/>
    <w:rsid w:val="662B3D98"/>
    <w:rsid w:val="662E75B1"/>
    <w:rsid w:val="66342C2E"/>
    <w:rsid w:val="663E784C"/>
    <w:rsid w:val="668B6A45"/>
    <w:rsid w:val="672C3830"/>
    <w:rsid w:val="672F3F24"/>
    <w:rsid w:val="673E055F"/>
    <w:rsid w:val="67551CE3"/>
    <w:rsid w:val="67962066"/>
    <w:rsid w:val="67A22552"/>
    <w:rsid w:val="67B22DCC"/>
    <w:rsid w:val="67BE71AA"/>
    <w:rsid w:val="67D90273"/>
    <w:rsid w:val="67DE5875"/>
    <w:rsid w:val="67E55852"/>
    <w:rsid w:val="67EB1AB4"/>
    <w:rsid w:val="67FA1285"/>
    <w:rsid w:val="68201B7F"/>
    <w:rsid w:val="68551F4F"/>
    <w:rsid w:val="687C10C9"/>
    <w:rsid w:val="68840C16"/>
    <w:rsid w:val="68876EFB"/>
    <w:rsid w:val="68884654"/>
    <w:rsid w:val="689F444F"/>
    <w:rsid w:val="68B96DBB"/>
    <w:rsid w:val="68CA2805"/>
    <w:rsid w:val="68E937A3"/>
    <w:rsid w:val="693E15D3"/>
    <w:rsid w:val="69496731"/>
    <w:rsid w:val="69627681"/>
    <w:rsid w:val="6977531D"/>
    <w:rsid w:val="69BA1155"/>
    <w:rsid w:val="69CC2BFF"/>
    <w:rsid w:val="69FD55B8"/>
    <w:rsid w:val="6A0B1C62"/>
    <w:rsid w:val="6A2406C8"/>
    <w:rsid w:val="6A732DB2"/>
    <w:rsid w:val="6ADE0BD1"/>
    <w:rsid w:val="6AE96859"/>
    <w:rsid w:val="6B147746"/>
    <w:rsid w:val="6B24787C"/>
    <w:rsid w:val="6B573233"/>
    <w:rsid w:val="6B5B6274"/>
    <w:rsid w:val="6B935D53"/>
    <w:rsid w:val="6BFF57BE"/>
    <w:rsid w:val="6C196F71"/>
    <w:rsid w:val="6C1D047C"/>
    <w:rsid w:val="6C226FCB"/>
    <w:rsid w:val="6C31226F"/>
    <w:rsid w:val="6C552F0B"/>
    <w:rsid w:val="6C8C67B7"/>
    <w:rsid w:val="6C9360FF"/>
    <w:rsid w:val="6C9D744C"/>
    <w:rsid w:val="6CC12C6C"/>
    <w:rsid w:val="6D167928"/>
    <w:rsid w:val="6D26299B"/>
    <w:rsid w:val="6D4772EC"/>
    <w:rsid w:val="6D9078AF"/>
    <w:rsid w:val="6DAA3FEF"/>
    <w:rsid w:val="6DC0172B"/>
    <w:rsid w:val="6DCB690C"/>
    <w:rsid w:val="6DD41A5B"/>
    <w:rsid w:val="6DF43C2E"/>
    <w:rsid w:val="6DF51CA3"/>
    <w:rsid w:val="6E8335BD"/>
    <w:rsid w:val="6E8E12EF"/>
    <w:rsid w:val="6E972936"/>
    <w:rsid w:val="6EBEB0B9"/>
    <w:rsid w:val="6ED250CB"/>
    <w:rsid w:val="6ED446C5"/>
    <w:rsid w:val="6F2A7D94"/>
    <w:rsid w:val="6F8331F1"/>
    <w:rsid w:val="6FAE1A09"/>
    <w:rsid w:val="6FB67F93"/>
    <w:rsid w:val="6FD75BF8"/>
    <w:rsid w:val="707723D0"/>
    <w:rsid w:val="70E31AFB"/>
    <w:rsid w:val="70F5661B"/>
    <w:rsid w:val="71184396"/>
    <w:rsid w:val="71276082"/>
    <w:rsid w:val="71360107"/>
    <w:rsid w:val="713B688E"/>
    <w:rsid w:val="71D43752"/>
    <w:rsid w:val="71F1796A"/>
    <w:rsid w:val="72120343"/>
    <w:rsid w:val="72154626"/>
    <w:rsid w:val="72262B5D"/>
    <w:rsid w:val="72283FF7"/>
    <w:rsid w:val="722E7212"/>
    <w:rsid w:val="723A0474"/>
    <w:rsid w:val="724101BC"/>
    <w:rsid w:val="725923E4"/>
    <w:rsid w:val="72864BF7"/>
    <w:rsid w:val="729023FC"/>
    <w:rsid w:val="731A5A90"/>
    <w:rsid w:val="73C0646E"/>
    <w:rsid w:val="742222F5"/>
    <w:rsid w:val="74476126"/>
    <w:rsid w:val="7468752D"/>
    <w:rsid w:val="74706664"/>
    <w:rsid w:val="747F3682"/>
    <w:rsid w:val="749C4185"/>
    <w:rsid w:val="74B135C7"/>
    <w:rsid w:val="75067759"/>
    <w:rsid w:val="751A5B91"/>
    <w:rsid w:val="752E6DCD"/>
    <w:rsid w:val="7551380D"/>
    <w:rsid w:val="75600BE5"/>
    <w:rsid w:val="7564475C"/>
    <w:rsid w:val="7583797F"/>
    <w:rsid w:val="75D20F1D"/>
    <w:rsid w:val="75DA2C18"/>
    <w:rsid w:val="75F54412"/>
    <w:rsid w:val="761D08E0"/>
    <w:rsid w:val="764B7247"/>
    <w:rsid w:val="765D347C"/>
    <w:rsid w:val="766E23EF"/>
    <w:rsid w:val="76826699"/>
    <w:rsid w:val="76A31123"/>
    <w:rsid w:val="76C87133"/>
    <w:rsid w:val="76CD08D5"/>
    <w:rsid w:val="76DB4B92"/>
    <w:rsid w:val="76FFC109"/>
    <w:rsid w:val="77052AA4"/>
    <w:rsid w:val="77136511"/>
    <w:rsid w:val="77340A39"/>
    <w:rsid w:val="77351FD0"/>
    <w:rsid w:val="77472422"/>
    <w:rsid w:val="777F31F2"/>
    <w:rsid w:val="779A2A38"/>
    <w:rsid w:val="77D1700D"/>
    <w:rsid w:val="77EC04CC"/>
    <w:rsid w:val="78064B00"/>
    <w:rsid w:val="78775729"/>
    <w:rsid w:val="78836C56"/>
    <w:rsid w:val="78A42DB0"/>
    <w:rsid w:val="78A656AB"/>
    <w:rsid w:val="78B2245C"/>
    <w:rsid w:val="78E172CC"/>
    <w:rsid w:val="78EA1D1F"/>
    <w:rsid w:val="7904172F"/>
    <w:rsid w:val="790F7E27"/>
    <w:rsid w:val="792A231A"/>
    <w:rsid w:val="79316829"/>
    <w:rsid w:val="7977EA49"/>
    <w:rsid w:val="797E66A9"/>
    <w:rsid w:val="79A93A84"/>
    <w:rsid w:val="79A97383"/>
    <w:rsid w:val="79E27E8B"/>
    <w:rsid w:val="79EB4D7F"/>
    <w:rsid w:val="79F850CE"/>
    <w:rsid w:val="79FD443C"/>
    <w:rsid w:val="79FED13D"/>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C0580"/>
    <w:rsid w:val="7BEE0103"/>
    <w:rsid w:val="7BFFCC1E"/>
    <w:rsid w:val="7BFFF802"/>
    <w:rsid w:val="7C0A0FE4"/>
    <w:rsid w:val="7C254906"/>
    <w:rsid w:val="7C564D04"/>
    <w:rsid w:val="7C590818"/>
    <w:rsid w:val="7C7C10F6"/>
    <w:rsid w:val="7C853BEA"/>
    <w:rsid w:val="7C881368"/>
    <w:rsid w:val="7CDF94D1"/>
    <w:rsid w:val="7CE27788"/>
    <w:rsid w:val="7D0C32F1"/>
    <w:rsid w:val="7D0F408D"/>
    <w:rsid w:val="7D1A12F3"/>
    <w:rsid w:val="7D36B030"/>
    <w:rsid w:val="7D491C6C"/>
    <w:rsid w:val="7D5429C0"/>
    <w:rsid w:val="7D6E6D43"/>
    <w:rsid w:val="7DB1596A"/>
    <w:rsid w:val="7DB57A34"/>
    <w:rsid w:val="7DE60973"/>
    <w:rsid w:val="7DEF0916"/>
    <w:rsid w:val="7E1E5218"/>
    <w:rsid w:val="7E9A4E1F"/>
    <w:rsid w:val="7EA7723A"/>
    <w:rsid w:val="7ECA04D2"/>
    <w:rsid w:val="7EF56FBB"/>
    <w:rsid w:val="7F0768EB"/>
    <w:rsid w:val="7F0F7BEC"/>
    <w:rsid w:val="7F143BEC"/>
    <w:rsid w:val="7F310387"/>
    <w:rsid w:val="7F352A2A"/>
    <w:rsid w:val="7F715AF2"/>
    <w:rsid w:val="7F886E69"/>
    <w:rsid w:val="7FBB51DD"/>
    <w:rsid w:val="87FE36AB"/>
    <w:rsid w:val="BAFB0BF7"/>
    <w:rsid w:val="BAFFF6D6"/>
    <w:rsid w:val="BB7FA927"/>
    <w:rsid w:val="BBFF1826"/>
    <w:rsid w:val="CF7BB829"/>
    <w:rsid w:val="DE7168F2"/>
    <w:rsid w:val="DFB6AA09"/>
    <w:rsid w:val="E8F7693D"/>
    <w:rsid w:val="F19F5883"/>
    <w:rsid w:val="F5EFB1AA"/>
    <w:rsid w:val="F5FFD31F"/>
    <w:rsid w:val="F9FF4410"/>
    <w:rsid w:val="FB6E7303"/>
    <w:rsid w:val="FBBEFEB1"/>
    <w:rsid w:val="FBFEF1E0"/>
    <w:rsid w:val="FCF31AF3"/>
    <w:rsid w:val="FDEB657F"/>
    <w:rsid w:val="FF2773E3"/>
    <w:rsid w:val="FFE53874"/>
    <w:rsid w:val="FFE66B80"/>
    <w:rsid w:val="FFED6A97"/>
    <w:rsid w:val="FFFF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rFonts w:ascii="Times New Roman" w:hAnsi="Times New Roman" w:eastAsia="宋体" w:cs="Times New Roman"/>
      <w:kern w:val="0"/>
      <w:sz w:val="24"/>
    </w:rPr>
  </w:style>
  <w:style w:type="paragraph" w:customStyle="1" w:styleId="5">
    <w:name w:val="标准正文"/>
    <w:basedOn w:val="1"/>
    <w:qFormat/>
    <w:uiPriority w:val="0"/>
    <w:pPr>
      <w:tabs>
        <w:tab w:val="left" w:pos="780"/>
      </w:tabs>
      <w:adjustRightInd/>
      <w:spacing w:line="360" w:lineRule="auto"/>
      <w:ind w:left="200" w:leftChars="200" w:firstLine="200" w:firstLineChars="200"/>
    </w:pPr>
    <w:rPr>
      <w:sz w:val="24"/>
    </w:rPr>
  </w:style>
  <w:style w:type="paragraph" w:styleId="7">
    <w:name w:val="Plain Text"/>
    <w:basedOn w:val="1"/>
    <w:next w:val="1"/>
    <w:link w:val="129"/>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9"/>
    <w:qFormat/>
    <w:uiPriority w:val="0"/>
    <w:pPr>
      <w:spacing w:line="480" w:lineRule="exact"/>
      <w:ind w:firstLine="480" w:firstLineChars="200"/>
    </w:pPr>
    <w:rPr>
      <w:rFonts w:ascii="宋体" w:hAnsi="宋体"/>
      <w:sz w:val="24"/>
    </w:rPr>
  </w:style>
  <w:style w:type="paragraph" w:styleId="20">
    <w:name w:val="caption"/>
    <w:basedOn w:val="1"/>
    <w:next w:val="1"/>
    <w:link w:val="233"/>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3"/>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1"/>
    <w:link w:val="325"/>
    <w:qFormat/>
    <w:uiPriority w:val="0"/>
    <w:pPr>
      <w:ind w:firstLine="420"/>
    </w:pPr>
    <w:rPr>
      <w:rFonts w:hAnsi="Calibri" w:cs="Times New Roman"/>
      <w:snapToGrid/>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仿宋_GB2312" w:cs="Arial"/>
      <w:sz w:val="32"/>
      <w:szCs w:val="32"/>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3"/>
    <w:next w:val="23"/>
    <w:link w:val="100"/>
    <w:qFormat/>
    <w:uiPriority w:val="0"/>
    <w:rPr>
      <w:b/>
      <w:bCs/>
    </w:rPr>
  </w:style>
  <w:style w:type="paragraph" w:styleId="65">
    <w:name w:val="Body Text First Indent 2"/>
    <w:basedOn w:val="19"/>
    <w:link w:val="125"/>
    <w:qFormat/>
    <w:uiPriority w:val="0"/>
    <w:pPr>
      <w:adjustRightInd/>
      <w:spacing w:after="120" w:line="240" w:lineRule="auto"/>
      <w:ind w:left="420" w:leftChars="200" w:firstLine="210"/>
    </w:pPr>
    <w:rPr>
      <w:sz w:val="21"/>
    </w:rPr>
  </w:style>
  <w:style w:type="table" w:styleId="67">
    <w:name w:val="Table Grid"/>
    <w:basedOn w:val="6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
    <w:qFormat/>
    <w:uiPriority w:val="9"/>
    <w:rPr>
      <w:rFonts w:ascii="Arial" w:hAnsi="Arial" w:eastAsia="黑体" w:cs="Arial"/>
      <w:b/>
      <w:bCs/>
      <w:snapToGrid w:val="0"/>
      <w:kern w:val="44"/>
      <w:sz w:val="44"/>
      <w:szCs w:val="44"/>
    </w:rPr>
  </w:style>
  <w:style w:type="paragraph" w:customStyle="1" w:styleId="84">
    <w:name w:val="表格文字"/>
    <w:basedOn w:val="85"/>
    <w:qFormat/>
    <w:uiPriority w:val="0"/>
    <w:pPr>
      <w:adjustRightInd/>
      <w:ind w:firstLine="200" w:firstLineChars="200"/>
    </w:pPr>
    <w:rPr>
      <w:rFonts w:ascii="Arial" w:hAnsi="Arial"/>
      <w:spacing w:val="-5"/>
      <w:kern w:val="0"/>
      <w:sz w:val="24"/>
      <w:szCs w:val="20"/>
    </w:rPr>
  </w:style>
  <w:style w:type="paragraph" w:customStyle="1" w:styleId="85">
    <w:name w:val="表格文字（两侧对齐）"/>
    <w:basedOn w:val="1"/>
    <w:qFormat/>
    <w:uiPriority w:val="0"/>
    <w:pPr>
      <w:snapToGrid w:val="0"/>
    </w:pPr>
    <w:rPr>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字符1"/>
    <w:link w:val="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20"/>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19"/>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3"/>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61"/>
    <w:qFormat/>
    <w:uiPriority w:val="0"/>
    <w:rPr>
      <w:rFonts w:ascii="黑体" w:hAnsi="Courier New" w:eastAsia="黑体"/>
    </w:rPr>
  </w:style>
  <w:style w:type="character" w:customStyle="1" w:styleId="306">
    <w:name w:val="正文文本 2 字符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1"/>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8"/>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3"/>
    <w:qFormat/>
    <w:uiPriority w:val="0"/>
    <w:rPr>
      <w:kern w:val="2"/>
      <w:sz w:val="21"/>
      <w:szCs w:val="24"/>
    </w:rPr>
  </w:style>
  <w:style w:type="character" w:customStyle="1" w:styleId="349">
    <w:name w:val="签名 字符"/>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3"/>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3"/>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18953</Words>
  <Characters>20371</Characters>
  <Lines>413</Lines>
  <Paragraphs>116</Paragraphs>
  <TotalTime>16</TotalTime>
  <ScaleCrop>false</ScaleCrop>
  <LinksUpToDate>false</LinksUpToDate>
  <CharactersWithSpaces>20682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Mx.</dc:creator>
  <cp:lastModifiedBy>沈勤伟</cp:lastModifiedBy>
  <cp:lastPrinted>2022-03-05T06:10:00Z</cp:lastPrinted>
  <dcterms:modified xsi:type="dcterms:W3CDTF">2025-01-21T05:47:11Z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3CBB4E6BFE284EBDBB2881693113ADCD_13</vt:lpwstr>
  </property>
  <property fmtid="{D5CDD505-2E9C-101B-9397-08002B2CF9AE}" pid="5" name="KSOTemplateDocerSaveRecord">
    <vt:lpwstr>eyJoZGlkIjoiYmU2NzMzYjdkMDc0MjVkNDkzYzJjNDkyMTkzODYzNDQiLCJ1c2VySWQiOiIyNzExNDM3MzYifQ==</vt:lpwstr>
  </property>
</Properties>
</file>