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275B5">
      <w:pPr>
        <w:spacing w:line="360" w:lineRule="auto"/>
        <w:rPr>
          <w:rFonts w:hint="default" w:ascii="宋体" w:hAnsi="宋体" w:eastAsia="宋体" w:cs="宋体"/>
          <w:b/>
          <w:color w:val="auto"/>
          <w:sz w:val="44"/>
          <w:szCs w:val="44"/>
          <w:highlight w:val="none"/>
        </w:rPr>
      </w:pPr>
    </w:p>
    <w:p w14:paraId="585CB725">
      <w:pPr>
        <w:spacing w:before="120" w:beforeLines="50" w:line="360" w:lineRule="auto"/>
        <w:jc w:val="center"/>
        <w:rPr>
          <w:rFonts w:hint="eastAsia" w:asciiTheme="majorEastAsia" w:hAnsiTheme="majorEastAsia" w:eastAsiaTheme="majorEastAsia" w:cstheme="majorEastAsia"/>
          <w:b/>
          <w:bCs/>
          <w:color w:val="auto"/>
          <w:kern w:val="0"/>
          <w:sz w:val="48"/>
          <w:szCs w:val="48"/>
          <w:highlight w:val="none"/>
          <w:lang w:eastAsia="zh-CN"/>
        </w:rPr>
      </w:pPr>
      <w:r>
        <w:rPr>
          <w:rFonts w:hint="eastAsia" w:asciiTheme="majorEastAsia" w:hAnsiTheme="majorEastAsia" w:eastAsiaTheme="majorEastAsia" w:cstheme="majorEastAsia"/>
          <w:b/>
          <w:bCs/>
          <w:color w:val="auto"/>
          <w:kern w:val="0"/>
          <w:sz w:val="48"/>
          <w:szCs w:val="48"/>
          <w:highlight w:val="none"/>
          <w:lang w:eastAsia="zh-CN"/>
        </w:rPr>
        <w:t>浦江县公路与运输事业发展中心非现场执法设备2025年运维项目(第二次）</w:t>
      </w:r>
    </w:p>
    <w:p w14:paraId="6849C92D">
      <w:pPr>
        <w:spacing w:before="120" w:beforeLines="50" w:line="360" w:lineRule="auto"/>
        <w:jc w:val="center"/>
        <w:rPr>
          <w:rFonts w:hint="eastAsia" w:ascii="宋体" w:hAnsi="宋体" w:cs="宋体"/>
          <w:b/>
          <w:bCs/>
          <w:color w:val="auto"/>
          <w:kern w:val="0"/>
          <w:sz w:val="52"/>
          <w:szCs w:val="52"/>
          <w:highlight w:val="none"/>
        </w:rPr>
      </w:pPr>
    </w:p>
    <w:p w14:paraId="28383E9D">
      <w:pPr>
        <w:pStyle w:val="28"/>
        <w:rPr>
          <w:rFonts w:hint="eastAsia"/>
          <w:color w:val="auto"/>
          <w:highlight w:val="none"/>
        </w:rPr>
      </w:pPr>
    </w:p>
    <w:p w14:paraId="27B44C19">
      <w:pPr>
        <w:spacing w:before="120" w:beforeLines="50" w:line="360" w:lineRule="auto"/>
        <w:jc w:val="center"/>
        <w:rPr>
          <w:rFonts w:hint="eastAsia" w:ascii="宋体" w:hAnsi="宋体" w:cs="宋体"/>
          <w:b/>
          <w:bCs/>
          <w:color w:val="auto"/>
          <w:kern w:val="0"/>
          <w:sz w:val="52"/>
          <w:szCs w:val="52"/>
          <w:highlight w:val="none"/>
        </w:rPr>
      </w:pPr>
    </w:p>
    <w:p w14:paraId="69D9DC5A">
      <w:pPr>
        <w:spacing w:before="120" w:beforeLines="50" w:line="360" w:lineRule="auto"/>
        <w:jc w:val="center"/>
        <w:rPr>
          <w:rFonts w:hint="eastAsia" w:ascii="宋体" w:hAnsi="宋体" w:cs="宋体"/>
          <w:b/>
          <w:bCs/>
          <w:color w:val="auto"/>
          <w:kern w:val="0"/>
          <w:sz w:val="52"/>
          <w:szCs w:val="52"/>
          <w:highlight w:val="none"/>
        </w:rPr>
      </w:pPr>
      <w:r>
        <w:rPr>
          <w:rFonts w:hint="eastAsia" w:ascii="宋体" w:hAnsi="宋体" w:cs="宋体"/>
          <w:b/>
          <w:bCs/>
          <w:color w:val="auto"/>
          <w:kern w:val="0"/>
          <w:sz w:val="52"/>
          <w:szCs w:val="52"/>
          <w:highlight w:val="none"/>
        </w:rPr>
        <w:t>公开招标采购文件</w:t>
      </w:r>
    </w:p>
    <w:p w14:paraId="5FEEC341">
      <w:pPr>
        <w:spacing w:before="120" w:beforeLines="50" w:line="360" w:lineRule="auto"/>
        <w:jc w:val="center"/>
        <w:rPr>
          <w:rFonts w:hint="eastAsia" w:ascii="宋体" w:hAnsi="宋体" w:cs="宋体"/>
          <w:b/>
          <w:bCs/>
          <w:color w:val="auto"/>
          <w:kern w:val="0"/>
          <w:sz w:val="40"/>
          <w:szCs w:val="40"/>
          <w:highlight w:val="none"/>
        </w:rPr>
      </w:pPr>
      <w:r>
        <w:rPr>
          <w:rFonts w:hint="eastAsia" w:ascii="宋体" w:hAnsi="宋体" w:cs="宋体"/>
          <w:b/>
          <w:bCs/>
          <w:color w:val="auto"/>
          <w:kern w:val="0"/>
          <w:sz w:val="40"/>
          <w:szCs w:val="40"/>
          <w:highlight w:val="none"/>
        </w:rPr>
        <w:t>（电子招投标）</w:t>
      </w:r>
    </w:p>
    <w:p w14:paraId="27D54C2B">
      <w:pPr>
        <w:snapToGrid w:val="0"/>
        <w:spacing w:before="120" w:beforeLines="50" w:line="360" w:lineRule="auto"/>
        <w:rPr>
          <w:rFonts w:hint="eastAsia" w:ascii="宋体" w:hAnsi="宋体" w:cs="宋体"/>
          <w:color w:val="auto"/>
          <w:sz w:val="52"/>
          <w:szCs w:val="52"/>
          <w:highlight w:val="none"/>
        </w:rPr>
      </w:pPr>
    </w:p>
    <w:p w14:paraId="06FF30ED">
      <w:pPr>
        <w:pStyle w:val="15"/>
        <w:tabs>
          <w:tab w:val="left" w:pos="900"/>
        </w:tabs>
        <w:snapToGrid w:val="0"/>
        <w:spacing w:beforeLines="0" w:afterLines="0" w:line="360" w:lineRule="auto"/>
        <w:jc w:val="center"/>
        <w:rPr>
          <w:rFonts w:hint="default" w:hAnsi="宋体" w:eastAsia="宋体" w:cs="宋体"/>
          <w:color w:val="auto"/>
          <w:sz w:val="30"/>
          <w:szCs w:val="30"/>
          <w:highlight w:val="none"/>
          <w:lang w:val="en-US" w:eastAsia="zh-CN"/>
        </w:rPr>
      </w:pPr>
      <w:r>
        <w:rPr>
          <w:rFonts w:hint="eastAsia" w:hAnsi="宋体" w:cs="宋体"/>
          <w:color w:val="auto"/>
          <w:sz w:val="30"/>
          <w:szCs w:val="30"/>
          <w:highlight w:val="none"/>
        </w:rPr>
        <w:t>项目编号：</w:t>
      </w:r>
      <w:r>
        <w:rPr>
          <w:rFonts w:hint="eastAsia" w:hAnsi="宋体" w:cs="宋体"/>
          <w:color w:val="auto"/>
          <w:sz w:val="28"/>
          <w:szCs w:val="28"/>
          <w:highlight w:val="none"/>
          <w:lang w:eastAsia="zh-CN"/>
        </w:rPr>
        <w:t>ZJJCGKCG2025-002A</w:t>
      </w:r>
    </w:p>
    <w:p w14:paraId="229EB9B9">
      <w:pPr>
        <w:pStyle w:val="15"/>
        <w:tabs>
          <w:tab w:val="left" w:pos="900"/>
        </w:tabs>
        <w:snapToGrid w:val="0"/>
        <w:spacing w:beforeLines="0" w:afterLines="0" w:line="360" w:lineRule="auto"/>
        <w:rPr>
          <w:rFonts w:hint="eastAsia" w:hAnsi="宋体" w:cs="宋体"/>
          <w:b/>
          <w:bCs/>
          <w:color w:val="auto"/>
          <w:sz w:val="30"/>
          <w:szCs w:val="30"/>
          <w:highlight w:val="none"/>
        </w:rPr>
      </w:pPr>
    </w:p>
    <w:p w14:paraId="6E504743">
      <w:pPr>
        <w:pStyle w:val="2"/>
        <w:spacing w:line="360" w:lineRule="auto"/>
        <w:rPr>
          <w:rFonts w:hint="eastAsia"/>
          <w:color w:val="auto"/>
          <w:highlight w:val="none"/>
        </w:rPr>
      </w:pPr>
    </w:p>
    <w:p w14:paraId="44110417">
      <w:pPr>
        <w:pStyle w:val="2"/>
        <w:spacing w:line="360" w:lineRule="auto"/>
        <w:rPr>
          <w:rFonts w:hint="eastAsia"/>
          <w:color w:val="auto"/>
          <w:highlight w:val="none"/>
        </w:rPr>
      </w:pPr>
    </w:p>
    <w:p w14:paraId="372A6F6D">
      <w:pPr>
        <w:pStyle w:val="15"/>
        <w:tabs>
          <w:tab w:val="left" w:pos="900"/>
        </w:tabs>
        <w:snapToGrid w:val="0"/>
        <w:spacing w:beforeLines="0" w:afterLines="0" w:line="360" w:lineRule="auto"/>
        <w:rPr>
          <w:rFonts w:hint="eastAsia" w:hAnsi="宋体" w:cs="宋体"/>
          <w:b/>
          <w:bCs/>
          <w:color w:val="auto"/>
          <w:sz w:val="30"/>
          <w:szCs w:val="30"/>
          <w:highlight w:val="none"/>
        </w:rPr>
      </w:pPr>
    </w:p>
    <w:p w14:paraId="7BC8C5E7">
      <w:pPr>
        <w:pStyle w:val="15"/>
        <w:tabs>
          <w:tab w:val="left" w:pos="900"/>
        </w:tabs>
        <w:snapToGrid w:val="0"/>
        <w:spacing w:beforeLines="0" w:afterLines="0" w:line="360" w:lineRule="auto"/>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采   购   人：</w:t>
      </w:r>
      <w:r>
        <w:rPr>
          <w:rFonts w:hint="eastAsia" w:hAnsi="宋体" w:cs="宋体"/>
          <w:b/>
          <w:bCs/>
          <w:color w:val="auto"/>
          <w:sz w:val="30"/>
          <w:szCs w:val="30"/>
          <w:highlight w:val="none"/>
          <w:lang w:eastAsia="zh-CN"/>
        </w:rPr>
        <w:t>浦江县公路与运输事业发展中心</w:t>
      </w:r>
    </w:p>
    <w:p w14:paraId="0697CAE5">
      <w:pPr>
        <w:pStyle w:val="15"/>
        <w:tabs>
          <w:tab w:val="left" w:pos="900"/>
        </w:tabs>
        <w:snapToGrid w:val="0"/>
        <w:spacing w:beforeLines="0" w:afterLines="0" w:line="360" w:lineRule="auto"/>
        <w:rPr>
          <w:rFonts w:hint="eastAsia" w:hAnsi="宋体" w:cs="宋体"/>
          <w:b/>
          <w:bCs/>
          <w:color w:val="auto"/>
          <w:sz w:val="30"/>
          <w:szCs w:val="30"/>
          <w:highlight w:val="none"/>
        </w:rPr>
      </w:pPr>
      <w:r>
        <w:rPr>
          <w:rFonts w:hint="eastAsia" w:hAnsi="宋体" w:cs="宋体"/>
          <w:b/>
          <w:bCs/>
          <w:color w:val="auto"/>
          <w:sz w:val="30"/>
          <w:szCs w:val="30"/>
          <w:highlight w:val="none"/>
        </w:rPr>
        <w:t>采购代理机构：浙江京承工程管理有限公司</w:t>
      </w:r>
    </w:p>
    <w:p w14:paraId="7B3E0644">
      <w:pPr>
        <w:snapToGrid w:val="0"/>
        <w:spacing w:before="120" w:beforeLines="50" w:line="360" w:lineRule="auto"/>
        <w:jc w:val="center"/>
        <w:rPr>
          <w:rFonts w:hint="eastAsia" w:ascii="宋体" w:hAnsi="宋体" w:cs="宋体"/>
          <w:color w:val="auto"/>
          <w:sz w:val="30"/>
          <w:szCs w:val="30"/>
          <w:highlight w:val="none"/>
        </w:rPr>
      </w:pPr>
      <w:r>
        <w:rPr>
          <w:rFonts w:hint="eastAsia" w:ascii="宋体" w:hAnsi="宋体" w:cs="宋体"/>
          <w:b/>
          <w:bCs/>
          <w:color w:val="auto"/>
          <w:w w:val="95"/>
          <w:sz w:val="30"/>
          <w:szCs w:val="30"/>
          <w:highlight w:val="none"/>
          <w:lang w:val="en-US" w:eastAsia="zh-CN"/>
        </w:rPr>
        <w:t>2025</w:t>
      </w:r>
      <w:r>
        <w:rPr>
          <w:rFonts w:hint="eastAsia" w:ascii="宋体" w:hAnsi="宋体" w:cs="宋体"/>
          <w:b/>
          <w:bCs/>
          <w:color w:val="auto"/>
          <w:w w:val="95"/>
          <w:sz w:val="30"/>
          <w:szCs w:val="30"/>
          <w:highlight w:val="none"/>
        </w:rPr>
        <w:t>年</w:t>
      </w:r>
      <w:r>
        <w:rPr>
          <w:rFonts w:hint="eastAsia" w:ascii="宋体" w:hAnsi="宋体" w:cs="宋体"/>
          <w:b/>
          <w:bCs/>
          <w:color w:val="auto"/>
          <w:w w:val="95"/>
          <w:sz w:val="30"/>
          <w:szCs w:val="30"/>
          <w:highlight w:val="none"/>
          <w:lang w:val="en-US" w:eastAsia="zh-CN"/>
        </w:rPr>
        <w:t>2月</w:t>
      </w:r>
    </w:p>
    <w:p w14:paraId="618F020F">
      <w:pPr>
        <w:pStyle w:val="10"/>
        <w:ind w:firstLine="0" w:firstLineChars="0"/>
        <w:rPr>
          <w:rFonts w:hint="default"/>
          <w:color w:val="auto"/>
          <w:highlight w:val="none"/>
        </w:rPr>
      </w:pPr>
    </w:p>
    <w:p w14:paraId="6820124A">
      <w:pPr>
        <w:pStyle w:val="10"/>
        <w:ind w:firstLine="0" w:firstLineChars="0"/>
        <w:rPr>
          <w:rFonts w:hint="default"/>
          <w:color w:val="auto"/>
          <w:highlight w:val="none"/>
        </w:rPr>
      </w:pPr>
    </w:p>
    <w:p w14:paraId="15BD6BBD">
      <w:pPr>
        <w:pStyle w:val="10"/>
        <w:ind w:firstLine="0" w:firstLineChars="0"/>
        <w:rPr>
          <w:rFonts w:hint="default"/>
          <w:color w:val="auto"/>
          <w:highlight w:val="none"/>
        </w:rPr>
      </w:pPr>
    </w:p>
    <w:p w14:paraId="67FA1423">
      <w:pPr>
        <w:pStyle w:val="10"/>
        <w:ind w:firstLine="0" w:firstLineChars="0"/>
        <w:rPr>
          <w:rFonts w:hint="default"/>
          <w:color w:val="auto"/>
          <w:highlight w:val="none"/>
        </w:rPr>
      </w:pPr>
    </w:p>
    <w:p w14:paraId="7BB8B887">
      <w:pPr>
        <w:jc w:val="center"/>
        <w:rPr>
          <w:rFonts w:hint="default" w:asciiTheme="minorEastAsia" w:hAnsiTheme="minorEastAsia" w:eastAsiaTheme="minorEastAsia" w:cstheme="minorEastAsia"/>
          <w:b/>
          <w:color w:val="auto"/>
          <w:sz w:val="48"/>
          <w:szCs w:val="48"/>
          <w:highlight w:val="none"/>
        </w:rPr>
      </w:pPr>
      <w:r>
        <w:rPr>
          <w:rFonts w:asciiTheme="minorEastAsia" w:hAnsiTheme="minorEastAsia" w:eastAsiaTheme="minorEastAsia" w:cstheme="minorEastAsia"/>
          <w:b/>
          <w:color w:val="auto"/>
          <w:sz w:val="48"/>
          <w:szCs w:val="48"/>
          <w:highlight w:val="none"/>
        </w:rPr>
        <w:t>目  录</w:t>
      </w:r>
    </w:p>
    <w:p w14:paraId="4D9417F9">
      <w:pPr>
        <w:adjustRightInd w:val="0"/>
        <w:spacing w:line="360" w:lineRule="auto"/>
        <w:rPr>
          <w:rFonts w:hint="default" w:asciiTheme="minorEastAsia" w:hAnsiTheme="minorEastAsia" w:eastAsiaTheme="minorEastAsia" w:cstheme="minorEastAsia"/>
          <w:color w:val="auto"/>
          <w:sz w:val="32"/>
          <w:szCs w:val="32"/>
          <w:highlight w:val="none"/>
        </w:rPr>
      </w:pPr>
    </w:p>
    <w:p w14:paraId="358FCD99">
      <w:pPr>
        <w:adjustRightInd w:val="0"/>
        <w:spacing w:line="360" w:lineRule="auto"/>
        <w:rPr>
          <w:rFonts w:hint="default" w:asciiTheme="minorEastAsia" w:hAnsiTheme="minorEastAsia" w:eastAsiaTheme="minorEastAsia" w:cstheme="minorEastAsia"/>
          <w:color w:val="auto"/>
          <w:sz w:val="32"/>
          <w:szCs w:val="32"/>
          <w:highlight w:val="none"/>
        </w:rPr>
      </w:pPr>
    </w:p>
    <w:p w14:paraId="2C2665DE">
      <w:pPr>
        <w:adjustRightInd w:val="0"/>
        <w:spacing w:line="360" w:lineRule="auto"/>
        <w:ind w:firstLine="1280" w:firstLineChars="400"/>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第一部分      公开招标公告</w:t>
      </w:r>
    </w:p>
    <w:p w14:paraId="6C69FD2B">
      <w:pPr>
        <w:adjustRightInd w:val="0"/>
        <w:spacing w:line="360" w:lineRule="auto"/>
        <w:ind w:firstLine="1280" w:firstLineChars="400"/>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第二部分      投标人须知</w:t>
      </w:r>
    </w:p>
    <w:p w14:paraId="1B59ADCD">
      <w:pPr>
        <w:adjustRightInd w:val="0"/>
        <w:spacing w:line="360" w:lineRule="auto"/>
        <w:ind w:firstLine="1280" w:firstLineChars="400"/>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第三部分      采购需求</w:t>
      </w:r>
    </w:p>
    <w:p w14:paraId="75BF8DB1">
      <w:pPr>
        <w:adjustRightInd w:val="0"/>
        <w:spacing w:line="360" w:lineRule="auto"/>
        <w:ind w:firstLine="1280" w:firstLineChars="400"/>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第四部分      评标办法</w:t>
      </w:r>
    </w:p>
    <w:p w14:paraId="60490B3D">
      <w:pPr>
        <w:adjustRightInd w:val="0"/>
        <w:spacing w:line="360" w:lineRule="auto"/>
        <w:ind w:firstLine="1280" w:firstLineChars="400"/>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第五部分      拟签订的合同文本</w:t>
      </w:r>
    </w:p>
    <w:p w14:paraId="6791E5C0">
      <w:pPr>
        <w:adjustRightInd w:val="0"/>
        <w:spacing w:line="360" w:lineRule="auto"/>
        <w:ind w:firstLine="1280" w:firstLineChars="400"/>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第六部分      应提交的有关格式范例</w:t>
      </w:r>
    </w:p>
    <w:p w14:paraId="26E9B2F6">
      <w:pPr>
        <w:adjustRightInd w:val="0"/>
        <w:spacing w:line="360" w:lineRule="auto"/>
        <w:ind w:firstLine="1280" w:firstLineChars="400"/>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第七部分      其他</w:t>
      </w:r>
    </w:p>
    <w:p w14:paraId="7418AE82">
      <w:pPr>
        <w:adjustRightInd w:val="0"/>
        <w:spacing w:line="360" w:lineRule="auto"/>
        <w:ind w:firstLine="1280" w:firstLineChars="400"/>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 xml:space="preserve">  </w:t>
      </w:r>
    </w:p>
    <w:p w14:paraId="21F77A3D">
      <w:pPr>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br w:type="textWrapping"/>
      </w:r>
    </w:p>
    <w:p w14:paraId="44F108C3">
      <w:pPr>
        <w:pStyle w:val="28"/>
        <w:ind w:firstLine="640"/>
        <w:rPr>
          <w:rFonts w:hint="default" w:asciiTheme="minorEastAsia" w:hAnsiTheme="minorEastAsia" w:eastAsiaTheme="minorEastAsia" w:cstheme="minorEastAsia"/>
          <w:color w:val="auto"/>
          <w:sz w:val="32"/>
          <w:szCs w:val="32"/>
          <w:highlight w:val="none"/>
        </w:rPr>
      </w:pPr>
    </w:p>
    <w:p w14:paraId="77B7ADE2">
      <w:pPr>
        <w:rPr>
          <w:rFonts w:hint="default" w:asciiTheme="minorEastAsia" w:hAnsiTheme="minorEastAsia" w:eastAsiaTheme="minorEastAsia" w:cstheme="minorEastAsia"/>
          <w:color w:val="auto"/>
          <w:sz w:val="32"/>
          <w:szCs w:val="32"/>
          <w:highlight w:val="none"/>
        </w:rPr>
      </w:pPr>
    </w:p>
    <w:p w14:paraId="04B9ABB3">
      <w:pPr>
        <w:pStyle w:val="28"/>
        <w:ind w:firstLine="640"/>
        <w:rPr>
          <w:rFonts w:hint="default" w:asciiTheme="minorEastAsia" w:hAnsiTheme="minorEastAsia" w:eastAsiaTheme="minorEastAsia" w:cstheme="minorEastAsia"/>
          <w:color w:val="auto"/>
          <w:sz w:val="32"/>
          <w:szCs w:val="32"/>
          <w:highlight w:val="none"/>
        </w:rPr>
      </w:pPr>
    </w:p>
    <w:p w14:paraId="5E517EF4">
      <w:pPr>
        <w:rPr>
          <w:rFonts w:hint="default" w:asciiTheme="minorEastAsia" w:hAnsiTheme="minorEastAsia" w:eastAsiaTheme="minorEastAsia" w:cstheme="minorEastAsia"/>
          <w:color w:val="auto"/>
          <w:sz w:val="32"/>
          <w:szCs w:val="32"/>
          <w:highlight w:val="none"/>
        </w:rPr>
      </w:pPr>
    </w:p>
    <w:p w14:paraId="7146961D">
      <w:pPr>
        <w:pStyle w:val="28"/>
        <w:ind w:firstLine="640"/>
        <w:rPr>
          <w:rFonts w:hint="default" w:asciiTheme="minorEastAsia" w:hAnsiTheme="minorEastAsia" w:eastAsiaTheme="minorEastAsia" w:cstheme="minorEastAsia"/>
          <w:color w:val="auto"/>
          <w:sz w:val="32"/>
          <w:szCs w:val="32"/>
          <w:highlight w:val="none"/>
        </w:rPr>
      </w:pPr>
    </w:p>
    <w:p w14:paraId="097DC9F0">
      <w:pPr>
        <w:rPr>
          <w:rFonts w:asciiTheme="minorEastAsia" w:hAnsiTheme="minorEastAsia" w:eastAsiaTheme="minorEastAsia" w:cstheme="minorEastAsia"/>
          <w:b/>
          <w:color w:val="auto"/>
          <w:sz w:val="36"/>
          <w:highlight w:val="none"/>
        </w:rPr>
      </w:pPr>
      <w:r>
        <w:rPr>
          <w:rFonts w:asciiTheme="minorEastAsia" w:hAnsiTheme="minorEastAsia" w:eastAsiaTheme="minorEastAsia" w:cstheme="minorEastAsia"/>
          <w:b/>
          <w:color w:val="auto"/>
          <w:sz w:val="36"/>
          <w:highlight w:val="none"/>
        </w:rPr>
        <w:br w:type="page"/>
      </w:r>
    </w:p>
    <w:p w14:paraId="3CF8D226">
      <w:pPr>
        <w:spacing w:line="360" w:lineRule="auto"/>
        <w:jc w:val="center"/>
        <w:outlineLvl w:val="0"/>
        <w:rPr>
          <w:rFonts w:hint="default" w:asciiTheme="minorEastAsia" w:hAnsiTheme="minorEastAsia" w:eastAsiaTheme="minorEastAsia" w:cstheme="minorEastAsia"/>
          <w:b/>
          <w:color w:val="auto"/>
          <w:sz w:val="36"/>
          <w:highlight w:val="none"/>
        </w:rPr>
      </w:pPr>
      <w:r>
        <w:rPr>
          <w:rFonts w:asciiTheme="minorEastAsia" w:hAnsiTheme="minorEastAsia" w:eastAsiaTheme="minorEastAsia" w:cstheme="minorEastAsia"/>
          <w:b/>
          <w:color w:val="auto"/>
          <w:sz w:val="36"/>
          <w:highlight w:val="none"/>
        </w:rPr>
        <w:t>第一部分 公开招标公告</w:t>
      </w:r>
    </w:p>
    <w:tbl>
      <w:tblPr>
        <w:tblStyle w:val="30"/>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63E2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48FF41EE">
            <w:pPr>
              <w:widowControl/>
              <w:spacing w:line="360" w:lineRule="auto"/>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项目概况：</w:t>
            </w:r>
          </w:p>
          <w:p w14:paraId="346D56BD">
            <w:pPr>
              <w:widowControl/>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u w:val="single"/>
                <w:lang w:eastAsia="zh-CN"/>
              </w:rPr>
              <w:t>浦江县公路与运输事业发展中心非现场执法设备2025年运维项目(第二次））</w:t>
            </w:r>
            <w:r>
              <w:rPr>
                <w:rFonts w:asciiTheme="minorEastAsia" w:hAnsiTheme="minorEastAsia" w:eastAsiaTheme="minorEastAsia" w:cstheme="minorEastAsia"/>
                <w:color w:val="auto"/>
                <w:kern w:val="0"/>
                <w:sz w:val="24"/>
                <w:szCs w:val="24"/>
                <w:highlight w:val="none"/>
              </w:rPr>
              <w:t>招标项目的潜在投标人应在</w:t>
            </w:r>
            <w:r>
              <w:rPr>
                <w:rFonts w:asciiTheme="minorEastAsia" w:hAnsiTheme="minorEastAsia" w:eastAsiaTheme="minorEastAsia" w:cstheme="minorEastAsia"/>
                <w:color w:val="auto"/>
                <w:kern w:val="0"/>
                <w:sz w:val="24"/>
                <w:szCs w:val="24"/>
                <w:highlight w:val="none"/>
                <w:u w:val="single"/>
              </w:rPr>
              <w:t>浙江政府采购网（https://zfcg.czt.zj.gov.cn/）</w:t>
            </w:r>
            <w:r>
              <w:rPr>
                <w:rFonts w:asciiTheme="minorEastAsia" w:hAnsiTheme="minorEastAsia" w:eastAsiaTheme="minorEastAsia" w:cstheme="minorEastAsia"/>
                <w:color w:val="auto"/>
                <w:kern w:val="0"/>
                <w:sz w:val="24"/>
                <w:szCs w:val="24"/>
                <w:highlight w:val="none"/>
              </w:rPr>
              <w:t>获取（下载）招标文件，并于</w:t>
            </w:r>
            <w:r>
              <w:rPr>
                <w:rFonts w:hint="eastAsia" w:asciiTheme="minorEastAsia" w:hAnsiTheme="minorEastAsia" w:eastAsiaTheme="minorEastAsia" w:cstheme="minorEastAsia"/>
                <w:color w:val="auto"/>
                <w:kern w:val="0"/>
                <w:sz w:val="24"/>
                <w:szCs w:val="24"/>
                <w:highlight w:val="none"/>
                <w:u w:val="single"/>
                <w:lang w:eastAsia="zh-CN"/>
              </w:rPr>
              <w:t>2025年3月13日</w:t>
            </w:r>
            <w:r>
              <w:rPr>
                <w:rFonts w:hint="eastAsia" w:asciiTheme="minorEastAsia" w:hAnsiTheme="minorEastAsia" w:eastAsiaTheme="minorEastAsia" w:cstheme="minorEastAsia"/>
                <w:color w:val="auto"/>
                <w:kern w:val="0"/>
                <w:sz w:val="24"/>
                <w:szCs w:val="24"/>
                <w:highlight w:val="none"/>
                <w:u w:val="single"/>
                <w:lang w:val="en-US" w:eastAsia="zh-CN"/>
              </w:rPr>
              <w:t xml:space="preserve">14 </w:t>
            </w:r>
            <w:r>
              <w:rPr>
                <w:rFonts w:hint="eastAsia" w:asciiTheme="minorEastAsia" w:hAnsiTheme="minorEastAsia" w:eastAsiaTheme="minorEastAsia" w:cstheme="minorEastAsia"/>
                <w:color w:val="auto"/>
                <w:kern w:val="0"/>
                <w:sz w:val="24"/>
                <w:szCs w:val="24"/>
                <w:highlight w:val="none"/>
                <w:u w:val="single"/>
                <w:lang w:eastAsia="zh-CN"/>
              </w:rPr>
              <w:t>时</w:t>
            </w:r>
            <w:r>
              <w:rPr>
                <w:rFonts w:hint="eastAsia" w:asciiTheme="minorEastAsia" w:hAnsiTheme="minorEastAsia" w:eastAsiaTheme="minorEastAsia" w:cstheme="minorEastAsia"/>
                <w:color w:val="auto"/>
                <w:kern w:val="0"/>
                <w:sz w:val="24"/>
                <w:szCs w:val="24"/>
                <w:highlight w:val="none"/>
                <w:u w:val="single"/>
                <w:lang w:val="en-US" w:eastAsia="zh-CN"/>
              </w:rPr>
              <w:t>30</w:t>
            </w:r>
            <w:r>
              <w:rPr>
                <w:rFonts w:hint="eastAsia" w:asciiTheme="minorEastAsia" w:hAnsiTheme="minorEastAsia" w:eastAsiaTheme="minorEastAsia" w:cstheme="minorEastAsia"/>
                <w:color w:val="auto"/>
                <w:kern w:val="0"/>
                <w:sz w:val="24"/>
                <w:szCs w:val="24"/>
                <w:highlight w:val="none"/>
                <w:u w:val="single"/>
                <w:lang w:eastAsia="zh-CN"/>
              </w:rPr>
              <w:t>分</w:t>
            </w:r>
            <w:r>
              <w:rPr>
                <w:rFonts w:asciiTheme="minorEastAsia" w:hAnsiTheme="minorEastAsia" w:eastAsiaTheme="minorEastAsia" w:cstheme="minorEastAsia"/>
                <w:bCs/>
                <w:color w:val="auto"/>
                <w:kern w:val="0"/>
                <w:sz w:val="24"/>
                <w:szCs w:val="24"/>
                <w:highlight w:val="none"/>
                <w:u w:val="single"/>
              </w:rPr>
              <w:t>（</w:t>
            </w:r>
            <w:r>
              <w:rPr>
                <w:rFonts w:asciiTheme="minorEastAsia" w:hAnsiTheme="minorEastAsia" w:eastAsiaTheme="minorEastAsia" w:cstheme="minorEastAsia"/>
                <w:bCs/>
                <w:color w:val="auto"/>
                <w:kern w:val="0"/>
                <w:sz w:val="24"/>
                <w:szCs w:val="24"/>
                <w:highlight w:val="none"/>
              </w:rPr>
              <w:t>北京时间）前递交（上传）投标文件</w:t>
            </w:r>
            <w:r>
              <w:rPr>
                <w:rFonts w:asciiTheme="minorEastAsia" w:hAnsiTheme="minorEastAsia" w:eastAsiaTheme="minorEastAsia" w:cstheme="minorEastAsia"/>
                <w:color w:val="auto"/>
                <w:kern w:val="0"/>
                <w:sz w:val="24"/>
                <w:szCs w:val="24"/>
                <w:highlight w:val="none"/>
              </w:rPr>
              <w:t>。</w:t>
            </w:r>
          </w:p>
        </w:tc>
      </w:tr>
    </w:tbl>
    <w:p w14:paraId="349004D6">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 xml:space="preserve">一、项目基本情况                                            </w:t>
      </w:r>
    </w:p>
    <w:p w14:paraId="730461DA">
      <w:pPr>
        <w:pStyle w:val="15"/>
        <w:tabs>
          <w:tab w:val="left" w:pos="900"/>
        </w:tabs>
        <w:snapToGrid w:val="0"/>
        <w:spacing w:beforeLines="0" w:afterLines="0" w:line="360" w:lineRule="auto"/>
        <w:ind w:firstLine="482" w:firstLineChars="200"/>
        <w:jc w:val="both"/>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项目编号：</w:t>
      </w:r>
      <w:r>
        <w:rPr>
          <w:rFonts w:hint="eastAsia" w:asciiTheme="minorEastAsia" w:hAnsiTheme="minorEastAsia" w:eastAsiaTheme="minorEastAsia" w:cstheme="minorEastAsia"/>
          <w:b/>
          <w:color w:val="auto"/>
          <w:sz w:val="24"/>
          <w:szCs w:val="24"/>
          <w:highlight w:val="none"/>
          <w:lang w:eastAsia="zh-CN"/>
        </w:rPr>
        <w:t>ZJJCGKCG2025-002A</w:t>
      </w:r>
      <w:r>
        <w:rPr>
          <w:rFonts w:asciiTheme="minorEastAsia" w:hAnsiTheme="minorEastAsia" w:eastAsiaTheme="minorEastAsia" w:cstheme="minorEastAsia"/>
          <w:b/>
          <w:color w:val="auto"/>
          <w:sz w:val="24"/>
          <w:szCs w:val="24"/>
          <w:highlight w:val="none"/>
        </w:rPr>
        <w:t xml:space="preserve"> </w:t>
      </w:r>
    </w:p>
    <w:p w14:paraId="0BA29BF4">
      <w:pPr>
        <w:adjustRightIn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asciiTheme="minorEastAsia" w:hAnsiTheme="minorEastAsia" w:eastAsiaTheme="minorEastAsia" w:cstheme="minorEastAsia"/>
          <w:b/>
          <w:color w:val="auto"/>
          <w:sz w:val="24"/>
          <w:szCs w:val="24"/>
          <w:highlight w:val="none"/>
        </w:rPr>
        <w:t>项目名称：</w:t>
      </w:r>
      <w:bookmarkStart w:id="53" w:name="_GoBack"/>
      <w:r>
        <w:rPr>
          <w:rFonts w:hint="eastAsia" w:asciiTheme="minorEastAsia" w:hAnsiTheme="minorEastAsia" w:eastAsiaTheme="minorEastAsia" w:cstheme="minorEastAsia"/>
          <w:b/>
          <w:color w:val="auto"/>
          <w:sz w:val="24"/>
          <w:szCs w:val="24"/>
          <w:highlight w:val="none"/>
          <w:lang w:eastAsia="zh-CN"/>
        </w:rPr>
        <w:t>浦江县公路与运输事业发展中心非现场执法设备2025年运维项目(第二次）</w:t>
      </w:r>
      <w:bookmarkEnd w:id="53"/>
      <w:r>
        <w:rPr>
          <w:rFonts w:hint="eastAsia" w:asciiTheme="minorEastAsia" w:hAnsiTheme="minorEastAsia" w:eastAsiaTheme="minorEastAsia" w:cstheme="minorEastAsia"/>
          <w:b/>
          <w:color w:val="auto"/>
          <w:sz w:val="24"/>
          <w:szCs w:val="24"/>
          <w:highlight w:val="none"/>
          <w:lang w:val="en-US" w:eastAsia="zh-CN"/>
        </w:rPr>
        <w:t xml:space="preserve"> </w:t>
      </w:r>
    </w:p>
    <w:p w14:paraId="370CFCA0">
      <w:pPr>
        <w:adjustRightInd w:val="0"/>
        <w:spacing w:line="360" w:lineRule="auto"/>
        <w:ind w:firstLine="482" w:firstLineChars="200"/>
        <w:rPr>
          <w:rFonts w:hint="eastAsia" w:asciiTheme="minorEastAsia" w:hAnsiTheme="minorEastAsia" w:eastAsiaTheme="minorEastAsia" w:cstheme="minorEastAsia"/>
          <w:color w:val="auto"/>
          <w:sz w:val="24"/>
          <w:szCs w:val="24"/>
          <w:highlight w:val="none"/>
          <w:lang w:eastAsia="zh-CN"/>
        </w:rPr>
      </w:pPr>
      <w:r>
        <w:rPr>
          <w:rFonts w:asciiTheme="minorEastAsia" w:hAnsiTheme="minorEastAsia" w:eastAsiaTheme="minorEastAsia" w:cstheme="minorEastAsia"/>
          <w:b/>
          <w:color w:val="auto"/>
          <w:sz w:val="24"/>
          <w:szCs w:val="24"/>
          <w:highlight w:val="none"/>
        </w:rPr>
        <w:t>预算金额（元）：</w:t>
      </w:r>
      <w:r>
        <w:rPr>
          <w:rFonts w:hint="eastAsia" w:asciiTheme="minorEastAsia" w:hAnsiTheme="minorEastAsia" w:eastAsiaTheme="minorEastAsia" w:cstheme="minorEastAsia"/>
          <w:b/>
          <w:color w:val="auto"/>
          <w:sz w:val="24"/>
          <w:szCs w:val="24"/>
          <w:highlight w:val="none"/>
          <w:lang w:val="en-US" w:eastAsia="zh-CN"/>
        </w:rPr>
        <w:t>477700</w:t>
      </w:r>
    </w:p>
    <w:p w14:paraId="1067A732">
      <w:pPr>
        <w:adjustRightInd w:val="0"/>
        <w:spacing w:line="360" w:lineRule="auto"/>
        <w:ind w:firstLine="482" w:firstLineChars="200"/>
        <w:rPr>
          <w:rFonts w:hint="default" w:asciiTheme="minorEastAsia" w:hAnsiTheme="minorEastAsia" w:eastAsiaTheme="minorEastAsia" w:cstheme="minorEastAsia"/>
          <w:b/>
          <w:color w:val="auto"/>
          <w:sz w:val="24"/>
          <w:szCs w:val="24"/>
          <w:highlight w:val="none"/>
          <w:lang w:val="en-US" w:eastAsia="zh-CN"/>
        </w:rPr>
      </w:pPr>
      <w:r>
        <w:rPr>
          <w:rFonts w:asciiTheme="minorEastAsia" w:hAnsiTheme="minorEastAsia" w:eastAsiaTheme="minorEastAsia" w:cstheme="minorEastAsia"/>
          <w:b/>
          <w:color w:val="auto"/>
          <w:sz w:val="24"/>
          <w:szCs w:val="24"/>
          <w:highlight w:val="none"/>
        </w:rPr>
        <w:t>最高限价（元）：</w:t>
      </w:r>
      <w:r>
        <w:rPr>
          <w:rFonts w:hint="eastAsia" w:asciiTheme="minorEastAsia" w:hAnsiTheme="minorEastAsia" w:eastAsiaTheme="minorEastAsia" w:cstheme="minorEastAsia"/>
          <w:b/>
          <w:color w:val="auto"/>
          <w:sz w:val="24"/>
          <w:szCs w:val="24"/>
          <w:highlight w:val="none"/>
          <w:lang w:val="en-US" w:eastAsia="zh-CN"/>
        </w:rPr>
        <w:t>477700</w:t>
      </w:r>
    </w:p>
    <w:p w14:paraId="4541F124">
      <w:pPr>
        <w:widowControl/>
        <w:adjustRightInd w:val="0"/>
        <w:snapToGrid w:val="0"/>
        <w:spacing w:line="360" w:lineRule="auto"/>
        <w:ind w:firstLine="482" w:firstLineChars="200"/>
        <w:rPr>
          <w:rFonts w:hint="default" w:asciiTheme="minorEastAsia" w:hAnsiTheme="minorEastAsia" w:eastAsiaTheme="minorEastAsia" w:cstheme="minorEastAsia"/>
          <w:b/>
          <w:snapToGrid w:val="0"/>
          <w:color w:val="auto"/>
          <w:kern w:val="28"/>
          <w:sz w:val="24"/>
          <w:highlight w:val="none"/>
        </w:rPr>
      </w:pPr>
      <w:r>
        <w:rPr>
          <w:rFonts w:asciiTheme="minorEastAsia" w:hAnsiTheme="minorEastAsia" w:eastAsiaTheme="minorEastAsia" w:cstheme="minorEastAsia"/>
          <w:b/>
          <w:snapToGrid w:val="0"/>
          <w:color w:val="auto"/>
          <w:kern w:val="28"/>
          <w:sz w:val="24"/>
          <w:highlight w:val="none"/>
        </w:rPr>
        <w:t>采购需求：</w:t>
      </w:r>
    </w:p>
    <w:p w14:paraId="06AC627D">
      <w:pPr>
        <w:adjustRightIn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asciiTheme="minorEastAsia" w:hAnsiTheme="minorEastAsia" w:eastAsiaTheme="minorEastAsia" w:cstheme="minorEastAsia"/>
          <w:b/>
          <w:color w:val="auto"/>
          <w:sz w:val="24"/>
          <w:szCs w:val="24"/>
          <w:highlight w:val="none"/>
        </w:rPr>
        <w:t>标项名称：</w:t>
      </w:r>
      <w:r>
        <w:rPr>
          <w:rFonts w:hint="eastAsia" w:asciiTheme="minorEastAsia" w:hAnsiTheme="minorEastAsia" w:eastAsiaTheme="minorEastAsia" w:cstheme="minorEastAsia"/>
          <w:b/>
          <w:color w:val="auto"/>
          <w:sz w:val="24"/>
          <w:szCs w:val="24"/>
          <w:highlight w:val="none"/>
          <w:lang w:eastAsia="zh-CN"/>
        </w:rPr>
        <w:t>浦江县公路与运输事业发展中心非现场执法设备2025年运维项目(第二次）</w:t>
      </w:r>
      <w:r>
        <w:rPr>
          <w:rFonts w:hint="eastAsia" w:asciiTheme="minorEastAsia" w:hAnsiTheme="minorEastAsia" w:eastAsiaTheme="minorEastAsia" w:cstheme="minorEastAsia"/>
          <w:b/>
          <w:color w:val="auto"/>
          <w:sz w:val="24"/>
          <w:szCs w:val="24"/>
          <w:highlight w:val="none"/>
          <w:lang w:val="en-US" w:eastAsia="zh-CN"/>
        </w:rPr>
        <w:t xml:space="preserve"> </w:t>
      </w:r>
    </w:p>
    <w:p w14:paraId="24676295">
      <w:pPr>
        <w:adjustRightInd w:val="0"/>
        <w:spacing w:line="360" w:lineRule="auto"/>
        <w:ind w:firstLine="482"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数量：1       </w:t>
      </w:r>
    </w:p>
    <w:p w14:paraId="24573D65">
      <w:pPr>
        <w:adjustRightInd w:val="0"/>
        <w:spacing w:line="360" w:lineRule="auto"/>
        <w:ind w:firstLine="482" w:firstLineChars="200"/>
        <w:rPr>
          <w:rFonts w:hint="eastAsia" w:asciiTheme="minorEastAsia" w:hAnsiTheme="minorEastAsia" w:eastAsiaTheme="minorEastAsia" w:cstheme="minorEastAsia"/>
          <w:b/>
          <w:color w:val="auto"/>
          <w:sz w:val="24"/>
          <w:szCs w:val="24"/>
          <w:highlight w:val="none"/>
          <w:lang w:eastAsia="zh-CN"/>
        </w:rPr>
      </w:pPr>
      <w:r>
        <w:rPr>
          <w:rFonts w:asciiTheme="minorEastAsia" w:hAnsiTheme="minorEastAsia" w:eastAsiaTheme="minorEastAsia" w:cstheme="minorEastAsia"/>
          <w:b/>
          <w:color w:val="auto"/>
          <w:sz w:val="24"/>
          <w:szCs w:val="24"/>
          <w:highlight w:val="none"/>
        </w:rPr>
        <w:t>预算金额（元）：</w:t>
      </w:r>
      <w:r>
        <w:rPr>
          <w:rFonts w:hint="eastAsia" w:asciiTheme="minorEastAsia" w:hAnsiTheme="minorEastAsia" w:eastAsiaTheme="minorEastAsia" w:cstheme="minorEastAsia"/>
          <w:b/>
          <w:color w:val="auto"/>
          <w:sz w:val="24"/>
          <w:szCs w:val="24"/>
          <w:highlight w:val="none"/>
          <w:lang w:val="en-US" w:eastAsia="zh-CN"/>
        </w:rPr>
        <w:t>477700</w:t>
      </w:r>
    </w:p>
    <w:p w14:paraId="0478A127">
      <w:pPr>
        <w:adjustRightInd w:val="0"/>
        <w:spacing w:line="360" w:lineRule="auto"/>
        <w:ind w:firstLine="482"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简要规格描述或项目基本概况介绍、用途：详见采购文件</w:t>
      </w:r>
    </w:p>
    <w:p w14:paraId="5FBE1E11">
      <w:pPr>
        <w:widowControl/>
        <w:adjustRightInd w:val="0"/>
        <w:snapToGrid w:val="0"/>
        <w:spacing w:line="360" w:lineRule="auto"/>
        <w:ind w:firstLine="482" w:firstLineChars="200"/>
        <w:rPr>
          <w:rFonts w:hint="default" w:asciiTheme="minorEastAsia" w:hAnsiTheme="minorEastAsia" w:eastAsiaTheme="minorEastAsia" w:cstheme="minorEastAsia"/>
          <w:b/>
          <w:snapToGrid w:val="0"/>
          <w:color w:val="auto"/>
          <w:kern w:val="28"/>
          <w:sz w:val="24"/>
          <w:highlight w:val="none"/>
        </w:rPr>
      </w:pPr>
      <w:r>
        <w:rPr>
          <w:rFonts w:asciiTheme="minorEastAsia" w:hAnsiTheme="minorEastAsia" w:eastAsiaTheme="minorEastAsia" w:cstheme="minorEastAsia"/>
          <w:b/>
          <w:snapToGrid w:val="0"/>
          <w:color w:val="auto"/>
          <w:kern w:val="28"/>
          <w:sz w:val="24"/>
          <w:highlight w:val="none"/>
        </w:rPr>
        <w:t>备注：</w:t>
      </w:r>
    </w:p>
    <w:p w14:paraId="0FC7CE38">
      <w:pPr>
        <w:adjustRightInd w:val="0"/>
        <w:spacing w:line="360" w:lineRule="auto"/>
        <w:ind w:firstLine="482"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b/>
          <w:color w:val="auto"/>
          <w:sz w:val="24"/>
          <w:highlight w:val="none"/>
        </w:rPr>
        <w:t>合同履约期限：</w:t>
      </w:r>
      <w:r>
        <w:rPr>
          <w:rFonts w:asciiTheme="minorEastAsia" w:hAnsiTheme="minorEastAsia" w:eastAsiaTheme="minorEastAsia" w:cstheme="minorEastAsia"/>
          <w:b/>
          <w:color w:val="auto"/>
          <w:sz w:val="24"/>
          <w:szCs w:val="24"/>
          <w:highlight w:val="none"/>
        </w:rPr>
        <w:t>详见采购文件</w:t>
      </w:r>
      <w:r>
        <w:rPr>
          <w:rFonts w:hint="eastAsia" w:asciiTheme="minorEastAsia" w:hAnsiTheme="minorEastAsia" w:eastAsiaTheme="minorEastAsia" w:cstheme="minorEastAsia"/>
          <w:b/>
          <w:color w:val="auto"/>
          <w:sz w:val="24"/>
          <w:highlight w:val="none"/>
          <w:lang w:val="en-US" w:eastAsia="zh-CN"/>
        </w:rPr>
        <w:t xml:space="preserve"> </w:t>
      </w:r>
      <w:r>
        <w:rPr>
          <w:rFonts w:asciiTheme="minorEastAsia" w:hAnsiTheme="minorEastAsia" w:eastAsiaTheme="minorEastAsia" w:cstheme="minorEastAsia"/>
          <w:b/>
          <w:color w:val="auto"/>
          <w:sz w:val="24"/>
          <w:highlight w:val="none"/>
        </w:rPr>
        <w:t>。</w:t>
      </w:r>
    </w:p>
    <w:p w14:paraId="3F4FB8F6">
      <w:pPr>
        <w:keepNext w:val="0"/>
        <w:keepLines w:val="0"/>
        <w:widowControl w:val="0"/>
        <w:suppressLineNumbers w:val="0"/>
        <w:spacing w:before="0" w:beforeAutospacing="0" w:after="0" w:afterAutospacing="0" w:line="324" w:lineRule="auto"/>
        <w:ind w:left="0" w:right="0" w:firstLine="482" w:firstLineChars="200"/>
        <w:jc w:val="both"/>
        <w:rPr>
          <w:rFonts w:hint="eastAsia" w:asciiTheme="minorEastAsia" w:hAnsiTheme="minorEastAsia" w:eastAsiaTheme="minorEastAsia" w:cstheme="minorEastAsia"/>
          <w:b/>
          <w:snapToGrid w:val="0"/>
          <w:color w:val="auto"/>
          <w:kern w:val="28"/>
          <w:sz w:val="24"/>
          <w:highlight w:val="none"/>
        </w:rPr>
      </w:pPr>
      <w:r>
        <w:rPr>
          <w:rFonts w:hint="eastAsia" w:asciiTheme="minorEastAsia" w:hAnsiTheme="minorEastAsia" w:eastAsiaTheme="minorEastAsia" w:cstheme="minorEastAsia"/>
          <w:b/>
          <w:snapToGrid w:val="0"/>
          <w:color w:val="auto"/>
          <w:kern w:val="28"/>
          <w:sz w:val="24"/>
          <w:highlight w:val="none"/>
        </w:rPr>
        <w:t>本项目接受联合体投标：</w:t>
      </w:r>
      <w:sdt>
        <w:sdtPr>
          <w:rPr>
            <w:rFonts w:hint="eastAsia" w:asciiTheme="minorEastAsia" w:hAnsiTheme="minorEastAsia" w:eastAsiaTheme="minorEastAsia" w:cstheme="minorEastAsia"/>
            <w:snapToGrid w:val="0"/>
            <w:color w:val="auto"/>
            <w:kern w:val="0"/>
            <w:sz w:val="24"/>
            <w:highlight w:val="none"/>
          </w:rPr>
          <w:id w:val="2035453831"/>
        </w:sdtPr>
        <w:sdtEndPr>
          <w:rPr>
            <w:rFonts w:hint="eastAsia" w:asciiTheme="minorEastAsia" w:hAnsiTheme="minorEastAsia" w:eastAsiaTheme="minorEastAsia" w:cstheme="minorEastAsia"/>
            <w:snapToGrid w:val="0"/>
            <w:color w:val="auto"/>
            <w:kern w:val="0"/>
            <w:sz w:val="24"/>
            <w:highlight w:val="none"/>
          </w:rPr>
        </w:sdtEndPr>
        <w:sdtContent>
          <w:r>
            <w:rPr>
              <w:rFonts w:hint="eastAsia" w:asciiTheme="minorEastAsia" w:hAnsiTheme="minorEastAsia" w:eastAsiaTheme="minorEastAsia" w:cstheme="minorEastAsia"/>
              <w:snapToGrid w:val="0"/>
              <w:color w:val="auto"/>
              <w:kern w:val="0"/>
              <w:sz w:val="24"/>
              <w:highlight w:val="none"/>
            </w:rPr>
            <w:sym w:font="Wingdings" w:char="00A8"/>
          </w:r>
        </w:sdtContent>
      </w:sdt>
      <w:r>
        <w:rPr>
          <w:rFonts w:hint="eastAsia" w:asciiTheme="minorEastAsia" w:hAnsiTheme="minorEastAsia" w:eastAsiaTheme="minorEastAsia" w:cstheme="minorEastAsia"/>
          <w:b/>
          <w:snapToGrid w:val="0"/>
          <w:color w:val="auto"/>
          <w:kern w:val="28"/>
          <w:sz w:val="24"/>
          <w:highlight w:val="none"/>
        </w:rPr>
        <w:t>是，</w:t>
      </w:r>
      <w:r>
        <w:rPr>
          <w:rFonts w:hint="default" w:ascii="Wingdings" w:hAnsi="Wingdings" w:eastAsiaTheme="minorEastAsia" w:cstheme="minorEastAsia"/>
          <w:b w:val="0"/>
          <w:bCs w:val="0"/>
          <w:snapToGrid w:val="0"/>
          <w:color w:val="auto"/>
          <w:kern w:val="0"/>
          <w:sz w:val="24"/>
          <w:highlight w:val="none"/>
        </w:rPr>
        <w:sym w:font="Wingdings" w:char="00FE"/>
      </w:r>
      <w:r>
        <w:rPr>
          <w:rFonts w:hint="eastAsia" w:asciiTheme="minorEastAsia" w:hAnsiTheme="minorEastAsia" w:eastAsiaTheme="minorEastAsia" w:cstheme="minorEastAsia"/>
          <w:b/>
          <w:bCs/>
          <w:snapToGrid w:val="0"/>
          <w:color w:val="auto"/>
          <w:kern w:val="28"/>
          <w:sz w:val="24"/>
          <w:highlight w:val="none"/>
        </w:rPr>
        <w:t>否</w:t>
      </w:r>
      <w:r>
        <w:rPr>
          <w:rFonts w:hint="eastAsia" w:asciiTheme="minorEastAsia" w:hAnsiTheme="minorEastAsia" w:eastAsiaTheme="minorEastAsia" w:cstheme="minorEastAsia"/>
          <w:b/>
          <w:bCs/>
          <w:snapToGrid w:val="0"/>
          <w:color w:val="auto"/>
          <w:kern w:val="0"/>
          <w:sz w:val="24"/>
          <w:highlight w:val="none"/>
        </w:rPr>
        <w:t>。</w:t>
      </w:r>
    </w:p>
    <w:p w14:paraId="2A943010">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二、申请人的资格要求：</w:t>
      </w:r>
    </w:p>
    <w:p w14:paraId="785C2A5A">
      <w:pPr>
        <w:adjustRightInd w:val="0"/>
        <w:spacing w:line="360" w:lineRule="auto"/>
        <w:ind w:firstLine="480"/>
        <w:rPr>
          <w:rFonts w:hint="default" w:asciiTheme="minorEastAsia" w:hAnsiTheme="minorEastAsia" w:eastAsiaTheme="minorEastAsia" w:cstheme="minorEastAsia"/>
          <w:snapToGrid w:val="0"/>
          <w:color w:val="auto"/>
          <w:kern w:val="28"/>
          <w:sz w:val="24"/>
          <w:highlight w:val="none"/>
        </w:rPr>
      </w:pPr>
      <w:r>
        <w:rPr>
          <w:rFonts w:asciiTheme="minorEastAsia" w:hAnsiTheme="minorEastAsia" w:eastAsiaTheme="minorEastAsia" w:cstheme="minorEastAsia"/>
          <w:snapToGrid w:val="0"/>
          <w:color w:val="auto"/>
          <w:kern w:val="28"/>
          <w:sz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3FE77896">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snapToGrid w:val="0"/>
          <w:color w:val="auto"/>
          <w:kern w:val="28"/>
          <w:sz w:val="24"/>
          <w:highlight w:val="none"/>
        </w:rPr>
        <w:t xml:space="preserve">    2.落实政府采购政策需满足的资格要求：</w:t>
      </w:r>
      <w:r>
        <w:rPr>
          <w:rFonts w:hint="eastAsia" w:asciiTheme="minorEastAsia" w:hAnsiTheme="minorEastAsia" w:eastAsiaTheme="minorEastAsia" w:cstheme="minorEastAsia"/>
          <w:snapToGrid w:val="0"/>
          <w:color w:val="auto"/>
          <w:kern w:val="28"/>
          <w:sz w:val="24"/>
          <w:highlight w:val="none"/>
          <w:lang w:val="en-US" w:eastAsia="zh-CN"/>
        </w:rPr>
        <w:t>本项目专门面向中小企业采购，服务全部由符合政策要求的中小企业承接</w:t>
      </w:r>
      <w:r>
        <w:rPr>
          <w:rFonts w:asciiTheme="minorEastAsia" w:hAnsiTheme="minorEastAsia" w:eastAsiaTheme="minorEastAsia" w:cstheme="minorEastAsia"/>
          <w:color w:val="auto"/>
          <w:sz w:val="24"/>
          <w:szCs w:val="24"/>
          <w:highlight w:val="none"/>
        </w:rPr>
        <w:t>；</w:t>
      </w:r>
    </w:p>
    <w:p w14:paraId="232AC110">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3.本项目的特定资格要求：无；</w:t>
      </w:r>
    </w:p>
    <w:p w14:paraId="4BA18478">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C077371">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 xml:space="preserve">三、获取招标文件 </w:t>
      </w:r>
    </w:p>
    <w:p w14:paraId="0CF4CFCC">
      <w:pPr>
        <w:adjustRightInd w:val="0"/>
        <w:spacing w:line="360" w:lineRule="auto"/>
        <w:ind w:firstLine="482"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
          <w:color w:val="auto"/>
          <w:sz w:val="24"/>
          <w:szCs w:val="24"/>
          <w:highlight w:val="none"/>
        </w:rPr>
        <w:t>时间：</w:t>
      </w:r>
      <w:r>
        <w:rPr>
          <w:rFonts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u w:val="single"/>
          <w:lang w:eastAsia="zh-CN"/>
        </w:rPr>
        <w:t>2025年3月13日</w:t>
      </w:r>
      <w:r>
        <w:rPr>
          <w:rFonts w:asciiTheme="minorEastAsia" w:hAnsiTheme="minorEastAsia" w:eastAsiaTheme="minorEastAsia" w:cstheme="minorEastAsia"/>
          <w:color w:val="auto"/>
          <w:sz w:val="24"/>
          <w:szCs w:val="24"/>
          <w:highlight w:val="none"/>
        </w:rPr>
        <w:t>，</w:t>
      </w:r>
      <w:r>
        <w:rPr>
          <w:rFonts w:asciiTheme="minorEastAsia" w:hAnsiTheme="minorEastAsia" w:eastAsiaTheme="minorEastAsia" w:cstheme="minorEastAsia"/>
          <w:color w:val="auto"/>
          <w:sz w:val="24"/>
          <w:szCs w:val="24"/>
          <w:highlight w:val="none"/>
        </w:rPr>
        <w:t>每天上午00:00至12:00 ，下午12:00至23:59（北京时间，线上获取法定节假日均可，线下获取文件法定节假日除外）</w:t>
      </w:r>
    </w:p>
    <w:p w14:paraId="1A2A5F32">
      <w:pPr>
        <w:adjustRightInd w:val="0"/>
        <w:spacing w:line="360" w:lineRule="auto"/>
        <w:ind w:firstLine="482"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
          <w:color w:val="auto"/>
          <w:sz w:val="24"/>
          <w:szCs w:val="24"/>
          <w:highlight w:val="none"/>
        </w:rPr>
        <w:t>地点（网址）：</w:t>
      </w:r>
      <w:r>
        <w:rPr>
          <w:rFonts w:asciiTheme="minorEastAsia" w:hAnsiTheme="minorEastAsia" w:eastAsiaTheme="minorEastAsia" w:cstheme="minorEastAsia"/>
          <w:color w:val="auto"/>
          <w:sz w:val="24"/>
          <w:szCs w:val="24"/>
          <w:highlight w:val="none"/>
        </w:rPr>
        <w:t>浙江政府采购网（https://zfcg.czt.zj.gov.cn/）</w:t>
      </w:r>
    </w:p>
    <w:p w14:paraId="3E75FA7B">
      <w:pPr>
        <w:adjustRightInd w:val="0"/>
        <w:spacing w:line="360" w:lineRule="auto"/>
        <w:ind w:firstLine="482"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
          <w:color w:val="auto"/>
          <w:sz w:val="24"/>
          <w:szCs w:val="24"/>
          <w:highlight w:val="none"/>
        </w:rPr>
        <w:t>方式：</w:t>
      </w:r>
      <w:r>
        <w:rPr>
          <w:rFonts w:asciiTheme="minorEastAsia" w:hAnsiTheme="minorEastAsia" w:eastAsiaTheme="minorEastAsia" w:cstheme="minorEastAsia"/>
          <w:color w:val="auto"/>
          <w:sz w:val="24"/>
          <w:szCs w:val="24"/>
          <w:highlight w:val="none"/>
        </w:rPr>
        <w:t>供应商登录政采云平台https://www.zcygov.cn/在线申请获取采购文件（进入“项目采购”应用，在获取采购文件菜单中选择项目，申请获取采购文件）</w:t>
      </w:r>
    </w:p>
    <w:p w14:paraId="014E9418">
      <w:pPr>
        <w:adjustRightInd w:val="0"/>
        <w:spacing w:line="360" w:lineRule="auto"/>
        <w:ind w:firstLine="482"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
          <w:color w:val="auto"/>
          <w:sz w:val="24"/>
          <w:szCs w:val="24"/>
          <w:highlight w:val="none"/>
        </w:rPr>
        <w:t>售价（元）：</w:t>
      </w:r>
      <w:r>
        <w:rPr>
          <w:rFonts w:asciiTheme="minorEastAsia" w:hAnsiTheme="minorEastAsia" w:eastAsiaTheme="minorEastAsia" w:cstheme="minorEastAsia"/>
          <w:color w:val="auto"/>
          <w:sz w:val="24"/>
          <w:szCs w:val="24"/>
          <w:highlight w:val="none"/>
        </w:rPr>
        <w:t xml:space="preserve">0 </w:t>
      </w:r>
      <w:r>
        <w:rPr>
          <w:rFonts w:asciiTheme="minorEastAsia" w:hAnsiTheme="minorEastAsia" w:eastAsiaTheme="minorEastAsia" w:cstheme="minorEastAsia"/>
          <w:color w:val="auto"/>
          <w:sz w:val="24"/>
          <w:szCs w:val="24"/>
          <w:highlight w:val="none"/>
        </w:rPr>
        <w:tab/>
      </w:r>
    </w:p>
    <w:p w14:paraId="3E4BCE9C">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四、提交投标文件截止时间、开标时间和地点</w:t>
      </w:r>
    </w:p>
    <w:p w14:paraId="5EDBB939">
      <w:pPr>
        <w:adjustRightInd w:val="0"/>
        <w:spacing w:line="360" w:lineRule="auto"/>
        <w:ind w:firstLine="482"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
          <w:color w:val="auto"/>
          <w:sz w:val="24"/>
          <w:szCs w:val="24"/>
          <w:highlight w:val="none"/>
        </w:rPr>
        <w:t>提交投标文件截止时间：</w:t>
      </w:r>
      <w:r>
        <w:rPr>
          <w:rFonts w:hint="eastAsia" w:asciiTheme="minorEastAsia" w:hAnsiTheme="minorEastAsia" w:eastAsiaTheme="minorEastAsia" w:cstheme="minorEastAsia"/>
          <w:color w:val="auto"/>
          <w:sz w:val="24"/>
          <w:szCs w:val="24"/>
          <w:highlight w:val="none"/>
          <w:u w:val="single"/>
          <w:lang w:eastAsia="zh-CN"/>
        </w:rPr>
        <w:t>2025年3月13日</w:t>
      </w:r>
      <w:r>
        <w:rPr>
          <w:rFonts w:hint="eastAsia" w:asciiTheme="minorEastAsia" w:hAnsiTheme="minorEastAsia" w:eastAsiaTheme="minorEastAsia" w:cstheme="minorEastAsia"/>
          <w:color w:val="auto"/>
          <w:sz w:val="24"/>
          <w:szCs w:val="24"/>
          <w:highlight w:val="none"/>
          <w:u w:val="single"/>
          <w:lang w:val="en-US" w:eastAsia="zh-CN"/>
        </w:rPr>
        <w:t>14</w:t>
      </w:r>
      <w:r>
        <w:rPr>
          <w:rFonts w:hint="eastAsia" w:asciiTheme="minorEastAsia" w:hAnsiTheme="minorEastAsia" w:eastAsiaTheme="minorEastAsia" w:cstheme="minorEastAsia"/>
          <w:color w:val="auto"/>
          <w:sz w:val="24"/>
          <w:szCs w:val="24"/>
          <w:highlight w:val="none"/>
          <w:u w:val="single"/>
          <w:lang w:eastAsia="zh-CN"/>
        </w:rPr>
        <w:t>时</w:t>
      </w:r>
      <w:r>
        <w:rPr>
          <w:rFonts w:hint="eastAsia" w:asciiTheme="minorEastAsia" w:hAnsiTheme="minorEastAsia" w:eastAsiaTheme="minorEastAsia" w:cstheme="minorEastAsia"/>
          <w:color w:val="auto"/>
          <w:sz w:val="24"/>
          <w:szCs w:val="24"/>
          <w:highlight w:val="none"/>
          <w:u w:val="single"/>
          <w:lang w:val="en-US" w:eastAsia="zh-CN"/>
        </w:rPr>
        <w:t>30</w:t>
      </w:r>
      <w:r>
        <w:rPr>
          <w:rFonts w:hint="eastAsia" w:asciiTheme="minorEastAsia" w:hAnsiTheme="minorEastAsia" w:eastAsiaTheme="minorEastAsia" w:cstheme="minorEastAsia"/>
          <w:color w:val="auto"/>
          <w:sz w:val="24"/>
          <w:szCs w:val="24"/>
          <w:highlight w:val="none"/>
          <w:u w:val="single"/>
          <w:lang w:eastAsia="zh-CN"/>
        </w:rPr>
        <w:t>分</w:t>
      </w:r>
      <w:r>
        <w:rPr>
          <w:rFonts w:asciiTheme="minorEastAsia" w:hAnsiTheme="minorEastAsia" w:eastAsiaTheme="minorEastAsia" w:cstheme="minorEastAsia"/>
          <w:color w:val="auto"/>
          <w:sz w:val="24"/>
          <w:szCs w:val="24"/>
          <w:highlight w:val="none"/>
        </w:rPr>
        <w:t>（北京时间）</w:t>
      </w:r>
    </w:p>
    <w:p w14:paraId="7B87F560">
      <w:pPr>
        <w:adjustRightInd w:val="0"/>
        <w:spacing w:line="360" w:lineRule="auto"/>
        <w:ind w:firstLine="482"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
          <w:color w:val="auto"/>
          <w:sz w:val="24"/>
          <w:szCs w:val="24"/>
          <w:highlight w:val="none"/>
        </w:rPr>
        <w:t>投标地点（网址）：</w:t>
      </w:r>
      <w:r>
        <w:rPr>
          <w:rFonts w:asciiTheme="minorEastAsia" w:hAnsiTheme="minorEastAsia" w:eastAsiaTheme="minorEastAsia" w:cstheme="minorEastAsia"/>
          <w:color w:val="auto"/>
          <w:sz w:val="24"/>
          <w:szCs w:val="24"/>
          <w:highlight w:val="none"/>
        </w:rPr>
        <w:t>在政府采购云平台http://login.zcygov.cn/login上自行加密上传电子投标文件，逾期上传或未按要求上传的投标文件将予以拒收</w:t>
      </w:r>
    </w:p>
    <w:p w14:paraId="1D4CA13D">
      <w:pPr>
        <w:adjustRightInd w:val="0"/>
        <w:spacing w:line="360" w:lineRule="auto"/>
        <w:ind w:firstLine="482" w:firstLineChars="200"/>
        <w:rPr>
          <w:rFonts w:hint="default" w:eastAsiaTheme="minorEastAsia"/>
          <w:color w:val="auto"/>
          <w:highlight w:val="none"/>
        </w:rPr>
      </w:pPr>
      <w:r>
        <w:rPr>
          <w:rFonts w:asciiTheme="minorEastAsia" w:hAnsiTheme="minorEastAsia" w:eastAsiaTheme="minorEastAsia" w:cstheme="minorEastAsia"/>
          <w:b/>
          <w:color w:val="auto"/>
          <w:sz w:val="24"/>
          <w:szCs w:val="24"/>
          <w:highlight w:val="none"/>
        </w:rPr>
        <w:t>开标时间</w:t>
      </w:r>
      <w:r>
        <w:rPr>
          <w:rFonts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eastAsia="zh-CN"/>
        </w:rPr>
        <w:t>2025年3月13日14时30分</w:t>
      </w:r>
      <w:r>
        <w:rPr>
          <w:rFonts w:asciiTheme="minorEastAsia" w:hAnsiTheme="minorEastAsia" w:eastAsiaTheme="minorEastAsia" w:cstheme="minorEastAsia"/>
          <w:color w:val="auto"/>
          <w:sz w:val="24"/>
          <w:szCs w:val="24"/>
          <w:highlight w:val="none"/>
        </w:rPr>
        <w:t>（</w:t>
      </w:r>
      <w:r>
        <w:rPr>
          <w:rFonts w:asciiTheme="minorEastAsia" w:hAnsiTheme="minorEastAsia" w:eastAsiaTheme="minorEastAsia" w:cstheme="minorEastAsia"/>
          <w:color w:val="auto"/>
          <w:sz w:val="24"/>
          <w:szCs w:val="24"/>
          <w:highlight w:val="none"/>
        </w:rPr>
        <w:t>北京时间）</w:t>
      </w:r>
    </w:p>
    <w:p w14:paraId="35C00FB1">
      <w:pPr>
        <w:adjustRightInd w:val="0"/>
        <w:spacing w:line="360" w:lineRule="auto"/>
        <w:ind w:firstLine="482"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
          <w:color w:val="auto"/>
          <w:sz w:val="24"/>
          <w:szCs w:val="24"/>
          <w:highlight w:val="none"/>
        </w:rPr>
        <w:t>开标地点（网址）：</w:t>
      </w:r>
      <w:r>
        <w:rPr>
          <w:rFonts w:asciiTheme="minorEastAsia" w:hAnsiTheme="minorEastAsia" w:eastAsiaTheme="minorEastAsia" w:cstheme="minorEastAsia"/>
          <w:bCs/>
          <w:color w:val="auto"/>
          <w:sz w:val="24"/>
          <w:szCs w:val="24"/>
          <w:highlight w:val="none"/>
        </w:rPr>
        <w:t>浦江县人民东路83号金华市公共资源交易中心浦江县分中心</w:t>
      </w:r>
    </w:p>
    <w:p w14:paraId="2B810336">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五、采购意向公开链接</w:t>
      </w:r>
    </w:p>
    <w:p w14:paraId="4F2E74F0">
      <w:pPr>
        <w:adjustRightIn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https://zfcg.czt.zj.gov.cn/site/detail?parentId=600007&amp;articleId=VbB7bxxE12ab9HxJCoyGkA%3D%3D</w:t>
      </w:r>
    </w:p>
    <w:p w14:paraId="69D9F10D">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六、公告期限</w:t>
      </w:r>
    </w:p>
    <w:p w14:paraId="4D9D688D">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自本公告发布之日起5个工作日。</w:t>
      </w:r>
    </w:p>
    <w:p w14:paraId="69BFFC99">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七、其他补充事宜</w:t>
      </w:r>
    </w:p>
    <w:p w14:paraId="0893509D">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1.《浙江省财政厅关于进一步发挥政府采购政策功能全力推动经济稳进提质的通知》 （浙财采监</w:t>
      </w:r>
      <w:r>
        <w:rPr>
          <w:rFonts w:hint="eastAsia" w:asciiTheme="minorEastAsia" w:hAnsiTheme="minorEastAsia" w:eastAsiaTheme="minorEastAsia" w:cstheme="minorEastAsia"/>
          <w:color w:val="auto"/>
          <w:sz w:val="24"/>
          <w:szCs w:val="24"/>
          <w:highlight w:val="none"/>
          <w:lang w:eastAsia="zh-CN"/>
        </w:rPr>
        <w:t>〔2022〕3号</w:t>
      </w:r>
      <w:r>
        <w:rPr>
          <w:rFonts w:asciiTheme="minorEastAsia" w:hAnsiTheme="minorEastAsia" w:eastAsiaTheme="minorEastAsia" w:cstheme="minorEastAsia"/>
          <w:color w:val="auto"/>
          <w:sz w:val="24"/>
          <w:szCs w:val="24"/>
          <w:highlight w:val="none"/>
        </w:rPr>
        <w:t>）、《浙江省财政厅关于进一步促进政府采购公平竞争打造最优营商环境的通知》（浙财采监</w:t>
      </w:r>
      <w:r>
        <w:rPr>
          <w:rFonts w:hint="eastAsia" w:asciiTheme="minorEastAsia" w:hAnsiTheme="minorEastAsia" w:eastAsiaTheme="minorEastAsia" w:cstheme="minorEastAsia"/>
          <w:color w:val="auto"/>
          <w:sz w:val="24"/>
          <w:szCs w:val="24"/>
          <w:highlight w:val="none"/>
          <w:lang w:eastAsia="zh-CN"/>
        </w:rPr>
        <w:t>〔2021〕22号</w:t>
      </w:r>
      <w:r>
        <w:rPr>
          <w:rFonts w:asciiTheme="minorEastAsia" w:hAnsiTheme="minorEastAsia" w:eastAsiaTheme="minorEastAsia" w:cstheme="minorEastAsia"/>
          <w:color w:val="auto"/>
          <w:sz w:val="24"/>
          <w:szCs w:val="24"/>
          <w:highlight w:val="none"/>
        </w:rPr>
        <w:t>））、《浙江省财政厅关于进一步加大政府采购支持中小企业力度助力扎实稳住经济的通知》 （浙财采监</w:t>
      </w:r>
      <w:r>
        <w:rPr>
          <w:rFonts w:hint="eastAsia" w:asciiTheme="minorEastAsia" w:hAnsiTheme="minorEastAsia" w:eastAsiaTheme="minorEastAsia" w:cstheme="minorEastAsia"/>
          <w:color w:val="auto"/>
          <w:sz w:val="24"/>
          <w:szCs w:val="24"/>
          <w:highlight w:val="none"/>
          <w:lang w:eastAsia="zh-CN"/>
        </w:rPr>
        <w:t>〔2022〕8号</w:t>
      </w:r>
      <w:r>
        <w:rPr>
          <w:rFonts w:asciiTheme="minorEastAsia" w:hAnsiTheme="minorEastAsia" w:eastAsiaTheme="minorEastAsia" w:cstheme="minorEastAsia"/>
          <w:color w:val="auto"/>
          <w:sz w:val="24"/>
          <w:szCs w:val="24"/>
          <w:highlight w:val="none"/>
        </w:rPr>
        <w:t>）已分别于2022年1月29日、2022年2月1日和2022年7月1日开始实施，此前有关规定与上述文件内容不一致的，按上述文件要求执行。</w:t>
      </w:r>
    </w:p>
    <w:p w14:paraId="17FBA320">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2.根据《浙江省财政厅关于进一步促进政府采购公平竞争打造最优营商环境的通知》（浙财采监</w:t>
      </w:r>
      <w:r>
        <w:rPr>
          <w:rFonts w:hint="eastAsia" w:asciiTheme="minorEastAsia" w:hAnsiTheme="minorEastAsia" w:eastAsiaTheme="minorEastAsia" w:cstheme="minorEastAsia"/>
          <w:color w:val="auto"/>
          <w:sz w:val="24"/>
          <w:szCs w:val="24"/>
          <w:highlight w:val="none"/>
          <w:lang w:eastAsia="zh-CN"/>
        </w:rPr>
        <w:t>〔2021〕22号</w:t>
      </w:r>
      <w:r>
        <w:rPr>
          <w:rFonts w:asciiTheme="minorEastAsia" w:hAnsiTheme="minorEastAsia" w:eastAsiaTheme="minorEastAsia" w:cstheme="minorEastAsia"/>
          <w:color w:val="auto"/>
          <w:sz w:val="24"/>
          <w:szCs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Theme="minorEastAsia" w:hAnsiTheme="minorEastAsia" w:eastAsiaTheme="minorEastAsia" w:cstheme="minorEastAsia"/>
          <w:color w:val="auto"/>
          <w:sz w:val="24"/>
          <w:szCs w:val="24"/>
          <w:highlight w:val="none"/>
          <w:lang w:val="en-US" w:eastAsia="zh-CN"/>
        </w:rPr>
        <w:t>政务</w:t>
      </w:r>
      <w:r>
        <w:rPr>
          <w:rFonts w:asciiTheme="minorEastAsia" w:hAnsiTheme="minorEastAsia" w:eastAsiaTheme="minorEastAsia" w:cstheme="minorEastAsia"/>
          <w:color w:val="auto"/>
          <w:sz w:val="24"/>
          <w:szCs w:val="24"/>
          <w:highlight w:val="none"/>
        </w:rPr>
        <w:t>服务网-政府采购投诉处理-在线办理。</w:t>
      </w:r>
    </w:p>
    <w:p w14:paraId="1BE97EA0">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965818">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4.其他事项：（1）需要落实的政府采购政策：包括节约资源、保护环境、支持创新、促进中小企业发展等。详见招标文件的“第二部分 投标人须知”。（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来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至招标文件规定的地点：</w:t>
      </w:r>
      <w:r>
        <w:rPr>
          <w:rFonts w:hint="eastAsia" w:asciiTheme="minorEastAsia" w:hAnsiTheme="minorEastAsia" w:eastAsiaTheme="minorEastAsia" w:cstheme="minorEastAsia"/>
          <w:b/>
          <w:bCs/>
          <w:color w:val="auto"/>
          <w:sz w:val="24"/>
          <w:highlight w:val="none"/>
          <w:u w:val="single"/>
        </w:rPr>
        <w:t>浙江省浦江县华欣花园02铺，浙江京承工程管理有限公司，</w:t>
      </w:r>
      <w:r>
        <w:rPr>
          <w:rFonts w:hint="eastAsia" w:asciiTheme="minorEastAsia" w:hAnsiTheme="minorEastAsia" w:eastAsiaTheme="minorEastAsia" w:cstheme="minorEastAsia"/>
          <w:b/>
          <w:color w:val="auto"/>
          <w:kern w:val="2"/>
          <w:sz w:val="24"/>
          <w:highlight w:val="none"/>
          <w:u w:val="single"/>
        </w:rPr>
        <w:t>陈</w:t>
      </w:r>
      <w:r>
        <w:rPr>
          <w:rFonts w:hint="eastAsia" w:asciiTheme="minorEastAsia" w:hAnsiTheme="minorEastAsia" w:eastAsiaTheme="minorEastAsia" w:cstheme="minorEastAsia"/>
          <w:b/>
          <w:color w:val="auto"/>
          <w:kern w:val="2"/>
          <w:sz w:val="24"/>
          <w:highlight w:val="none"/>
          <w:u w:val="single"/>
          <w:lang w:val="en-US" w:eastAsia="zh-CN"/>
        </w:rPr>
        <w:t>女士</w:t>
      </w:r>
      <w:r>
        <w:rPr>
          <w:rFonts w:hint="eastAsia" w:asciiTheme="minorEastAsia" w:hAnsiTheme="minorEastAsia" w:eastAsiaTheme="minorEastAsia" w:cstheme="minorEastAsia"/>
          <w:b/>
          <w:bCs/>
          <w:color w:val="auto"/>
          <w:sz w:val="24"/>
          <w:highlight w:val="none"/>
          <w:u w:val="single"/>
        </w:rPr>
        <w:t>收，联系方式：13566959006，邮编：322200</w:t>
      </w:r>
      <w:r>
        <w:rPr>
          <w:rFonts w:hint="eastAsia" w:asciiTheme="minorEastAsia" w:hAnsiTheme="minorEastAsia" w:eastAsiaTheme="minorEastAsia" w:cstheme="minorEastAsia"/>
          <w:color w:val="auto"/>
          <w:sz w:val="24"/>
          <w:szCs w:val="24"/>
          <w:highlight w:val="none"/>
          <w:u w:val="single"/>
        </w:rPr>
        <w:t>，</w:t>
      </w:r>
      <w:r>
        <w:rPr>
          <w:rFonts w:asciiTheme="minorEastAsia" w:hAnsiTheme="minorEastAsia" w:eastAsiaTheme="minorEastAsia" w:cstheme="minorEastAsia"/>
          <w:color w:val="auto"/>
          <w:sz w:val="24"/>
          <w:szCs w:val="24"/>
          <w:highlight w:val="none"/>
        </w:rPr>
        <w:t>逾期送达、未按指定地点送达或未密封将予以拒收。电子备份投标文件的提交不作强制要求。电子备份投标文件的制作、存储、密封详见“第二部分 投标人须知”；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22CCA053">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供应商可以通过浙江政府采购网首页的“浙江政采贷”模块进入申请，还可以通过政府采购云平台首页的“金融服务”模块进入申请。</w:t>
      </w:r>
    </w:p>
    <w:p w14:paraId="342F9D48">
      <w:pPr>
        <w:adjustRightInd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3936610A">
      <w:pPr>
        <w:adjustRightInd w:val="0"/>
        <w:spacing w:line="360" w:lineRule="auto"/>
        <w:ind w:firstLine="480" w:firstLineChars="200"/>
        <w:rPr>
          <w:rFonts w:hint="default"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szCs w:val="24"/>
          <w:highlight w:val="none"/>
          <w:lang w:val="en-US" w:eastAsia="zh-CN"/>
        </w:rPr>
        <w:t>7</w:t>
      </w:r>
      <w:r>
        <w:rPr>
          <w:rFonts w:asciiTheme="minorEastAsia" w:hAnsiTheme="minorEastAsia" w:eastAsiaTheme="minorEastAsia" w:cstheme="minorEastAsia"/>
          <w:bCs/>
          <w:color w:val="auto"/>
          <w:sz w:val="24"/>
          <w:szCs w:val="24"/>
          <w:highlight w:val="none"/>
        </w:rPr>
        <w:t>.</w:t>
      </w:r>
      <w:r>
        <w:rPr>
          <w:rFonts w:asciiTheme="minorEastAsia" w:hAnsiTheme="minorEastAsia" w:eastAsiaTheme="minorEastAsia" w:cstheme="minorEastAsia"/>
          <w:bCs/>
          <w:color w:val="auto"/>
          <w:sz w:val="24"/>
          <w:highlight w:val="none"/>
        </w:rPr>
        <w:t>政</w:t>
      </w:r>
      <w:r>
        <w:rPr>
          <w:rFonts w:asciiTheme="minorEastAsia" w:hAnsiTheme="minorEastAsia" w:eastAsiaTheme="minorEastAsia" w:cstheme="minorEastAsia"/>
          <w:color w:val="auto"/>
          <w:sz w:val="24"/>
          <w:highlight w:val="none"/>
        </w:rPr>
        <w:t>府采购金融服务提示：为扩大政府采购金融服务面，除政采云网上金融服务合作银行外，金华市范围增加线下合作银行两家，具体信息如下：</w:t>
      </w:r>
    </w:p>
    <w:p w14:paraId="21E39A32">
      <w:pPr>
        <w:adjustRightInd w:val="0"/>
        <w:spacing w:line="360" w:lineRule="auto"/>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金华银行文创支行      联系人：姜峰；联系电话：13905792828、0579-82479020</w:t>
      </w:r>
    </w:p>
    <w:p w14:paraId="73A97322">
      <w:pPr>
        <w:adjustRightInd w:val="0"/>
        <w:spacing w:line="360" w:lineRule="auto"/>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浙商银行金华浦江支行  联系人：严艳萍；联系电话：13566950560、0579-88088337</w:t>
      </w:r>
    </w:p>
    <w:p w14:paraId="2E0830E2">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八、凡对本次招标提出询问、质疑、投诉，请按以下方式联系</w:t>
      </w:r>
    </w:p>
    <w:p w14:paraId="671AA6EE">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1.采购人信息</w:t>
      </w:r>
    </w:p>
    <w:p w14:paraId="127C4167">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名    称：</w:t>
      </w:r>
      <w:r>
        <w:rPr>
          <w:rFonts w:hint="eastAsia" w:asciiTheme="minorEastAsia" w:hAnsiTheme="minorEastAsia" w:eastAsiaTheme="minorEastAsia" w:cstheme="minorEastAsia"/>
          <w:color w:val="auto"/>
          <w:sz w:val="24"/>
          <w:szCs w:val="24"/>
          <w:highlight w:val="none"/>
          <w:lang w:eastAsia="zh-CN"/>
        </w:rPr>
        <w:t>浦江县公路与运输事业发展中心</w:t>
      </w:r>
      <w:r>
        <w:rPr>
          <w:rFonts w:asciiTheme="minorEastAsia" w:hAnsiTheme="minorEastAsia" w:eastAsiaTheme="minorEastAsia" w:cstheme="minorEastAsia"/>
          <w:color w:val="auto"/>
          <w:sz w:val="24"/>
          <w:szCs w:val="24"/>
          <w:highlight w:val="none"/>
        </w:rPr>
        <w:t xml:space="preserve"> </w:t>
      </w:r>
    </w:p>
    <w:p w14:paraId="42992B43">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地    址：浦江县</w:t>
      </w:r>
      <w:r>
        <w:rPr>
          <w:rFonts w:hint="eastAsia" w:asciiTheme="minorEastAsia" w:hAnsiTheme="minorEastAsia" w:eastAsiaTheme="minorEastAsia" w:cstheme="minorEastAsia"/>
          <w:color w:val="auto"/>
          <w:sz w:val="24"/>
          <w:szCs w:val="24"/>
          <w:highlight w:val="none"/>
          <w:lang w:eastAsia="zh-CN"/>
        </w:rPr>
        <w:t>中山北路</w:t>
      </w:r>
      <w:r>
        <w:rPr>
          <w:rFonts w:hint="eastAsia" w:asciiTheme="minorEastAsia" w:hAnsiTheme="minorEastAsia" w:eastAsiaTheme="minorEastAsia" w:cstheme="minorEastAsia"/>
          <w:color w:val="auto"/>
          <w:sz w:val="24"/>
          <w:szCs w:val="24"/>
          <w:highlight w:val="none"/>
          <w:lang w:val="en-US" w:eastAsia="zh-CN"/>
        </w:rPr>
        <w:t>156号</w:t>
      </w:r>
      <w:r>
        <w:rPr>
          <w:rFonts w:asciiTheme="minorEastAsia" w:hAnsiTheme="minorEastAsia" w:eastAsiaTheme="minorEastAsia" w:cstheme="minorEastAsia"/>
          <w:color w:val="auto"/>
          <w:sz w:val="24"/>
          <w:szCs w:val="24"/>
          <w:highlight w:val="none"/>
        </w:rPr>
        <w:t xml:space="preserve">       </w:t>
      </w:r>
    </w:p>
    <w:p w14:paraId="5CA19A27">
      <w:pPr>
        <w:adjustRightInd w:val="0"/>
        <w:spacing w:line="360" w:lineRule="auto"/>
        <w:ind w:firstLine="48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传    真： /</w:t>
      </w:r>
    </w:p>
    <w:p w14:paraId="3CCF65CE">
      <w:pPr>
        <w:adjustRightInd w:val="0"/>
        <w:spacing w:line="336"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项目联系人（询问）：</w:t>
      </w:r>
      <w:r>
        <w:rPr>
          <w:rFonts w:hint="eastAsia" w:asciiTheme="minorEastAsia" w:hAnsiTheme="minorEastAsia" w:eastAsiaTheme="minorEastAsia" w:cstheme="minorEastAsia"/>
          <w:color w:val="auto"/>
          <w:sz w:val="24"/>
          <w:szCs w:val="24"/>
          <w:highlight w:val="none"/>
          <w:lang w:val="en-US" w:eastAsia="zh-CN"/>
        </w:rPr>
        <w:t xml:space="preserve">吴先生 </w:t>
      </w:r>
      <w:r>
        <w:rPr>
          <w:rFonts w:asciiTheme="minorEastAsia" w:hAnsiTheme="minorEastAsia" w:eastAsiaTheme="minorEastAsia" w:cstheme="minorEastAsia"/>
          <w:color w:val="auto"/>
          <w:sz w:val="24"/>
          <w:szCs w:val="24"/>
          <w:highlight w:val="none"/>
        </w:rPr>
        <w:t xml:space="preserve">  </w:t>
      </w:r>
    </w:p>
    <w:p w14:paraId="2748FD39">
      <w:pPr>
        <w:adjustRightInd w:val="0"/>
        <w:spacing w:line="336"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项目联系方式（询问）：</w:t>
      </w:r>
      <w:r>
        <w:rPr>
          <w:rFonts w:hint="eastAsia" w:asciiTheme="minorEastAsia" w:hAnsiTheme="minorEastAsia" w:eastAsiaTheme="minorEastAsia" w:cstheme="minorEastAsia"/>
          <w:color w:val="auto"/>
          <w:sz w:val="24"/>
          <w:szCs w:val="24"/>
          <w:highlight w:val="none"/>
          <w:lang w:val="en-US" w:eastAsia="zh-CN"/>
        </w:rPr>
        <w:t>13665879586</w:t>
      </w:r>
      <w:r>
        <w:rPr>
          <w:rFonts w:asciiTheme="minorEastAsia" w:hAnsiTheme="minorEastAsia" w:eastAsiaTheme="minorEastAsia" w:cstheme="minorEastAsia"/>
          <w:color w:val="auto"/>
          <w:sz w:val="24"/>
          <w:szCs w:val="24"/>
          <w:highlight w:val="none"/>
        </w:rPr>
        <w:t xml:space="preserve">  </w:t>
      </w:r>
    </w:p>
    <w:p w14:paraId="2A113CEC">
      <w:pPr>
        <w:adjustRightInd w:val="0"/>
        <w:spacing w:line="336"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质疑联系人：</w:t>
      </w:r>
      <w:r>
        <w:rPr>
          <w:rFonts w:hint="eastAsia" w:asciiTheme="minorEastAsia" w:hAnsiTheme="minorEastAsia" w:eastAsiaTheme="minorEastAsia" w:cstheme="minorEastAsia"/>
          <w:color w:val="auto"/>
          <w:sz w:val="24"/>
          <w:szCs w:val="24"/>
          <w:highlight w:val="none"/>
        </w:rPr>
        <w:t>杜女士</w:t>
      </w:r>
      <w:r>
        <w:rPr>
          <w:rFonts w:hint="eastAsia" w:asciiTheme="minorEastAsia" w:hAnsiTheme="minorEastAsia" w:eastAsiaTheme="minorEastAsia" w:cstheme="minorEastAsia"/>
          <w:color w:val="auto"/>
          <w:sz w:val="24"/>
          <w:szCs w:val="24"/>
          <w:highlight w:val="none"/>
          <w:lang w:val="en-US" w:eastAsia="zh-CN"/>
        </w:rPr>
        <w:t xml:space="preserve"> </w:t>
      </w:r>
      <w:r>
        <w:rPr>
          <w:rFonts w:asciiTheme="minorEastAsia" w:hAnsiTheme="minorEastAsia" w:eastAsiaTheme="minorEastAsia" w:cstheme="minorEastAsia"/>
          <w:color w:val="auto"/>
          <w:sz w:val="24"/>
          <w:szCs w:val="24"/>
          <w:highlight w:val="none"/>
        </w:rPr>
        <w:t xml:space="preserve"> </w:t>
      </w:r>
    </w:p>
    <w:p w14:paraId="4719A45C">
      <w:pPr>
        <w:adjustRightInd w:val="0"/>
        <w:spacing w:line="360" w:lineRule="auto"/>
        <w:ind w:firstLine="480"/>
        <w:rPr>
          <w:rFonts w:hint="eastAsia" w:asciiTheme="minorEastAsia" w:hAnsiTheme="minorEastAsia" w:eastAsiaTheme="minorEastAsia" w:cstheme="minorEastAsia"/>
          <w:color w:val="auto"/>
          <w:sz w:val="24"/>
          <w:szCs w:val="24"/>
          <w:highlight w:val="none"/>
          <w:lang w:eastAsia="zh-CN"/>
        </w:rPr>
      </w:pPr>
      <w:r>
        <w:rPr>
          <w:rFonts w:asciiTheme="minorEastAsia" w:hAnsiTheme="minorEastAsia" w:eastAsiaTheme="minorEastAsia" w:cstheme="minorEastAsia"/>
          <w:color w:val="auto"/>
          <w:sz w:val="24"/>
          <w:szCs w:val="24"/>
          <w:highlight w:val="none"/>
        </w:rPr>
        <w:t>质疑联系方式：</w:t>
      </w:r>
      <w:r>
        <w:rPr>
          <w:rFonts w:hint="eastAsia" w:asciiTheme="minorEastAsia" w:hAnsiTheme="minorEastAsia" w:eastAsiaTheme="minorEastAsia" w:cstheme="minorEastAsia"/>
          <w:color w:val="auto"/>
          <w:sz w:val="24"/>
          <w:szCs w:val="24"/>
          <w:highlight w:val="none"/>
        </w:rPr>
        <w:t xml:space="preserve">13777509134 </w:t>
      </w:r>
      <w:r>
        <w:rPr>
          <w:rFonts w:hint="eastAsia" w:asciiTheme="minorEastAsia" w:hAnsiTheme="minorEastAsia" w:eastAsiaTheme="minorEastAsia" w:cstheme="minorEastAsia"/>
          <w:color w:val="auto"/>
          <w:sz w:val="24"/>
          <w:szCs w:val="24"/>
          <w:highlight w:val="none"/>
          <w:lang w:val="en-US" w:eastAsia="zh-CN"/>
        </w:rPr>
        <w:t xml:space="preserve"> </w:t>
      </w:r>
    </w:p>
    <w:p w14:paraId="047DE374">
      <w:pPr>
        <w:adjustRightInd w:val="0"/>
        <w:spacing w:line="360" w:lineRule="auto"/>
        <w:ind w:firstLine="48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2.采购代理机构信息            </w:t>
      </w:r>
    </w:p>
    <w:p w14:paraId="6D17F7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称：浙江京承工程管理有限公司</w:t>
      </w:r>
    </w:p>
    <w:p w14:paraId="600ACD3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址：浦江县华欣花园02铺</w:t>
      </w:r>
    </w:p>
    <w:p w14:paraId="5C2097A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项目联系人（询问）：</w:t>
      </w:r>
      <w:r>
        <w:rPr>
          <w:rFonts w:hint="eastAsia" w:asciiTheme="minorEastAsia" w:hAnsiTheme="minorEastAsia" w:eastAsiaTheme="minorEastAsia" w:cstheme="minorEastAsia"/>
          <w:color w:val="auto"/>
          <w:sz w:val="24"/>
          <w:szCs w:val="24"/>
          <w:highlight w:val="none"/>
          <w:lang w:eastAsia="zh-CN"/>
        </w:rPr>
        <w:t>黄</w:t>
      </w:r>
      <w:r>
        <w:rPr>
          <w:rFonts w:hint="eastAsia" w:asciiTheme="minorEastAsia" w:hAnsiTheme="minorEastAsia" w:eastAsiaTheme="minorEastAsia" w:cstheme="minorEastAsia"/>
          <w:color w:val="auto"/>
          <w:sz w:val="24"/>
          <w:szCs w:val="24"/>
          <w:highlight w:val="none"/>
          <w:lang w:val="en-US" w:eastAsia="zh-CN"/>
        </w:rPr>
        <w:t>女士</w:t>
      </w:r>
    </w:p>
    <w:p w14:paraId="2F58BEB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项目联系方式（询问）：0579-84189799   18757968473</w:t>
      </w:r>
    </w:p>
    <w:p w14:paraId="450B545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质疑联系人：</w:t>
      </w:r>
      <w:r>
        <w:rPr>
          <w:rFonts w:hint="eastAsia" w:asciiTheme="minorEastAsia" w:hAnsiTheme="minorEastAsia" w:eastAsiaTheme="minorEastAsia" w:cstheme="minorEastAsia"/>
          <w:color w:val="auto"/>
          <w:sz w:val="24"/>
          <w:szCs w:val="24"/>
          <w:highlight w:val="none"/>
          <w:lang w:eastAsia="zh-CN"/>
        </w:rPr>
        <w:t>陈</w:t>
      </w:r>
      <w:r>
        <w:rPr>
          <w:rFonts w:hint="eastAsia" w:asciiTheme="minorEastAsia" w:hAnsiTheme="minorEastAsia" w:eastAsiaTheme="minorEastAsia" w:cstheme="minorEastAsia"/>
          <w:color w:val="auto"/>
          <w:sz w:val="24"/>
          <w:szCs w:val="24"/>
          <w:highlight w:val="none"/>
          <w:lang w:val="en-US" w:eastAsia="zh-CN"/>
        </w:rPr>
        <w:t>女士</w:t>
      </w:r>
    </w:p>
    <w:p w14:paraId="46B4719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质疑联系方式：13566959006</w:t>
      </w:r>
    </w:p>
    <w:p w14:paraId="6F866DFD">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3.同级政府采购监督管理部门            </w:t>
      </w:r>
    </w:p>
    <w:p w14:paraId="142E09D6">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名    称：浦江县财政局政府采购监管科 </w:t>
      </w:r>
    </w:p>
    <w:p w14:paraId="44559C9D">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地    址：浦江县人民东路83号 </w:t>
      </w:r>
    </w:p>
    <w:p w14:paraId="6D2B54BE">
      <w:pPr>
        <w:adjustRightInd w:val="0"/>
        <w:spacing w:line="360" w:lineRule="auto"/>
        <w:ind w:firstLine="240" w:firstLineChars="1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传    真：0579-84107222 </w:t>
      </w:r>
    </w:p>
    <w:p w14:paraId="58CB84EC">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联系人 ：赵先生    </w:t>
      </w:r>
    </w:p>
    <w:p w14:paraId="6CE8B43B">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监督投诉电话：0579-84123011          </w:t>
      </w:r>
    </w:p>
    <w:p w14:paraId="18A26AFA">
      <w:pPr>
        <w:adjustRightInd w:val="0"/>
        <w:spacing w:line="360" w:lineRule="auto"/>
        <w:ind w:firstLine="480" w:firstLineChars="200"/>
        <w:jc w:val="righ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202</w:t>
      </w:r>
      <w:r>
        <w:rPr>
          <w:rFonts w:hint="eastAsia" w:asciiTheme="minorEastAsia" w:hAnsiTheme="minorEastAsia" w:eastAsiaTheme="minorEastAsia" w:cstheme="minorEastAsia"/>
          <w:color w:val="auto"/>
          <w:sz w:val="24"/>
          <w:szCs w:val="24"/>
          <w:highlight w:val="none"/>
          <w:lang w:val="en-US" w:eastAsia="zh-CN"/>
        </w:rPr>
        <w:t>5</w:t>
      </w:r>
      <w:r>
        <w:rPr>
          <w:rFonts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2</w:t>
      </w:r>
      <w:r>
        <w:rPr>
          <w:rFonts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20</w:t>
      </w:r>
      <w:r>
        <w:rPr>
          <w:rFonts w:asciiTheme="minorEastAsia" w:hAnsiTheme="minorEastAsia" w:eastAsiaTheme="minorEastAsia" w:cstheme="minorEastAsia"/>
          <w:color w:val="auto"/>
          <w:sz w:val="24"/>
          <w:szCs w:val="24"/>
          <w:highlight w:val="none"/>
        </w:rPr>
        <w:t>日</w:t>
      </w:r>
    </w:p>
    <w:p w14:paraId="3C5C3ECF">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761DCDE3">
      <w:pPr>
        <w:adjustRightInd w:val="0"/>
        <w:spacing w:line="360" w:lineRule="auto"/>
        <w:ind w:firstLine="480" w:firstLineChars="200"/>
        <w:rPr>
          <w:rFonts w:hint="default" w:asciiTheme="minorEastAsia" w:hAnsiTheme="minorEastAsia" w:eastAsiaTheme="minorEastAsia" w:cstheme="minorEastAsia"/>
          <w:b/>
          <w:color w:val="auto"/>
          <w:sz w:val="36"/>
          <w:highlight w:val="none"/>
        </w:rPr>
      </w:pPr>
      <w:r>
        <w:rPr>
          <w:rFonts w:asciiTheme="minorEastAsia" w:hAnsiTheme="minorEastAsia" w:eastAsiaTheme="minorEastAsia" w:cstheme="minorEastAsia"/>
          <w:color w:val="auto"/>
          <w:sz w:val="24"/>
          <w:szCs w:val="24"/>
          <w:highlight w:val="none"/>
        </w:rPr>
        <w:t>CA问题联系电话（人工）：汇信CA 400-888-4636；天谷CA 400-087-8198。</w:t>
      </w:r>
    </w:p>
    <w:p w14:paraId="776172A3">
      <w:pPr>
        <w:rPr>
          <w:rFonts w:hint="default" w:asciiTheme="minorEastAsia" w:hAnsiTheme="minorEastAsia" w:eastAsiaTheme="minorEastAsia" w:cstheme="minorEastAsia"/>
          <w:b/>
          <w:color w:val="auto"/>
          <w:sz w:val="36"/>
          <w:highlight w:val="none"/>
        </w:rPr>
      </w:pPr>
      <w:r>
        <w:rPr>
          <w:rFonts w:asciiTheme="minorEastAsia" w:hAnsiTheme="minorEastAsia" w:eastAsiaTheme="minorEastAsia" w:cstheme="minorEastAsia"/>
          <w:b/>
          <w:color w:val="auto"/>
          <w:sz w:val="36"/>
          <w:highlight w:val="none"/>
        </w:rPr>
        <w:br w:type="page"/>
      </w:r>
    </w:p>
    <w:p w14:paraId="204EFEB6">
      <w:pPr>
        <w:spacing w:line="360" w:lineRule="auto"/>
        <w:jc w:val="center"/>
        <w:outlineLvl w:val="0"/>
        <w:rPr>
          <w:rFonts w:hint="default" w:asciiTheme="minorEastAsia" w:hAnsiTheme="minorEastAsia" w:eastAsiaTheme="minorEastAsia" w:cstheme="minorEastAsia"/>
          <w:b/>
          <w:color w:val="auto"/>
          <w:sz w:val="36"/>
          <w:highlight w:val="none"/>
        </w:rPr>
      </w:pPr>
      <w:r>
        <w:rPr>
          <w:rFonts w:asciiTheme="minorEastAsia" w:hAnsiTheme="minorEastAsia" w:eastAsiaTheme="minorEastAsia" w:cstheme="minorEastAsia"/>
          <w:b/>
          <w:color w:val="auto"/>
          <w:sz w:val="36"/>
          <w:highlight w:val="none"/>
        </w:rPr>
        <w:t>第二部分  投标人须知</w:t>
      </w:r>
    </w:p>
    <w:p w14:paraId="2C731A2C">
      <w:pPr>
        <w:adjustRightInd w:val="0"/>
        <w:spacing w:line="360" w:lineRule="auto"/>
        <w:jc w:val="center"/>
        <w:outlineLvl w:val="9"/>
        <w:rPr>
          <w:rFonts w:hint="default" w:ascii="宋体" w:hAnsi="宋体" w:eastAsia="宋体" w:cs="宋体"/>
          <w:b/>
          <w:color w:val="auto"/>
          <w:sz w:val="32"/>
          <w:highlight w:val="none"/>
        </w:rPr>
      </w:pPr>
      <w:bookmarkStart w:id="0" w:name="_Toc12650"/>
      <w:r>
        <w:rPr>
          <w:rFonts w:ascii="宋体" w:hAnsi="宋体" w:eastAsia="宋体" w:cs="宋体"/>
          <w:b/>
          <w:color w:val="auto"/>
          <w:sz w:val="32"/>
          <w:highlight w:val="none"/>
        </w:rPr>
        <w:t>前附表</w:t>
      </w:r>
      <w:bookmarkEnd w:id="0"/>
    </w:p>
    <w:tbl>
      <w:tblPr>
        <w:tblStyle w:val="30"/>
        <w:tblW w:w="88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6764"/>
      </w:tblGrid>
      <w:tr w14:paraId="266365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898" w:type="dxa"/>
            <w:tcBorders>
              <w:tl2br w:val="nil"/>
              <w:tr2bl w:val="nil"/>
            </w:tcBorders>
          </w:tcPr>
          <w:p w14:paraId="6CD27EB4">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条款号</w:t>
            </w:r>
          </w:p>
        </w:tc>
        <w:tc>
          <w:tcPr>
            <w:tcW w:w="1231" w:type="dxa"/>
            <w:tcBorders>
              <w:tl2br w:val="nil"/>
              <w:tr2bl w:val="nil"/>
            </w:tcBorders>
          </w:tcPr>
          <w:p w14:paraId="1F687C07">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条款</w:t>
            </w:r>
          </w:p>
        </w:tc>
        <w:tc>
          <w:tcPr>
            <w:tcW w:w="6764" w:type="dxa"/>
            <w:tcBorders>
              <w:tl2br w:val="nil"/>
              <w:tr2bl w:val="nil"/>
            </w:tcBorders>
          </w:tcPr>
          <w:p w14:paraId="0C68AD6D">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条款内容</w:t>
            </w:r>
          </w:p>
        </w:tc>
      </w:tr>
      <w:tr w14:paraId="6DB7B4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A9DFEFE">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w:t>
            </w:r>
          </w:p>
        </w:tc>
        <w:tc>
          <w:tcPr>
            <w:tcW w:w="1231" w:type="dxa"/>
            <w:tcBorders>
              <w:tl2br w:val="nil"/>
              <w:tr2bl w:val="nil"/>
            </w:tcBorders>
            <w:vAlign w:val="center"/>
          </w:tcPr>
          <w:p w14:paraId="234F3438">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lang w:val="zh-TW"/>
              </w:rPr>
              <w:t>项目名称</w:t>
            </w:r>
          </w:p>
        </w:tc>
        <w:tc>
          <w:tcPr>
            <w:tcW w:w="6764" w:type="dxa"/>
            <w:tcBorders>
              <w:tl2br w:val="nil"/>
              <w:tr2bl w:val="nil"/>
            </w:tcBorders>
            <w:vAlign w:val="center"/>
          </w:tcPr>
          <w:p w14:paraId="58677007">
            <w:pPr>
              <w:spacing w:line="360" w:lineRule="auto"/>
              <w:rPr>
                <w:rFonts w:hint="eastAsia" w:ascii="宋体" w:hAnsi="宋体" w:eastAsia="宋体" w:cs="宋体"/>
                <w:color w:val="auto"/>
                <w:szCs w:val="21"/>
                <w:highlight w:val="none"/>
                <w:lang w:val="zh-TW" w:eastAsia="zh-CN"/>
              </w:rPr>
            </w:pPr>
            <w:r>
              <w:rPr>
                <w:rFonts w:hint="eastAsia" w:ascii="宋体" w:hAnsi="宋体" w:eastAsia="宋体" w:cs="宋体"/>
                <w:color w:val="auto"/>
                <w:szCs w:val="21"/>
                <w:highlight w:val="none"/>
                <w:lang w:eastAsia="zh-CN"/>
              </w:rPr>
              <w:t>浦江县公路与运输事业发展中心非现场执法设备2025年运维项目(第二次）</w:t>
            </w:r>
            <w:r>
              <w:rPr>
                <w:rFonts w:hint="eastAsia" w:ascii="宋体" w:hAnsi="宋体" w:eastAsia="宋体" w:cs="宋体"/>
                <w:color w:val="auto"/>
                <w:szCs w:val="21"/>
                <w:highlight w:val="none"/>
                <w:lang w:val="en-US" w:eastAsia="zh-CN"/>
              </w:rPr>
              <w:t xml:space="preserve"> </w:t>
            </w:r>
          </w:p>
        </w:tc>
      </w:tr>
      <w:tr w14:paraId="201FD1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0FC2A1E">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2</w:t>
            </w:r>
          </w:p>
        </w:tc>
        <w:tc>
          <w:tcPr>
            <w:tcW w:w="1231" w:type="dxa"/>
            <w:tcBorders>
              <w:tl2br w:val="nil"/>
              <w:tr2bl w:val="nil"/>
            </w:tcBorders>
            <w:vAlign w:val="center"/>
          </w:tcPr>
          <w:p w14:paraId="219CF834">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lang w:val="zh-TW"/>
              </w:rPr>
              <w:t>项目编号</w:t>
            </w:r>
          </w:p>
        </w:tc>
        <w:tc>
          <w:tcPr>
            <w:tcW w:w="6764" w:type="dxa"/>
            <w:tcBorders>
              <w:tl2br w:val="nil"/>
              <w:tr2bl w:val="nil"/>
            </w:tcBorders>
            <w:vAlign w:val="center"/>
          </w:tcPr>
          <w:p w14:paraId="51ECF011">
            <w:pPr>
              <w:spacing w:line="360" w:lineRule="auto"/>
              <w:rPr>
                <w:rFonts w:hint="default" w:ascii="宋体" w:hAnsi="宋体" w:eastAsia="宋体" w:cs="宋体"/>
                <w:color w:val="auto"/>
                <w:szCs w:val="21"/>
                <w:highlight w:val="none"/>
              </w:rPr>
            </w:pPr>
            <w:r>
              <w:rPr>
                <w:rFonts w:hint="eastAsia" w:ascii="宋体" w:hAnsi="宋体" w:eastAsia="宋体" w:cs="宋体"/>
                <w:color w:val="auto"/>
                <w:szCs w:val="21"/>
                <w:highlight w:val="none"/>
                <w:lang w:eastAsia="zh-CN"/>
              </w:rPr>
              <w:t>ZJJCGKCG2025-002A</w:t>
            </w:r>
          </w:p>
        </w:tc>
      </w:tr>
      <w:tr w14:paraId="16CC7F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62FC7C0">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3</w:t>
            </w:r>
          </w:p>
        </w:tc>
        <w:tc>
          <w:tcPr>
            <w:tcW w:w="1231" w:type="dxa"/>
            <w:tcBorders>
              <w:tl2br w:val="nil"/>
              <w:tr2bl w:val="nil"/>
            </w:tcBorders>
            <w:vAlign w:val="center"/>
          </w:tcPr>
          <w:p w14:paraId="1EF73F1F">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采购方式</w:t>
            </w:r>
          </w:p>
        </w:tc>
        <w:tc>
          <w:tcPr>
            <w:tcW w:w="6764" w:type="dxa"/>
            <w:tcBorders>
              <w:tl2br w:val="nil"/>
              <w:tr2bl w:val="nil"/>
            </w:tcBorders>
            <w:vAlign w:val="center"/>
          </w:tcPr>
          <w:p w14:paraId="2F596162">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公开招标（电子招投标）</w:t>
            </w:r>
          </w:p>
        </w:tc>
      </w:tr>
      <w:tr w14:paraId="4C11B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17EE5C0">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4</w:t>
            </w:r>
          </w:p>
        </w:tc>
        <w:tc>
          <w:tcPr>
            <w:tcW w:w="1231" w:type="dxa"/>
            <w:tcBorders>
              <w:tl2br w:val="nil"/>
              <w:tr2bl w:val="nil"/>
            </w:tcBorders>
            <w:vAlign w:val="center"/>
          </w:tcPr>
          <w:p w14:paraId="12F888DF">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lang w:val="zh-TW"/>
              </w:rPr>
              <w:t>项目概况</w:t>
            </w:r>
          </w:p>
        </w:tc>
        <w:tc>
          <w:tcPr>
            <w:tcW w:w="6764" w:type="dxa"/>
            <w:tcBorders>
              <w:tl2br w:val="nil"/>
              <w:tr2bl w:val="nil"/>
            </w:tcBorders>
            <w:vAlign w:val="center"/>
          </w:tcPr>
          <w:p w14:paraId="524A4134">
            <w:pPr>
              <w:spacing w:line="360" w:lineRule="auto"/>
              <w:rPr>
                <w:rFonts w:hint="default" w:ascii="宋体" w:hAnsi="宋体" w:eastAsia="宋体" w:cs="宋体"/>
                <w:color w:val="auto"/>
                <w:szCs w:val="21"/>
                <w:highlight w:val="none"/>
                <w:lang w:val="zh-TW"/>
              </w:rPr>
            </w:pPr>
            <w:r>
              <w:rPr>
                <w:rFonts w:ascii="宋体" w:hAnsi="宋体" w:eastAsia="宋体" w:cs="宋体"/>
                <w:color w:val="auto"/>
                <w:szCs w:val="21"/>
                <w:highlight w:val="none"/>
              </w:rPr>
              <w:t>采购内容：</w:t>
            </w:r>
            <w:r>
              <w:rPr>
                <w:rFonts w:ascii="宋体" w:hAnsi="宋体" w:eastAsia="宋体" w:cs="宋体"/>
                <w:color w:val="auto"/>
                <w:szCs w:val="21"/>
                <w:highlight w:val="none"/>
                <w:lang w:val="zh-TW"/>
              </w:rPr>
              <w:t>详见“第</w:t>
            </w:r>
            <w:r>
              <w:rPr>
                <w:rFonts w:ascii="宋体" w:hAnsi="宋体" w:eastAsia="宋体" w:cs="宋体"/>
                <w:color w:val="auto"/>
                <w:szCs w:val="21"/>
                <w:highlight w:val="none"/>
              </w:rPr>
              <w:t>三</w:t>
            </w:r>
            <w:r>
              <w:rPr>
                <w:rFonts w:ascii="宋体" w:hAnsi="宋体" w:eastAsia="宋体" w:cs="宋体"/>
                <w:color w:val="auto"/>
                <w:szCs w:val="21"/>
                <w:highlight w:val="none"/>
                <w:lang w:val="zh-TW"/>
              </w:rPr>
              <w:t>部分 采购需求”。</w:t>
            </w:r>
          </w:p>
          <w:p w14:paraId="0A2CFEB4">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lang w:val="zh-TW"/>
              </w:rPr>
              <w:t>项目实施地点：</w:t>
            </w:r>
            <w:r>
              <w:rPr>
                <w:rFonts w:ascii="宋体" w:hAnsi="宋体" w:eastAsia="宋体" w:cs="宋体"/>
                <w:color w:val="auto"/>
                <w:szCs w:val="21"/>
                <w:highlight w:val="none"/>
              </w:rPr>
              <w:t>金华市浦江县</w:t>
            </w:r>
            <w:r>
              <w:rPr>
                <w:rFonts w:ascii="宋体" w:hAnsi="宋体" w:eastAsia="宋体" w:cs="宋体"/>
                <w:color w:val="auto"/>
                <w:szCs w:val="21"/>
                <w:highlight w:val="none"/>
                <w:lang w:val="zh-TW"/>
              </w:rPr>
              <w:t>。</w:t>
            </w:r>
          </w:p>
        </w:tc>
      </w:tr>
      <w:tr w14:paraId="71D7B9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vAlign w:val="center"/>
          </w:tcPr>
          <w:p w14:paraId="202760B8">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5</w:t>
            </w:r>
          </w:p>
        </w:tc>
        <w:tc>
          <w:tcPr>
            <w:tcW w:w="1231" w:type="dxa"/>
            <w:tcBorders>
              <w:tl2br w:val="nil"/>
              <w:tr2bl w:val="nil"/>
            </w:tcBorders>
            <w:vAlign w:val="center"/>
          </w:tcPr>
          <w:p w14:paraId="3D2AAB25">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lang w:val="zh-TW"/>
              </w:rPr>
              <w:t>采购</w:t>
            </w:r>
            <w:r>
              <w:rPr>
                <w:rFonts w:ascii="宋体" w:hAnsi="宋体" w:eastAsia="宋体" w:cs="宋体"/>
                <w:b/>
                <w:bCs/>
                <w:color w:val="auto"/>
                <w:szCs w:val="21"/>
                <w:highlight w:val="none"/>
              </w:rPr>
              <w:t>预算</w:t>
            </w:r>
          </w:p>
        </w:tc>
        <w:tc>
          <w:tcPr>
            <w:tcW w:w="6764" w:type="dxa"/>
            <w:tcBorders>
              <w:tl2br w:val="nil"/>
              <w:tr2bl w:val="nil"/>
            </w:tcBorders>
            <w:vAlign w:val="center"/>
          </w:tcPr>
          <w:p w14:paraId="02B9951D">
            <w:pPr>
              <w:spacing w:line="360" w:lineRule="auto"/>
              <w:rPr>
                <w:rFonts w:hint="default" w:ascii="宋体" w:hAnsi="宋体" w:eastAsia="宋体" w:cs="宋体"/>
                <w:color w:val="auto"/>
                <w:szCs w:val="21"/>
                <w:highlight w:val="none"/>
                <w:lang w:val="zh-TW" w:eastAsia="zh-TW"/>
              </w:rPr>
            </w:pPr>
            <w:r>
              <w:rPr>
                <w:rFonts w:ascii="宋体" w:hAnsi="宋体" w:eastAsia="宋体" w:cs="宋体"/>
                <w:color w:val="auto"/>
                <w:szCs w:val="21"/>
                <w:highlight w:val="none"/>
                <w:lang w:val="zh-TW"/>
              </w:rPr>
              <w:t>采购预算：</w:t>
            </w:r>
            <w:r>
              <w:rPr>
                <w:rFonts w:hint="eastAsia" w:ascii="宋体" w:hAnsi="宋体" w:eastAsia="宋体" w:cs="宋体"/>
                <w:color w:val="auto"/>
                <w:szCs w:val="21"/>
                <w:highlight w:val="none"/>
                <w:lang w:val="en-US" w:eastAsia="zh-CN"/>
              </w:rPr>
              <w:t>477700</w:t>
            </w:r>
            <w:r>
              <w:rPr>
                <w:rFonts w:ascii="宋体" w:hAnsi="宋体" w:eastAsia="宋体" w:cs="宋体"/>
                <w:color w:val="auto"/>
                <w:szCs w:val="21"/>
                <w:highlight w:val="none"/>
              </w:rPr>
              <w:t>元，</w:t>
            </w:r>
            <w:r>
              <w:rPr>
                <w:rFonts w:ascii="宋体" w:hAnsi="宋体" w:eastAsia="宋体" w:cs="宋体"/>
                <w:color w:val="auto"/>
                <w:szCs w:val="21"/>
                <w:highlight w:val="none"/>
                <w:lang w:val="zh-TW"/>
              </w:rPr>
              <w:t>最高限价：</w:t>
            </w:r>
            <w:r>
              <w:rPr>
                <w:rFonts w:hint="eastAsia" w:ascii="宋体" w:hAnsi="宋体" w:eastAsia="宋体" w:cs="宋体"/>
                <w:color w:val="auto"/>
                <w:szCs w:val="21"/>
                <w:highlight w:val="none"/>
                <w:lang w:val="en-US" w:eastAsia="zh-CN"/>
              </w:rPr>
              <w:t>477700</w:t>
            </w:r>
            <w:r>
              <w:rPr>
                <w:rFonts w:ascii="宋体" w:hAnsi="宋体" w:eastAsia="宋体" w:cs="宋体"/>
                <w:color w:val="auto"/>
                <w:szCs w:val="21"/>
                <w:highlight w:val="none"/>
              </w:rPr>
              <w:t>元。</w:t>
            </w:r>
          </w:p>
        </w:tc>
      </w:tr>
      <w:tr w14:paraId="00AA8F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05F465F">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6</w:t>
            </w:r>
          </w:p>
        </w:tc>
        <w:tc>
          <w:tcPr>
            <w:tcW w:w="1231" w:type="dxa"/>
            <w:tcBorders>
              <w:tl2br w:val="nil"/>
              <w:tr2bl w:val="nil"/>
            </w:tcBorders>
            <w:vAlign w:val="center"/>
          </w:tcPr>
          <w:p w14:paraId="5B497FBD">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采购人</w:t>
            </w:r>
          </w:p>
        </w:tc>
        <w:tc>
          <w:tcPr>
            <w:tcW w:w="6764" w:type="dxa"/>
            <w:tcBorders>
              <w:tl2br w:val="nil"/>
              <w:tr2bl w:val="nil"/>
            </w:tcBorders>
            <w:vAlign w:val="center"/>
          </w:tcPr>
          <w:p w14:paraId="1A17E23A">
            <w:pPr>
              <w:spacing w:line="360" w:lineRule="auto"/>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名称：</w:t>
            </w:r>
            <w:r>
              <w:rPr>
                <w:rFonts w:hint="eastAsia" w:ascii="宋体" w:hAnsi="宋体" w:eastAsia="宋体" w:cs="宋体"/>
                <w:color w:val="auto"/>
                <w:szCs w:val="21"/>
                <w:highlight w:val="none"/>
                <w:lang w:eastAsia="zh-CN"/>
              </w:rPr>
              <w:t>浦江县公路与运输事业发展中心</w:t>
            </w:r>
          </w:p>
          <w:p w14:paraId="17051DD1">
            <w:pPr>
              <w:spacing w:line="360" w:lineRule="auto"/>
              <w:rPr>
                <w:rFonts w:ascii="宋体" w:hAnsi="宋体" w:eastAsia="宋体" w:cs="宋体"/>
                <w:color w:val="auto"/>
                <w:szCs w:val="21"/>
                <w:highlight w:val="none"/>
              </w:rPr>
            </w:pPr>
            <w:r>
              <w:rPr>
                <w:rFonts w:ascii="宋体" w:hAnsi="宋体" w:eastAsia="宋体" w:cs="宋体"/>
                <w:color w:val="auto"/>
                <w:szCs w:val="21"/>
                <w:highlight w:val="none"/>
              </w:rPr>
              <w:t>地址：</w:t>
            </w:r>
            <w:r>
              <w:rPr>
                <w:rFonts w:hint="eastAsia" w:ascii="宋体" w:hAnsi="宋体" w:eastAsia="宋体" w:cs="宋体"/>
                <w:color w:val="auto"/>
                <w:szCs w:val="21"/>
                <w:highlight w:val="none"/>
                <w:lang w:val="en-US" w:eastAsia="zh-CN"/>
              </w:rPr>
              <w:t xml:space="preserve"> </w:t>
            </w:r>
            <w:r>
              <w:rPr>
                <w:rFonts w:ascii="宋体" w:hAnsi="宋体" w:eastAsia="宋体" w:cs="宋体"/>
                <w:color w:val="auto"/>
                <w:szCs w:val="21"/>
                <w:highlight w:val="none"/>
              </w:rPr>
              <w:t>浦江县</w:t>
            </w:r>
            <w:r>
              <w:rPr>
                <w:rFonts w:hint="eastAsia" w:ascii="宋体" w:hAnsi="宋体" w:eastAsia="宋体" w:cs="宋体"/>
                <w:color w:val="auto"/>
                <w:szCs w:val="21"/>
                <w:highlight w:val="none"/>
                <w:lang w:eastAsia="zh-CN"/>
              </w:rPr>
              <w:t>中山北路</w:t>
            </w:r>
            <w:r>
              <w:rPr>
                <w:rFonts w:hint="eastAsia" w:ascii="宋体" w:hAnsi="宋体" w:eastAsia="宋体" w:cs="宋体"/>
                <w:color w:val="auto"/>
                <w:szCs w:val="21"/>
                <w:highlight w:val="none"/>
                <w:lang w:val="en-US" w:eastAsia="zh-CN"/>
              </w:rPr>
              <w:t>156</w:t>
            </w:r>
            <w:r>
              <w:rPr>
                <w:rFonts w:ascii="宋体" w:hAnsi="宋体" w:eastAsia="宋体" w:cs="宋体"/>
                <w:color w:val="auto"/>
                <w:szCs w:val="21"/>
                <w:highlight w:val="none"/>
              </w:rPr>
              <w:t xml:space="preserve">号  </w:t>
            </w:r>
          </w:p>
          <w:p w14:paraId="3E3F27E3">
            <w:pPr>
              <w:spacing w:line="360" w:lineRule="auto"/>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项目联系人（询问）：</w:t>
            </w:r>
            <w:r>
              <w:rPr>
                <w:rFonts w:hint="eastAsia" w:ascii="宋体" w:hAnsi="宋体" w:eastAsia="宋体" w:cs="宋体"/>
                <w:color w:val="auto"/>
                <w:szCs w:val="21"/>
                <w:highlight w:val="none"/>
                <w:lang w:val="en-US" w:eastAsia="zh-CN"/>
              </w:rPr>
              <w:t xml:space="preserve">吴先生 </w:t>
            </w:r>
          </w:p>
          <w:p w14:paraId="4B980AD3">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项目联系方式（询问）：</w:t>
            </w:r>
            <w:r>
              <w:rPr>
                <w:rFonts w:hint="eastAsia" w:ascii="宋体" w:hAnsi="宋体" w:eastAsia="宋体" w:cs="宋体"/>
                <w:color w:val="auto"/>
                <w:szCs w:val="21"/>
                <w:highlight w:val="none"/>
                <w:lang w:val="en-US" w:eastAsia="zh-CN"/>
              </w:rPr>
              <w:t>13665879586</w:t>
            </w:r>
            <w:r>
              <w:rPr>
                <w:rFonts w:ascii="宋体" w:hAnsi="宋体" w:eastAsia="宋体" w:cs="宋体"/>
                <w:color w:val="auto"/>
                <w:szCs w:val="21"/>
                <w:highlight w:val="none"/>
              </w:rPr>
              <w:t xml:space="preserve">    </w:t>
            </w:r>
          </w:p>
        </w:tc>
      </w:tr>
      <w:tr w14:paraId="0EA5F5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0906320">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7</w:t>
            </w:r>
          </w:p>
        </w:tc>
        <w:tc>
          <w:tcPr>
            <w:tcW w:w="1231" w:type="dxa"/>
            <w:tcBorders>
              <w:tl2br w:val="nil"/>
              <w:tr2bl w:val="nil"/>
            </w:tcBorders>
            <w:vAlign w:val="center"/>
          </w:tcPr>
          <w:p w14:paraId="69AE25BB">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采购代理机构</w:t>
            </w:r>
          </w:p>
        </w:tc>
        <w:tc>
          <w:tcPr>
            <w:tcW w:w="6764" w:type="dxa"/>
            <w:tcBorders>
              <w:tl2br w:val="nil"/>
              <w:tr2bl w:val="nil"/>
            </w:tcBorders>
            <w:vAlign w:val="center"/>
          </w:tcPr>
          <w:p w14:paraId="731DE7ED">
            <w:pPr>
              <w:spacing w:line="360" w:lineRule="auto"/>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名称：</w:t>
            </w:r>
            <w:r>
              <w:rPr>
                <w:rFonts w:hint="eastAsia" w:ascii="宋体" w:hAnsi="宋体" w:eastAsia="宋体" w:cs="宋体"/>
                <w:color w:val="auto"/>
                <w:szCs w:val="21"/>
                <w:highlight w:val="none"/>
                <w:lang w:eastAsia="zh-CN"/>
              </w:rPr>
              <w:t>浙江京承工程管理有限公司</w:t>
            </w:r>
          </w:p>
          <w:p w14:paraId="3F41A4B2">
            <w:pPr>
              <w:spacing w:line="360" w:lineRule="auto"/>
              <w:rPr>
                <w:rFonts w:hint="default" w:ascii="宋体" w:hAnsi="宋体" w:eastAsia="宋体" w:cs="宋体"/>
                <w:color w:val="auto"/>
                <w:szCs w:val="21"/>
                <w:highlight w:val="none"/>
                <w:lang w:eastAsia="zh-TW"/>
              </w:rPr>
            </w:pPr>
            <w:r>
              <w:rPr>
                <w:rFonts w:hint="default" w:ascii="宋体" w:hAnsi="宋体" w:eastAsia="宋体" w:cs="宋体"/>
                <w:color w:val="auto"/>
                <w:szCs w:val="21"/>
                <w:highlight w:val="none"/>
                <w:lang w:eastAsia="zh-TW"/>
              </w:rPr>
              <w:t>地址：浦江县华欣花园02铺</w:t>
            </w:r>
          </w:p>
          <w:p w14:paraId="3ACD364D">
            <w:pPr>
              <w:spacing w:line="360" w:lineRule="auto"/>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eastAsia="zh-TW"/>
              </w:rPr>
              <w:t>项目联系人（询问）：黄</w:t>
            </w:r>
            <w:r>
              <w:rPr>
                <w:rFonts w:hint="eastAsia" w:ascii="宋体" w:hAnsi="宋体" w:eastAsia="宋体" w:cs="宋体"/>
                <w:color w:val="auto"/>
                <w:szCs w:val="21"/>
                <w:highlight w:val="none"/>
                <w:lang w:val="en-US" w:eastAsia="zh-CN"/>
              </w:rPr>
              <w:t>女士</w:t>
            </w:r>
          </w:p>
          <w:p w14:paraId="0570DF57">
            <w:pPr>
              <w:spacing w:line="360" w:lineRule="auto"/>
              <w:rPr>
                <w:rFonts w:hint="default" w:ascii="宋体" w:hAnsi="宋体" w:eastAsia="宋体" w:cs="宋体"/>
                <w:color w:val="auto"/>
                <w:szCs w:val="21"/>
                <w:highlight w:val="none"/>
                <w:lang w:eastAsia="zh-TW"/>
              </w:rPr>
            </w:pPr>
            <w:r>
              <w:rPr>
                <w:rFonts w:hint="default" w:ascii="宋体" w:hAnsi="宋体" w:eastAsia="宋体" w:cs="宋体"/>
                <w:color w:val="auto"/>
                <w:szCs w:val="21"/>
                <w:highlight w:val="none"/>
                <w:lang w:eastAsia="zh-TW"/>
              </w:rPr>
              <w:t>项目联系方式（询问）：0579-84189799   18757968473</w:t>
            </w:r>
          </w:p>
        </w:tc>
      </w:tr>
      <w:tr w14:paraId="4179C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FA614DE">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8</w:t>
            </w:r>
          </w:p>
        </w:tc>
        <w:tc>
          <w:tcPr>
            <w:tcW w:w="1231" w:type="dxa"/>
            <w:tcBorders>
              <w:tl2br w:val="nil"/>
              <w:tr2bl w:val="nil"/>
            </w:tcBorders>
            <w:vAlign w:val="center"/>
          </w:tcPr>
          <w:p w14:paraId="26E330C8">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电子交易平台</w:t>
            </w:r>
          </w:p>
        </w:tc>
        <w:tc>
          <w:tcPr>
            <w:tcW w:w="6764" w:type="dxa"/>
            <w:tcBorders>
              <w:tl2br w:val="nil"/>
              <w:tr2bl w:val="nil"/>
            </w:tcBorders>
            <w:vAlign w:val="center"/>
          </w:tcPr>
          <w:p w14:paraId="53AEDB40">
            <w:pPr>
              <w:spacing w:line="360" w:lineRule="auto"/>
              <w:rPr>
                <w:rFonts w:hint="default" w:ascii="宋体" w:hAnsi="宋体" w:eastAsia="宋体" w:cs="宋体"/>
                <w:b/>
                <w:bCs/>
                <w:color w:val="auto"/>
                <w:szCs w:val="21"/>
                <w:highlight w:val="none"/>
              </w:rPr>
            </w:pPr>
            <w:r>
              <w:rPr>
                <w:rFonts w:ascii="宋体" w:hAnsi="宋体" w:eastAsia="宋体" w:cs="宋体"/>
                <w:b/>
                <w:bCs/>
                <w:color w:val="auto"/>
                <w:szCs w:val="21"/>
                <w:highlight w:val="none"/>
              </w:rPr>
              <w:t>浙江政府采购网政府采购云平台（政采云平台）（www.zcygov.cn）。</w:t>
            </w:r>
          </w:p>
        </w:tc>
      </w:tr>
      <w:tr w14:paraId="48C6C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DB37AE0">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▲9</w:t>
            </w:r>
          </w:p>
        </w:tc>
        <w:tc>
          <w:tcPr>
            <w:tcW w:w="1231" w:type="dxa"/>
            <w:tcBorders>
              <w:tl2br w:val="nil"/>
              <w:tr2bl w:val="nil"/>
            </w:tcBorders>
            <w:vAlign w:val="center"/>
          </w:tcPr>
          <w:p w14:paraId="3D96EB32">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资格</w:t>
            </w:r>
            <w:r>
              <w:rPr>
                <w:rFonts w:ascii="宋体" w:hAnsi="宋体" w:eastAsia="宋体" w:cs="宋体"/>
                <w:b/>
                <w:bCs/>
                <w:color w:val="auto"/>
                <w:szCs w:val="21"/>
                <w:highlight w:val="none"/>
              </w:rPr>
              <w:t>条件</w:t>
            </w:r>
          </w:p>
        </w:tc>
        <w:tc>
          <w:tcPr>
            <w:tcW w:w="6764" w:type="dxa"/>
            <w:tcBorders>
              <w:tl2br w:val="nil"/>
              <w:tr2bl w:val="nil"/>
            </w:tcBorders>
            <w:vAlign w:val="center"/>
          </w:tcPr>
          <w:p w14:paraId="6C8C020F">
            <w:pPr>
              <w:spacing w:line="360" w:lineRule="auto"/>
              <w:rPr>
                <w:rFonts w:hint="default" w:asciiTheme="minorEastAsia" w:hAnsiTheme="minorEastAsia" w:eastAsiaTheme="minorEastAsia" w:cstheme="minorEastAsia"/>
                <w:color w:val="auto"/>
                <w:szCs w:val="21"/>
                <w:highlight w:val="none"/>
                <w:lang w:val="zh-TW" w:eastAsia="zh-TW"/>
              </w:rPr>
            </w:pPr>
            <w:r>
              <w:rPr>
                <w:rFonts w:asciiTheme="minorEastAsia" w:hAnsiTheme="minorEastAsia" w:eastAsiaTheme="minorEastAsia" w:cstheme="minorEastAsia"/>
                <w:color w:val="auto"/>
                <w:szCs w:val="21"/>
                <w:highlight w:val="none"/>
                <w:lang w:val="zh-TW" w:eastAsia="zh-TW"/>
              </w:rPr>
              <w:t>1</w:t>
            </w:r>
            <w:r>
              <w:rPr>
                <w:rFonts w:asciiTheme="minorEastAsia" w:hAnsiTheme="minorEastAsia" w:eastAsiaTheme="minorEastAsia" w:cstheme="minorEastAsia"/>
                <w:color w:val="auto"/>
                <w:szCs w:val="21"/>
                <w:highlight w:val="none"/>
              </w:rPr>
              <w:t>.</w:t>
            </w:r>
            <w:r>
              <w:rPr>
                <w:rFonts w:asciiTheme="minorEastAsia" w:hAnsiTheme="minorEastAsia" w:eastAsiaTheme="minorEastAsia" w:cstheme="minorEastAsia"/>
                <w:color w:val="auto"/>
                <w:szCs w:val="21"/>
                <w:highlight w:val="none"/>
                <w:lang w:val="zh-TW" w:eastAsia="zh-TW"/>
              </w:rPr>
              <w:t>满足《中华人民共和国政府采购法》第二十二条规定；未被“信用中国”（www.creditchina.gov.cn)、中国政府采购网（www.ccgp.gov.cn）</w:t>
            </w:r>
            <w:r>
              <w:rPr>
                <w:rFonts w:asciiTheme="minorEastAsia" w:hAnsiTheme="minorEastAsia" w:eastAsiaTheme="minorEastAsia" w:cstheme="minorEastAsia"/>
                <w:color w:val="auto"/>
                <w:szCs w:val="21"/>
                <w:highlight w:val="none"/>
                <w:lang w:val="zh-TW"/>
              </w:rPr>
              <w:t>列入失信被执行人、重大税收违法失信主体、政府采购严重违法失信行为记录名单</w:t>
            </w:r>
            <w:r>
              <w:rPr>
                <w:rFonts w:asciiTheme="minorEastAsia" w:hAnsiTheme="minorEastAsia" w:eastAsiaTheme="minorEastAsia" w:cstheme="minorEastAsia"/>
                <w:color w:val="auto"/>
                <w:szCs w:val="21"/>
                <w:highlight w:val="none"/>
                <w:lang w:val="zh-TW" w:eastAsia="zh-TW"/>
              </w:rPr>
              <w:t>。</w:t>
            </w:r>
          </w:p>
          <w:p w14:paraId="3DC7D691">
            <w:pPr>
              <w:spacing w:line="360" w:lineRule="auto"/>
              <w:rPr>
                <w:rFonts w:hint="default" w:asciiTheme="minorEastAsia" w:hAnsiTheme="minorEastAsia" w:eastAsiaTheme="minorEastAsia" w:cstheme="minorEastAsia"/>
                <w:color w:val="auto"/>
                <w:szCs w:val="21"/>
                <w:highlight w:val="none"/>
                <w:lang w:val="zh-TW" w:eastAsia="zh-TW"/>
              </w:rPr>
            </w:pPr>
            <w:r>
              <w:rPr>
                <w:rFonts w:asciiTheme="minorEastAsia" w:hAnsiTheme="minorEastAsia" w:eastAsiaTheme="minorEastAsia" w:cstheme="minorEastAsia"/>
                <w:color w:val="auto"/>
                <w:szCs w:val="21"/>
                <w:highlight w:val="none"/>
                <w:lang w:val="zh-TW" w:eastAsia="zh-TW"/>
              </w:rPr>
              <w:t>2</w:t>
            </w:r>
            <w:r>
              <w:rPr>
                <w:rFonts w:asciiTheme="minorEastAsia" w:hAnsiTheme="minorEastAsia" w:eastAsiaTheme="minorEastAsia" w:cstheme="minorEastAsia"/>
                <w:color w:val="auto"/>
                <w:szCs w:val="21"/>
                <w:highlight w:val="none"/>
              </w:rPr>
              <w:t>.</w:t>
            </w:r>
            <w:r>
              <w:rPr>
                <w:rFonts w:asciiTheme="minorEastAsia" w:hAnsiTheme="minorEastAsia" w:eastAsiaTheme="minorEastAsia" w:cstheme="minorEastAsia"/>
                <w:color w:val="auto"/>
                <w:szCs w:val="21"/>
                <w:highlight w:val="none"/>
                <w:lang w:val="zh-TW" w:eastAsia="zh-TW"/>
              </w:rPr>
              <w:t>落实政府采购</w:t>
            </w:r>
            <w:r>
              <w:rPr>
                <w:rFonts w:asciiTheme="minorEastAsia" w:hAnsiTheme="minorEastAsia" w:eastAsiaTheme="minorEastAsia" w:cstheme="minorEastAsia"/>
                <w:color w:val="auto"/>
                <w:szCs w:val="21"/>
                <w:highlight w:val="none"/>
                <w:lang w:val="zh-TW"/>
              </w:rPr>
              <w:t>政策需满足的资格要求：</w:t>
            </w:r>
            <w:r>
              <w:rPr>
                <w:rFonts w:hint="eastAsia" w:asciiTheme="minorEastAsia" w:hAnsiTheme="minorEastAsia" w:eastAsiaTheme="minorEastAsia" w:cstheme="minorEastAsia"/>
                <w:color w:val="auto"/>
                <w:szCs w:val="21"/>
                <w:highlight w:val="none"/>
                <w:lang w:val="en-US" w:eastAsia="zh-CN"/>
              </w:rPr>
              <w:t>本项目专门面向中小企业采购，服务全部由符合政策要求的中小企业承接</w:t>
            </w:r>
            <w:r>
              <w:rPr>
                <w:rFonts w:asciiTheme="minorEastAsia" w:hAnsiTheme="minorEastAsia" w:eastAsiaTheme="minorEastAsia" w:cstheme="minorEastAsia"/>
                <w:color w:val="auto"/>
                <w:szCs w:val="21"/>
                <w:highlight w:val="none"/>
              </w:rPr>
              <w:t>。</w:t>
            </w:r>
          </w:p>
          <w:p w14:paraId="7CB95E7D">
            <w:pPr>
              <w:spacing w:line="360" w:lineRule="auto"/>
              <w:rPr>
                <w:rFonts w:hint="default"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lang w:val="zh-TW" w:eastAsia="zh-TW"/>
              </w:rPr>
              <w:t>3</w:t>
            </w:r>
            <w:r>
              <w:rPr>
                <w:rFonts w:asciiTheme="minorEastAsia" w:hAnsiTheme="minorEastAsia" w:eastAsiaTheme="minorEastAsia" w:cstheme="minorEastAsia"/>
                <w:color w:val="auto"/>
                <w:szCs w:val="21"/>
                <w:highlight w:val="none"/>
              </w:rPr>
              <w:t>.</w:t>
            </w:r>
            <w:r>
              <w:rPr>
                <w:rFonts w:asciiTheme="minorEastAsia" w:hAnsiTheme="minorEastAsia" w:eastAsiaTheme="minorEastAsia" w:cstheme="minorEastAsia"/>
                <w:color w:val="auto"/>
                <w:szCs w:val="21"/>
                <w:highlight w:val="none"/>
                <w:lang w:val="zh-TW" w:eastAsia="zh-TW"/>
              </w:rPr>
              <w:t>本项目的特定资格要求：</w:t>
            </w:r>
            <w:r>
              <w:rPr>
                <w:rFonts w:asciiTheme="minorEastAsia" w:hAnsiTheme="minorEastAsia" w:eastAsiaTheme="minorEastAsia" w:cstheme="minorEastAsia"/>
                <w:color w:val="auto"/>
                <w:szCs w:val="21"/>
                <w:highlight w:val="none"/>
              </w:rPr>
              <w:t>无。</w:t>
            </w:r>
          </w:p>
          <w:p w14:paraId="45C3F441">
            <w:pPr>
              <w:spacing w:line="360" w:lineRule="auto"/>
              <w:rPr>
                <w:rFonts w:hint="default"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E47FF18">
            <w:pPr>
              <w:spacing w:line="360" w:lineRule="auto"/>
              <w:rPr>
                <w:rFonts w:hint="default" w:ascii="宋体" w:hAnsi="宋体" w:eastAsia="宋体" w:cs="宋体"/>
                <w:b/>
                <w:bCs/>
                <w:color w:val="auto"/>
                <w:szCs w:val="21"/>
                <w:highlight w:val="none"/>
              </w:rPr>
            </w:pPr>
            <w:r>
              <w:rPr>
                <w:rFonts w:ascii="宋体" w:hAnsi="宋体" w:eastAsia="宋体" w:cs="宋体"/>
                <w:b/>
                <w:bCs/>
                <w:color w:val="auto"/>
                <w:szCs w:val="21"/>
                <w:highlight w:val="none"/>
              </w:rPr>
              <w:t>资格审查资料：相关证件等复印件或扫描件，投标声明书（格式附后），资格承诺函（格式附后）</w:t>
            </w:r>
            <w:r>
              <w:rPr>
                <w:rFonts w:hint="eastAsia" w:ascii="宋体" w:hAnsi="宋体" w:eastAsia="宋体" w:cs="宋体"/>
                <w:b/>
                <w:bCs/>
                <w:color w:val="auto"/>
                <w:szCs w:val="21"/>
                <w:highlight w:val="none"/>
                <w:lang w:eastAsia="zh-CN"/>
              </w:rPr>
              <w:t>、中小企业声明函</w:t>
            </w:r>
            <w:r>
              <w:rPr>
                <w:rFonts w:ascii="宋体" w:hAnsi="宋体" w:eastAsia="宋体" w:cs="宋体"/>
                <w:b/>
                <w:bCs/>
                <w:color w:val="auto"/>
                <w:szCs w:val="21"/>
                <w:highlight w:val="none"/>
              </w:rPr>
              <w:t>。</w:t>
            </w:r>
          </w:p>
          <w:p w14:paraId="5490077F">
            <w:pPr>
              <w:pStyle w:val="28"/>
              <w:spacing w:line="360" w:lineRule="auto"/>
              <w:ind w:left="0" w:leftChars="0" w:firstLine="0" w:firstLineChars="0"/>
              <w:rPr>
                <w:rFonts w:hint="default"/>
                <w:color w:val="auto"/>
                <w:highlight w:val="none"/>
              </w:rPr>
            </w:pPr>
            <w:r>
              <w:rPr>
                <w:rFonts w:ascii="宋体" w:hAnsi="宋体" w:cs="宋体"/>
                <w:b/>
                <w:bCs/>
                <w:color w:val="auto"/>
                <w:sz w:val="21"/>
                <w:szCs w:val="21"/>
                <w:highlight w:val="none"/>
              </w:rPr>
              <w:t>注：如联合体参加投标的，另须提供联合体协议书</w:t>
            </w:r>
            <w:r>
              <w:rPr>
                <w:rFonts w:hint="eastAsia" w:ascii="宋体" w:hAnsi="宋体" w:cs="宋体"/>
                <w:b/>
                <w:bCs/>
                <w:color w:val="auto"/>
                <w:sz w:val="21"/>
                <w:szCs w:val="21"/>
                <w:highlight w:val="none"/>
                <w:lang w:eastAsia="zh-CN"/>
              </w:rPr>
              <w:t>，并</w:t>
            </w:r>
            <w:r>
              <w:rPr>
                <w:rFonts w:ascii="宋体" w:hAnsi="宋体" w:cs="宋体"/>
                <w:b/>
                <w:bCs/>
                <w:color w:val="auto"/>
                <w:sz w:val="21"/>
                <w:szCs w:val="21"/>
                <w:highlight w:val="none"/>
              </w:rPr>
              <w:t>联合体各方均须提供相关证件等复印件或扫描件，投标声明书（格式附后），资格承诺函（格式附后）。</w:t>
            </w:r>
          </w:p>
        </w:tc>
      </w:tr>
      <w:tr w14:paraId="1ED5A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FCF9408">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10</w:t>
            </w:r>
          </w:p>
        </w:tc>
        <w:tc>
          <w:tcPr>
            <w:tcW w:w="1231" w:type="dxa"/>
            <w:tcBorders>
              <w:tl2br w:val="nil"/>
              <w:tr2bl w:val="nil"/>
            </w:tcBorders>
            <w:vAlign w:val="center"/>
          </w:tcPr>
          <w:p w14:paraId="38816B37">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联合体</w:t>
            </w:r>
          </w:p>
        </w:tc>
        <w:tc>
          <w:tcPr>
            <w:tcW w:w="6764" w:type="dxa"/>
            <w:tcBorders>
              <w:tl2br w:val="nil"/>
              <w:tr2bl w:val="nil"/>
            </w:tcBorders>
            <w:vAlign w:val="center"/>
          </w:tcPr>
          <w:p w14:paraId="2F3EF72E">
            <w:pPr>
              <w:spacing w:line="360" w:lineRule="auto"/>
              <w:rPr>
                <w:rFonts w:hint="default" w:ascii="宋体" w:hAnsi="宋体" w:eastAsia="宋体" w:cs="宋体"/>
                <w:b/>
                <w:bCs/>
                <w:color w:val="auto"/>
                <w:szCs w:val="21"/>
                <w:highlight w:val="none"/>
              </w:rPr>
            </w:pPr>
            <w:r>
              <w:rPr>
                <w:rFonts w:hint="default" w:ascii="Wingdings" w:hAnsi="Wingdings" w:eastAsiaTheme="minorEastAsia" w:cstheme="minorEastAsia"/>
                <w:b/>
                <w:bCs/>
                <w:snapToGrid w:val="0"/>
                <w:color w:val="auto"/>
                <w:kern w:val="0"/>
                <w:sz w:val="24"/>
                <w:highlight w:val="none"/>
              </w:rPr>
              <w:sym w:font="Wingdings" w:char="00FE"/>
            </w:r>
            <w:r>
              <w:rPr>
                <w:rFonts w:ascii="宋体" w:hAnsi="宋体" w:eastAsia="宋体" w:cs="宋体"/>
                <w:b/>
                <w:bCs/>
                <w:color w:val="auto"/>
                <w:szCs w:val="21"/>
                <w:highlight w:val="none"/>
              </w:rPr>
              <w:t>本项目不接受联合体投标。</w:t>
            </w:r>
          </w:p>
          <w:p w14:paraId="09D4416E">
            <w:pPr>
              <w:spacing w:line="360" w:lineRule="auto"/>
              <w:rPr>
                <w:rFonts w:hint="default" w:ascii="宋体" w:hAnsi="宋体" w:eastAsia="宋体" w:cs="宋体"/>
                <w:b/>
                <w:bCs/>
                <w:color w:val="auto"/>
                <w:szCs w:val="21"/>
                <w:highlight w:val="none"/>
              </w:rPr>
            </w:pPr>
            <w:sdt>
              <w:sdtPr>
                <w:rPr>
                  <w:rFonts w:asciiTheme="minorEastAsia" w:hAnsiTheme="minorEastAsia" w:eastAsiaTheme="minorEastAsia" w:cstheme="minorEastAsia"/>
                  <w:b/>
                  <w:bCs/>
                  <w:snapToGrid w:val="0"/>
                  <w:color w:val="auto"/>
                  <w:kern w:val="0"/>
                  <w:sz w:val="24"/>
                  <w:highlight w:val="none"/>
                </w:rPr>
                <w:id w:val="-1765526721"/>
              </w:sdtPr>
              <w:sdtEndPr>
                <w:rPr>
                  <w:rFonts w:asciiTheme="minorEastAsia" w:hAnsiTheme="minorEastAsia" w:eastAsiaTheme="minorEastAsia" w:cstheme="minorEastAsia"/>
                  <w:b w:val="0"/>
                  <w:bCs w:val="0"/>
                  <w:snapToGrid w:val="0"/>
                  <w:color w:val="auto"/>
                  <w:kern w:val="0"/>
                  <w:sz w:val="24"/>
                  <w:highlight w:val="none"/>
                </w:rPr>
              </w:sdtEndPr>
              <w:sdtContent>
                <w:r>
                  <w:rPr>
                    <w:rFonts w:hint="default" w:asciiTheme="minorEastAsia" w:hAnsiTheme="minorEastAsia" w:eastAsiaTheme="minorEastAsia" w:cstheme="minorEastAsia"/>
                    <w:b w:val="0"/>
                    <w:bCs w:val="0"/>
                    <w:snapToGrid w:val="0"/>
                    <w:color w:val="auto"/>
                    <w:kern w:val="0"/>
                    <w:sz w:val="24"/>
                    <w:highlight w:val="none"/>
                  </w:rPr>
                  <w:sym w:font="Wingdings" w:char="00A8"/>
                </w:r>
              </w:sdtContent>
            </w:sdt>
            <w:r>
              <w:rPr>
                <w:rFonts w:ascii="宋体" w:hAnsi="宋体" w:eastAsia="宋体" w:cs="宋体"/>
                <w:b w:val="0"/>
                <w:bCs w:val="0"/>
                <w:color w:val="auto"/>
                <w:szCs w:val="21"/>
                <w:highlight w:val="none"/>
              </w:rPr>
              <w:t>本项目接受联合体投标。</w:t>
            </w:r>
          </w:p>
          <w:p w14:paraId="07D20E1F">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17F488CF">
            <w:pPr>
              <w:spacing w:line="360" w:lineRule="auto"/>
              <w:rPr>
                <w:rFonts w:hint="default" w:ascii="宋体" w:hAnsi="宋体" w:eastAsia="宋体" w:cs="宋体"/>
                <w:b/>
                <w:color w:val="auto"/>
                <w:kern w:val="10"/>
                <w:szCs w:val="21"/>
                <w:highlight w:val="none"/>
              </w:rPr>
            </w:pPr>
            <w:r>
              <w:rPr>
                <w:rFonts w:ascii="宋体" w:hAnsi="宋体" w:eastAsia="宋体" w:cs="宋体"/>
                <w:color w:val="auto"/>
                <w:szCs w:val="21"/>
                <w:highlight w:val="none"/>
              </w:rPr>
              <w:t>如投标人组成联合体中标的，在项目实施中，采购人将直接向联合体牵头人支付项目预付款、项目进度款和项目结算款等。联合体各方请自行协议各方的权利、义务。</w:t>
            </w:r>
          </w:p>
        </w:tc>
      </w:tr>
      <w:tr w14:paraId="78023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1219112">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11</w:t>
            </w:r>
          </w:p>
        </w:tc>
        <w:tc>
          <w:tcPr>
            <w:tcW w:w="1231" w:type="dxa"/>
            <w:tcBorders>
              <w:tl2br w:val="nil"/>
              <w:tr2bl w:val="nil"/>
            </w:tcBorders>
            <w:vAlign w:val="center"/>
          </w:tcPr>
          <w:p w14:paraId="5C89C7F4">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招标文件获取</w:t>
            </w:r>
          </w:p>
        </w:tc>
        <w:tc>
          <w:tcPr>
            <w:tcW w:w="6764" w:type="dxa"/>
            <w:tcBorders>
              <w:tl2br w:val="nil"/>
              <w:tr2bl w:val="nil"/>
            </w:tcBorders>
            <w:vAlign w:val="center"/>
          </w:tcPr>
          <w:p w14:paraId="20AB1F56">
            <w:pPr>
              <w:spacing w:line="360" w:lineRule="auto"/>
              <w:rPr>
                <w:rFonts w:hint="default" w:ascii="宋体" w:hAnsi="宋体" w:eastAsia="宋体" w:cs="宋体"/>
                <w:bCs/>
                <w:color w:val="auto"/>
                <w:kern w:val="10"/>
                <w:szCs w:val="21"/>
                <w:highlight w:val="none"/>
              </w:rPr>
            </w:pPr>
            <w:r>
              <w:rPr>
                <w:rFonts w:ascii="宋体" w:hAnsi="宋体" w:eastAsia="宋体" w:cs="宋体"/>
                <w:b/>
                <w:color w:val="auto"/>
                <w:kern w:val="10"/>
                <w:szCs w:val="21"/>
                <w:highlight w:val="none"/>
              </w:rPr>
              <w:t>获取方式：</w:t>
            </w:r>
            <w:r>
              <w:rPr>
                <w:rFonts w:ascii="宋体" w:hAnsi="宋体" w:eastAsia="宋体" w:cs="宋体"/>
                <w:color w:val="auto"/>
                <w:szCs w:val="21"/>
                <w:highlight w:val="none"/>
              </w:rPr>
              <w:t>政采云平台（www.zcygov.cn）用户登录-项目采购-获取采购文件-申请完成-下载文件</w:t>
            </w:r>
            <w:r>
              <w:rPr>
                <w:rFonts w:ascii="宋体" w:hAnsi="宋体" w:eastAsia="宋体" w:cs="宋体"/>
                <w:bCs/>
                <w:color w:val="auto"/>
                <w:kern w:val="10"/>
                <w:szCs w:val="21"/>
                <w:highlight w:val="none"/>
              </w:rPr>
              <w:t>；</w:t>
            </w:r>
          </w:p>
          <w:p w14:paraId="76583482">
            <w:pPr>
              <w:spacing w:line="360" w:lineRule="auto"/>
              <w:rPr>
                <w:rFonts w:hint="default" w:ascii="宋体" w:hAnsi="宋体" w:eastAsia="宋体" w:cs="宋体"/>
                <w:bCs/>
                <w:color w:val="auto"/>
                <w:kern w:val="10"/>
                <w:szCs w:val="21"/>
                <w:highlight w:val="none"/>
              </w:rPr>
            </w:pPr>
            <w:r>
              <w:rPr>
                <w:rFonts w:ascii="宋体" w:hAnsi="宋体" w:eastAsia="宋体" w:cs="宋体"/>
                <w:b/>
                <w:color w:val="auto"/>
                <w:kern w:val="10"/>
                <w:szCs w:val="21"/>
                <w:highlight w:val="none"/>
              </w:rPr>
              <w:t>获取状态：</w:t>
            </w:r>
            <w:r>
              <w:rPr>
                <w:rFonts w:ascii="宋体" w:hAnsi="宋体" w:eastAsia="宋体" w:cs="宋体"/>
                <w:color w:val="auto"/>
                <w:szCs w:val="21"/>
                <w:highlight w:val="none"/>
              </w:rPr>
              <w:t>政采云平台（www.zcygov.cn）</w:t>
            </w:r>
            <w:r>
              <w:rPr>
                <w:rFonts w:ascii="宋体" w:hAnsi="宋体" w:eastAsia="宋体" w:cs="宋体"/>
                <w:bCs/>
                <w:color w:val="auto"/>
                <w:kern w:val="10"/>
                <w:szCs w:val="21"/>
                <w:highlight w:val="none"/>
              </w:rPr>
              <w:t>用户登录-项目采购-获取采购文件-已申请-状态。</w:t>
            </w:r>
          </w:p>
        </w:tc>
      </w:tr>
      <w:tr w14:paraId="5385EF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9848B15">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12</w:t>
            </w:r>
          </w:p>
        </w:tc>
        <w:tc>
          <w:tcPr>
            <w:tcW w:w="1231" w:type="dxa"/>
            <w:tcBorders>
              <w:tl2br w:val="nil"/>
              <w:tr2bl w:val="nil"/>
            </w:tcBorders>
            <w:vAlign w:val="center"/>
          </w:tcPr>
          <w:p w14:paraId="391A0B81">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开标前答疑会或现场考察</w:t>
            </w:r>
          </w:p>
        </w:tc>
        <w:tc>
          <w:tcPr>
            <w:tcW w:w="6764" w:type="dxa"/>
            <w:tcBorders>
              <w:tl2br w:val="nil"/>
              <w:tr2bl w:val="nil"/>
            </w:tcBorders>
            <w:vAlign w:val="center"/>
          </w:tcPr>
          <w:p w14:paraId="14CED1CC">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sym w:font="Wingdings" w:char="00FE"/>
            </w:r>
            <w:r>
              <w:rPr>
                <w:rFonts w:ascii="宋体" w:hAnsi="宋体" w:eastAsia="宋体" w:cs="宋体"/>
                <w:color w:val="auto"/>
                <w:szCs w:val="21"/>
                <w:highlight w:val="none"/>
              </w:rPr>
              <w:t>不组织。</w:t>
            </w:r>
          </w:p>
          <w:p w14:paraId="33230E26">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sym w:font="Wingdings" w:char="00A8"/>
            </w:r>
            <w:r>
              <w:rPr>
                <w:rFonts w:ascii="宋体" w:hAnsi="宋体" w:eastAsia="宋体" w:cs="宋体"/>
                <w:color w:val="auto"/>
                <w:szCs w:val="21"/>
                <w:highlight w:val="none"/>
              </w:rPr>
              <w:t>组织，时间为：/年/月/日至/年/月/日（上午/至下午/），联系人：/，联系方式：/。</w:t>
            </w:r>
          </w:p>
        </w:tc>
      </w:tr>
      <w:tr w14:paraId="61BA21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65ADB12">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▲13</w:t>
            </w:r>
          </w:p>
        </w:tc>
        <w:tc>
          <w:tcPr>
            <w:tcW w:w="1231" w:type="dxa"/>
            <w:tcBorders>
              <w:tl2br w:val="nil"/>
              <w:tr2bl w:val="nil"/>
            </w:tcBorders>
            <w:vAlign w:val="center"/>
          </w:tcPr>
          <w:p w14:paraId="57B974F8">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报价要求</w:t>
            </w:r>
          </w:p>
        </w:tc>
        <w:tc>
          <w:tcPr>
            <w:tcW w:w="6764" w:type="dxa"/>
            <w:tcBorders>
              <w:tl2br w:val="nil"/>
              <w:tr2bl w:val="nil"/>
            </w:tcBorders>
            <w:vAlign w:val="center"/>
          </w:tcPr>
          <w:p w14:paraId="0AFD4747">
            <w:pPr>
              <w:spacing w:line="360" w:lineRule="auto"/>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投标报价包括人工费、日常维护费、调试费、培训费、</w:t>
            </w: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lang w:val="en-US" w:eastAsia="zh-CN"/>
              </w:rPr>
              <w:t>服务费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保修期内维护费、</w:t>
            </w:r>
            <w:r>
              <w:rPr>
                <w:rFonts w:hint="eastAsia" w:ascii="宋体" w:hAnsi="宋体" w:eastAsia="宋体" w:cs="宋体"/>
                <w:color w:val="auto"/>
                <w:szCs w:val="21"/>
                <w:highlight w:val="none"/>
                <w:lang w:eastAsia="zh-CN"/>
              </w:rPr>
              <w:t>招标代理费、</w:t>
            </w:r>
            <w:r>
              <w:rPr>
                <w:rFonts w:hint="eastAsia" w:ascii="宋体" w:hAnsi="宋体" w:eastAsia="宋体" w:cs="宋体"/>
                <w:color w:val="auto"/>
                <w:szCs w:val="21"/>
                <w:highlight w:val="none"/>
                <w:lang w:val="en-US" w:eastAsia="zh-CN"/>
              </w:rPr>
              <w:t>提供相关资料、验收费用、管理费、利润、风险费、</w:t>
            </w:r>
            <w:r>
              <w:rPr>
                <w:rFonts w:hint="eastAsia" w:ascii="宋体" w:hAnsi="宋体" w:eastAsia="宋体" w:cs="宋体"/>
                <w:color w:val="auto"/>
                <w:szCs w:val="21"/>
                <w:highlight w:val="none"/>
                <w:lang w:eastAsia="zh-CN"/>
              </w:rPr>
              <w:t>保险、税金</w:t>
            </w:r>
            <w:r>
              <w:rPr>
                <w:rFonts w:ascii="宋体" w:hAnsi="宋体" w:eastAsia="宋体" w:cs="宋体"/>
                <w:color w:val="auto"/>
                <w:szCs w:val="21"/>
                <w:highlight w:val="none"/>
              </w:rPr>
              <w:t>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14:paraId="1FA302D7">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投标报价出现下列情形的，投标无效：</w:t>
            </w:r>
          </w:p>
          <w:p w14:paraId="6C82BB5A">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▲投标文件出现不是唯一的、有选择性投标报价的；</w:t>
            </w:r>
          </w:p>
          <w:p w14:paraId="1385EE1D">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▲投标报价超过招标文件中规定的预算金额或者最高限价的；</w:t>
            </w:r>
          </w:p>
          <w:p w14:paraId="65B20EBF">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▲报价明显低于其他通过符合性审查投标人的报价，有可能影响产品质量或者不能诚信履约的，未能按要求提供书面说明或者提交相关证明材料证明其报价合理性的；</w:t>
            </w:r>
          </w:p>
          <w:p w14:paraId="793BE667">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▲投标文件有采购人不能接受的附加条件的；</w:t>
            </w:r>
          </w:p>
          <w:p w14:paraId="69923E0F">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▲《开标一览表》填写不完整或字迹不能辨认或有漏项的；</w:t>
            </w:r>
          </w:p>
          <w:p w14:paraId="55D38488">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▲投标人对根据修正原则修正后的报价不确认的。</w:t>
            </w:r>
          </w:p>
          <w:p w14:paraId="4B6C6022">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▲不符合法律法规和本招标文件规定的其他实质性要求的。</w:t>
            </w:r>
          </w:p>
        </w:tc>
      </w:tr>
      <w:tr w14:paraId="698F71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411F73E">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▲14</w:t>
            </w:r>
          </w:p>
        </w:tc>
        <w:tc>
          <w:tcPr>
            <w:tcW w:w="1231" w:type="dxa"/>
            <w:tcBorders>
              <w:tl2br w:val="nil"/>
              <w:tr2bl w:val="nil"/>
            </w:tcBorders>
            <w:vAlign w:val="center"/>
          </w:tcPr>
          <w:p w14:paraId="06C3B676">
            <w:pPr>
              <w:spacing w:line="360" w:lineRule="auto"/>
              <w:jc w:val="center"/>
              <w:rPr>
                <w:rFonts w:ascii="宋体" w:hAnsi="宋体" w:eastAsia="宋体" w:cs="宋体"/>
                <w:b/>
                <w:bCs/>
                <w:color w:val="auto"/>
                <w:szCs w:val="21"/>
                <w:highlight w:val="none"/>
              </w:rPr>
            </w:pPr>
          </w:p>
          <w:p w14:paraId="5616DCF0">
            <w:pPr>
              <w:spacing w:line="360" w:lineRule="auto"/>
              <w:jc w:val="center"/>
              <w:rPr>
                <w:rFonts w:hint="default" w:ascii="宋体" w:hAnsi="宋体" w:eastAsia="宋体" w:cs="宋体"/>
                <w:b/>
                <w:bCs/>
                <w:color w:val="auto"/>
                <w:szCs w:val="21"/>
                <w:highlight w:val="none"/>
                <w:lang w:val="en-US" w:eastAsia="zh-CN"/>
              </w:rPr>
            </w:pPr>
            <w:r>
              <w:rPr>
                <w:rFonts w:ascii="宋体" w:hAnsi="宋体" w:eastAsia="宋体" w:cs="宋体"/>
                <w:b/>
                <w:bCs/>
                <w:color w:val="auto"/>
                <w:szCs w:val="21"/>
                <w:highlight w:val="none"/>
              </w:rPr>
              <w:t>服务期</w:t>
            </w:r>
          </w:p>
        </w:tc>
        <w:tc>
          <w:tcPr>
            <w:tcW w:w="6764" w:type="dxa"/>
            <w:tcBorders>
              <w:tl2br w:val="nil"/>
              <w:tr2bl w:val="nil"/>
            </w:tcBorders>
            <w:vAlign w:val="center"/>
          </w:tcPr>
          <w:p w14:paraId="5D9D52E0">
            <w:pPr>
              <w:tabs>
                <w:tab w:val="left" w:pos="315"/>
              </w:tabs>
              <w:spacing w:line="360" w:lineRule="auto"/>
              <w:rPr>
                <w:rFonts w:hint="default" w:ascii="Times New Roman" w:hAnsi="Times New Roman" w:eastAsia="宋体" w:cs="Times New Roman"/>
                <w:b/>
                <w:bCs/>
                <w:color w:val="auto"/>
                <w:kern w:val="1"/>
                <w:szCs w:val="20"/>
                <w:highlight w:val="none"/>
              </w:rPr>
            </w:pPr>
          </w:p>
          <w:p w14:paraId="0CFC2890">
            <w:pPr>
              <w:tabs>
                <w:tab w:val="left" w:pos="315"/>
              </w:tabs>
              <w:spacing w:line="360" w:lineRule="auto"/>
              <w:rPr>
                <w:rFonts w:hint="default" w:ascii="宋体" w:hAnsi="宋体" w:eastAsia="宋体" w:cs="宋体"/>
                <w:b/>
                <w:bCs/>
                <w:color w:val="auto"/>
                <w:szCs w:val="21"/>
                <w:highlight w:val="none"/>
              </w:rPr>
            </w:pPr>
            <w:r>
              <w:rPr>
                <w:rFonts w:hint="default" w:ascii="Times New Roman" w:hAnsi="Times New Roman" w:eastAsia="宋体" w:cs="Times New Roman"/>
                <w:b/>
                <w:bCs/>
                <w:color w:val="auto"/>
                <w:kern w:val="1"/>
                <w:szCs w:val="20"/>
                <w:highlight w:val="none"/>
              </w:rPr>
              <w:t>本项目</w:t>
            </w:r>
            <w:r>
              <w:rPr>
                <w:rFonts w:hint="eastAsia" w:ascii="Times New Roman" w:hAnsi="Times New Roman" w:eastAsia="宋体" w:cs="Times New Roman"/>
                <w:b/>
                <w:bCs/>
                <w:color w:val="auto"/>
                <w:kern w:val="1"/>
                <w:szCs w:val="20"/>
                <w:highlight w:val="none"/>
                <w:lang w:val="en-US" w:eastAsia="zh-CN"/>
              </w:rPr>
              <w:t>服务期</w:t>
            </w:r>
            <w:r>
              <w:rPr>
                <w:rFonts w:hint="default" w:ascii="Times New Roman" w:hAnsi="Times New Roman" w:eastAsia="宋体" w:cs="Times New Roman"/>
                <w:b/>
                <w:bCs/>
                <w:color w:val="auto"/>
                <w:kern w:val="1"/>
                <w:szCs w:val="20"/>
                <w:highlight w:val="none"/>
              </w:rPr>
              <w:t>自合同签订之日起，</w:t>
            </w:r>
            <w:r>
              <w:rPr>
                <w:rFonts w:hint="eastAsia" w:ascii="Times New Roman" w:hAnsi="Times New Roman" w:eastAsia="宋体" w:cs="Times New Roman"/>
                <w:b/>
                <w:bCs/>
                <w:color w:val="auto"/>
                <w:kern w:val="1"/>
                <w:szCs w:val="20"/>
                <w:highlight w:val="none"/>
              </w:rPr>
              <w:t>壹年</w:t>
            </w:r>
            <w:r>
              <w:rPr>
                <w:rFonts w:hint="eastAsia" w:ascii="Times New Roman" w:hAnsi="Times New Roman" w:eastAsia="宋体" w:cs="Times New Roman"/>
                <w:b/>
                <w:bCs/>
                <w:color w:val="auto"/>
                <w:kern w:val="1"/>
                <w:szCs w:val="20"/>
                <w:highlight w:val="none"/>
                <w:lang w:eastAsia="zh-CN"/>
              </w:rPr>
              <w:t>。</w:t>
            </w:r>
          </w:p>
        </w:tc>
      </w:tr>
      <w:tr w14:paraId="674046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8" w:type="dxa"/>
            <w:tcBorders>
              <w:tl2br w:val="nil"/>
              <w:tr2bl w:val="nil"/>
            </w:tcBorders>
            <w:vAlign w:val="center"/>
          </w:tcPr>
          <w:p w14:paraId="6DD00111">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15</w:t>
            </w:r>
          </w:p>
        </w:tc>
        <w:tc>
          <w:tcPr>
            <w:tcW w:w="1231" w:type="dxa"/>
            <w:tcBorders>
              <w:tl2br w:val="nil"/>
              <w:tr2bl w:val="nil"/>
            </w:tcBorders>
            <w:vAlign w:val="center"/>
          </w:tcPr>
          <w:p w14:paraId="10B279C7">
            <w:pPr>
              <w:tabs>
                <w:tab w:val="left" w:pos="315"/>
              </w:tabs>
              <w:spacing w:line="360" w:lineRule="auto"/>
              <w:rPr>
                <w:rFonts w:hint="default" w:asciiTheme="minorEastAsia" w:hAnsiTheme="minorEastAsia" w:eastAsiaTheme="minorEastAsia" w:cstheme="minorEastAsia"/>
                <w:b/>
                <w:bCs/>
                <w:color w:val="auto"/>
                <w:kern w:val="1"/>
                <w:sz w:val="24"/>
                <w:szCs w:val="24"/>
                <w:highlight w:val="none"/>
              </w:rPr>
            </w:pPr>
            <w:r>
              <w:rPr>
                <w:rFonts w:hint="eastAsia" w:asciiTheme="minorEastAsia" w:hAnsiTheme="minorEastAsia" w:eastAsiaTheme="minorEastAsia" w:cstheme="minorEastAsia"/>
                <w:b/>
                <w:bCs/>
                <w:color w:val="auto"/>
                <w:kern w:val="1"/>
                <w:sz w:val="24"/>
                <w:szCs w:val="24"/>
                <w:highlight w:val="none"/>
              </w:rPr>
              <w:t>付款方式</w:t>
            </w:r>
          </w:p>
        </w:tc>
        <w:tc>
          <w:tcPr>
            <w:tcW w:w="6764" w:type="dxa"/>
            <w:tcBorders>
              <w:tl2br w:val="nil"/>
              <w:tr2bl w:val="nil"/>
            </w:tcBorders>
            <w:vAlign w:val="center"/>
          </w:tcPr>
          <w:p w14:paraId="7A29ED24">
            <w:pPr>
              <w:spacing w:line="360" w:lineRule="auto"/>
              <w:ind w:firstLine="422" w:firstLineChars="200"/>
              <w:rPr>
                <w:rFonts w:hint="default" w:asciiTheme="minorEastAsia" w:hAnsiTheme="minorEastAsia" w:eastAsiaTheme="minorEastAsia" w:cstheme="minorEastAsia"/>
                <w:b/>
                <w:bCs/>
                <w:color w:val="auto"/>
                <w:kern w:val="1"/>
                <w:sz w:val="24"/>
                <w:szCs w:val="24"/>
                <w:highlight w:val="none"/>
              </w:rPr>
            </w:pPr>
            <w:r>
              <w:rPr>
                <w:rFonts w:hint="eastAsia" w:ascii="宋体" w:hAnsi="宋体" w:eastAsia="宋体" w:cs="宋体"/>
                <w:b/>
                <w:bCs/>
                <w:color w:val="auto"/>
                <w:szCs w:val="21"/>
                <w:highlight w:val="none"/>
              </w:rPr>
              <w:t>在合同生效以及具备实施条件后7个工作日</w:t>
            </w:r>
            <w:r>
              <w:rPr>
                <w:rFonts w:hint="eastAsia" w:ascii="宋体" w:hAnsi="宋体" w:eastAsia="宋体" w:cs="宋体"/>
                <w:b/>
                <w:bCs/>
                <w:color w:val="auto"/>
                <w:szCs w:val="21"/>
                <w:highlight w:val="none"/>
                <w:lang w:val="en-US" w:eastAsia="zh-CN"/>
              </w:rPr>
              <w:t>内</w:t>
            </w:r>
            <w:r>
              <w:rPr>
                <w:rFonts w:hint="eastAsia" w:ascii="宋体" w:hAnsi="宋体" w:eastAsia="宋体" w:cs="宋体"/>
                <w:b/>
                <w:bCs/>
                <w:color w:val="auto"/>
                <w:szCs w:val="21"/>
                <w:highlight w:val="none"/>
              </w:rPr>
              <w:t>,采购人</w:t>
            </w:r>
            <w:r>
              <w:rPr>
                <w:rFonts w:hint="eastAsia" w:ascii="宋体" w:hAnsi="宋体" w:eastAsia="宋体" w:cs="宋体"/>
                <w:b/>
                <w:bCs/>
                <w:color w:val="auto"/>
                <w:szCs w:val="21"/>
                <w:highlight w:val="none"/>
                <w:lang w:val="en-US" w:eastAsia="zh-CN"/>
              </w:rPr>
              <w:t>凭发票</w:t>
            </w:r>
            <w:r>
              <w:rPr>
                <w:rFonts w:hint="eastAsia" w:ascii="宋体" w:hAnsi="宋体" w:eastAsia="宋体" w:cs="宋体"/>
                <w:b/>
                <w:bCs/>
                <w:color w:val="auto"/>
                <w:szCs w:val="21"/>
                <w:highlight w:val="none"/>
              </w:rPr>
              <w:t>向中标单位支付合同</w:t>
            </w:r>
            <w:r>
              <w:rPr>
                <w:rFonts w:hint="eastAsia" w:ascii="宋体" w:hAnsi="宋体" w:eastAsia="宋体" w:cs="宋体"/>
                <w:b/>
                <w:bCs/>
                <w:color w:val="auto"/>
                <w:szCs w:val="21"/>
                <w:highlight w:val="none"/>
                <w:lang w:val="en-US" w:eastAsia="zh-CN"/>
              </w:rPr>
              <w:t>总</w:t>
            </w:r>
            <w:r>
              <w:rPr>
                <w:rFonts w:hint="eastAsia" w:ascii="宋体" w:hAnsi="宋体" w:eastAsia="宋体" w:cs="宋体"/>
                <w:b/>
                <w:bCs/>
                <w:color w:val="auto"/>
                <w:szCs w:val="21"/>
                <w:highlight w:val="none"/>
              </w:rPr>
              <w:t>价的</w:t>
            </w:r>
            <w:r>
              <w:rPr>
                <w:rFonts w:hint="eastAsia" w:ascii="宋体" w:hAnsi="宋体" w:eastAsia="宋体" w:cs="宋体"/>
                <w:b/>
                <w:bCs/>
                <w:color w:val="auto"/>
                <w:szCs w:val="21"/>
                <w:highlight w:val="none"/>
                <w:lang w:val="en-US" w:eastAsia="zh-CN"/>
              </w:rPr>
              <w:t>40</w:t>
            </w:r>
            <w:r>
              <w:rPr>
                <w:rFonts w:hint="eastAsia" w:ascii="宋体" w:hAnsi="宋体" w:eastAsia="宋体" w:cs="宋体"/>
                <w:b/>
                <w:bCs/>
                <w:color w:val="auto"/>
                <w:szCs w:val="21"/>
                <w:highlight w:val="none"/>
              </w:rPr>
              <w:t>%作为预付款</w:t>
            </w:r>
            <w:r>
              <w:rPr>
                <w:rFonts w:hint="eastAsia" w:ascii="宋体" w:hAnsi="宋体" w:eastAsia="宋体" w:cs="宋体"/>
                <w:b/>
                <w:bCs/>
                <w:color w:val="auto"/>
                <w:szCs w:val="21"/>
                <w:highlight w:val="none"/>
                <w:lang w:val="en-US" w:eastAsia="zh-CN"/>
              </w:rPr>
              <w:t>（中标人需出具同金额预付款保函。如中标人明确表示无需预付款或者主动要求降低预付款比例的，采购人可不支付或减少预付款支付比例。），</w:t>
            </w:r>
            <w:r>
              <w:rPr>
                <w:rFonts w:hint="eastAsia" w:ascii="宋体" w:hAnsi="宋体" w:eastAsia="宋体" w:cs="宋体"/>
                <w:b/>
                <w:bCs/>
                <w:color w:val="auto"/>
                <w:szCs w:val="21"/>
                <w:highlight w:val="none"/>
              </w:rPr>
              <w:t>待合同服务期履行结束，合同价</w:t>
            </w:r>
            <w:r>
              <w:rPr>
                <w:rFonts w:hint="eastAsia" w:ascii="宋体" w:hAnsi="宋体" w:eastAsia="宋体" w:cs="宋体"/>
                <w:b/>
                <w:bCs/>
                <w:color w:val="auto"/>
                <w:szCs w:val="21"/>
                <w:highlight w:val="none"/>
                <w:lang w:val="en-US" w:eastAsia="zh-CN"/>
              </w:rPr>
              <w:t>（如考核有扣除的，扣减相应服务费）</w:t>
            </w:r>
            <w:r>
              <w:rPr>
                <w:rFonts w:hint="eastAsia" w:ascii="宋体" w:hAnsi="宋体" w:eastAsia="宋体" w:cs="宋体"/>
                <w:b/>
                <w:bCs/>
                <w:color w:val="auto"/>
                <w:szCs w:val="21"/>
                <w:highlight w:val="none"/>
              </w:rPr>
              <w:t>余款经采购人验收且收到中标单位正规发票后支付。</w:t>
            </w:r>
          </w:p>
        </w:tc>
      </w:tr>
      <w:tr w14:paraId="0270B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41CFAD8">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▲16</w:t>
            </w:r>
          </w:p>
        </w:tc>
        <w:tc>
          <w:tcPr>
            <w:tcW w:w="1231" w:type="dxa"/>
            <w:tcBorders>
              <w:tl2br w:val="nil"/>
              <w:tr2bl w:val="nil"/>
            </w:tcBorders>
            <w:vAlign w:val="center"/>
          </w:tcPr>
          <w:p w14:paraId="3C960822">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投标文件有效期</w:t>
            </w:r>
          </w:p>
        </w:tc>
        <w:tc>
          <w:tcPr>
            <w:tcW w:w="6764" w:type="dxa"/>
            <w:tcBorders>
              <w:tl2br w:val="nil"/>
              <w:tr2bl w:val="nil"/>
            </w:tcBorders>
            <w:vAlign w:val="center"/>
          </w:tcPr>
          <w:p w14:paraId="5BE7D33E">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自投标截止日起</w:t>
            </w:r>
            <w:r>
              <w:rPr>
                <w:rFonts w:ascii="宋体" w:hAnsi="宋体" w:eastAsia="宋体" w:cs="宋体"/>
                <w:color w:val="auto"/>
                <w:szCs w:val="21"/>
                <w:highlight w:val="none"/>
                <w:u w:val="single"/>
              </w:rPr>
              <w:t>90</w:t>
            </w:r>
            <w:r>
              <w:rPr>
                <w:rFonts w:ascii="宋体" w:hAnsi="宋体" w:eastAsia="宋体" w:cs="宋体"/>
                <w:color w:val="auto"/>
                <w:szCs w:val="21"/>
                <w:highlight w:val="none"/>
              </w:rPr>
              <w:t>天内有效。</w:t>
            </w:r>
          </w:p>
        </w:tc>
      </w:tr>
      <w:tr w14:paraId="26218B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7E9F5C4">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▲17</w:t>
            </w:r>
          </w:p>
        </w:tc>
        <w:tc>
          <w:tcPr>
            <w:tcW w:w="1231" w:type="dxa"/>
            <w:tcBorders>
              <w:tl2br w:val="nil"/>
              <w:tr2bl w:val="nil"/>
            </w:tcBorders>
            <w:vAlign w:val="center"/>
          </w:tcPr>
          <w:p w14:paraId="1B4D2BA0">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履约保证金</w:t>
            </w:r>
          </w:p>
        </w:tc>
        <w:tc>
          <w:tcPr>
            <w:tcW w:w="6764" w:type="dxa"/>
            <w:tcBorders>
              <w:tl2br w:val="nil"/>
              <w:tr2bl w:val="nil"/>
            </w:tcBorders>
            <w:vAlign w:val="center"/>
          </w:tcPr>
          <w:p w14:paraId="7337EA3A">
            <w:pPr>
              <w:spacing w:line="360" w:lineRule="auto"/>
              <w:rPr>
                <w:rFonts w:hint="default" w:ascii="宋体" w:hAnsi="宋体" w:eastAsia="宋体" w:cs="宋体"/>
                <w:b w:val="0"/>
                <w:bCs w:val="0"/>
                <w:color w:val="auto"/>
                <w:szCs w:val="21"/>
                <w:highlight w:val="none"/>
              </w:rPr>
            </w:pPr>
            <w:r>
              <w:rPr>
                <w:rFonts w:ascii="宋体" w:hAnsi="宋体" w:eastAsia="宋体" w:cs="宋体"/>
                <w:b w:val="0"/>
                <w:bCs w:val="0"/>
                <w:color w:val="auto"/>
                <w:szCs w:val="21"/>
                <w:highlight w:val="none"/>
              </w:rPr>
              <w:sym w:font="Wingdings" w:char="00FE"/>
            </w:r>
            <w:r>
              <w:rPr>
                <w:rFonts w:ascii="宋体" w:hAnsi="宋体" w:eastAsia="宋体" w:cs="宋体"/>
                <w:b w:val="0"/>
                <w:bCs w:val="0"/>
                <w:color w:val="auto"/>
                <w:szCs w:val="21"/>
                <w:highlight w:val="none"/>
              </w:rPr>
              <w:t>不要求。</w:t>
            </w:r>
          </w:p>
          <w:p w14:paraId="58EF2E39">
            <w:pPr>
              <w:spacing w:line="360" w:lineRule="auto"/>
              <w:rPr>
                <w:rFonts w:hint="default" w:ascii="宋体" w:hAnsi="宋体" w:eastAsia="宋体" w:cs="宋体"/>
                <w:color w:val="auto"/>
                <w:szCs w:val="21"/>
                <w:highlight w:val="none"/>
              </w:rPr>
            </w:pPr>
            <w:r>
              <w:rPr>
                <w:rFonts w:ascii="宋体" w:hAnsi="宋体" w:eastAsia="宋体" w:cs="宋体"/>
                <w:b/>
                <w:bCs/>
                <w:color w:val="auto"/>
                <w:szCs w:val="21"/>
                <w:highlight w:val="none"/>
              </w:rPr>
              <w:sym w:font="Wingdings" w:char="00A8"/>
            </w:r>
            <w:r>
              <w:rPr>
                <w:rFonts w:ascii="宋体" w:hAnsi="宋体" w:eastAsia="宋体" w:cs="宋体"/>
                <w:b/>
                <w:bCs/>
                <w:color w:val="auto"/>
                <w:szCs w:val="21"/>
                <w:highlight w:val="none"/>
              </w:rPr>
              <w:t>要求。</w:t>
            </w:r>
            <w:r>
              <w:rPr>
                <w:rFonts w:ascii="宋体" w:hAnsi="宋体" w:eastAsia="宋体" w:cs="宋体"/>
                <w:color w:val="auto"/>
                <w:szCs w:val="21"/>
                <w:highlight w:val="none"/>
              </w:rPr>
              <w:t>履约保证金的数额为政府采购合同金额的</w:t>
            </w:r>
            <w:r>
              <w:rPr>
                <w:rFonts w:ascii="宋体" w:hAnsi="宋体" w:eastAsia="宋体" w:cs="宋体"/>
                <w:color w:val="auto"/>
                <w:szCs w:val="21"/>
                <w:highlight w:val="none"/>
                <w:u w:val="single"/>
              </w:rPr>
              <w:t xml:space="preserve"> 1% </w:t>
            </w:r>
            <w:r>
              <w:rPr>
                <w:rFonts w:ascii="宋体" w:hAnsi="宋体" w:eastAsia="宋体" w:cs="宋体"/>
                <w:color w:val="auto"/>
                <w:szCs w:val="21"/>
                <w:highlight w:val="none"/>
              </w:rPr>
              <w:t>。</w:t>
            </w:r>
          </w:p>
          <w:p w14:paraId="2F497EBC">
            <w:pPr>
              <w:spacing w:line="360" w:lineRule="auto"/>
              <w:rPr>
                <w:rFonts w:hint="default" w:ascii="宋体" w:hAnsi="宋体" w:eastAsia="宋体" w:cs="宋体"/>
                <w:color w:val="auto"/>
                <w:szCs w:val="21"/>
                <w:highlight w:val="none"/>
              </w:rPr>
            </w:pPr>
            <w:r>
              <w:rPr>
                <w:rFonts w:ascii="宋体" w:hAnsi="宋体" w:eastAsia="宋体" w:cs="宋体"/>
                <w:b/>
                <w:bCs/>
                <w:color w:val="auto"/>
                <w:szCs w:val="21"/>
                <w:highlight w:val="none"/>
              </w:rPr>
              <w:t>履约保证金缴纳的形式：</w:t>
            </w:r>
            <w:r>
              <w:rPr>
                <w:rFonts w:ascii="宋体" w:hAnsi="宋体" w:eastAsia="宋体" w:cs="宋体"/>
                <w:color w:val="auto"/>
                <w:szCs w:val="21"/>
                <w:highlight w:val="none"/>
              </w:rPr>
              <w:t>供应商应当以支票或汇票或本票或者金融机构、担保机构出具的保函等非现金形式提交。</w:t>
            </w:r>
          </w:p>
          <w:p w14:paraId="2EB45995">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￭履约保证金形式为支票或汇票或本票（账户另行通知）的，履约保证金待验收通过后视履约情况到采购人处办理履约保证金的退还手续。</w:t>
            </w:r>
          </w:p>
          <w:p w14:paraId="550EE4D9">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履约保证金形式为银行保函或者保险公司保证保险，履约保证金保函应在合同履行期限内有效，如出现工期延期等情况，及时办理续保手续，不得出现保函或保险时效失效的情况；如出现保函或保险时效失效的情况，则中标人需支付保函时效失效违约金，该违约金按500元/天计算。如出现保函或保险失效的情况，导致中标人的违约金额无法从保函或保险出具单位理赔的，采购人有权从合同款中予以直接扣除。</w:t>
            </w:r>
          </w:p>
          <w:p w14:paraId="2150FF9F">
            <w:pPr>
              <w:spacing w:line="360" w:lineRule="auto"/>
              <w:rPr>
                <w:rFonts w:hint="default" w:ascii="宋体" w:hAnsi="宋体" w:eastAsia="宋体" w:cs="宋体"/>
                <w:color w:val="auto"/>
                <w:szCs w:val="21"/>
                <w:highlight w:val="none"/>
              </w:rPr>
            </w:pPr>
            <w:r>
              <w:rPr>
                <w:rFonts w:ascii="宋体" w:hAnsi="宋体" w:eastAsia="宋体" w:cs="宋体"/>
                <w:b/>
                <w:bCs/>
                <w:color w:val="auto"/>
                <w:szCs w:val="21"/>
                <w:highlight w:val="none"/>
              </w:rPr>
              <w:t>履约保证金退还时间</w:t>
            </w:r>
            <w:r>
              <w:rPr>
                <w:rFonts w:ascii="宋体" w:hAnsi="宋体" w:eastAsia="宋体" w:cs="宋体"/>
                <w:color w:val="auto"/>
                <w:szCs w:val="21"/>
                <w:highlight w:val="none"/>
              </w:rPr>
              <w:t>：项目验收合格并经采购人认可后无息退还。</w:t>
            </w:r>
          </w:p>
          <w:p w14:paraId="39EDE75E">
            <w:pPr>
              <w:spacing w:line="360" w:lineRule="auto"/>
              <w:rPr>
                <w:rFonts w:hint="default" w:asciiTheme="minorEastAsia" w:hAnsiTheme="minorEastAsia" w:eastAsiaTheme="minorEastAsia" w:cstheme="minorEastAsia"/>
                <w:color w:val="auto"/>
                <w:kern w:val="0"/>
                <w:szCs w:val="21"/>
                <w:highlight w:val="none"/>
              </w:rPr>
            </w:pPr>
            <w:r>
              <w:rPr>
                <w:rFonts w:ascii="宋体" w:hAnsi="宋体" w:eastAsia="宋体" w:cs="宋体"/>
                <w:color w:val="auto"/>
                <w:szCs w:val="21"/>
                <w:highlight w:val="none"/>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50C6D8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93000F0">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18</w:t>
            </w:r>
          </w:p>
        </w:tc>
        <w:tc>
          <w:tcPr>
            <w:tcW w:w="1231" w:type="dxa"/>
            <w:tcBorders>
              <w:tl2br w:val="nil"/>
              <w:tr2bl w:val="nil"/>
            </w:tcBorders>
            <w:vAlign w:val="center"/>
          </w:tcPr>
          <w:p w14:paraId="352441F1">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lang w:val="zh-TW"/>
              </w:rPr>
              <w:t>分包</w:t>
            </w:r>
          </w:p>
        </w:tc>
        <w:tc>
          <w:tcPr>
            <w:tcW w:w="6764" w:type="dxa"/>
            <w:tcBorders>
              <w:tl2br w:val="nil"/>
              <w:tr2bl w:val="nil"/>
            </w:tcBorders>
            <w:vAlign w:val="center"/>
          </w:tcPr>
          <w:p w14:paraId="05974B9D">
            <w:pPr>
              <w:spacing w:line="360" w:lineRule="auto"/>
              <w:rPr>
                <w:rFonts w:hint="default" w:asciiTheme="minorEastAsia" w:hAnsiTheme="minorEastAsia" w:eastAsiaTheme="minorEastAsia" w:cstheme="minorEastAsia"/>
                <w:color w:val="auto"/>
                <w:szCs w:val="21"/>
                <w:highlight w:val="none"/>
              </w:rPr>
            </w:pPr>
            <w:r>
              <w:rPr>
                <w:rFonts w:ascii="宋体" w:hAnsi="宋体" w:eastAsia="宋体" w:cs="宋体"/>
                <w:color w:val="auto"/>
                <w:szCs w:val="21"/>
                <w:highlight w:val="none"/>
              </w:rPr>
              <w:sym w:font="Wingdings" w:char="00A8"/>
            </w:r>
            <w:r>
              <w:rPr>
                <w:rFonts w:asciiTheme="minorEastAsia" w:hAnsiTheme="minorEastAsia" w:eastAsiaTheme="minorEastAsia" w:cstheme="minorEastAsia"/>
                <w:color w:val="auto"/>
                <w:kern w:val="0"/>
                <w:szCs w:val="21"/>
                <w:highlight w:val="none"/>
              </w:rPr>
              <w:t>A</w:t>
            </w:r>
            <w:r>
              <w:rPr>
                <w:rFonts w:asciiTheme="minorEastAsia" w:hAnsiTheme="minorEastAsia" w:eastAsiaTheme="minorEastAsia" w:cstheme="minorEastAsia"/>
                <w:color w:val="auto"/>
                <w:szCs w:val="21"/>
                <w:highlight w:val="none"/>
              </w:rPr>
              <w:t>同意将非主体、非关键性的工作分包，如有资质要求的，须符合相关规定，并在事前须得到采购人同意。</w:t>
            </w:r>
          </w:p>
          <w:p w14:paraId="0A486FE6">
            <w:pPr>
              <w:spacing w:line="360" w:lineRule="auto"/>
              <w:rPr>
                <w:rFonts w:hint="default" w:ascii="宋体" w:hAnsi="宋体" w:eastAsia="宋体" w:cs="宋体"/>
                <w:color w:val="auto"/>
                <w:szCs w:val="21"/>
                <w:highlight w:val="none"/>
              </w:rPr>
            </w:pPr>
            <w:r>
              <w:rPr>
                <w:rFonts w:asciiTheme="minorEastAsia" w:hAnsiTheme="minorEastAsia" w:eastAsiaTheme="minorEastAsia" w:cstheme="minorEastAsia"/>
                <w:color w:val="auto"/>
                <w:kern w:val="0"/>
                <w:szCs w:val="21"/>
                <w:highlight w:val="none"/>
              </w:rPr>
              <w:sym w:font="Wingdings" w:char="00FE"/>
            </w:r>
            <w:r>
              <w:rPr>
                <w:rFonts w:asciiTheme="minorEastAsia" w:hAnsiTheme="minorEastAsia" w:eastAsiaTheme="minorEastAsia" w:cstheme="minorEastAsia"/>
                <w:color w:val="auto"/>
                <w:kern w:val="0"/>
                <w:szCs w:val="21"/>
                <w:highlight w:val="none"/>
              </w:rPr>
              <w:t>B</w:t>
            </w:r>
            <w:r>
              <w:rPr>
                <w:rFonts w:asciiTheme="minorEastAsia" w:hAnsiTheme="minorEastAsia" w:eastAsiaTheme="minorEastAsia" w:cstheme="minorEastAsia"/>
                <w:color w:val="auto"/>
                <w:szCs w:val="21"/>
                <w:highlight w:val="none"/>
              </w:rPr>
              <w:t>不同意分包。</w:t>
            </w:r>
          </w:p>
        </w:tc>
      </w:tr>
      <w:tr w14:paraId="48216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vAlign w:val="center"/>
          </w:tcPr>
          <w:p w14:paraId="55580CAE">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19</w:t>
            </w:r>
          </w:p>
        </w:tc>
        <w:tc>
          <w:tcPr>
            <w:tcW w:w="1231" w:type="dxa"/>
            <w:vMerge w:val="restart"/>
            <w:tcBorders>
              <w:tl2br w:val="nil"/>
              <w:tr2bl w:val="nil"/>
            </w:tcBorders>
            <w:vAlign w:val="center"/>
          </w:tcPr>
          <w:p w14:paraId="4C9FA214">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投标文件的上传和递交</w:t>
            </w:r>
          </w:p>
        </w:tc>
        <w:tc>
          <w:tcPr>
            <w:tcW w:w="6764" w:type="dxa"/>
            <w:tcBorders>
              <w:tl2br w:val="nil"/>
              <w:tr2bl w:val="nil"/>
            </w:tcBorders>
            <w:vAlign w:val="center"/>
          </w:tcPr>
          <w:p w14:paraId="6BE107D8">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电子加密投标文件的上传、递交：</w:t>
            </w:r>
          </w:p>
          <w:p w14:paraId="4BCA3A16">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a.投标人应在投标截止时间前将“电子加密投标文件”成功上传递交至“政府采购云平台”，否则投标无效。</w:t>
            </w:r>
          </w:p>
          <w:p w14:paraId="287F4CBA">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b.投标文件递交的截止时间</w:t>
            </w:r>
            <w:r>
              <w:rPr>
                <w:rFonts w:ascii="宋体" w:hAnsi="宋体" w:eastAsia="宋体" w:cs="宋体"/>
                <w:color w:val="auto"/>
                <w:szCs w:val="21"/>
                <w:highlight w:val="none"/>
              </w:rPr>
              <w:t>：</w:t>
            </w:r>
            <w:r>
              <w:rPr>
                <w:rFonts w:hint="eastAsia" w:ascii="宋体" w:hAnsi="宋体" w:eastAsia="宋体" w:cs="宋体"/>
                <w:color w:val="auto"/>
                <w:szCs w:val="21"/>
                <w:highlight w:val="none"/>
                <w:lang w:eastAsia="zh-CN"/>
              </w:rPr>
              <w:t>2025年3月13日</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lang w:eastAsia="zh-CN"/>
              </w:rPr>
              <w:t>时</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lang w:eastAsia="zh-CN"/>
              </w:rPr>
              <w:t>分</w:t>
            </w:r>
            <w:r>
              <w:rPr>
                <w:rFonts w:ascii="宋体" w:hAnsi="宋体" w:eastAsia="宋体" w:cs="宋体"/>
                <w:color w:val="auto"/>
                <w:szCs w:val="21"/>
                <w:highlight w:val="none"/>
              </w:rPr>
              <w:t>（北京时间）。</w:t>
            </w:r>
          </w:p>
          <w:p w14:paraId="1DDA8865">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c.电子加密投标文件成功上传递交后，投标人可自行打印投标文件接收回执。</w:t>
            </w:r>
          </w:p>
        </w:tc>
      </w:tr>
      <w:tr w14:paraId="39865E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vAlign w:val="center"/>
          </w:tcPr>
          <w:p w14:paraId="2DBF2E40">
            <w:pPr>
              <w:spacing w:line="360" w:lineRule="auto"/>
              <w:jc w:val="center"/>
              <w:rPr>
                <w:rFonts w:hint="default" w:ascii="宋体" w:hAnsi="宋体" w:eastAsia="宋体" w:cs="宋体"/>
                <w:color w:val="auto"/>
                <w:szCs w:val="21"/>
                <w:highlight w:val="none"/>
              </w:rPr>
            </w:pPr>
          </w:p>
        </w:tc>
        <w:tc>
          <w:tcPr>
            <w:tcW w:w="1231" w:type="dxa"/>
            <w:vMerge w:val="continue"/>
            <w:tcBorders>
              <w:tl2br w:val="nil"/>
              <w:tr2bl w:val="nil"/>
            </w:tcBorders>
            <w:vAlign w:val="center"/>
          </w:tcPr>
          <w:p w14:paraId="3D3C6183">
            <w:pPr>
              <w:spacing w:line="360" w:lineRule="auto"/>
              <w:jc w:val="center"/>
              <w:rPr>
                <w:rFonts w:hint="default" w:ascii="宋体" w:hAnsi="宋体" w:eastAsia="宋体" w:cs="宋体"/>
                <w:b/>
                <w:bCs/>
                <w:color w:val="auto"/>
                <w:szCs w:val="21"/>
                <w:highlight w:val="none"/>
              </w:rPr>
            </w:pPr>
          </w:p>
        </w:tc>
        <w:tc>
          <w:tcPr>
            <w:tcW w:w="6764" w:type="dxa"/>
            <w:tcBorders>
              <w:tl2br w:val="nil"/>
              <w:tr2bl w:val="nil"/>
            </w:tcBorders>
            <w:vAlign w:val="center"/>
          </w:tcPr>
          <w:p w14:paraId="6B6FFCF3">
            <w:pPr>
              <w:spacing w:line="360" w:lineRule="auto"/>
              <w:rPr>
                <w:rFonts w:hint="default" w:ascii="宋体" w:hAnsi="宋体" w:eastAsia="宋体" w:cs="宋体"/>
                <w:color w:val="auto"/>
                <w:szCs w:val="21"/>
                <w:highlight w:val="none"/>
              </w:rPr>
            </w:pPr>
            <w:r>
              <w:rPr>
                <w:rFonts w:ascii="宋体" w:hAnsi="宋体" w:eastAsia="宋体" w:cs="宋体"/>
                <w:b/>
                <w:bCs/>
                <w:color w:val="auto"/>
                <w:szCs w:val="21"/>
                <w:highlight w:val="none"/>
              </w:rPr>
              <w:t>电子备份投标文件的递交：</w:t>
            </w:r>
            <w:r>
              <w:rPr>
                <w:rFonts w:ascii="宋体" w:hAnsi="宋体" w:eastAsia="宋体" w:cs="宋体"/>
                <w:color w:val="auto"/>
                <w:szCs w:val="21"/>
                <w:highlight w:val="none"/>
              </w:rPr>
              <w:t>投标人如需要递交备份投标文件（后缀格式为.bfbs）的，请将</w:t>
            </w:r>
            <w:r>
              <w:rPr>
                <w:rFonts w:ascii="宋体" w:hAnsi="宋体" w:eastAsia="宋体" w:cs="宋体"/>
                <w:b/>
                <w:bCs/>
                <w:color w:val="auto"/>
                <w:szCs w:val="21"/>
                <w:highlight w:val="none"/>
              </w:rPr>
              <w:t>u盘或DVD光盘形式</w:t>
            </w:r>
            <w:r>
              <w:rPr>
                <w:rFonts w:ascii="宋体" w:hAnsi="宋体" w:eastAsia="宋体" w:cs="宋体"/>
                <w:color w:val="auto"/>
                <w:szCs w:val="21"/>
                <w:highlight w:val="none"/>
              </w:rPr>
              <w:t>的备份投标文件密封包装后以邮寄形式递交。</w:t>
            </w:r>
          </w:p>
          <w:p w14:paraId="55FD37B9">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邮寄地址：</w:t>
            </w:r>
            <w:r>
              <w:rPr>
                <w:rFonts w:hint="eastAsia" w:ascii="宋体" w:hAnsi="宋体" w:eastAsia="宋体" w:cs="宋体"/>
                <w:color w:val="auto"/>
                <w:szCs w:val="21"/>
                <w:highlight w:val="none"/>
              </w:rPr>
              <w:t>浙江省浦江县华欣花园02铺，浙江京承工程管理有限公司，陈</w:t>
            </w:r>
            <w:r>
              <w:rPr>
                <w:rFonts w:hint="eastAsia" w:ascii="宋体" w:hAnsi="宋体" w:eastAsia="宋体" w:cs="宋体"/>
                <w:color w:val="auto"/>
                <w:szCs w:val="21"/>
                <w:highlight w:val="none"/>
                <w:lang w:val="en-US" w:eastAsia="zh-CN"/>
              </w:rPr>
              <w:t>女士</w:t>
            </w:r>
            <w:r>
              <w:rPr>
                <w:rFonts w:hint="eastAsia" w:ascii="宋体" w:hAnsi="宋体" w:eastAsia="宋体" w:cs="宋体"/>
                <w:color w:val="auto"/>
                <w:szCs w:val="21"/>
                <w:highlight w:val="none"/>
              </w:rPr>
              <w:t>收，联系方式：13566959006，邮编：322200，</w:t>
            </w:r>
            <w:r>
              <w:rPr>
                <w:rFonts w:ascii="宋体" w:hAnsi="宋体" w:eastAsia="宋体" w:cs="宋体"/>
                <w:color w:val="auto"/>
                <w:szCs w:val="21"/>
                <w:highlight w:val="none"/>
              </w:rPr>
              <w:t>逾期送达、未按指定地点送达或未密封将予以拒收。</w:t>
            </w:r>
          </w:p>
          <w:p w14:paraId="211D3A6F">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截止签收时间：同投标文件递交的截止时间。</w:t>
            </w:r>
          </w:p>
          <w:p w14:paraId="5BF71322">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电子备份投标文件的密封：</w:t>
            </w:r>
          </w:p>
          <w:p w14:paraId="74E60401">
            <w:pPr>
              <w:spacing w:line="360" w:lineRule="auto"/>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内层封套写明：项目名称、项目编号、投标人名称（盖章）、开标时间；外层封套写明：项目名称、项目编号、开标时间；将u盘或DVD光盘包装在内层封套里，再将内层封套装入外层封套中。外层封套上不应有任何投标人的识别标志或标识。（如联合体投标的，内层封套上需注明联合体投标，并注明联合体成员各方的名称和联合协议中约定的牵头人的名称）不符合上述制作、存储、密封规定的备份投标文件将被视为无效或者被拒绝接收。未按要求密封和标注的电子备份投标文件，被遗漏、误拆是投标人的责任。</w:t>
            </w:r>
          </w:p>
        </w:tc>
      </w:tr>
      <w:tr w14:paraId="696B45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3051A44">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20</w:t>
            </w:r>
          </w:p>
        </w:tc>
        <w:tc>
          <w:tcPr>
            <w:tcW w:w="1231" w:type="dxa"/>
            <w:tcBorders>
              <w:tl2br w:val="nil"/>
              <w:tr2bl w:val="nil"/>
            </w:tcBorders>
            <w:vAlign w:val="center"/>
          </w:tcPr>
          <w:p w14:paraId="0056B41B">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投标文件开启</w:t>
            </w:r>
          </w:p>
        </w:tc>
        <w:tc>
          <w:tcPr>
            <w:tcW w:w="6764" w:type="dxa"/>
            <w:tcBorders>
              <w:tl2br w:val="nil"/>
              <w:tr2bl w:val="nil"/>
            </w:tcBorders>
            <w:vAlign w:val="center"/>
          </w:tcPr>
          <w:p w14:paraId="19DC7410">
            <w:pPr>
              <w:widowControl/>
              <w:spacing w:line="360" w:lineRule="auto"/>
              <w:rPr>
                <w:rFonts w:hint="default" w:ascii="宋体" w:hAnsi="宋体" w:eastAsia="宋体" w:cs="宋体"/>
                <w:color w:val="auto"/>
                <w:szCs w:val="21"/>
                <w:highlight w:val="none"/>
                <w:lang w:val="zh-TW"/>
              </w:rPr>
            </w:pPr>
            <w:r>
              <w:rPr>
                <w:rFonts w:ascii="宋体" w:hAnsi="宋体" w:eastAsia="宋体" w:cs="宋体"/>
                <w:color w:val="auto"/>
                <w:szCs w:val="21"/>
                <w:highlight w:val="none"/>
                <w:lang w:val="zh-TW"/>
              </w:rPr>
              <w:t>时间：</w:t>
            </w:r>
            <w:r>
              <w:rPr>
                <w:rFonts w:hint="eastAsia" w:ascii="宋体" w:hAnsi="宋体" w:eastAsia="宋体" w:cs="宋体"/>
                <w:b/>
                <w:bCs/>
                <w:color w:val="auto"/>
                <w:szCs w:val="21"/>
                <w:highlight w:val="none"/>
                <w:lang w:eastAsia="zh-CN"/>
              </w:rPr>
              <w:t>2025年3月13日</w:t>
            </w:r>
            <w:r>
              <w:rPr>
                <w:rFonts w:hint="eastAsia" w:ascii="宋体" w:hAnsi="宋体" w:eastAsia="宋体" w:cs="宋体"/>
                <w:b/>
                <w:bCs/>
                <w:color w:val="auto"/>
                <w:szCs w:val="21"/>
                <w:highlight w:val="none"/>
                <w:lang w:val="en-US" w:eastAsia="zh-CN"/>
              </w:rPr>
              <w:t>14</w:t>
            </w:r>
            <w:r>
              <w:rPr>
                <w:rFonts w:hint="eastAsia" w:ascii="宋体" w:hAnsi="宋体" w:eastAsia="宋体" w:cs="宋体"/>
                <w:b/>
                <w:bCs/>
                <w:color w:val="auto"/>
                <w:szCs w:val="21"/>
                <w:highlight w:val="none"/>
                <w:lang w:eastAsia="zh-CN"/>
              </w:rPr>
              <w:t>时</w:t>
            </w:r>
            <w:r>
              <w:rPr>
                <w:rFonts w:hint="eastAsia" w:ascii="宋体" w:hAnsi="宋体" w:eastAsia="宋体" w:cs="宋体"/>
                <w:b/>
                <w:bCs/>
                <w:color w:val="auto"/>
                <w:szCs w:val="21"/>
                <w:highlight w:val="none"/>
                <w:lang w:val="en-US" w:eastAsia="zh-CN"/>
              </w:rPr>
              <w:t>30</w:t>
            </w:r>
            <w:r>
              <w:rPr>
                <w:rFonts w:hint="eastAsia" w:ascii="宋体" w:hAnsi="宋体" w:eastAsia="宋体" w:cs="宋体"/>
                <w:b/>
                <w:bCs/>
                <w:color w:val="auto"/>
                <w:szCs w:val="21"/>
                <w:highlight w:val="none"/>
                <w:lang w:eastAsia="zh-CN"/>
              </w:rPr>
              <w:t>分</w:t>
            </w:r>
            <w:r>
              <w:rPr>
                <w:rFonts w:hint="default" w:ascii="宋体" w:hAnsi="宋体" w:eastAsia="宋体" w:cs="宋体"/>
                <w:b/>
                <w:bCs/>
                <w:color w:val="auto"/>
                <w:szCs w:val="21"/>
                <w:highlight w:val="none"/>
              </w:rPr>
              <w:t>（北京时间）</w:t>
            </w:r>
            <w:r>
              <w:rPr>
                <w:rFonts w:ascii="宋体" w:hAnsi="宋体" w:eastAsia="宋体" w:cs="宋体"/>
                <w:b/>
                <w:bCs/>
                <w:color w:val="auto"/>
                <w:szCs w:val="21"/>
                <w:highlight w:val="none"/>
              </w:rPr>
              <w:t>。</w:t>
            </w:r>
          </w:p>
          <w:p w14:paraId="33A08E46">
            <w:pPr>
              <w:spacing w:line="360" w:lineRule="auto"/>
              <w:rPr>
                <w:rFonts w:hint="default" w:ascii="宋体" w:hAnsi="宋体" w:eastAsia="宋体" w:cs="宋体"/>
                <w:color w:val="auto"/>
                <w:szCs w:val="21"/>
                <w:highlight w:val="none"/>
                <w:lang w:val="zh-TW"/>
              </w:rPr>
            </w:pPr>
            <w:r>
              <w:rPr>
                <w:rFonts w:ascii="宋体" w:hAnsi="宋体" w:eastAsia="宋体" w:cs="宋体"/>
                <w:color w:val="auto"/>
                <w:szCs w:val="21"/>
                <w:highlight w:val="none"/>
                <w:lang w:val="zh-TW"/>
              </w:rPr>
              <w:t>地点：</w:t>
            </w:r>
            <w:r>
              <w:rPr>
                <w:rFonts w:ascii="宋体" w:hAnsi="宋体" w:eastAsia="宋体" w:cs="宋体"/>
                <w:color w:val="auto"/>
                <w:szCs w:val="21"/>
                <w:highlight w:val="none"/>
              </w:rPr>
              <w:t>政采云平台（www.zcygov.cn）。</w:t>
            </w:r>
          </w:p>
        </w:tc>
      </w:tr>
      <w:tr w14:paraId="6D90EA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21DFF15">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21</w:t>
            </w:r>
          </w:p>
        </w:tc>
        <w:tc>
          <w:tcPr>
            <w:tcW w:w="1231" w:type="dxa"/>
            <w:tcBorders>
              <w:tl2br w:val="nil"/>
              <w:tr2bl w:val="nil"/>
            </w:tcBorders>
            <w:vAlign w:val="center"/>
          </w:tcPr>
          <w:p w14:paraId="44B474D2">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解密时间</w:t>
            </w:r>
          </w:p>
        </w:tc>
        <w:tc>
          <w:tcPr>
            <w:tcW w:w="6764" w:type="dxa"/>
            <w:tcBorders>
              <w:tl2br w:val="nil"/>
              <w:tr2bl w:val="nil"/>
            </w:tcBorders>
            <w:vAlign w:val="center"/>
          </w:tcPr>
          <w:p w14:paraId="2F9902AC">
            <w:pPr>
              <w:spacing w:line="360" w:lineRule="auto"/>
              <w:rPr>
                <w:rFonts w:hint="default" w:ascii="宋体" w:hAnsi="宋体" w:eastAsia="宋体" w:cs="宋体"/>
                <w:b/>
                <w:bCs/>
                <w:color w:val="auto"/>
                <w:szCs w:val="21"/>
                <w:highlight w:val="none"/>
              </w:rPr>
            </w:pPr>
            <w:r>
              <w:rPr>
                <w:rFonts w:ascii="宋体" w:hAnsi="宋体" w:eastAsia="宋体" w:cs="宋体"/>
                <w:b/>
                <w:bCs/>
                <w:color w:val="auto"/>
                <w:szCs w:val="21"/>
                <w:highlight w:val="none"/>
              </w:rPr>
              <w:t>投标文件解密时间为首次投标文件开启后30分钟。（以电子交易平台设定时间为准）</w:t>
            </w:r>
          </w:p>
        </w:tc>
      </w:tr>
      <w:tr w14:paraId="314198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247F09E">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22</w:t>
            </w:r>
          </w:p>
        </w:tc>
        <w:tc>
          <w:tcPr>
            <w:tcW w:w="1231" w:type="dxa"/>
            <w:tcBorders>
              <w:tl2br w:val="nil"/>
              <w:tr2bl w:val="nil"/>
            </w:tcBorders>
            <w:vAlign w:val="center"/>
          </w:tcPr>
          <w:p w14:paraId="304F2B13">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解密失败的异常处理</w:t>
            </w:r>
          </w:p>
        </w:tc>
        <w:tc>
          <w:tcPr>
            <w:tcW w:w="6764" w:type="dxa"/>
            <w:tcBorders>
              <w:tl2br w:val="nil"/>
              <w:tr2bl w:val="nil"/>
            </w:tcBorders>
            <w:vAlign w:val="center"/>
          </w:tcPr>
          <w:p w14:paraId="481DDAED">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14:paraId="75F74D5D">
            <w:pPr>
              <w:spacing w:line="360" w:lineRule="auto"/>
              <w:rPr>
                <w:rFonts w:hint="default" w:ascii="宋体" w:hAnsi="宋体" w:eastAsia="宋体" w:cs="宋体"/>
                <w:b/>
                <w:bCs/>
                <w:color w:val="auto"/>
                <w:szCs w:val="21"/>
                <w:highlight w:val="none"/>
              </w:rPr>
            </w:pPr>
            <w:r>
              <w:rPr>
                <w:rFonts w:ascii="宋体" w:hAnsi="宋体" w:eastAsia="宋体" w:cs="宋体"/>
                <w:color w:val="auto"/>
                <w:szCs w:val="21"/>
                <w:highlight w:val="none"/>
              </w:rPr>
              <w:t>投标文件未按时解密且未提供备份投标文件的，视为投标文件撤回，后果由投标人自行承担。</w:t>
            </w:r>
          </w:p>
        </w:tc>
      </w:tr>
      <w:tr w14:paraId="689EF4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9D46A69">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23</w:t>
            </w:r>
          </w:p>
        </w:tc>
        <w:tc>
          <w:tcPr>
            <w:tcW w:w="1231" w:type="dxa"/>
            <w:tcBorders>
              <w:tl2br w:val="nil"/>
              <w:tr2bl w:val="nil"/>
            </w:tcBorders>
            <w:vAlign w:val="center"/>
          </w:tcPr>
          <w:p w14:paraId="4478B699">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活动现场确认声明</w:t>
            </w:r>
          </w:p>
        </w:tc>
        <w:tc>
          <w:tcPr>
            <w:tcW w:w="6764" w:type="dxa"/>
            <w:tcBorders>
              <w:tl2br w:val="nil"/>
              <w:tr2bl w:val="nil"/>
            </w:tcBorders>
            <w:vAlign w:val="center"/>
          </w:tcPr>
          <w:p w14:paraId="1B7273DC">
            <w:pPr>
              <w:spacing w:line="360" w:lineRule="auto"/>
              <w:rPr>
                <w:rFonts w:hint="default" w:ascii="宋体" w:hAnsi="宋体" w:eastAsia="宋体" w:cs="宋体"/>
                <w:b/>
                <w:bCs/>
                <w:color w:val="auto"/>
                <w:szCs w:val="21"/>
                <w:highlight w:val="none"/>
              </w:rPr>
            </w:pPr>
            <w:r>
              <w:rPr>
                <w:rFonts w:ascii="宋体" w:hAnsi="宋体" w:eastAsia="宋体" w:cs="宋体"/>
                <w:color w:val="auto"/>
                <w:szCs w:val="21"/>
                <w:highlight w:val="none"/>
              </w:rPr>
              <w:t>投标人</w:t>
            </w:r>
            <w:r>
              <w:rPr>
                <w:rFonts w:hint="default" w:ascii="宋体" w:hAnsi="宋体" w:eastAsia="宋体" w:cs="宋体"/>
                <w:color w:val="auto"/>
                <w:szCs w:val="21"/>
                <w:highlight w:val="none"/>
              </w:rPr>
              <w:t>名单公布</w:t>
            </w:r>
            <w:r>
              <w:rPr>
                <w:rFonts w:ascii="宋体" w:hAnsi="宋体" w:eastAsia="宋体" w:cs="宋体"/>
                <w:color w:val="auto"/>
                <w:szCs w:val="21"/>
                <w:highlight w:val="none"/>
              </w:rPr>
              <w:t>后</w:t>
            </w:r>
            <w:r>
              <w:rPr>
                <w:rFonts w:ascii="宋体" w:hAnsi="宋体" w:eastAsia="宋体" w:cs="宋体"/>
                <w:b/>
                <w:bCs/>
                <w:color w:val="auto"/>
                <w:szCs w:val="21"/>
                <w:highlight w:val="none"/>
              </w:rPr>
              <w:t>30分钟内</w:t>
            </w:r>
            <w:r>
              <w:rPr>
                <w:rFonts w:ascii="宋体" w:hAnsi="宋体" w:eastAsia="宋体" w:cs="宋体"/>
                <w:color w:val="auto"/>
                <w:szCs w:val="21"/>
                <w:highlight w:val="none"/>
              </w:rPr>
              <w:t>，投标人通过邮件形式发送经授权代表签署的《政府采购活动现场确认声明书》（格式见附件），</w:t>
            </w:r>
            <w:r>
              <w:rPr>
                <w:rFonts w:hint="eastAsia" w:ascii="宋体" w:hAnsi="宋体" w:eastAsia="宋体" w:cs="宋体"/>
                <w:color w:val="auto"/>
                <w:szCs w:val="21"/>
                <w:highlight w:val="none"/>
              </w:rPr>
              <w:t>扫描件发至代理机构经办人邮箱</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"mailto:1963488340@qq.com"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1963488340@qq.com</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，联系人：陈</w:t>
            </w:r>
            <w:r>
              <w:rPr>
                <w:rFonts w:hint="eastAsia" w:ascii="宋体" w:hAnsi="宋体" w:eastAsia="宋体" w:cs="宋体"/>
                <w:color w:val="auto"/>
                <w:szCs w:val="21"/>
                <w:highlight w:val="none"/>
                <w:lang w:val="en-US" w:eastAsia="zh-CN"/>
              </w:rPr>
              <w:t>女士</w:t>
            </w:r>
            <w:r>
              <w:rPr>
                <w:rFonts w:hint="eastAsia" w:ascii="宋体" w:hAnsi="宋体" w:eastAsia="宋体" w:cs="宋体"/>
                <w:color w:val="auto"/>
                <w:szCs w:val="21"/>
                <w:highlight w:val="none"/>
              </w:rPr>
              <w:t>，电话：13566959006。</w:t>
            </w:r>
            <w:r>
              <w:rPr>
                <w:rFonts w:hint="eastAsia" w:ascii="宋体" w:hAnsi="宋体" w:eastAsia="宋体" w:cs="宋体"/>
                <w:b/>
                <w:bCs/>
                <w:color w:val="auto"/>
                <w:szCs w:val="21"/>
                <w:highlight w:val="none"/>
              </w:rPr>
              <w:t>未按规定发送的，视为无异议，后果由投标人承担。</w:t>
            </w:r>
          </w:p>
        </w:tc>
      </w:tr>
      <w:tr w14:paraId="388B90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0F6FE06">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24</w:t>
            </w:r>
          </w:p>
        </w:tc>
        <w:tc>
          <w:tcPr>
            <w:tcW w:w="1231" w:type="dxa"/>
            <w:tcBorders>
              <w:tl2br w:val="nil"/>
              <w:tr2bl w:val="nil"/>
            </w:tcBorders>
            <w:vAlign w:val="center"/>
          </w:tcPr>
          <w:p w14:paraId="11034C7D">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采购标的对应的中小企业划分标准所属行业</w:t>
            </w:r>
          </w:p>
        </w:tc>
        <w:tc>
          <w:tcPr>
            <w:tcW w:w="6764" w:type="dxa"/>
            <w:tcBorders>
              <w:tl2br w:val="nil"/>
              <w:tr2bl w:val="nil"/>
            </w:tcBorders>
            <w:vAlign w:val="center"/>
          </w:tcPr>
          <w:p w14:paraId="558DA2AD">
            <w:pPr>
              <w:numPr>
                <w:ilvl w:val="0"/>
                <w:numId w:val="0"/>
              </w:numPr>
              <w:adjustRightInd w:val="0"/>
              <w:snapToGrid w:val="0"/>
              <w:spacing w:line="360" w:lineRule="auto"/>
              <w:rPr>
                <w:rFonts w:asciiTheme="minorEastAsia" w:hAnsiTheme="minorEastAsia" w:eastAsiaTheme="minorEastAsia" w:cstheme="minorEastAsia"/>
                <w:bCs/>
                <w:snapToGrid w:val="0"/>
                <w:color w:val="auto"/>
                <w:kern w:val="0"/>
                <w:szCs w:val="21"/>
                <w:highlight w:val="none"/>
              </w:rPr>
            </w:pPr>
            <w:r>
              <w:rPr>
                <w:rFonts w:hint="eastAsia" w:asciiTheme="minorEastAsia" w:hAnsiTheme="minorEastAsia" w:eastAsiaTheme="minorEastAsia" w:cstheme="minorEastAsia"/>
                <w:bCs/>
                <w:snapToGrid w:val="0"/>
                <w:color w:val="auto"/>
                <w:kern w:val="0"/>
                <w:szCs w:val="21"/>
                <w:highlight w:val="none"/>
                <w:lang w:val="en-US" w:eastAsia="zh-CN"/>
              </w:rPr>
              <w:t>1.</w:t>
            </w:r>
            <w:r>
              <w:rPr>
                <w:rFonts w:asciiTheme="minorEastAsia" w:hAnsiTheme="minorEastAsia" w:eastAsiaTheme="minorEastAsia" w:cstheme="minorEastAsia"/>
                <w:bCs/>
                <w:snapToGrid w:val="0"/>
                <w:color w:val="auto"/>
                <w:kern w:val="0"/>
                <w:szCs w:val="21"/>
                <w:highlight w:val="none"/>
              </w:rPr>
              <w:t>本项目</w:t>
            </w:r>
            <w:r>
              <w:rPr>
                <w:rFonts w:asciiTheme="minorEastAsia" w:hAnsiTheme="minorEastAsia" w:eastAsiaTheme="minorEastAsia" w:cstheme="minorEastAsia"/>
                <w:b/>
                <w:snapToGrid w:val="0"/>
                <w:color w:val="auto"/>
                <w:kern w:val="0"/>
                <w:szCs w:val="21"/>
                <w:highlight w:val="none"/>
                <w:u w:val="single"/>
              </w:rPr>
              <w:t>属于</w:t>
            </w:r>
            <w:r>
              <w:rPr>
                <w:rFonts w:asciiTheme="minorEastAsia" w:hAnsiTheme="minorEastAsia" w:eastAsiaTheme="minorEastAsia" w:cstheme="minorEastAsia"/>
                <w:bCs/>
                <w:snapToGrid w:val="0"/>
                <w:color w:val="auto"/>
                <w:kern w:val="0"/>
                <w:szCs w:val="21"/>
                <w:highlight w:val="none"/>
              </w:rPr>
              <w:t>预留份额专门面向中小企业采购的项目。根据《关于印发中小企业划型标准规定的通知》（工信部联企业〔2011〕300 号）规定，本项目采购标的对应的中小企业划分标准所属行业为</w:t>
            </w:r>
            <w:r>
              <w:rPr>
                <w:rFonts w:asciiTheme="minorEastAsia" w:hAnsiTheme="minorEastAsia" w:eastAsiaTheme="minorEastAsia" w:cstheme="minorEastAsia"/>
                <w:b/>
                <w:snapToGrid w:val="0"/>
                <w:color w:val="auto"/>
                <w:kern w:val="0"/>
                <w:szCs w:val="21"/>
                <w:highlight w:val="none"/>
                <w:u w:val="single"/>
              </w:rPr>
              <w:t>（十</w:t>
            </w:r>
            <w:r>
              <w:rPr>
                <w:rFonts w:hint="eastAsia" w:asciiTheme="minorEastAsia" w:hAnsiTheme="minorEastAsia" w:eastAsiaTheme="minorEastAsia" w:cstheme="minorEastAsia"/>
                <w:b/>
                <w:snapToGrid w:val="0"/>
                <w:color w:val="auto"/>
                <w:kern w:val="0"/>
                <w:szCs w:val="21"/>
                <w:highlight w:val="none"/>
                <w:u w:val="single"/>
                <w:lang w:val="en-US" w:eastAsia="zh-CN"/>
              </w:rPr>
              <w:t>二</w:t>
            </w:r>
            <w:r>
              <w:rPr>
                <w:rFonts w:asciiTheme="minorEastAsia" w:hAnsiTheme="minorEastAsia" w:eastAsiaTheme="minorEastAsia" w:cstheme="minorEastAsia"/>
                <w:b/>
                <w:snapToGrid w:val="0"/>
                <w:color w:val="auto"/>
                <w:kern w:val="0"/>
                <w:szCs w:val="21"/>
                <w:highlight w:val="none"/>
                <w:u w:val="single"/>
              </w:rPr>
              <w:t>）</w:t>
            </w:r>
            <w:r>
              <w:rPr>
                <w:rFonts w:hint="eastAsia" w:asciiTheme="minorEastAsia" w:hAnsiTheme="minorEastAsia" w:eastAsiaTheme="minorEastAsia" w:cstheme="minorEastAsia"/>
                <w:b/>
                <w:snapToGrid w:val="0"/>
                <w:color w:val="auto"/>
                <w:kern w:val="0"/>
                <w:szCs w:val="21"/>
                <w:highlight w:val="none"/>
                <w:u w:val="single"/>
                <w:lang w:eastAsia="zh-CN"/>
              </w:rPr>
              <w:t>软件和信息技术服务业</w:t>
            </w:r>
            <w:r>
              <w:rPr>
                <w:rFonts w:asciiTheme="minorEastAsia" w:hAnsiTheme="minorEastAsia" w:eastAsiaTheme="minorEastAsia" w:cstheme="minorEastAsia"/>
                <w:bCs/>
                <w:snapToGrid w:val="0"/>
                <w:color w:val="auto"/>
                <w:kern w:val="0"/>
                <w:szCs w:val="21"/>
                <w:highlight w:val="none"/>
              </w:rPr>
              <w:t>。</w:t>
            </w:r>
          </w:p>
          <w:p w14:paraId="429BD94F">
            <w:pPr>
              <w:pStyle w:val="28"/>
              <w:numPr>
                <w:ilvl w:val="0"/>
                <w:numId w:val="0"/>
              </w:numPr>
              <w:rPr>
                <w:rFonts w:hint="default" w:eastAsia="宋体"/>
                <w:color w:val="auto"/>
                <w:highlight w:val="none"/>
                <w:lang w:val="en-US" w:eastAsia="zh-CN"/>
              </w:rPr>
            </w:pPr>
            <w:r>
              <w:rPr>
                <w:rFonts w:hint="eastAsia" w:asciiTheme="minorEastAsia" w:hAnsiTheme="minorEastAsia" w:eastAsiaTheme="minorEastAsia" w:cstheme="minorEastAsia"/>
                <w:bCs/>
                <w:snapToGrid w:val="0"/>
                <w:color w:val="auto"/>
                <w:kern w:val="0"/>
                <w:sz w:val="21"/>
                <w:szCs w:val="21"/>
                <w:highlight w:val="none"/>
                <w:lang w:val="en-US" w:eastAsia="zh-CN" w:bidi="ar-SA"/>
              </w:rPr>
              <w:t>2.残疾人福利性单位、监狱企业视同小型、微型企业，享受预留份额。</w:t>
            </w:r>
          </w:p>
        </w:tc>
      </w:tr>
      <w:tr w14:paraId="68DD9B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B598F03">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25</w:t>
            </w:r>
          </w:p>
        </w:tc>
        <w:tc>
          <w:tcPr>
            <w:tcW w:w="1231" w:type="dxa"/>
            <w:tcBorders>
              <w:tl2br w:val="nil"/>
              <w:tr2bl w:val="nil"/>
            </w:tcBorders>
            <w:vAlign w:val="center"/>
          </w:tcPr>
          <w:p w14:paraId="31A2045E">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中小企业扶持政策</w:t>
            </w:r>
          </w:p>
        </w:tc>
        <w:tc>
          <w:tcPr>
            <w:tcW w:w="6764" w:type="dxa"/>
            <w:tcBorders>
              <w:tl2br w:val="nil"/>
              <w:tr2bl w:val="nil"/>
            </w:tcBorders>
            <w:vAlign w:val="center"/>
          </w:tcPr>
          <w:p w14:paraId="225F0119">
            <w:pPr>
              <w:spacing w:line="360" w:lineRule="auto"/>
              <w:rPr>
                <w:rFonts w:hint="default" w:asciiTheme="minorEastAsia" w:hAnsiTheme="minorEastAsia" w:eastAsiaTheme="minorEastAsia" w:cstheme="minorEastAsia"/>
                <w:b/>
                <w:bCs/>
                <w:color w:val="auto"/>
                <w:szCs w:val="21"/>
                <w:highlight w:val="none"/>
              </w:rPr>
            </w:pPr>
            <w:r>
              <w:rPr>
                <w:rFonts w:hint="default" w:ascii="Wingdings" w:hAnsi="Wingdings" w:eastAsia="MS Gothic" w:cs="Arial"/>
                <w:b/>
                <w:bCs/>
                <w:color w:val="auto"/>
                <w:kern w:val="0"/>
                <w:sz w:val="24"/>
                <w:szCs w:val="24"/>
                <w:highlight w:val="none"/>
              </w:rPr>
              <w:sym w:font="Wingdings" w:char="00FE"/>
            </w:r>
            <w:r>
              <w:rPr>
                <w:rFonts w:asciiTheme="minorEastAsia" w:hAnsiTheme="minorEastAsia" w:eastAsiaTheme="minorEastAsia" w:cstheme="minorEastAsia"/>
                <w:b/>
                <w:bCs/>
                <w:color w:val="auto"/>
                <w:szCs w:val="21"/>
                <w:highlight w:val="none"/>
              </w:rPr>
              <w:t>本项目专门面向中小企业，不再进行价格政策扶持。</w:t>
            </w:r>
          </w:p>
          <w:p w14:paraId="7F9BCE0A">
            <w:pPr>
              <w:spacing w:line="360" w:lineRule="auto"/>
              <w:rPr>
                <w:rFonts w:hint="default" w:asciiTheme="minorEastAsia" w:hAnsiTheme="minorEastAsia" w:eastAsiaTheme="minorEastAsia" w:cstheme="minorEastAsia"/>
                <w:color w:val="auto"/>
                <w:szCs w:val="21"/>
                <w:highlight w:val="none"/>
              </w:rPr>
            </w:pPr>
            <w:sdt>
              <w:sdtPr>
                <w:rPr>
                  <w:rFonts w:ascii="仿宋_GB2312" w:hAnsi="仿宋" w:eastAsia="仿宋_GB2312" w:cs="Arial"/>
                  <w:b/>
                  <w:bCs/>
                  <w:color w:val="auto"/>
                  <w:kern w:val="0"/>
                  <w:sz w:val="24"/>
                  <w:highlight w:val="none"/>
                </w:rPr>
                <w:id w:val="-1639946486"/>
              </w:sdtPr>
              <w:sdtEndPr>
                <w:rPr>
                  <w:rFonts w:ascii="仿宋_GB2312" w:hAnsi="仿宋" w:eastAsia="仿宋_GB2312" w:cs="Arial"/>
                  <w:b w:val="0"/>
                  <w:bCs w:val="0"/>
                  <w:color w:val="auto"/>
                  <w:kern w:val="0"/>
                  <w:sz w:val="24"/>
                  <w:highlight w:val="none"/>
                </w:rPr>
              </w:sdtEndPr>
              <w:sdtContent>
                <w:r>
                  <w:rPr>
                    <w:rFonts w:hint="default" w:ascii="仿宋_GB2312" w:hAnsi="仿宋" w:eastAsia="仿宋_GB2312" w:cs="Arial"/>
                    <w:b w:val="0"/>
                    <w:bCs w:val="0"/>
                    <w:color w:val="auto"/>
                    <w:kern w:val="0"/>
                    <w:sz w:val="24"/>
                    <w:highlight w:val="none"/>
                  </w:rPr>
                  <w:sym w:font="Wingdings" w:char="00A8"/>
                </w:r>
              </w:sdtContent>
            </w:sdt>
            <w:r>
              <w:rPr>
                <w:rFonts w:asciiTheme="minorEastAsia" w:hAnsiTheme="minorEastAsia" w:eastAsiaTheme="minorEastAsia" w:cstheme="minorEastAsia"/>
                <w:b w:val="0"/>
                <w:bCs w:val="0"/>
                <w:color w:val="auto"/>
                <w:szCs w:val="21"/>
                <w:highlight w:val="none"/>
              </w:rPr>
              <w:t>本项目非专门面向中小企业，价格扣除：</w:t>
            </w:r>
          </w:p>
          <w:p w14:paraId="001D2867">
            <w:pPr>
              <w:pStyle w:val="28"/>
              <w:spacing w:line="360" w:lineRule="auto"/>
              <w:ind w:left="0" w:leftChars="0" w:firstLine="0" w:firstLineChars="0"/>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1.投标人按照《关于印发中小企业划型标准规定的通知》（工信部联企业〔2011〕300号）的所属行业规定为小型、微型企业【注：按规定提供《中小企业声明函》】。</w:t>
            </w:r>
          </w:p>
          <w:p w14:paraId="63945EFA">
            <w:pPr>
              <w:pStyle w:val="28"/>
              <w:spacing w:line="360" w:lineRule="auto"/>
              <w:ind w:left="0" w:leftChars="0" w:firstLine="0" w:firstLineChars="0"/>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1030A9D5">
            <w:pPr>
              <w:pStyle w:val="28"/>
              <w:spacing w:line="360" w:lineRule="auto"/>
              <w:ind w:left="0" w:leftChars="0" w:firstLine="0" w:firstLineChars="0"/>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14:paraId="0F276711">
            <w:pPr>
              <w:pStyle w:val="28"/>
              <w:spacing w:line="360" w:lineRule="auto"/>
              <w:ind w:left="0" w:leftChars="0" w:firstLine="0" w:firstLineChars="0"/>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38930C6D">
            <w:pPr>
              <w:pStyle w:val="28"/>
              <w:spacing w:line="360" w:lineRule="auto"/>
              <w:ind w:left="0" w:leftChars="0" w:firstLine="0" w:firstLineChars="0"/>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注：①残疾人福利性单位、监狱企业视同小型、微型企业，享受预留份额、评审中价格扣除等促进中小企业发展的政府采购政策，享受同样的价格扣除。</w:t>
            </w:r>
          </w:p>
          <w:p w14:paraId="35276806">
            <w:pPr>
              <w:pStyle w:val="28"/>
              <w:spacing w:line="360" w:lineRule="auto"/>
              <w:ind w:left="0" w:leftChars="0" w:firstLine="0" w:firstLineChars="0"/>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②残疾人福利性单位、监狱企业属于小型、微型企业的，不重复享受价格扣除优惠。</w:t>
            </w:r>
          </w:p>
          <w:p w14:paraId="0A265DA5">
            <w:pPr>
              <w:pStyle w:val="28"/>
              <w:spacing w:line="360" w:lineRule="auto"/>
              <w:ind w:left="0" w:leftChars="0" w:firstLine="0" w:firstLineChars="0"/>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40BFFD0B">
            <w:pPr>
              <w:pStyle w:val="28"/>
              <w:spacing w:line="360" w:lineRule="auto"/>
              <w:ind w:left="0" w:leftChars="0" w:firstLine="0" w:firstLineChars="0"/>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④联合体各方均为小型、微型企业的，联合体视同为小型、微型企业。</w:t>
            </w:r>
          </w:p>
          <w:p w14:paraId="501F32BC">
            <w:pPr>
              <w:pStyle w:val="28"/>
              <w:spacing w:line="360" w:lineRule="auto"/>
              <w:ind w:left="0" w:leftChars="0" w:firstLine="0" w:firstLineChars="0"/>
              <w:rPr>
                <w:rFonts w:hint="default"/>
                <w:color w:val="auto"/>
                <w:highlight w:val="none"/>
              </w:rPr>
            </w:pPr>
            <w:r>
              <w:rPr>
                <w:rFonts w:asciiTheme="minorEastAsia" w:hAnsiTheme="minorEastAsia" w:eastAsiaTheme="minorEastAsia" w:cstheme="minorEastAsia"/>
                <w:color w:val="auto"/>
                <w:kern w:val="2"/>
                <w:sz w:val="21"/>
                <w:szCs w:val="21"/>
                <w:highlight w:val="none"/>
              </w:rPr>
              <w:t>⑤未提供以上材料的，均不给予价格扣除。</w:t>
            </w:r>
          </w:p>
        </w:tc>
      </w:tr>
      <w:tr w14:paraId="09F2C4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12ADB34">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26</w:t>
            </w:r>
          </w:p>
        </w:tc>
        <w:tc>
          <w:tcPr>
            <w:tcW w:w="1231" w:type="dxa"/>
            <w:tcBorders>
              <w:tl2br w:val="nil"/>
              <w:tr2bl w:val="nil"/>
            </w:tcBorders>
            <w:vAlign w:val="center"/>
          </w:tcPr>
          <w:p w14:paraId="3E8413BF">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rPr>
              <w:t>信用记录查询</w:t>
            </w:r>
          </w:p>
        </w:tc>
        <w:tc>
          <w:tcPr>
            <w:tcW w:w="6764" w:type="dxa"/>
            <w:tcBorders>
              <w:tl2br w:val="nil"/>
              <w:tr2bl w:val="nil"/>
            </w:tcBorders>
            <w:vAlign w:val="center"/>
          </w:tcPr>
          <w:p w14:paraId="4C1EAF2F">
            <w:pPr>
              <w:spacing w:line="360" w:lineRule="auto"/>
              <w:rPr>
                <w:rFonts w:hint="default" w:ascii="宋体" w:hAnsi="宋体" w:eastAsia="宋体" w:cs="宋体"/>
                <w:b/>
                <w:bCs/>
                <w:color w:val="auto"/>
                <w:szCs w:val="21"/>
                <w:highlight w:val="none"/>
              </w:rPr>
            </w:pPr>
            <w:r>
              <w:rPr>
                <w:rFonts w:ascii="宋体" w:hAnsi="宋体" w:eastAsia="宋体" w:cs="宋体"/>
                <w:b/>
                <w:bCs/>
                <w:color w:val="auto"/>
                <w:szCs w:val="21"/>
                <w:highlight w:val="none"/>
              </w:rPr>
              <w:t>信用记录查询：</w:t>
            </w:r>
          </w:p>
          <w:p w14:paraId="72522D71">
            <w:pPr>
              <w:spacing w:line="360" w:lineRule="auto"/>
              <w:rPr>
                <w:rFonts w:hint="default" w:ascii="宋体" w:hAnsi="宋体" w:eastAsia="宋体" w:cs="宋体"/>
                <w:b/>
                <w:bCs/>
                <w:color w:val="auto"/>
                <w:szCs w:val="21"/>
                <w:highlight w:val="none"/>
              </w:rPr>
            </w:pPr>
            <w:r>
              <w:rPr>
                <w:rFonts w:ascii="宋体" w:hAnsi="宋体" w:eastAsia="宋体" w:cs="宋体"/>
                <w:b/>
                <w:bCs/>
                <w:color w:val="auto"/>
                <w:szCs w:val="21"/>
                <w:highlight w:val="none"/>
              </w:rPr>
              <w:t>根据《关于在政府采购活动中查询及使用信用记录有关问题的通知》财库[2016]125号文件的规定执行：</w:t>
            </w:r>
          </w:p>
          <w:p w14:paraId="1161057C">
            <w:pPr>
              <w:spacing w:line="360" w:lineRule="auto"/>
              <w:rPr>
                <w:rFonts w:hint="default" w:ascii="宋体" w:hAnsi="宋体" w:eastAsia="宋体" w:cs="宋体"/>
                <w:color w:val="auto"/>
                <w:szCs w:val="21"/>
                <w:highlight w:val="none"/>
              </w:rPr>
            </w:pPr>
            <w:r>
              <w:rPr>
                <w:rFonts w:ascii="宋体" w:hAnsi="宋体" w:eastAsia="宋体" w:cs="宋体"/>
                <w:b/>
                <w:bCs/>
                <w:color w:val="auto"/>
                <w:szCs w:val="21"/>
                <w:highlight w:val="none"/>
              </w:rPr>
              <w:t>查询渠道：</w:t>
            </w:r>
            <w:r>
              <w:rPr>
                <w:rFonts w:ascii="宋体" w:hAnsi="宋体" w:eastAsia="宋体" w:cs="宋体"/>
                <w:color w:val="auto"/>
                <w:szCs w:val="21"/>
                <w:highlight w:val="none"/>
              </w:rPr>
              <w:t>信用中国（www.creditchina.gov.cn）、中国政府采购网（www.ccgp.gov.cn）；</w:t>
            </w:r>
          </w:p>
          <w:p w14:paraId="17325188">
            <w:pPr>
              <w:spacing w:line="360" w:lineRule="auto"/>
              <w:rPr>
                <w:rFonts w:hint="default" w:ascii="宋体" w:hAnsi="宋体" w:eastAsia="宋体" w:cs="宋体"/>
                <w:color w:val="auto"/>
                <w:szCs w:val="21"/>
                <w:highlight w:val="none"/>
              </w:rPr>
            </w:pPr>
            <w:r>
              <w:rPr>
                <w:rFonts w:ascii="宋体" w:hAnsi="宋体" w:eastAsia="宋体" w:cs="宋体"/>
                <w:b/>
                <w:bCs/>
                <w:color w:val="auto"/>
                <w:szCs w:val="21"/>
                <w:highlight w:val="none"/>
              </w:rPr>
              <w:t>截止时点：</w:t>
            </w:r>
            <w:r>
              <w:rPr>
                <w:rFonts w:ascii="宋体" w:hAnsi="宋体" w:eastAsia="宋体" w:cs="宋体"/>
                <w:color w:val="auto"/>
                <w:szCs w:val="21"/>
                <w:highlight w:val="none"/>
              </w:rPr>
              <w:t>提交投标文件截止时间前3年内；</w:t>
            </w:r>
          </w:p>
          <w:p w14:paraId="5731586E">
            <w:pPr>
              <w:spacing w:line="360" w:lineRule="auto"/>
              <w:rPr>
                <w:rFonts w:hint="default" w:ascii="宋体" w:hAnsi="宋体" w:eastAsia="宋体" w:cs="宋体"/>
                <w:color w:val="auto"/>
                <w:szCs w:val="21"/>
                <w:highlight w:val="none"/>
              </w:rPr>
            </w:pPr>
            <w:r>
              <w:rPr>
                <w:rFonts w:ascii="宋体" w:hAnsi="宋体" w:eastAsia="宋体" w:cs="宋体"/>
                <w:b/>
                <w:bCs/>
                <w:color w:val="auto"/>
                <w:szCs w:val="21"/>
                <w:highlight w:val="none"/>
              </w:rPr>
              <w:t>查询记录和证据的留存：</w:t>
            </w:r>
            <w:r>
              <w:rPr>
                <w:rFonts w:ascii="宋体" w:hAnsi="宋体" w:eastAsia="宋体" w:cs="宋体"/>
                <w:color w:val="auto"/>
                <w:szCs w:val="21"/>
                <w:highlight w:val="none"/>
              </w:rPr>
              <w:t>信用信息查询记录和证据以网页截图等方式留存。</w:t>
            </w:r>
          </w:p>
          <w:p w14:paraId="1C607815">
            <w:pPr>
              <w:spacing w:line="360" w:lineRule="auto"/>
              <w:rPr>
                <w:rFonts w:hint="default" w:ascii="宋体" w:hAnsi="宋体" w:eastAsia="宋体" w:cs="宋体"/>
                <w:b/>
                <w:bCs/>
                <w:color w:val="auto"/>
                <w:szCs w:val="21"/>
                <w:highlight w:val="none"/>
              </w:rPr>
            </w:pPr>
            <w:r>
              <w:rPr>
                <w:rFonts w:ascii="宋体" w:hAnsi="宋体" w:eastAsia="宋体" w:cs="宋体"/>
                <w:b/>
                <w:bCs/>
                <w:color w:val="auto"/>
                <w:szCs w:val="21"/>
                <w:highlight w:val="none"/>
              </w:rPr>
              <w:t>使用规则：</w:t>
            </w:r>
            <w:r>
              <w:rPr>
                <w:rFonts w:ascii="宋体" w:hAnsi="宋体" w:eastAsia="宋体" w:cs="宋体"/>
                <w:color w:val="auto"/>
                <w:szCs w:val="21"/>
                <w:highlight w:val="none"/>
              </w:rPr>
              <w:t>被列入失信被执行人、重大税收违法失信主体、政府采购严重违法失信行为记录名单及其他不符合《中华人民共和国政府采购法》第二十二条规定条件的，其投标将被拒绝。</w:t>
            </w:r>
          </w:p>
          <w:p w14:paraId="42BB76E8">
            <w:pPr>
              <w:spacing w:line="360" w:lineRule="auto"/>
              <w:rPr>
                <w:rFonts w:hint="default" w:ascii="宋体" w:hAnsi="宋体" w:eastAsia="宋体" w:cs="宋体"/>
                <w:bCs/>
                <w:color w:val="auto"/>
                <w:szCs w:val="21"/>
                <w:highlight w:val="none"/>
              </w:rPr>
            </w:pPr>
            <w:r>
              <w:rPr>
                <w:rFonts w:ascii="宋体" w:hAnsi="宋体" w:eastAsia="宋体" w:cs="宋体"/>
                <w:b/>
                <w:bCs/>
                <w:color w:val="auto"/>
                <w:szCs w:val="21"/>
                <w:highlight w:val="none"/>
              </w:rPr>
              <w:t>联合体信用信息查询：</w:t>
            </w:r>
            <w:r>
              <w:rPr>
                <w:rFonts w:ascii="宋体" w:hAnsi="宋体" w:eastAsia="宋体" w:cs="宋体"/>
                <w:color w:val="auto"/>
                <w:szCs w:val="21"/>
                <w:highlight w:val="none"/>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0D0CC6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E4DB731">
            <w:pPr>
              <w:spacing w:line="360" w:lineRule="auto"/>
              <w:jc w:val="center"/>
              <w:rPr>
                <w:rFonts w:hint="default" w:ascii="宋体" w:hAnsi="宋体" w:eastAsia="宋体" w:cs="宋体"/>
                <w:color w:val="auto"/>
                <w:szCs w:val="21"/>
                <w:highlight w:val="none"/>
                <w:lang w:eastAsia="zh-TW"/>
              </w:rPr>
            </w:pPr>
            <w:r>
              <w:rPr>
                <w:rFonts w:ascii="宋体" w:hAnsi="宋体" w:eastAsia="宋体" w:cs="宋体"/>
                <w:color w:val="auto"/>
                <w:szCs w:val="21"/>
                <w:highlight w:val="none"/>
              </w:rPr>
              <w:t>27</w:t>
            </w:r>
          </w:p>
        </w:tc>
        <w:tc>
          <w:tcPr>
            <w:tcW w:w="1231" w:type="dxa"/>
            <w:tcBorders>
              <w:tl2br w:val="nil"/>
              <w:tr2bl w:val="nil"/>
            </w:tcBorders>
            <w:vAlign w:val="center"/>
          </w:tcPr>
          <w:p w14:paraId="784E4E06">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质疑</w:t>
            </w:r>
          </w:p>
        </w:tc>
        <w:tc>
          <w:tcPr>
            <w:tcW w:w="6764" w:type="dxa"/>
            <w:tcBorders>
              <w:tl2br w:val="nil"/>
              <w:tr2bl w:val="nil"/>
            </w:tcBorders>
            <w:vAlign w:val="center"/>
          </w:tcPr>
          <w:p w14:paraId="2561E11D">
            <w:pPr>
              <w:spacing w:line="360" w:lineRule="auto"/>
              <w:rPr>
                <w:rFonts w:hint="default" w:ascii="宋体" w:hAnsi="宋体" w:eastAsia="宋体" w:cs="宋体"/>
                <w:color w:val="auto"/>
                <w:szCs w:val="21"/>
                <w:highlight w:val="none"/>
                <w:lang w:val="zh-TW" w:eastAsia="zh-TW"/>
              </w:rPr>
            </w:pPr>
            <w:r>
              <w:rPr>
                <w:rFonts w:ascii="宋体" w:hAnsi="宋体" w:eastAsia="宋体" w:cs="宋体"/>
                <w:color w:val="auto"/>
                <w:szCs w:val="21"/>
                <w:highlight w:val="none"/>
                <w:lang w:val="zh-TW" w:eastAsia="zh-TW"/>
              </w:rPr>
              <w:t>质疑：</w:t>
            </w:r>
            <w:r>
              <w:rPr>
                <w:rFonts w:ascii="宋体" w:hAnsi="宋体" w:eastAsia="宋体" w:cs="宋体"/>
                <w:color w:val="auto"/>
                <w:szCs w:val="21"/>
                <w:highlight w:val="none"/>
              </w:rPr>
              <w:t>投标人</w:t>
            </w:r>
            <w:r>
              <w:rPr>
                <w:rFonts w:ascii="宋体" w:hAnsi="宋体" w:eastAsia="宋体" w:cs="宋体"/>
                <w:color w:val="auto"/>
                <w:szCs w:val="21"/>
                <w:highlight w:val="none"/>
                <w:lang w:val="zh-TW" w:eastAsia="zh-TW"/>
              </w:rPr>
              <w:t>在法定质疑期内应当一次性提出针对同一采购程序环节的质疑。</w:t>
            </w:r>
          </w:p>
          <w:p w14:paraId="26498DD8">
            <w:pPr>
              <w:spacing w:line="360" w:lineRule="auto"/>
              <w:rPr>
                <w:rFonts w:hint="default" w:ascii="宋体" w:hAnsi="宋体" w:eastAsia="宋体" w:cs="宋体"/>
                <w:color w:val="auto"/>
                <w:szCs w:val="21"/>
                <w:highlight w:val="none"/>
              </w:rPr>
            </w:pPr>
            <w:r>
              <w:rPr>
                <w:rFonts w:hint="default" w:ascii="宋体" w:hAnsi="宋体" w:eastAsia="宋体" w:cs="宋体"/>
                <w:color w:val="auto"/>
                <w:szCs w:val="21"/>
                <w:highlight w:val="none"/>
                <w:lang w:val="zh-TW" w:eastAsia="zh-TW"/>
              </w:rPr>
              <w:t>接收质疑函的方式</w:t>
            </w:r>
            <w:r>
              <w:rPr>
                <w:rFonts w:hint="default" w:ascii="宋体" w:hAnsi="宋体" w:eastAsia="宋体" w:cs="宋体"/>
                <w:b w:val="0"/>
                <w:bCs w:val="0"/>
                <w:color w:val="auto"/>
                <w:szCs w:val="21"/>
                <w:highlight w:val="none"/>
                <w:lang w:val="zh-TW" w:eastAsia="zh-TW"/>
              </w:rPr>
              <w:t>：</w:t>
            </w:r>
            <w:r>
              <w:rPr>
                <w:rFonts w:hint="default" w:ascii="宋体" w:hAnsi="宋体" w:eastAsia="宋体" w:cs="宋体"/>
                <w:b w:val="0"/>
                <w:bCs w:val="0"/>
                <w:color w:val="auto"/>
                <w:szCs w:val="21"/>
                <w:highlight w:val="none"/>
              </w:rPr>
              <w:t>①纸质</w:t>
            </w:r>
            <w:r>
              <w:rPr>
                <w:rFonts w:hint="default" w:ascii="宋体" w:hAnsi="宋体" w:eastAsia="宋体" w:cs="宋体"/>
                <w:b w:val="0"/>
                <w:bCs w:val="0"/>
                <w:color w:val="auto"/>
                <w:szCs w:val="21"/>
                <w:highlight w:val="none"/>
                <w:lang w:val="zh-TW" w:eastAsia="zh-TW"/>
              </w:rPr>
              <w:t>形式</w:t>
            </w:r>
            <w:r>
              <w:rPr>
                <w:rFonts w:hint="default" w:ascii="宋体" w:hAnsi="宋体" w:eastAsia="宋体" w:cs="宋体"/>
                <w:b w:val="0"/>
                <w:bCs w:val="0"/>
                <w:color w:val="auto"/>
                <w:szCs w:val="21"/>
                <w:highlight w:val="none"/>
                <w:lang w:val="zh-TW"/>
              </w:rPr>
              <w:t>，</w:t>
            </w:r>
            <w:r>
              <w:rPr>
                <w:rFonts w:hint="default" w:ascii="宋体" w:hAnsi="宋体" w:eastAsia="宋体" w:cs="宋体"/>
                <w:b w:val="0"/>
                <w:bCs w:val="0"/>
                <w:color w:val="auto"/>
                <w:szCs w:val="21"/>
                <w:highlight w:val="none"/>
              </w:rPr>
              <w:t>以快递方式送达</w:t>
            </w:r>
            <w:r>
              <w:rPr>
                <w:rFonts w:hint="default" w:ascii="宋体" w:hAnsi="宋体" w:eastAsia="宋体" w:cs="宋体"/>
                <w:b w:val="0"/>
                <w:bCs w:val="0"/>
                <w:color w:val="auto"/>
                <w:szCs w:val="21"/>
                <w:highlight w:val="none"/>
                <w:lang w:val="zh-TW" w:eastAsia="zh-TW"/>
              </w:rPr>
              <w:t>。联系人：陈</w:t>
            </w:r>
            <w:r>
              <w:rPr>
                <w:rFonts w:hint="default" w:ascii="宋体" w:hAnsi="宋体" w:eastAsia="宋体" w:cs="宋体"/>
                <w:b w:val="0"/>
                <w:bCs w:val="0"/>
                <w:color w:val="auto"/>
                <w:szCs w:val="21"/>
                <w:highlight w:val="none"/>
                <w:lang w:val="zh-TW"/>
              </w:rPr>
              <w:t>女士</w:t>
            </w:r>
            <w:r>
              <w:rPr>
                <w:rFonts w:hint="default" w:ascii="宋体" w:hAnsi="宋体" w:eastAsia="宋体" w:cs="宋体"/>
                <w:b w:val="0"/>
                <w:bCs w:val="0"/>
                <w:color w:val="auto"/>
                <w:szCs w:val="21"/>
                <w:highlight w:val="none"/>
                <w:lang w:val="zh-TW" w:eastAsia="zh-TW"/>
              </w:rPr>
              <w:t>，联系电话：</w:t>
            </w:r>
            <w:r>
              <w:rPr>
                <w:rFonts w:hint="default" w:ascii="宋体" w:hAnsi="宋体" w:eastAsia="宋体" w:cs="宋体"/>
                <w:b w:val="0"/>
                <w:bCs w:val="0"/>
                <w:color w:val="auto"/>
                <w:szCs w:val="21"/>
                <w:highlight w:val="none"/>
                <w:lang w:val="zh-TW"/>
              </w:rPr>
              <w:t>13566959006，地址：浦江县华欣花园02铺。同时请将</w:t>
            </w:r>
            <w:r>
              <w:rPr>
                <w:rFonts w:hint="default" w:ascii="宋体" w:hAnsi="宋体" w:eastAsia="宋体" w:cs="宋体"/>
                <w:b w:val="0"/>
                <w:bCs w:val="0"/>
                <w:color w:val="auto"/>
                <w:szCs w:val="21"/>
                <w:highlight w:val="none"/>
              </w:rPr>
              <w:t>质疑函的word格式文件发送至邮箱：</w:t>
            </w:r>
            <w:r>
              <w:rPr>
                <w:rFonts w:hint="default" w:ascii="宋体" w:hAnsi="宋体" w:eastAsia="宋体" w:cs="宋体"/>
                <w:b w:val="0"/>
                <w:bCs w:val="0"/>
                <w:color w:val="auto"/>
                <w:szCs w:val="21"/>
                <w:highlight w:val="none"/>
              </w:rPr>
              <w:fldChar w:fldCharType="begin"/>
            </w:r>
            <w:r>
              <w:rPr>
                <w:rFonts w:hint="default" w:ascii="宋体" w:hAnsi="宋体" w:eastAsia="宋体" w:cs="宋体"/>
                <w:b w:val="0"/>
                <w:bCs w:val="0"/>
                <w:color w:val="auto"/>
                <w:szCs w:val="21"/>
                <w:highlight w:val="none"/>
              </w:rPr>
              <w:instrText xml:space="preserve"> HYPERLINK "mailto:1963488340</w:instrText>
            </w:r>
            <w:r>
              <w:rPr>
                <w:rFonts w:hint="default" w:ascii="宋体" w:hAnsi="宋体" w:eastAsia="宋体" w:cs="宋体"/>
                <w:b w:val="0"/>
                <w:bCs w:val="0"/>
                <w:color w:val="auto"/>
                <w:szCs w:val="21"/>
                <w:highlight w:val="none"/>
                <w:lang w:val="zh-TW" w:eastAsia="zh-TW"/>
              </w:rPr>
              <w:instrText xml:space="preserve">@qq.com</w:instrText>
            </w:r>
            <w:r>
              <w:rPr>
                <w:rFonts w:hint="default" w:ascii="宋体" w:hAnsi="宋体" w:eastAsia="宋体" w:cs="宋体"/>
                <w:b w:val="0"/>
                <w:bCs w:val="0"/>
                <w:color w:val="auto"/>
                <w:szCs w:val="21"/>
                <w:highlight w:val="none"/>
              </w:rPr>
              <w:instrText xml:space="preserve">" </w:instrText>
            </w:r>
            <w:r>
              <w:rPr>
                <w:rFonts w:hint="default" w:ascii="宋体" w:hAnsi="宋体" w:eastAsia="宋体" w:cs="宋体"/>
                <w:b w:val="0"/>
                <w:bCs w:val="0"/>
                <w:color w:val="auto"/>
                <w:szCs w:val="21"/>
                <w:highlight w:val="none"/>
              </w:rPr>
              <w:fldChar w:fldCharType="separate"/>
            </w:r>
            <w:r>
              <w:rPr>
                <w:rFonts w:hint="default" w:ascii="宋体" w:hAnsi="宋体" w:eastAsia="宋体" w:cs="宋体"/>
                <w:b w:val="0"/>
                <w:bCs w:val="0"/>
                <w:color w:val="auto"/>
                <w:szCs w:val="21"/>
                <w:highlight w:val="none"/>
              </w:rPr>
              <w:t>1963488340</w:t>
            </w:r>
            <w:r>
              <w:rPr>
                <w:rFonts w:hint="default" w:ascii="宋体" w:hAnsi="宋体" w:eastAsia="宋体" w:cs="宋体"/>
                <w:b w:val="0"/>
                <w:bCs w:val="0"/>
                <w:color w:val="auto"/>
                <w:szCs w:val="21"/>
                <w:highlight w:val="none"/>
                <w:lang w:val="zh-TW" w:eastAsia="zh-TW"/>
              </w:rPr>
              <w:t>@qq.com</w:t>
            </w:r>
            <w:r>
              <w:rPr>
                <w:rFonts w:hint="default" w:ascii="宋体" w:hAnsi="宋体" w:eastAsia="宋体" w:cs="宋体"/>
                <w:b w:val="0"/>
                <w:bCs w:val="0"/>
                <w:color w:val="auto"/>
                <w:szCs w:val="21"/>
                <w:highlight w:val="none"/>
              </w:rPr>
              <w:fldChar w:fldCharType="end"/>
            </w:r>
            <w:r>
              <w:rPr>
                <w:rFonts w:hint="default" w:ascii="宋体" w:hAnsi="宋体" w:eastAsia="宋体" w:cs="宋体"/>
                <w:b w:val="0"/>
                <w:bCs w:val="0"/>
                <w:color w:val="auto"/>
                <w:szCs w:val="21"/>
                <w:highlight w:val="none"/>
                <w:lang w:val="zh-TW" w:eastAsia="zh-TW"/>
              </w:rPr>
              <w:t>。</w:t>
            </w:r>
            <w:r>
              <w:rPr>
                <w:rFonts w:hint="default" w:ascii="宋体" w:hAnsi="宋体" w:eastAsia="宋体" w:cs="宋体"/>
                <w:b w:val="0"/>
                <w:bCs w:val="0"/>
                <w:color w:val="auto"/>
                <w:szCs w:val="21"/>
                <w:highlight w:val="none"/>
              </w:rPr>
              <w:t>②在线质疑菜单路径：应用中心</w:t>
            </w:r>
            <w:r>
              <w:rPr>
                <w:rFonts w:hint="default" w:ascii="宋体" w:hAnsi="宋体" w:eastAsia="宋体" w:cs="宋体"/>
                <w:b w:val="0"/>
                <w:bCs w:val="0"/>
                <w:color w:val="auto"/>
                <w:szCs w:val="21"/>
                <w:highlight w:val="none"/>
                <w:lang w:eastAsia="zh-CN"/>
              </w:rPr>
              <w:t>－</w:t>
            </w:r>
            <w:r>
              <w:rPr>
                <w:rFonts w:hint="default" w:ascii="宋体" w:hAnsi="宋体" w:eastAsia="宋体" w:cs="宋体"/>
                <w:b w:val="0"/>
                <w:bCs w:val="0"/>
                <w:color w:val="auto"/>
                <w:szCs w:val="21"/>
                <w:highlight w:val="none"/>
              </w:rPr>
              <w:t>项目采购</w:t>
            </w:r>
            <w:r>
              <w:rPr>
                <w:rFonts w:hint="default" w:ascii="宋体" w:hAnsi="宋体" w:eastAsia="宋体" w:cs="宋体"/>
                <w:b w:val="0"/>
                <w:bCs w:val="0"/>
                <w:color w:val="auto"/>
                <w:szCs w:val="21"/>
                <w:highlight w:val="none"/>
                <w:lang w:eastAsia="zh-CN"/>
              </w:rPr>
              <w:t>－</w:t>
            </w:r>
            <w:r>
              <w:rPr>
                <w:rFonts w:hint="default" w:ascii="宋体" w:hAnsi="宋体" w:eastAsia="宋体" w:cs="宋体"/>
                <w:b w:val="0"/>
                <w:bCs w:val="0"/>
                <w:color w:val="auto"/>
                <w:szCs w:val="21"/>
                <w:highlight w:val="none"/>
              </w:rPr>
              <w:t>询问质疑投诉</w:t>
            </w:r>
            <w:r>
              <w:rPr>
                <w:rFonts w:hint="default" w:ascii="宋体" w:hAnsi="宋体" w:eastAsia="宋体" w:cs="宋体"/>
                <w:b w:val="0"/>
                <w:bCs w:val="0"/>
                <w:color w:val="auto"/>
                <w:szCs w:val="21"/>
                <w:highlight w:val="none"/>
                <w:lang w:eastAsia="zh-CN"/>
              </w:rPr>
              <w:t>－</w:t>
            </w:r>
            <w:r>
              <w:rPr>
                <w:rFonts w:hint="default" w:ascii="宋体" w:hAnsi="宋体" w:eastAsia="宋体" w:cs="宋体"/>
                <w:b w:val="0"/>
                <w:bCs w:val="0"/>
                <w:color w:val="auto"/>
                <w:szCs w:val="21"/>
                <w:highlight w:val="none"/>
              </w:rPr>
              <w:t>质疑列表，具体操作详见“政府采购项目电子交易管理操作指南</w:t>
            </w:r>
            <w:r>
              <w:rPr>
                <w:rFonts w:hint="default" w:ascii="宋体" w:hAnsi="宋体" w:eastAsia="宋体" w:cs="宋体"/>
                <w:b w:val="0"/>
                <w:bCs w:val="0"/>
                <w:color w:val="auto"/>
                <w:szCs w:val="21"/>
                <w:highlight w:val="none"/>
                <w:lang w:eastAsia="zh-CN"/>
              </w:rPr>
              <w:t>－</w:t>
            </w:r>
            <w:r>
              <w:rPr>
                <w:rFonts w:hint="default" w:ascii="宋体" w:hAnsi="宋体" w:eastAsia="宋体" w:cs="宋体"/>
                <w:b w:val="0"/>
                <w:bCs w:val="0"/>
                <w:color w:val="auto"/>
                <w:szCs w:val="21"/>
                <w:highlight w:val="none"/>
              </w:rPr>
              <w:t>供应商” （https://service.zcygov.cn/#/knowledges/CW1EtGwBFdiHxlNd6I3m/6IMVAG0BFdiHxlNdQ8Na）</w:t>
            </w:r>
          </w:p>
        </w:tc>
      </w:tr>
      <w:tr w14:paraId="6480A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0ED21FC">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28</w:t>
            </w:r>
          </w:p>
        </w:tc>
        <w:tc>
          <w:tcPr>
            <w:tcW w:w="1231" w:type="dxa"/>
            <w:tcBorders>
              <w:tl2br w:val="nil"/>
              <w:tr2bl w:val="nil"/>
            </w:tcBorders>
            <w:vAlign w:val="center"/>
          </w:tcPr>
          <w:p w14:paraId="5C0B4974">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节能产品、环境标志产品政策</w:t>
            </w:r>
          </w:p>
        </w:tc>
        <w:tc>
          <w:tcPr>
            <w:tcW w:w="6764" w:type="dxa"/>
            <w:tcBorders>
              <w:tl2br w:val="nil"/>
              <w:tr2bl w:val="nil"/>
            </w:tcBorders>
            <w:vAlign w:val="center"/>
          </w:tcPr>
          <w:p w14:paraId="2E26B3EE">
            <w:pPr>
              <w:spacing w:line="360" w:lineRule="auto"/>
              <w:rPr>
                <w:rFonts w:hint="default" w:asciiTheme="minorEastAsia" w:hAnsiTheme="minorEastAsia" w:eastAsiaTheme="minorEastAsia" w:cstheme="minorEastAsia"/>
                <w:b/>
                <w:bCs/>
                <w:color w:val="auto"/>
                <w:szCs w:val="21"/>
                <w:highlight w:val="none"/>
              </w:rPr>
            </w:pPr>
            <w:r>
              <w:rPr>
                <w:rFonts w:ascii="宋体" w:hAnsi="宋体" w:eastAsia="宋体" w:cs="宋体"/>
                <w:b/>
                <w:color w:val="auto"/>
                <w:szCs w:val="21"/>
                <w:highlight w:val="none"/>
              </w:rPr>
              <w:sym w:font="Wingdings" w:char="F0FE"/>
            </w:r>
            <w:r>
              <w:rPr>
                <w:rFonts w:ascii="宋体" w:hAnsi="宋体" w:eastAsia="宋体" w:cs="宋体"/>
                <w:b/>
                <w:color w:val="auto"/>
                <w:szCs w:val="21"/>
                <w:highlight w:val="none"/>
              </w:rPr>
              <w:t>本</w:t>
            </w:r>
            <w:r>
              <w:rPr>
                <w:rFonts w:asciiTheme="minorEastAsia" w:hAnsiTheme="minorEastAsia" w:eastAsiaTheme="minorEastAsia" w:cstheme="minorEastAsia"/>
                <w:b/>
                <w:bCs/>
                <w:color w:val="auto"/>
                <w:szCs w:val="21"/>
                <w:highlight w:val="none"/>
              </w:rPr>
              <w:t>项目为服务项目，不适用节能环保政策。</w:t>
            </w:r>
          </w:p>
          <w:p w14:paraId="7CB42861">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根据《关于调整优化节能产品、环境标志产品政府采购执行机制的通知》（财库〔2019〕9号）文件的规定，本项目如需采购节能产品、环境标志产品品目清单内的产品的，供应商所投的相应产品须提供经国家确定的认证机构出具的、处于有效期之内的节能产品、环境标志产品认证证书，采购人对获得证书的产品实施政府优先采购或强制采购。</w:t>
            </w:r>
          </w:p>
          <w:p w14:paraId="213F2A7F">
            <w:pPr>
              <w:spacing w:line="360" w:lineRule="auto"/>
              <w:rPr>
                <w:rFonts w:hint="default" w:ascii="宋体" w:hAnsi="宋体" w:eastAsia="宋体" w:cs="宋体"/>
                <w:b/>
                <w:bCs/>
                <w:color w:val="auto"/>
                <w:szCs w:val="21"/>
                <w:highlight w:val="none"/>
              </w:rPr>
            </w:pPr>
            <w:r>
              <w:rPr>
                <w:rFonts w:ascii="宋体" w:hAnsi="宋体" w:eastAsia="宋体" w:cs="宋体"/>
                <w:b/>
                <w:bCs/>
                <w:color w:val="auto"/>
                <w:szCs w:val="21"/>
                <w:highlight w:val="none"/>
              </w:rPr>
              <w:t>提供中国政府采购网（www.ccgp.gov.cn）网页查询打印材料等说明材料。</w:t>
            </w:r>
          </w:p>
          <w:p w14:paraId="0E78DD25">
            <w:pPr>
              <w:spacing w:line="360" w:lineRule="auto"/>
              <w:rPr>
                <w:rFonts w:hint="default" w:ascii="宋体" w:hAnsi="宋体" w:eastAsia="宋体" w:cs="宋体"/>
                <w:color w:val="auto"/>
                <w:szCs w:val="21"/>
                <w:highlight w:val="none"/>
                <w:lang w:val="zh-TW" w:eastAsia="zh-TW"/>
              </w:rPr>
            </w:pPr>
            <w:r>
              <w:rPr>
                <w:rFonts w:ascii="宋体" w:hAnsi="宋体" w:eastAsia="宋体" w:cs="宋体"/>
                <w:b/>
                <w:bCs/>
                <w:color w:val="auto"/>
                <w:szCs w:val="21"/>
                <w:highlight w:val="none"/>
              </w:rPr>
              <w:t>注：属于强制采购品目清单中的产品如未获得证书，其投标将被拒绝。</w:t>
            </w:r>
          </w:p>
        </w:tc>
      </w:tr>
      <w:tr w14:paraId="560A32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AB9B0AA">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29</w:t>
            </w:r>
          </w:p>
        </w:tc>
        <w:tc>
          <w:tcPr>
            <w:tcW w:w="1231" w:type="dxa"/>
            <w:tcBorders>
              <w:tl2br w:val="nil"/>
              <w:tr2bl w:val="nil"/>
            </w:tcBorders>
            <w:vAlign w:val="center"/>
          </w:tcPr>
          <w:p w14:paraId="412771B2">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采购代理服务费</w:t>
            </w:r>
          </w:p>
        </w:tc>
        <w:tc>
          <w:tcPr>
            <w:tcW w:w="6764" w:type="dxa"/>
            <w:tcBorders>
              <w:tl2br w:val="nil"/>
              <w:tr2bl w:val="nil"/>
            </w:tcBorders>
            <w:vAlign w:val="center"/>
          </w:tcPr>
          <w:p w14:paraId="45417DA5">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本项目招标代理服务费收取标准：本项目招标代理服务费以中标金额为基数</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参照（计价格[2002]1980号）文件计算</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费用由中标供应商承担。投标供应商报价时须综合考虑，由中标供应商在</w:t>
            </w:r>
            <w:r>
              <w:rPr>
                <w:rFonts w:hint="eastAsia" w:asciiTheme="minorEastAsia" w:hAnsiTheme="minorEastAsia" w:eastAsiaTheme="minorEastAsia" w:cstheme="minorEastAsia"/>
                <w:color w:val="auto"/>
                <w:kern w:val="0"/>
                <w:sz w:val="21"/>
                <w:szCs w:val="21"/>
                <w:highlight w:val="none"/>
                <w:lang w:val="en-US" w:eastAsia="zh-CN"/>
              </w:rPr>
              <w:t>领取</w:t>
            </w:r>
            <w:r>
              <w:rPr>
                <w:rFonts w:hint="eastAsia" w:asciiTheme="minorEastAsia" w:hAnsiTheme="minorEastAsia" w:eastAsiaTheme="minorEastAsia" w:cstheme="minorEastAsia"/>
                <w:color w:val="auto"/>
                <w:kern w:val="0"/>
                <w:sz w:val="21"/>
                <w:szCs w:val="21"/>
                <w:highlight w:val="none"/>
              </w:rPr>
              <w:t>中标通知书</w:t>
            </w:r>
            <w:r>
              <w:rPr>
                <w:rFonts w:hint="eastAsia" w:asciiTheme="minorEastAsia" w:hAnsiTheme="minorEastAsia" w:eastAsiaTheme="minorEastAsia" w:cstheme="minorEastAsia"/>
                <w:color w:val="auto"/>
                <w:kern w:val="0"/>
                <w:sz w:val="21"/>
                <w:szCs w:val="21"/>
                <w:highlight w:val="none"/>
                <w:lang w:val="en-US" w:eastAsia="zh-CN"/>
              </w:rPr>
              <w:t>之前</w:t>
            </w:r>
            <w:r>
              <w:rPr>
                <w:rFonts w:hint="eastAsia" w:asciiTheme="minorEastAsia" w:hAnsiTheme="minorEastAsia" w:eastAsiaTheme="minorEastAsia" w:cstheme="minorEastAsia"/>
                <w:color w:val="auto"/>
                <w:kern w:val="0"/>
                <w:sz w:val="21"/>
                <w:szCs w:val="21"/>
                <w:highlight w:val="none"/>
              </w:rPr>
              <w:t>支付给采购代理机构。</w:t>
            </w:r>
          </w:p>
          <w:p w14:paraId="3DFBE29E">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开户名称：浙江京承工程管理有限公司</w:t>
            </w:r>
          </w:p>
          <w:p w14:paraId="54DD1356">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开户银行：中国工商银行股份有限公司浦江支行</w:t>
            </w:r>
          </w:p>
          <w:p w14:paraId="0940B4F8">
            <w:pPr>
              <w:spacing w:line="360" w:lineRule="auto"/>
              <w:rPr>
                <w:rFonts w:hint="default" w:ascii="宋体" w:hAnsi="宋体" w:eastAsia="宋体" w:cs="宋体"/>
                <w:bCs/>
                <w:color w:val="auto"/>
                <w:szCs w:val="21"/>
                <w:highlight w:val="none"/>
                <w:lang w:val="zh-TW" w:eastAsia="zh-TW"/>
              </w:rPr>
            </w:pPr>
            <w:r>
              <w:rPr>
                <w:rFonts w:hint="eastAsia" w:asciiTheme="minorEastAsia" w:hAnsiTheme="minorEastAsia" w:eastAsiaTheme="minorEastAsia" w:cstheme="minorEastAsia"/>
                <w:color w:val="auto"/>
                <w:kern w:val="0"/>
                <w:sz w:val="21"/>
                <w:szCs w:val="21"/>
                <w:highlight w:val="none"/>
              </w:rPr>
              <w:t>账号：1208070009200271416</w:t>
            </w:r>
          </w:p>
        </w:tc>
      </w:tr>
      <w:tr w14:paraId="3BB124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CDD87C3">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30</w:t>
            </w:r>
          </w:p>
        </w:tc>
        <w:tc>
          <w:tcPr>
            <w:tcW w:w="1231" w:type="dxa"/>
            <w:tcBorders>
              <w:tl2br w:val="nil"/>
              <w:tr2bl w:val="nil"/>
            </w:tcBorders>
            <w:vAlign w:val="center"/>
          </w:tcPr>
          <w:p w14:paraId="298219DD">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是否允许采购进口产品</w:t>
            </w:r>
          </w:p>
        </w:tc>
        <w:tc>
          <w:tcPr>
            <w:tcW w:w="6764" w:type="dxa"/>
            <w:tcBorders>
              <w:tl2br w:val="nil"/>
              <w:tr2bl w:val="nil"/>
            </w:tcBorders>
            <w:vAlign w:val="center"/>
          </w:tcPr>
          <w:p w14:paraId="562C0EB9">
            <w:pPr>
              <w:spacing w:line="360" w:lineRule="auto"/>
              <w:rPr>
                <w:rFonts w:hint="default" w:ascii="宋体" w:hAnsi="宋体" w:eastAsia="宋体" w:cs="宋体"/>
                <w:b/>
                <w:color w:val="auto"/>
                <w:szCs w:val="21"/>
                <w:highlight w:val="none"/>
              </w:rPr>
            </w:pPr>
            <w:sdt>
              <w:sdtPr>
                <w:rPr>
                  <w:rFonts w:ascii="宋体" w:hAnsi="宋体" w:eastAsia="宋体" w:cs="宋体"/>
                  <w:b/>
                  <w:color w:val="auto"/>
                  <w:szCs w:val="21"/>
                  <w:highlight w:val="none"/>
                </w:rPr>
                <w:id w:val="-1828425707"/>
              </w:sdtPr>
              <w:sdtEndPr>
                <w:rPr>
                  <w:rFonts w:ascii="宋体" w:hAnsi="宋体" w:eastAsia="宋体" w:cs="宋体"/>
                  <w:b/>
                  <w:color w:val="auto"/>
                  <w:szCs w:val="21"/>
                  <w:highlight w:val="none"/>
                </w:rPr>
              </w:sdtEndPr>
              <w:sdtContent>
                <w:r>
                  <w:rPr>
                    <w:rFonts w:ascii="宋体" w:hAnsi="宋体" w:eastAsia="宋体" w:cs="宋体"/>
                    <w:b/>
                    <w:color w:val="auto"/>
                    <w:szCs w:val="21"/>
                    <w:highlight w:val="none"/>
                  </w:rPr>
                  <w:sym w:font="Wingdings" w:char="F0FE"/>
                </w:r>
              </w:sdtContent>
            </w:sdt>
            <w:r>
              <w:rPr>
                <w:rFonts w:ascii="宋体" w:hAnsi="宋体" w:eastAsia="宋体" w:cs="宋体"/>
                <w:b/>
                <w:color w:val="auto"/>
                <w:szCs w:val="21"/>
                <w:highlight w:val="none"/>
              </w:rPr>
              <w:t>本项目不允许采购进口产品。</w:t>
            </w:r>
          </w:p>
          <w:p w14:paraId="31B04041">
            <w:pPr>
              <w:spacing w:line="360" w:lineRule="auto"/>
              <w:rPr>
                <w:rFonts w:hint="default" w:ascii="宋体" w:hAnsi="宋体" w:eastAsia="宋体" w:cs="宋体"/>
                <w:b/>
                <w:color w:val="auto"/>
                <w:szCs w:val="21"/>
                <w:highlight w:val="none"/>
              </w:rPr>
            </w:pPr>
            <w:sdt>
              <w:sdtPr>
                <w:rPr>
                  <w:rFonts w:ascii="宋体" w:hAnsi="宋体" w:eastAsia="宋体" w:cs="宋体"/>
                  <w:b/>
                  <w:color w:val="auto"/>
                  <w:szCs w:val="21"/>
                  <w:highlight w:val="none"/>
                </w:rPr>
                <w:id w:val="-52852824"/>
              </w:sdtPr>
              <w:sdtEndPr>
                <w:rPr>
                  <w:rFonts w:ascii="宋体" w:hAnsi="宋体" w:eastAsia="宋体" w:cs="宋体"/>
                  <w:b w:val="0"/>
                  <w:bCs/>
                  <w:color w:val="auto"/>
                  <w:szCs w:val="21"/>
                  <w:highlight w:val="none"/>
                </w:rPr>
              </w:sdtEndPr>
              <w:sdtContent>
                <w:r>
                  <w:rPr>
                    <w:rFonts w:ascii="宋体" w:hAnsi="宋体" w:eastAsia="宋体" w:cs="宋体"/>
                    <w:bCs/>
                    <w:color w:val="auto"/>
                    <w:szCs w:val="21"/>
                    <w:highlight w:val="none"/>
                  </w:rPr>
                  <w:t>☐</w:t>
                </w:r>
              </w:sdtContent>
            </w:sdt>
            <w:r>
              <w:rPr>
                <w:rFonts w:ascii="宋体" w:hAnsi="宋体" w:eastAsia="宋体" w:cs="宋体"/>
                <w:bCs/>
                <w:color w:val="auto"/>
                <w:szCs w:val="21"/>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E2AF6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05F1AB3">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31</w:t>
            </w:r>
          </w:p>
        </w:tc>
        <w:tc>
          <w:tcPr>
            <w:tcW w:w="1231" w:type="dxa"/>
            <w:tcBorders>
              <w:tl2br w:val="nil"/>
              <w:tr2bl w:val="nil"/>
            </w:tcBorders>
            <w:vAlign w:val="center"/>
          </w:tcPr>
          <w:p w14:paraId="4E18F050">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项目属性与核心产品</w:t>
            </w:r>
          </w:p>
        </w:tc>
        <w:tc>
          <w:tcPr>
            <w:tcW w:w="6764" w:type="dxa"/>
            <w:tcBorders>
              <w:tl2br w:val="nil"/>
              <w:tr2bl w:val="nil"/>
            </w:tcBorders>
            <w:vAlign w:val="center"/>
          </w:tcPr>
          <w:p w14:paraId="28E2EF1C">
            <w:pPr>
              <w:adjustRightInd w:val="0"/>
              <w:spacing w:line="360" w:lineRule="auto"/>
              <w:rPr>
                <w:rFonts w:hint="default" w:asciiTheme="minorEastAsia" w:hAnsiTheme="minorEastAsia" w:eastAsiaTheme="minorEastAsia" w:cstheme="minorEastAsia"/>
                <w:color w:val="auto"/>
                <w:szCs w:val="21"/>
                <w:highlight w:val="none"/>
              </w:rPr>
            </w:pPr>
            <w:sdt>
              <w:sdtPr>
                <w:rPr>
                  <w:rFonts w:ascii="仿宋_GB2312" w:hAnsi="仿宋" w:eastAsia="仿宋_GB2312" w:cs="Arial"/>
                  <w:color w:val="auto"/>
                  <w:kern w:val="0"/>
                  <w:sz w:val="24"/>
                  <w:szCs w:val="24"/>
                  <w:highlight w:val="none"/>
                </w:rPr>
                <w:id w:val="118727868"/>
              </w:sdtPr>
              <w:sdtEndPr>
                <w:rPr>
                  <w:rFonts w:asciiTheme="minorEastAsia" w:hAnsiTheme="minorEastAsia" w:eastAsiaTheme="minorEastAsia" w:cstheme="minorEastAsia"/>
                  <w:color w:val="auto"/>
                  <w:kern w:val="0"/>
                  <w:sz w:val="21"/>
                  <w:szCs w:val="21"/>
                  <w:highlight w:val="none"/>
                </w:rPr>
              </w:sdtEndPr>
              <w:sdtContent>
                <w:r>
                  <w:rPr>
                    <w:rFonts w:ascii="MS Gothic" w:hAnsi="MS Gothic" w:eastAsiaTheme="minorEastAsia" w:cstheme="minorEastAsia"/>
                    <w:color w:val="auto"/>
                    <w:kern w:val="0"/>
                    <w:szCs w:val="21"/>
                    <w:highlight w:val="none"/>
                  </w:rPr>
                  <w:t>☐</w:t>
                </w:r>
              </w:sdtContent>
            </w:sdt>
            <w:r>
              <w:rPr>
                <w:rFonts w:asciiTheme="minorEastAsia" w:hAnsiTheme="minorEastAsia" w:eastAsiaTheme="minorEastAsia" w:cstheme="minorEastAsia"/>
                <w:color w:val="auto"/>
                <w:kern w:val="0"/>
                <w:szCs w:val="21"/>
                <w:highlight w:val="none"/>
              </w:rPr>
              <w:t>A</w:t>
            </w:r>
            <w:r>
              <w:rPr>
                <w:rFonts w:asciiTheme="minorEastAsia" w:hAnsiTheme="minorEastAsia" w:eastAsiaTheme="minorEastAsia" w:cstheme="minorEastAsia"/>
                <w:color w:val="auto"/>
                <w:szCs w:val="21"/>
                <w:highlight w:val="none"/>
              </w:rPr>
              <w:t>货物类，</w:t>
            </w:r>
            <w:r>
              <w:rPr>
                <w:rFonts w:asciiTheme="minorEastAsia" w:hAnsiTheme="minorEastAsia" w:eastAsiaTheme="minorEastAsia" w:cstheme="minorEastAsia"/>
                <w:color w:val="auto"/>
                <w:kern w:val="0"/>
                <w:szCs w:val="21"/>
                <w:highlight w:val="none"/>
              </w:rPr>
              <w:t>核心产品为：</w:t>
            </w:r>
            <w:r>
              <w:rPr>
                <w:rFonts w:asciiTheme="minorEastAsia" w:hAnsiTheme="minorEastAsia" w:eastAsiaTheme="minorEastAsia" w:cstheme="minorEastAsia"/>
                <w:color w:val="auto"/>
                <w:szCs w:val="21"/>
                <w:highlight w:val="none"/>
                <w:u w:val="single"/>
              </w:rPr>
              <w:t>/</w:t>
            </w:r>
            <w:r>
              <w:rPr>
                <w:rFonts w:asciiTheme="minorEastAsia" w:hAnsiTheme="minorEastAsia" w:eastAsiaTheme="minorEastAsia" w:cstheme="minorEastAsia"/>
                <w:color w:val="auto"/>
                <w:szCs w:val="21"/>
                <w:highlight w:val="none"/>
              </w:rPr>
              <w:t>。</w:t>
            </w:r>
          </w:p>
          <w:p w14:paraId="18B14E2F">
            <w:pPr>
              <w:spacing w:line="360" w:lineRule="auto"/>
              <w:rPr>
                <w:rFonts w:hint="eastAsia" w:asciiTheme="minorEastAsia" w:hAnsiTheme="minorEastAsia" w:eastAsiaTheme="minorEastAsia" w:cstheme="minorEastAsia"/>
                <w:b/>
                <w:bCs/>
                <w:color w:val="auto"/>
                <w:szCs w:val="21"/>
                <w:highlight w:val="none"/>
                <w:lang w:eastAsia="zh-CN"/>
              </w:rPr>
            </w:pPr>
            <w:sdt>
              <w:sdtPr>
                <w:rPr>
                  <w:rFonts w:asciiTheme="minorEastAsia" w:hAnsiTheme="minorEastAsia" w:eastAsiaTheme="minorEastAsia" w:cstheme="minorEastAsia"/>
                  <w:b/>
                  <w:bCs/>
                  <w:color w:val="auto"/>
                  <w:kern w:val="0"/>
                  <w:szCs w:val="21"/>
                  <w:highlight w:val="none"/>
                </w:rPr>
                <w:id w:val="474885559"/>
              </w:sdtPr>
              <w:sdtEndPr>
                <w:rPr>
                  <w:rFonts w:asciiTheme="minorEastAsia" w:hAnsiTheme="minorEastAsia" w:eastAsiaTheme="minorEastAsia" w:cstheme="minorEastAsia"/>
                  <w:b/>
                  <w:bCs/>
                  <w:color w:val="auto"/>
                  <w:kern w:val="0"/>
                  <w:szCs w:val="21"/>
                  <w:highlight w:val="none"/>
                </w:rPr>
              </w:sdtEndPr>
              <w:sdtContent>
                <w:r>
                  <w:rPr>
                    <w:rFonts w:hint="default" w:ascii="Wingdings" w:hAnsi="Wingdings" w:eastAsiaTheme="minorEastAsia" w:cstheme="minorEastAsia"/>
                    <w:b/>
                    <w:bCs/>
                    <w:color w:val="auto"/>
                    <w:kern w:val="0"/>
                    <w:szCs w:val="21"/>
                    <w:highlight w:val="none"/>
                  </w:rPr>
                  <w:t></w:t>
                </w:r>
              </w:sdtContent>
            </w:sdt>
            <w:r>
              <w:rPr>
                <w:rFonts w:asciiTheme="minorEastAsia" w:hAnsiTheme="minorEastAsia" w:eastAsiaTheme="minorEastAsia" w:cstheme="minorEastAsia"/>
                <w:b/>
                <w:bCs/>
                <w:color w:val="auto"/>
                <w:kern w:val="0"/>
                <w:szCs w:val="21"/>
                <w:highlight w:val="none"/>
              </w:rPr>
              <w:t>B</w:t>
            </w:r>
            <w:r>
              <w:rPr>
                <w:rFonts w:asciiTheme="minorEastAsia" w:hAnsiTheme="minorEastAsia" w:eastAsiaTheme="minorEastAsia" w:cstheme="minorEastAsia"/>
                <w:b/>
                <w:bCs/>
                <w:color w:val="auto"/>
                <w:szCs w:val="21"/>
                <w:highlight w:val="none"/>
              </w:rPr>
              <w:t>服务类</w:t>
            </w:r>
            <w:r>
              <w:rPr>
                <w:rFonts w:hint="eastAsia" w:asciiTheme="minorEastAsia" w:hAnsiTheme="minorEastAsia" w:eastAsiaTheme="minorEastAsia" w:cstheme="minorEastAsia"/>
                <w:b/>
                <w:bCs/>
                <w:color w:val="auto"/>
                <w:szCs w:val="21"/>
                <w:highlight w:val="none"/>
                <w:lang w:eastAsia="zh-CN"/>
              </w:rPr>
              <w:t>。</w:t>
            </w:r>
          </w:p>
          <w:p w14:paraId="159534A7">
            <w:pPr>
              <w:spacing w:line="360" w:lineRule="auto"/>
              <w:rPr>
                <w:rFonts w:hint="default" w:ascii="宋体" w:hAnsi="宋体" w:eastAsia="宋体" w:cs="宋体"/>
                <w:b/>
                <w:color w:val="auto"/>
                <w:szCs w:val="21"/>
                <w:highlight w:val="none"/>
              </w:rPr>
            </w:pPr>
            <w:sdt>
              <w:sdtPr>
                <w:rPr>
                  <w:rFonts w:asciiTheme="minorEastAsia" w:hAnsiTheme="minorEastAsia" w:eastAsiaTheme="minorEastAsia" w:cstheme="minorEastAsia"/>
                  <w:color w:val="auto"/>
                  <w:szCs w:val="21"/>
                  <w:highlight w:val="none"/>
                </w:rPr>
                <w:id w:val="147479033"/>
              </w:sdtPr>
              <w:sdtEndPr>
                <w:rPr>
                  <w:rFonts w:asciiTheme="minorEastAsia" w:hAnsiTheme="minorEastAsia" w:eastAsiaTheme="minorEastAsia" w:cstheme="minorEastAsia"/>
                  <w:color w:val="auto"/>
                  <w:szCs w:val="21"/>
                  <w:highlight w:val="none"/>
                </w:rPr>
              </w:sdtEndPr>
              <w:sdtContent>
                <w:r>
                  <w:rPr>
                    <w:rFonts w:asciiTheme="minorEastAsia" w:hAnsiTheme="minorEastAsia" w:eastAsiaTheme="minorEastAsia" w:cstheme="minorEastAsia"/>
                    <w:color w:val="auto"/>
                    <w:szCs w:val="21"/>
                    <w:highlight w:val="none"/>
                  </w:rPr>
                  <w:t>☐</w:t>
                </w:r>
              </w:sdtContent>
            </w:sdt>
            <w:r>
              <w:rPr>
                <w:rFonts w:hint="eastAsia" w:asciiTheme="minorEastAsia" w:hAnsiTheme="minorEastAsia" w:eastAsiaTheme="minorEastAsia" w:cstheme="minorEastAsia"/>
                <w:color w:val="auto"/>
                <w:szCs w:val="21"/>
                <w:highlight w:val="none"/>
                <w:lang w:val="en-US" w:eastAsia="zh-CN"/>
              </w:rPr>
              <w:t>C工程类</w:t>
            </w:r>
            <w:r>
              <w:rPr>
                <w:rFonts w:asciiTheme="minorEastAsia" w:hAnsiTheme="minorEastAsia" w:eastAsiaTheme="minorEastAsia" w:cstheme="minorEastAsia"/>
                <w:color w:val="auto"/>
                <w:szCs w:val="21"/>
                <w:highlight w:val="none"/>
              </w:rPr>
              <w:t>。</w:t>
            </w:r>
          </w:p>
        </w:tc>
      </w:tr>
      <w:tr w14:paraId="4B0711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0B90867">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32</w:t>
            </w:r>
          </w:p>
        </w:tc>
        <w:tc>
          <w:tcPr>
            <w:tcW w:w="1231" w:type="dxa"/>
            <w:tcBorders>
              <w:tl2br w:val="nil"/>
              <w:tr2bl w:val="nil"/>
            </w:tcBorders>
            <w:vAlign w:val="center"/>
          </w:tcPr>
          <w:p w14:paraId="3CF0F999">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演示</w:t>
            </w:r>
          </w:p>
        </w:tc>
        <w:tc>
          <w:tcPr>
            <w:tcW w:w="6764" w:type="dxa"/>
            <w:tcBorders>
              <w:tl2br w:val="nil"/>
              <w:tr2bl w:val="nil"/>
            </w:tcBorders>
            <w:vAlign w:val="center"/>
          </w:tcPr>
          <w:p w14:paraId="39E98915">
            <w:pPr>
              <w:spacing w:line="360" w:lineRule="auto"/>
              <w:rPr>
                <w:rFonts w:hint="default" w:ascii="宋体" w:hAnsi="宋体" w:eastAsia="宋体" w:cs="宋体"/>
                <w:b/>
                <w:bCs/>
                <w:color w:val="auto"/>
                <w:szCs w:val="21"/>
                <w:highlight w:val="none"/>
              </w:rPr>
            </w:pPr>
            <w:r>
              <w:rPr>
                <w:rFonts w:ascii="宋体" w:hAnsi="宋体" w:eastAsia="宋体" w:cs="宋体"/>
                <w:b/>
                <w:bCs/>
                <w:color w:val="auto"/>
                <w:szCs w:val="21"/>
                <w:highlight w:val="none"/>
              </w:rPr>
              <w:sym w:font="Wingdings" w:char="00FE"/>
            </w:r>
            <w:r>
              <w:rPr>
                <w:rFonts w:ascii="宋体" w:hAnsi="宋体" w:eastAsia="宋体" w:cs="宋体"/>
                <w:b/>
                <w:bCs/>
                <w:color w:val="auto"/>
                <w:szCs w:val="21"/>
                <w:highlight w:val="none"/>
              </w:rPr>
              <w:t>不要求；</w:t>
            </w:r>
          </w:p>
          <w:p w14:paraId="4B08414C">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sym w:font="Wingdings" w:char="00A8"/>
            </w:r>
            <w:r>
              <w:rPr>
                <w:rFonts w:ascii="宋体" w:hAnsi="宋体" w:eastAsia="宋体" w:cs="宋体"/>
                <w:color w:val="auto"/>
                <w:szCs w:val="21"/>
                <w:highlight w:val="none"/>
              </w:rPr>
              <w:t>本项目要求进行演示，具体要求：每个供应商演示时间不超过</w:t>
            </w:r>
            <w:r>
              <w:rPr>
                <w:rFonts w:ascii="宋体" w:hAnsi="宋体" w:eastAsia="宋体" w:cs="宋体"/>
                <w:color w:val="auto"/>
                <w:szCs w:val="21"/>
                <w:highlight w:val="none"/>
                <w:u w:val="single"/>
              </w:rPr>
              <w:t>10</w:t>
            </w:r>
            <w:r>
              <w:rPr>
                <w:rFonts w:ascii="宋体" w:hAnsi="宋体" w:eastAsia="宋体" w:cs="宋体"/>
                <w:color w:val="auto"/>
                <w:szCs w:val="21"/>
                <w:highlight w:val="none"/>
              </w:rPr>
              <w:t>分钟，并解答评审小组的提问，解答提问时间另计。演示顺序：</w:t>
            </w:r>
            <w:r>
              <w:rPr>
                <w:rFonts w:ascii="宋体" w:hAnsi="宋体" w:eastAsia="宋体" w:cs="宋体"/>
                <w:color w:val="auto"/>
                <w:szCs w:val="21"/>
                <w:highlight w:val="none"/>
                <w:u w:val="single"/>
              </w:rPr>
              <w:t xml:space="preserve"> 按照投标文件解密时间的先后排序进行演示 </w:t>
            </w:r>
            <w:r>
              <w:rPr>
                <w:rFonts w:ascii="宋体" w:hAnsi="宋体" w:eastAsia="宋体" w:cs="宋体"/>
                <w:color w:val="auto"/>
                <w:szCs w:val="21"/>
                <w:highlight w:val="none"/>
              </w:rPr>
              <w:t>。</w:t>
            </w:r>
          </w:p>
        </w:tc>
      </w:tr>
      <w:tr w14:paraId="115344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98" w:type="dxa"/>
            <w:tcBorders>
              <w:tl2br w:val="nil"/>
              <w:tr2bl w:val="nil"/>
            </w:tcBorders>
            <w:vAlign w:val="center"/>
          </w:tcPr>
          <w:p w14:paraId="3E01DC14">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33</w:t>
            </w:r>
          </w:p>
        </w:tc>
        <w:tc>
          <w:tcPr>
            <w:tcW w:w="1231" w:type="dxa"/>
            <w:tcBorders>
              <w:tl2br w:val="nil"/>
              <w:tr2bl w:val="nil"/>
            </w:tcBorders>
            <w:vAlign w:val="center"/>
          </w:tcPr>
          <w:p w14:paraId="3E338574">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rPr>
              <w:t>方案讲解</w:t>
            </w:r>
          </w:p>
        </w:tc>
        <w:tc>
          <w:tcPr>
            <w:tcW w:w="6764" w:type="dxa"/>
            <w:tcBorders>
              <w:tl2br w:val="nil"/>
              <w:tr2bl w:val="nil"/>
            </w:tcBorders>
            <w:vAlign w:val="center"/>
          </w:tcPr>
          <w:p w14:paraId="6D53BC33">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sym w:font="Wingdings" w:char="00FE"/>
            </w:r>
            <w:r>
              <w:rPr>
                <w:rFonts w:ascii="宋体" w:hAnsi="宋体" w:eastAsia="宋体" w:cs="宋体"/>
                <w:color w:val="auto"/>
                <w:szCs w:val="21"/>
                <w:highlight w:val="none"/>
              </w:rPr>
              <w:t>不要求。</w:t>
            </w:r>
          </w:p>
        </w:tc>
      </w:tr>
      <w:tr w14:paraId="662343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8B88640">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34</w:t>
            </w:r>
          </w:p>
        </w:tc>
        <w:tc>
          <w:tcPr>
            <w:tcW w:w="1231" w:type="dxa"/>
            <w:tcBorders>
              <w:tl2br w:val="nil"/>
              <w:tr2bl w:val="nil"/>
            </w:tcBorders>
            <w:vAlign w:val="center"/>
          </w:tcPr>
          <w:p w14:paraId="166EDC95">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样品</w:t>
            </w:r>
          </w:p>
        </w:tc>
        <w:tc>
          <w:tcPr>
            <w:tcW w:w="6764" w:type="dxa"/>
            <w:tcBorders>
              <w:tl2br w:val="nil"/>
              <w:tr2bl w:val="nil"/>
            </w:tcBorders>
            <w:vAlign w:val="center"/>
          </w:tcPr>
          <w:p w14:paraId="76C118EF">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sym w:font="Wingdings" w:char="00FE"/>
            </w:r>
            <w:r>
              <w:rPr>
                <w:rFonts w:ascii="宋体" w:hAnsi="宋体" w:eastAsia="宋体" w:cs="宋体"/>
                <w:color w:val="auto"/>
                <w:szCs w:val="21"/>
                <w:highlight w:val="none"/>
              </w:rPr>
              <w:t>不提供。</w:t>
            </w:r>
          </w:p>
          <w:p w14:paraId="3C0DC478">
            <w:pPr>
              <w:spacing w:line="360" w:lineRule="auto"/>
              <w:rPr>
                <w:rFonts w:hint="default" w:ascii="宋体" w:hAnsi="宋体" w:eastAsia="宋体" w:cs="宋体"/>
                <w:color w:val="auto"/>
                <w:szCs w:val="21"/>
                <w:highlight w:val="none"/>
                <w:lang w:val="zh-TW"/>
              </w:rPr>
            </w:pPr>
            <w:r>
              <w:rPr>
                <w:rFonts w:ascii="宋体" w:hAnsi="宋体" w:eastAsia="宋体" w:cs="宋体"/>
                <w:color w:val="auto"/>
                <w:szCs w:val="21"/>
                <w:highlight w:val="none"/>
              </w:rPr>
              <w:sym w:font="Wingdings" w:char="00A8"/>
            </w:r>
            <w:r>
              <w:rPr>
                <w:rFonts w:ascii="宋体" w:hAnsi="宋体" w:eastAsia="宋体" w:cs="宋体"/>
                <w:color w:val="auto"/>
                <w:szCs w:val="21"/>
                <w:highlight w:val="none"/>
              </w:rPr>
              <w:t>提供，按招标文件“第三部分 采购需求”要求。</w:t>
            </w:r>
          </w:p>
        </w:tc>
      </w:tr>
      <w:tr w14:paraId="3D702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8F7A6FF">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35</w:t>
            </w:r>
          </w:p>
        </w:tc>
        <w:tc>
          <w:tcPr>
            <w:tcW w:w="1231" w:type="dxa"/>
            <w:tcBorders>
              <w:tl2br w:val="nil"/>
              <w:tr2bl w:val="nil"/>
            </w:tcBorders>
            <w:vAlign w:val="center"/>
          </w:tcPr>
          <w:p w14:paraId="6A4C21BB">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纸质投标文件</w:t>
            </w:r>
          </w:p>
        </w:tc>
        <w:tc>
          <w:tcPr>
            <w:tcW w:w="6764" w:type="dxa"/>
            <w:tcBorders>
              <w:tl2br w:val="nil"/>
              <w:tr2bl w:val="nil"/>
            </w:tcBorders>
            <w:vAlign w:val="center"/>
          </w:tcPr>
          <w:p w14:paraId="5A490906">
            <w:pPr>
              <w:spacing w:line="360" w:lineRule="auto"/>
              <w:rPr>
                <w:rFonts w:hint="default" w:ascii="宋体" w:hAnsi="宋体" w:eastAsia="宋体" w:cs="宋体"/>
                <w:color w:val="auto"/>
                <w:szCs w:val="21"/>
                <w:highlight w:val="none"/>
              </w:rPr>
            </w:pPr>
            <w:r>
              <w:rPr>
                <w:rFonts w:ascii="宋体" w:hAnsi="宋体" w:eastAsia="宋体" w:cs="宋体"/>
                <w:b/>
                <w:bCs/>
                <w:color w:val="auto"/>
                <w:szCs w:val="21"/>
                <w:highlight w:val="none"/>
              </w:rPr>
              <w:t>中标人在签订合同前另行提供纸质投标文件</w:t>
            </w:r>
            <w:r>
              <w:rPr>
                <w:rFonts w:hint="eastAsia" w:ascii="宋体" w:hAnsi="宋体" w:eastAsia="宋体" w:cs="宋体"/>
                <w:b/>
                <w:bCs/>
                <w:color w:val="auto"/>
                <w:szCs w:val="21"/>
                <w:highlight w:val="none"/>
                <w:lang w:val="en-US" w:eastAsia="zh-CN"/>
              </w:rPr>
              <w:t>2份，用于档案归档</w:t>
            </w:r>
            <w:r>
              <w:rPr>
                <w:rFonts w:ascii="宋体" w:hAnsi="宋体" w:eastAsia="宋体" w:cs="宋体"/>
                <w:b/>
                <w:bCs/>
                <w:color w:val="auto"/>
                <w:szCs w:val="21"/>
                <w:highlight w:val="none"/>
              </w:rPr>
              <w:t>。</w:t>
            </w:r>
          </w:p>
        </w:tc>
      </w:tr>
      <w:tr w14:paraId="72C5D0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7BDDF1C">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36</w:t>
            </w:r>
          </w:p>
        </w:tc>
        <w:tc>
          <w:tcPr>
            <w:tcW w:w="1231" w:type="dxa"/>
            <w:tcBorders>
              <w:tl2br w:val="nil"/>
              <w:tr2bl w:val="nil"/>
            </w:tcBorders>
            <w:vAlign w:val="center"/>
          </w:tcPr>
          <w:p w14:paraId="29D89479">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其他</w:t>
            </w:r>
          </w:p>
        </w:tc>
        <w:tc>
          <w:tcPr>
            <w:tcW w:w="6764" w:type="dxa"/>
            <w:tcBorders>
              <w:tl2br w:val="nil"/>
              <w:tr2bl w:val="nil"/>
            </w:tcBorders>
            <w:vAlign w:val="center"/>
          </w:tcPr>
          <w:p w14:paraId="3D145ACA">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本招标文件规定如有与法律法规冲突的，以法律法规为准。</w:t>
            </w:r>
          </w:p>
          <w:p w14:paraId="3EDD16C1">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解释：本招标文件的解释权属于采购人。</w:t>
            </w:r>
          </w:p>
        </w:tc>
      </w:tr>
    </w:tbl>
    <w:p w14:paraId="5628120C">
      <w:pPr>
        <w:spacing w:line="480" w:lineRule="auto"/>
        <w:rPr>
          <w:rFonts w:hint="default" w:asciiTheme="minorEastAsia" w:hAnsiTheme="minorEastAsia" w:eastAsiaTheme="minorEastAsia" w:cstheme="minorEastAsia"/>
          <w:color w:val="auto"/>
          <w:highlight w:val="none"/>
        </w:rPr>
      </w:pPr>
      <w:r>
        <w:rPr>
          <w:rFonts w:ascii="宋体" w:hAnsi="宋体" w:eastAsia="宋体" w:cs="宋体"/>
          <w:b/>
          <w:color w:val="auto"/>
          <w:sz w:val="24"/>
          <w:szCs w:val="24"/>
          <w:highlight w:val="none"/>
        </w:rPr>
        <w:t>注：下文如有与本附表不一致处以本表为准。</w:t>
      </w:r>
    </w:p>
    <w:p w14:paraId="42368775">
      <w:pPr>
        <w:snapToGrid w:val="0"/>
        <w:spacing w:before="120" w:after="120" w:line="360" w:lineRule="auto"/>
        <w:jc w:val="center"/>
        <w:outlineLvl w:val="9"/>
        <w:rPr>
          <w:rFonts w:asciiTheme="minorEastAsia" w:hAnsiTheme="minorEastAsia" w:eastAsiaTheme="minorEastAsia" w:cstheme="minorEastAsia"/>
          <w:b/>
          <w:color w:val="auto"/>
          <w:sz w:val="32"/>
          <w:szCs w:val="32"/>
          <w:highlight w:val="none"/>
        </w:rPr>
      </w:pPr>
    </w:p>
    <w:p w14:paraId="3371E40A">
      <w:pPr>
        <w:snapToGrid w:val="0"/>
        <w:spacing w:before="120" w:after="120" w:line="360" w:lineRule="auto"/>
        <w:jc w:val="center"/>
        <w:outlineLvl w:val="9"/>
        <w:rPr>
          <w:rFonts w:asciiTheme="minorEastAsia" w:hAnsiTheme="minorEastAsia" w:eastAsiaTheme="minorEastAsia" w:cstheme="minorEastAsia"/>
          <w:b/>
          <w:color w:val="auto"/>
          <w:sz w:val="32"/>
          <w:szCs w:val="32"/>
          <w:highlight w:val="none"/>
        </w:rPr>
      </w:pPr>
    </w:p>
    <w:p w14:paraId="2B53713D">
      <w:pPr>
        <w:snapToGrid w:val="0"/>
        <w:spacing w:before="120" w:after="120" w:line="360" w:lineRule="auto"/>
        <w:jc w:val="center"/>
        <w:outlineLvl w:val="9"/>
        <w:rPr>
          <w:rFonts w:asciiTheme="minorEastAsia" w:hAnsiTheme="minorEastAsia" w:eastAsiaTheme="minorEastAsia" w:cstheme="minorEastAsia"/>
          <w:b/>
          <w:color w:val="auto"/>
          <w:sz w:val="32"/>
          <w:szCs w:val="32"/>
          <w:highlight w:val="none"/>
        </w:rPr>
      </w:pPr>
    </w:p>
    <w:p w14:paraId="2A82E81E">
      <w:pPr>
        <w:snapToGrid w:val="0"/>
        <w:spacing w:before="120" w:after="120" w:line="360" w:lineRule="auto"/>
        <w:jc w:val="center"/>
        <w:outlineLvl w:val="9"/>
        <w:rPr>
          <w:rFonts w:asciiTheme="minorEastAsia" w:hAnsiTheme="minorEastAsia" w:eastAsiaTheme="minorEastAsia" w:cstheme="minorEastAsia"/>
          <w:b/>
          <w:color w:val="auto"/>
          <w:sz w:val="32"/>
          <w:szCs w:val="32"/>
          <w:highlight w:val="none"/>
        </w:rPr>
      </w:pPr>
    </w:p>
    <w:p w14:paraId="7304272C">
      <w:pPr>
        <w:snapToGrid w:val="0"/>
        <w:spacing w:before="120" w:after="120" w:line="360" w:lineRule="auto"/>
        <w:jc w:val="center"/>
        <w:outlineLvl w:val="9"/>
        <w:rPr>
          <w:rFonts w:asciiTheme="minorEastAsia" w:hAnsiTheme="minorEastAsia" w:eastAsiaTheme="minorEastAsia" w:cstheme="minorEastAsia"/>
          <w:b/>
          <w:color w:val="auto"/>
          <w:sz w:val="32"/>
          <w:szCs w:val="32"/>
          <w:highlight w:val="none"/>
        </w:rPr>
      </w:pPr>
    </w:p>
    <w:p w14:paraId="57A0C993">
      <w:pPr>
        <w:pStyle w:val="28"/>
        <w:outlineLvl w:val="9"/>
        <w:rPr>
          <w:rFonts w:asciiTheme="minorEastAsia" w:hAnsiTheme="minorEastAsia" w:eastAsiaTheme="minorEastAsia" w:cstheme="minorEastAsia"/>
          <w:b/>
          <w:color w:val="auto"/>
          <w:sz w:val="32"/>
          <w:szCs w:val="32"/>
          <w:highlight w:val="none"/>
        </w:rPr>
      </w:pPr>
    </w:p>
    <w:p w14:paraId="70905F6F">
      <w:pPr>
        <w:outlineLvl w:val="9"/>
        <w:rPr>
          <w:rFonts w:asciiTheme="minorEastAsia" w:hAnsiTheme="minorEastAsia" w:eastAsiaTheme="minorEastAsia" w:cstheme="minorEastAsia"/>
          <w:b/>
          <w:color w:val="auto"/>
          <w:sz w:val="32"/>
          <w:szCs w:val="32"/>
          <w:highlight w:val="none"/>
        </w:rPr>
      </w:pPr>
    </w:p>
    <w:p w14:paraId="0A0220B4">
      <w:pPr>
        <w:pStyle w:val="28"/>
        <w:outlineLvl w:val="9"/>
        <w:rPr>
          <w:rFonts w:asciiTheme="minorEastAsia" w:hAnsiTheme="minorEastAsia" w:eastAsiaTheme="minorEastAsia" w:cstheme="minorEastAsia"/>
          <w:b/>
          <w:color w:val="auto"/>
          <w:sz w:val="32"/>
          <w:szCs w:val="32"/>
          <w:highlight w:val="none"/>
        </w:rPr>
      </w:pPr>
    </w:p>
    <w:p w14:paraId="1233D5B4">
      <w:pPr>
        <w:outlineLvl w:val="9"/>
        <w:rPr>
          <w:rFonts w:asciiTheme="minorEastAsia" w:hAnsiTheme="minorEastAsia" w:eastAsiaTheme="minorEastAsia" w:cstheme="minorEastAsia"/>
          <w:b/>
          <w:color w:val="auto"/>
          <w:sz w:val="32"/>
          <w:szCs w:val="32"/>
          <w:highlight w:val="none"/>
        </w:rPr>
      </w:pPr>
    </w:p>
    <w:p w14:paraId="158F1900">
      <w:pPr>
        <w:pStyle w:val="28"/>
        <w:outlineLvl w:val="9"/>
        <w:rPr>
          <w:rFonts w:asciiTheme="minorEastAsia" w:hAnsiTheme="minorEastAsia" w:eastAsiaTheme="minorEastAsia" w:cstheme="minorEastAsia"/>
          <w:b/>
          <w:color w:val="auto"/>
          <w:sz w:val="32"/>
          <w:szCs w:val="32"/>
          <w:highlight w:val="none"/>
        </w:rPr>
      </w:pPr>
    </w:p>
    <w:p w14:paraId="7DA85F69">
      <w:pPr>
        <w:outlineLvl w:val="9"/>
        <w:rPr>
          <w:rFonts w:asciiTheme="minorEastAsia" w:hAnsiTheme="minorEastAsia" w:eastAsiaTheme="minorEastAsia" w:cstheme="minorEastAsia"/>
          <w:b/>
          <w:color w:val="auto"/>
          <w:sz w:val="32"/>
          <w:szCs w:val="32"/>
          <w:highlight w:val="none"/>
        </w:rPr>
      </w:pPr>
    </w:p>
    <w:p w14:paraId="010118C5">
      <w:pPr>
        <w:pStyle w:val="28"/>
        <w:outlineLvl w:val="9"/>
        <w:rPr>
          <w:rFonts w:asciiTheme="minorEastAsia" w:hAnsiTheme="minorEastAsia" w:eastAsiaTheme="minorEastAsia" w:cstheme="minorEastAsia"/>
          <w:b/>
          <w:color w:val="auto"/>
          <w:sz w:val="32"/>
          <w:szCs w:val="32"/>
          <w:highlight w:val="none"/>
        </w:rPr>
      </w:pPr>
    </w:p>
    <w:p w14:paraId="37C456AC">
      <w:pPr>
        <w:outlineLvl w:val="9"/>
        <w:rPr>
          <w:rFonts w:asciiTheme="minorEastAsia" w:hAnsiTheme="minorEastAsia" w:eastAsiaTheme="minorEastAsia" w:cstheme="minorEastAsia"/>
          <w:b/>
          <w:color w:val="auto"/>
          <w:sz w:val="32"/>
          <w:szCs w:val="32"/>
          <w:highlight w:val="none"/>
        </w:rPr>
      </w:pPr>
    </w:p>
    <w:p w14:paraId="4503A410">
      <w:pPr>
        <w:pStyle w:val="28"/>
        <w:outlineLvl w:val="9"/>
        <w:rPr>
          <w:rFonts w:asciiTheme="minorEastAsia" w:hAnsiTheme="minorEastAsia" w:eastAsiaTheme="minorEastAsia" w:cstheme="minorEastAsia"/>
          <w:b/>
          <w:color w:val="auto"/>
          <w:sz w:val="32"/>
          <w:szCs w:val="32"/>
          <w:highlight w:val="none"/>
        </w:rPr>
      </w:pPr>
    </w:p>
    <w:p w14:paraId="2C886EA0">
      <w:pPr>
        <w:pStyle w:val="28"/>
        <w:outlineLvl w:val="9"/>
        <w:rPr>
          <w:rFonts w:asciiTheme="minorEastAsia" w:hAnsiTheme="minorEastAsia" w:eastAsiaTheme="minorEastAsia" w:cstheme="minorEastAsia"/>
          <w:b/>
          <w:color w:val="auto"/>
          <w:sz w:val="32"/>
          <w:szCs w:val="32"/>
          <w:highlight w:val="none"/>
        </w:rPr>
      </w:pPr>
    </w:p>
    <w:p w14:paraId="322A0822">
      <w:pPr>
        <w:outlineLvl w:val="9"/>
        <w:rPr>
          <w:rFonts w:asciiTheme="minorEastAsia" w:hAnsiTheme="minorEastAsia" w:eastAsiaTheme="minorEastAsia" w:cstheme="minorEastAsia"/>
          <w:b/>
          <w:color w:val="auto"/>
          <w:sz w:val="32"/>
          <w:szCs w:val="32"/>
          <w:highlight w:val="none"/>
        </w:rPr>
      </w:pPr>
    </w:p>
    <w:p w14:paraId="60BDCEE0">
      <w:pPr>
        <w:pStyle w:val="28"/>
        <w:outlineLvl w:val="9"/>
        <w:rPr>
          <w:color w:val="auto"/>
          <w:highlight w:val="none"/>
        </w:rPr>
      </w:pPr>
    </w:p>
    <w:p w14:paraId="7AA17C09">
      <w:pPr>
        <w:outlineLvl w:val="9"/>
        <w:rPr>
          <w:color w:val="auto"/>
          <w:highlight w:val="none"/>
        </w:rPr>
      </w:pPr>
    </w:p>
    <w:p w14:paraId="6B62ED6B">
      <w:pPr>
        <w:snapToGrid w:val="0"/>
        <w:spacing w:before="120" w:after="120" w:line="360" w:lineRule="auto"/>
        <w:jc w:val="center"/>
        <w:outlineLvl w:val="1"/>
        <w:rPr>
          <w:rFonts w:hint="default" w:asciiTheme="minorEastAsia" w:hAnsiTheme="minorEastAsia" w:eastAsiaTheme="minorEastAsia" w:cstheme="minorEastAsia"/>
          <w:b/>
          <w:color w:val="auto"/>
          <w:sz w:val="32"/>
          <w:szCs w:val="32"/>
          <w:highlight w:val="none"/>
        </w:rPr>
      </w:pPr>
      <w:r>
        <w:rPr>
          <w:rFonts w:asciiTheme="minorEastAsia" w:hAnsiTheme="minorEastAsia" w:eastAsiaTheme="minorEastAsia" w:cstheme="minorEastAsia"/>
          <w:b/>
          <w:color w:val="auto"/>
          <w:sz w:val="32"/>
          <w:szCs w:val="32"/>
          <w:highlight w:val="none"/>
        </w:rPr>
        <w:t>一、总  则</w:t>
      </w:r>
    </w:p>
    <w:p w14:paraId="729D399F">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1．适用范围</w:t>
      </w:r>
    </w:p>
    <w:p w14:paraId="6501407D">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本招标文件适用于该项目的招标、投标、开标、资格审查及信用信息查询、评标、定标、合同、验收等行为（法律法规另有规定的，从其规定）。</w:t>
      </w:r>
    </w:p>
    <w:p w14:paraId="455A1A24">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2．定义</w:t>
      </w:r>
    </w:p>
    <w:p w14:paraId="7429FF2C">
      <w:pPr>
        <w:pStyle w:val="10"/>
        <w:spacing w:line="360" w:lineRule="auto"/>
        <w:rPr>
          <w:rFonts w:hint="default" w:asciiTheme="minorEastAsia" w:hAnsiTheme="minorEastAsia" w:eastAsiaTheme="minorEastAsia" w:cstheme="minorEastAsia"/>
          <w:color w:val="auto"/>
          <w:szCs w:val="24"/>
          <w:highlight w:val="none"/>
        </w:rPr>
      </w:pPr>
      <w:r>
        <w:rPr>
          <w:rFonts w:asciiTheme="minorEastAsia" w:hAnsiTheme="minorEastAsia" w:eastAsiaTheme="minorEastAsia" w:cstheme="minorEastAsia"/>
          <w:color w:val="auto"/>
          <w:szCs w:val="24"/>
          <w:highlight w:val="none"/>
        </w:rPr>
        <w:t>2.1 “采购人”：详见前附表。</w:t>
      </w:r>
    </w:p>
    <w:p w14:paraId="1BAAABB9">
      <w:pPr>
        <w:pStyle w:val="10"/>
        <w:spacing w:line="360" w:lineRule="auto"/>
        <w:rPr>
          <w:rFonts w:hint="default" w:asciiTheme="minorEastAsia" w:hAnsiTheme="minorEastAsia" w:eastAsiaTheme="minorEastAsia" w:cstheme="minorEastAsia"/>
          <w:color w:val="auto"/>
          <w:szCs w:val="24"/>
          <w:highlight w:val="none"/>
        </w:rPr>
      </w:pPr>
      <w:r>
        <w:rPr>
          <w:rFonts w:asciiTheme="minorEastAsia" w:hAnsiTheme="minorEastAsia" w:eastAsiaTheme="minorEastAsia" w:cstheme="minorEastAsia"/>
          <w:color w:val="auto"/>
          <w:szCs w:val="24"/>
          <w:highlight w:val="none"/>
        </w:rPr>
        <w:t>2.2 “采购代理机构”：详见前附表。</w:t>
      </w:r>
    </w:p>
    <w:p w14:paraId="3DCEF256">
      <w:pPr>
        <w:pStyle w:val="10"/>
        <w:spacing w:line="360" w:lineRule="auto"/>
        <w:rPr>
          <w:rFonts w:hint="default" w:asciiTheme="minorEastAsia" w:hAnsiTheme="minorEastAsia" w:eastAsiaTheme="minorEastAsia" w:cstheme="minorEastAsia"/>
          <w:color w:val="auto"/>
          <w:szCs w:val="24"/>
          <w:highlight w:val="none"/>
        </w:rPr>
      </w:pPr>
      <w:r>
        <w:rPr>
          <w:rFonts w:asciiTheme="minorEastAsia" w:hAnsiTheme="minorEastAsia" w:eastAsiaTheme="minorEastAsia" w:cstheme="minorEastAsia"/>
          <w:color w:val="auto"/>
          <w:szCs w:val="24"/>
          <w:highlight w:val="none"/>
        </w:rPr>
        <w:t>2.3 “投标人”系指是指响应招标、参加投标竞争的法人、其他组织或者自然人。</w:t>
      </w:r>
    </w:p>
    <w:p w14:paraId="4475236B">
      <w:pPr>
        <w:pStyle w:val="10"/>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szCs w:val="24"/>
          <w:highlight w:val="none"/>
        </w:rPr>
        <w:t>2.4 “负责人”系指法人企业的法定负责人，或</w:t>
      </w:r>
      <w:r>
        <w:rPr>
          <w:rFonts w:asciiTheme="minorEastAsia" w:hAnsiTheme="minorEastAsia" w:eastAsiaTheme="minorEastAsia" w:cstheme="minorEastAsia"/>
          <w:color w:val="auto"/>
          <w:highlight w:val="none"/>
        </w:rPr>
        <w:t>其他组织为法律、行政法规规定代表单位行使职权的主要负责人，或自然人本人。</w:t>
      </w:r>
    </w:p>
    <w:p w14:paraId="11E59B7A">
      <w:pPr>
        <w:pStyle w:val="10"/>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2.5 “货物”系指投标人按投标文件或合同要求，须向采购人提供的一切材料、设备、机械、仪器、备件、配件、工具、手册及其他技术资料和文字材料。</w:t>
      </w:r>
    </w:p>
    <w:p w14:paraId="009D01B7">
      <w:pPr>
        <w:pStyle w:val="10"/>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2.6 “服务”系指投标人按投标文件或合同要求须承担的相关服务及义务。</w:t>
      </w:r>
    </w:p>
    <w:p w14:paraId="67DCE612">
      <w:pPr>
        <w:pStyle w:val="10"/>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2.7 “投标文件”系指投标人提交的投标文件。</w:t>
      </w:r>
    </w:p>
    <w:p w14:paraId="6ECE64C3">
      <w:pPr>
        <w:pStyle w:val="10"/>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2.8 “书面形式”是合同书、信件、电报、电传、传真等可以有形地表现所载内容的形式。以电子数据交换、电子邮件等方式能够有形地表现所载内容，并可以随时调取查用的数据电文，视为书面形式。</w:t>
      </w:r>
    </w:p>
    <w:p w14:paraId="2ADCF886">
      <w:pPr>
        <w:pStyle w:val="10"/>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2.9 “电子交易活动”是指以数据电文形式，依托政府采购项目电子交易平台（简称电子交易平台，详见前附表）进行的政府采购交易活动。</w:t>
      </w:r>
    </w:p>
    <w:p w14:paraId="7B7F5F4E">
      <w:pPr>
        <w:pStyle w:val="10"/>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14:paraId="33E61FFE">
      <w:pPr>
        <w:pStyle w:val="10"/>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2.11 “▲” 系指实质性要求条款，“★”系产品采购项目中重要技术参数，“</w:t>
      </w:r>
      <w:r>
        <w:rPr>
          <w:rFonts w:asciiTheme="minorEastAsia" w:hAnsiTheme="minorEastAsia" w:eastAsiaTheme="minorEastAsia" w:cstheme="minorEastAsia"/>
          <w:color w:val="auto"/>
          <w:highlight w:val="none"/>
        </w:rPr>
        <w:sym w:font="Wingdings" w:char="00FE"/>
      </w:r>
      <w:r>
        <w:rPr>
          <w:rFonts w:asciiTheme="minorEastAsia" w:hAnsiTheme="minorEastAsia" w:eastAsiaTheme="minorEastAsia" w:cstheme="minorEastAsia"/>
          <w:color w:val="auto"/>
          <w:highlight w:val="none"/>
        </w:rPr>
        <w:t>” 系指适用本项目的要求，“☐” 系指不适用本项目的要求。</w:t>
      </w:r>
    </w:p>
    <w:p w14:paraId="17C53C89">
      <w:pPr>
        <w:pStyle w:val="10"/>
        <w:spacing w:line="360" w:lineRule="auto"/>
        <w:ind w:firstLine="0" w:firstLineChars="0"/>
        <w:rPr>
          <w:rFonts w:hint="default" w:asciiTheme="minorEastAsia" w:hAnsiTheme="minorEastAsia" w:eastAsiaTheme="minorEastAsia" w:cstheme="minorEastAsia"/>
          <w:b/>
          <w:bCs/>
          <w:color w:val="auto"/>
          <w:highlight w:val="none"/>
        </w:rPr>
      </w:pPr>
      <w:bookmarkStart w:id="1" w:name="_Toc183786416"/>
      <w:r>
        <w:rPr>
          <w:rFonts w:asciiTheme="minorEastAsia" w:hAnsiTheme="minorEastAsia" w:eastAsiaTheme="minorEastAsia" w:cstheme="minorEastAsia"/>
          <w:b/>
          <w:bCs/>
          <w:color w:val="auto"/>
          <w:szCs w:val="24"/>
          <w:highlight w:val="none"/>
        </w:rPr>
        <w:t>3．</w:t>
      </w:r>
      <w:r>
        <w:rPr>
          <w:rFonts w:asciiTheme="minorEastAsia" w:hAnsiTheme="minorEastAsia" w:eastAsiaTheme="minorEastAsia" w:cstheme="minorEastAsia"/>
          <w:b/>
          <w:bCs/>
          <w:color w:val="auto"/>
          <w:highlight w:val="none"/>
        </w:rPr>
        <w:t>采购项目需要落实的政府采购政策</w:t>
      </w:r>
    </w:p>
    <w:p w14:paraId="591BDE5A">
      <w:pPr>
        <w:pStyle w:val="10"/>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6E6C123C">
      <w:pPr>
        <w:pStyle w:val="10"/>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3.2 支持绿色发展</w:t>
      </w:r>
    </w:p>
    <w:p w14:paraId="09F8039E">
      <w:pPr>
        <w:pStyle w:val="10"/>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asciiTheme="minorEastAsia" w:hAnsiTheme="minorEastAsia" w:eastAsiaTheme="minorEastAsia" w:cstheme="minorEastAsia"/>
          <w:b/>
          <w:bCs/>
          <w:color w:val="auto"/>
          <w:highlight w:val="none"/>
        </w:rPr>
        <w:t>▲采购人拟采购的产品属于政府强制采购的节能产品品目清单范围的，供应商未按采购文件要求提供国家确定的认证机构出具的、处于有效期之内的节能产品认证证书的，投标无效</w:t>
      </w:r>
      <w:r>
        <w:rPr>
          <w:rFonts w:asciiTheme="minorEastAsia" w:hAnsiTheme="minorEastAsia" w:eastAsiaTheme="minorEastAsia" w:cstheme="minorEastAsia"/>
          <w:color w:val="auto"/>
          <w:highlight w:val="none"/>
        </w:rPr>
        <w:t>。</w:t>
      </w:r>
    </w:p>
    <w:p w14:paraId="09BD706C">
      <w:pPr>
        <w:pStyle w:val="10"/>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CC0576A">
      <w:pPr>
        <w:pStyle w:val="10"/>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3.3支持中小企业发展</w:t>
      </w:r>
    </w:p>
    <w:p w14:paraId="5A6B3320">
      <w:pPr>
        <w:pStyle w:val="10"/>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7EB4F84">
      <w:pPr>
        <w:pStyle w:val="10"/>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符合中小企业划分标准的个体工商户，在政府采购活动中视同中小企业。</w:t>
      </w:r>
    </w:p>
    <w:p w14:paraId="7D45924D">
      <w:pPr>
        <w:pStyle w:val="10"/>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3.3.2在政府采购活动中，供应商提供的货物、工程或者服务符合下列情形的，享受中小企业扶持政策：</w:t>
      </w:r>
    </w:p>
    <w:p w14:paraId="145432B6">
      <w:pPr>
        <w:pStyle w:val="10"/>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3.3.2.1在货物采购项目中，货物由中小企业制造，即货物由中小企业生产且使用该中小企业商号或者注册商标；</w:t>
      </w:r>
    </w:p>
    <w:p w14:paraId="56DF7C3D">
      <w:pPr>
        <w:pStyle w:val="10"/>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3.3.2.2在工程采购项目中，工程由中小企业承建，即工程施工单位为中小企业；</w:t>
      </w:r>
    </w:p>
    <w:p w14:paraId="7584103F">
      <w:pPr>
        <w:pStyle w:val="10"/>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3.3.2.3在服务采购项目中，服务由中小企业承接，即提供服务的人员为中小企业依照《中华人民共和国劳动合同法》订立劳动合同的从业人员。</w:t>
      </w:r>
    </w:p>
    <w:p w14:paraId="06966400">
      <w:pPr>
        <w:pStyle w:val="10"/>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在货物采购项目中，供应商提供的货物既有中小企业制造货物，也有大型企业制造货物的，不享受中小企业扶持政策。</w:t>
      </w:r>
    </w:p>
    <w:p w14:paraId="68E988CD">
      <w:pPr>
        <w:pStyle w:val="10"/>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以联合体形式参加政府采购活动，联合体各方均为中小企业的，联合体视同中小企业。其中，联合体各方均为小微企业的，联合体视同小微企业。</w:t>
      </w:r>
    </w:p>
    <w:p w14:paraId="2BC4F198">
      <w:pPr>
        <w:pStyle w:val="10"/>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3.3.3对于未预留份额专门面向中小企业的政府采购货物或服务项目，以及预留份额政府采购货物或服务项目中的非预留部分标项，对小型和微型企业的投标报价给予</w:t>
      </w:r>
      <w:r>
        <w:rPr>
          <w:rFonts w:hint="eastAsia" w:asciiTheme="majorEastAsia" w:hAnsiTheme="majorEastAsia" w:eastAsiaTheme="majorEastAsia" w:cstheme="majorEastAsia"/>
          <w:color w:val="auto"/>
          <w:sz w:val="24"/>
          <w:highlight w:val="none"/>
        </w:rPr>
        <w:t>10%的</w:t>
      </w:r>
      <w:r>
        <w:rPr>
          <w:rFonts w:asciiTheme="minorEastAsia" w:hAnsiTheme="minorEastAsia" w:eastAsiaTheme="minorEastAsia" w:cstheme="minorEastAsia"/>
          <w:color w:val="auto"/>
          <w:highlight w:val="none"/>
        </w:rPr>
        <w:t>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Theme="majorEastAsia" w:hAnsiTheme="majorEastAsia" w:eastAsiaTheme="majorEastAsia" w:cstheme="majorEastAsia"/>
          <w:color w:val="auto"/>
          <w:sz w:val="24"/>
          <w:highlight w:val="none"/>
        </w:rPr>
        <w:t>4%的</w:t>
      </w:r>
      <w:r>
        <w:rPr>
          <w:rFonts w:asciiTheme="minorEastAsia" w:hAnsiTheme="minorEastAsia" w:eastAsiaTheme="minorEastAsia" w:cstheme="minorEastAsia"/>
          <w:color w:val="auto"/>
          <w:highlight w:val="none"/>
        </w:rPr>
        <w:t>扣除，用扣除后的价格参加评审。组成联合体或者接受分包的小微企业与联合体内其他企业、分包企业之间存在直接控股、管理关系的，不享受价格扣除优惠政策。</w:t>
      </w:r>
    </w:p>
    <w:p w14:paraId="72686D35">
      <w:pPr>
        <w:pStyle w:val="10"/>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3.3.4符合《关于促进残疾人就业政府采购政策的通知》（财库〔2017〕141号）规定的条件并提供《残疾人福利性单位声明函》（格式附后）的残疾人福利性单位视同小型、微型企业；</w:t>
      </w:r>
    </w:p>
    <w:p w14:paraId="29A4B95A">
      <w:pPr>
        <w:pStyle w:val="10"/>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48B9934">
      <w:pPr>
        <w:pStyle w:val="10"/>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23971DFD">
      <w:pPr>
        <w:pStyle w:val="10"/>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3.3.7中小企业享受扶持政策获得政府采购合同的，小微企业不得将合同分包给大中型企业，中型企业不得将合同分包给大型企业。</w:t>
      </w:r>
    </w:p>
    <w:p w14:paraId="67B27E25">
      <w:pPr>
        <w:pStyle w:val="10"/>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3.4支持创新发展</w:t>
      </w:r>
    </w:p>
    <w:p w14:paraId="0DC27098">
      <w:pPr>
        <w:pStyle w:val="10"/>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3.4.1 采购人优先采购被认定为首台套产品和“制造精品”的自主创新产品。</w:t>
      </w:r>
    </w:p>
    <w:p w14:paraId="6282D6F9">
      <w:pPr>
        <w:pStyle w:val="10"/>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06399358">
      <w:pPr>
        <w:pStyle w:val="10"/>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 https://zfcg.czt.zj.gov.cn/)的中小企业信用融资栏目了解相关信息。 供应商可以通过浙江政府采购网(https://zfcg.czt.zj.gov.cn/)首页的“浙江政采贷”模块进入申请，还可以通过政府采购云平台(www.zcygov.cn)首页的“金融服务”模块进入申请。</w:t>
      </w:r>
    </w:p>
    <w:p w14:paraId="65B555C9">
      <w:pPr>
        <w:spacing w:line="360" w:lineRule="auto"/>
        <w:rPr>
          <w:rFonts w:hint="default" w:asciiTheme="minorEastAsia" w:hAnsiTheme="minorEastAsia" w:eastAsiaTheme="minorEastAsia" w:cstheme="minorEastAsia"/>
          <w:b/>
          <w:bCs/>
          <w:color w:val="auto"/>
          <w:sz w:val="24"/>
          <w:szCs w:val="24"/>
          <w:highlight w:val="none"/>
        </w:rPr>
      </w:pPr>
      <w:r>
        <w:rPr>
          <w:rFonts w:asciiTheme="minorEastAsia" w:hAnsiTheme="minorEastAsia" w:eastAsiaTheme="minorEastAsia" w:cstheme="minorEastAsia"/>
          <w:b/>
          <w:bCs/>
          <w:color w:val="auto"/>
          <w:sz w:val="24"/>
          <w:szCs w:val="24"/>
          <w:highlight w:val="none"/>
        </w:rPr>
        <w:t>4.询问、质疑、投诉</w:t>
      </w:r>
    </w:p>
    <w:p w14:paraId="1F1D7A6B">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4.1</w:t>
      </w:r>
      <w:r>
        <w:rPr>
          <w:rFonts w:asciiTheme="minorEastAsia" w:hAnsiTheme="minorEastAsia" w:eastAsiaTheme="minorEastAsia" w:cstheme="minorEastAsia"/>
          <w:color w:val="auto"/>
          <w:sz w:val="24"/>
          <w:szCs w:val="24"/>
          <w:highlight w:val="none"/>
        </w:rPr>
        <w:t xml:space="preserve"> </w:t>
      </w:r>
      <w:r>
        <w:rPr>
          <w:rFonts w:asciiTheme="minorEastAsia" w:hAnsiTheme="minorEastAsia" w:eastAsiaTheme="minorEastAsia" w:cstheme="minorEastAsia"/>
          <w:color w:val="auto"/>
          <w:sz w:val="24"/>
          <w:szCs w:val="24"/>
          <w:highlight w:val="none"/>
          <w:lang w:val="zh-CN"/>
        </w:rPr>
        <w:t>供应商询问</w:t>
      </w:r>
    </w:p>
    <w:p w14:paraId="221E6BF6">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5DF4880B">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4.2</w:t>
      </w:r>
      <w:r>
        <w:rPr>
          <w:rFonts w:asciiTheme="minorEastAsia" w:hAnsiTheme="minorEastAsia" w:eastAsiaTheme="minorEastAsia" w:cstheme="minorEastAsia"/>
          <w:color w:val="auto"/>
          <w:sz w:val="24"/>
          <w:szCs w:val="24"/>
          <w:highlight w:val="none"/>
        </w:rPr>
        <w:t xml:space="preserve"> </w:t>
      </w:r>
      <w:r>
        <w:rPr>
          <w:rFonts w:asciiTheme="minorEastAsia" w:hAnsiTheme="minorEastAsia" w:eastAsiaTheme="minorEastAsia" w:cstheme="minorEastAsia"/>
          <w:color w:val="auto"/>
          <w:sz w:val="24"/>
          <w:szCs w:val="24"/>
          <w:highlight w:val="none"/>
          <w:lang w:val="zh-CN"/>
        </w:rPr>
        <w:t>供应商质疑</w:t>
      </w:r>
    </w:p>
    <w:p w14:paraId="32EE8DE2">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lang w:val="zh-CN"/>
        </w:rPr>
        <w:t>4.2</w:t>
      </w:r>
      <w:r>
        <w:rPr>
          <w:rFonts w:asciiTheme="minorEastAsia" w:hAnsiTheme="minorEastAsia" w:eastAsiaTheme="minorEastAsia" w:cstheme="minorEastAsia"/>
          <w:color w:val="auto"/>
          <w:sz w:val="24"/>
          <w:szCs w:val="24"/>
          <w:highlight w:val="none"/>
        </w:rPr>
        <w:t>.1 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14:paraId="0A93E4F5">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lang w:val="zh-CN"/>
        </w:rPr>
        <w:t>4.2</w:t>
      </w:r>
      <w:r>
        <w:rPr>
          <w:rFonts w:asciiTheme="minorEastAsia" w:hAnsiTheme="minorEastAsia" w:eastAsiaTheme="minorEastAsia" w:cstheme="minorEastAsia"/>
          <w:color w:val="auto"/>
          <w:sz w:val="24"/>
          <w:szCs w:val="24"/>
          <w:highlight w:val="none"/>
        </w:rPr>
        <w:t>.2 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4CB5AAF">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4.2.2.1 对招标文件提出质疑的，质疑期限为供应商获得招标文件之日或者招标文件公告期限届满之日起计算。</w:t>
      </w:r>
    </w:p>
    <w:p w14:paraId="7C2EDB0D">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4.2.2.2 对采购过程提出质疑的，质疑期限为各采购程序环节结束之日起计算。对同一采购程序环节的质疑，供应商须一次性提出。</w:t>
      </w:r>
    </w:p>
    <w:p w14:paraId="3A081E64">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4.2.2.3 对采购结果提出质疑的，质疑期限自采购结果公告期限届满之日起计算。</w:t>
      </w:r>
    </w:p>
    <w:p w14:paraId="2814439A">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4.2.3</w:t>
      </w:r>
      <w:r>
        <w:rPr>
          <w:rFonts w:asciiTheme="minorEastAsia" w:hAnsiTheme="minorEastAsia" w:eastAsiaTheme="minorEastAsia" w:cstheme="minorEastAsia"/>
          <w:color w:val="auto"/>
          <w:sz w:val="24"/>
          <w:szCs w:val="24"/>
          <w:highlight w:val="none"/>
        </w:rPr>
        <w:t xml:space="preserve"> 供应商提出质疑应当提交质疑函和必要的证明材料。质疑函应当包括下列内容：</w:t>
      </w:r>
    </w:p>
    <w:p w14:paraId="20F7CD6D">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4.2.3.1</w:t>
      </w:r>
      <w:r>
        <w:rPr>
          <w:rFonts w:asciiTheme="minorEastAsia" w:hAnsiTheme="minorEastAsia" w:eastAsiaTheme="minorEastAsia" w:cstheme="minorEastAsia"/>
          <w:color w:val="auto"/>
          <w:sz w:val="24"/>
          <w:szCs w:val="24"/>
          <w:highlight w:val="none"/>
        </w:rPr>
        <w:t xml:space="preserve"> </w:t>
      </w:r>
      <w:r>
        <w:rPr>
          <w:rFonts w:asciiTheme="minorEastAsia" w:hAnsiTheme="minorEastAsia" w:eastAsiaTheme="minorEastAsia" w:cstheme="minorEastAsia"/>
          <w:color w:val="auto"/>
          <w:sz w:val="24"/>
          <w:szCs w:val="24"/>
          <w:highlight w:val="none"/>
          <w:lang w:val="zh-CN"/>
        </w:rPr>
        <w:t>供应商的姓名或者名称、地址、邮编、联系人及联系电话；</w:t>
      </w:r>
    </w:p>
    <w:p w14:paraId="087C9F22">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4.2.3.2</w:t>
      </w:r>
      <w:r>
        <w:rPr>
          <w:rFonts w:asciiTheme="minorEastAsia" w:hAnsiTheme="minorEastAsia" w:eastAsiaTheme="minorEastAsia" w:cstheme="minorEastAsia"/>
          <w:color w:val="auto"/>
          <w:sz w:val="24"/>
          <w:szCs w:val="24"/>
          <w:highlight w:val="none"/>
        </w:rPr>
        <w:t xml:space="preserve"> </w:t>
      </w:r>
      <w:r>
        <w:rPr>
          <w:rFonts w:asciiTheme="minorEastAsia" w:hAnsiTheme="minorEastAsia" w:eastAsiaTheme="minorEastAsia" w:cstheme="minorEastAsia"/>
          <w:color w:val="auto"/>
          <w:sz w:val="24"/>
          <w:szCs w:val="24"/>
          <w:highlight w:val="none"/>
          <w:lang w:val="zh-CN"/>
        </w:rPr>
        <w:t>质疑项目的名称、编号；</w:t>
      </w:r>
    </w:p>
    <w:p w14:paraId="14952C6D">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4.2.3.3</w:t>
      </w:r>
      <w:r>
        <w:rPr>
          <w:rFonts w:asciiTheme="minorEastAsia" w:hAnsiTheme="minorEastAsia" w:eastAsiaTheme="minorEastAsia" w:cstheme="minorEastAsia"/>
          <w:color w:val="auto"/>
          <w:sz w:val="24"/>
          <w:szCs w:val="24"/>
          <w:highlight w:val="none"/>
        </w:rPr>
        <w:t xml:space="preserve"> </w:t>
      </w:r>
      <w:r>
        <w:rPr>
          <w:rFonts w:asciiTheme="minorEastAsia" w:hAnsiTheme="minorEastAsia" w:eastAsiaTheme="minorEastAsia" w:cstheme="minorEastAsia"/>
          <w:color w:val="auto"/>
          <w:sz w:val="24"/>
          <w:szCs w:val="24"/>
          <w:highlight w:val="none"/>
          <w:lang w:val="zh-CN"/>
        </w:rPr>
        <w:t>具体、明确的质疑事项和与质疑事项相关的请求；</w:t>
      </w:r>
    </w:p>
    <w:p w14:paraId="2650CEC4">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4.2.3.4</w:t>
      </w:r>
      <w:r>
        <w:rPr>
          <w:rFonts w:asciiTheme="minorEastAsia" w:hAnsiTheme="minorEastAsia" w:eastAsiaTheme="minorEastAsia" w:cstheme="minorEastAsia"/>
          <w:color w:val="auto"/>
          <w:sz w:val="24"/>
          <w:szCs w:val="24"/>
          <w:highlight w:val="none"/>
        </w:rPr>
        <w:t xml:space="preserve"> </w:t>
      </w:r>
      <w:r>
        <w:rPr>
          <w:rFonts w:asciiTheme="minorEastAsia" w:hAnsiTheme="minorEastAsia" w:eastAsiaTheme="minorEastAsia" w:cstheme="minorEastAsia"/>
          <w:color w:val="auto"/>
          <w:sz w:val="24"/>
          <w:szCs w:val="24"/>
          <w:highlight w:val="none"/>
          <w:lang w:val="zh-CN"/>
        </w:rPr>
        <w:t>事实依据；</w:t>
      </w:r>
    </w:p>
    <w:p w14:paraId="2A730250">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4.2.3.5</w:t>
      </w:r>
      <w:r>
        <w:rPr>
          <w:rFonts w:asciiTheme="minorEastAsia" w:hAnsiTheme="minorEastAsia" w:eastAsiaTheme="minorEastAsia" w:cstheme="minorEastAsia"/>
          <w:color w:val="auto"/>
          <w:sz w:val="24"/>
          <w:szCs w:val="24"/>
          <w:highlight w:val="none"/>
        </w:rPr>
        <w:t xml:space="preserve"> </w:t>
      </w:r>
      <w:r>
        <w:rPr>
          <w:rFonts w:asciiTheme="minorEastAsia" w:hAnsiTheme="minorEastAsia" w:eastAsiaTheme="minorEastAsia" w:cstheme="minorEastAsia"/>
          <w:color w:val="auto"/>
          <w:sz w:val="24"/>
          <w:szCs w:val="24"/>
          <w:highlight w:val="none"/>
          <w:lang w:val="zh-CN"/>
        </w:rPr>
        <w:t>必要的法律依据；</w:t>
      </w:r>
    </w:p>
    <w:p w14:paraId="2DBC96E6">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4.2.3.6</w:t>
      </w:r>
      <w:r>
        <w:rPr>
          <w:rFonts w:asciiTheme="minorEastAsia" w:hAnsiTheme="minorEastAsia" w:eastAsiaTheme="minorEastAsia" w:cstheme="minorEastAsia"/>
          <w:color w:val="auto"/>
          <w:sz w:val="24"/>
          <w:szCs w:val="24"/>
          <w:highlight w:val="none"/>
        </w:rPr>
        <w:t xml:space="preserve"> </w:t>
      </w:r>
      <w:r>
        <w:rPr>
          <w:rFonts w:asciiTheme="minorEastAsia" w:hAnsiTheme="minorEastAsia" w:eastAsiaTheme="minorEastAsia" w:cstheme="minorEastAsia"/>
          <w:color w:val="auto"/>
          <w:sz w:val="24"/>
          <w:szCs w:val="24"/>
          <w:highlight w:val="none"/>
          <w:lang w:val="zh-CN"/>
        </w:rPr>
        <w:t>提出质疑的日期。</w:t>
      </w:r>
    </w:p>
    <w:p w14:paraId="1BAD9382">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供应商提交的质疑</w:t>
      </w:r>
      <w:r>
        <w:rPr>
          <w:rFonts w:hint="eastAsia" w:asciiTheme="minorEastAsia" w:hAnsiTheme="minorEastAsia" w:eastAsiaTheme="minorEastAsia" w:cstheme="minorEastAsia"/>
          <w:color w:val="auto"/>
          <w:sz w:val="24"/>
          <w:szCs w:val="24"/>
          <w:highlight w:val="none"/>
          <w:lang w:val="en-US" w:eastAsia="zh-CN"/>
        </w:rPr>
        <w:t>函</w:t>
      </w:r>
      <w:r>
        <w:rPr>
          <w:rFonts w:asciiTheme="minorEastAsia" w:hAnsiTheme="minorEastAsia" w:eastAsiaTheme="minorEastAsia" w:cstheme="minorEastAsia"/>
          <w:color w:val="auto"/>
          <w:sz w:val="24"/>
          <w:szCs w:val="24"/>
          <w:highlight w:val="none"/>
        </w:rPr>
        <w:t>须一式三份。供应商为自然人的，应当由本人签字；供应商为法人或者其他组织的，应当由法定代表人、主要负责人，或者其授权代表签字或者盖章，并加盖公章。</w:t>
      </w:r>
    </w:p>
    <w:p w14:paraId="42424C54">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质疑函范本及制作说明详见附件。</w:t>
      </w:r>
    </w:p>
    <w:p w14:paraId="60BC4DC0">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lang w:val="zh-CN"/>
        </w:rPr>
        <w:t>4.2</w:t>
      </w:r>
      <w:r>
        <w:rPr>
          <w:rFonts w:asciiTheme="minorEastAsia" w:hAnsiTheme="minorEastAsia" w:eastAsiaTheme="minorEastAsia" w:cstheme="minorEastAsia"/>
          <w:color w:val="auto"/>
          <w:sz w:val="24"/>
          <w:szCs w:val="24"/>
          <w:highlight w:val="none"/>
        </w:rPr>
        <w:t>.4 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46D209AD">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lang w:val="zh-CN"/>
        </w:rPr>
        <w:t>4.2</w:t>
      </w:r>
      <w:r>
        <w:rPr>
          <w:rFonts w:asciiTheme="minorEastAsia" w:hAnsiTheme="minorEastAsia" w:eastAsiaTheme="minorEastAsia" w:cstheme="minorEastAsia"/>
          <w:color w:val="auto"/>
          <w:sz w:val="24"/>
          <w:szCs w:val="24"/>
          <w:highlight w:val="none"/>
        </w:rPr>
        <w:t>.5 询问或者质疑事项可能影响采购结果的，采购人应当暂停签订合同，已经签订合同的，应当中止履行合同。</w:t>
      </w:r>
    </w:p>
    <w:p w14:paraId="368FD141">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4.3</w:t>
      </w:r>
      <w:r>
        <w:rPr>
          <w:rFonts w:asciiTheme="minorEastAsia" w:hAnsiTheme="minorEastAsia" w:eastAsiaTheme="minorEastAsia" w:cstheme="minorEastAsia"/>
          <w:color w:val="auto"/>
          <w:sz w:val="24"/>
          <w:szCs w:val="24"/>
          <w:highlight w:val="none"/>
        </w:rPr>
        <w:t xml:space="preserve"> </w:t>
      </w:r>
      <w:r>
        <w:rPr>
          <w:rFonts w:asciiTheme="minorEastAsia" w:hAnsiTheme="minorEastAsia" w:eastAsiaTheme="minorEastAsia" w:cstheme="minorEastAsia"/>
          <w:color w:val="auto"/>
          <w:sz w:val="24"/>
          <w:szCs w:val="24"/>
          <w:highlight w:val="none"/>
          <w:lang w:val="zh-CN"/>
        </w:rPr>
        <w:t>供应商投诉</w:t>
      </w:r>
    </w:p>
    <w:p w14:paraId="01F54022">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4.3.1 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浙江</w:t>
      </w:r>
      <w:r>
        <w:rPr>
          <w:rFonts w:hint="eastAsia" w:asciiTheme="minorEastAsia" w:hAnsiTheme="minorEastAsia" w:eastAsiaTheme="minorEastAsia" w:cstheme="minorEastAsia"/>
          <w:color w:val="auto"/>
          <w:sz w:val="24"/>
          <w:szCs w:val="24"/>
          <w:highlight w:val="none"/>
          <w:lang w:val="en-US" w:eastAsia="zh-CN"/>
        </w:rPr>
        <w:t>政务</w:t>
      </w:r>
      <w:r>
        <w:rPr>
          <w:rFonts w:asciiTheme="minorEastAsia" w:hAnsiTheme="minorEastAsia" w:eastAsiaTheme="minorEastAsia" w:cstheme="minorEastAsia"/>
          <w:color w:val="auto"/>
          <w:sz w:val="24"/>
          <w:szCs w:val="24"/>
          <w:highlight w:val="none"/>
        </w:rPr>
        <w:t>服务网-政府采购投诉处理-在线办理。）</w:t>
      </w:r>
    </w:p>
    <w:p w14:paraId="16D7894B">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4.3.</w:t>
      </w:r>
      <w:r>
        <w:rPr>
          <w:rFonts w:asciiTheme="minorEastAsia" w:hAnsiTheme="minorEastAsia" w:eastAsiaTheme="minorEastAsia" w:cstheme="minorEastAsia"/>
          <w:color w:val="auto"/>
          <w:sz w:val="24"/>
          <w:szCs w:val="24"/>
          <w:highlight w:val="none"/>
          <w:lang w:val="zh-CN"/>
        </w:rPr>
        <w:t>2</w:t>
      </w:r>
      <w:r>
        <w:rPr>
          <w:rFonts w:asciiTheme="minorEastAsia" w:hAnsiTheme="minorEastAsia" w:eastAsiaTheme="minorEastAsia" w:cstheme="minorEastAsia"/>
          <w:color w:val="auto"/>
          <w:sz w:val="24"/>
          <w:szCs w:val="24"/>
          <w:highlight w:val="none"/>
        </w:rPr>
        <w:t xml:space="preserve"> 供应商投诉的事项不得超出已质疑事项的范围，基于质疑答复内容提出的投诉事项除外。</w:t>
      </w:r>
    </w:p>
    <w:p w14:paraId="25D3C6E1">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4.3.3 供应商投诉应当有明确的请求和必要的证明材料。</w:t>
      </w:r>
    </w:p>
    <w:p w14:paraId="5C77BB9A">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4.3.4 以联合体形式参加政府采购活动的，其投诉应当由组成联合体的所有供应商共同提出。</w:t>
      </w:r>
    </w:p>
    <w:p w14:paraId="6DDD3C5C">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投诉书范本及制作说明详见附件。</w:t>
      </w:r>
    </w:p>
    <w:p w14:paraId="775D583B">
      <w:pPr>
        <w:pStyle w:val="5"/>
        <w:spacing w:before="120" w:after="120" w:line="360" w:lineRule="auto"/>
        <w:jc w:val="center"/>
        <w:rPr>
          <w:rFonts w:hint="default" w:asciiTheme="minorEastAsia" w:hAnsiTheme="minorEastAsia" w:eastAsiaTheme="minorEastAsia" w:cstheme="minorEastAsia"/>
          <w:bCs/>
          <w:color w:val="auto"/>
          <w:highlight w:val="none"/>
        </w:rPr>
      </w:pPr>
      <w:bookmarkStart w:id="2" w:name="_Toc32634"/>
      <w:r>
        <w:rPr>
          <w:rFonts w:asciiTheme="minorEastAsia" w:hAnsiTheme="minorEastAsia" w:eastAsiaTheme="minorEastAsia" w:cstheme="minorEastAsia"/>
          <w:color w:val="auto"/>
          <w:kern w:val="2"/>
          <w:sz w:val="32"/>
          <w:szCs w:val="32"/>
          <w:highlight w:val="none"/>
        </w:rPr>
        <w:t>二、</w:t>
      </w:r>
      <w:bookmarkEnd w:id="1"/>
      <w:bookmarkEnd w:id="2"/>
      <w:r>
        <w:rPr>
          <w:rFonts w:asciiTheme="minorEastAsia" w:hAnsiTheme="minorEastAsia" w:eastAsiaTheme="minorEastAsia" w:cstheme="minorEastAsia"/>
          <w:color w:val="auto"/>
          <w:kern w:val="2"/>
          <w:sz w:val="32"/>
          <w:szCs w:val="32"/>
          <w:highlight w:val="none"/>
        </w:rPr>
        <w:t>招标文件</w:t>
      </w:r>
      <w:r>
        <w:rPr>
          <w:rFonts w:asciiTheme="minorEastAsia" w:hAnsiTheme="minorEastAsia" w:eastAsiaTheme="minorEastAsia" w:cstheme="minorEastAsia"/>
          <w:color w:val="auto"/>
          <w:sz w:val="32"/>
          <w:szCs w:val="32"/>
          <w:highlight w:val="none"/>
        </w:rPr>
        <w:t>构成、修改、解释</w:t>
      </w:r>
    </w:p>
    <w:p w14:paraId="3ACD2857">
      <w:pPr>
        <w:adjustRightInd w:val="0"/>
        <w:spacing w:line="360" w:lineRule="auto"/>
        <w:rPr>
          <w:rFonts w:hint="default" w:asciiTheme="minorEastAsia" w:hAnsiTheme="minorEastAsia" w:eastAsiaTheme="minorEastAsia" w:cstheme="minorEastAsia"/>
          <w:b/>
          <w:snapToGrid w:val="0"/>
          <w:color w:val="auto"/>
          <w:sz w:val="24"/>
          <w:szCs w:val="24"/>
          <w:highlight w:val="none"/>
        </w:rPr>
      </w:pPr>
      <w:bookmarkStart w:id="3" w:name="_Toc183786417"/>
      <w:bookmarkStart w:id="4" w:name="_Toc13570"/>
      <w:r>
        <w:rPr>
          <w:rFonts w:asciiTheme="minorEastAsia" w:hAnsiTheme="minorEastAsia" w:eastAsiaTheme="minorEastAsia" w:cstheme="minorEastAsia"/>
          <w:b/>
          <w:snapToGrid w:val="0"/>
          <w:color w:val="auto"/>
          <w:sz w:val="24"/>
          <w:szCs w:val="24"/>
          <w:highlight w:val="none"/>
        </w:rPr>
        <w:t>5．招标文件的构成</w:t>
      </w:r>
    </w:p>
    <w:p w14:paraId="7A0F1320">
      <w:pPr>
        <w:adjustRightInd w:val="0"/>
        <w:spacing w:line="360" w:lineRule="auto"/>
        <w:ind w:firstLine="480" w:firstLineChars="200"/>
        <w:rPr>
          <w:rFonts w:hint="default" w:asciiTheme="minorEastAsia" w:hAnsiTheme="minorEastAsia" w:eastAsiaTheme="minorEastAsia" w:cstheme="minorEastAsia"/>
          <w:snapToGrid w:val="0"/>
          <w:color w:val="auto"/>
          <w:sz w:val="24"/>
          <w:szCs w:val="24"/>
          <w:highlight w:val="none"/>
        </w:rPr>
      </w:pPr>
      <w:r>
        <w:rPr>
          <w:rFonts w:asciiTheme="minorEastAsia" w:hAnsiTheme="minorEastAsia" w:eastAsiaTheme="minorEastAsia" w:cstheme="minorEastAsia"/>
          <w:snapToGrid w:val="0"/>
          <w:color w:val="auto"/>
          <w:sz w:val="24"/>
          <w:szCs w:val="24"/>
          <w:highlight w:val="none"/>
        </w:rPr>
        <w:t>5.1 招标文件包括下列文件及附件：</w:t>
      </w:r>
    </w:p>
    <w:p w14:paraId="4E165BCA">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highlight w:val="none"/>
        </w:rPr>
      </w:pPr>
      <w:r>
        <w:rPr>
          <w:rFonts w:asciiTheme="minorEastAsia" w:hAnsiTheme="minorEastAsia" w:eastAsiaTheme="minorEastAsia" w:cstheme="minorEastAsia"/>
          <w:snapToGrid w:val="0"/>
          <w:color w:val="auto"/>
          <w:sz w:val="24"/>
          <w:szCs w:val="24"/>
          <w:highlight w:val="none"/>
        </w:rPr>
        <w:t>5.1.1 公开招标公告；</w:t>
      </w:r>
    </w:p>
    <w:p w14:paraId="10E71D25">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highlight w:val="none"/>
        </w:rPr>
      </w:pPr>
      <w:r>
        <w:rPr>
          <w:rFonts w:asciiTheme="minorEastAsia" w:hAnsiTheme="minorEastAsia" w:eastAsiaTheme="minorEastAsia" w:cstheme="minorEastAsia"/>
          <w:snapToGrid w:val="0"/>
          <w:color w:val="auto"/>
          <w:sz w:val="24"/>
          <w:szCs w:val="24"/>
          <w:highlight w:val="none"/>
        </w:rPr>
        <w:t>5.1.2 投标人须知；</w:t>
      </w:r>
    </w:p>
    <w:p w14:paraId="7743BC31">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highlight w:val="none"/>
        </w:rPr>
      </w:pPr>
      <w:r>
        <w:rPr>
          <w:rFonts w:asciiTheme="minorEastAsia" w:hAnsiTheme="minorEastAsia" w:eastAsiaTheme="minorEastAsia" w:cstheme="minorEastAsia"/>
          <w:snapToGrid w:val="0"/>
          <w:color w:val="auto"/>
          <w:sz w:val="24"/>
          <w:szCs w:val="24"/>
          <w:highlight w:val="none"/>
        </w:rPr>
        <w:t>5.1.3 采购需求；</w:t>
      </w:r>
    </w:p>
    <w:p w14:paraId="037F2906">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highlight w:val="none"/>
        </w:rPr>
      </w:pPr>
      <w:r>
        <w:rPr>
          <w:rFonts w:asciiTheme="minorEastAsia" w:hAnsiTheme="minorEastAsia" w:eastAsiaTheme="minorEastAsia" w:cstheme="minorEastAsia"/>
          <w:snapToGrid w:val="0"/>
          <w:color w:val="auto"/>
          <w:sz w:val="24"/>
          <w:szCs w:val="24"/>
          <w:highlight w:val="none"/>
        </w:rPr>
        <w:t>5.1.4 评标办法；</w:t>
      </w:r>
    </w:p>
    <w:p w14:paraId="39B52B18">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highlight w:val="none"/>
        </w:rPr>
      </w:pPr>
      <w:r>
        <w:rPr>
          <w:rFonts w:asciiTheme="minorEastAsia" w:hAnsiTheme="minorEastAsia" w:eastAsiaTheme="minorEastAsia" w:cstheme="minorEastAsia"/>
          <w:snapToGrid w:val="0"/>
          <w:color w:val="auto"/>
          <w:sz w:val="24"/>
          <w:szCs w:val="24"/>
          <w:highlight w:val="none"/>
        </w:rPr>
        <w:t>5.1.5 拟签订的合同文本；</w:t>
      </w:r>
    </w:p>
    <w:p w14:paraId="3CC98848">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highlight w:val="none"/>
        </w:rPr>
      </w:pPr>
      <w:r>
        <w:rPr>
          <w:rFonts w:asciiTheme="minorEastAsia" w:hAnsiTheme="minorEastAsia" w:eastAsiaTheme="minorEastAsia" w:cstheme="minorEastAsia"/>
          <w:snapToGrid w:val="0"/>
          <w:color w:val="auto"/>
          <w:sz w:val="24"/>
          <w:szCs w:val="21"/>
          <w:highlight w:val="none"/>
        </w:rPr>
        <w:t xml:space="preserve">5.1.6 </w:t>
      </w:r>
      <w:r>
        <w:rPr>
          <w:rFonts w:asciiTheme="minorEastAsia" w:hAnsiTheme="minorEastAsia" w:eastAsiaTheme="minorEastAsia" w:cstheme="minorEastAsia"/>
          <w:snapToGrid w:val="0"/>
          <w:color w:val="auto"/>
          <w:sz w:val="24"/>
          <w:szCs w:val="24"/>
          <w:highlight w:val="none"/>
        </w:rPr>
        <w:t>应提交的有关格式范例。</w:t>
      </w:r>
    </w:p>
    <w:p w14:paraId="05CD7FDB">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5.1.7 其他</w:t>
      </w:r>
    </w:p>
    <w:p w14:paraId="61159159">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5.2与本项目有关的</w:t>
      </w:r>
      <w:r>
        <w:rPr>
          <w:rFonts w:asciiTheme="minorEastAsia" w:hAnsiTheme="minorEastAsia" w:eastAsiaTheme="minorEastAsia" w:cstheme="minorEastAsia"/>
          <w:bCs/>
          <w:color w:val="auto"/>
          <w:sz w:val="24"/>
          <w:szCs w:val="24"/>
          <w:highlight w:val="none"/>
        </w:rPr>
        <w:t>澄清或者修改的内容为招标文件的组成部分</w:t>
      </w:r>
      <w:r>
        <w:rPr>
          <w:rFonts w:asciiTheme="minorEastAsia" w:hAnsiTheme="minorEastAsia" w:eastAsiaTheme="minorEastAsia" w:cstheme="minorEastAsia"/>
          <w:color w:val="auto"/>
          <w:sz w:val="24"/>
          <w:szCs w:val="24"/>
          <w:highlight w:val="none"/>
        </w:rPr>
        <w:t>。</w:t>
      </w:r>
    </w:p>
    <w:p w14:paraId="16A8CFF9">
      <w:pPr>
        <w:adjustRightInd w:val="0"/>
        <w:spacing w:line="360" w:lineRule="auto"/>
        <w:rPr>
          <w:rFonts w:hint="default" w:asciiTheme="minorEastAsia" w:hAnsiTheme="minorEastAsia" w:eastAsiaTheme="minorEastAsia" w:cstheme="minorEastAsia"/>
          <w:b/>
          <w:snapToGrid w:val="0"/>
          <w:color w:val="auto"/>
          <w:sz w:val="24"/>
          <w:szCs w:val="24"/>
          <w:highlight w:val="none"/>
        </w:rPr>
      </w:pPr>
      <w:r>
        <w:rPr>
          <w:rFonts w:asciiTheme="minorEastAsia" w:hAnsiTheme="minorEastAsia" w:eastAsiaTheme="minorEastAsia" w:cstheme="minorEastAsia"/>
          <w:b/>
          <w:snapToGrid w:val="0"/>
          <w:color w:val="auto"/>
          <w:sz w:val="24"/>
          <w:szCs w:val="24"/>
          <w:highlight w:val="none"/>
        </w:rPr>
        <w:t>6. 招标文件的澄清、修改</w:t>
      </w:r>
    </w:p>
    <w:p w14:paraId="252AF666">
      <w:pPr>
        <w:adjustRightInd w:val="0"/>
        <w:snapToGri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6.1已获取招标文件的潜在投标人，若有问题需要澄清，应于投标截止时间前，以书面形式向采购机构提出。</w:t>
      </w:r>
    </w:p>
    <w:p w14:paraId="63C05264">
      <w:pPr>
        <w:adjustRightInd w:val="0"/>
        <w:snapToGri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55EE998">
      <w:pPr>
        <w:pStyle w:val="5"/>
        <w:spacing w:before="120" w:after="120" w:line="360" w:lineRule="auto"/>
        <w:jc w:val="center"/>
        <w:rPr>
          <w:rFonts w:hint="default" w:asciiTheme="minorEastAsia" w:hAnsiTheme="minorEastAsia" w:eastAsiaTheme="minorEastAsia" w:cstheme="minorEastAsia"/>
          <w:color w:val="auto"/>
          <w:kern w:val="2"/>
          <w:sz w:val="32"/>
          <w:szCs w:val="32"/>
          <w:highlight w:val="none"/>
        </w:rPr>
      </w:pPr>
      <w:r>
        <w:rPr>
          <w:rFonts w:asciiTheme="minorEastAsia" w:hAnsiTheme="minorEastAsia" w:eastAsiaTheme="minorEastAsia" w:cstheme="minorEastAsia"/>
          <w:color w:val="auto"/>
          <w:kern w:val="2"/>
          <w:sz w:val="32"/>
          <w:szCs w:val="32"/>
          <w:highlight w:val="none"/>
        </w:rPr>
        <w:t>三、</w:t>
      </w:r>
      <w:bookmarkEnd w:id="3"/>
      <w:r>
        <w:rPr>
          <w:rFonts w:asciiTheme="minorEastAsia" w:hAnsiTheme="minorEastAsia" w:eastAsiaTheme="minorEastAsia" w:cstheme="minorEastAsia"/>
          <w:color w:val="auto"/>
          <w:kern w:val="2"/>
          <w:sz w:val="32"/>
          <w:szCs w:val="32"/>
          <w:highlight w:val="none"/>
        </w:rPr>
        <w:t>投标</w:t>
      </w:r>
      <w:bookmarkEnd w:id="4"/>
    </w:p>
    <w:p w14:paraId="02D002D0">
      <w:pPr>
        <w:adjustRightInd w:val="0"/>
        <w:snapToGrid w:val="0"/>
        <w:spacing w:line="360" w:lineRule="auto"/>
        <w:rPr>
          <w:rFonts w:hint="default" w:asciiTheme="minorEastAsia" w:hAnsiTheme="minorEastAsia" w:eastAsiaTheme="minorEastAsia" w:cstheme="minorEastAsia"/>
          <w:b/>
          <w:color w:val="auto"/>
          <w:sz w:val="24"/>
          <w:szCs w:val="24"/>
          <w:highlight w:val="none"/>
        </w:rPr>
      </w:pPr>
      <w:bookmarkStart w:id="5" w:name="_Toc183786418"/>
      <w:bookmarkStart w:id="6" w:name="_Toc6879"/>
      <w:r>
        <w:rPr>
          <w:rFonts w:asciiTheme="minorEastAsia" w:hAnsiTheme="minorEastAsia" w:eastAsiaTheme="minorEastAsia" w:cstheme="minorEastAsia"/>
          <w:b/>
          <w:color w:val="auto"/>
          <w:sz w:val="24"/>
          <w:szCs w:val="24"/>
          <w:highlight w:val="none"/>
        </w:rPr>
        <w:t>7.招标文件的获取</w:t>
      </w:r>
    </w:p>
    <w:p w14:paraId="6F696C22">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详见招标公告中获取招标文件的时间期限、地点、方式及招标文件售价。</w:t>
      </w:r>
    </w:p>
    <w:p w14:paraId="6A6A6569">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8.开标前答疑会或现场考察</w:t>
      </w:r>
    </w:p>
    <w:p w14:paraId="06C87D95">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采购人组织潜在投标人现场考察或者召开开标前答疑会的，潜在投标人按第二部分投标人须知前附表的规定参加现场考察或者开标前答疑会。</w:t>
      </w:r>
    </w:p>
    <w:p w14:paraId="717383FE">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9.投标保证金</w:t>
      </w:r>
    </w:p>
    <w:p w14:paraId="33D8FC6F">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本项目不需缴纳投标保证金。</w:t>
      </w:r>
    </w:p>
    <w:p w14:paraId="2198F21A">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10.投标文件的语言</w:t>
      </w:r>
    </w:p>
    <w:p w14:paraId="0F82D476">
      <w:pPr>
        <w:adjustRightInd w:val="0"/>
        <w:snapToGrid w:val="0"/>
        <w:spacing w:line="360" w:lineRule="auto"/>
        <w:ind w:firstLine="480"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Cs/>
          <w:color w:val="auto"/>
          <w:sz w:val="24"/>
          <w:szCs w:val="24"/>
          <w:highlight w:val="none"/>
        </w:rPr>
        <w:t>投标文件及投标人与采购有关的来往通知、函件和文件均应使用中文。</w:t>
      </w:r>
    </w:p>
    <w:p w14:paraId="6AA7F088">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11．投标文件的组成</w:t>
      </w:r>
    </w:p>
    <w:p w14:paraId="3B4E62F8">
      <w:pPr>
        <w:autoSpaceDE w:val="0"/>
        <w:autoSpaceDN w:val="0"/>
        <w:adjustRightInd w:val="0"/>
        <w:snapToGrid w:val="0"/>
        <w:spacing w:line="360" w:lineRule="auto"/>
        <w:ind w:firstLine="480" w:firstLineChars="200"/>
        <w:textAlignment w:val="bottom"/>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供应商向采购人上传的投标文件（以下简称投标文件）由资格文件、商务技术文件及报价文件三部分内容组成，具体如下： </w:t>
      </w:r>
    </w:p>
    <w:p w14:paraId="2DEB4C27">
      <w:pPr>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11.1 资格文件</w:t>
      </w:r>
    </w:p>
    <w:p w14:paraId="5AF4231E">
      <w:pPr>
        <w:autoSpaceDE w:val="0"/>
        <w:autoSpaceDN w:val="0"/>
        <w:adjustRightInd w:val="0"/>
        <w:snapToGrid w:val="0"/>
        <w:spacing w:line="360" w:lineRule="auto"/>
        <w:ind w:firstLine="482" w:firstLineChars="200"/>
        <w:textAlignment w:val="bottom"/>
        <w:rPr>
          <w:rFonts w:hint="default" w:asciiTheme="minorEastAsia" w:hAnsiTheme="minorEastAsia" w:eastAsiaTheme="minorEastAsia" w:cstheme="minorEastAsia"/>
          <w:b/>
          <w:bCs/>
          <w:color w:val="auto"/>
          <w:sz w:val="24"/>
          <w:szCs w:val="24"/>
          <w:highlight w:val="none"/>
        </w:rPr>
      </w:pPr>
      <w:r>
        <w:rPr>
          <w:rFonts w:asciiTheme="minorEastAsia" w:hAnsiTheme="minorEastAsia" w:eastAsiaTheme="minorEastAsia" w:cstheme="minorEastAsia"/>
          <w:b/>
          <w:bCs/>
          <w:color w:val="auto"/>
          <w:sz w:val="24"/>
          <w:szCs w:val="24"/>
          <w:highlight w:val="none"/>
        </w:rPr>
        <w:t>详见“第六部分 应提交的有关格式范例”要求</w:t>
      </w:r>
    </w:p>
    <w:p w14:paraId="51BC2E64">
      <w:pPr>
        <w:autoSpaceDE w:val="0"/>
        <w:autoSpaceDN w:val="0"/>
        <w:adjustRightInd w:val="0"/>
        <w:snapToGrid w:val="0"/>
        <w:spacing w:line="360" w:lineRule="auto"/>
        <w:ind w:firstLine="482" w:firstLineChars="200"/>
        <w:textAlignment w:val="bottom"/>
        <w:rPr>
          <w:rFonts w:hint="default" w:asciiTheme="minorEastAsia" w:hAnsiTheme="minorEastAsia" w:eastAsiaTheme="minorEastAsia" w:cstheme="minorEastAsia"/>
          <w:b/>
          <w:bCs/>
          <w:color w:val="auto"/>
          <w:sz w:val="24"/>
          <w:szCs w:val="24"/>
          <w:highlight w:val="none"/>
        </w:rPr>
      </w:pPr>
      <w:r>
        <w:rPr>
          <w:rFonts w:asciiTheme="minorEastAsia" w:hAnsiTheme="minorEastAsia" w:eastAsiaTheme="minorEastAsia" w:cstheme="minorEastAsia"/>
          <w:b/>
          <w:color w:val="auto"/>
          <w:sz w:val="24"/>
          <w:szCs w:val="24"/>
          <w:highlight w:val="none"/>
        </w:rPr>
        <w:t>11.2 商务技术文件</w:t>
      </w:r>
    </w:p>
    <w:p w14:paraId="1FD144EF">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详见“第六部分 应提交的有关格式范例”要求</w:t>
      </w:r>
    </w:p>
    <w:p w14:paraId="12BAEE51">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11.3 报价文件</w:t>
      </w:r>
    </w:p>
    <w:p w14:paraId="4928A4DD">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详见“第六部分 应提交的有关格式范例”要求</w:t>
      </w:r>
    </w:p>
    <w:p w14:paraId="76144836">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投标文件含有采购人不能接受的附加条件的，投标无效；</w:t>
      </w:r>
    </w:p>
    <w:p w14:paraId="7A29EE5D">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投标人提供虚假材料投标的，投标无效。</w:t>
      </w:r>
    </w:p>
    <w:p w14:paraId="00E148BF">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12.投标文件的编制</w:t>
      </w:r>
    </w:p>
    <w:p w14:paraId="53564471">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645065D">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12.2 投标人进行电子投标应安装客户端软件—“政采云电子交易客户端”，并按照招标文件和电子交易平台的要求编制并加密投标文件。投标人未按规定加密的投标文件，电子交易平台将拒收并提示。</w:t>
      </w:r>
    </w:p>
    <w:p w14:paraId="6BF07943">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12.3 使用“政采云电子交易客户端”需要提前申领CA数字证书，申领流程请自行前往“浙江政府采购网-下载专区-电子交易客户端-CA驱动和申领流程”进行查阅。</w:t>
      </w:r>
    </w:p>
    <w:p w14:paraId="6B6C1D56">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13.投标文件的签署、盖章</w:t>
      </w:r>
    </w:p>
    <w:p w14:paraId="7C63311B">
      <w:pPr>
        <w:adjustRightInd w:val="0"/>
        <w:snapToGrid w:val="0"/>
        <w:spacing w:line="360" w:lineRule="auto"/>
        <w:ind w:firstLine="480" w:firstLineChars="200"/>
        <w:rPr>
          <w:rFonts w:hint="default" w:asciiTheme="minorEastAsia" w:hAnsiTheme="minorEastAsia" w:eastAsiaTheme="minorEastAsia" w:cstheme="minorEastAsia"/>
          <w:b/>
          <w:bCs w:val="0"/>
          <w:color w:val="auto"/>
          <w:sz w:val="24"/>
          <w:szCs w:val="24"/>
          <w:highlight w:val="none"/>
        </w:rPr>
      </w:pPr>
      <w:r>
        <w:rPr>
          <w:rFonts w:asciiTheme="minorEastAsia" w:hAnsiTheme="minorEastAsia" w:eastAsiaTheme="minorEastAsia" w:cstheme="minorEastAsia"/>
          <w:bCs/>
          <w:color w:val="auto"/>
          <w:sz w:val="24"/>
          <w:szCs w:val="24"/>
          <w:highlight w:val="none"/>
        </w:rPr>
        <w:t>13.1 投标文件按照招标文件第六部分格式要求进行签署、盖章。</w:t>
      </w:r>
      <w:r>
        <w:rPr>
          <w:rFonts w:asciiTheme="minorEastAsia" w:hAnsiTheme="minorEastAsia" w:eastAsiaTheme="minorEastAsia" w:cstheme="minorEastAsia"/>
          <w:b/>
          <w:bCs w:val="0"/>
          <w:color w:val="auto"/>
          <w:sz w:val="24"/>
          <w:szCs w:val="24"/>
          <w:highlight w:val="none"/>
        </w:rPr>
        <w:t>▲投标人的投标文件未按照招标文件要求签署、盖章的，其投标无效。</w:t>
      </w:r>
    </w:p>
    <w:p w14:paraId="233EC3E6">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13.2 为确保网上操作合法、有效和安全，投标人应当在投标截止时间前完成在“政府采购云平台”的身份认证，确保在电子投标过程中能够对相关数据电文进行加密和使用电子签名。</w:t>
      </w:r>
    </w:p>
    <w:p w14:paraId="6CA8F705">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13.3 招标文件对投标文件签署、盖章的要求适用于电子签名。</w:t>
      </w:r>
    </w:p>
    <w:p w14:paraId="54FAA3A1">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14.投标文件的提交、补充、修改、撤回</w:t>
      </w:r>
    </w:p>
    <w:p w14:paraId="4F1C6CA4">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8313F00">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14.2 电子交易平台收到投标文件，将妥善保存并即时向供应商发出确认回执通知。在投标截止时间前，除供应商补充、修改或者撤回投标文件外，任何单位和个人不得解密或提取投标文件。</w:t>
      </w:r>
    </w:p>
    <w:p w14:paraId="4A285F25">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14.3 采购人、采购机构可以视情况延长投标文件提交的截止时间。在上述情况下，采购机构与投标人以前在投标截止期方面的全部权利、责任和义务，将适用于延长至新的投标截止期。</w:t>
      </w:r>
    </w:p>
    <w:p w14:paraId="191B753E">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15.备份投标文件</w:t>
      </w:r>
    </w:p>
    <w:p w14:paraId="593FBAE4">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15.1 投标人在电子交易平台传输递交投标文件后，还可以在投标截止时间前直接提交或者以快递方式递交备份投标文件1份，</w:t>
      </w:r>
      <w:r>
        <w:rPr>
          <w:rFonts w:asciiTheme="minorEastAsia" w:hAnsiTheme="minorEastAsia" w:eastAsiaTheme="minorEastAsia" w:cstheme="minorEastAsia"/>
          <w:b/>
          <w:bCs w:val="0"/>
          <w:color w:val="auto"/>
          <w:sz w:val="24"/>
          <w:szCs w:val="24"/>
          <w:highlight w:val="none"/>
        </w:rPr>
        <w:t>但采购人、采购机构不强制或变相强制投标人提交备份投标文件</w:t>
      </w:r>
      <w:r>
        <w:rPr>
          <w:rFonts w:asciiTheme="minorEastAsia" w:hAnsiTheme="minorEastAsia" w:eastAsiaTheme="minorEastAsia" w:cstheme="minorEastAsia"/>
          <w:bCs/>
          <w:color w:val="auto"/>
          <w:sz w:val="24"/>
          <w:szCs w:val="24"/>
          <w:highlight w:val="none"/>
        </w:rPr>
        <w:t>。</w:t>
      </w:r>
    </w:p>
    <w:p w14:paraId="46D1A411">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15.2 备份投标文件须在“政采云投标客户端”制作生成（后缀格式为.bfbs），并储存在u盘或DVD光盘中。</w:t>
      </w:r>
      <w:r>
        <w:rPr>
          <w:rFonts w:hint="eastAsia" w:asciiTheme="minorEastAsia" w:hAnsiTheme="minorEastAsia" w:eastAsiaTheme="minorEastAsia" w:cstheme="minorEastAsia"/>
          <w:b/>
          <w:bCs w:val="0"/>
          <w:color w:val="auto"/>
          <w:sz w:val="24"/>
          <w:szCs w:val="24"/>
          <w:highlight w:val="none"/>
        </w:rPr>
        <w:t>备份文件密封要求：内层封套写明：项目名称、项目编号、投标人名称（盖章）、开标时间；外层封套写明：项目名称、项目编号、开标时间；将u盘或DVD光盘包装在内层封套里，再将内层封套装入外层封套中。外层封套上不应有任何投标人的识别标志或标识。</w:t>
      </w:r>
      <w:r>
        <w:rPr>
          <w:rFonts w:hint="eastAsia" w:asciiTheme="minorEastAsia" w:hAnsiTheme="minorEastAsia" w:eastAsiaTheme="minorEastAsia" w:cstheme="minorEastAsia"/>
          <w:bCs/>
          <w:color w:val="auto"/>
          <w:sz w:val="24"/>
          <w:szCs w:val="24"/>
          <w:highlight w:val="none"/>
        </w:rPr>
        <w:t>（如联合体投标的，内层封套上需注明联合体投标，并注明联合体成员各方的名称和联合协议中约定的牵头人的名称）不符合上述制作、存储、密封规定的备份投标文件将被视为无效或者被拒绝接收</w:t>
      </w:r>
      <w:r>
        <w:rPr>
          <w:rFonts w:asciiTheme="minorEastAsia" w:hAnsiTheme="minorEastAsia" w:eastAsiaTheme="minorEastAsia" w:cstheme="minorEastAsia"/>
          <w:bCs/>
          <w:color w:val="auto"/>
          <w:sz w:val="24"/>
          <w:szCs w:val="24"/>
          <w:highlight w:val="none"/>
        </w:rPr>
        <w:t>。</w:t>
      </w:r>
    </w:p>
    <w:p w14:paraId="228968C3">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15.3 直接提交备份投标文件的，投标人应于投标截止时间前在招标公告中载明的开标地点将备份投标文件提交给采购机构，采购机构将拒绝接受逾期送达的备份投标文件。</w:t>
      </w:r>
    </w:p>
    <w:p w14:paraId="5A9EF05F">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漏、遗失、损坏或延期送达等情况的，由投标人自行负责。</w:t>
      </w:r>
    </w:p>
    <w:p w14:paraId="4E583563">
      <w:pPr>
        <w:adjustRightInd w:val="0"/>
        <w:snapToGrid w:val="0"/>
        <w:spacing w:line="360" w:lineRule="auto"/>
        <w:ind w:firstLine="482"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
          <w:bCs w:val="0"/>
          <w:color w:val="auto"/>
          <w:sz w:val="24"/>
          <w:szCs w:val="24"/>
          <w:highlight w:val="none"/>
        </w:rPr>
        <w:t>15.5 投标人仅提交备份投标文件，没有在电子交易平台传输递交投标文件的，投标无效。</w:t>
      </w:r>
    </w:p>
    <w:p w14:paraId="5793EB92">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16.投标文件的无效处理</w:t>
      </w:r>
    </w:p>
    <w:p w14:paraId="3A4DA7B9">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有招标文件“第四部分 评标办法”规定的情形之一的，投标无效：</w:t>
      </w:r>
    </w:p>
    <w:p w14:paraId="64F7FEC1">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17.投标有效期</w:t>
      </w:r>
    </w:p>
    <w:p w14:paraId="3A82509C">
      <w:pPr>
        <w:adjustRightInd w:val="0"/>
        <w:snapToGrid w:val="0"/>
        <w:spacing w:line="360" w:lineRule="auto"/>
        <w:ind w:firstLine="480"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Cs/>
          <w:color w:val="auto"/>
          <w:sz w:val="24"/>
          <w:szCs w:val="24"/>
          <w:highlight w:val="none"/>
        </w:rPr>
        <w:t>17.1 投标有效期为从提交投标文件的截止之日起90天。</w:t>
      </w:r>
      <w:r>
        <w:rPr>
          <w:rFonts w:asciiTheme="minorEastAsia" w:hAnsiTheme="minorEastAsia" w:eastAsiaTheme="minorEastAsia" w:cstheme="minorEastAsia"/>
          <w:b/>
          <w:color w:val="auto"/>
          <w:sz w:val="24"/>
          <w:szCs w:val="24"/>
          <w:highlight w:val="none"/>
        </w:rPr>
        <w:t>▲投标人的投标文件中承诺的投标有效期少于招标文件中载明的投标有效期的，投标无效。</w:t>
      </w:r>
    </w:p>
    <w:p w14:paraId="2CAC1BE0">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17.2 投标文件合格投递后，自投标截止日期起，在投标有效期内有效。</w:t>
      </w:r>
    </w:p>
    <w:p w14:paraId="7EAD6B58">
      <w:pPr>
        <w:adjustRightInd w:val="0"/>
        <w:snapToGrid w:val="0"/>
        <w:spacing w:line="360" w:lineRule="auto"/>
        <w:ind w:firstLine="480"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Cs/>
          <w:color w:val="auto"/>
          <w:sz w:val="24"/>
          <w:szCs w:val="24"/>
          <w:highlight w:val="none"/>
        </w:rPr>
        <w:t>17.3 在原定投标有效期满之前，如果出现特殊情况，采购机构可以以书面形式通知投标人延长投标有效期。投标人同意延长的，不得要求或被允许修改其投标文件，投标人拒绝延长的，其投标无效。</w:t>
      </w:r>
    </w:p>
    <w:p w14:paraId="51158426">
      <w:pPr>
        <w:pStyle w:val="5"/>
        <w:spacing w:before="120" w:after="120" w:line="360" w:lineRule="auto"/>
        <w:jc w:val="center"/>
        <w:rPr>
          <w:rFonts w:hint="default" w:asciiTheme="minorEastAsia" w:hAnsiTheme="minorEastAsia" w:eastAsiaTheme="minorEastAsia" w:cstheme="minorEastAsia"/>
          <w:color w:val="auto"/>
          <w:kern w:val="2"/>
          <w:sz w:val="32"/>
          <w:szCs w:val="32"/>
          <w:highlight w:val="none"/>
        </w:rPr>
      </w:pPr>
      <w:r>
        <w:rPr>
          <w:rFonts w:asciiTheme="minorEastAsia" w:hAnsiTheme="minorEastAsia" w:eastAsiaTheme="minorEastAsia" w:cstheme="minorEastAsia"/>
          <w:color w:val="auto"/>
          <w:kern w:val="2"/>
          <w:sz w:val="32"/>
          <w:szCs w:val="32"/>
          <w:highlight w:val="none"/>
        </w:rPr>
        <w:t>四、</w:t>
      </w:r>
      <w:bookmarkEnd w:id="5"/>
      <w:bookmarkEnd w:id="6"/>
      <w:r>
        <w:rPr>
          <w:rFonts w:asciiTheme="minorEastAsia" w:hAnsiTheme="minorEastAsia" w:eastAsiaTheme="minorEastAsia" w:cstheme="minorEastAsia"/>
          <w:color w:val="auto"/>
          <w:kern w:val="2"/>
          <w:sz w:val="32"/>
          <w:szCs w:val="32"/>
          <w:highlight w:val="none"/>
        </w:rPr>
        <w:t>开标、资格审查与信用信息查询</w:t>
      </w:r>
    </w:p>
    <w:p w14:paraId="035AAD55">
      <w:pPr>
        <w:autoSpaceDE w:val="0"/>
        <w:autoSpaceDN w:val="0"/>
        <w:adjustRightInd w:val="0"/>
        <w:spacing w:line="360" w:lineRule="auto"/>
        <w:contextualSpacing/>
        <w:rPr>
          <w:rFonts w:hint="default" w:asciiTheme="minorEastAsia" w:hAnsiTheme="minorEastAsia" w:eastAsiaTheme="minorEastAsia" w:cstheme="minorEastAsia"/>
          <w:color w:val="auto"/>
          <w:sz w:val="24"/>
          <w:highlight w:val="none"/>
        </w:rPr>
      </w:pPr>
      <w:bookmarkStart w:id="7" w:name="_Toc11093"/>
      <w:bookmarkStart w:id="8" w:name="_Toc183786419"/>
      <w:bookmarkStart w:id="9" w:name="_Toc207550884"/>
      <w:r>
        <w:rPr>
          <w:rFonts w:asciiTheme="minorEastAsia" w:hAnsiTheme="minorEastAsia" w:eastAsiaTheme="minorEastAsia" w:cstheme="minorEastAsia"/>
          <w:b/>
          <w:color w:val="auto"/>
          <w:sz w:val="24"/>
          <w:szCs w:val="24"/>
          <w:highlight w:val="none"/>
        </w:rPr>
        <w:t>18.开标</w:t>
      </w:r>
      <w:r>
        <w:rPr>
          <w:rFonts w:asciiTheme="minorEastAsia" w:hAnsiTheme="minorEastAsia" w:eastAsiaTheme="minorEastAsia" w:cstheme="minorEastAsia"/>
          <w:color w:val="auto"/>
          <w:sz w:val="24"/>
          <w:highlight w:val="none"/>
        </w:rPr>
        <w:t xml:space="preserve"> </w:t>
      </w:r>
    </w:p>
    <w:p w14:paraId="0B3C1084">
      <w:pPr>
        <w:autoSpaceDE w:val="0"/>
        <w:autoSpaceDN w:val="0"/>
        <w:adjustRightInd w:val="0"/>
        <w:spacing w:line="360" w:lineRule="auto"/>
        <w:ind w:firstLine="480" w:firstLineChars="200"/>
        <w:contextualSpacing/>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18.1 采购机构按照招标文件规定的时间通过电子交易平台组织开标，所有投标人均应当准时在线参加。投标人不足3家的，不得开标。</w:t>
      </w:r>
    </w:p>
    <w:p w14:paraId="501A3087">
      <w:pPr>
        <w:autoSpaceDE w:val="0"/>
        <w:autoSpaceDN w:val="0"/>
        <w:adjustRightInd w:val="0"/>
        <w:spacing w:line="360" w:lineRule="auto"/>
        <w:ind w:firstLine="480" w:firstLineChars="200"/>
        <w:contextualSpacing/>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18.2 开标时，电子交易平台按开标时间自动提取所有投标文件。采购机构依托电子交易平台发起开始解密指令，投标人按照平台提示和招标文件的规定在半小时内完成在线解密。</w:t>
      </w:r>
    </w:p>
    <w:p w14:paraId="3A19196F">
      <w:pPr>
        <w:autoSpaceDE w:val="0"/>
        <w:autoSpaceDN w:val="0"/>
        <w:adjustRightInd w:val="0"/>
        <w:spacing w:line="360" w:lineRule="auto"/>
        <w:ind w:firstLine="482" w:firstLineChars="200"/>
        <w:contextualSpacing/>
        <w:rPr>
          <w:rFonts w:hint="default" w:asciiTheme="minorEastAsia" w:hAnsiTheme="minorEastAsia" w:eastAsiaTheme="minorEastAsia" w:cstheme="minorEastAsia"/>
          <w:b/>
          <w:color w:val="auto"/>
          <w:sz w:val="24"/>
          <w:highlight w:val="none"/>
        </w:rPr>
      </w:pPr>
      <w:r>
        <w:rPr>
          <w:rFonts w:asciiTheme="minorEastAsia" w:hAnsiTheme="minorEastAsia" w:eastAsiaTheme="minorEastAsia" w:cstheme="minorEastAsia"/>
          <w:b/>
          <w:bCs/>
          <w:color w:val="auto"/>
          <w:sz w:val="24"/>
          <w:highlight w:val="none"/>
        </w:rPr>
        <w:t xml:space="preserve">18.3 </w:t>
      </w:r>
      <w:r>
        <w:rPr>
          <w:rFonts w:asciiTheme="minorEastAsia" w:hAnsiTheme="minorEastAsia" w:eastAsiaTheme="minorEastAsia" w:cstheme="minorEastAsia"/>
          <w:b/>
          <w:color w:val="auto"/>
          <w:sz w:val="24"/>
          <w:highlight w:val="none"/>
        </w:rPr>
        <w:t>投标文件未按时解密，投标人提供了备份投标文件的，以备份投标文件作为依据，否则视为投标文件撤回。投标文件已按时解密的，备份投标文件自动失效。</w:t>
      </w:r>
    </w:p>
    <w:p w14:paraId="0172B783">
      <w:pPr>
        <w:widowControl/>
        <w:adjustRightInd w:val="0"/>
        <w:spacing w:line="360" w:lineRule="auto"/>
        <w:jc w:val="left"/>
        <w:rPr>
          <w:rFonts w:hint="default" w:asciiTheme="minorEastAsia" w:hAnsiTheme="minorEastAsia" w:eastAsiaTheme="minorEastAsia" w:cstheme="minorEastAsia"/>
          <w:b/>
          <w:color w:val="auto"/>
          <w:sz w:val="24"/>
          <w:highlight w:val="none"/>
        </w:rPr>
      </w:pPr>
      <w:r>
        <w:rPr>
          <w:rFonts w:asciiTheme="minorEastAsia" w:hAnsiTheme="minorEastAsia" w:eastAsiaTheme="minorEastAsia" w:cstheme="minorEastAsia"/>
          <w:b/>
          <w:color w:val="auto"/>
          <w:sz w:val="24"/>
          <w:highlight w:val="none"/>
        </w:rPr>
        <w:t>19.资格审查</w:t>
      </w:r>
    </w:p>
    <w:p w14:paraId="68F9E9EF">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19.1 开标后，采购人或采购机构将依法对投标人的资格进行审查。</w:t>
      </w:r>
    </w:p>
    <w:p w14:paraId="1F5D795B">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kern w:val="0"/>
          <w:sz w:val="24"/>
          <w:szCs w:val="24"/>
          <w:highlight w:val="none"/>
        </w:rPr>
        <w:t xml:space="preserve">19.2 </w:t>
      </w:r>
      <w:r>
        <w:rPr>
          <w:rFonts w:asciiTheme="minorEastAsia" w:hAnsiTheme="minorEastAsia" w:eastAsiaTheme="minorEastAsia" w:cstheme="minorEastAsia"/>
          <w:color w:val="auto"/>
          <w:sz w:val="24"/>
          <w:szCs w:val="24"/>
          <w:highlight w:val="none"/>
        </w:rPr>
        <w:t>采购人或采购机构依据法律法规和招标文件的规定，对投标人的基本资格条件、特定资格条件进行审查。</w:t>
      </w:r>
    </w:p>
    <w:p w14:paraId="716137DB">
      <w:pPr>
        <w:adjustRightIn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0"/>
          <w:sz w:val="24"/>
          <w:szCs w:val="24"/>
          <w:highlight w:val="none"/>
        </w:rPr>
        <w:t>19.3 投标人未按照招标文件要求提供与</w:t>
      </w:r>
      <w:r>
        <w:rPr>
          <w:rFonts w:asciiTheme="minorEastAsia" w:hAnsiTheme="minorEastAsia" w:eastAsiaTheme="minorEastAsia" w:cstheme="minorEastAsia"/>
          <w:color w:val="auto"/>
          <w:sz w:val="24"/>
          <w:highlight w:val="none"/>
        </w:rPr>
        <w:t>基本资格条件、特定资格条件相应的</w:t>
      </w:r>
      <w:r>
        <w:rPr>
          <w:rFonts w:asciiTheme="minorEastAsia" w:hAnsiTheme="minorEastAsia" w:eastAsiaTheme="minorEastAsia" w:cstheme="minorEastAsia"/>
          <w:color w:val="auto"/>
          <w:kern w:val="0"/>
          <w:sz w:val="24"/>
          <w:szCs w:val="24"/>
          <w:highlight w:val="none"/>
        </w:rPr>
        <w:t>有效资格证明材料的，视为</w:t>
      </w:r>
      <w:r>
        <w:rPr>
          <w:rFonts w:asciiTheme="minorEastAsia" w:hAnsiTheme="minorEastAsia" w:eastAsiaTheme="minorEastAsia" w:cstheme="minorEastAsia"/>
          <w:color w:val="auto"/>
          <w:sz w:val="24"/>
          <w:highlight w:val="none"/>
        </w:rPr>
        <w:t>投标人不具备招标文件中规定的资格要求，其投标无效。</w:t>
      </w:r>
    </w:p>
    <w:p w14:paraId="4B0A1A5F">
      <w:pPr>
        <w:adjustRightIn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0"/>
          <w:sz w:val="24"/>
          <w:szCs w:val="24"/>
          <w:highlight w:val="none"/>
        </w:rPr>
        <w:t>19.</w:t>
      </w:r>
      <w:r>
        <w:rPr>
          <w:rFonts w:asciiTheme="minorEastAsia" w:hAnsiTheme="minorEastAsia" w:eastAsiaTheme="minorEastAsia" w:cstheme="minorEastAsia"/>
          <w:color w:val="auto"/>
          <w:sz w:val="24"/>
          <w:highlight w:val="none"/>
        </w:rPr>
        <w:t>4 对未通过资格审查的投标人，采购人或采购机构告知其未通过的原因。</w:t>
      </w:r>
    </w:p>
    <w:p w14:paraId="79FEB86E">
      <w:pPr>
        <w:adjustRightIn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0"/>
          <w:sz w:val="24"/>
          <w:szCs w:val="24"/>
          <w:highlight w:val="none"/>
        </w:rPr>
        <w:t>19.</w:t>
      </w:r>
      <w:r>
        <w:rPr>
          <w:rFonts w:asciiTheme="minorEastAsia" w:hAnsiTheme="minorEastAsia" w:eastAsiaTheme="minorEastAsia" w:cstheme="minorEastAsia"/>
          <w:color w:val="auto"/>
          <w:sz w:val="24"/>
          <w:highlight w:val="none"/>
        </w:rPr>
        <w:t>5 合格投标人不足3家的，不再评标。</w:t>
      </w:r>
    </w:p>
    <w:p w14:paraId="507EF375">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20.信用信息查询</w:t>
      </w:r>
    </w:p>
    <w:p w14:paraId="5F24286D">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20.1 信用信息查询渠道及截止时间：根据《关于在政府采购活动中查询及使用信用记录有关问题的通知》财库[2016]125号文件的规定执行：查询渠道：信用中国（www.creditchina.gov.cn）、中国政府采购网（www.ccgp.gov.cn）；提交投标文件截止时间前3年内。</w:t>
      </w:r>
    </w:p>
    <w:p w14:paraId="1AE84A9D">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20.2 信用信息查询记录和证据留存的具体方式：信用信息查询记录和证据以网页截图等方式留存。</w:t>
      </w:r>
    </w:p>
    <w:p w14:paraId="2472E56B">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20.3 信用信息的使用规则：被列入失信被执行人、重大税收违法失信主体、政府采购严重违法失信行为记录名单及其他不符合《中华人民共和国政府采购法》第二十二条规定条件的，其投标将被拒绝。</w:t>
      </w:r>
    </w:p>
    <w:p w14:paraId="71FA413C">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1A28F75C">
      <w:pPr>
        <w:pStyle w:val="5"/>
        <w:spacing w:before="120" w:after="120" w:line="360" w:lineRule="auto"/>
        <w:jc w:val="center"/>
        <w:rPr>
          <w:rFonts w:hint="default" w:asciiTheme="minorEastAsia" w:hAnsiTheme="minorEastAsia" w:eastAsiaTheme="minorEastAsia" w:cstheme="minorEastAsia"/>
          <w:color w:val="auto"/>
          <w:kern w:val="2"/>
          <w:sz w:val="32"/>
          <w:szCs w:val="32"/>
          <w:highlight w:val="none"/>
        </w:rPr>
      </w:pPr>
      <w:r>
        <w:rPr>
          <w:rFonts w:asciiTheme="minorEastAsia" w:hAnsiTheme="minorEastAsia" w:eastAsiaTheme="minorEastAsia" w:cstheme="minorEastAsia"/>
          <w:color w:val="auto"/>
          <w:kern w:val="2"/>
          <w:sz w:val="32"/>
          <w:szCs w:val="32"/>
          <w:highlight w:val="none"/>
        </w:rPr>
        <w:t>五、评标</w:t>
      </w:r>
    </w:p>
    <w:p w14:paraId="34418ECA">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21.</w:t>
      </w:r>
      <w:r>
        <w:rPr>
          <w:rFonts w:hint="eastAsia" w:asciiTheme="minorEastAsia" w:hAnsiTheme="minorEastAsia" w:eastAsiaTheme="minorEastAsia" w:cstheme="minorEastAsia"/>
          <w:b/>
          <w:color w:val="auto"/>
          <w:sz w:val="24"/>
          <w:szCs w:val="24"/>
          <w:highlight w:val="none"/>
        </w:rPr>
        <w:t>评标委员会由采购人代表和评审专家5人及以上单数组成。</w:t>
      </w:r>
      <w:r>
        <w:rPr>
          <w:rFonts w:asciiTheme="minorEastAsia" w:hAnsiTheme="minorEastAsia" w:eastAsiaTheme="minorEastAsia" w:cstheme="minorEastAsia"/>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Theme="minorEastAsia" w:hAnsiTheme="minorEastAsia" w:eastAsiaTheme="minorEastAsia" w:cstheme="minorEastAsia"/>
          <w:b/>
          <w:color w:val="auto"/>
          <w:sz w:val="24"/>
          <w:szCs w:val="24"/>
          <w:highlight w:val="none"/>
        </w:rPr>
        <w:t>详见招标文件“第四部分 评标办法”。</w:t>
      </w:r>
    </w:p>
    <w:p w14:paraId="4E5BA1C6">
      <w:pPr>
        <w:pStyle w:val="5"/>
        <w:spacing w:before="120" w:after="120" w:line="360" w:lineRule="auto"/>
        <w:jc w:val="center"/>
        <w:rPr>
          <w:rFonts w:hint="default" w:asciiTheme="minorEastAsia" w:hAnsiTheme="minorEastAsia" w:eastAsiaTheme="minorEastAsia" w:cstheme="minorEastAsia"/>
          <w:color w:val="auto"/>
          <w:kern w:val="2"/>
          <w:sz w:val="32"/>
          <w:szCs w:val="32"/>
          <w:highlight w:val="none"/>
        </w:rPr>
      </w:pPr>
      <w:r>
        <w:rPr>
          <w:rFonts w:asciiTheme="minorEastAsia" w:hAnsiTheme="minorEastAsia" w:eastAsiaTheme="minorEastAsia" w:cstheme="minorEastAsia"/>
          <w:color w:val="auto"/>
          <w:kern w:val="2"/>
          <w:sz w:val="32"/>
          <w:szCs w:val="32"/>
          <w:highlight w:val="none"/>
        </w:rPr>
        <w:t>六、定标</w:t>
      </w:r>
    </w:p>
    <w:p w14:paraId="2FAFDC2A">
      <w:pPr>
        <w:adjustRightInd w:val="0"/>
        <w:spacing w:line="360" w:lineRule="auto"/>
        <w:ind w:left="479" w:hanging="479" w:hangingChars="199"/>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22.确定中标供应商</w:t>
      </w:r>
    </w:p>
    <w:p w14:paraId="6DEA4EFE">
      <w:pPr>
        <w:adjustRightInd w:val="0"/>
        <w:snapToGrid w:val="0"/>
        <w:spacing w:line="360" w:lineRule="auto"/>
        <w:ind w:firstLine="480"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color w:val="auto"/>
          <w:sz w:val="24"/>
          <w:szCs w:val="24"/>
          <w:highlight w:val="none"/>
        </w:rPr>
        <w:t>采购人将自收到评审报告之日起5个工作日内通过电子交易平台在评审报告推荐的中标候选人中按顺序确定中标供应商。</w:t>
      </w:r>
    </w:p>
    <w:p w14:paraId="6DBDF6CA">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23.中标通知与中标结果公告</w:t>
      </w:r>
    </w:p>
    <w:p w14:paraId="72B178C8">
      <w:pPr>
        <w:widowControl/>
        <w:adjustRightInd w:val="0"/>
        <w:spacing w:line="360" w:lineRule="auto"/>
        <w:ind w:firstLine="48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23.1 自中标人确定之日起2个工作日内，采购机构通过电子交易平台向中标人发出中标通知书，同时编制发布采购结果公告。采购机构也可以以纸质形式进行中标通知。</w:t>
      </w:r>
    </w:p>
    <w:p w14:paraId="2671B1B3">
      <w:pPr>
        <w:widowControl/>
        <w:adjustRightInd w:val="0"/>
        <w:spacing w:line="360" w:lineRule="auto"/>
        <w:ind w:firstLine="48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23.2 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2976475E">
      <w:pPr>
        <w:widowControl/>
        <w:adjustRightInd w:val="0"/>
        <w:spacing w:line="360" w:lineRule="auto"/>
        <w:ind w:firstLine="480"/>
        <w:jc w:val="left"/>
        <w:rPr>
          <w:rFonts w:hint="default" w:asciiTheme="minorEastAsia" w:hAnsiTheme="minorEastAsia" w:eastAsiaTheme="minorEastAsia" w:cstheme="minorEastAsia"/>
          <w:b/>
          <w:color w:val="auto"/>
          <w:sz w:val="32"/>
          <w:szCs w:val="24"/>
          <w:highlight w:val="none"/>
        </w:rPr>
      </w:pPr>
      <w:r>
        <w:rPr>
          <w:rFonts w:asciiTheme="minorEastAsia" w:hAnsiTheme="minorEastAsia" w:eastAsiaTheme="minorEastAsia" w:cstheme="minorEastAsia"/>
          <w:color w:val="auto"/>
          <w:sz w:val="24"/>
          <w:szCs w:val="24"/>
          <w:highlight w:val="none"/>
        </w:rPr>
        <w:t>23.3 公告期限为1个工作日。</w:t>
      </w:r>
    </w:p>
    <w:p w14:paraId="3D8CF990">
      <w:pPr>
        <w:pStyle w:val="5"/>
        <w:spacing w:before="120" w:after="120" w:line="360" w:lineRule="auto"/>
        <w:jc w:val="center"/>
        <w:rPr>
          <w:rFonts w:hint="default" w:asciiTheme="minorEastAsia" w:hAnsiTheme="minorEastAsia" w:eastAsiaTheme="minorEastAsia" w:cstheme="minorEastAsia"/>
          <w:color w:val="auto"/>
          <w:kern w:val="2"/>
          <w:sz w:val="32"/>
          <w:szCs w:val="32"/>
          <w:highlight w:val="none"/>
        </w:rPr>
      </w:pPr>
      <w:r>
        <w:rPr>
          <w:rFonts w:asciiTheme="minorEastAsia" w:hAnsiTheme="minorEastAsia" w:eastAsiaTheme="minorEastAsia" w:cstheme="minorEastAsia"/>
          <w:color w:val="auto"/>
          <w:kern w:val="2"/>
          <w:sz w:val="32"/>
          <w:szCs w:val="32"/>
          <w:highlight w:val="none"/>
        </w:rPr>
        <w:t>七、合同授予</w:t>
      </w:r>
    </w:p>
    <w:p w14:paraId="6CDE7E4C">
      <w:pPr>
        <w:adjustRightInd w:val="0"/>
        <w:spacing w:line="360" w:lineRule="auto"/>
        <w:ind w:left="479" w:hanging="479" w:hangingChars="199"/>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24.合同主要条款详见“第五部分 拟签订的合同文本”。</w:t>
      </w:r>
    </w:p>
    <w:p w14:paraId="4F396F31">
      <w:pPr>
        <w:adjustRightInd w:val="0"/>
        <w:spacing w:line="360" w:lineRule="auto"/>
        <w:ind w:left="479" w:hanging="479" w:hangingChars="199"/>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25.合同的签订</w:t>
      </w:r>
    </w:p>
    <w:p w14:paraId="3AE0B13D">
      <w:pPr>
        <w:widowControl/>
        <w:adjustRightInd w:val="0"/>
        <w:spacing w:line="360" w:lineRule="auto"/>
        <w:ind w:firstLine="480"/>
        <w:jc w:val="left"/>
        <w:rPr>
          <w:rFonts w:hint="default"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25.1 除不可抗力等特殊情况外，采购人原则上应当在中标通知书发出之日起20日内，与成交人按照采购文件确定的事项签订政府采购合同，并在签订之日起2个工作日内将政府采购合同在浙江政府采购网上公告。</w:t>
      </w:r>
    </w:p>
    <w:p w14:paraId="76EAA8A0">
      <w:pPr>
        <w:adjustRightInd w:val="0"/>
        <w:snapToGrid w:val="0"/>
        <w:spacing w:line="360" w:lineRule="auto"/>
        <w:ind w:firstLine="480" w:firstLineChars="200"/>
        <w:rPr>
          <w:rFonts w:hint="default"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A01CCA6">
      <w:pPr>
        <w:widowControl/>
        <w:adjustRightInd w:val="0"/>
        <w:spacing w:line="360" w:lineRule="auto"/>
        <w:ind w:firstLine="480"/>
        <w:jc w:val="left"/>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25.3如签订合同并生效后，供应商无故拒绝或延期，除按照合同条款处理外，列入不良行为记录一次，并给予通报。</w:t>
      </w:r>
    </w:p>
    <w:p w14:paraId="13001020">
      <w:pPr>
        <w:widowControl/>
        <w:adjustRightInd w:val="0"/>
        <w:spacing w:line="360" w:lineRule="auto"/>
        <w:ind w:firstLine="480"/>
        <w:jc w:val="left"/>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25.4中标供应商拒绝与采购人签订合同的，采购人可以按照评审报告推荐的中标或者成交候选人名单排序，确定下一候选人为中标供应商，也可以重新开展政府采购活动。</w:t>
      </w:r>
    </w:p>
    <w:p w14:paraId="6EF2889C">
      <w:pPr>
        <w:widowControl/>
        <w:adjustRightInd w:val="0"/>
        <w:spacing w:line="360" w:lineRule="auto"/>
        <w:ind w:firstLine="480"/>
        <w:jc w:val="left"/>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25.5采购合同由采购人与中标供应商根据招标文件、投标文件等内容通过政府采购电子交易平台在线签订，自动备案。</w:t>
      </w:r>
    </w:p>
    <w:p w14:paraId="64FD480D">
      <w:pPr>
        <w:widowControl/>
        <w:adjustRightInd w:val="0"/>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25.6 政府采购货物和服务项目不得收取质量保证金。政府采购工程以及与工程建设有关的货物、服务，采用招标方式采购的，按国家和省有关规定执行。</w:t>
      </w:r>
    </w:p>
    <w:p w14:paraId="0AC64B9B">
      <w:pPr>
        <w:adjustRightInd w:val="0"/>
        <w:spacing w:line="360" w:lineRule="auto"/>
        <w:ind w:left="479" w:hanging="479" w:hangingChars="199"/>
        <w:rPr>
          <w:rFonts w:hint="eastAsia" w:asciiTheme="minorEastAsia" w:hAnsiTheme="minorEastAsia" w:eastAsiaTheme="minorEastAsia" w:cstheme="minorEastAsia"/>
          <w:b/>
          <w:color w:val="auto"/>
          <w:sz w:val="24"/>
          <w:szCs w:val="24"/>
          <w:highlight w:val="none"/>
          <w:lang w:eastAsia="zh-CN"/>
        </w:rPr>
      </w:pPr>
      <w:r>
        <w:rPr>
          <w:rFonts w:asciiTheme="minorEastAsia" w:hAnsiTheme="minorEastAsia" w:eastAsiaTheme="minorEastAsia" w:cstheme="minorEastAsia"/>
          <w:b/>
          <w:color w:val="auto"/>
          <w:sz w:val="24"/>
          <w:szCs w:val="24"/>
          <w:highlight w:val="none"/>
        </w:rPr>
        <w:t>26.履约保证金</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本项目不要求</w:t>
      </w:r>
      <w:r>
        <w:rPr>
          <w:rFonts w:hint="eastAsia" w:asciiTheme="minorEastAsia" w:hAnsiTheme="minorEastAsia" w:eastAsiaTheme="minorEastAsia" w:cstheme="minorEastAsia"/>
          <w:b/>
          <w:color w:val="auto"/>
          <w:sz w:val="24"/>
          <w:szCs w:val="24"/>
          <w:highlight w:val="none"/>
          <w:lang w:eastAsia="zh-CN"/>
        </w:rPr>
        <w:t>）</w:t>
      </w:r>
    </w:p>
    <w:p w14:paraId="03BA4975">
      <w:pPr>
        <w:tabs>
          <w:tab w:val="left" w:pos="0"/>
        </w:tabs>
        <w:adjustRightInd w:val="0"/>
        <w:spacing w:line="360" w:lineRule="auto"/>
        <w:ind w:firstLine="482"/>
        <w:rPr>
          <w:rFonts w:hint="default" w:asciiTheme="minorEastAsia" w:hAnsiTheme="minorEastAsia" w:eastAsiaTheme="minorEastAsia" w:cstheme="minorEastAsia"/>
          <w:b/>
          <w:color w:val="auto"/>
          <w:sz w:val="32"/>
          <w:szCs w:val="24"/>
          <w:highlight w:val="none"/>
        </w:rPr>
      </w:pPr>
      <w:r>
        <w:rPr>
          <w:rFonts w:asciiTheme="minorEastAsia" w:hAnsiTheme="minorEastAsia" w:eastAsiaTheme="minorEastAsia" w:cstheme="minorEastAsia"/>
          <w:color w:val="auto"/>
          <w:kern w:val="0"/>
          <w:sz w:val="24"/>
          <w:szCs w:val="24"/>
          <w:highlight w:val="none"/>
        </w:rPr>
        <w:t>拟签订的合同文本要求中标供应商提交履约保证金的，供应商应当以支票、汇票、本票或者金融机构、担保机构出具的保函等非现金形式提交</w:t>
      </w:r>
      <w:r>
        <w:rPr>
          <w:rFonts w:asciiTheme="minorEastAsia" w:hAnsiTheme="minorEastAsia" w:eastAsiaTheme="minorEastAsia" w:cstheme="minorEastAsia"/>
          <w:color w:val="auto"/>
          <w:sz w:val="24"/>
          <w:szCs w:val="24"/>
          <w:highlight w:val="none"/>
        </w:rPr>
        <w:t>。履约保证金的数额不得超过政府采购合同金额的1%。鼓励和支持供应商以银行、保险公司出具的保函形式提供履约保证金。</w:t>
      </w:r>
      <w:r>
        <w:rPr>
          <w:rFonts w:asciiTheme="minorEastAsia" w:hAnsiTheme="minorEastAsia" w:eastAsiaTheme="minorEastAsia" w:cstheme="minorEastAsia"/>
          <w:b/>
          <w:color w:val="auto"/>
          <w:sz w:val="24"/>
          <w:szCs w:val="24"/>
          <w:highlight w:val="none"/>
        </w:rPr>
        <w:t>采购人不得拒收履约保函。</w:t>
      </w:r>
    </w:p>
    <w:p w14:paraId="7FA9F6AB">
      <w:pPr>
        <w:pStyle w:val="5"/>
        <w:spacing w:before="120" w:after="120" w:line="360" w:lineRule="auto"/>
        <w:jc w:val="center"/>
        <w:rPr>
          <w:rFonts w:hint="default" w:asciiTheme="minorEastAsia" w:hAnsiTheme="minorEastAsia" w:eastAsiaTheme="minorEastAsia" w:cstheme="minorEastAsia"/>
          <w:color w:val="auto"/>
          <w:kern w:val="2"/>
          <w:sz w:val="32"/>
          <w:szCs w:val="32"/>
          <w:highlight w:val="none"/>
        </w:rPr>
      </w:pPr>
      <w:r>
        <w:rPr>
          <w:rFonts w:asciiTheme="minorEastAsia" w:hAnsiTheme="minorEastAsia" w:eastAsiaTheme="minorEastAsia" w:cstheme="minorEastAsia"/>
          <w:color w:val="auto"/>
          <w:kern w:val="2"/>
          <w:sz w:val="32"/>
          <w:szCs w:val="32"/>
          <w:highlight w:val="none"/>
        </w:rPr>
        <w:t>八、电子交易活动的中止</w:t>
      </w:r>
    </w:p>
    <w:p w14:paraId="7C6C71D4">
      <w:pPr>
        <w:adjustRightInd w:val="0"/>
        <w:snapToGrid w:val="0"/>
        <w:spacing w:line="360" w:lineRule="auto"/>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b/>
          <w:bCs/>
          <w:color w:val="auto"/>
          <w:sz w:val="24"/>
          <w:highlight w:val="none"/>
        </w:rPr>
        <w:t>2</w:t>
      </w:r>
      <w:r>
        <w:rPr>
          <w:rFonts w:asciiTheme="minorEastAsia" w:hAnsiTheme="minorEastAsia" w:eastAsiaTheme="minorEastAsia" w:cstheme="minorEastAsia"/>
          <w:b/>
          <w:bCs/>
          <w:color w:val="auto"/>
          <w:sz w:val="24"/>
          <w:szCs w:val="24"/>
          <w:highlight w:val="none"/>
        </w:rPr>
        <w:t>7</w:t>
      </w:r>
      <w:r>
        <w:rPr>
          <w:rFonts w:asciiTheme="minorEastAsia" w:hAnsiTheme="minorEastAsia" w:eastAsiaTheme="minorEastAsia" w:cstheme="minorEastAsia"/>
          <w:b/>
          <w:color w:val="auto"/>
          <w:sz w:val="24"/>
          <w:szCs w:val="24"/>
          <w:highlight w:val="none"/>
        </w:rPr>
        <w:t>.电子交易活动的中止。</w:t>
      </w:r>
      <w:r>
        <w:rPr>
          <w:rFonts w:asciiTheme="minorEastAsia" w:hAnsiTheme="minorEastAsia" w:eastAsiaTheme="minorEastAsia" w:cstheme="minorEastAsia"/>
          <w:color w:val="auto"/>
          <w:sz w:val="24"/>
          <w:highlight w:val="none"/>
        </w:rPr>
        <w:t>采购过程中出现以下情形，导致电子交易平台无法正常运行，或者无法保证电子交易的公平、公正和安全时，采购机构可中止电子交易活动：</w:t>
      </w:r>
    </w:p>
    <w:p w14:paraId="1A4A133B">
      <w:pPr>
        <w:adjustRightInd w:val="0"/>
        <w:snapToGri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 xml:space="preserve">27.1 电子交易平台发生故障而无法登录访问的； </w:t>
      </w:r>
    </w:p>
    <w:p w14:paraId="2896ACAD">
      <w:pPr>
        <w:adjustRightInd w:val="0"/>
        <w:snapToGri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27.2 电子交易平台应用或数据库出现错误，不能进行正常操作的；</w:t>
      </w:r>
    </w:p>
    <w:p w14:paraId="1E64EE99">
      <w:pPr>
        <w:adjustRightInd w:val="0"/>
        <w:snapToGri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27.3 电子交易平台发现严重安全漏洞，有潜在泄密危险的；</w:t>
      </w:r>
    </w:p>
    <w:p w14:paraId="31E0EC03">
      <w:pPr>
        <w:adjustRightInd w:val="0"/>
        <w:snapToGri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 xml:space="preserve">27.4 病毒发作导致不能进行正常操作的； </w:t>
      </w:r>
    </w:p>
    <w:p w14:paraId="69F9A9AF">
      <w:pPr>
        <w:adjustRightInd w:val="0"/>
        <w:snapToGri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27.5 其他无法保证电子交易的公平、公正和安全的情况。</w:t>
      </w:r>
    </w:p>
    <w:p w14:paraId="71150AC0">
      <w:pPr>
        <w:adjustRightInd w:val="0"/>
        <w:snapToGri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
          <w:bCs/>
          <w:color w:val="auto"/>
          <w:sz w:val="24"/>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178AAE00">
      <w:pPr>
        <w:pStyle w:val="5"/>
        <w:spacing w:before="120" w:after="120" w:line="360" w:lineRule="auto"/>
        <w:jc w:val="center"/>
        <w:rPr>
          <w:rFonts w:hint="default" w:asciiTheme="minorEastAsia" w:hAnsiTheme="minorEastAsia" w:eastAsiaTheme="minorEastAsia" w:cstheme="minorEastAsia"/>
          <w:color w:val="auto"/>
          <w:kern w:val="2"/>
          <w:sz w:val="32"/>
          <w:szCs w:val="32"/>
          <w:highlight w:val="none"/>
        </w:rPr>
      </w:pPr>
      <w:r>
        <w:rPr>
          <w:rFonts w:asciiTheme="minorEastAsia" w:hAnsiTheme="minorEastAsia" w:eastAsiaTheme="minorEastAsia" w:cstheme="minorEastAsia"/>
          <w:color w:val="auto"/>
          <w:kern w:val="2"/>
          <w:sz w:val="32"/>
          <w:szCs w:val="32"/>
          <w:highlight w:val="none"/>
        </w:rPr>
        <w:t>九、验收</w:t>
      </w:r>
    </w:p>
    <w:p w14:paraId="18F129D9">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29.验收</w:t>
      </w:r>
    </w:p>
    <w:bookmarkEnd w:id="7"/>
    <w:bookmarkEnd w:id="8"/>
    <w:bookmarkEnd w:id="9"/>
    <w:p w14:paraId="02E81C19">
      <w:pPr>
        <w:adjustRightInd w:val="0"/>
        <w:snapToGri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F92126">
      <w:pPr>
        <w:adjustRightInd w:val="0"/>
        <w:snapToGri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29.2采购人可以邀请参加本项目的其他供应商或者第三方机构参与验收。参与验收的供应商或者第三方机构的意见作为验收书的参考资料一并存档。</w:t>
      </w:r>
    </w:p>
    <w:p w14:paraId="0880397A">
      <w:pPr>
        <w:adjustRightInd w:val="0"/>
        <w:snapToGri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F1A7C80">
      <w:pPr>
        <w:adjustRightInd w:val="0"/>
        <w:snapToGri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29.4采购人原则上应当在履约验收之日起2个工作日内，将履约验收结果在浙江政府采购网上公告。</w:t>
      </w:r>
    </w:p>
    <w:p w14:paraId="030AFB7F">
      <w:pPr>
        <w:adjustRightInd w:val="0"/>
        <w:snapToGri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29.5验收合格的项目，采购人将根据采购合同的约定及时向供应商支付采购资金、退还履约保证金。</w:t>
      </w:r>
    </w:p>
    <w:p w14:paraId="796B996F">
      <w:pPr>
        <w:adjustRightInd w:val="0"/>
        <w:snapToGrid w:val="0"/>
        <w:spacing w:line="360" w:lineRule="auto"/>
        <w:ind w:firstLine="480" w:firstLineChars="200"/>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sz w:val="24"/>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7CE891E">
      <w:pPr>
        <w:rPr>
          <w:rFonts w:hint="default" w:asciiTheme="minorEastAsia" w:hAnsiTheme="minorEastAsia" w:eastAsiaTheme="minorEastAsia" w:cstheme="minorEastAsia"/>
          <w:b/>
          <w:color w:val="auto"/>
          <w:sz w:val="36"/>
          <w:highlight w:val="none"/>
        </w:rPr>
      </w:pPr>
      <w:r>
        <w:rPr>
          <w:rFonts w:asciiTheme="minorEastAsia" w:hAnsiTheme="minorEastAsia" w:eastAsiaTheme="minorEastAsia" w:cstheme="minorEastAsia"/>
          <w:b/>
          <w:color w:val="auto"/>
          <w:sz w:val="36"/>
          <w:highlight w:val="none"/>
        </w:rPr>
        <w:br w:type="page"/>
      </w:r>
    </w:p>
    <w:p w14:paraId="3A2AAE28">
      <w:pPr>
        <w:spacing w:line="360" w:lineRule="auto"/>
        <w:jc w:val="center"/>
        <w:outlineLvl w:val="0"/>
        <w:rPr>
          <w:rFonts w:hint="default" w:asciiTheme="minorEastAsia" w:hAnsiTheme="minorEastAsia" w:eastAsiaTheme="minorEastAsia" w:cstheme="minorEastAsia"/>
          <w:b/>
          <w:color w:val="auto"/>
          <w:sz w:val="44"/>
          <w:szCs w:val="44"/>
          <w:highlight w:val="none"/>
        </w:rPr>
      </w:pPr>
      <w:r>
        <w:rPr>
          <w:rFonts w:asciiTheme="minorEastAsia" w:hAnsiTheme="minorEastAsia" w:eastAsiaTheme="minorEastAsia" w:cstheme="minorEastAsia"/>
          <w:b/>
          <w:color w:val="auto"/>
          <w:sz w:val="44"/>
          <w:szCs w:val="44"/>
          <w:highlight w:val="none"/>
        </w:rPr>
        <w:t>第三部分 采购需求</w:t>
      </w:r>
    </w:p>
    <w:p w14:paraId="56EAA985">
      <w:pPr>
        <w:spacing w:line="360" w:lineRule="auto"/>
        <w:jc w:val="center"/>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（▲条款为实质性响应条款，必须满足，否则作无效标处理）</w:t>
      </w:r>
    </w:p>
    <w:p w14:paraId="3EECFF0F">
      <w:pPr>
        <w:pStyle w:val="5"/>
        <w:numPr>
          <w:ilvl w:val="0"/>
          <w:numId w:val="1"/>
        </w:numPr>
        <w:spacing w:line="360" w:lineRule="auto"/>
        <w:rPr>
          <w:rFonts w:hint="eastAsia" w:asciiTheme="minorEastAsia" w:hAnsiTheme="minorEastAsia" w:eastAsiaTheme="minorEastAsia" w:cstheme="minorEastAsia"/>
          <w:color w:val="auto"/>
          <w:sz w:val="36"/>
          <w:szCs w:val="36"/>
          <w:highlight w:val="none"/>
          <w:lang w:val="en-US" w:eastAsia="zh-CN"/>
        </w:rPr>
      </w:pPr>
      <w:r>
        <w:rPr>
          <w:rFonts w:hint="eastAsia" w:asciiTheme="minorEastAsia" w:hAnsiTheme="minorEastAsia" w:eastAsiaTheme="minorEastAsia" w:cstheme="minorEastAsia"/>
          <w:color w:val="auto"/>
          <w:sz w:val="36"/>
          <w:szCs w:val="36"/>
          <w:highlight w:val="none"/>
          <w:lang w:val="en-US" w:eastAsia="zh-CN"/>
        </w:rPr>
        <w:t>招标范围及要求</w:t>
      </w:r>
    </w:p>
    <w:p w14:paraId="316F238B">
      <w:pPr>
        <w:pStyle w:val="9"/>
        <w:spacing w:line="360" w:lineRule="auto"/>
        <w:ind w:firstLine="52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Cs w:val="21"/>
          <w:highlight w:val="none"/>
          <w:lang w:eastAsia="zh-CN"/>
        </w:rPr>
        <w:t>浦江县公路与运输事业发展中心</w:t>
      </w:r>
      <w:r>
        <w:rPr>
          <w:rFonts w:hint="eastAsia" w:asciiTheme="minorEastAsia" w:hAnsiTheme="minorEastAsia" w:eastAsiaTheme="minorEastAsia" w:cstheme="minorEastAsia"/>
          <w:color w:val="auto"/>
          <w:szCs w:val="21"/>
          <w:highlight w:val="none"/>
        </w:rPr>
        <w:t>在所管辖的区域公路上建设的</w:t>
      </w:r>
      <w:r>
        <w:rPr>
          <w:rFonts w:hint="eastAsia" w:asciiTheme="minorEastAsia" w:hAnsiTheme="minorEastAsia" w:eastAsiaTheme="minorEastAsia" w:cstheme="minorEastAsia"/>
          <w:color w:val="auto"/>
          <w:sz w:val="24"/>
          <w:szCs w:val="24"/>
          <w:highlight w:val="none"/>
          <w:lang w:val="en-US" w:eastAsia="zh-CN"/>
        </w:rPr>
        <w:t>8个点位</w:t>
      </w:r>
      <w:r>
        <w:rPr>
          <w:rFonts w:hint="eastAsia" w:asciiTheme="minorEastAsia" w:hAnsiTheme="minorEastAsia" w:eastAsiaTheme="minorEastAsia" w:cstheme="minorEastAsia"/>
          <w:color w:val="auto"/>
          <w:szCs w:val="21"/>
          <w:highlight w:val="none"/>
        </w:rPr>
        <w:t>超限超载非现场执法系统</w:t>
      </w:r>
      <w:r>
        <w:rPr>
          <w:rFonts w:hint="eastAsia" w:asciiTheme="minorEastAsia" w:hAnsiTheme="minorEastAsia" w:eastAsiaTheme="minorEastAsia" w:cstheme="minorEastAsia"/>
          <w:color w:val="auto"/>
          <w:szCs w:val="21"/>
          <w:highlight w:val="none"/>
          <w:lang w:eastAsia="zh-CN"/>
        </w:rPr>
        <w:t>的</w:t>
      </w:r>
      <w:r>
        <w:rPr>
          <w:rFonts w:hint="eastAsia" w:asciiTheme="minorEastAsia" w:hAnsiTheme="minorEastAsia" w:eastAsiaTheme="minorEastAsia" w:cstheme="minorEastAsia"/>
          <w:color w:val="auto"/>
          <w:szCs w:val="21"/>
          <w:highlight w:val="none"/>
        </w:rPr>
        <w:t>维保服务</w:t>
      </w:r>
      <w:r>
        <w:rPr>
          <w:rFonts w:hint="eastAsia" w:asciiTheme="minorEastAsia" w:hAnsiTheme="minorEastAsia" w:eastAsiaTheme="minorEastAsia" w:cstheme="minorEastAsia"/>
          <w:color w:val="auto"/>
          <w:sz w:val="24"/>
          <w:szCs w:val="24"/>
          <w:highlight w:val="none"/>
          <w:lang w:val="en-US" w:eastAsia="zh-CN"/>
        </w:rPr>
        <w:t>，共</w:t>
      </w:r>
      <w:r>
        <w:rPr>
          <w:rFonts w:hint="eastAsia" w:asciiTheme="minorEastAsia" w:hAnsiTheme="minorEastAsia" w:eastAsiaTheme="minorEastAsia" w:cstheme="minorEastAsia"/>
          <w:color w:val="auto"/>
          <w:sz w:val="24"/>
          <w:szCs w:val="24"/>
          <w:highlight w:val="none"/>
        </w:rPr>
        <w:t>18个车道维保服务到期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本次针对该18个车道的维保服务进行招标。</w:t>
      </w:r>
    </w:p>
    <w:tbl>
      <w:tblPr>
        <w:tblStyle w:val="29"/>
        <w:tblW w:w="51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629"/>
        <w:gridCol w:w="2326"/>
        <w:gridCol w:w="4326"/>
        <w:gridCol w:w="691"/>
        <w:gridCol w:w="851"/>
        <w:gridCol w:w="1397"/>
      </w:tblGrid>
      <w:tr w14:paraId="64AE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7" w:hRule="atLeast"/>
        </w:trPr>
        <w:tc>
          <w:tcPr>
            <w:tcW w:w="307" w:type="pct"/>
            <w:vMerge w:val="restart"/>
            <w:tcBorders>
              <w:tl2br w:val="nil"/>
              <w:tr2bl w:val="nil"/>
            </w:tcBorders>
            <w:shd w:val="clear" w:color="auto" w:fill="FFFFFF" w:themeFill="background1"/>
            <w:vAlign w:val="center"/>
          </w:tcPr>
          <w:p w14:paraId="6F831748">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b/>
                <w:bCs/>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序号</w:t>
            </w:r>
          </w:p>
        </w:tc>
        <w:tc>
          <w:tcPr>
            <w:tcW w:w="1137" w:type="pct"/>
            <w:vMerge w:val="restart"/>
            <w:tcBorders>
              <w:tl2br w:val="nil"/>
              <w:tr2bl w:val="nil"/>
            </w:tcBorders>
            <w:shd w:val="clear" w:color="auto" w:fill="FFFFFF" w:themeFill="background1"/>
            <w:vAlign w:val="center"/>
          </w:tcPr>
          <w:p w14:paraId="2DC1A619">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b/>
                <w:bCs/>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lang w:val="en-US" w:eastAsia="zh-CN"/>
              </w:rPr>
              <w:t>点位</w:t>
            </w:r>
            <w:r>
              <w:rPr>
                <w:rFonts w:hint="eastAsia" w:asciiTheme="minorEastAsia" w:hAnsiTheme="minorEastAsia" w:eastAsiaTheme="minorEastAsia" w:cstheme="minorEastAsia"/>
                <w:b/>
                <w:bCs/>
                <w:color w:val="auto"/>
                <w:kern w:val="2"/>
                <w:sz w:val="21"/>
                <w:szCs w:val="21"/>
                <w:highlight w:val="none"/>
              </w:rPr>
              <w:t>名称</w:t>
            </w:r>
          </w:p>
        </w:tc>
        <w:tc>
          <w:tcPr>
            <w:tcW w:w="2116" w:type="pct"/>
            <w:vMerge w:val="restart"/>
            <w:tcBorders>
              <w:tl2br w:val="nil"/>
              <w:tr2bl w:val="nil"/>
            </w:tcBorders>
            <w:shd w:val="clear" w:color="auto" w:fill="FFFFFF" w:themeFill="background1"/>
            <w:vAlign w:val="center"/>
          </w:tcPr>
          <w:p w14:paraId="38E7B730">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b/>
                <w:bCs/>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设备参数及要求</w:t>
            </w:r>
          </w:p>
        </w:tc>
        <w:tc>
          <w:tcPr>
            <w:tcW w:w="338" w:type="pct"/>
            <w:vMerge w:val="restart"/>
            <w:tcBorders>
              <w:tl2br w:val="nil"/>
              <w:tr2bl w:val="nil"/>
            </w:tcBorders>
            <w:shd w:val="clear" w:color="auto" w:fill="FFFFFF" w:themeFill="background1"/>
            <w:vAlign w:val="center"/>
          </w:tcPr>
          <w:p w14:paraId="2E733C8E">
            <w:pPr>
              <w:keepNext w:val="0"/>
              <w:keepLines w:val="0"/>
              <w:widowControl/>
              <w:suppressLineNumbers w:val="0"/>
              <w:spacing w:before="0" w:beforeAutospacing="0" w:after="0" w:afterAutospacing="0" w:line="288" w:lineRule="auto"/>
              <w:ind w:left="0" w:right="0"/>
              <w:jc w:val="center"/>
              <w:rPr>
                <w:rFonts w:hint="eastAsia" w:asciiTheme="minorEastAsia" w:hAnsiTheme="minorEastAsia" w:eastAsiaTheme="minorEastAsia" w:cstheme="minorEastAsia"/>
                <w:b/>
                <w:bCs/>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数量</w:t>
            </w:r>
          </w:p>
        </w:tc>
        <w:tc>
          <w:tcPr>
            <w:tcW w:w="416" w:type="pct"/>
            <w:vMerge w:val="restart"/>
            <w:tcBorders>
              <w:tl2br w:val="nil"/>
              <w:tr2bl w:val="nil"/>
            </w:tcBorders>
            <w:shd w:val="clear" w:color="auto" w:fill="FFFFFF" w:themeFill="background1"/>
            <w:vAlign w:val="center"/>
          </w:tcPr>
          <w:p w14:paraId="309EDB73">
            <w:pPr>
              <w:keepNext w:val="0"/>
              <w:keepLines w:val="0"/>
              <w:widowControl/>
              <w:suppressLineNumbers w:val="0"/>
              <w:spacing w:before="0" w:beforeAutospacing="0" w:after="0" w:afterAutospacing="0" w:line="288" w:lineRule="auto"/>
              <w:ind w:left="0" w:right="0"/>
              <w:jc w:val="center"/>
              <w:rPr>
                <w:rFonts w:hint="eastAsia" w:asciiTheme="minorEastAsia" w:hAnsiTheme="minorEastAsia" w:eastAsiaTheme="minorEastAsia" w:cstheme="minorEastAsia"/>
                <w:b/>
                <w:bCs/>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单位</w:t>
            </w:r>
          </w:p>
        </w:tc>
        <w:tc>
          <w:tcPr>
            <w:tcW w:w="683" w:type="pct"/>
            <w:vMerge w:val="restart"/>
            <w:tcBorders>
              <w:tl2br w:val="nil"/>
              <w:tr2bl w:val="nil"/>
            </w:tcBorders>
            <w:shd w:val="clear" w:color="auto" w:fill="FFFFFF" w:themeFill="background1"/>
            <w:vAlign w:val="center"/>
          </w:tcPr>
          <w:p w14:paraId="4A94D2D8">
            <w:pPr>
              <w:keepNext w:val="0"/>
              <w:keepLines w:val="0"/>
              <w:widowControl/>
              <w:suppressLineNumbers w:val="0"/>
              <w:spacing w:before="0" w:beforeAutospacing="0" w:after="0" w:afterAutospacing="0" w:line="288" w:lineRule="auto"/>
              <w:ind w:left="0" w:right="0"/>
              <w:jc w:val="center"/>
              <w:rPr>
                <w:rFonts w:hint="eastAsia" w:asciiTheme="minorEastAsia" w:hAnsiTheme="minorEastAsia" w:eastAsiaTheme="minorEastAsia" w:cstheme="minorEastAsia"/>
                <w:b/>
                <w:bCs/>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备注</w:t>
            </w:r>
          </w:p>
        </w:tc>
      </w:tr>
      <w:tr w14:paraId="3CE3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7" w:hRule="atLeast"/>
        </w:trPr>
        <w:tc>
          <w:tcPr>
            <w:tcW w:w="307" w:type="pct"/>
            <w:vMerge w:val="continue"/>
            <w:tcBorders>
              <w:bottom w:val="single" w:color="auto" w:sz="4" w:space="0"/>
              <w:tl2br w:val="nil"/>
              <w:tr2bl w:val="nil"/>
            </w:tcBorders>
            <w:shd w:val="clear" w:color="auto" w:fill="FFFFFF" w:themeFill="background1"/>
            <w:vAlign w:val="center"/>
          </w:tcPr>
          <w:p w14:paraId="112AA0E2">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b/>
                <w:bCs/>
                <w:color w:val="auto"/>
                <w:kern w:val="2"/>
                <w:sz w:val="21"/>
                <w:szCs w:val="21"/>
                <w:highlight w:val="none"/>
              </w:rPr>
            </w:pPr>
          </w:p>
        </w:tc>
        <w:tc>
          <w:tcPr>
            <w:tcW w:w="1137" w:type="pct"/>
            <w:vMerge w:val="continue"/>
            <w:tcBorders>
              <w:bottom w:val="single" w:color="auto" w:sz="4" w:space="0"/>
              <w:tl2br w:val="nil"/>
              <w:tr2bl w:val="nil"/>
            </w:tcBorders>
            <w:shd w:val="clear" w:color="auto" w:fill="FFFFFF" w:themeFill="background1"/>
            <w:vAlign w:val="center"/>
          </w:tcPr>
          <w:p w14:paraId="2E465D3A">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b/>
                <w:bCs/>
                <w:color w:val="auto"/>
                <w:kern w:val="2"/>
                <w:sz w:val="21"/>
                <w:szCs w:val="21"/>
                <w:highlight w:val="none"/>
              </w:rPr>
            </w:pPr>
          </w:p>
        </w:tc>
        <w:tc>
          <w:tcPr>
            <w:tcW w:w="2116" w:type="pct"/>
            <w:vMerge w:val="continue"/>
            <w:tcBorders>
              <w:bottom w:val="single" w:color="auto" w:sz="4" w:space="0"/>
              <w:tl2br w:val="nil"/>
              <w:tr2bl w:val="nil"/>
            </w:tcBorders>
            <w:shd w:val="clear" w:color="auto" w:fill="FFFFFF" w:themeFill="background1"/>
            <w:vAlign w:val="center"/>
          </w:tcPr>
          <w:p w14:paraId="4E3CE7E9">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b/>
                <w:bCs/>
                <w:color w:val="auto"/>
                <w:kern w:val="2"/>
                <w:sz w:val="21"/>
                <w:szCs w:val="21"/>
                <w:highlight w:val="none"/>
              </w:rPr>
            </w:pPr>
          </w:p>
        </w:tc>
        <w:tc>
          <w:tcPr>
            <w:tcW w:w="338" w:type="pct"/>
            <w:vMerge w:val="continue"/>
            <w:tcBorders>
              <w:bottom w:val="single" w:color="auto" w:sz="4" w:space="0"/>
              <w:tl2br w:val="nil"/>
              <w:tr2bl w:val="nil"/>
            </w:tcBorders>
            <w:shd w:val="clear" w:color="auto" w:fill="FFFFFF" w:themeFill="background1"/>
            <w:vAlign w:val="center"/>
          </w:tcPr>
          <w:p w14:paraId="5B7CDA21">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b/>
                <w:bCs/>
                <w:color w:val="auto"/>
                <w:kern w:val="2"/>
                <w:sz w:val="21"/>
                <w:szCs w:val="21"/>
                <w:highlight w:val="none"/>
              </w:rPr>
            </w:pPr>
          </w:p>
        </w:tc>
        <w:tc>
          <w:tcPr>
            <w:tcW w:w="416" w:type="pct"/>
            <w:vMerge w:val="continue"/>
            <w:tcBorders>
              <w:bottom w:val="single" w:color="auto" w:sz="4" w:space="0"/>
              <w:tl2br w:val="nil"/>
              <w:tr2bl w:val="nil"/>
            </w:tcBorders>
            <w:shd w:val="clear" w:color="auto" w:fill="FFFFFF" w:themeFill="background1"/>
            <w:vAlign w:val="center"/>
          </w:tcPr>
          <w:p w14:paraId="44EFCC9B">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b/>
                <w:bCs/>
                <w:color w:val="auto"/>
                <w:kern w:val="2"/>
                <w:sz w:val="21"/>
                <w:szCs w:val="21"/>
                <w:highlight w:val="none"/>
              </w:rPr>
            </w:pPr>
          </w:p>
        </w:tc>
        <w:tc>
          <w:tcPr>
            <w:tcW w:w="683" w:type="pct"/>
            <w:vMerge w:val="continue"/>
            <w:tcBorders>
              <w:bottom w:val="single" w:color="auto" w:sz="4" w:space="0"/>
              <w:tl2br w:val="nil"/>
              <w:tr2bl w:val="nil"/>
            </w:tcBorders>
            <w:shd w:val="clear" w:color="auto" w:fill="FFFFFF" w:themeFill="background1"/>
            <w:vAlign w:val="center"/>
          </w:tcPr>
          <w:p w14:paraId="3DF68F05">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b/>
                <w:bCs/>
                <w:color w:val="auto"/>
                <w:kern w:val="2"/>
                <w:sz w:val="21"/>
                <w:szCs w:val="21"/>
                <w:highlight w:val="none"/>
              </w:rPr>
            </w:pPr>
          </w:p>
        </w:tc>
      </w:tr>
      <w:tr w14:paraId="107D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62" w:hRule="atLeast"/>
        </w:trPr>
        <w:tc>
          <w:tcPr>
            <w:tcW w:w="1445" w:type="pct"/>
            <w:gridSpan w:val="2"/>
            <w:tcBorders>
              <w:tl2br w:val="nil"/>
              <w:tr2bl w:val="nil"/>
            </w:tcBorders>
            <w:shd w:val="clear" w:color="auto" w:fill="auto"/>
            <w:vAlign w:val="center"/>
          </w:tcPr>
          <w:p w14:paraId="5C7CFDD3">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b/>
                <w:bCs/>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1.1设备维护</w:t>
            </w:r>
          </w:p>
        </w:tc>
        <w:tc>
          <w:tcPr>
            <w:tcW w:w="2116" w:type="pct"/>
            <w:tcBorders>
              <w:tl2br w:val="nil"/>
              <w:tr2bl w:val="nil"/>
            </w:tcBorders>
            <w:shd w:val="clear" w:color="auto" w:fill="auto"/>
          </w:tcPr>
          <w:p w14:paraId="44469D84">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b/>
                <w:bCs/>
                <w:color w:val="auto"/>
                <w:kern w:val="2"/>
                <w:sz w:val="21"/>
                <w:szCs w:val="21"/>
                <w:highlight w:val="none"/>
              </w:rPr>
            </w:pPr>
          </w:p>
        </w:tc>
        <w:tc>
          <w:tcPr>
            <w:tcW w:w="338" w:type="pct"/>
            <w:tcBorders>
              <w:tl2br w:val="nil"/>
              <w:tr2bl w:val="nil"/>
            </w:tcBorders>
            <w:shd w:val="clear" w:color="auto" w:fill="auto"/>
            <w:vAlign w:val="center"/>
          </w:tcPr>
          <w:p w14:paraId="103E3D0E">
            <w:pPr>
              <w:keepNext w:val="0"/>
              <w:keepLines w:val="0"/>
              <w:widowControl/>
              <w:suppressLineNumbers w:val="0"/>
              <w:spacing w:before="0" w:beforeAutospacing="0" w:after="0" w:afterAutospacing="0" w:line="288" w:lineRule="auto"/>
              <w:ind w:left="0" w:right="0"/>
              <w:jc w:val="center"/>
              <w:rPr>
                <w:rFonts w:hint="eastAsia" w:asciiTheme="minorEastAsia" w:hAnsiTheme="minorEastAsia" w:eastAsiaTheme="minorEastAsia" w:cstheme="minorEastAsia"/>
                <w:b/>
                <w:bCs/>
                <w:color w:val="auto"/>
                <w:kern w:val="2"/>
                <w:sz w:val="21"/>
                <w:szCs w:val="21"/>
                <w:highlight w:val="none"/>
              </w:rPr>
            </w:pPr>
          </w:p>
        </w:tc>
        <w:tc>
          <w:tcPr>
            <w:tcW w:w="416" w:type="pct"/>
            <w:tcBorders>
              <w:tl2br w:val="nil"/>
              <w:tr2bl w:val="nil"/>
            </w:tcBorders>
            <w:shd w:val="clear" w:color="auto" w:fill="auto"/>
            <w:vAlign w:val="center"/>
          </w:tcPr>
          <w:p w14:paraId="0BF0C61E">
            <w:pPr>
              <w:keepNext w:val="0"/>
              <w:keepLines w:val="0"/>
              <w:widowControl/>
              <w:suppressLineNumbers w:val="0"/>
              <w:spacing w:before="0" w:beforeAutospacing="0" w:after="0" w:afterAutospacing="0" w:line="288" w:lineRule="auto"/>
              <w:ind w:left="0" w:right="0"/>
              <w:jc w:val="center"/>
              <w:rPr>
                <w:rFonts w:hint="eastAsia" w:asciiTheme="minorEastAsia" w:hAnsiTheme="minorEastAsia" w:eastAsiaTheme="minorEastAsia" w:cstheme="minorEastAsia"/>
                <w:b/>
                <w:bCs/>
                <w:color w:val="auto"/>
                <w:kern w:val="2"/>
                <w:sz w:val="21"/>
                <w:szCs w:val="21"/>
                <w:highlight w:val="none"/>
              </w:rPr>
            </w:pPr>
          </w:p>
        </w:tc>
        <w:tc>
          <w:tcPr>
            <w:tcW w:w="683" w:type="pct"/>
            <w:tcBorders>
              <w:tl2br w:val="nil"/>
              <w:tr2bl w:val="nil"/>
            </w:tcBorders>
            <w:shd w:val="clear" w:color="auto" w:fill="auto"/>
            <w:vAlign w:val="center"/>
          </w:tcPr>
          <w:p w14:paraId="70166BA8">
            <w:pPr>
              <w:keepNext w:val="0"/>
              <w:keepLines w:val="0"/>
              <w:widowControl/>
              <w:suppressLineNumbers w:val="0"/>
              <w:spacing w:before="0" w:beforeAutospacing="0" w:after="0" w:afterAutospacing="0" w:line="288" w:lineRule="auto"/>
              <w:ind w:left="0" w:right="0"/>
              <w:jc w:val="center"/>
              <w:rPr>
                <w:rFonts w:hint="eastAsia" w:asciiTheme="minorEastAsia" w:hAnsiTheme="minorEastAsia" w:eastAsiaTheme="minorEastAsia" w:cstheme="minorEastAsia"/>
                <w:b/>
                <w:bCs/>
                <w:color w:val="auto"/>
                <w:kern w:val="2"/>
                <w:sz w:val="21"/>
                <w:szCs w:val="21"/>
                <w:highlight w:val="none"/>
              </w:rPr>
            </w:pPr>
          </w:p>
        </w:tc>
      </w:tr>
      <w:tr w14:paraId="5A87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73" w:hRule="atLeast"/>
        </w:trPr>
        <w:tc>
          <w:tcPr>
            <w:tcW w:w="307" w:type="pct"/>
            <w:tcBorders>
              <w:tl2br w:val="nil"/>
              <w:tr2bl w:val="nil"/>
            </w:tcBorders>
            <w:shd w:val="clear" w:color="auto" w:fill="FFFFFF" w:themeFill="background1"/>
            <w:vAlign w:val="center"/>
          </w:tcPr>
          <w:p w14:paraId="713A0A3E">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w:t>
            </w:r>
          </w:p>
        </w:tc>
        <w:tc>
          <w:tcPr>
            <w:tcW w:w="1137" w:type="pct"/>
            <w:tcBorders>
              <w:tl2br w:val="nil"/>
              <w:tr2bl w:val="nil"/>
            </w:tcBorders>
            <w:shd w:val="clear" w:color="auto" w:fill="FFFFFF" w:themeFill="background1"/>
            <w:vAlign w:val="center"/>
          </w:tcPr>
          <w:p w14:paraId="69A3B1CF">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原：</w:t>
            </w:r>
            <w:r>
              <w:rPr>
                <w:rFonts w:hint="eastAsia" w:asciiTheme="minorEastAsia" w:hAnsiTheme="minorEastAsia" w:eastAsiaTheme="minorEastAsia" w:cstheme="minorEastAsia"/>
                <w:color w:val="auto"/>
                <w:kern w:val="2"/>
                <w:sz w:val="21"/>
                <w:szCs w:val="21"/>
                <w:highlight w:val="none"/>
              </w:rPr>
              <w:t>X820浦义线8K+150</w:t>
            </w:r>
          </w:p>
          <w:p w14:paraId="2D309EDE">
            <w:pPr>
              <w:keepNext w:val="0"/>
              <w:keepLines w:val="0"/>
              <w:widowControl/>
              <w:suppressLineNumbers w:val="0"/>
              <w:spacing w:before="0" w:beforeAutospacing="0" w:after="0" w:afterAutospacing="0" w:line="288" w:lineRule="auto"/>
              <w:ind w:left="0" w:leftChars="0" w:right="0" w:rightChars="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现：S219临苍线K139+215</w:t>
            </w:r>
          </w:p>
        </w:tc>
        <w:tc>
          <w:tcPr>
            <w:tcW w:w="2116" w:type="pct"/>
            <w:vMerge w:val="restart"/>
            <w:tcBorders>
              <w:tl2br w:val="nil"/>
              <w:tr2bl w:val="nil"/>
            </w:tcBorders>
            <w:shd w:val="clear" w:color="auto" w:fill="FFFFFF" w:themeFill="background1"/>
          </w:tcPr>
          <w:p w14:paraId="3D8F894C">
            <w:pPr>
              <w:keepNext w:val="0"/>
              <w:keepLines w:val="0"/>
              <w:widowControl/>
              <w:numPr>
                <w:ilvl w:val="0"/>
                <w:numId w:val="2"/>
              </w:numPr>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定期巡检：</w:t>
            </w:r>
            <w:r>
              <w:rPr>
                <w:rFonts w:hint="eastAsia" w:asciiTheme="minorEastAsia" w:hAnsiTheme="minorEastAsia" w:eastAsiaTheme="minorEastAsia" w:cstheme="minorEastAsia"/>
                <w:color w:val="auto"/>
                <w:kern w:val="2"/>
                <w:sz w:val="21"/>
                <w:szCs w:val="21"/>
                <w:highlight w:val="none"/>
              </w:rPr>
              <w:t>1）该工作的目的是预防故障发生，维保单位对各系统应每月进行一次巡检，记录并留档。2）对于每个系统的功能实现情况和主要设备的运行状态都应做检查测试。3）保障线路、电源的正常工作。4）</w:t>
            </w:r>
            <w:r>
              <w:rPr>
                <w:rFonts w:hint="eastAsia" w:asciiTheme="minorEastAsia" w:hAnsiTheme="minorEastAsia" w:eastAsiaTheme="minorEastAsia" w:cstheme="minorEastAsia"/>
                <w:color w:val="auto"/>
                <w:kern w:val="2"/>
                <w:sz w:val="21"/>
                <w:szCs w:val="21"/>
                <w:highlight w:val="none"/>
                <w:lang w:val="en-US" w:eastAsia="zh-CN"/>
              </w:rPr>
              <w:t>保</w:t>
            </w:r>
            <w:r>
              <w:rPr>
                <w:rFonts w:hint="eastAsia" w:asciiTheme="minorEastAsia" w:hAnsiTheme="minorEastAsia" w:eastAsiaTheme="minorEastAsia" w:cstheme="minorEastAsia"/>
                <w:color w:val="auto"/>
                <w:kern w:val="2"/>
                <w:sz w:val="21"/>
                <w:szCs w:val="21"/>
                <w:highlight w:val="none"/>
              </w:rPr>
              <w:t>障现场设备及周边环境的卫生清洁。</w:t>
            </w:r>
          </w:p>
          <w:p w14:paraId="7FCA25F9">
            <w:pPr>
              <w:keepNext w:val="0"/>
              <w:keepLines w:val="0"/>
              <w:widowControl/>
              <w:numPr>
                <w:ilvl w:val="0"/>
                <w:numId w:val="2"/>
              </w:numPr>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定期清洁：</w:t>
            </w:r>
            <w:r>
              <w:rPr>
                <w:rFonts w:hint="eastAsia" w:asciiTheme="minorEastAsia" w:hAnsiTheme="minorEastAsia" w:eastAsiaTheme="minorEastAsia" w:cstheme="minorEastAsia"/>
                <w:color w:val="auto"/>
                <w:kern w:val="2"/>
                <w:sz w:val="21"/>
                <w:szCs w:val="21"/>
                <w:highlight w:val="none"/>
              </w:rPr>
              <w:t>定期或不定期根据现场实际情况，对各类系统的现场设备进行外观检查，主要对现场机柜设备，抓拍机等设备定期清理，确保机器有效运行。</w:t>
            </w:r>
          </w:p>
          <w:p w14:paraId="3A92D39F">
            <w:pPr>
              <w:keepNext w:val="0"/>
              <w:keepLines w:val="0"/>
              <w:widowControl/>
              <w:numPr>
                <w:ilvl w:val="0"/>
                <w:numId w:val="2"/>
              </w:numPr>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维护建议：</w:t>
            </w:r>
            <w:r>
              <w:rPr>
                <w:rFonts w:hint="eastAsia" w:asciiTheme="minorEastAsia" w:hAnsiTheme="minorEastAsia" w:eastAsiaTheme="minorEastAsia" w:cstheme="minorEastAsia"/>
                <w:color w:val="auto"/>
                <w:kern w:val="2"/>
                <w:sz w:val="21"/>
                <w:szCs w:val="21"/>
                <w:highlight w:val="none"/>
              </w:rPr>
              <w:t>定期和不定期地根据现场故障的实际情况，向招标人提出维护建议。内容包括维护流程、维护技术、备品备件准备、系统优化和改善建议等，经招标人同意后实施。</w:t>
            </w:r>
          </w:p>
          <w:p w14:paraId="5B06D839">
            <w:pPr>
              <w:keepNext w:val="0"/>
              <w:keepLines w:val="0"/>
              <w:widowControl/>
              <w:numPr>
                <w:ilvl w:val="0"/>
                <w:numId w:val="2"/>
              </w:numPr>
              <w:suppressLineNumbers w:val="0"/>
              <w:spacing w:before="0" w:beforeAutospacing="0" w:after="0" w:afterAutospacing="0" w:line="288" w:lineRule="auto"/>
              <w:ind w:left="0" w:leftChars="0" w:right="0" w:firstLine="0" w:firstLineChars="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设备维修：</w:t>
            </w:r>
            <w:r>
              <w:rPr>
                <w:rFonts w:hint="eastAsia" w:asciiTheme="minorEastAsia" w:hAnsiTheme="minorEastAsia" w:eastAsiaTheme="minorEastAsia" w:cstheme="minorEastAsia"/>
                <w:color w:val="auto"/>
                <w:kern w:val="2"/>
                <w:sz w:val="21"/>
                <w:szCs w:val="21"/>
                <w:highlight w:val="none"/>
              </w:rPr>
              <w:t>当判断故障原因为设备损坏时，将故障设备在现场维修、返回维保单位总部所在地维修或寄厂家维修；待设备修理完成并经确认检查后负责安装到位。</w:t>
            </w:r>
          </w:p>
          <w:p w14:paraId="129FE09E">
            <w:pPr>
              <w:keepNext w:val="0"/>
              <w:keepLines w:val="0"/>
              <w:widowControl/>
              <w:numPr>
                <w:ilvl w:val="0"/>
                <w:numId w:val="0"/>
              </w:numPr>
              <w:suppressLineNumbers w:val="0"/>
              <w:spacing w:before="0" w:beforeAutospacing="0" w:after="0" w:afterAutospacing="0" w:line="288" w:lineRule="auto"/>
              <w:ind w:leftChars="0" w:right="0" w:rightChars="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5、培训：</w:t>
            </w:r>
            <w:r>
              <w:rPr>
                <w:rFonts w:hint="eastAsia" w:asciiTheme="minorEastAsia" w:hAnsiTheme="minorEastAsia" w:eastAsiaTheme="minorEastAsia" w:cstheme="minorEastAsia"/>
                <w:color w:val="auto"/>
                <w:kern w:val="2"/>
                <w:sz w:val="21"/>
                <w:szCs w:val="21"/>
                <w:highlight w:val="none"/>
              </w:rPr>
              <w:t>根据招标人的工作要求，结合实际情况和统筹安排，维保单位技术人员会在现场故障处理时与招标人维护人员保持技术指导，以及针对特定的系统和故障进行系统的维护培训。</w:t>
            </w:r>
          </w:p>
          <w:p w14:paraId="6E7DC306">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6、资料制作：</w:t>
            </w:r>
            <w:r>
              <w:rPr>
                <w:rFonts w:hint="eastAsia" w:asciiTheme="minorEastAsia" w:hAnsiTheme="minorEastAsia" w:eastAsiaTheme="minorEastAsia" w:cstheme="minorEastAsia"/>
                <w:color w:val="auto"/>
                <w:kern w:val="2"/>
                <w:sz w:val="21"/>
                <w:szCs w:val="21"/>
                <w:highlight w:val="none"/>
              </w:rPr>
              <w:t>制作主要系统的简单基本操作步骤说明资料，建立设备档案等。</w:t>
            </w:r>
          </w:p>
          <w:p w14:paraId="45CC3572">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7、机房、网络相关设备保障：</w:t>
            </w:r>
            <w:r>
              <w:rPr>
                <w:rFonts w:hint="eastAsia" w:asciiTheme="minorEastAsia" w:hAnsiTheme="minorEastAsia" w:eastAsiaTheme="minorEastAsia" w:cstheme="minorEastAsia"/>
                <w:color w:val="auto"/>
                <w:kern w:val="2"/>
                <w:sz w:val="21"/>
                <w:szCs w:val="21"/>
                <w:highlight w:val="none"/>
              </w:rPr>
              <w:t>配合执法队指挥中心机房正常运行需要支撑的相关工作。</w:t>
            </w:r>
          </w:p>
          <w:p w14:paraId="1CB0C978">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b/>
                <w:bCs/>
                <w:color w:val="auto"/>
                <w:kern w:val="2"/>
                <w:sz w:val="21"/>
                <w:szCs w:val="21"/>
                <w:highlight w:val="none"/>
              </w:rPr>
              <w:t>8、配合检定：</w:t>
            </w:r>
            <w:r>
              <w:rPr>
                <w:rFonts w:hint="eastAsia" w:asciiTheme="minorEastAsia" w:hAnsiTheme="minorEastAsia" w:eastAsiaTheme="minorEastAsia" w:cstheme="minorEastAsia"/>
                <w:color w:val="auto"/>
                <w:kern w:val="2"/>
                <w:sz w:val="21"/>
                <w:szCs w:val="21"/>
                <w:highlight w:val="none"/>
              </w:rPr>
              <w:t>配合每年一次检定工作</w:t>
            </w:r>
            <w:r>
              <w:rPr>
                <w:rFonts w:hint="eastAsia" w:asciiTheme="minorEastAsia" w:hAnsiTheme="minorEastAsia" w:eastAsiaTheme="minorEastAsia" w:cstheme="minorEastAsia"/>
                <w:color w:val="auto"/>
                <w:kern w:val="2"/>
                <w:sz w:val="21"/>
                <w:szCs w:val="21"/>
                <w:highlight w:val="none"/>
                <w:lang w:eastAsia="zh-CN"/>
              </w:rPr>
              <w:t>。</w:t>
            </w:r>
          </w:p>
          <w:p w14:paraId="34C7523A">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9、其它：</w:t>
            </w:r>
            <w:r>
              <w:rPr>
                <w:rFonts w:hint="eastAsia" w:asciiTheme="minorEastAsia" w:hAnsiTheme="minorEastAsia" w:eastAsiaTheme="minorEastAsia" w:cstheme="minorEastAsia"/>
                <w:color w:val="auto"/>
                <w:kern w:val="2"/>
                <w:sz w:val="21"/>
                <w:szCs w:val="21"/>
                <w:highlight w:val="none"/>
              </w:rPr>
              <w:t>业主报障，在半小时内电话响应，3小时内赶到现场，24小时内恢复系统正常运行。</w:t>
            </w:r>
          </w:p>
        </w:tc>
        <w:tc>
          <w:tcPr>
            <w:tcW w:w="338" w:type="pct"/>
            <w:tcBorders>
              <w:tl2br w:val="nil"/>
              <w:tr2bl w:val="nil"/>
            </w:tcBorders>
            <w:shd w:val="clear" w:color="auto" w:fill="FFFFFF" w:themeFill="background1"/>
            <w:vAlign w:val="center"/>
          </w:tcPr>
          <w:p w14:paraId="60A658FC">
            <w:pPr>
              <w:keepNext w:val="0"/>
              <w:keepLines w:val="0"/>
              <w:widowControl/>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w:t>
            </w:r>
          </w:p>
        </w:tc>
        <w:tc>
          <w:tcPr>
            <w:tcW w:w="416" w:type="pct"/>
            <w:tcBorders>
              <w:tl2br w:val="nil"/>
              <w:tr2bl w:val="nil"/>
            </w:tcBorders>
            <w:shd w:val="clear" w:color="auto" w:fill="FFFFFF" w:themeFill="background1"/>
            <w:vAlign w:val="center"/>
          </w:tcPr>
          <w:p w14:paraId="07FD94AC">
            <w:pPr>
              <w:keepNext w:val="0"/>
              <w:keepLines w:val="0"/>
              <w:widowControl/>
              <w:suppressLineNumbers w:val="0"/>
              <w:spacing w:before="0" w:beforeAutospacing="0" w:after="0" w:afterAutospacing="0" w:line="288" w:lineRule="auto"/>
              <w:ind w:left="0" w:right="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车道/一年</w:t>
            </w:r>
          </w:p>
        </w:tc>
        <w:tc>
          <w:tcPr>
            <w:tcW w:w="683" w:type="pct"/>
            <w:vMerge w:val="restart"/>
            <w:tcBorders>
              <w:tl2br w:val="nil"/>
              <w:tr2bl w:val="nil"/>
            </w:tcBorders>
            <w:shd w:val="clear" w:color="auto" w:fill="FFFFFF" w:themeFill="background1"/>
            <w:vAlign w:val="center"/>
          </w:tcPr>
          <w:p w14:paraId="33E9A4AC">
            <w:pPr>
              <w:keepNext w:val="0"/>
              <w:keepLines w:val="0"/>
              <w:widowControl/>
              <w:suppressLineNumbers w:val="0"/>
              <w:spacing w:before="0" w:beforeAutospacing="0" w:after="0" w:afterAutospacing="0" w:line="288" w:lineRule="auto"/>
              <w:ind w:left="0" w:right="0"/>
              <w:jc w:val="center"/>
              <w:rPr>
                <w:rFonts w:hint="eastAsia" w:asciiTheme="minorEastAsia" w:hAnsiTheme="minorEastAsia" w:eastAsiaTheme="minorEastAsia" w:cstheme="minorEastAsia"/>
                <w:b/>
                <w:bCs/>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考核要求</w:t>
            </w:r>
          </w:p>
          <w:p w14:paraId="6294ED3A">
            <w:pPr>
              <w:keepNext w:val="0"/>
              <w:keepLines w:val="0"/>
              <w:widowControl/>
              <w:numPr>
                <w:ilvl w:val="0"/>
                <w:numId w:val="3"/>
              </w:numPr>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要求治超非现场执法设施每月正常运行不低于</w:t>
            </w:r>
            <w:r>
              <w:rPr>
                <w:rFonts w:hint="eastAsia" w:asciiTheme="minorEastAsia" w:hAnsiTheme="minorEastAsia" w:eastAsiaTheme="minorEastAsia" w:cstheme="minorEastAsia"/>
                <w:color w:val="auto"/>
                <w:kern w:val="2"/>
                <w:sz w:val="21"/>
                <w:szCs w:val="21"/>
                <w:highlight w:val="none"/>
                <w:lang w:val="en-US" w:eastAsia="zh-CN"/>
              </w:rPr>
              <w:t>26</w:t>
            </w:r>
            <w:r>
              <w:rPr>
                <w:rFonts w:hint="eastAsia" w:asciiTheme="minorEastAsia" w:hAnsiTheme="minorEastAsia" w:eastAsiaTheme="minorEastAsia" w:cstheme="minorEastAsia"/>
                <w:color w:val="auto"/>
                <w:kern w:val="2"/>
                <w:sz w:val="21"/>
                <w:szCs w:val="21"/>
                <w:highlight w:val="none"/>
              </w:rPr>
              <w:t>天，不可抗力</w:t>
            </w:r>
            <w:r>
              <w:rPr>
                <w:rFonts w:hint="eastAsia" w:asciiTheme="minorEastAsia" w:hAnsiTheme="minorEastAsia" w:eastAsiaTheme="minorEastAsia" w:cstheme="minorEastAsia"/>
                <w:color w:val="auto"/>
                <w:kern w:val="2"/>
                <w:sz w:val="21"/>
                <w:szCs w:val="21"/>
                <w:highlight w:val="none"/>
                <w:lang w:val="en-US" w:eastAsia="zh-CN"/>
              </w:rPr>
              <w:t>及甲方</w:t>
            </w:r>
            <w:r>
              <w:rPr>
                <w:rFonts w:hint="eastAsia" w:asciiTheme="minorEastAsia" w:hAnsiTheme="minorEastAsia" w:eastAsiaTheme="minorEastAsia" w:cstheme="minorEastAsia"/>
                <w:color w:val="auto"/>
                <w:kern w:val="2"/>
                <w:sz w:val="21"/>
                <w:szCs w:val="21"/>
                <w:highlight w:val="none"/>
              </w:rPr>
              <w:t>因素</w:t>
            </w:r>
          </w:p>
          <w:p w14:paraId="07A89EE0">
            <w:pPr>
              <w:keepNext w:val="0"/>
              <w:keepLines w:val="0"/>
              <w:widowControl/>
              <w:numPr>
                <w:ilvl w:val="0"/>
                <w:numId w:val="0"/>
              </w:numPr>
              <w:suppressLineNumbers w:val="0"/>
              <w:spacing w:before="0" w:beforeAutospacing="0" w:after="0" w:afterAutospacing="0" w:line="288" w:lineRule="auto"/>
              <w:ind w:right="0" w:rightChars="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除外。</w:t>
            </w:r>
          </w:p>
          <w:p w14:paraId="085EC142">
            <w:pPr>
              <w:keepNext w:val="0"/>
              <w:keepLines w:val="0"/>
              <w:widowControl/>
              <w:numPr>
                <w:ilvl w:val="0"/>
                <w:numId w:val="3"/>
              </w:numPr>
              <w:suppressLineNumbers w:val="0"/>
              <w:spacing w:before="0" w:beforeAutospacing="0" w:after="0" w:afterAutospacing="0" w:line="288" w:lineRule="auto"/>
              <w:ind w:left="0" w:leftChars="0" w:right="0" w:firstLine="0" w:firstLineChars="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确保非现治超维护范围的称重精准度偏差不</w:t>
            </w:r>
          </w:p>
          <w:p w14:paraId="1495E58F">
            <w:pPr>
              <w:keepNext w:val="0"/>
              <w:keepLines w:val="0"/>
              <w:widowControl/>
              <w:numPr>
                <w:ilvl w:val="0"/>
                <w:numId w:val="0"/>
              </w:numPr>
              <w:suppressLineNumbers w:val="0"/>
              <w:spacing w:before="0" w:beforeAutospacing="0" w:after="0" w:afterAutospacing="0" w:line="288" w:lineRule="auto"/>
              <w:ind w:leftChars="0" w:right="0" w:rightChars="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超10%范围。</w:t>
            </w:r>
          </w:p>
          <w:p w14:paraId="50412708">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b/>
                <w:bCs/>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3、车牌识别抓拍率保持在95%以上，人为遮</w:t>
            </w:r>
            <w:r>
              <w:rPr>
                <w:rFonts w:hint="eastAsia" w:asciiTheme="minorEastAsia" w:hAnsiTheme="minorEastAsia" w:eastAsiaTheme="minorEastAsia" w:cstheme="minorEastAsia"/>
                <w:color w:val="auto"/>
                <w:kern w:val="2"/>
                <w:sz w:val="21"/>
                <w:szCs w:val="21"/>
                <w:highlight w:val="none"/>
                <w:lang w:eastAsia="zh-CN"/>
              </w:rPr>
              <w:t>挡</w:t>
            </w:r>
            <w:r>
              <w:rPr>
                <w:rFonts w:hint="eastAsia" w:asciiTheme="minorEastAsia" w:hAnsiTheme="minorEastAsia" w:eastAsiaTheme="minorEastAsia" w:cstheme="minorEastAsia"/>
                <w:color w:val="auto"/>
                <w:kern w:val="2"/>
                <w:sz w:val="21"/>
                <w:szCs w:val="21"/>
                <w:highlight w:val="none"/>
              </w:rPr>
              <w:t>因素除外。</w:t>
            </w:r>
          </w:p>
        </w:tc>
      </w:tr>
      <w:tr w14:paraId="39CB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73" w:hRule="atLeast"/>
        </w:trPr>
        <w:tc>
          <w:tcPr>
            <w:tcW w:w="307" w:type="pct"/>
            <w:tcBorders>
              <w:tl2br w:val="nil"/>
              <w:tr2bl w:val="nil"/>
            </w:tcBorders>
            <w:shd w:val="clear" w:color="auto" w:fill="FFFFFF" w:themeFill="background1"/>
            <w:vAlign w:val="center"/>
          </w:tcPr>
          <w:p w14:paraId="7DBE20D9">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w:t>
            </w:r>
          </w:p>
        </w:tc>
        <w:tc>
          <w:tcPr>
            <w:tcW w:w="1137" w:type="pct"/>
            <w:tcBorders>
              <w:tl2br w:val="nil"/>
              <w:tr2bl w:val="nil"/>
            </w:tcBorders>
            <w:shd w:val="clear" w:color="auto" w:fill="FFFFFF" w:themeFill="background1"/>
            <w:vAlign w:val="center"/>
          </w:tcPr>
          <w:p w14:paraId="1DD4C73A">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原：</w:t>
            </w:r>
            <w:r>
              <w:rPr>
                <w:rFonts w:hint="eastAsia" w:asciiTheme="minorEastAsia" w:hAnsiTheme="minorEastAsia" w:eastAsiaTheme="minorEastAsia" w:cstheme="minorEastAsia"/>
                <w:color w:val="auto"/>
                <w:kern w:val="2"/>
                <w:sz w:val="21"/>
                <w:szCs w:val="21"/>
                <w:highlight w:val="none"/>
              </w:rPr>
              <w:t>X812城大线1K+000</w:t>
            </w:r>
          </w:p>
          <w:p w14:paraId="1CC0D42F">
            <w:pPr>
              <w:keepNext w:val="0"/>
              <w:keepLines w:val="0"/>
              <w:widowControl/>
              <w:suppressLineNumbers w:val="0"/>
              <w:spacing w:before="0" w:beforeAutospacing="0" w:after="0" w:afterAutospacing="0" w:line="288" w:lineRule="auto"/>
              <w:ind w:left="0" w:leftChars="0" w:right="0" w:rightChars="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现：S218安龙线K198+200</w:t>
            </w:r>
          </w:p>
        </w:tc>
        <w:tc>
          <w:tcPr>
            <w:tcW w:w="2116" w:type="pct"/>
            <w:vMerge w:val="continue"/>
            <w:tcBorders>
              <w:tl2br w:val="nil"/>
              <w:tr2bl w:val="nil"/>
            </w:tcBorders>
            <w:shd w:val="clear" w:color="auto" w:fill="FFFFFF" w:themeFill="background1"/>
            <w:vAlign w:val="center"/>
          </w:tcPr>
          <w:p w14:paraId="54473347">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b/>
                <w:bCs/>
                <w:color w:val="auto"/>
                <w:kern w:val="2"/>
                <w:sz w:val="21"/>
                <w:szCs w:val="21"/>
                <w:highlight w:val="none"/>
              </w:rPr>
            </w:pPr>
          </w:p>
        </w:tc>
        <w:tc>
          <w:tcPr>
            <w:tcW w:w="338" w:type="pct"/>
            <w:tcBorders>
              <w:tl2br w:val="nil"/>
              <w:tr2bl w:val="nil"/>
            </w:tcBorders>
            <w:shd w:val="clear" w:color="auto" w:fill="FFFFFF" w:themeFill="background1"/>
            <w:vAlign w:val="center"/>
          </w:tcPr>
          <w:p w14:paraId="1ACD7970">
            <w:pPr>
              <w:keepNext w:val="0"/>
              <w:keepLines w:val="0"/>
              <w:widowControl/>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w:t>
            </w:r>
          </w:p>
        </w:tc>
        <w:tc>
          <w:tcPr>
            <w:tcW w:w="416" w:type="pct"/>
            <w:tcBorders>
              <w:tl2br w:val="nil"/>
              <w:tr2bl w:val="nil"/>
            </w:tcBorders>
            <w:shd w:val="clear" w:color="auto" w:fill="FFFFFF" w:themeFill="background1"/>
            <w:vAlign w:val="center"/>
          </w:tcPr>
          <w:p w14:paraId="63F1EEFD">
            <w:pPr>
              <w:keepNext w:val="0"/>
              <w:keepLines w:val="0"/>
              <w:widowControl/>
              <w:suppressLineNumbers w:val="0"/>
              <w:spacing w:before="0" w:beforeAutospacing="0" w:after="0" w:afterAutospacing="0" w:line="288" w:lineRule="auto"/>
              <w:ind w:left="0" w:right="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车道/一年</w:t>
            </w:r>
          </w:p>
        </w:tc>
        <w:tc>
          <w:tcPr>
            <w:tcW w:w="683" w:type="pct"/>
            <w:vMerge w:val="continue"/>
            <w:tcBorders>
              <w:tl2br w:val="nil"/>
              <w:tr2bl w:val="nil"/>
            </w:tcBorders>
            <w:shd w:val="clear" w:color="auto" w:fill="FFFFFF" w:themeFill="background1"/>
            <w:vAlign w:val="center"/>
          </w:tcPr>
          <w:p w14:paraId="70632492">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b/>
                <w:bCs/>
                <w:color w:val="auto"/>
                <w:kern w:val="2"/>
                <w:sz w:val="21"/>
                <w:szCs w:val="21"/>
                <w:highlight w:val="none"/>
              </w:rPr>
            </w:pPr>
          </w:p>
        </w:tc>
      </w:tr>
      <w:tr w14:paraId="4A8B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73" w:hRule="atLeast"/>
        </w:trPr>
        <w:tc>
          <w:tcPr>
            <w:tcW w:w="307" w:type="pct"/>
            <w:tcBorders>
              <w:tl2br w:val="nil"/>
              <w:tr2bl w:val="nil"/>
            </w:tcBorders>
            <w:shd w:val="clear" w:color="auto" w:fill="FFFFFF" w:themeFill="background1"/>
            <w:vAlign w:val="center"/>
          </w:tcPr>
          <w:p w14:paraId="152F27AA">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w:t>
            </w:r>
          </w:p>
        </w:tc>
        <w:tc>
          <w:tcPr>
            <w:tcW w:w="1137" w:type="pct"/>
            <w:tcBorders>
              <w:tl2br w:val="nil"/>
              <w:tr2bl w:val="nil"/>
            </w:tcBorders>
            <w:shd w:val="clear" w:color="auto" w:fill="FFFFFF" w:themeFill="background1"/>
            <w:vAlign w:val="center"/>
          </w:tcPr>
          <w:p w14:paraId="6B1F21A7">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原：</w:t>
            </w:r>
            <w:r>
              <w:rPr>
                <w:rFonts w:hint="eastAsia" w:asciiTheme="minorEastAsia" w:hAnsiTheme="minorEastAsia" w:eastAsiaTheme="minorEastAsia" w:cstheme="minorEastAsia"/>
                <w:color w:val="auto"/>
                <w:kern w:val="2"/>
                <w:sz w:val="21"/>
                <w:szCs w:val="21"/>
                <w:highlight w:val="none"/>
              </w:rPr>
              <w:t>S210桐义线76K+470</w:t>
            </w:r>
          </w:p>
          <w:p w14:paraId="4327DE9D">
            <w:pPr>
              <w:keepNext w:val="0"/>
              <w:keepLines w:val="0"/>
              <w:widowControl/>
              <w:suppressLineNumbers w:val="0"/>
              <w:spacing w:before="0" w:beforeAutospacing="0" w:after="0" w:afterAutospacing="0" w:line="288" w:lineRule="auto"/>
              <w:ind w:left="0" w:leftChars="0" w:right="0" w:rightChars="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现：S218安龙线K235+700）</w:t>
            </w:r>
          </w:p>
        </w:tc>
        <w:tc>
          <w:tcPr>
            <w:tcW w:w="2116" w:type="pct"/>
            <w:vMerge w:val="continue"/>
            <w:tcBorders>
              <w:tl2br w:val="nil"/>
              <w:tr2bl w:val="nil"/>
            </w:tcBorders>
            <w:shd w:val="clear" w:color="auto" w:fill="FFFFFF" w:themeFill="background1"/>
            <w:vAlign w:val="center"/>
          </w:tcPr>
          <w:p w14:paraId="487D9329">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b/>
                <w:bCs/>
                <w:color w:val="auto"/>
                <w:kern w:val="2"/>
                <w:sz w:val="21"/>
                <w:szCs w:val="21"/>
                <w:highlight w:val="none"/>
              </w:rPr>
            </w:pPr>
          </w:p>
        </w:tc>
        <w:tc>
          <w:tcPr>
            <w:tcW w:w="338" w:type="pct"/>
            <w:tcBorders>
              <w:tl2br w:val="nil"/>
              <w:tr2bl w:val="nil"/>
            </w:tcBorders>
            <w:shd w:val="clear" w:color="auto" w:fill="FFFFFF" w:themeFill="background1"/>
            <w:vAlign w:val="center"/>
          </w:tcPr>
          <w:p w14:paraId="0F92CFE2">
            <w:pPr>
              <w:keepNext w:val="0"/>
              <w:keepLines w:val="0"/>
              <w:widowControl/>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w:t>
            </w:r>
          </w:p>
        </w:tc>
        <w:tc>
          <w:tcPr>
            <w:tcW w:w="416" w:type="pct"/>
            <w:tcBorders>
              <w:tl2br w:val="nil"/>
              <w:tr2bl w:val="nil"/>
            </w:tcBorders>
            <w:shd w:val="clear" w:color="auto" w:fill="FFFFFF" w:themeFill="background1"/>
            <w:vAlign w:val="center"/>
          </w:tcPr>
          <w:p w14:paraId="3C98B31E">
            <w:pPr>
              <w:keepNext w:val="0"/>
              <w:keepLines w:val="0"/>
              <w:widowControl/>
              <w:suppressLineNumbers w:val="0"/>
              <w:spacing w:before="0" w:beforeAutospacing="0" w:after="0" w:afterAutospacing="0" w:line="288" w:lineRule="auto"/>
              <w:ind w:left="0" w:right="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车道/一年</w:t>
            </w:r>
          </w:p>
        </w:tc>
        <w:tc>
          <w:tcPr>
            <w:tcW w:w="683" w:type="pct"/>
            <w:vMerge w:val="continue"/>
            <w:tcBorders>
              <w:tl2br w:val="nil"/>
              <w:tr2bl w:val="nil"/>
            </w:tcBorders>
            <w:shd w:val="clear" w:color="auto" w:fill="FFFFFF" w:themeFill="background1"/>
            <w:vAlign w:val="center"/>
          </w:tcPr>
          <w:p w14:paraId="07171723">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b/>
                <w:bCs/>
                <w:color w:val="auto"/>
                <w:kern w:val="2"/>
                <w:sz w:val="21"/>
                <w:szCs w:val="21"/>
                <w:highlight w:val="none"/>
              </w:rPr>
            </w:pPr>
          </w:p>
        </w:tc>
      </w:tr>
      <w:tr w14:paraId="54EA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18" w:hRule="atLeast"/>
        </w:trPr>
        <w:tc>
          <w:tcPr>
            <w:tcW w:w="307" w:type="pct"/>
            <w:tcBorders>
              <w:tl2br w:val="nil"/>
              <w:tr2bl w:val="nil"/>
            </w:tcBorders>
            <w:shd w:val="clear" w:color="auto" w:fill="FFFFFF" w:themeFill="background1"/>
            <w:vAlign w:val="center"/>
          </w:tcPr>
          <w:p w14:paraId="1A0418B2">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w:t>
            </w:r>
          </w:p>
        </w:tc>
        <w:tc>
          <w:tcPr>
            <w:tcW w:w="1137" w:type="pct"/>
            <w:tcBorders>
              <w:tl2br w:val="nil"/>
              <w:tr2bl w:val="nil"/>
            </w:tcBorders>
            <w:shd w:val="clear" w:color="auto" w:fill="FFFFFF" w:themeFill="background1"/>
            <w:vAlign w:val="center"/>
          </w:tcPr>
          <w:p w14:paraId="547A4648">
            <w:pPr>
              <w:keepNext w:val="0"/>
              <w:keepLines w:val="0"/>
              <w:widowControl/>
              <w:suppressLineNumbers w:val="0"/>
              <w:spacing w:before="0" w:beforeAutospacing="0" w:after="0" w:afterAutospacing="0" w:line="288" w:lineRule="auto"/>
              <w:ind w:left="0" w:leftChars="0" w:right="0" w:rightChars="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原：</w:t>
            </w:r>
            <w:r>
              <w:rPr>
                <w:rFonts w:hint="eastAsia" w:asciiTheme="minorEastAsia" w:hAnsiTheme="minorEastAsia" w:eastAsiaTheme="minorEastAsia" w:cstheme="minorEastAsia"/>
                <w:color w:val="auto"/>
                <w:kern w:val="2"/>
                <w:sz w:val="21"/>
                <w:szCs w:val="21"/>
                <w:highlight w:val="none"/>
              </w:rPr>
              <w:t>X801浦横线10K+760</w:t>
            </w:r>
          </w:p>
        </w:tc>
        <w:tc>
          <w:tcPr>
            <w:tcW w:w="2116" w:type="pct"/>
            <w:vMerge w:val="continue"/>
            <w:tcBorders>
              <w:tl2br w:val="nil"/>
              <w:tr2bl w:val="nil"/>
            </w:tcBorders>
            <w:shd w:val="clear" w:color="auto" w:fill="FFFFFF" w:themeFill="background1"/>
            <w:vAlign w:val="center"/>
          </w:tcPr>
          <w:p w14:paraId="704A6448">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b/>
                <w:bCs/>
                <w:color w:val="auto"/>
                <w:kern w:val="2"/>
                <w:sz w:val="21"/>
                <w:szCs w:val="21"/>
                <w:highlight w:val="none"/>
              </w:rPr>
            </w:pPr>
          </w:p>
        </w:tc>
        <w:tc>
          <w:tcPr>
            <w:tcW w:w="338" w:type="pct"/>
            <w:tcBorders>
              <w:tl2br w:val="nil"/>
              <w:tr2bl w:val="nil"/>
            </w:tcBorders>
            <w:shd w:val="clear" w:color="auto" w:fill="FFFFFF" w:themeFill="background1"/>
            <w:vAlign w:val="center"/>
          </w:tcPr>
          <w:p w14:paraId="3D8E4BBF">
            <w:pPr>
              <w:keepNext w:val="0"/>
              <w:keepLines w:val="0"/>
              <w:widowControl/>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w:t>
            </w:r>
          </w:p>
        </w:tc>
        <w:tc>
          <w:tcPr>
            <w:tcW w:w="416" w:type="pct"/>
            <w:tcBorders>
              <w:tl2br w:val="nil"/>
              <w:tr2bl w:val="nil"/>
            </w:tcBorders>
            <w:shd w:val="clear" w:color="auto" w:fill="FFFFFF" w:themeFill="background1"/>
            <w:vAlign w:val="center"/>
          </w:tcPr>
          <w:p w14:paraId="52E0B2F3">
            <w:pPr>
              <w:keepNext w:val="0"/>
              <w:keepLines w:val="0"/>
              <w:widowControl/>
              <w:suppressLineNumbers w:val="0"/>
              <w:spacing w:before="0" w:beforeAutospacing="0" w:after="0" w:afterAutospacing="0" w:line="288" w:lineRule="auto"/>
              <w:ind w:left="0" w:right="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车道/一年</w:t>
            </w:r>
          </w:p>
        </w:tc>
        <w:tc>
          <w:tcPr>
            <w:tcW w:w="683" w:type="pct"/>
            <w:vMerge w:val="continue"/>
            <w:tcBorders>
              <w:tl2br w:val="nil"/>
              <w:tr2bl w:val="nil"/>
            </w:tcBorders>
            <w:shd w:val="clear" w:color="auto" w:fill="FFFFFF" w:themeFill="background1"/>
            <w:vAlign w:val="center"/>
          </w:tcPr>
          <w:p w14:paraId="036AD5BB">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b/>
                <w:bCs/>
                <w:color w:val="auto"/>
                <w:kern w:val="2"/>
                <w:sz w:val="21"/>
                <w:szCs w:val="21"/>
                <w:highlight w:val="none"/>
              </w:rPr>
            </w:pPr>
          </w:p>
        </w:tc>
      </w:tr>
      <w:tr w14:paraId="02BF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73" w:hRule="atLeast"/>
        </w:trPr>
        <w:tc>
          <w:tcPr>
            <w:tcW w:w="307" w:type="pct"/>
            <w:tcBorders>
              <w:tl2br w:val="nil"/>
              <w:tr2bl w:val="nil"/>
            </w:tcBorders>
            <w:shd w:val="clear" w:color="auto" w:fill="FFFFFF" w:themeFill="background1"/>
            <w:vAlign w:val="center"/>
          </w:tcPr>
          <w:p w14:paraId="3C72E922">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5</w:t>
            </w:r>
          </w:p>
        </w:tc>
        <w:tc>
          <w:tcPr>
            <w:tcW w:w="1137" w:type="pct"/>
            <w:tcBorders>
              <w:tl2br w:val="nil"/>
              <w:tr2bl w:val="nil"/>
            </w:tcBorders>
            <w:shd w:val="clear" w:color="auto" w:fill="FFFFFF" w:themeFill="background1"/>
            <w:vAlign w:val="center"/>
          </w:tcPr>
          <w:p w14:paraId="08F1E4BE">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原：</w:t>
            </w:r>
            <w:r>
              <w:rPr>
                <w:rFonts w:hint="eastAsia" w:asciiTheme="minorEastAsia" w:hAnsiTheme="minorEastAsia" w:eastAsiaTheme="minorEastAsia" w:cstheme="minorEastAsia"/>
                <w:color w:val="auto"/>
                <w:kern w:val="2"/>
                <w:sz w:val="21"/>
                <w:szCs w:val="21"/>
                <w:highlight w:val="none"/>
              </w:rPr>
              <w:t>S210桐义线42K+540</w:t>
            </w:r>
          </w:p>
          <w:p w14:paraId="71162F2D">
            <w:pPr>
              <w:keepNext w:val="0"/>
              <w:keepLines w:val="0"/>
              <w:widowControl/>
              <w:suppressLineNumbers w:val="0"/>
              <w:spacing w:before="0" w:beforeAutospacing="0" w:after="0" w:afterAutospacing="0" w:line="288" w:lineRule="auto"/>
              <w:ind w:left="0" w:leftChars="0" w:right="0" w:rightChars="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现：S219临苍线K105+330</w:t>
            </w:r>
          </w:p>
        </w:tc>
        <w:tc>
          <w:tcPr>
            <w:tcW w:w="2116" w:type="pct"/>
            <w:vMerge w:val="continue"/>
            <w:tcBorders>
              <w:tl2br w:val="nil"/>
              <w:tr2bl w:val="nil"/>
            </w:tcBorders>
            <w:shd w:val="clear" w:color="auto" w:fill="FFFFFF" w:themeFill="background1"/>
            <w:vAlign w:val="center"/>
          </w:tcPr>
          <w:p w14:paraId="2B17EF31">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b/>
                <w:bCs/>
                <w:color w:val="auto"/>
                <w:kern w:val="2"/>
                <w:sz w:val="21"/>
                <w:szCs w:val="21"/>
                <w:highlight w:val="none"/>
              </w:rPr>
            </w:pPr>
          </w:p>
        </w:tc>
        <w:tc>
          <w:tcPr>
            <w:tcW w:w="338" w:type="pct"/>
            <w:tcBorders>
              <w:tl2br w:val="nil"/>
              <w:tr2bl w:val="nil"/>
            </w:tcBorders>
            <w:shd w:val="clear" w:color="auto" w:fill="FFFFFF" w:themeFill="background1"/>
            <w:vAlign w:val="center"/>
          </w:tcPr>
          <w:p w14:paraId="39748AE9">
            <w:pPr>
              <w:keepNext w:val="0"/>
              <w:keepLines w:val="0"/>
              <w:widowControl/>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w:t>
            </w:r>
          </w:p>
        </w:tc>
        <w:tc>
          <w:tcPr>
            <w:tcW w:w="416" w:type="pct"/>
            <w:tcBorders>
              <w:tl2br w:val="nil"/>
              <w:tr2bl w:val="nil"/>
            </w:tcBorders>
            <w:shd w:val="clear" w:color="auto" w:fill="FFFFFF" w:themeFill="background1"/>
            <w:vAlign w:val="center"/>
          </w:tcPr>
          <w:p w14:paraId="09CA2CE3">
            <w:pPr>
              <w:keepNext w:val="0"/>
              <w:keepLines w:val="0"/>
              <w:widowControl/>
              <w:suppressLineNumbers w:val="0"/>
              <w:spacing w:before="0" w:beforeAutospacing="0" w:after="0" w:afterAutospacing="0" w:line="288" w:lineRule="auto"/>
              <w:ind w:left="0" w:right="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车道/一年</w:t>
            </w:r>
          </w:p>
        </w:tc>
        <w:tc>
          <w:tcPr>
            <w:tcW w:w="683" w:type="pct"/>
            <w:vMerge w:val="continue"/>
            <w:tcBorders>
              <w:tl2br w:val="nil"/>
              <w:tr2bl w:val="nil"/>
            </w:tcBorders>
            <w:shd w:val="clear" w:color="auto" w:fill="FFFFFF" w:themeFill="background1"/>
            <w:vAlign w:val="center"/>
          </w:tcPr>
          <w:p w14:paraId="411F377E">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b/>
                <w:bCs/>
                <w:color w:val="auto"/>
                <w:kern w:val="2"/>
                <w:sz w:val="21"/>
                <w:szCs w:val="21"/>
                <w:highlight w:val="none"/>
              </w:rPr>
            </w:pPr>
          </w:p>
        </w:tc>
      </w:tr>
      <w:tr w14:paraId="79C9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73" w:hRule="atLeast"/>
        </w:trPr>
        <w:tc>
          <w:tcPr>
            <w:tcW w:w="307" w:type="pct"/>
            <w:tcBorders>
              <w:tl2br w:val="nil"/>
              <w:tr2bl w:val="nil"/>
            </w:tcBorders>
            <w:shd w:val="clear" w:color="auto" w:fill="FFFFFF" w:themeFill="background1"/>
            <w:vAlign w:val="center"/>
          </w:tcPr>
          <w:p w14:paraId="1076401D">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6</w:t>
            </w:r>
          </w:p>
        </w:tc>
        <w:tc>
          <w:tcPr>
            <w:tcW w:w="1137" w:type="pct"/>
            <w:tcBorders>
              <w:tl2br w:val="nil"/>
              <w:tr2bl w:val="nil"/>
            </w:tcBorders>
            <w:shd w:val="clear" w:color="auto" w:fill="FFFFFF" w:themeFill="background1"/>
            <w:vAlign w:val="center"/>
          </w:tcPr>
          <w:p w14:paraId="1FFB97E0">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原：</w:t>
            </w:r>
            <w:r>
              <w:rPr>
                <w:rFonts w:hint="eastAsia" w:asciiTheme="minorEastAsia" w:hAnsiTheme="minorEastAsia" w:eastAsiaTheme="minorEastAsia" w:cstheme="minorEastAsia"/>
                <w:color w:val="auto"/>
                <w:kern w:val="2"/>
                <w:sz w:val="21"/>
                <w:szCs w:val="21"/>
                <w:highlight w:val="none"/>
              </w:rPr>
              <w:t>S210桐义线50K+700</w:t>
            </w:r>
          </w:p>
          <w:p w14:paraId="484F11E9">
            <w:pPr>
              <w:keepNext w:val="0"/>
              <w:keepLines w:val="0"/>
              <w:widowControl/>
              <w:suppressLineNumbers w:val="0"/>
              <w:spacing w:before="0" w:beforeAutospacing="0" w:after="0" w:afterAutospacing="0" w:line="288" w:lineRule="auto"/>
              <w:ind w:left="0" w:leftChars="0" w:right="0" w:rightChars="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现：S219临苍线K113+400</w:t>
            </w:r>
          </w:p>
        </w:tc>
        <w:tc>
          <w:tcPr>
            <w:tcW w:w="2116" w:type="pct"/>
            <w:vMerge w:val="continue"/>
            <w:tcBorders>
              <w:tl2br w:val="nil"/>
              <w:tr2bl w:val="nil"/>
            </w:tcBorders>
            <w:shd w:val="clear" w:color="auto" w:fill="FFFFFF" w:themeFill="background1"/>
            <w:vAlign w:val="center"/>
          </w:tcPr>
          <w:p w14:paraId="5F4ADD69">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b/>
                <w:bCs/>
                <w:color w:val="auto"/>
                <w:kern w:val="2"/>
                <w:sz w:val="21"/>
                <w:szCs w:val="21"/>
                <w:highlight w:val="none"/>
              </w:rPr>
            </w:pPr>
          </w:p>
        </w:tc>
        <w:tc>
          <w:tcPr>
            <w:tcW w:w="338" w:type="pct"/>
            <w:tcBorders>
              <w:tl2br w:val="nil"/>
              <w:tr2bl w:val="nil"/>
            </w:tcBorders>
            <w:shd w:val="clear" w:color="auto" w:fill="FFFFFF" w:themeFill="background1"/>
            <w:vAlign w:val="center"/>
          </w:tcPr>
          <w:p w14:paraId="1082979D">
            <w:pPr>
              <w:keepNext w:val="0"/>
              <w:keepLines w:val="0"/>
              <w:widowControl/>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w:t>
            </w:r>
          </w:p>
        </w:tc>
        <w:tc>
          <w:tcPr>
            <w:tcW w:w="416" w:type="pct"/>
            <w:tcBorders>
              <w:tl2br w:val="nil"/>
              <w:tr2bl w:val="nil"/>
            </w:tcBorders>
            <w:shd w:val="clear" w:color="auto" w:fill="FFFFFF" w:themeFill="background1"/>
            <w:vAlign w:val="center"/>
          </w:tcPr>
          <w:p w14:paraId="64BB04C0">
            <w:pPr>
              <w:keepNext w:val="0"/>
              <w:keepLines w:val="0"/>
              <w:widowControl/>
              <w:suppressLineNumbers w:val="0"/>
              <w:spacing w:before="0" w:beforeAutospacing="0" w:after="0" w:afterAutospacing="0" w:line="288" w:lineRule="auto"/>
              <w:ind w:left="0" w:right="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车道/一年</w:t>
            </w:r>
          </w:p>
        </w:tc>
        <w:tc>
          <w:tcPr>
            <w:tcW w:w="683" w:type="pct"/>
            <w:vMerge w:val="continue"/>
            <w:tcBorders>
              <w:tl2br w:val="nil"/>
              <w:tr2bl w:val="nil"/>
            </w:tcBorders>
            <w:shd w:val="clear" w:color="auto" w:fill="FFFFFF" w:themeFill="background1"/>
            <w:vAlign w:val="center"/>
          </w:tcPr>
          <w:p w14:paraId="2B0A5486">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b/>
                <w:bCs/>
                <w:color w:val="auto"/>
                <w:kern w:val="2"/>
                <w:sz w:val="21"/>
                <w:szCs w:val="21"/>
                <w:highlight w:val="none"/>
              </w:rPr>
            </w:pPr>
          </w:p>
        </w:tc>
      </w:tr>
      <w:tr w14:paraId="7F37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73" w:hRule="atLeast"/>
        </w:trPr>
        <w:tc>
          <w:tcPr>
            <w:tcW w:w="307" w:type="pct"/>
            <w:tcBorders>
              <w:tl2br w:val="nil"/>
              <w:tr2bl w:val="nil"/>
            </w:tcBorders>
            <w:shd w:val="clear" w:color="auto" w:fill="FFFFFF" w:themeFill="background1"/>
            <w:vAlign w:val="center"/>
          </w:tcPr>
          <w:p w14:paraId="1D2EE3B4">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7</w:t>
            </w:r>
          </w:p>
        </w:tc>
        <w:tc>
          <w:tcPr>
            <w:tcW w:w="1137" w:type="pct"/>
            <w:tcBorders>
              <w:tl2br w:val="nil"/>
              <w:tr2bl w:val="nil"/>
            </w:tcBorders>
            <w:shd w:val="clear" w:color="auto" w:fill="FFFFFF" w:themeFill="background1"/>
            <w:vAlign w:val="center"/>
          </w:tcPr>
          <w:p w14:paraId="2405B2C3">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原：</w:t>
            </w:r>
            <w:r>
              <w:rPr>
                <w:rFonts w:hint="eastAsia" w:asciiTheme="minorEastAsia" w:hAnsiTheme="minorEastAsia" w:eastAsiaTheme="minorEastAsia" w:cstheme="minorEastAsia"/>
                <w:color w:val="auto"/>
                <w:kern w:val="2"/>
                <w:sz w:val="21"/>
                <w:szCs w:val="21"/>
                <w:highlight w:val="none"/>
              </w:rPr>
              <w:t>S314浦兰线8K+300</w:t>
            </w:r>
          </w:p>
          <w:p w14:paraId="72D627C9">
            <w:pPr>
              <w:keepNext w:val="0"/>
              <w:keepLines w:val="0"/>
              <w:widowControl/>
              <w:suppressLineNumbers w:val="0"/>
              <w:spacing w:before="0" w:beforeAutospacing="0" w:after="0" w:afterAutospacing="0" w:line="288" w:lineRule="auto"/>
              <w:ind w:left="0" w:leftChars="0" w:right="0" w:rightChars="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现：G351台小线K275+680</w:t>
            </w:r>
          </w:p>
        </w:tc>
        <w:tc>
          <w:tcPr>
            <w:tcW w:w="2116" w:type="pct"/>
            <w:vMerge w:val="continue"/>
            <w:tcBorders>
              <w:tl2br w:val="nil"/>
              <w:tr2bl w:val="nil"/>
            </w:tcBorders>
            <w:shd w:val="clear" w:color="auto" w:fill="FFFFFF" w:themeFill="background1"/>
            <w:vAlign w:val="center"/>
          </w:tcPr>
          <w:p w14:paraId="1B76B6B2">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b/>
                <w:bCs/>
                <w:color w:val="auto"/>
                <w:kern w:val="2"/>
                <w:sz w:val="21"/>
                <w:szCs w:val="21"/>
                <w:highlight w:val="none"/>
              </w:rPr>
            </w:pPr>
          </w:p>
        </w:tc>
        <w:tc>
          <w:tcPr>
            <w:tcW w:w="338" w:type="pct"/>
            <w:tcBorders>
              <w:tl2br w:val="nil"/>
              <w:tr2bl w:val="nil"/>
            </w:tcBorders>
            <w:shd w:val="clear" w:color="auto" w:fill="FFFFFF" w:themeFill="background1"/>
            <w:vAlign w:val="center"/>
          </w:tcPr>
          <w:p w14:paraId="71425385">
            <w:pPr>
              <w:keepNext w:val="0"/>
              <w:keepLines w:val="0"/>
              <w:widowControl/>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w:t>
            </w:r>
          </w:p>
        </w:tc>
        <w:tc>
          <w:tcPr>
            <w:tcW w:w="416" w:type="pct"/>
            <w:tcBorders>
              <w:tl2br w:val="nil"/>
              <w:tr2bl w:val="nil"/>
            </w:tcBorders>
            <w:shd w:val="clear" w:color="auto" w:fill="FFFFFF" w:themeFill="background1"/>
            <w:vAlign w:val="center"/>
          </w:tcPr>
          <w:p w14:paraId="494312BF">
            <w:pPr>
              <w:keepNext w:val="0"/>
              <w:keepLines w:val="0"/>
              <w:widowControl/>
              <w:suppressLineNumbers w:val="0"/>
              <w:spacing w:before="0" w:beforeAutospacing="0" w:after="0" w:afterAutospacing="0" w:line="288" w:lineRule="auto"/>
              <w:ind w:left="0" w:right="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车道/一年</w:t>
            </w:r>
          </w:p>
        </w:tc>
        <w:tc>
          <w:tcPr>
            <w:tcW w:w="683" w:type="pct"/>
            <w:vMerge w:val="continue"/>
            <w:tcBorders>
              <w:tl2br w:val="nil"/>
              <w:tr2bl w:val="nil"/>
            </w:tcBorders>
            <w:shd w:val="clear" w:color="auto" w:fill="FFFFFF" w:themeFill="background1"/>
            <w:vAlign w:val="center"/>
          </w:tcPr>
          <w:p w14:paraId="0E4805BC">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b/>
                <w:bCs/>
                <w:color w:val="auto"/>
                <w:kern w:val="2"/>
                <w:sz w:val="21"/>
                <w:szCs w:val="21"/>
                <w:highlight w:val="none"/>
              </w:rPr>
            </w:pPr>
          </w:p>
        </w:tc>
      </w:tr>
      <w:tr w14:paraId="067B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86" w:hRule="atLeast"/>
        </w:trPr>
        <w:tc>
          <w:tcPr>
            <w:tcW w:w="307" w:type="pct"/>
            <w:tcBorders>
              <w:bottom w:val="single" w:color="auto" w:sz="4" w:space="0"/>
              <w:tl2br w:val="nil"/>
              <w:tr2bl w:val="nil"/>
            </w:tcBorders>
            <w:shd w:val="clear" w:color="auto" w:fill="FFFFFF" w:themeFill="background1"/>
            <w:vAlign w:val="center"/>
          </w:tcPr>
          <w:p w14:paraId="20155F06">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8</w:t>
            </w:r>
          </w:p>
        </w:tc>
        <w:tc>
          <w:tcPr>
            <w:tcW w:w="1137" w:type="pct"/>
            <w:tcBorders>
              <w:bottom w:val="single" w:color="auto" w:sz="4" w:space="0"/>
              <w:tl2br w:val="nil"/>
              <w:tr2bl w:val="nil"/>
            </w:tcBorders>
            <w:shd w:val="clear" w:color="auto" w:fill="FFFFFF" w:themeFill="background1"/>
            <w:vAlign w:val="center"/>
          </w:tcPr>
          <w:p w14:paraId="6D4CFC99">
            <w:pPr>
              <w:keepNext w:val="0"/>
              <w:keepLines w:val="0"/>
              <w:widowControl/>
              <w:suppressLineNumbers w:val="0"/>
              <w:spacing w:before="0" w:beforeAutospacing="0" w:after="0" w:afterAutospacing="0" w:line="288" w:lineRule="auto"/>
              <w:ind w:left="0" w:leftChars="0" w:right="0" w:rightChars="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原：</w:t>
            </w:r>
            <w:r>
              <w:rPr>
                <w:rFonts w:hint="eastAsia" w:asciiTheme="minorEastAsia" w:hAnsiTheme="minorEastAsia" w:eastAsiaTheme="minorEastAsia" w:cstheme="minorEastAsia"/>
                <w:color w:val="auto"/>
                <w:kern w:val="2"/>
                <w:sz w:val="21"/>
                <w:szCs w:val="21"/>
                <w:highlight w:val="none"/>
              </w:rPr>
              <w:t>G351台小线247K+100</w:t>
            </w:r>
          </w:p>
        </w:tc>
        <w:tc>
          <w:tcPr>
            <w:tcW w:w="2116" w:type="pct"/>
            <w:vMerge w:val="continue"/>
            <w:tcBorders>
              <w:bottom w:val="single" w:color="auto" w:sz="4" w:space="0"/>
              <w:tl2br w:val="nil"/>
              <w:tr2bl w:val="nil"/>
            </w:tcBorders>
            <w:shd w:val="clear" w:color="auto" w:fill="FFFFFF" w:themeFill="background1"/>
            <w:vAlign w:val="center"/>
          </w:tcPr>
          <w:p w14:paraId="6AFCB656">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b/>
                <w:bCs/>
                <w:color w:val="auto"/>
                <w:kern w:val="2"/>
                <w:sz w:val="21"/>
                <w:szCs w:val="21"/>
                <w:highlight w:val="none"/>
              </w:rPr>
            </w:pPr>
          </w:p>
        </w:tc>
        <w:tc>
          <w:tcPr>
            <w:tcW w:w="338" w:type="pct"/>
            <w:tcBorders>
              <w:bottom w:val="single" w:color="auto" w:sz="4" w:space="0"/>
              <w:tl2br w:val="nil"/>
              <w:tr2bl w:val="nil"/>
            </w:tcBorders>
            <w:shd w:val="clear" w:color="auto" w:fill="FFFFFF" w:themeFill="background1"/>
            <w:vAlign w:val="center"/>
          </w:tcPr>
          <w:p w14:paraId="2CA3F3E0">
            <w:pPr>
              <w:keepNext w:val="0"/>
              <w:keepLines w:val="0"/>
              <w:widowControl/>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w:t>
            </w:r>
          </w:p>
        </w:tc>
        <w:tc>
          <w:tcPr>
            <w:tcW w:w="416" w:type="pct"/>
            <w:tcBorders>
              <w:bottom w:val="single" w:color="auto" w:sz="4" w:space="0"/>
              <w:tl2br w:val="nil"/>
              <w:tr2bl w:val="nil"/>
            </w:tcBorders>
            <w:shd w:val="clear" w:color="auto" w:fill="FFFFFF" w:themeFill="background1"/>
            <w:vAlign w:val="center"/>
          </w:tcPr>
          <w:p w14:paraId="50053EFC">
            <w:pPr>
              <w:keepNext w:val="0"/>
              <w:keepLines w:val="0"/>
              <w:widowControl/>
              <w:suppressLineNumbers w:val="0"/>
              <w:spacing w:before="0" w:beforeAutospacing="0" w:after="0" w:afterAutospacing="0" w:line="288" w:lineRule="auto"/>
              <w:ind w:left="0" w:right="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车道/一年</w:t>
            </w:r>
          </w:p>
        </w:tc>
        <w:tc>
          <w:tcPr>
            <w:tcW w:w="683" w:type="pct"/>
            <w:vMerge w:val="continue"/>
            <w:tcBorders>
              <w:bottom w:val="single" w:color="auto" w:sz="4" w:space="0"/>
              <w:tl2br w:val="nil"/>
              <w:tr2bl w:val="nil"/>
            </w:tcBorders>
            <w:shd w:val="clear" w:color="auto" w:fill="FFFFFF" w:themeFill="background1"/>
            <w:vAlign w:val="center"/>
          </w:tcPr>
          <w:p w14:paraId="614634A8">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b/>
                <w:bCs/>
                <w:color w:val="auto"/>
                <w:kern w:val="2"/>
                <w:sz w:val="21"/>
                <w:szCs w:val="21"/>
                <w:highlight w:val="none"/>
              </w:rPr>
            </w:pPr>
          </w:p>
        </w:tc>
      </w:tr>
      <w:tr w14:paraId="4B0E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6" w:hRule="atLeast"/>
        </w:trPr>
        <w:tc>
          <w:tcPr>
            <w:tcW w:w="1445" w:type="pct"/>
            <w:gridSpan w:val="2"/>
            <w:tcBorders>
              <w:tl2br w:val="nil"/>
              <w:tr2bl w:val="nil"/>
            </w:tcBorders>
            <w:shd w:val="clear" w:color="auto" w:fill="auto"/>
            <w:vAlign w:val="center"/>
          </w:tcPr>
          <w:p w14:paraId="1F3A2F4B">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b/>
                <w:bCs/>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1.2前置机对接服务</w:t>
            </w:r>
          </w:p>
        </w:tc>
        <w:tc>
          <w:tcPr>
            <w:tcW w:w="2116" w:type="pct"/>
            <w:tcBorders>
              <w:tl2br w:val="nil"/>
              <w:tr2bl w:val="nil"/>
            </w:tcBorders>
            <w:shd w:val="clear" w:color="auto" w:fill="auto"/>
          </w:tcPr>
          <w:p w14:paraId="5F643721">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b/>
                <w:bCs/>
                <w:color w:val="auto"/>
                <w:kern w:val="2"/>
                <w:sz w:val="21"/>
                <w:szCs w:val="21"/>
                <w:highlight w:val="none"/>
              </w:rPr>
            </w:pPr>
          </w:p>
        </w:tc>
        <w:tc>
          <w:tcPr>
            <w:tcW w:w="338" w:type="pct"/>
            <w:tcBorders>
              <w:tl2br w:val="nil"/>
              <w:tr2bl w:val="nil"/>
            </w:tcBorders>
            <w:shd w:val="clear" w:color="auto" w:fill="auto"/>
            <w:vAlign w:val="center"/>
          </w:tcPr>
          <w:p w14:paraId="3D0238EF">
            <w:pPr>
              <w:keepNext w:val="0"/>
              <w:keepLines w:val="0"/>
              <w:widowControl/>
              <w:suppressLineNumbers w:val="0"/>
              <w:spacing w:before="0" w:beforeAutospacing="0" w:after="0" w:afterAutospacing="0" w:line="288" w:lineRule="auto"/>
              <w:ind w:left="0" w:right="0"/>
              <w:jc w:val="center"/>
              <w:rPr>
                <w:rFonts w:hint="eastAsia" w:asciiTheme="minorEastAsia" w:hAnsiTheme="minorEastAsia" w:eastAsiaTheme="minorEastAsia" w:cstheme="minorEastAsia"/>
                <w:b/>
                <w:bCs/>
                <w:color w:val="auto"/>
                <w:kern w:val="2"/>
                <w:sz w:val="21"/>
                <w:szCs w:val="21"/>
                <w:highlight w:val="none"/>
              </w:rPr>
            </w:pPr>
          </w:p>
        </w:tc>
        <w:tc>
          <w:tcPr>
            <w:tcW w:w="416" w:type="pct"/>
            <w:tcBorders>
              <w:tl2br w:val="nil"/>
              <w:tr2bl w:val="nil"/>
            </w:tcBorders>
            <w:shd w:val="clear" w:color="auto" w:fill="auto"/>
            <w:vAlign w:val="center"/>
          </w:tcPr>
          <w:p w14:paraId="7B7D8A41">
            <w:pPr>
              <w:keepNext w:val="0"/>
              <w:keepLines w:val="0"/>
              <w:widowControl/>
              <w:suppressLineNumbers w:val="0"/>
              <w:spacing w:before="0" w:beforeAutospacing="0" w:after="0" w:afterAutospacing="0" w:line="288" w:lineRule="auto"/>
              <w:ind w:left="0" w:right="0"/>
              <w:jc w:val="center"/>
              <w:rPr>
                <w:rFonts w:hint="eastAsia" w:asciiTheme="minorEastAsia" w:hAnsiTheme="minorEastAsia" w:eastAsiaTheme="minorEastAsia" w:cstheme="minorEastAsia"/>
                <w:b/>
                <w:bCs/>
                <w:color w:val="auto"/>
                <w:kern w:val="2"/>
                <w:sz w:val="21"/>
                <w:szCs w:val="21"/>
                <w:highlight w:val="none"/>
              </w:rPr>
            </w:pPr>
          </w:p>
        </w:tc>
        <w:tc>
          <w:tcPr>
            <w:tcW w:w="683" w:type="pct"/>
            <w:tcBorders>
              <w:tl2br w:val="nil"/>
              <w:tr2bl w:val="nil"/>
            </w:tcBorders>
            <w:shd w:val="clear" w:color="auto" w:fill="auto"/>
            <w:vAlign w:val="center"/>
          </w:tcPr>
          <w:p w14:paraId="6A6D0A12">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p>
        </w:tc>
      </w:tr>
      <w:tr w14:paraId="0718D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94" w:hRule="atLeast"/>
        </w:trPr>
        <w:tc>
          <w:tcPr>
            <w:tcW w:w="307" w:type="pct"/>
            <w:tcBorders>
              <w:bottom w:val="single" w:color="auto" w:sz="4" w:space="0"/>
              <w:tl2br w:val="nil"/>
              <w:tr2bl w:val="nil"/>
            </w:tcBorders>
            <w:shd w:val="clear" w:color="auto" w:fill="FFFFFF" w:themeFill="background1"/>
            <w:vAlign w:val="center"/>
          </w:tcPr>
          <w:p w14:paraId="048A2CDA">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w:t>
            </w:r>
          </w:p>
        </w:tc>
        <w:tc>
          <w:tcPr>
            <w:tcW w:w="1137" w:type="pct"/>
            <w:tcBorders>
              <w:bottom w:val="single" w:color="auto" w:sz="4" w:space="0"/>
              <w:tl2br w:val="nil"/>
              <w:tr2bl w:val="nil"/>
            </w:tcBorders>
            <w:shd w:val="clear" w:color="auto" w:fill="FFFFFF" w:themeFill="background1"/>
            <w:vAlign w:val="center"/>
          </w:tcPr>
          <w:p w14:paraId="092E2929">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前置机服务费（一年）</w:t>
            </w:r>
          </w:p>
        </w:tc>
        <w:tc>
          <w:tcPr>
            <w:tcW w:w="2116" w:type="pct"/>
            <w:tcBorders>
              <w:bottom w:val="single" w:color="auto" w:sz="4" w:space="0"/>
              <w:tl2br w:val="nil"/>
              <w:tr2bl w:val="nil"/>
            </w:tcBorders>
            <w:shd w:val="clear" w:color="auto" w:fill="FFFFFF" w:themeFill="background1"/>
            <w:vAlign w:val="center"/>
          </w:tcPr>
          <w:p w14:paraId="70D4C455">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服务要求：</w:t>
            </w:r>
          </w:p>
          <w:p w14:paraId="53BF2E92">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时间特性-并发用户数：客户端下载数据功能达到100个并发用户。客户端判断识别车辆是否为超限车辆并上传到平台数据库功能达到100个并发用户。</w:t>
            </w:r>
          </w:p>
          <w:p w14:paraId="7CCC5C4F">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特性-响应时间：100用户并发，简单数据传输平均响应时间小于等于3秒。100用户并发，复杂数据传输（包括照片、视频）平均响应时间小于等于8秒。100用户并发，信息查询平均响应时间小于等于3秒。100用户并发，一般统计查询平均响应时间小于5秒。100用户并发，复杂统计查询平均响应时间小于10秒。</w:t>
            </w:r>
          </w:p>
          <w:p w14:paraId="6DCF78A3">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采集率性能大于15000条/小时。</w:t>
            </w:r>
          </w:p>
          <w:p w14:paraId="7319D5A1">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外接接口：支持数据库类型，支持SQLSERVER\Mysql\SQLite\svc\access；支持接口类型，Webservice\OPC协议\ODBC协议\HttpRestful协议。</w:t>
            </w:r>
          </w:p>
        </w:tc>
        <w:tc>
          <w:tcPr>
            <w:tcW w:w="338" w:type="pct"/>
            <w:tcBorders>
              <w:bottom w:val="single" w:color="auto" w:sz="4" w:space="0"/>
              <w:tl2br w:val="nil"/>
              <w:tr2bl w:val="nil"/>
            </w:tcBorders>
            <w:shd w:val="clear" w:color="auto" w:fill="FFFFFF" w:themeFill="background1"/>
            <w:vAlign w:val="center"/>
          </w:tcPr>
          <w:p w14:paraId="73E529DE">
            <w:pPr>
              <w:keepNext w:val="0"/>
              <w:keepLines w:val="0"/>
              <w:widowControl/>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8</w:t>
            </w:r>
          </w:p>
        </w:tc>
        <w:tc>
          <w:tcPr>
            <w:tcW w:w="416" w:type="pct"/>
            <w:tcBorders>
              <w:bottom w:val="single" w:color="auto" w:sz="4" w:space="0"/>
              <w:tl2br w:val="nil"/>
              <w:tr2bl w:val="nil"/>
            </w:tcBorders>
            <w:shd w:val="clear" w:color="auto" w:fill="FFFFFF" w:themeFill="background1"/>
            <w:vAlign w:val="center"/>
          </w:tcPr>
          <w:p w14:paraId="1F29E304">
            <w:pPr>
              <w:keepNext w:val="0"/>
              <w:keepLines w:val="0"/>
              <w:widowControl/>
              <w:suppressLineNumbers w:val="0"/>
              <w:spacing w:before="0" w:beforeAutospacing="0" w:after="0" w:afterAutospacing="0" w:line="288" w:lineRule="auto"/>
              <w:ind w:left="0" w:right="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点位</w:t>
            </w:r>
          </w:p>
        </w:tc>
        <w:tc>
          <w:tcPr>
            <w:tcW w:w="683" w:type="pct"/>
            <w:tcBorders>
              <w:bottom w:val="single" w:color="auto" w:sz="4" w:space="0"/>
              <w:tl2br w:val="nil"/>
              <w:tr2bl w:val="nil"/>
            </w:tcBorders>
            <w:shd w:val="clear" w:color="auto" w:fill="FFFFFF" w:themeFill="background1"/>
            <w:vAlign w:val="center"/>
          </w:tcPr>
          <w:p w14:paraId="699314FC">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p>
        </w:tc>
      </w:tr>
      <w:tr w14:paraId="7851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5" w:hRule="atLeast"/>
        </w:trPr>
        <w:tc>
          <w:tcPr>
            <w:tcW w:w="1445" w:type="pct"/>
            <w:gridSpan w:val="2"/>
            <w:tcBorders>
              <w:tl2br w:val="nil"/>
              <w:tr2bl w:val="nil"/>
            </w:tcBorders>
            <w:shd w:val="clear" w:color="auto" w:fill="auto"/>
            <w:vAlign w:val="center"/>
          </w:tcPr>
          <w:p w14:paraId="658EF073">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1.3平台试算服务</w:t>
            </w:r>
          </w:p>
        </w:tc>
        <w:tc>
          <w:tcPr>
            <w:tcW w:w="2116" w:type="pct"/>
            <w:tcBorders>
              <w:tl2br w:val="nil"/>
              <w:tr2bl w:val="nil"/>
            </w:tcBorders>
            <w:shd w:val="clear" w:color="auto" w:fill="auto"/>
            <w:vAlign w:val="center"/>
          </w:tcPr>
          <w:p w14:paraId="2EA4A473">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p>
        </w:tc>
        <w:tc>
          <w:tcPr>
            <w:tcW w:w="338" w:type="pct"/>
            <w:tcBorders>
              <w:tl2br w:val="nil"/>
              <w:tr2bl w:val="nil"/>
            </w:tcBorders>
            <w:shd w:val="clear" w:color="auto" w:fill="auto"/>
            <w:vAlign w:val="center"/>
          </w:tcPr>
          <w:p w14:paraId="3EC43738">
            <w:pPr>
              <w:keepNext w:val="0"/>
              <w:keepLines w:val="0"/>
              <w:widowControl/>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kern w:val="2"/>
                <w:sz w:val="21"/>
                <w:szCs w:val="21"/>
                <w:highlight w:val="none"/>
              </w:rPr>
            </w:pPr>
          </w:p>
        </w:tc>
        <w:tc>
          <w:tcPr>
            <w:tcW w:w="416" w:type="pct"/>
            <w:tcBorders>
              <w:tl2br w:val="nil"/>
              <w:tr2bl w:val="nil"/>
            </w:tcBorders>
            <w:shd w:val="clear" w:color="auto" w:fill="auto"/>
            <w:vAlign w:val="center"/>
          </w:tcPr>
          <w:p w14:paraId="4CC3194A">
            <w:pPr>
              <w:keepNext w:val="0"/>
              <w:keepLines w:val="0"/>
              <w:widowControl/>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kern w:val="2"/>
                <w:sz w:val="21"/>
                <w:szCs w:val="21"/>
                <w:highlight w:val="none"/>
              </w:rPr>
            </w:pPr>
          </w:p>
        </w:tc>
        <w:tc>
          <w:tcPr>
            <w:tcW w:w="683" w:type="pct"/>
            <w:tcBorders>
              <w:tl2br w:val="nil"/>
              <w:tr2bl w:val="nil"/>
            </w:tcBorders>
            <w:shd w:val="clear" w:color="auto" w:fill="auto"/>
            <w:vAlign w:val="center"/>
          </w:tcPr>
          <w:p w14:paraId="1EE4BE8E">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p>
        </w:tc>
      </w:tr>
      <w:tr w14:paraId="45DA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40" w:hRule="atLeast"/>
        </w:trPr>
        <w:tc>
          <w:tcPr>
            <w:tcW w:w="307" w:type="pct"/>
            <w:tcBorders>
              <w:bottom w:val="single" w:color="auto" w:sz="4" w:space="0"/>
              <w:tl2br w:val="nil"/>
              <w:tr2bl w:val="nil"/>
            </w:tcBorders>
            <w:shd w:val="clear" w:color="auto" w:fill="FFFFFF" w:themeFill="background1"/>
            <w:vAlign w:val="center"/>
          </w:tcPr>
          <w:p w14:paraId="3B211820">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w:t>
            </w:r>
          </w:p>
        </w:tc>
        <w:tc>
          <w:tcPr>
            <w:tcW w:w="1137" w:type="pct"/>
            <w:tcBorders>
              <w:bottom w:val="single" w:color="auto" w:sz="4" w:space="0"/>
              <w:tl2br w:val="nil"/>
              <w:tr2bl w:val="nil"/>
            </w:tcBorders>
            <w:shd w:val="clear" w:color="auto" w:fill="FFFFFF" w:themeFill="background1"/>
            <w:vAlign w:val="center"/>
          </w:tcPr>
          <w:p w14:paraId="7AB71A46">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平台试算服务</w:t>
            </w:r>
          </w:p>
        </w:tc>
        <w:tc>
          <w:tcPr>
            <w:tcW w:w="2116" w:type="pct"/>
            <w:tcBorders>
              <w:bottom w:val="single" w:color="auto" w:sz="4" w:space="0"/>
              <w:tl2br w:val="nil"/>
              <w:tr2bl w:val="nil"/>
            </w:tcBorders>
            <w:shd w:val="clear" w:color="auto" w:fill="FFFFFF" w:themeFill="background1"/>
            <w:vAlign w:val="center"/>
          </w:tcPr>
          <w:p w14:paraId="73A4A748">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平台试算服务</w:t>
            </w:r>
          </w:p>
        </w:tc>
        <w:tc>
          <w:tcPr>
            <w:tcW w:w="338" w:type="pct"/>
            <w:tcBorders>
              <w:bottom w:val="single" w:color="auto" w:sz="4" w:space="0"/>
              <w:tl2br w:val="nil"/>
              <w:tr2bl w:val="nil"/>
            </w:tcBorders>
            <w:shd w:val="clear" w:color="auto" w:fill="FFFFFF" w:themeFill="background1"/>
            <w:vAlign w:val="center"/>
          </w:tcPr>
          <w:p w14:paraId="453ED3B2">
            <w:pPr>
              <w:keepNext w:val="0"/>
              <w:keepLines w:val="0"/>
              <w:widowControl/>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10</w:t>
            </w:r>
          </w:p>
        </w:tc>
        <w:tc>
          <w:tcPr>
            <w:tcW w:w="416" w:type="pct"/>
            <w:tcBorders>
              <w:bottom w:val="single" w:color="auto" w:sz="4" w:space="0"/>
              <w:tl2br w:val="nil"/>
              <w:tr2bl w:val="nil"/>
            </w:tcBorders>
            <w:shd w:val="clear" w:color="auto" w:fill="FFFFFF" w:themeFill="background1"/>
            <w:vAlign w:val="center"/>
          </w:tcPr>
          <w:p w14:paraId="0120D497">
            <w:pPr>
              <w:keepNext w:val="0"/>
              <w:keepLines w:val="0"/>
              <w:widowControl/>
              <w:suppressLineNumbers w:val="0"/>
              <w:spacing w:before="0" w:beforeAutospacing="0" w:after="0" w:afterAutospacing="0" w:line="288" w:lineRule="auto"/>
              <w:ind w:left="0" w:right="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点位</w:t>
            </w:r>
          </w:p>
        </w:tc>
        <w:tc>
          <w:tcPr>
            <w:tcW w:w="683" w:type="pct"/>
            <w:tcBorders>
              <w:bottom w:val="single" w:color="auto" w:sz="4" w:space="0"/>
              <w:tl2br w:val="nil"/>
              <w:tr2bl w:val="nil"/>
            </w:tcBorders>
            <w:shd w:val="clear" w:color="auto" w:fill="FFFFFF" w:themeFill="background1"/>
            <w:vAlign w:val="center"/>
          </w:tcPr>
          <w:p w14:paraId="7AA18DA7">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p>
        </w:tc>
      </w:tr>
      <w:tr w14:paraId="6E63E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31" w:hRule="atLeast"/>
        </w:trPr>
        <w:tc>
          <w:tcPr>
            <w:tcW w:w="1445" w:type="pct"/>
            <w:gridSpan w:val="2"/>
            <w:tcBorders>
              <w:tl2br w:val="nil"/>
              <w:tr2bl w:val="nil"/>
            </w:tcBorders>
            <w:shd w:val="clear" w:color="auto" w:fill="auto"/>
            <w:vAlign w:val="center"/>
          </w:tcPr>
          <w:p w14:paraId="58EBAB46">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1.4称台及过车较准</w:t>
            </w:r>
          </w:p>
        </w:tc>
        <w:tc>
          <w:tcPr>
            <w:tcW w:w="2116" w:type="pct"/>
            <w:tcBorders>
              <w:tl2br w:val="nil"/>
              <w:tr2bl w:val="nil"/>
            </w:tcBorders>
            <w:shd w:val="clear" w:color="auto" w:fill="auto"/>
            <w:vAlign w:val="center"/>
          </w:tcPr>
          <w:p w14:paraId="113497DF">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p>
        </w:tc>
        <w:tc>
          <w:tcPr>
            <w:tcW w:w="338" w:type="pct"/>
            <w:tcBorders>
              <w:tl2br w:val="nil"/>
              <w:tr2bl w:val="nil"/>
            </w:tcBorders>
            <w:shd w:val="clear" w:color="auto" w:fill="auto"/>
            <w:vAlign w:val="center"/>
          </w:tcPr>
          <w:p w14:paraId="09053EAA">
            <w:pPr>
              <w:keepNext w:val="0"/>
              <w:keepLines w:val="0"/>
              <w:widowControl/>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kern w:val="2"/>
                <w:sz w:val="21"/>
                <w:szCs w:val="21"/>
                <w:highlight w:val="none"/>
              </w:rPr>
            </w:pPr>
          </w:p>
        </w:tc>
        <w:tc>
          <w:tcPr>
            <w:tcW w:w="416" w:type="pct"/>
            <w:tcBorders>
              <w:tl2br w:val="nil"/>
              <w:tr2bl w:val="nil"/>
            </w:tcBorders>
            <w:shd w:val="clear" w:color="auto" w:fill="auto"/>
            <w:vAlign w:val="center"/>
          </w:tcPr>
          <w:p w14:paraId="0ACC6419">
            <w:pPr>
              <w:keepNext w:val="0"/>
              <w:keepLines w:val="0"/>
              <w:widowControl/>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kern w:val="2"/>
                <w:sz w:val="21"/>
                <w:szCs w:val="21"/>
                <w:highlight w:val="none"/>
              </w:rPr>
            </w:pPr>
          </w:p>
        </w:tc>
        <w:tc>
          <w:tcPr>
            <w:tcW w:w="683" w:type="pct"/>
            <w:tcBorders>
              <w:tl2br w:val="nil"/>
              <w:tr2bl w:val="nil"/>
            </w:tcBorders>
            <w:shd w:val="clear" w:color="auto" w:fill="auto"/>
            <w:vAlign w:val="center"/>
          </w:tcPr>
          <w:p w14:paraId="02D1C584">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p>
        </w:tc>
      </w:tr>
      <w:tr w14:paraId="4752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872" w:hRule="atLeast"/>
        </w:trPr>
        <w:tc>
          <w:tcPr>
            <w:tcW w:w="307" w:type="pct"/>
            <w:tcBorders>
              <w:tl2br w:val="nil"/>
              <w:tr2bl w:val="nil"/>
            </w:tcBorders>
            <w:shd w:val="clear" w:color="auto" w:fill="FFFFFF" w:themeFill="background1"/>
            <w:vAlign w:val="center"/>
          </w:tcPr>
          <w:p w14:paraId="5873AD8E">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w:t>
            </w:r>
          </w:p>
        </w:tc>
        <w:tc>
          <w:tcPr>
            <w:tcW w:w="1137" w:type="pct"/>
            <w:tcBorders>
              <w:tl2br w:val="nil"/>
              <w:tr2bl w:val="nil"/>
            </w:tcBorders>
            <w:shd w:val="clear" w:color="auto" w:fill="FFFFFF" w:themeFill="background1"/>
            <w:vAlign w:val="center"/>
          </w:tcPr>
          <w:p w14:paraId="2B8ABFF4">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动态称重系统较准，配合检定封道安全措施</w:t>
            </w:r>
          </w:p>
        </w:tc>
        <w:tc>
          <w:tcPr>
            <w:tcW w:w="2116" w:type="pct"/>
            <w:tcBorders>
              <w:tl2br w:val="nil"/>
              <w:tr2bl w:val="nil"/>
            </w:tcBorders>
            <w:shd w:val="clear" w:color="auto" w:fill="FFFFFF" w:themeFill="background1"/>
            <w:vAlign w:val="center"/>
          </w:tcPr>
          <w:p w14:paraId="0DF2DF65">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1、动态称重系统校准：动态地磅巡检校准：每个点位每年三次实车过磅校准，安排四轴以上黄牌货车进行每个车道过磅称重，配套货车司机一名及地磅厂家技术</w:t>
            </w:r>
            <w:r>
              <w:rPr>
                <w:rFonts w:hint="eastAsia" w:asciiTheme="minorEastAsia" w:hAnsiTheme="minorEastAsia" w:eastAsiaTheme="minorEastAsia" w:cstheme="minorEastAsia"/>
                <w:color w:val="auto"/>
                <w:kern w:val="2"/>
                <w:sz w:val="21"/>
                <w:szCs w:val="21"/>
                <w:highlight w:val="none"/>
                <w:lang w:val="en-US" w:eastAsia="zh-CN"/>
              </w:rPr>
              <w:t>人员</w:t>
            </w:r>
            <w:r>
              <w:rPr>
                <w:rFonts w:hint="eastAsia" w:asciiTheme="minorEastAsia" w:hAnsiTheme="minorEastAsia" w:eastAsiaTheme="minorEastAsia" w:cstheme="minorEastAsia"/>
                <w:color w:val="auto"/>
                <w:kern w:val="2"/>
                <w:sz w:val="21"/>
                <w:szCs w:val="21"/>
                <w:highlight w:val="none"/>
              </w:rPr>
              <w:t>两名，如出现设备原因导致无法校准，需设备恢复正常状态后再次安排过磅直至校准完成，并出具校准报告；</w:t>
            </w:r>
            <w:r>
              <w:rPr>
                <w:rFonts w:hint="eastAsia" w:asciiTheme="minorEastAsia" w:hAnsiTheme="minorEastAsia" w:eastAsiaTheme="minorEastAsia" w:cstheme="minorEastAsia"/>
                <w:color w:val="auto"/>
                <w:kern w:val="2"/>
                <w:sz w:val="21"/>
                <w:szCs w:val="21"/>
                <w:highlight w:val="none"/>
              </w:rPr>
              <w:br w:type="textWrapping"/>
            </w:r>
            <w:r>
              <w:rPr>
                <w:rFonts w:hint="eastAsia" w:asciiTheme="minorEastAsia" w:hAnsiTheme="minorEastAsia" w:eastAsiaTheme="minorEastAsia" w:cstheme="minorEastAsia"/>
                <w:color w:val="auto"/>
                <w:kern w:val="2"/>
                <w:sz w:val="21"/>
                <w:szCs w:val="21"/>
                <w:highlight w:val="none"/>
              </w:rPr>
              <w:t>2、检定封道安全设施：每个点位每年三次实车过磅校准时的封道安全管理，用于动态地磅过磅时的人员及安全设施，主要包含专职安全管理员及两名封道疏导人员，预警车辆、安全锥桶及封道告示牌若干，保障过磅校准时的道路安全</w:t>
            </w:r>
            <w:r>
              <w:rPr>
                <w:rFonts w:hint="eastAsia" w:asciiTheme="minorEastAsia" w:hAnsiTheme="minorEastAsia" w:eastAsiaTheme="minorEastAsia" w:cstheme="minorEastAsia"/>
                <w:color w:val="auto"/>
                <w:kern w:val="2"/>
                <w:sz w:val="21"/>
                <w:szCs w:val="21"/>
                <w:highlight w:val="none"/>
                <w:lang w:eastAsia="zh-CN"/>
              </w:rPr>
              <w:t>。</w:t>
            </w:r>
          </w:p>
        </w:tc>
        <w:tc>
          <w:tcPr>
            <w:tcW w:w="338" w:type="pct"/>
            <w:tcBorders>
              <w:tl2br w:val="nil"/>
              <w:tr2bl w:val="nil"/>
            </w:tcBorders>
            <w:shd w:val="clear" w:color="auto" w:fill="FFFFFF" w:themeFill="background1"/>
            <w:vAlign w:val="center"/>
          </w:tcPr>
          <w:p w14:paraId="04AE2E05">
            <w:pPr>
              <w:keepNext w:val="0"/>
              <w:keepLines w:val="0"/>
              <w:widowControl/>
              <w:suppressLineNumbers w:val="0"/>
              <w:spacing w:before="0" w:beforeAutospacing="0" w:after="0" w:afterAutospacing="0" w:line="288" w:lineRule="auto"/>
              <w:ind w:left="0" w:right="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24</w:t>
            </w:r>
          </w:p>
        </w:tc>
        <w:tc>
          <w:tcPr>
            <w:tcW w:w="416" w:type="pct"/>
            <w:tcBorders>
              <w:tl2br w:val="nil"/>
              <w:tr2bl w:val="nil"/>
            </w:tcBorders>
            <w:shd w:val="clear" w:color="auto" w:fill="FFFFFF" w:themeFill="background1"/>
            <w:vAlign w:val="center"/>
          </w:tcPr>
          <w:p w14:paraId="1B55DDE0">
            <w:pPr>
              <w:keepNext w:val="0"/>
              <w:keepLines w:val="0"/>
              <w:widowControl/>
              <w:suppressLineNumbers w:val="0"/>
              <w:spacing w:before="0" w:beforeAutospacing="0" w:after="0" w:afterAutospacing="0" w:line="288" w:lineRule="auto"/>
              <w:ind w:left="0" w:right="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次</w:t>
            </w:r>
          </w:p>
        </w:tc>
        <w:tc>
          <w:tcPr>
            <w:tcW w:w="683" w:type="pct"/>
            <w:tcBorders>
              <w:tl2br w:val="nil"/>
              <w:tr2bl w:val="nil"/>
            </w:tcBorders>
            <w:shd w:val="clear" w:color="auto" w:fill="FFFFFF" w:themeFill="background1"/>
            <w:vAlign w:val="center"/>
          </w:tcPr>
          <w:p w14:paraId="588096DB">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根据省公路运输管理中心《关于开展治超非现场执法试点县建设工作的通知》执法</w:t>
            </w:r>
          </w:p>
        </w:tc>
      </w:tr>
    </w:tbl>
    <w:p w14:paraId="5A7FAC6D">
      <w:pPr>
        <w:numPr>
          <w:ilvl w:val="0"/>
          <w:numId w:val="0"/>
        </w:numPr>
        <w:spacing w:line="360" w:lineRule="auto"/>
        <w:outlineLvl w:val="9"/>
        <w:rPr>
          <w:rFonts w:hint="eastAsia" w:ascii="宋体" w:hAnsi="宋体" w:eastAsia="宋体" w:cs="宋体"/>
          <w:b/>
          <w:bCs w:val="0"/>
          <w:color w:val="auto"/>
          <w:sz w:val="21"/>
          <w:szCs w:val="21"/>
          <w:highlight w:val="none"/>
        </w:rPr>
      </w:pPr>
      <w:bookmarkStart w:id="10" w:name="_Toc17114"/>
      <w:bookmarkStart w:id="11" w:name="_Toc365897807"/>
      <w:bookmarkStart w:id="12" w:name="_Toc7295"/>
      <w:bookmarkStart w:id="13" w:name="_Toc16564"/>
      <w:bookmarkStart w:id="14" w:name="_Toc20162"/>
      <w:bookmarkStart w:id="15" w:name="_Toc379811068"/>
      <w:bookmarkStart w:id="16" w:name="_Toc238878121"/>
      <w:bookmarkStart w:id="17" w:name="_Toc390860823"/>
      <w:bookmarkStart w:id="18" w:name="_Toc365897808"/>
      <w:bookmarkStart w:id="19" w:name="_Toc21806"/>
      <w:bookmarkStart w:id="20" w:name="_Toc13367"/>
      <w:bookmarkStart w:id="21" w:name="_Toc29391"/>
      <w:bookmarkStart w:id="22" w:name="_Toc20061"/>
      <w:bookmarkStart w:id="23" w:name="_Toc393902439"/>
      <w:bookmarkStart w:id="24" w:name="_Toc28428"/>
      <w:bookmarkStart w:id="25" w:name="_Toc7434"/>
      <w:bookmarkStart w:id="26" w:name="_Toc274303249"/>
      <w:bookmarkStart w:id="27" w:name="_Toc14060"/>
      <w:bookmarkStart w:id="28" w:name="_Toc367199919"/>
      <w:bookmarkStart w:id="29" w:name="_Toc5739"/>
      <w:r>
        <w:rPr>
          <w:rFonts w:hint="eastAsia" w:ascii="宋体" w:hAnsi="宋体" w:eastAsia="宋体" w:cs="宋体"/>
          <w:b/>
          <w:bCs w:val="0"/>
          <w:color w:val="auto"/>
          <w:sz w:val="21"/>
          <w:szCs w:val="21"/>
          <w:highlight w:val="none"/>
        </w:rPr>
        <w:t>运维清单如下：</w:t>
      </w:r>
    </w:p>
    <w:p w14:paraId="7CE6CCA7">
      <w:pPr>
        <w:pStyle w:val="7"/>
        <w:keepNext/>
        <w:keepLines/>
        <w:pageBreakBefore w:val="0"/>
        <w:widowControl w:val="0"/>
        <w:kinsoku/>
        <w:wordWrap/>
        <w:overflowPunct/>
        <w:topLinePunct w:val="0"/>
        <w:autoSpaceDE w:val="0"/>
        <w:autoSpaceDN w:val="0"/>
        <w:bidi w:val="0"/>
        <w:adjustRightInd w:val="0"/>
        <w:snapToGrid/>
        <w:spacing w:before="0" w:after="0" w:line="377" w:lineRule="auto"/>
        <w:textAlignment w:val="baseline"/>
        <w:rPr>
          <w:rFonts w:hint="eastAsia" w:eastAsia="宋体"/>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lang w:eastAsia="zh-CN"/>
        </w:rPr>
        <w:t>点位名称：</w:t>
      </w:r>
      <w:r>
        <w:rPr>
          <w:rFonts w:hint="eastAsia" w:ascii="宋体" w:hAnsi="宋体" w:eastAsia="宋体" w:cs="宋体"/>
          <w:b/>
          <w:bCs w:val="0"/>
          <w:color w:val="auto"/>
          <w:sz w:val="24"/>
          <w:szCs w:val="24"/>
          <w:highlight w:val="none"/>
          <w:lang w:val="en-US" w:eastAsia="zh-CN"/>
        </w:rPr>
        <w:t>原：</w:t>
      </w:r>
      <w:r>
        <w:rPr>
          <w:rFonts w:hint="eastAsia" w:ascii="宋体" w:hAnsi="宋体" w:eastAsia="宋体" w:cs="宋体"/>
          <w:b/>
          <w:bCs w:val="0"/>
          <w:color w:val="auto"/>
          <w:sz w:val="24"/>
          <w:szCs w:val="24"/>
          <w:highlight w:val="none"/>
          <w:lang w:eastAsia="zh-CN"/>
        </w:rPr>
        <w:t>X820浦义线8K+150</w:t>
      </w:r>
      <w:r>
        <w:rPr>
          <w:rFonts w:hint="eastAsia" w:ascii="宋体" w:hAnsi="宋体" w:eastAsia="宋体" w:cs="宋体"/>
          <w:b/>
          <w:bCs w:val="0"/>
          <w:color w:val="auto"/>
          <w:sz w:val="24"/>
          <w:szCs w:val="24"/>
          <w:highlight w:val="none"/>
          <w:lang w:val="en-US" w:eastAsia="zh-CN"/>
        </w:rPr>
        <w:t>现：S219临苍线K139+215</w:t>
      </w:r>
    </w:p>
    <w:tbl>
      <w:tblPr>
        <w:tblStyle w:val="29"/>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978"/>
        <w:gridCol w:w="960"/>
        <w:gridCol w:w="1435"/>
        <w:gridCol w:w="872"/>
        <w:gridCol w:w="930"/>
        <w:gridCol w:w="4380"/>
      </w:tblGrid>
      <w:tr w14:paraId="19D89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17DEDBC0">
            <w:pPr>
              <w:jc w:val="center"/>
              <w:textAlignment w:val="center"/>
              <w:rPr>
                <w:rFonts w:ascii="宋体" w:hAnsi="宋体" w:eastAsia="宋体" w:cs="宋体"/>
                <w:color w:val="auto"/>
                <w:sz w:val="21"/>
                <w:szCs w:val="21"/>
              </w:rPr>
            </w:pPr>
            <w:bookmarkStart w:id="30" w:name="_Toc32546"/>
            <w:bookmarkStart w:id="31" w:name="_Toc2722"/>
            <w:bookmarkStart w:id="32" w:name="_Toc31203"/>
            <w:r>
              <w:rPr>
                <w:rFonts w:hint="eastAsia" w:ascii="宋体" w:hAnsi="宋体" w:eastAsia="宋体" w:cs="宋体"/>
                <w:color w:val="auto"/>
                <w:kern w:val="0"/>
                <w:sz w:val="21"/>
                <w:szCs w:val="21"/>
              </w:rPr>
              <w:t>序号</w:t>
            </w:r>
          </w:p>
        </w:tc>
        <w:tc>
          <w:tcPr>
            <w:tcW w:w="978" w:type="dxa"/>
            <w:shd w:val="clear" w:color="auto" w:fill="auto"/>
            <w:vAlign w:val="center"/>
          </w:tcPr>
          <w:p w14:paraId="63BE920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货物名称</w:t>
            </w:r>
          </w:p>
        </w:tc>
        <w:tc>
          <w:tcPr>
            <w:tcW w:w="960" w:type="dxa"/>
            <w:shd w:val="clear" w:color="auto" w:fill="auto"/>
            <w:noWrap/>
            <w:vAlign w:val="center"/>
          </w:tcPr>
          <w:p w14:paraId="268E472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品牌</w:t>
            </w:r>
          </w:p>
        </w:tc>
        <w:tc>
          <w:tcPr>
            <w:tcW w:w="1435" w:type="dxa"/>
            <w:shd w:val="clear" w:color="auto" w:fill="auto"/>
            <w:noWrap/>
            <w:vAlign w:val="center"/>
          </w:tcPr>
          <w:p w14:paraId="5E2FB3B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型号</w:t>
            </w:r>
          </w:p>
        </w:tc>
        <w:tc>
          <w:tcPr>
            <w:tcW w:w="872" w:type="dxa"/>
            <w:shd w:val="clear" w:color="auto" w:fill="auto"/>
            <w:noWrap/>
            <w:vAlign w:val="center"/>
          </w:tcPr>
          <w:p w14:paraId="04205C7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数量</w:t>
            </w:r>
          </w:p>
        </w:tc>
        <w:tc>
          <w:tcPr>
            <w:tcW w:w="930" w:type="dxa"/>
            <w:shd w:val="clear" w:color="auto" w:fill="auto"/>
            <w:noWrap/>
            <w:vAlign w:val="center"/>
          </w:tcPr>
          <w:p w14:paraId="4ADFAC7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单位</w:t>
            </w:r>
          </w:p>
        </w:tc>
        <w:tc>
          <w:tcPr>
            <w:tcW w:w="4380" w:type="dxa"/>
            <w:shd w:val="clear" w:color="auto" w:fill="auto"/>
            <w:noWrap/>
            <w:vAlign w:val="center"/>
          </w:tcPr>
          <w:p w14:paraId="6CA6E24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val="en-US" w:eastAsia="zh-CN"/>
              </w:rPr>
              <w:t>设备</w:t>
            </w:r>
            <w:r>
              <w:rPr>
                <w:rFonts w:hint="eastAsia" w:ascii="宋体" w:hAnsi="宋体" w:eastAsia="宋体" w:cs="宋体"/>
                <w:color w:val="auto"/>
                <w:kern w:val="0"/>
                <w:sz w:val="21"/>
                <w:szCs w:val="21"/>
              </w:rPr>
              <w:t>参数</w:t>
            </w:r>
          </w:p>
        </w:tc>
      </w:tr>
      <w:tr w14:paraId="0169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20" w:type="dxa"/>
            <w:gridSpan w:val="7"/>
            <w:shd w:val="clear" w:color="auto" w:fill="auto"/>
            <w:noWrap/>
            <w:vAlign w:val="center"/>
          </w:tcPr>
          <w:p w14:paraId="45D544D9">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动态称重系统</w:t>
            </w:r>
          </w:p>
        </w:tc>
      </w:tr>
      <w:tr w14:paraId="0229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43DBD89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978" w:type="dxa"/>
            <w:shd w:val="clear" w:color="auto" w:fill="auto"/>
            <w:vAlign w:val="center"/>
          </w:tcPr>
          <w:p w14:paraId="56AC88F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一体化秤台</w:t>
            </w:r>
          </w:p>
        </w:tc>
        <w:tc>
          <w:tcPr>
            <w:tcW w:w="960" w:type="dxa"/>
            <w:shd w:val="clear" w:color="auto" w:fill="auto"/>
            <w:noWrap/>
            <w:vAlign w:val="center"/>
          </w:tcPr>
          <w:p w14:paraId="0B9C10E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盘天</w:t>
            </w:r>
          </w:p>
        </w:tc>
        <w:tc>
          <w:tcPr>
            <w:tcW w:w="1435" w:type="dxa"/>
            <w:shd w:val="clear" w:color="auto" w:fill="auto"/>
            <w:noWrap/>
            <w:vAlign w:val="center"/>
          </w:tcPr>
          <w:p w14:paraId="2D86A24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ZDG-40-DZ</w:t>
            </w:r>
          </w:p>
        </w:tc>
        <w:tc>
          <w:tcPr>
            <w:tcW w:w="872" w:type="dxa"/>
            <w:shd w:val="clear" w:color="auto" w:fill="auto"/>
            <w:noWrap/>
            <w:vAlign w:val="center"/>
          </w:tcPr>
          <w:p w14:paraId="0CD6869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14.4</w:t>
            </w:r>
          </w:p>
        </w:tc>
        <w:tc>
          <w:tcPr>
            <w:tcW w:w="930" w:type="dxa"/>
            <w:shd w:val="clear" w:color="auto" w:fill="auto"/>
            <w:noWrap/>
            <w:vAlign w:val="center"/>
          </w:tcPr>
          <w:p w14:paraId="4CCB301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380" w:type="dxa"/>
            <w:shd w:val="clear" w:color="auto" w:fill="auto"/>
            <w:vAlign w:val="center"/>
          </w:tcPr>
          <w:p w14:paraId="3641EE2E">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荷载能力（单轴）：≥30t；满足对大型超限车辆静态至80km/h高速超限精检的要求。</w:t>
            </w:r>
          </w:p>
        </w:tc>
      </w:tr>
      <w:tr w14:paraId="47AB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562957F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w:t>
            </w:r>
          </w:p>
        </w:tc>
        <w:tc>
          <w:tcPr>
            <w:tcW w:w="978" w:type="dxa"/>
            <w:shd w:val="clear" w:color="auto" w:fill="auto"/>
            <w:vAlign w:val="center"/>
          </w:tcPr>
          <w:p w14:paraId="32491CD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称重传感器</w:t>
            </w:r>
          </w:p>
        </w:tc>
        <w:tc>
          <w:tcPr>
            <w:tcW w:w="960" w:type="dxa"/>
            <w:shd w:val="clear" w:color="auto" w:fill="auto"/>
            <w:noWrap/>
            <w:vAlign w:val="center"/>
          </w:tcPr>
          <w:p w14:paraId="1C38E5F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中航</w:t>
            </w:r>
          </w:p>
        </w:tc>
        <w:tc>
          <w:tcPr>
            <w:tcW w:w="1435" w:type="dxa"/>
            <w:shd w:val="clear" w:color="auto" w:fill="auto"/>
            <w:noWrap/>
            <w:vAlign w:val="center"/>
          </w:tcPr>
          <w:p w14:paraId="1DBA63E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HB-07</w:t>
            </w:r>
          </w:p>
        </w:tc>
        <w:tc>
          <w:tcPr>
            <w:tcW w:w="872" w:type="dxa"/>
            <w:shd w:val="clear" w:color="auto" w:fill="auto"/>
            <w:noWrap/>
            <w:vAlign w:val="center"/>
          </w:tcPr>
          <w:p w14:paraId="05BF07A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4</w:t>
            </w:r>
          </w:p>
        </w:tc>
        <w:tc>
          <w:tcPr>
            <w:tcW w:w="930" w:type="dxa"/>
            <w:shd w:val="clear" w:color="auto" w:fill="auto"/>
            <w:noWrap/>
            <w:vAlign w:val="center"/>
          </w:tcPr>
          <w:p w14:paraId="752BF85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380" w:type="dxa"/>
            <w:shd w:val="clear" w:color="auto" w:fill="auto"/>
            <w:vAlign w:val="center"/>
          </w:tcPr>
          <w:p w14:paraId="58B36F0B">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电阻应变式</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合金钢外壳材质；防护等级IP68。</w:t>
            </w:r>
          </w:p>
        </w:tc>
      </w:tr>
      <w:tr w14:paraId="2579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73A12DD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3</w:t>
            </w:r>
          </w:p>
        </w:tc>
        <w:tc>
          <w:tcPr>
            <w:tcW w:w="978" w:type="dxa"/>
            <w:shd w:val="clear" w:color="auto" w:fill="auto"/>
            <w:vAlign w:val="center"/>
          </w:tcPr>
          <w:p w14:paraId="19E580B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车辆检测器</w:t>
            </w:r>
          </w:p>
        </w:tc>
        <w:tc>
          <w:tcPr>
            <w:tcW w:w="960" w:type="dxa"/>
            <w:shd w:val="clear" w:color="auto" w:fill="auto"/>
            <w:noWrap/>
            <w:vAlign w:val="center"/>
          </w:tcPr>
          <w:p w14:paraId="2C148B1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435" w:type="dxa"/>
            <w:shd w:val="clear" w:color="auto" w:fill="auto"/>
            <w:noWrap/>
            <w:vAlign w:val="center"/>
          </w:tcPr>
          <w:p w14:paraId="35BA644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LVD-6008</w:t>
            </w:r>
          </w:p>
        </w:tc>
        <w:tc>
          <w:tcPr>
            <w:tcW w:w="872" w:type="dxa"/>
            <w:shd w:val="clear" w:color="auto" w:fill="auto"/>
            <w:noWrap/>
            <w:vAlign w:val="center"/>
          </w:tcPr>
          <w:p w14:paraId="09ED95E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w:t>
            </w:r>
          </w:p>
        </w:tc>
        <w:tc>
          <w:tcPr>
            <w:tcW w:w="930" w:type="dxa"/>
            <w:shd w:val="clear" w:color="auto" w:fill="auto"/>
            <w:noWrap/>
            <w:vAlign w:val="center"/>
          </w:tcPr>
          <w:p w14:paraId="682BAD6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380" w:type="dxa"/>
            <w:shd w:val="clear" w:color="auto" w:fill="auto"/>
            <w:vAlign w:val="center"/>
          </w:tcPr>
          <w:p w14:paraId="3CC487AA">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电感量自调谐范围20-1000uH,Q值≥5；灵敏度4级可调；频率范围20kHz-110kHz，4级可调；响应时间≤100ms。</w:t>
            </w:r>
          </w:p>
        </w:tc>
      </w:tr>
      <w:tr w14:paraId="5E86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06BB85B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4</w:t>
            </w:r>
          </w:p>
        </w:tc>
        <w:tc>
          <w:tcPr>
            <w:tcW w:w="978" w:type="dxa"/>
            <w:shd w:val="clear" w:color="auto" w:fill="auto"/>
            <w:vAlign w:val="center"/>
          </w:tcPr>
          <w:p w14:paraId="3F4EFC1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车检线圈</w:t>
            </w:r>
          </w:p>
        </w:tc>
        <w:tc>
          <w:tcPr>
            <w:tcW w:w="960" w:type="dxa"/>
            <w:shd w:val="clear" w:color="auto" w:fill="auto"/>
            <w:noWrap/>
            <w:vAlign w:val="center"/>
          </w:tcPr>
          <w:p w14:paraId="65DB01B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1435" w:type="dxa"/>
            <w:shd w:val="clear" w:color="auto" w:fill="auto"/>
            <w:noWrap/>
            <w:vAlign w:val="center"/>
          </w:tcPr>
          <w:p w14:paraId="20467B9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FVN 1*15地感线圈专用</w:t>
            </w:r>
          </w:p>
        </w:tc>
        <w:tc>
          <w:tcPr>
            <w:tcW w:w="872" w:type="dxa"/>
            <w:shd w:val="clear" w:color="auto" w:fill="auto"/>
            <w:noWrap/>
            <w:vAlign w:val="center"/>
          </w:tcPr>
          <w:p w14:paraId="330257A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3</w:t>
            </w:r>
          </w:p>
        </w:tc>
        <w:tc>
          <w:tcPr>
            <w:tcW w:w="930" w:type="dxa"/>
            <w:shd w:val="clear" w:color="auto" w:fill="auto"/>
            <w:noWrap/>
            <w:vAlign w:val="center"/>
          </w:tcPr>
          <w:p w14:paraId="073C2EF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车道</w:t>
            </w:r>
          </w:p>
        </w:tc>
        <w:tc>
          <w:tcPr>
            <w:tcW w:w="4380" w:type="dxa"/>
            <w:shd w:val="clear" w:color="auto" w:fill="auto"/>
            <w:vAlign w:val="center"/>
          </w:tcPr>
          <w:p w14:paraId="531C3431">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FVN49/0.26蓝/线圈线,含线圈切割费用</w:t>
            </w:r>
          </w:p>
        </w:tc>
      </w:tr>
      <w:tr w14:paraId="6759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20" w:type="dxa"/>
            <w:gridSpan w:val="7"/>
            <w:shd w:val="clear" w:color="auto" w:fill="auto"/>
            <w:noWrap/>
            <w:vAlign w:val="center"/>
          </w:tcPr>
          <w:p w14:paraId="1A2F3EF8">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现场数据处理系统</w:t>
            </w:r>
          </w:p>
        </w:tc>
      </w:tr>
      <w:tr w14:paraId="308D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66831E5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5</w:t>
            </w:r>
          </w:p>
        </w:tc>
        <w:tc>
          <w:tcPr>
            <w:tcW w:w="978" w:type="dxa"/>
            <w:shd w:val="clear" w:color="auto" w:fill="auto"/>
            <w:vAlign w:val="center"/>
          </w:tcPr>
          <w:p w14:paraId="3909E0A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现场工控机</w:t>
            </w:r>
          </w:p>
        </w:tc>
        <w:tc>
          <w:tcPr>
            <w:tcW w:w="960" w:type="dxa"/>
            <w:shd w:val="clear" w:color="auto" w:fill="auto"/>
            <w:noWrap/>
            <w:vAlign w:val="center"/>
          </w:tcPr>
          <w:p w14:paraId="10D10C5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研祥</w:t>
            </w:r>
          </w:p>
        </w:tc>
        <w:tc>
          <w:tcPr>
            <w:tcW w:w="1435" w:type="dxa"/>
            <w:shd w:val="clear" w:color="auto" w:fill="auto"/>
            <w:noWrap/>
            <w:vAlign w:val="center"/>
          </w:tcPr>
          <w:p w14:paraId="52B0B3C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IPC-810</w:t>
            </w:r>
          </w:p>
        </w:tc>
        <w:tc>
          <w:tcPr>
            <w:tcW w:w="872" w:type="dxa"/>
            <w:shd w:val="clear" w:color="auto" w:fill="auto"/>
            <w:noWrap/>
            <w:vAlign w:val="center"/>
          </w:tcPr>
          <w:p w14:paraId="63A1CAB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930" w:type="dxa"/>
            <w:shd w:val="clear" w:color="auto" w:fill="auto"/>
            <w:noWrap/>
            <w:vAlign w:val="center"/>
          </w:tcPr>
          <w:p w14:paraId="1445718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台</w:t>
            </w:r>
          </w:p>
        </w:tc>
        <w:tc>
          <w:tcPr>
            <w:tcW w:w="4380" w:type="dxa"/>
            <w:shd w:val="clear" w:color="auto" w:fill="auto"/>
            <w:vAlign w:val="center"/>
          </w:tcPr>
          <w:p w14:paraId="27E05999">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特殊定制称重仪表；全天候连续工作；断电后来电自动开机并自动加载监控系统；远程维护模块及远程管理系统。</w:t>
            </w:r>
          </w:p>
        </w:tc>
      </w:tr>
      <w:tr w14:paraId="43F0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1AE9E1B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6</w:t>
            </w:r>
          </w:p>
        </w:tc>
        <w:tc>
          <w:tcPr>
            <w:tcW w:w="978" w:type="dxa"/>
            <w:shd w:val="clear" w:color="auto" w:fill="auto"/>
            <w:vAlign w:val="center"/>
          </w:tcPr>
          <w:p w14:paraId="03E1CD8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标准称重数据处理控制单元</w:t>
            </w:r>
          </w:p>
        </w:tc>
        <w:tc>
          <w:tcPr>
            <w:tcW w:w="960" w:type="dxa"/>
            <w:shd w:val="clear" w:color="auto" w:fill="auto"/>
            <w:noWrap/>
            <w:vAlign w:val="center"/>
          </w:tcPr>
          <w:p w14:paraId="3425EC8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盘天</w:t>
            </w:r>
          </w:p>
        </w:tc>
        <w:tc>
          <w:tcPr>
            <w:tcW w:w="1435" w:type="dxa"/>
            <w:shd w:val="clear" w:color="auto" w:fill="auto"/>
            <w:noWrap/>
            <w:vAlign w:val="center"/>
          </w:tcPr>
          <w:p w14:paraId="6762FC2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ZDG-40-DZ/TD</w:t>
            </w:r>
          </w:p>
        </w:tc>
        <w:tc>
          <w:tcPr>
            <w:tcW w:w="872" w:type="dxa"/>
            <w:shd w:val="clear" w:color="auto" w:fill="auto"/>
            <w:noWrap/>
            <w:vAlign w:val="center"/>
          </w:tcPr>
          <w:p w14:paraId="45D886D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930" w:type="dxa"/>
            <w:shd w:val="clear" w:color="auto" w:fill="auto"/>
            <w:noWrap/>
            <w:vAlign w:val="center"/>
          </w:tcPr>
          <w:p w14:paraId="4988756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台</w:t>
            </w:r>
          </w:p>
        </w:tc>
        <w:tc>
          <w:tcPr>
            <w:tcW w:w="4380" w:type="dxa"/>
            <w:shd w:val="clear" w:color="auto" w:fill="auto"/>
            <w:vAlign w:val="center"/>
          </w:tcPr>
          <w:p w14:paraId="254C9913">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 xml:space="preserve">跨道精检型，AD转换，数据采集，轴数识别；8路同步采样模拟输入；24位分辨率；交流/直流可选；包含多个车道数据处理功能。 </w:t>
            </w:r>
          </w:p>
        </w:tc>
      </w:tr>
      <w:tr w14:paraId="64B9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143AE77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7</w:t>
            </w:r>
          </w:p>
        </w:tc>
        <w:tc>
          <w:tcPr>
            <w:tcW w:w="978" w:type="dxa"/>
            <w:shd w:val="clear" w:color="auto" w:fill="auto"/>
            <w:vAlign w:val="center"/>
          </w:tcPr>
          <w:p w14:paraId="416B8A0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数据上传控制机柜</w:t>
            </w:r>
          </w:p>
        </w:tc>
        <w:tc>
          <w:tcPr>
            <w:tcW w:w="960" w:type="dxa"/>
            <w:shd w:val="clear" w:color="auto" w:fill="auto"/>
            <w:noWrap/>
            <w:vAlign w:val="center"/>
          </w:tcPr>
          <w:p w14:paraId="0FDBB3D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荣恩</w:t>
            </w:r>
          </w:p>
        </w:tc>
        <w:tc>
          <w:tcPr>
            <w:tcW w:w="1435" w:type="dxa"/>
            <w:shd w:val="clear" w:color="auto" w:fill="auto"/>
            <w:noWrap/>
            <w:vAlign w:val="center"/>
          </w:tcPr>
          <w:p w14:paraId="35F36D1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RE-HWJG</w:t>
            </w:r>
          </w:p>
        </w:tc>
        <w:tc>
          <w:tcPr>
            <w:tcW w:w="872" w:type="dxa"/>
            <w:shd w:val="clear" w:color="auto" w:fill="auto"/>
            <w:noWrap/>
            <w:vAlign w:val="center"/>
          </w:tcPr>
          <w:p w14:paraId="4299528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　</w:t>
            </w:r>
          </w:p>
        </w:tc>
        <w:tc>
          <w:tcPr>
            <w:tcW w:w="930" w:type="dxa"/>
            <w:shd w:val="clear" w:color="auto" w:fill="auto"/>
            <w:noWrap/>
            <w:vAlign w:val="center"/>
          </w:tcPr>
          <w:p w14:paraId="580E567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个</w:t>
            </w:r>
          </w:p>
        </w:tc>
        <w:tc>
          <w:tcPr>
            <w:tcW w:w="4380" w:type="dxa"/>
            <w:shd w:val="clear" w:color="auto" w:fill="auto"/>
            <w:vAlign w:val="center"/>
          </w:tcPr>
          <w:p w14:paraId="19B09863">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控制柜箱体厚度为2mm的冷轧板，使用防盗锁；带制冷设备；控制柜采用挂杆或落地安装，落地时基础墩台高度不小于30cm；</w:t>
            </w:r>
          </w:p>
        </w:tc>
      </w:tr>
      <w:tr w14:paraId="4D79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21E987E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8</w:t>
            </w:r>
          </w:p>
        </w:tc>
        <w:tc>
          <w:tcPr>
            <w:tcW w:w="978" w:type="dxa"/>
            <w:shd w:val="clear" w:color="auto" w:fill="auto"/>
            <w:vAlign w:val="center"/>
          </w:tcPr>
          <w:p w14:paraId="77DCF13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智能交通终端管理设备</w:t>
            </w:r>
          </w:p>
        </w:tc>
        <w:tc>
          <w:tcPr>
            <w:tcW w:w="960" w:type="dxa"/>
            <w:shd w:val="clear" w:color="auto" w:fill="auto"/>
            <w:noWrap/>
            <w:vAlign w:val="center"/>
          </w:tcPr>
          <w:p w14:paraId="09F51B1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435" w:type="dxa"/>
            <w:shd w:val="clear" w:color="auto" w:fill="auto"/>
            <w:noWrap/>
            <w:vAlign w:val="center"/>
          </w:tcPr>
          <w:p w14:paraId="3A2D046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DS-TP50-12E</w:t>
            </w:r>
          </w:p>
        </w:tc>
        <w:tc>
          <w:tcPr>
            <w:tcW w:w="872" w:type="dxa"/>
            <w:shd w:val="clear" w:color="auto" w:fill="auto"/>
            <w:noWrap/>
            <w:vAlign w:val="center"/>
          </w:tcPr>
          <w:p w14:paraId="78ED871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930" w:type="dxa"/>
            <w:shd w:val="clear" w:color="auto" w:fill="auto"/>
            <w:noWrap/>
            <w:vAlign w:val="center"/>
          </w:tcPr>
          <w:p w14:paraId="2330F13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380" w:type="dxa"/>
            <w:shd w:val="clear" w:color="auto" w:fill="auto"/>
            <w:vAlign w:val="center"/>
          </w:tcPr>
          <w:p w14:paraId="6F78C252">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val="en-US" w:eastAsia="zh-CN"/>
              </w:rPr>
              <w:t>需</w:t>
            </w:r>
            <w:r>
              <w:rPr>
                <w:rFonts w:hint="eastAsia" w:ascii="宋体" w:hAnsi="宋体" w:eastAsia="宋体" w:cs="宋体"/>
                <w:color w:val="auto"/>
                <w:kern w:val="0"/>
                <w:sz w:val="21"/>
                <w:szCs w:val="21"/>
              </w:rPr>
              <w:t>5秒短视频功能。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可设置图片的存储空间，在规定的空间内自动循环覆盖，剩余空间为录像存储空间。</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p>
        </w:tc>
      </w:tr>
      <w:tr w14:paraId="0A80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240BD4C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9</w:t>
            </w:r>
          </w:p>
        </w:tc>
        <w:tc>
          <w:tcPr>
            <w:tcW w:w="978" w:type="dxa"/>
            <w:shd w:val="clear" w:color="auto" w:fill="auto"/>
            <w:vAlign w:val="center"/>
          </w:tcPr>
          <w:p w14:paraId="5B8C0DC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工业交换机</w:t>
            </w:r>
          </w:p>
        </w:tc>
        <w:tc>
          <w:tcPr>
            <w:tcW w:w="960" w:type="dxa"/>
            <w:shd w:val="clear" w:color="auto" w:fill="auto"/>
            <w:noWrap/>
            <w:vAlign w:val="center"/>
          </w:tcPr>
          <w:p w14:paraId="125CB07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圃惠</w:t>
            </w:r>
          </w:p>
        </w:tc>
        <w:tc>
          <w:tcPr>
            <w:tcW w:w="1435" w:type="dxa"/>
            <w:shd w:val="clear" w:color="auto" w:fill="auto"/>
            <w:noWrap/>
            <w:vAlign w:val="center"/>
          </w:tcPr>
          <w:p w14:paraId="1D418DE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PH-H1610-02400</w:t>
            </w:r>
          </w:p>
        </w:tc>
        <w:tc>
          <w:tcPr>
            <w:tcW w:w="872" w:type="dxa"/>
            <w:shd w:val="clear" w:color="auto" w:fill="auto"/>
            <w:noWrap/>
            <w:vAlign w:val="center"/>
          </w:tcPr>
          <w:p w14:paraId="17A4502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930" w:type="dxa"/>
            <w:shd w:val="clear" w:color="auto" w:fill="auto"/>
            <w:noWrap/>
            <w:vAlign w:val="center"/>
          </w:tcPr>
          <w:p w14:paraId="2B2C0E0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台</w:t>
            </w:r>
          </w:p>
        </w:tc>
        <w:tc>
          <w:tcPr>
            <w:tcW w:w="4380" w:type="dxa"/>
            <w:shd w:val="clear" w:color="auto" w:fill="auto"/>
            <w:vAlign w:val="center"/>
          </w:tcPr>
          <w:p w14:paraId="626187D8">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防雷：共模防护7KV，防雷等级4级；工作湿度：5%～95%，无冷凝；背板带宽：48Gbps；包转发率：35.7Mbps；24口，传输方式：存储转发方式；10/100/1000M自适应以太网端口。</w:t>
            </w:r>
          </w:p>
        </w:tc>
      </w:tr>
      <w:tr w14:paraId="43A3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000000" w:fill="auto"/>
            <w:noWrap/>
            <w:vAlign w:val="center"/>
          </w:tcPr>
          <w:p w14:paraId="0CC68004">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978" w:type="dxa"/>
            <w:shd w:val="clear" w:color="000000" w:fill="auto"/>
            <w:vAlign w:val="center"/>
          </w:tcPr>
          <w:p w14:paraId="47840FF3">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车辆动态称重检测系统</w:t>
            </w:r>
          </w:p>
        </w:tc>
        <w:tc>
          <w:tcPr>
            <w:tcW w:w="960" w:type="dxa"/>
            <w:shd w:val="clear" w:color="000000" w:fill="auto"/>
            <w:noWrap/>
            <w:vAlign w:val="center"/>
          </w:tcPr>
          <w:p w14:paraId="2F9B30A9">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盘云</w:t>
            </w:r>
          </w:p>
        </w:tc>
        <w:tc>
          <w:tcPr>
            <w:tcW w:w="1435" w:type="dxa"/>
            <w:shd w:val="clear" w:color="000000" w:fill="auto"/>
            <w:noWrap/>
            <w:vAlign w:val="center"/>
          </w:tcPr>
          <w:p w14:paraId="0B8890DE">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定制</w:t>
            </w:r>
          </w:p>
        </w:tc>
        <w:tc>
          <w:tcPr>
            <w:tcW w:w="872" w:type="dxa"/>
            <w:shd w:val="clear" w:color="000000" w:fill="auto"/>
            <w:noWrap/>
            <w:vAlign w:val="center"/>
          </w:tcPr>
          <w:p w14:paraId="08A53EAC">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930" w:type="dxa"/>
            <w:shd w:val="clear" w:color="000000" w:fill="auto"/>
            <w:noWrap/>
            <w:vAlign w:val="center"/>
          </w:tcPr>
          <w:p w14:paraId="6DE750D6">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4380" w:type="dxa"/>
            <w:shd w:val="clear" w:color="000000" w:fill="auto"/>
            <w:vAlign w:val="center"/>
          </w:tcPr>
          <w:p w14:paraId="5F093150">
            <w:pPr>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车辆通过自动分车，准确判断车辆轴数；全速度段称重满足动态衡器5级标准；0-1km/h超低速修正模块，确保超低速能够准确称重；自动匹配车辆重量数据和车牌、抓拍数据，形成完整检测数据；自动上传检测数据。</w:t>
            </w:r>
          </w:p>
        </w:tc>
      </w:tr>
      <w:tr w14:paraId="6725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000000" w:fill="auto"/>
            <w:noWrap/>
            <w:vAlign w:val="center"/>
          </w:tcPr>
          <w:p w14:paraId="1FF55E2C">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w:t>
            </w:r>
          </w:p>
        </w:tc>
        <w:tc>
          <w:tcPr>
            <w:tcW w:w="978" w:type="dxa"/>
            <w:shd w:val="clear" w:color="000000" w:fill="auto"/>
            <w:vAlign w:val="center"/>
          </w:tcPr>
          <w:p w14:paraId="2D195F37">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车辆特殊过衡行驶行为智能识别系统</w:t>
            </w:r>
          </w:p>
        </w:tc>
        <w:tc>
          <w:tcPr>
            <w:tcW w:w="960" w:type="dxa"/>
            <w:shd w:val="clear" w:color="000000" w:fill="auto"/>
            <w:noWrap/>
            <w:vAlign w:val="center"/>
          </w:tcPr>
          <w:p w14:paraId="107F6C46">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盘云</w:t>
            </w:r>
          </w:p>
        </w:tc>
        <w:tc>
          <w:tcPr>
            <w:tcW w:w="1435" w:type="dxa"/>
            <w:shd w:val="clear" w:color="000000" w:fill="auto"/>
            <w:noWrap/>
            <w:vAlign w:val="center"/>
          </w:tcPr>
          <w:p w14:paraId="1F53492C">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定制</w:t>
            </w:r>
          </w:p>
        </w:tc>
        <w:tc>
          <w:tcPr>
            <w:tcW w:w="872" w:type="dxa"/>
            <w:shd w:val="clear" w:color="000000" w:fill="auto"/>
            <w:noWrap/>
            <w:vAlign w:val="center"/>
          </w:tcPr>
          <w:p w14:paraId="3C4BF52E">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930" w:type="dxa"/>
            <w:shd w:val="clear" w:color="000000" w:fill="auto"/>
            <w:noWrap/>
            <w:vAlign w:val="center"/>
          </w:tcPr>
          <w:p w14:paraId="4E454F96">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4380" w:type="dxa"/>
            <w:shd w:val="clear" w:color="000000" w:fill="auto"/>
            <w:vAlign w:val="center"/>
          </w:tcPr>
          <w:p w14:paraId="68633FEE">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软件用来判别公路车辆特殊过衡状态行驶行为；自动判断正向、逆向行驶行为，准确定义行驶方向和车道；自动判断单车跨道模块，压缝行驶行为，准确合并车辆数据；加强反作弊能力，自动判断超低速、走走停停行为，保证车辆判断不断轴。</w:t>
            </w:r>
          </w:p>
        </w:tc>
      </w:tr>
      <w:tr w14:paraId="241C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000000" w:fill="auto"/>
            <w:noWrap/>
            <w:vAlign w:val="center"/>
          </w:tcPr>
          <w:p w14:paraId="2D073A03">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w:t>
            </w:r>
          </w:p>
        </w:tc>
        <w:tc>
          <w:tcPr>
            <w:tcW w:w="978" w:type="dxa"/>
            <w:shd w:val="clear" w:color="000000" w:fill="auto"/>
            <w:vAlign w:val="center"/>
          </w:tcPr>
          <w:p w14:paraId="0218CA3E">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超限信息传输与服务系统</w:t>
            </w:r>
          </w:p>
        </w:tc>
        <w:tc>
          <w:tcPr>
            <w:tcW w:w="960" w:type="dxa"/>
            <w:shd w:val="clear" w:color="000000" w:fill="auto"/>
            <w:noWrap/>
            <w:vAlign w:val="center"/>
          </w:tcPr>
          <w:p w14:paraId="11447492">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盘云</w:t>
            </w:r>
          </w:p>
        </w:tc>
        <w:tc>
          <w:tcPr>
            <w:tcW w:w="1435" w:type="dxa"/>
            <w:shd w:val="clear" w:color="000000" w:fill="auto"/>
            <w:noWrap/>
            <w:vAlign w:val="center"/>
          </w:tcPr>
          <w:p w14:paraId="7AF61544">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定制</w:t>
            </w:r>
          </w:p>
        </w:tc>
        <w:tc>
          <w:tcPr>
            <w:tcW w:w="872" w:type="dxa"/>
            <w:shd w:val="clear" w:color="000000" w:fill="auto"/>
            <w:noWrap/>
            <w:vAlign w:val="center"/>
          </w:tcPr>
          <w:p w14:paraId="0A5026A3">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930" w:type="dxa"/>
            <w:shd w:val="clear" w:color="000000" w:fill="auto"/>
            <w:noWrap/>
            <w:vAlign w:val="center"/>
          </w:tcPr>
          <w:p w14:paraId="117942D3">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4380" w:type="dxa"/>
            <w:shd w:val="clear" w:color="000000" w:fill="auto"/>
            <w:vAlign w:val="center"/>
          </w:tcPr>
          <w:p w14:paraId="7473803B">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提供上层平台对接标准接口，提供情报板标准控制卡对接接口，与抓拍监控等外围系统数据对接；工控机现场数据对平台的数据传输服务。</w:t>
            </w:r>
          </w:p>
        </w:tc>
      </w:tr>
      <w:tr w14:paraId="2671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20" w:type="dxa"/>
            <w:gridSpan w:val="7"/>
            <w:shd w:val="clear" w:color="000000" w:fill="auto"/>
            <w:noWrap/>
            <w:vAlign w:val="center"/>
          </w:tcPr>
          <w:p w14:paraId="14B00B30">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车牌识别系统</w:t>
            </w:r>
          </w:p>
        </w:tc>
      </w:tr>
      <w:tr w14:paraId="091C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4CE0A2D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13</w:t>
            </w:r>
          </w:p>
        </w:tc>
        <w:tc>
          <w:tcPr>
            <w:tcW w:w="978" w:type="dxa"/>
            <w:shd w:val="clear" w:color="auto" w:fill="auto"/>
            <w:vAlign w:val="center"/>
          </w:tcPr>
          <w:p w14:paraId="20335B6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车辆前后抓拍高清摄像机(实现单向配置 )</w:t>
            </w:r>
          </w:p>
        </w:tc>
        <w:tc>
          <w:tcPr>
            <w:tcW w:w="960" w:type="dxa"/>
            <w:shd w:val="clear" w:color="auto" w:fill="auto"/>
            <w:noWrap/>
            <w:vAlign w:val="center"/>
          </w:tcPr>
          <w:p w14:paraId="7AA4D4D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435" w:type="dxa"/>
            <w:shd w:val="clear" w:color="auto" w:fill="auto"/>
            <w:noWrap/>
            <w:vAlign w:val="center"/>
          </w:tcPr>
          <w:p w14:paraId="4C9DD6C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iDS-TCV900-PK</w:t>
            </w:r>
          </w:p>
        </w:tc>
        <w:tc>
          <w:tcPr>
            <w:tcW w:w="872" w:type="dxa"/>
            <w:shd w:val="clear" w:color="auto" w:fill="auto"/>
            <w:noWrap/>
            <w:vAlign w:val="center"/>
          </w:tcPr>
          <w:p w14:paraId="1CD5B9A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w:t>
            </w:r>
          </w:p>
        </w:tc>
        <w:tc>
          <w:tcPr>
            <w:tcW w:w="930" w:type="dxa"/>
            <w:shd w:val="clear" w:color="auto" w:fill="auto"/>
            <w:noWrap/>
            <w:vAlign w:val="center"/>
          </w:tcPr>
          <w:p w14:paraId="0D2D082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380" w:type="dxa"/>
            <w:shd w:val="clear" w:color="auto" w:fill="auto"/>
            <w:vAlign w:val="center"/>
          </w:tcPr>
          <w:p w14:paraId="4CBDBF7D">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≥900万像素；至少支持H.265/H.264/MJPEG；</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支持识别多种车辆子品牌，在天气晴朗无雾，号牌无遮挡、无污损，白天环境光照度不低于200lx，晚上辅助光照度不高于30lx的条件下测试，白天、晚上识别准确率均≥96%。</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支持对设定区域内的机动车、非机动车是否悬挂车牌的情况进行检测并显示；</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支持多拍过滤功能，可设置多拍过滤时间段为0-250000ms，在此时间段内多次经过的车辆只抓拍一次。</w:t>
            </w:r>
          </w:p>
        </w:tc>
      </w:tr>
      <w:tr w14:paraId="4057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3009907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14</w:t>
            </w:r>
          </w:p>
        </w:tc>
        <w:tc>
          <w:tcPr>
            <w:tcW w:w="978" w:type="dxa"/>
            <w:shd w:val="clear" w:color="auto" w:fill="auto"/>
            <w:vAlign w:val="center"/>
          </w:tcPr>
          <w:p w14:paraId="62C523F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爆闪灯</w:t>
            </w:r>
          </w:p>
        </w:tc>
        <w:tc>
          <w:tcPr>
            <w:tcW w:w="960" w:type="dxa"/>
            <w:shd w:val="clear" w:color="auto" w:fill="auto"/>
            <w:noWrap/>
            <w:vAlign w:val="center"/>
          </w:tcPr>
          <w:p w14:paraId="5038D3F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435" w:type="dxa"/>
            <w:shd w:val="clear" w:color="auto" w:fill="auto"/>
            <w:noWrap/>
            <w:vAlign w:val="center"/>
          </w:tcPr>
          <w:p w14:paraId="6D07DC9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CXBG-2-MC-SL-1211-1</w:t>
            </w:r>
          </w:p>
        </w:tc>
        <w:tc>
          <w:tcPr>
            <w:tcW w:w="872" w:type="dxa"/>
            <w:shd w:val="clear" w:color="auto" w:fill="auto"/>
            <w:noWrap/>
            <w:vAlign w:val="center"/>
          </w:tcPr>
          <w:p w14:paraId="2BEE253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3</w:t>
            </w:r>
          </w:p>
        </w:tc>
        <w:tc>
          <w:tcPr>
            <w:tcW w:w="930" w:type="dxa"/>
            <w:shd w:val="clear" w:color="auto" w:fill="auto"/>
            <w:noWrap/>
            <w:vAlign w:val="center"/>
          </w:tcPr>
          <w:p w14:paraId="12F2824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台</w:t>
            </w:r>
          </w:p>
        </w:tc>
        <w:tc>
          <w:tcPr>
            <w:tcW w:w="4380" w:type="dxa"/>
            <w:shd w:val="clear" w:color="auto" w:fill="auto"/>
            <w:vAlign w:val="center"/>
          </w:tcPr>
          <w:p w14:paraId="4818EBF7">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电源电压220VAC±15%；工作温度-20℃~+60℃；工作湿度 5%-90%@40℃，无凝结；覆盖单车道，有效拍摄距离(米) 18-25；最高闪光频率 6次/秒，最大闪光能量75J，回电时间不大于67ms；</w:t>
            </w:r>
          </w:p>
        </w:tc>
      </w:tr>
      <w:tr w14:paraId="5CE4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679393C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15</w:t>
            </w:r>
          </w:p>
        </w:tc>
        <w:tc>
          <w:tcPr>
            <w:tcW w:w="978" w:type="dxa"/>
            <w:shd w:val="clear" w:color="auto" w:fill="auto"/>
            <w:vAlign w:val="center"/>
          </w:tcPr>
          <w:p w14:paraId="67153F6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补光灯</w:t>
            </w:r>
          </w:p>
        </w:tc>
        <w:tc>
          <w:tcPr>
            <w:tcW w:w="960" w:type="dxa"/>
            <w:shd w:val="clear" w:color="auto" w:fill="auto"/>
            <w:noWrap/>
            <w:vAlign w:val="center"/>
          </w:tcPr>
          <w:p w14:paraId="3EFB15D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435" w:type="dxa"/>
            <w:shd w:val="clear" w:color="auto" w:fill="auto"/>
            <w:noWrap/>
            <w:vAlign w:val="center"/>
          </w:tcPr>
          <w:p w14:paraId="1EEB4D2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CXBG-1-PS-DS-TL2000A-L1-N</w:t>
            </w:r>
          </w:p>
        </w:tc>
        <w:tc>
          <w:tcPr>
            <w:tcW w:w="872" w:type="dxa"/>
            <w:shd w:val="clear" w:color="auto" w:fill="auto"/>
            <w:noWrap/>
            <w:vAlign w:val="center"/>
          </w:tcPr>
          <w:p w14:paraId="6CB54CE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8</w:t>
            </w:r>
          </w:p>
        </w:tc>
        <w:tc>
          <w:tcPr>
            <w:tcW w:w="930" w:type="dxa"/>
            <w:shd w:val="clear" w:color="auto" w:fill="auto"/>
            <w:noWrap/>
            <w:vAlign w:val="center"/>
          </w:tcPr>
          <w:p w14:paraId="1ED3951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台</w:t>
            </w:r>
          </w:p>
        </w:tc>
        <w:tc>
          <w:tcPr>
            <w:tcW w:w="4380" w:type="dxa"/>
            <w:shd w:val="clear" w:color="auto" w:fill="auto"/>
            <w:vAlign w:val="center"/>
          </w:tcPr>
          <w:p w14:paraId="6FDF2627">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暖光LED频闪灯，单车道环境补光灯；最佳补光距离16m～25m；支持5V电平量触发，最大功率30W。</w:t>
            </w:r>
          </w:p>
        </w:tc>
      </w:tr>
      <w:tr w14:paraId="1BC3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0F30B21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16</w:t>
            </w:r>
          </w:p>
        </w:tc>
        <w:tc>
          <w:tcPr>
            <w:tcW w:w="978" w:type="dxa"/>
            <w:shd w:val="clear" w:color="auto" w:fill="auto"/>
            <w:vAlign w:val="center"/>
          </w:tcPr>
          <w:p w14:paraId="09BDD7B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侧后抓拍摄像机</w:t>
            </w:r>
          </w:p>
        </w:tc>
        <w:tc>
          <w:tcPr>
            <w:tcW w:w="960" w:type="dxa"/>
            <w:shd w:val="clear" w:color="auto" w:fill="auto"/>
            <w:noWrap/>
            <w:vAlign w:val="center"/>
          </w:tcPr>
          <w:p w14:paraId="36AAE74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435" w:type="dxa"/>
            <w:shd w:val="clear" w:color="auto" w:fill="auto"/>
            <w:noWrap/>
            <w:vAlign w:val="center"/>
          </w:tcPr>
          <w:p w14:paraId="3894295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iDS-TCE500-PK</w:t>
            </w:r>
          </w:p>
        </w:tc>
        <w:tc>
          <w:tcPr>
            <w:tcW w:w="872" w:type="dxa"/>
            <w:shd w:val="clear" w:color="auto" w:fill="auto"/>
            <w:noWrap/>
            <w:vAlign w:val="center"/>
          </w:tcPr>
          <w:p w14:paraId="6004365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w:t>
            </w:r>
          </w:p>
        </w:tc>
        <w:tc>
          <w:tcPr>
            <w:tcW w:w="930" w:type="dxa"/>
            <w:shd w:val="clear" w:color="auto" w:fill="auto"/>
            <w:noWrap/>
            <w:vAlign w:val="center"/>
          </w:tcPr>
          <w:p w14:paraId="20A770C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380" w:type="dxa"/>
            <w:shd w:val="clear" w:color="auto" w:fill="auto"/>
            <w:vAlign w:val="center"/>
          </w:tcPr>
          <w:p w14:paraId="4D667DBB">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≥500万像素；至少支持H.265/H.264/MJPEG；</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支持识别多种车辆子品牌识别功能；白天识别准确率≥98%；晚上识别准确率≥96%；</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支持对视频画面中高度超过设定阈值的车辆进行检测并抓拍图片；</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支持多拍过滤功能，可设置多拍过滤时间段为0-250000ms，在此时间段内多次经过的车辆只抓拍一次；</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可通过IE浏览器设置人脸抓拍模式为最佳抓拍模式/快速抓拍模式；在最佳抓拍模式时，可设置抓拍次数、抓拍帧数间隔及抓拍阈值，次数可设置为1次~8次，间隔帧数可设置为1帧~200帧，抓拍阈值可设置为0~18</w:t>
            </w:r>
          </w:p>
        </w:tc>
      </w:tr>
      <w:tr w14:paraId="2B63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24F9A7F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17</w:t>
            </w:r>
          </w:p>
        </w:tc>
        <w:tc>
          <w:tcPr>
            <w:tcW w:w="978" w:type="dxa"/>
            <w:shd w:val="clear" w:color="auto" w:fill="auto"/>
            <w:vAlign w:val="center"/>
          </w:tcPr>
          <w:p w14:paraId="3BE1008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道路监控球机</w:t>
            </w:r>
          </w:p>
        </w:tc>
        <w:tc>
          <w:tcPr>
            <w:tcW w:w="960" w:type="dxa"/>
            <w:shd w:val="clear" w:color="auto" w:fill="auto"/>
            <w:noWrap/>
            <w:vAlign w:val="center"/>
          </w:tcPr>
          <w:p w14:paraId="4439ADE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435" w:type="dxa"/>
            <w:shd w:val="clear" w:color="auto" w:fill="auto"/>
            <w:noWrap/>
            <w:vAlign w:val="center"/>
          </w:tcPr>
          <w:p w14:paraId="0000A64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DS-2DF8225MH-PK</w:t>
            </w:r>
          </w:p>
        </w:tc>
        <w:tc>
          <w:tcPr>
            <w:tcW w:w="872" w:type="dxa"/>
            <w:shd w:val="clear" w:color="auto" w:fill="auto"/>
            <w:noWrap/>
            <w:vAlign w:val="center"/>
          </w:tcPr>
          <w:p w14:paraId="4439EF1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　</w:t>
            </w:r>
          </w:p>
        </w:tc>
        <w:tc>
          <w:tcPr>
            <w:tcW w:w="930" w:type="dxa"/>
            <w:shd w:val="clear" w:color="auto" w:fill="auto"/>
            <w:noWrap/>
            <w:vAlign w:val="center"/>
          </w:tcPr>
          <w:p w14:paraId="1FA99FF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个</w:t>
            </w:r>
          </w:p>
        </w:tc>
        <w:tc>
          <w:tcPr>
            <w:tcW w:w="4380" w:type="dxa"/>
            <w:shd w:val="clear" w:color="auto" w:fill="auto"/>
            <w:vAlign w:val="center"/>
          </w:tcPr>
          <w:p w14:paraId="35D90994">
            <w:pPr>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设备具备偏移自动校正功能。设备运动结束静止时，其水平和垂直角度方向受到外力作用发生偏移时，设备可进行偏移自动校正，校正后与原位置偏差角度应不大于0.2°；</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可识别多种车辆品牌，车辆品牌识别白天准确率大于98%，晚上准确率大于97%。</w:t>
            </w:r>
          </w:p>
          <w:p w14:paraId="7331A3F3">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可识别多种车型，包括轿车、小型轿车、微型轿车、客车、中型客车、面包车、大货车、小货车、SUV-MPV、皮卡。车型识别白天准确率大于98%，晚上准确率大于98%。</w:t>
            </w:r>
          </w:p>
        </w:tc>
      </w:tr>
      <w:tr w14:paraId="07FE0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20" w:type="dxa"/>
            <w:gridSpan w:val="7"/>
            <w:shd w:val="clear" w:color="auto" w:fill="auto"/>
            <w:noWrap/>
            <w:vAlign w:val="center"/>
          </w:tcPr>
          <w:p w14:paraId="497A15F1">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超限信息发布系统</w:t>
            </w:r>
          </w:p>
        </w:tc>
      </w:tr>
      <w:tr w14:paraId="6CEB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41CB91F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18</w:t>
            </w:r>
          </w:p>
        </w:tc>
        <w:tc>
          <w:tcPr>
            <w:tcW w:w="978" w:type="dxa"/>
            <w:shd w:val="clear" w:color="auto" w:fill="auto"/>
            <w:vAlign w:val="center"/>
          </w:tcPr>
          <w:p w14:paraId="494BB5C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LED显示屏屏体(F型)</w:t>
            </w:r>
          </w:p>
        </w:tc>
        <w:tc>
          <w:tcPr>
            <w:tcW w:w="960" w:type="dxa"/>
            <w:shd w:val="clear" w:color="auto" w:fill="auto"/>
            <w:noWrap/>
            <w:vAlign w:val="center"/>
          </w:tcPr>
          <w:p w14:paraId="5F049F0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依鲁光电</w:t>
            </w:r>
          </w:p>
        </w:tc>
        <w:tc>
          <w:tcPr>
            <w:tcW w:w="1435" w:type="dxa"/>
            <w:shd w:val="clear" w:color="auto" w:fill="auto"/>
            <w:noWrap/>
            <w:vAlign w:val="center"/>
          </w:tcPr>
          <w:p w14:paraId="59A0729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EL-PH31.25-3R2G</w:t>
            </w:r>
          </w:p>
        </w:tc>
        <w:tc>
          <w:tcPr>
            <w:tcW w:w="872" w:type="dxa"/>
            <w:shd w:val="clear" w:color="auto" w:fill="auto"/>
            <w:noWrap/>
            <w:vAlign w:val="center"/>
          </w:tcPr>
          <w:p w14:paraId="5D5336D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7</w:t>
            </w:r>
          </w:p>
        </w:tc>
        <w:tc>
          <w:tcPr>
            <w:tcW w:w="930" w:type="dxa"/>
            <w:shd w:val="clear" w:color="auto" w:fill="auto"/>
            <w:noWrap/>
            <w:vAlign w:val="center"/>
          </w:tcPr>
          <w:p w14:paraId="294094D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平方</w:t>
            </w:r>
          </w:p>
        </w:tc>
        <w:tc>
          <w:tcPr>
            <w:tcW w:w="4380" w:type="dxa"/>
            <w:shd w:val="clear" w:color="auto" w:fill="auto"/>
            <w:vAlign w:val="center"/>
          </w:tcPr>
          <w:p w14:paraId="02401D7D">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双基色 LED 屏（P31.25)；封装要求：防水、防光、防腐，通风，散热；像素点距：31.25mm；配置：3红2绿；光源：红管晶元，绿管晶元；温度：-20℃～+60℃；湿度：10%～95%RH；抗风速：40m/s；电源：220V±10%，50Hz；</w:t>
            </w:r>
          </w:p>
        </w:tc>
      </w:tr>
      <w:tr w14:paraId="20DF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02AFBC5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19</w:t>
            </w:r>
          </w:p>
        </w:tc>
        <w:tc>
          <w:tcPr>
            <w:tcW w:w="978" w:type="dxa"/>
            <w:shd w:val="clear" w:color="auto" w:fill="auto"/>
            <w:vAlign w:val="center"/>
          </w:tcPr>
          <w:p w14:paraId="702180F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户外LED屏配电箱</w:t>
            </w:r>
          </w:p>
        </w:tc>
        <w:tc>
          <w:tcPr>
            <w:tcW w:w="960" w:type="dxa"/>
            <w:shd w:val="clear" w:color="auto" w:fill="auto"/>
            <w:noWrap/>
            <w:vAlign w:val="center"/>
          </w:tcPr>
          <w:p w14:paraId="3C31A1A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1435" w:type="dxa"/>
            <w:shd w:val="clear" w:color="auto" w:fill="auto"/>
            <w:noWrap/>
            <w:vAlign w:val="center"/>
          </w:tcPr>
          <w:p w14:paraId="4DAF153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872" w:type="dxa"/>
            <w:shd w:val="clear" w:color="auto" w:fill="auto"/>
            <w:noWrap/>
            <w:vAlign w:val="center"/>
          </w:tcPr>
          <w:p w14:paraId="228C099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930" w:type="dxa"/>
            <w:shd w:val="clear" w:color="auto" w:fill="auto"/>
            <w:noWrap/>
            <w:vAlign w:val="center"/>
          </w:tcPr>
          <w:p w14:paraId="15E07CD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380" w:type="dxa"/>
            <w:shd w:val="clear" w:color="auto" w:fill="auto"/>
            <w:vAlign w:val="center"/>
          </w:tcPr>
          <w:p w14:paraId="705E1FB9">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含63A空开。</w:t>
            </w:r>
          </w:p>
        </w:tc>
      </w:tr>
      <w:tr w14:paraId="01AC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20" w:type="dxa"/>
            <w:gridSpan w:val="7"/>
            <w:shd w:val="clear" w:color="auto" w:fill="auto"/>
            <w:noWrap/>
            <w:vAlign w:val="center"/>
          </w:tcPr>
          <w:p w14:paraId="4FBAEE13">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传输及供电系统</w:t>
            </w:r>
          </w:p>
        </w:tc>
      </w:tr>
      <w:tr w14:paraId="40CA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41A2A37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20</w:t>
            </w:r>
          </w:p>
        </w:tc>
        <w:tc>
          <w:tcPr>
            <w:tcW w:w="978" w:type="dxa"/>
            <w:shd w:val="clear" w:color="auto" w:fill="auto"/>
            <w:vAlign w:val="center"/>
          </w:tcPr>
          <w:p w14:paraId="3A53270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摄像机电源线</w:t>
            </w:r>
          </w:p>
        </w:tc>
        <w:tc>
          <w:tcPr>
            <w:tcW w:w="960" w:type="dxa"/>
            <w:shd w:val="clear" w:color="auto" w:fill="auto"/>
            <w:noWrap/>
            <w:vAlign w:val="center"/>
          </w:tcPr>
          <w:p w14:paraId="0868FA0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1435" w:type="dxa"/>
            <w:shd w:val="clear" w:color="auto" w:fill="auto"/>
            <w:noWrap/>
            <w:vAlign w:val="center"/>
          </w:tcPr>
          <w:p w14:paraId="3064E65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优质</w:t>
            </w:r>
          </w:p>
        </w:tc>
        <w:tc>
          <w:tcPr>
            <w:tcW w:w="872" w:type="dxa"/>
            <w:shd w:val="clear" w:color="auto" w:fill="auto"/>
            <w:noWrap/>
            <w:vAlign w:val="center"/>
          </w:tcPr>
          <w:p w14:paraId="6A7A5FE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200</w:t>
            </w:r>
          </w:p>
        </w:tc>
        <w:tc>
          <w:tcPr>
            <w:tcW w:w="930" w:type="dxa"/>
            <w:shd w:val="clear" w:color="auto" w:fill="auto"/>
            <w:noWrap/>
            <w:vAlign w:val="center"/>
          </w:tcPr>
          <w:p w14:paraId="1C660EA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380" w:type="dxa"/>
            <w:shd w:val="clear" w:color="auto" w:fill="auto"/>
            <w:vAlign w:val="center"/>
          </w:tcPr>
          <w:p w14:paraId="2F94F17D">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工控机柜至摄像机，电源线。</w:t>
            </w:r>
          </w:p>
        </w:tc>
      </w:tr>
      <w:tr w14:paraId="6745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310A34D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21</w:t>
            </w:r>
          </w:p>
        </w:tc>
        <w:tc>
          <w:tcPr>
            <w:tcW w:w="978" w:type="dxa"/>
            <w:shd w:val="clear" w:color="auto" w:fill="auto"/>
            <w:vAlign w:val="center"/>
          </w:tcPr>
          <w:p w14:paraId="1DFAF2A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摄像机控制线</w:t>
            </w:r>
          </w:p>
        </w:tc>
        <w:tc>
          <w:tcPr>
            <w:tcW w:w="960" w:type="dxa"/>
            <w:shd w:val="clear" w:color="auto" w:fill="auto"/>
            <w:noWrap/>
            <w:vAlign w:val="center"/>
          </w:tcPr>
          <w:p w14:paraId="6936166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1435" w:type="dxa"/>
            <w:shd w:val="clear" w:color="auto" w:fill="auto"/>
            <w:noWrap/>
            <w:vAlign w:val="center"/>
          </w:tcPr>
          <w:p w14:paraId="6BE5B42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优质</w:t>
            </w:r>
          </w:p>
        </w:tc>
        <w:tc>
          <w:tcPr>
            <w:tcW w:w="872" w:type="dxa"/>
            <w:shd w:val="clear" w:color="auto" w:fill="auto"/>
            <w:noWrap/>
            <w:vAlign w:val="center"/>
          </w:tcPr>
          <w:p w14:paraId="3FBCE4B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240</w:t>
            </w:r>
          </w:p>
        </w:tc>
        <w:tc>
          <w:tcPr>
            <w:tcW w:w="930" w:type="dxa"/>
            <w:shd w:val="clear" w:color="auto" w:fill="auto"/>
            <w:noWrap/>
            <w:vAlign w:val="center"/>
          </w:tcPr>
          <w:p w14:paraId="4B1BCC0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380" w:type="dxa"/>
            <w:shd w:val="clear" w:color="auto" w:fill="auto"/>
            <w:vAlign w:val="center"/>
          </w:tcPr>
          <w:p w14:paraId="04FC9572">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工控机柜485模块至摄像机，信号线。</w:t>
            </w:r>
          </w:p>
        </w:tc>
      </w:tr>
      <w:tr w14:paraId="7DB7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6FA0730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22</w:t>
            </w:r>
          </w:p>
        </w:tc>
        <w:tc>
          <w:tcPr>
            <w:tcW w:w="978" w:type="dxa"/>
            <w:shd w:val="clear" w:color="auto" w:fill="auto"/>
            <w:vAlign w:val="center"/>
          </w:tcPr>
          <w:p w14:paraId="6D19C0E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网线</w:t>
            </w:r>
          </w:p>
        </w:tc>
        <w:tc>
          <w:tcPr>
            <w:tcW w:w="960" w:type="dxa"/>
            <w:shd w:val="clear" w:color="auto" w:fill="auto"/>
            <w:noWrap/>
            <w:vAlign w:val="center"/>
          </w:tcPr>
          <w:p w14:paraId="10831C6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1435" w:type="dxa"/>
            <w:shd w:val="clear" w:color="auto" w:fill="auto"/>
            <w:noWrap/>
            <w:vAlign w:val="center"/>
          </w:tcPr>
          <w:p w14:paraId="40B20A2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优质</w:t>
            </w:r>
          </w:p>
        </w:tc>
        <w:tc>
          <w:tcPr>
            <w:tcW w:w="872" w:type="dxa"/>
            <w:shd w:val="clear" w:color="auto" w:fill="auto"/>
            <w:noWrap/>
            <w:vAlign w:val="center"/>
          </w:tcPr>
          <w:p w14:paraId="3943093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480</w:t>
            </w:r>
          </w:p>
        </w:tc>
        <w:tc>
          <w:tcPr>
            <w:tcW w:w="930" w:type="dxa"/>
            <w:shd w:val="clear" w:color="auto" w:fill="auto"/>
            <w:noWrap/>
            <w:vAlign w:val="center"/>
          </w:tcPr>
          <w:p w14:paraId="4394104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380" w:type="dxa"/>
            <w:shd w:val="clear" w:color="auto" w:fill="auto"/>
            <w:vAlign w:val="center"/>
          </w:tcPr>
          <w:p w14:paraId="7FFFD289">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交换机至抱杆箱，抱杆箱至摄像机，后台系统用线，阻水。</w:t>
            </w:r>
          </w:p>
        </w:tc>
      </w:tr>
      <w:tr w14:paraId="379C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736ED0A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23</w:t>
            </w:r>
          </w:p>
        </w:tc>
        <w:tc>
          <w:tcPr>
            <w:tcW w:w="978" w:type="dxa"/>
            <w:shd w:val="clear" w:color="auto" w:fill="auto"/>
            <w:vAlign w:val="center"/>
          </w:tcPr>
          <w:p w14:paraId="7E0BC34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内部光缆</w:t>
            </w:r>
          </w:p>
        </w:tc>
        <w:tc>
          <w:tcPr>
            <w:tcW w:w="960" w:type="dxa"/>
            <w:shd w:val="clear" w:color="auto" w:fill="auto"/>
            <w:noWrap/>
            <w:vAlign w:val="center"/>
          </w:tcPr>
          <w:p w14:paraId="283CC1C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1435" w:type="dxa"/>
            <w:shd w:val="clear" w:color="auto" w:fill="auto"/>
            <w:noWrap/>
            <w:vAlign w:val="center"/>
          </w:tcPr>
          <w:p w14:paraId="145C720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优质</w:t>
            </w:r>
          </w:p>
        </w:tc>
        <w:tc>
          <w:tcPr>
            <w:tcW w:w="872" w:type="dxa"/>
            <w:shd w:val="clear" w:color="auto" w:fill="auto"/>
            <w:noWrap/>
            <w:vAlign w:val="center"/>
          </w:tcPr>
          <w:p w14:paraId="74B4FFD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250</w:t>
            </w:r>
          </w:p>
        </w:tc>
        <w:tc>
          <w:tcPr>
            <w:tcW w:w="930" w:type="dxa"/>
            <w:shd w:val="clear" w:color="auto" w:fill="auto"/>
            <w:noWrap/>
            <w:vAlign w:val="center"/>
          </w:tcPr>
          <w:p w14:paraId="1FB10B0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380" w:type="dxa"/>
            <w:shd w:val="clear" w:color="auto" w:fill="auto"/>
            <w:vAlign w:val="center"/>
          </w:tcPr>
          <w:p w14:paraId="7D984FBB">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室外单模，6芯，工控机至LED屏。</w:t>
            </w:r>
          </w:p>
        </w:tc>
      </w:tr>
      <w:tr w14:paraId="37C1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6A4464E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24</w:t>
            </w:r>
          </w:p>
        </w:tc>
        <w:tc>
          <w:tcPr>
            <w:tcW w:w="978" w:type="dxa"/>
            <w:shd w:val="clear" w:color="auto" w:fill="auto"/>
            <w:vAlign w:val="center"/>
          </w:tcPr>
          <w:p w14:paraId="7AAA33C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内部光电缆管材</w:t>
            </w:r>
          </w:p>
        </w:tc>
        <w:tc>
          <w:tcPr>
            <w:tcW w:w="960" w:type="dxa"/>
            <w:shd w:val="clear" w:color="auto" w:fill="auto"/>
            <w:noWrap/>
            <w:vAlign w:val="center"/>
          </w:tcPr>
          <w:p w14:paraId="41F19DE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1435" w:type="dxa"/>
            <w:shd w:val="clear" w:color="auto" w:fill="auto"/>
            <w:noWrap/>
            <w:vAlign w:val="center"/>
          </w:tcPr>
          <w:p w14:paraId="2EFDF81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优质</w:t>
            </w:r>
          </w:p>
        </w:tc>
        <w:tc>
          <w:tcPr>
            <w:tcW w:w="872" w:type="dxa"/>
            <w:shd w:val="clear" w:color="auto" w:fill="auto"/>
            <w:noWrap/>
            <w:vAlign w:val="center"/>
          </w:tcPr>
          <w:p w14:paraId="54FFE55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251</w:t>
            </w:r>
          </w:p>
        </w:tc>
        <w:tc>
          <w:tcPr>
            <w:tcW w:w="930" w:type="dxa"/>
            <w:shd w:val="clear" w:color="auto" w:fill="auto"/>
            <w:noWrap/>
            <w:vAlign w:val="center"/>
          </w:tcPr>
          <w:p w14:paraId="153A7DA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380" w:type="dxa"/>
            <w:shd w:val="clear" w:color="auto" w:fill="auto"/>
            <w:vAlign w:val="center"/>
          </w:tcPr>
          <w:p w14:paraId="2DB02E02">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内部传输供电套管材料（PE</w:t>
            </w:r>
            <w:r>
              <w:rPr>
                <w:rFonts w:hint="eastAsia" w:ascii="MS Mincho" w:hAnsi="MS Mincho" w:eastAsia="MS Mincho" w:cs="MS Mincho"/>
                <w:color w:val="auto"/>
                <w:kern w:val="0"/>
                <w:sz w:val="21"/>
                <w:szCs w:val="21"/>
              </w:rPr>
              <w:t>∅</w:t>
            </w:r>
            <w:r>
              <w:rPr>
                <w:rFonts w:hint="eastAsia" w:ascii="宋体" w:hAnsi="宋体" w:eastAsia="宋体" w:cs="宋体"/>
                <w:color w:val="auto"/>
                <w:kern w:val="0"/>
                <w:sz w:val="21"/>
                <w:szCs w:val="21"/>
              </w:rPr>
              <w:t>50），同内部光缆等长。</w:t>
            </w:r>
          </w:p>
        </w:tc>
      </w:tr>
      <w:tr w14:paraId="3114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20" w:type="dxa"/>
            <w:gridSpan w:val="7"/>
            <w:shd w:val="clear" w:color="auto" w:fill="auto"/>
            <w:noWrap/>
            <w:vAlign w:val="center"/>
          </w:tcPr>
          <w:p w14:paraId="73858B94">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平台及软件系统</w:t>
            </w:r>
          </w:p>
        </w:tc>
      </w:tr>
      <w:tr w14:paraId="534A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000000" w:fill="auto"/>
            <w:noWrap/>
            <w:vAlign w:val="center"/>
          </w:tcPr>
          <w:p w14:paraId="0D6B69E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25</w:t>
            </w:r>
          </w:p>
        </w:tc>
        <w:tc>
          <w:tcPr>
            <w:tcW w:w="978" w:type="dxa"/>
            <w:shd w:val="clear" w:color="000000" w:fill="auto"/>
            <w:vAlign w:val="center"/>
          </w:tcPr>
          <w:p w14:paraId="68C31CB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超限检测与运行监管系统</w:t>
            </w:r>
          </w:p>
        </w:tc>
        <w:tc>
          <w:tcPr>
            <w:tcW w:w="960" w:type="dxa"/>
            <w:shd w:val="clear" w:color="000000" w:fill="auto"/>
            <w:noWrap/>
            <w:vAlign w:val="center"/>
          </w:tcPr>
          <w:p w14:paraId="5B58F50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盘云</w:t>
            </w:r>
          </w:p>
        </w:tc>
        <w:tc>
          <w:tcPr>
            <w:tcW w:w="1435" w:type="dxa"/>
            <w:shd w:val="clear" w:color="000000" w:fill="auto"/>
            <w:noWrap/>
            <w:vAlign w:val="center"/>
          </w:tcPr>
          <w:p w14:paraId="03FAE63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872" w:type="dxa"/>
            <w:shd w:val="clear" w:color="000000" w:fill="auto"/>
            <w:noWrap/>
            <w:vAlign w:val="center"/>
          </w:tcPr>
          <w:p w14:paraId="0D75092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930" w:type="dxa"/>
            <w:shd w:val="clear" w:color="000000" w:fill="auto"/>
            <w:noWrap/>
            <w:vAlign w:val="center"/>
          </w:tcPr>
          <w:p w14:paraId="142E7DE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380" w:type="dxa"/>
            <w:shd w:val="clear" w:color="000000" w:fill="auto"/>
            <w:vAlign w:val="center"/>
          </w:tcPr>
          <w:p w14:paraId="2E4DBAE3">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前端点位数据信息的接入、浏览、查询、统计和分析、告警、检测单及文书的自动生成与下载。</w:t>
            </w:r>
          </w:p>
        </w:tc>
      </w:tr>
      <w:tr w14:paraId="0BB8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000000" w:fill="auto"/>
            <w:noWrap/>
            <w:vAlign w:val="center"/>
          </w:tcPr>
          <w:p w14:paraId="4C9E6CE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26</w:t>
            </w:r>
          </w:p>
        </w:tc>
        <w:tc>
          <w:tcPr>
            <w:tcW w:w="978" w:type="dxa"/>
            <w:shd w:val="clear" w:color="000000" w:fill="auto"/>
            <w:vAlign w:val="center"/>
          </w:tcPr>
          <w:p w14:paraId="419F979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设备状态监控及故障派单考核系统</w:t>
            </w:r>
          </w:p>
        </w:tc>
        <w:tc>
          <w:tcPr>
            <w:tcW w:w="960" w:type="dxa"/>
            <w:shd w:val="clear" w:color="000000" w:fill="auto"/>
            <w:noWrap/>
            <w:vAlign w:val="center"/>
          </w:tcPr>
          <w:p w14:paraId="7A55274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盘云</w:t>
            </w:r>
          </w:p>
        </w:tc>
        <w:tc>
          <w:tcPr>
            <w:tcW w:w="1435" w:type="dxa"/>
            <w:shd w:val="clear" w:color="000000" w:fill="auto"/>
            <w:noWrap/>
            <w:vAlign w:val="center"/>
          </w:tcPr>
          <w:p w14:paraId="0B7BBCE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872" w:type="dxa"/>
            <w:shd w:val="clear" w:color="000000" w:fill="auto"/>
            <w:noWrap/>
            <w:vAlign w:val="center"/>
          </w:tcPr>
          <w:p w14:paraId="5C64594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930" w:type="dxa"/>
            <w:shd w:val="clear" w:color="000000" w:fill="auto"/>
            <w:noWrap/>
            <w:vAlign w:val="center"/>
          </w:tcPr>
          <w:p w14:paraId="33EFB75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380" w:type="dxa"/>
            <w:shd w:val="clear" w:color="000000" w:fill="auto"/>
            <w:vAlign w:val="center"/>
          </w:tcPr>
          <w:p w14:paraId="17BD8DDF">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设备管理/点位监控；</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结合智能箱ARM版数据采集单元，实时监测各点位市电、防雷器、网络、箱门、温湿度、水浸等状态，具有异常告警功能，可以查询历史故障发生时间和恢复时间，可以查询柜门异常开启录像等。</w:t>
            </w:r>
          </w:p>
        </w:tc>
      </w:tr>
      <w:tr w14:paraId="55EF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7FCDF92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27</w:t>
            </w:r>
          </w:p>
        </w:tc>
        <w:tc>
          <w:tcPr>
            <w:tcW w:w="978" w:type="dxa"/>
            <w:shd w:val="clear" w:color="auto" w:fill="auto"/>
            <w:vAlign w:val="center"/>
          </w:tcPr>
          <w:p w14:paraId="4C862D0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前端智能运维箱</w:t>
            </w:r>
          </w:p>
        </w:tc>
        <w:tc>
          <w:tcPr>
            <w:tcW w:w="960" w:type="dxa"/>
            <w:shd w:val="clear" w:color="auto" w:fill="auto"/>
            <w:noWrap/>
            <w:vAlign w:val="center"/>
          </w:tcPr>
          <w:p w14:paraId="44451E3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盘云</w:t>
            </w:r>
          </w:p>
        </w:tc>
        <w:tc>
          <w:tcPr>
            <w:tcW w:w="1435" w:type="dxa"/>
            <w:shd w:val="clear" w:color="auto" w:fill="auto"/>
            <w:noWrap/>
            <w:vAlign w:val="center"/>
          </w:tcPr>
          <w:p w14:paraId="3B4AF2F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872" w:type="dxa"/>
            <w:shd w:val="clear" w:color="auto" w:fill="auto"/>
            <w:noWrap/>
            <w:vAlign w:val="center"/>
          </w:tcPr>
          <w:p w14:paraId="2A458F6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w:t>
            </w:r>
          </w:p>
        </w:tc>
        <w:tc>
          <w:tcPr>
            <w:tcW w:w="930" w:type="dxa"/>
            <w:shd w:val="clear" w:color="auto" w:fill="auto"/>
            <w:noWrap/>
            <w:vAlign w:val="center"/>
          </w:tcPr>
          <w:p w14:paraId="575B8B5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380" w:type="dxa"/>
            <w:shd w:val="clear" w:color="auto" w:fill="auto"/>
            <w:vAlign w:val="center"/>
          </w:tcPr>
          <w:p w14:paraId="797257C2">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 xml:space="preserve">模块化智能监控箱，静电喷塑，背部或底部进线、可支架或抱箍安装；箱体规格尺寸：高530*宽380*深220MM优质镀锌板板，板材厚度≥1.2MM ；带温控风扇及故障报警灯和电源等。 </w:t>
            </w:r>
          </w:p>
        </w:tc>
      </w:tr>
      <w:tr w14:paraId="7BC2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000000" w:fill="auto"/>
            <w:noWrap/>
            <w:vAlign w:val="center"/>
          </w:tcPr>
          <w:p w14:paraId="231170F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28</w:t>
            </w:r>
          </w:p>
        </w:tc>
        <w:tc>
          <w:tcPr>
            <w:tcW w:w="978" w:type="dxa"/>
            <w:shd w:val="clear" w:color="000000" w:fill="auto"/>
            <w:vAlign w:val="center"/>
          </w:tcPr>
          <w:p w14:paraId="324263C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周边系统对接软件</w:t>
            </w:r>
          </w:p>
        </w:tc>
        <w:tc>
          <w:tcPr>
            <w:tcW w:w="960" w:type="dxa"/>
            <w:shd w:val="clear" w:color="000000" w:fill="auto"/>
            <w:noWrap/>
            <w:vAlign w:val="center"/>
          </w:tcPr>
          <w:p w14:paraId="2EB2659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软易</w:t>
            </w:r>
          </w:p>
        </w:tc>
        <w:tc>
          <w:tcPr>
            <w:tcW w:w="1435" w:type="dxa"/>
            <w:shd w:val="clear" w:color="000000" w:fill="auto"/>
            <w:noWrap/>
            <w:vAlign w:val="center"/>
          </w:tcPr>
          <w:p w14:paraId="6D08D44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872" w:type="dxa"/>
            <w:shd w:val="clear" w:color="000000" w:fill="auto"/>
            <w:noWrap/>
            <w:vAlign w:val="center"/>
          </w:tcPr>
          <w:p w14:paraId="13088C4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w:t>
            </w:r>
          </w:p>
        </w:tc>
        <w:tc>
          <w:tcPr>
            <w:tcW w:w="930" w:type="dxa"/>
            <w:shd w:val="clear" w:color="000000" w:fill="auto"/>
            <w:noWrap/>
            <w:vAlign w:val="center"/>
          </w:tcPr>
          <w:p w14:paraId="533B5F8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380" w:type="dxa"/>
            <w:shd w:val="clear" w:color="000000" w:fill="auto"/>
            <w:vAlign w:val="center"/>
          </w:tcPr>
          <w:p w14:paraId="643F5883">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执法平台、上级平台对接软件。</w:t>
            </w:r>
          </w:p>
        </w:tc>
      </w:tr>
      <w:tr w14:paraId="2D9A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65CFC91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29</w:t>
            </w:r>
          </w:p>
        </w:tc>
        <w:tc>
          <w:tcPr>
            <w:tcW w:w="978" w:type="dxa"/>
            <w:shd w:val="clear" w:color="auto" w:fill="auto"/>
            <w:vAlign w:val="center"/>
          </w:tcPr>
          <w:p w14:paraId="402D585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数据服务器</w:t>
            </w:r>
          </w:p>
        </w:tc>
        <w:tc>
          <w:tcPr>
            <w:tcW w:w="960" w:type="dxa"/>
            <w:shd w:val="clear" w:color="auto" w:fill="auto"/>
            <w:noWrap/>
            <w:vAlign w:val="center"/>
          </w:tcPr>
          <w:p w14:paraId="47F987A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浪潮</w:t>
            </w:r>
          </w:p>
        </w:tc>
        <w:tc>
          <w:tcPr>
            <w:tcW w:w="1435" w:type="dxa"/>
            <w:shd w:val="clear" w:color="auto" w:fill="auto"/>
            <w:noWrap/>
            <w:vAlign w:val="center"/>
          </w:tcPr>
          <w:p w14:paraId="646C642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NF5270M5</w:t>
            </w:r>
          </w:p>
        </w:tc>
        <w:tc>
          <w:tcPr>
            <w:tcW w:w="872" w:type="dxa"/>
            <w:shd w:val="clear" w:color="auto" w:fill="auto"/>
            <w:noWrap/>
            <w:vAlign w:val="center"/>
          </w:tcPr>
          <w:p w14:paraId="3C5D62E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930" w:type="dxa"/>
            <w:shd w:val="clear" w:color="auto" w:fill="auto"/>
            <w:noWrap/>
            <w:vAlign w:val="center"/>
          </w:tcPr>
          <w:p w14:paraId="34E521C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380" w:type="dxa"/>
            <w:shd w:val="clear" w:color="auto" w:fill="auto"/>
            <w:vAlign w:val="center"/>
          </w:tcPr>
          <w:p w14:paraId="08BFFCC6">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E5-2640 V4(10核2.4GHz)×1/16GB DDR4×2/300GB SAS×2/SAS_HBA/DVD/1GbE×4/冗电/导轨/2U；</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需5秒短视频功能存储功能，存储时间3个月以上。</w:t>
            </w:r>
          </w:p>
        </w:tc>
      </w:tr>
      <w:tr w14:paraId="40AD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7CB0AD1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30</w:t>
            </w:r>
          </w:p>
        </w:tc>
        <w:tc>
          <w:tcPr>
            <w:tcW w:w="978" w:type="dxa"/>
            <w:shd w:val="clear" w:color="auto" w:fill="auto"/>
            <w:vAlign w:val="center"/>
          </w:tcPr>
          <w:p w14:paraId="4006AA4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中心机房交换机</w:t>
            </w:r>
          </w:p>
        </w:tc>
        <w:tc>
          <w:tcPr>
            <w:tcW w:w="960" w:type="dxa"/>
            <w:shd w:val="clear" w:color="auto" w:fill="auto"/>
            <w:noWrap/>
            <w:vAlign w:val="center"/>
          </w:tcPr>
          <w:p w14:paraId="456486F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圃惠</w:t>
            </w:r>
          </w:p>
        </w:tc>
        <w:tc>
          <w:tcPr>
            <w:tcW w:w="1435" w:type="dxa"/>
            <w:shd w:val="clear" w:color="auto" w:fill="auto"/>
            <w:noWrap/>
            <w:vAlign w:val="center"/>
          </w:tcPr>
          <w:p w14:paraId="3A3501A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PH-H2610-42400</w:t>
            </w:r>
          </w:p>
        </w:tc>
        <w:tc>
          <w:tcPr>
            <w:tcW w:w="872" w:type="dxa"/>
            <w:shd w:val="clear" w:color="auto" w:fill="auto"/>
            <w:noWrap/>
            <w:vAlign w:val="center"/>
          </w:tcPr>
          <w:p w14:paraId="58860BC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930" w:type="dxa"/>
            <w:shd w:val="clear" w:color="auto" w:fill="auto"/>
            <w:noWrap/>
            <w:vAlign w:val="center"/>
          </w:tcPr>
          <w:p w14:paraId="2F5A657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台</w:t>
            </w:r>
          </w:p>
        </w:tc>
        <w:tc>
          <w:tcPr>
            <w:tcW w:w="4380" w:type="dxa"/>
            <w:shd w:val="clear" w:color="auto" w:fill="auto"/>
            <w:vAlign w:val="center"/>
          </w:tcPr>
          <w:p w14:paraId="1160E970">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24个10/100/1000 Base-T以太网端口，4个1000Base-X SFP千兆以太网端口；支持IPv4和IPv6的三层路由功能，可以实现基于硬件的IPv4和IPv6的全线速转发</w:t>
            </w:r>
          </w:p>
        </w:tc>
      </w:tr>
      <w:tr w14:paraId="02D1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03761D1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31</w:t>
            </w:r>
          </w:p>
        </w:tc>
        <w:tc>
          <w:tcPr>
            <w:tcW w:w="978" w:type="dxa"/>
            <w:shd w:val="clear" w:color="auto" w:fill="auto"/>
            <w:vAlign w:val="center"/>
          </w:tcPr>
          <w:p w14:paraId="0A1CD58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中心存储设备</w:t>
            </w:r>
          </w:p>
        </w:tc>
        <w:tc>
          <w:tcPr>
            <w:tcW w:w="960" w:type="dxa"/>
            <w:shd w:val="clear" w:color="auto" w:fill="auto"/>
            <w:noWrap/>
            <w:vAlign w:val="center"/>
          </w:tcPr>
          <w:p w14:paraId="7492D38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1435" w:type="dxa"/>
            <w:shd w:val="clear" w:color="auto" w:fill="auto"/>
            <w:noWrap/>
            <w:vAlign w:val="center"/>
          </w:tcPr>
          <w:p w14:paraId="571E59F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优质</w:t>
            </w:r>
          </w:p>
        </w:tc>
        <w:tc>
          <w:tcPr>
            <w:tcW w:w="872" w:type="dxa"/>
            <w:shd w:val="clear" w:color="auto" w:fill="auto"/>
            <w:noWrap/>
            <w:vAlign w:val="center"/>
          </w:tcPr>
          <w:p w14:paraId="263B5F9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8</w:t>
            </w:r>
          </w:p>
        </w:tc>
        <w:tc>
          <w:tcPr>
            <w:tcW w:w="930" w:type="dxa"/>
            <w:shd w:val="clear" w:color="auto" w:fill="auto"/>
            <w:noWrap/>
            <w:vAlign w:val="center"/>
          </w:tcPr>
          <w:p w14:paraId="20E85C9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380" w:type="dxa"/>
            <w:shd w:val="clear" w:color="auto" w:fill="auto"/>
            <w:vAlign w:val="center"/>
          </w:tcPr>
          <w:p w14:paraId="0318493C">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4T SAS/SATA硬盘。</w:t>
            </w:r>
          </w:p>
        </w:tc>
      </w:tr>
      <w:tr w14:paraId="52A0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20" w:type="dxa"/>
            <w:gridSpan w:val="7"/>
            <w:shd w:val="clear" w:color="auto" w:fill="auto"/>
            <w:noWrap/>
            <w:vAlign w:val="center"/>
          </w:tcPr>
          <w:p w14:paraId="423AD8AE">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路警联动系统</w:t>
            </w:r>
          </w:p>
        </w:tc>
      </w:tr>
      <w:tr w14:paraId="2568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61FF621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32</w:t>
            </w:r>
          </w:p>
        </w:tc>
        <w:tc>
          <w:tcPr>
            <w:tcW w:w="978" w:type="dxa"/>
            <w:shd w:val="clear" w:color="auto" w:fill="auto"/>
            <w:vAlign w:val="center"/>
          </w:tcPr>
          <w:p w14:paraId="584AEBC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中文900万AI一体化抓拍单元</w:t>
            </w:r>
          </w:p>
        </w:tc>
        <w:tc>
          <w:tcPr>
            <w:tcW w:w="960" w:type="dxa"/>
            <w:shd w:val="clear" w:color="auto" w:fill="auto"/>
            <w:noWrap/>
            <w:vAlign w:val="center"/>
          </w:tcPr>
          <w:p w14:paraId="03D6E04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435" w:type="dxa"/>
            <w:shd w:val="clear" w:color="auto" w:fill="auto"/>
            <w:noWrap/>
            <w:vAlign w:val="center"/>
          </w:tcPr>
          <w:p w14:paraId="12659C8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iDS-TCV900-PK</w:t>
            </w:r>
          </w:p>
        </w:tc>
        <w:tc>
          <w:tcPr>
            <w:tcW w:w="872" w:type="dxa"/>
            <w:shd w:val="clear" w:color="auto" w:fill="auto"/>
            <w:noWrap/>
            <w:vAlign w:val="center"/>
          </w:tcPr>
          <w:p w14:paraId="2BD14A6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w:t>
            </w:r>
          </w:p>
        </w:tc>
        <w:tc>
          <w:tcPr>
            <w:tcW w:w="930" w:type="dxa"/>
            <w:shd w:val="clear" w:color="auto" w:fill="auto"/>
            <w:noWrap/>
            <w:vAlign w:val="center"/>
          </w:tcPr>
          <w:p w14:paraId="612586D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台</w:t>
            </w:r>
          </w:p>
        </w:tc>
        <w:tc>
          <w:tcPr>
            <w:tcW w:w="4380" w:type="dxa"/>
            <w:shd w:val="clear" w:color="auto" w:fill="auto"/>
            <w:vAlign w:val="center"/>
          </w:tcPr>
          <w:p w14:paraId="696FB75B">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≥900万像素；至少支持H.265/H.264/MJPEG。</w:t>
            </w:r>
          </w:p>
        </w:tc>
      </w:tr>
      <w:tr w14:paraId="592F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1E8899B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33</w:t>
            </w:r>
          </w:p>
        </w:tc>
        <w:tc>
          <w:tcPr>
            <w:tcW w:w="978" w:type="dxa"/>
            <w:shd w:val="clear" w:color="auto" w:fill="auto"/>
            <w:vAlign w:val="center"/>
          </w:tcPr>
          <w:p w14:paraId="5C59C83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智能交通终端管理设备</w:t>
            </w:r>
          </w:p>
        </w:tc>
        <w:tc>
          <w:tcPr>
            <w:tcW w:w="960" w:type="dxa"/>
            <w:shd w:val="clear" w:color="auto" w:fill="auto"/>
            <w:noWrap/>
            <w:vAlign w:val="center"/>
          </w:tcPr>
          <w:p w14:paraId="7FD0E4C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435" w:type="dxa"/>
            <w:shd w:val="clear" w:color="auto" w:fill="auto"/>
            <w:noWrap/>
            <w:vAlign w:val="center"/>
          </w:tcPr>
          <w:p w14:paraId="393E9F4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DS-TP50-12E</w:t>
            </w:r>
          </w:p>
        </w:tc>
        <w:tc>
          <w:tcPr>
            <w:tcW w:w="872" w:type="dxa"/>
            <w:shd w:val="clear" w:color="auto" w:fill="auto"/>
            <w:noWrap/>
            <w:vAlign w:val="center"/>
          </w:tcPr>
          <w:p w14:paraId="66526B9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w:t>
            </w:r>
          </w:p>
        </w:tc>
        <w:tc>
          <w:tcPr>
            <w:tcW w:w="930" w:type="dxa"/>
            <w:shd w:val="clear" w:color="auto" w:fill="auto"/>
            <w:noWrap/>
            <w:vAlign w:val="center"/>
          </w:tcPr>
          <w:p w14:paraId="68C5857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台</w:t>
            </w:r>
          </w:p>
        </w:tc>
        <w:tc>
          <w:tcPr>
            <w:tcW w:w="4380" w:type="dxa"/>
            <w:shd w:val="clear" w:color="auto" w:fill="auto"/>
            <w:vAlign w:val="center"/>
          </w:tcPr>
          <w:p w14:paraId="38FCC6D5">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最大接入12路高清摄像机（支持视频和图片同时接入）、4路标清BNC接口模拟摄像机；最大支持4个3.5"/2.5"硬盘。</w:t>
            </w:r>
          </w:p>
        </w:tc>
      </w:tr>
      <w:tr w14:paraId="55DE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10D66ED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34</w:t>
            </w:r>
          </w:p>
        </w:tc>
        <w:tc>
          <w:tcPr>
            <w:tcW w:w="978" w:type="dxa"/>
            <w:shd w:val="clear" w:color="auto" w:fill="auto"/>
            <w:vAlign w:val="center"/>
          </w:tcPr>
          <w:p w14:paraId="3217C87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补光灯</w:t>
            </w:r>
          </w:p>
        </w:tc>
        <w:tc>
          <w:tcPr>
            <w:tcW w:w="960" w:type="dxa"/>
            <w:shd w:val="clear" w:color="auto" w:fill="auto"/>
            <w:noWrap/>
            <w:vAlign w:val="center"/>
          </w:tcPr>
          <w:p w14:paraId="010C49F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435" w:type="dxa"/>
            <w:shd w:val="clear" w:color="auto" w:fill="auto"/>
            <w:noWrap/>
            <w:vAlign w:val="center"/>
          </w:tcPr>
          <w:p w14:paraId="64367A3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CXBG-1-PS-DS-TL2000A-L1-N</w:t>
            </w:r>
          </w:p>
        </w:tc>
        <w:tc>
          <w:tcPr>
            <w:tcW w:w="872" w:type="dxa"/>
            <w:shd w:val="clear" w:color="auto" w:fill="auto"/>
            <w:noWrap/>
            <w:vAlign w:val="center"/>
          </w:tcPr>
          <w:p w14:paraId="7CD4B80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w:t>
            </w:r>
          </w:p>
        </w:tc>
        <w:tc>
          <w:tcPr>
            <w:tcW w:w="930" w:type="dxa"/>
            <w:shd w:val="clear" w:color="auto" w:fill="auto"/>
            <w:noWrap/>
            <w:vAlign w:val="center"/>
          </w:tcPr>
          <w:p w14:paraId="1743B43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台</w:t>
            </w:r>
          </w:p>
        </w:tc>
        <w:tc>
          <w:tcPr>
            <w:tcW w:w="4380" w:type="dxa"/>
            <w:shd w:val="clear" w:color="auto" w:fill="auto"/>
            <w:vAlign w:val="center"/>
          </w:tcPr>
          <w:p w14:paraId="17F2938F">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暖光LED频闪灯，单车道环境补光灯；最佳补光距离16m～25m；支持5V电平量触发，最大功率30W。</w:t>
            </w:r>
          </w:p>
        </w:tc>
      </w:tr>
      <w:tr w14:paraId="3D6A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20" w:type="dxa"/>
            <w:gridSpan w:val="7"/>
            <w:shd w:val="clear" w:color="auto" w:fill="auto"/>
            <w:noWrap/>
            <w:vAlign w:val="center"/>
          </w:tcPr>
          <w:p w14:paraId="0CA7AC5E">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原系统改造</w:t>
            </w:r>
          </w:p>
        </w:tc>
      </w:tr>
      <w:tr w14:paraId="5AE1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178E318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35</w:t>
            </w:r>
          </w:p>
        </w:tc>
        <w:tc>
          <w:tcPr>
            <w:tcW w:w="978" w:type="dxa"/>
            <w:shd w:val="clear" w:color="auto" w:fill="auto"/>
            <w:vAlign w:val="center"/>
          </w:tcPr>
          <w:p w14:paraId="1E6BE36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电荷放大器</w:t>
            </w:r>
          </w:p>
        </w:tc>
        <w:tc>
          <w:tcPr>
            <w:tcW w:w="960" w:type="dxa"/>
            <w:shd w:val="clear" w:color="auto" w:fill="auto"/>
            <w:noWrap/>
            <w:vAlign w:val="center"/>
          </w:tcPr>
          <w:p w14:paraId="1FA60B0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四方</w:t>
            </w:r>
          </w:p>
        </w:tc>
        <w:tc>
          <w:tcPr>
            <w:tcW w:w="1435" w:type="dxa"/>
            <w:shd w:val="clear" w:color="auto" w:fill="auto"/>
            <w:noWrap/>
            <w:vAlign w:val="center"/>
          </w:tcPr>
          <w:p w14:paraId="07B13AA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DH-1</w:t>
            </w:r>
          </w:p>
        </w:tc>
        <w:tc>
          <w:tcPr>
            <w:tcW w:w="872" w:type="dxa"/>
            <w:shd w:val="clear" w:color="auto" w:fill="auto"/>
            <w:noWrap/>
            <w:vAlign w:val="center"/>
          </w:tcPr>
          <w:p w14:paraId="771A723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7</w:t>
            </w:r>
          </w:p>
        </w:tc>
        <w:tc>
          <w:tcPr>
            <w:tcW w:w="930" w:type="dxa"/>
            <w:shd w:val="clear" w:color="auto" w:fill="auto"/>
            <w:noWrap/>
            <w:vAlign w:val="center"/>
          </w:tcPr>
          <w:p w14:paraId="5480360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个</w:t>
            </w:r>
          </w:p>
        </w:tc>
        <w:tc>
          <w:tcPr>
            <w:tcW w:w="4380" w:type="dxa"/>
            <w:shd w:val="clear" w:color="auto" w:fill="auto"/>
            <w:vAlign w:val="center"/>
          </w:tcPr>
          <w:p w14:paraId="177DF7D4">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测量范围：60,000pC；测量误差：&lt;1%；输出电压：±5V；输出电流：±2mA；输出阻抗：&lt;100Ω；输出干扰信号：&lt;3mVpp；频响范围：0.0016～10kHz；时间常数：≥1000s；电流消耗：&lt;25mA；工作温度范围：-45℃～+60℃；防护等级：IP64。</w:t>
            </w:r>
          </w:p>
        </w:tc>
      </w:tr>
      <w:tr w14:paraId="1F60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38A877B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36</w:t>
            </w:r>
          </w:p>
        </w:tc>
        <w:tc>
          <w:tcPr>
            <w:tcW w:w="978" w:type="dxa"/>
            <w:shd w:val="clear" w:color="auto" w:fill="auto"/>
            <w:vAlign w:val="center"/>
          </w:tcPr>
          <w:p w14:paraId="68979EE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石英胶料</w:t>
            </w:r>
          </w:p>
        </w:tc>
        <w:tc>
          <w:tcPr>
            <w:tcW w:w="960" w:type="dxa"/>
            <w:shd w:val="clear" w:color="auto" w:fill="auto"/>
            <w:noWrap/>
            <w:vAlign w:val="center"/>
          </w:tcPr>
          <w:p w14:paraId="61BE214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四方</w:t>
            </w:r>
          </w:p>
        </w:tc>
        <w:tc>
          <w:tcPr>
            <w:tcW w:w="1435" w:type="dxa"/>
            <w:shd w:val="clear" w:color="auto" w:fill="auto"/>
            <w:noWrap/>
            <w:vAlign w:val="center"/>
          </w:tcPr>
          <w:p w14:paraId="4296E41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872" w:type="dxa"/>
            <w:shd w:val="clear" w:color="auto" w:fill="auto"/>
            <w:noWrap/>
            <w:vAlign w:val="center"/>
          </w:tcPr>
          <w:p w14:paraId="0E0E7ED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30</w:t>
            </w:r>
          </w:p>
        </w:tc>
        <w:tc>
          <w:tcPr>
            <w:tcW w:w="930" w:type="dxa"/>
            <w:shd w:val="clear" w:color="auto" w:fill="auto"/>
            <w:noWrap/>
            <w:vAlign w:val="center"/>
          </w:tcPr>
          <w:p w14:paraId="5EE7281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380" w:type="dxa"/>
            <w:shd w:val="clear" w:color="auto" w:fill="auto"/>
            <w:vAlign w:val="center"/>
          </w:tcPr>
          <w:p w14:paraId="13E8BFED">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摄氏23度下，8小时内固化，抗压强度≥30MPa，抗折强度≥10MPa，粘接强度≥3MPa；执行国标GB50367-2006。</w:t>
            </w:r>
          </w:p>
        </w:tc>
      </w:tr>
      <w:tr w14:paraId="47C9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6E2047C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37</w:t>
            </w:r>
          </w:p>
        </w:tc>
        <w:tc>
          <w:tcPr>
            <w:tcW w:w="978" w:type="dxa"/>
            <w:shd w:val="clear" w:color="auto" w:fill="auto"/>
            <w:vAlign w:val="center"/>
          </w:tcPr>
          <w:p w14:paraId="036E8E3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爆闪灯</w:t>
            </w:r>
          </w:p>
        </w:tc>
        <w:tc>
          <w:tcPr>
            <w:tcW w:w="960" w:type="dxa"/>
            <w:shd w:val="clear" w:color="auto" w:fill="auto"/>
            <w:noWrap/>
            <w:vAlign w:val="center"/>
          </w:tcPr>
          <w:p w14:paraId="677B0C4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大华</w:t>
            </w:r>
          </w:p>
        </w:tc>
        <w:tc>
          <w:tcPr>
            <w:tcW w:w="1435" w:type="dxa"/>
            <w:shd w:val="clear" w:color="auto" w:fill="auto"/>
            <w:noWrap/>
            <w:vAlign w:val="center"/>
          </w:tcPr>
          <w:p w14:paraId="7D6060C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872" w:type="dxa"/>
            <w:shd w:val="clear" w:color="auto" w:fill="auto"/>
            <w:noWrap/>
            <w:vAlign w:val="center"/>
          </w:tcPr>
          <w:p w14:paraId="1401CD3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3</w:t>
            </w:r>
          </w:p>
        </w:tc>
        <w:tc>
          <w:tcPr>
            <w:tcW w:w="930" w:type="dxa"/>
            <w:shd w:val="clear" w:color="auto" w:fill="auto"/>
            <w:noWrap/>
            <w:vAlign w:val="center"/>
          </w:tcPr>
          <w:p w14:paraId="61B5592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个</w:t>
            </w:r>
          </w:p>
        </w:tc>
        <w:tc>
          <w:tcPr>
            <w:tcW w:w="4380" w:type="dxa"/>
            <w:shd w:val="clear" w:color="auto" w:fill="auto"/>
            <w:vAlign w:val="center"/>
          </w:tcPr>
          <w:p w14:paraId="30948B70">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电源电压 220 VAC±15%；工作温度-20℃~+60℃；工作湿度 5%-90%@40℃，无凝结；覆盖单车道，有效拍摄距离(米) 18-25；最高闪光频率6次/秒，最大闪光能量75J，回电时间不大于67ms；</w:t>
            </w:r>
          </w:p>
        </w:tc>
      </w:tr>
      <w:tr w14:paraId="063A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shd w:val="clear" w:color="auto" w:fill="auto"/>
            <w:noWrap/>
            <w:vAlign w:val="center"/>
          </w:tcPr>
          <w:p w14:paraId="51F6C9B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38</w:t>
            </w:r>
          </w:p>
        </w:tc>
        <w:tc>
          <w:tcPr>
            <w:tcW w:w="978" w:type="dxa"/>
            <w:shd w:val="clear" w:color="auto" w:fill="auto"/>
            <w:vAlign w:val="center"/>
          </w:tcPr>
          <w:p w14:paraId="5595690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线圈车辆检测器</w:t>
            </w:r>
          </w:p>
        </w:tc>
        <w:tc>
          <w:tcPr>
            <w:tcW w:w="960" w:type="dxa"/>
            <w:shd w:val="clear" w:color="auto" w:fill="auto"/>
            <w:noWrap/>
            <w:vAlign w:val="center"/>
          </w:tcPr>
          <w:p w14:paraId="291D770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四方</w:t>
            </w:r>
          </w:p>
        </w:tc>
        <w:tc>
          <w:tcPr>
            <w:tcW w:w="1435" w:type="dxa"/>
            <w:shd w:val="clear" w:color="auto" w:fill="auto"/>
            <w:noWrap/>
            <w:vAlign w:val="center"/>
          </w:tcPr>
          <w:p w14:paraId="7A18DAA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SFCJ-1</w:t>
            </w:r>
          </w:p>
        </w:tc>
        <w:tc>
          <w:tcPr>
            <w:tcW w:w="872" w:type="dxa"/>
            <w:shd w:val="clear" w:color="auto" w:fill="auto"/>
            <w:noWrap/>
            <w:vAlign w:val="center"/>
          </w:tcPr>
          <w:p w14:paraId="1DDBC76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4</w:t>
            </w:r>
          </w:p>
        </w:tc>
        <w:tc>
          <w:tcPr>
            <w:tcW w:w="930" w:type="dxa"/>
            <w:shd w:val="clear" w:color="auto" w:fill="auto"/>
            <w:noWrap/>
            <w:vAlign w:val="center"/>
          </w:tcPr>
          <w:p w14:paraId="7B9B104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个</w:t>
            </w:r>
          </w:p>
        </w:tc>
        <w:tc>
          <w:tcPr>
            <w:tcW w:w="4380" w:type="dxa"/>
            <w:shd w:val="clear" w:color="auto" w:fill="auto"/>
            <w:vAlign w:val="center"/>
          </w:tcPr>
          <w:p w14:paraId="54F3B386">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电感量自调谐范围20-1500uH,Q值≥5；灵敏度4级可调；频率范围20kHz-110kHz，4级可调；响应时间≤100ms；（含线圈）</w:t>
            </w:r>
          </w:p>
        </w:tc>
      </w:tr>
    </w:tbl>
    <w:p w14:paraId="7FF821D8">
      <w:pPr>
        <w:spacing w:line="360" w:lineRule="auto"/>
        <w:rPr>
          <w:rFonts w:hint="eastAsia" w:asciiTheme="minorEastAsia" w:hAnsiTheme="minorEastAsia" w:eastAsiaTheme="minorEastAsia" w:cstheme="minorEastAsia"/>
          <w:b/>
          <w:bCs/>
          <w:color w:val="auto"/>
          <w:sz w:val="24"/>
          <w:szCs w:val="22"/>
          <w:highlight w:val="none"/>
          <w:lang w:val="en-US" w:eastAsia="zh-CN"/>
        </w:rPr>
      </w:pPr>
    </w:p>
    <w:p w14:paraId="32E4764D">
      <w:pPr>
        <w:spacing w:line="360" w:lineRule="auto"/>
        <w:rPr>
          <w:rFonts w:hint="eastAsia" w:asciiTheme="minorEastAsia" w:hAnsiTheme="minorEastAsia" w:eastAsiaTheme="minorEastAsia" w:cstheme="minorEastAsia"/>
          <w:b/>
          <w:bCs/>
          <w:color w:val="auto"/>
          <w:sz w:val="24"/>
          <w:szCs w:val="22"/>
          <w:highlight w:val="none"/>
          <w:lang w:val="en-US" w:eastAsia="zh-CN"/>
        </w:rPr>
      </w:pPr>
      <w:r>
        <w:rPr>
          <w:rFonts w:hint="eastAsia" w:asciiTheme="minorEastAsia" w:hAnsiTheme="minorEastAsia" w:eastAsiaTheme="minorEastAsia" w:cstheme="minorEastAsia"/>
          <w:b/>
          <w:bCs/>
          <w:color w:val="auto"/>
          <w:sz w:val="24"/>
          <w:szCs w:val="22"/>
          <w:highlight w:val="none"/>
          <w:lang w:val="en-US" w:eastAsia="zh-CN"/>
        </w:rPr>
        <w:t>2、点位名称：</w:t>
      </w:r>
      <w:bookmarkEnd w:id="30"/>
      <w:bookmarkEnd w:id="31"/>
      <w:bookmarkEnd w:id="32"/>
      <w:r>
        <w:rPr>
          <w:rFonts w:hint="eastAsia" w:asciiTheme="minorEastAsia" w:hAnsiTheme="minorEastAsia" w:eastAsiaTheme="minorEastAsia" w:cstheme="minorEastAsia"/>
          <w:b/>
          <w:bCs/>
          <w:color w:val="auto"/>
          <w:sz w:val="24"/>
          <w:szCs w:val="22"/>
          <w:highlight w:val="none"/>
          <w:lang w:val="en-US" w:eastAsia="zh-CN"/>
        </w:rPr>
        <w:t>原：X812城大线1K+000现：S218安龙线K198+200</w:t>
      </w:r>
    </w:p>
    <w:tbl>
      <w:tblPr>
        <w:tblStyle w:val="29"/>
        <w:tblW w:w="10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060"/>
        <w:gridCol w:w="825"/>
        <w:gridCol w:w="1242"/>
        <w:gridCol w:w="765"/>
        <w:gridCol w:w="990"/>
        <w:gridCol w:w="4710"/>
      </w:tblGrid>
      <w:tr w14:paraId="0DFA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3" w:type="dxa"/>
            <w:shd w:val="clear" w:color="auto" w:fill="auto"/>
            <w:noWrap/>
            <w:vAlign w:val="center"/>
          </w:tcPr>
          <w:p w14:paraId="535E797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序号</w:t>
            </w:r>
          </w:p>
        </w:tc>
        <w:tc>
          <w:tcPr>
            <w:tcW w:w="1060" w:type="dxa"/>
            <w:shd w:val="clear" w:color="auto" w:fill="auto"/>
            <w:vAlign w:val="center"/>
          </w:tcPr>
          <w:p w14:paraId="33745B4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货物名称</w:t>
            </w:r>
          </w:p>
        </w:tc>
        <w:tc>
          <w:tcPr>
            <w:tcW w:w="825" w:type="dxa"/>
            <w:shd w:val="clear" w:color="auto" w:fill="auto"/>
            <w:noWrap/>
            <w:vAlign w:val="center"/>
          </w:tcPr>
          <w:p w14:paraId="46906D5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品牌</w:t>
            </w:r>
          </w:p>
        </w:tc>
        <w:tc>
          <w:tcPr>
            <w:tcW w:w="1242" w:type="dxa"/>
            <w:shd w:val="clear" w:color="auto" w:fill="auto"/>
            <w:noWrap/>
            <w:vAlign w:val="center"/>
          </w:tcPr>
          <w:p w14:paraId="1D5A99B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型号</w:t>
            </w:r>
          </w:p>
        </w:tc>
        <w:tc>
          <w:tcPr>
            <w:tcW w:w="765" w:type="dxa"/>
            <w:shd w:val="clear" w:color="auto" w:fill="auto"/>
            <w:noWrap/>
            <w:vAlign w:val="center"/>
          </w:tcPr>
          <w:p w14:paraId="324D4EA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数量</w:t>
            </w:r>
          </w:p>
        </w:tc>
        <w:tc>
          <w:tcPr>
            <w:tcW w:w="990" w:type="dxa"/>
            <w:shd w:val="clear" w:color="auto" w:fill="auto"/>
            <w:noWrap/>
            <w:vAlign w:val="center"/>
          </w:tcPr>
          <w:p w14:paraId="259093D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单位</w:t>
            </w:r>
          </w:p>
        </w:tc>
        <w:tc>
          <w:tcPr>
            <w:tcW w:w="4710" w:type="dxa"/>
            <w:shd w:val="clear" w:color="auto" w:fill="auto"/>
            <w:noWrap/>
            <w:vAlign w:val="center"/>
          </w:tcPr>
          <w:p w14:paraId="52A6A84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val="en-US" w:eastAsia="zh-CN"/>
              </w:rPr>
              <w:t>设备</w:t>
            </w:r>
            <w:r>
              <w:rPr>
                <w:rFonts w:hint="eastAsia" w:ascii="宋体" w:hAnsi="宋体" w:eastAsia="宋体" w:cs="宋体"/>
                <w:color w:val="auto"/>
                <w:kern w:val="0"/>
                <w:sz w:val="21"/>
                <w:szCs w:val="21"/>
              </w:rPr>
              <w:t>参数</w:t>
            </w:r>
          </w:p>
        </w:tc>
      </w:tr>
      <w:tr w14:paraId="39EA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225" w:type="dxa"/>
            <w:gridSpan w:val="7"/>
            <w:shd w:val="clear" w:color="auto" w:fill="auto"/>
            <w:noWrap/>
            <w:vAlign w:val="center"/>
          </w:tcPr>
          <w:p w14:paraId="3656D671">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动态称重系统</w:t>
            </w:r>
          </w:p>
        </w:tc>
      </w:tr>
      <w:tr w14:paraId="17F9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3" w:type="dxa"/>
            <w:shd w:val="clear" w:color="auto" w:fill="auto"/>
            <w:noWrap/>
            <w:vAlign w:val="center"/>
          </w:tcPr>
          <w:p w14:paraId="5DB4C69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1060" w:type="dxa"/>
            <w:shd w:val="clear" w:color="auto" w:fill="auto"/>
            <w:vAlign w:val="center"/>
          </w:tcPr>
          <w:p w14:paraId="1BE3BA8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一体化秤台</w:t>
            </w:r>
          </w:p>
        </w:tc>
        <w:tc>
          <w:tcPr>
            <w:tcW w:w="825" w:type="dxa"/>
            <w:shd w:val="clear" w:color="auto" w:fill="auto"/>
            <w:noWrap/>
            <w:vAlign w:val="center"/>
          </w:tcPr>
          <w:p w14:paraId="24893CD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盘天</w:t>
            </w:r>
          </w:p>
        </w:tc>
        <w:tc>
          <w:tcPr>
            <w:tcW w:w="1242" w:type="dxa"/>
            <w:shd w:val="clear" w:color="auto" w:fill="auto"/>
            <w:noWrap/>
            <w:vAlign w:val="center"/>
          </w:tcPr>
          <w:p w14:paraId="42BC7B9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ZDG-40-DZ</w:t>
            </w:r>
          </w:p>
        </w:tc>
        <w:tc>
          <w:tcPr>
            <w:tcW w:w="765" w:type="dxa"/>
            <w:shd w:val="clear" w:color="auto" w:fill="auto"/>
            <w:noWrap/>
            <w:vAlign w:val="center"/>
          </w:tcPr>
          <w:p w14:paraId="21816CE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6</w:t>
            </w:r>
          </w:p>
        </w:tc>
        <w:tc>
          <w:tcPr>
            <w:tcW w:w="990" w:type="dxa"/>
            <w:shd w:val="clear" w:color="auto" w:fill="auto"/>
            <w:noWrap/>
            <w:vAlign w:val="center"/>
          </w:tcPr>
          <w:p w14:paraId="04D0FB0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710" w:type="dxa"/>
            <w:shd w:val="clear" w:color="auto" w:fill="auto"/>
            <w:vAlign w:val="center"/>
          </w:tcPr>
          <w:p w14:paraId="35C1AAB3">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荷载能力（单轴）：≥30t；</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满足对大型超限车辆静态至80km/h高速超限精检的要求。</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最大过载能力≥200%，在允许轴重下车辆总重量不限；称重传感器防护等级IP68。</w:t>
            </w:r>
          </w:p>
        </w:tc>
      </w:tr>
      <w:tr w14:paraId="1F82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3" w:type="dxa"/>
            <w:shd w:val="clear" w:color="auto" w:fill="auto"/>
            <w:noWrap/>
            <w:vAlign w:val="center"/>
          </w:tcPr>
          <w:p w14:paraId="4967C83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w:t>
            </w:r>
          </w:p>
        </w:tc>
        <w:tc>
          <w:tcPr>
            <w:tcW w:w="1060" w:type="dxa"/>
            <w:shd w:val="clear" w:color="auto" w:fill="auto"/>
            <w:vAlign w:val="center"/>
          </w:tcPr>
          <w:p w14:paraId="29F7DFB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称重传感器</w:t>
            </w:r>
          </w:p>
        </w:tc>
        <w:tc>
          <w:tcPr>
            <w:tcW w:w="825" w:type="dxa"/>
            <w:shd w:val="clear" w:color="auto" w:fill="auto"/>
            <w:noWrap/>
            <w:vAlign w:val="center"/>
          </w:tcPr>
          <w:p w14:paraId="335D1DC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中航</w:t>
            </w:r>
          </w:p>
        </w:tc>
        <w:tc>
          <w:tcPr>
            <w:tcW w:w="1242" w:type="dxa"/>
            <w:shd w:val="clear" w:color="auto" w:fill="auto"/>
            <w:noWrap/>
            <w:vAlign w:val="center"/>
          </w:tcPr>
          <w:p w14:paraId="3D9D077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HB-07</w:t>
            </w:r>
          </w:p>
        </w:tc>
        <w:tc>
          <w:tcPr>
            <w:tcW w:w="765" w:type="dxa"/>
            <w:shd w:val="clear" w:color="auto" w:fill="auto"/>
            <w:noWrap/>
            <w:vAlign w:val="center"/>
          </w:tcPr>
          <w:p w14:paraId="741C2F4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w:t>
            </w:r>
          </w:p>
        </w:tc>
        <w:tc>
          <w:tcPr>
            <w:tcW w:w="990" w:type="dxa"/>
            <w:shd w:val="clear" w:color="auto" w:fill="auto"/>
            <w:noWrap/>
            <w:vAlign w:val="center"/>
          </w:tcPr>
          <w:p w14:paraId="6AE410E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710" w:type="dxa"/>
            <w:shd w:val="clear" w:color="auto" w:fill="auto"/>
            <w:vAlign w:val="center"/>
          </w:tcPr>
          <w:p w14:paraId="66A148E8">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电阻应变式</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合金钢外壳材质；防护等级IP68。</w:t>
            </w:r>
          </w:p>
        </w:tc>
      </w:tr>
      <w:tr w14:paraId="5F17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3" w:type="dxa"/>
            <w:shd w:val="clear" w:color="auto" w:fill="auto"/>
            <w:noWrap/>
            <w:vAlign w:val="center"/>
          </w:tcPr>
          <w:p w14:paraId="40E899F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3</w:t>
            </w:r>
          </w:p>
        </w:tc>
        <w:tc>
          <w:tcPr>
            <w:tcW w:w="1060" w:type="dxa"/>
            <w:shd w:val="clear" w:color="auto" w:fill="auto"/>
            <w:vAlign w:val="center"/>
          </w:tcPr>
          <w:p w14:paraId="078C432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车辆检测器</w:t>
            </w:r>
          </w:p>
        </w:tc>
        <w:tc>
          <w:tcPr>
            <w:tcW w:w="825" w:type="dxa"/>
            <w:shd w:val="clear" w:color="auto" w:fill="auto"/>
            <w:noWrap/>
            <w:vAlign w:val="center"/>
          </w:tcPr>
          <w:p w14:paraId="360F5F1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242" w:type="dxa"/>
            <w:shd w:val="clear" w:color="auto" w:fill="auto"/>
            <w:noWrap/>
            <w:vAlign w:val="center"/>
          </w:tcPr>
          <w:p w14:paraId="1FFB48B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LVD-6008</w:t>
            </w:r>
          </w:p>
        </w:tc>
        <w:tc>
          <w:tcPr>
            <w:tcW w:w="765" w:type="dxa"/>
            <w:shd w:val="clear" w:color="auto" w:fill="auto"/>
            <w:noWrap/>
            <w:vAlign w:val="center"/>
          </w:tcPr>
          <w:p w14:paraId="647B638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990" w:type="dxa"/>
            <w:shd w:val="clear" w:color="auto" w:fill="auto"/>
            <w:noWrap/>
            <w:vAlign w:val="center"/>
          </w:tcPr>
          <w:p w14:paraId="5BD2A0C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710" w:type="dxa"/>
            <w:shd w:val="clear" w:color="auto" w:fill="auto"/>
            <w:vAlign w:val="center"/>
          </w:tcPr>
          <w:p w14:paraId="32BD3369">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电感量自调谐范围20-1000uH,Q值≥5；灵敏度4级可调；频率范围20kHz-110kHz，4级可调；响应时间≤100ms;2车道1台车检器。</w:t>
            </w:r>
          </w:p>
        </w:tc>
      </w:tr>
      <w:tr w14:paraId="4620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3" w:type="dxa"/>
            <w:shd w:val="clear" w:color="auto" w:fill="auto"/>
            <w:noWrap/>
            <w:vAlign w:val="center"/>
          </w:tcPr>
          <w:p w14:paraId="5410094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4</w:t>
            </w:r>
          </w:p>
        </w:tc>
        <w:tc>
          <w:tcPr>
            <w:tcW w:w="1060" w:type="dxa"/>
            <w:shd w:val="clear" w:color="auto" w:fill="auto"/>
            <w:vAlign w:val="center"/>
          </w:tcPr>
          <w:p w14:paraId="38A856D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车检线圈</w:t>
            </w:r>
          </w:p>
        </w:tc>
        <w:tc>
          <w:tcPr>
            <w:tcW w:w="825" w:type="dxa"/>
            <w:shd w:val="clear" w:color="auto" w:fill="auto"/>
            <w:noWrap/>
            <w:vAlign w:val="center"/>
          </w:tcPr>
          <w:p w14:paraId="0B4EE36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1242" w:type="dxa"/>
            <w:shd w:val="clear" w:color="auto" w:fill="auto"/>
            <w:noWrap/>
            <w:vAlign w:val="center"/>
          </w:tcPr>
          <w:p w14:paraId="3D532EC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FVN 1*15地感线圈专用</w:t>
            </w:r>
          </w:p>
        </w:tc>
        <w:tc>
          <w:tcPr>
            <w:tcW w:w="765" w:type="dxa"/>
            <w:shd w:val="clear" w:color="auto" w:fill="auto"/>
            <w:noWrap/>
            <w:vAlign w:val="center"/>
          </w:tcPr>
          <w:p w14:paraId="6095AE2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w:t>
            </w:r>
          </w:p>
        </w:tc>
        <w:tc>
          <w:tcPr>
            <w:tcW w:w="990" w:type="dxa"/>
            <w:shd w:val="clear" w:color="auto" w:fill="auto"/>
            <w:noWrap/>
            <w:vAlign w:val="center"/>
          </w:tcPr>
          <w:p w14:paraId="6C27598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车道</w:t>
            </w:r>
          </w:p>
        </w:tc>
        <w:tc>
          <w:tcPr>
            <w:tcW w:w="4710" w:type="dxa"/>
            <w:shd w:val="clear" w:color="auto" w:fill="auto"/>
            <w:vAlign w:val="center"/>
          </w:tcPr>
          <w:p w14:paraId="0BF9956F">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FVN49/0.26蓝/线圈线。</w:t>
            </w:r>
          </w:p>
        </w:tc>
      </w:tr>
      <w:tr w14:paraId="3C8F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225" w:type="dxa"/>
            <w:gridSpan w:val="7"/>
            <w:shd w:val="clear" w:color="auto" w:fill="auto"/>
            <w:noWrap/>
            <w:vAlign w:val="center"/>
          </w:tcPr>
          <w:p w14:paraId="04B35C37">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现场数据处理系统</w:t>
            </w:r>
          </w:p>
        </w:tc>
      </w:tr>
      <w:tr w14:paraId="1692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3" w:type="dxa"/>
            <w:shd w:val="clear" w:color="auto" w:fill="auto"/>
            <w:noWrap/>
            <w:vAlign w:val="center"/>
          </w:tcPr>
          <w:p w14:paraId="793625C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5</w:t>
            </w:r>
          </w:p>
        </w:tc>
        <w:tc>
          <w:tcPr>
            <w:tcW w:w="1060" w:type="dxa"/>
            <w:shd w:val="clear" w:color="auto" w:fill="auto"/>
            <w:vAlign w:val="center"/>
          </w:tcPr>
          <w:p w14:paraId="615DE86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现场工控机</w:t>
            </w:r>
          </w:p>
        </w:tc>
        <w:tc>
          <w:tcPr>
            <w:tcW w:w="825" w:type="dxa"/>
            <w:shd w:val="clear" w:color="auto" w:fill="auto"/>
            <w:noWrap/>
            <w:vAlign w:val="center"/>
          </w:tcPr>
          <w:p w14:paraId="227B26A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研祥</w:t>
            </w:r>
          </w:p>
        </w:tc>
        <w:tc>
          <w:tcPr>
            <w:tcW w:w="1242" w:type="dxa"/>
            <w:shd w:val="clear" w:color="auto" w:fill="auto"/>
            <w:noWrap/>
            <w:vAlign w:val="center"/>
          </w:tcPr>
          <w:p w14:paraId="4DF88DC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IPC-810</w:t>
            </w:r>
          </w:p>
        </w:tc>
        <w:tc>
          <w:tcPr>
            <w:tcW w:w="765" w:type="dxa"/>
            <w:shd w:val="clear" w:color="auto" w:fill="auto"/>
            <w:noWrap/>
            <w:vAlign w:val="center"/>
          </w:tcPr>
          <w:p w14:paraId="4948696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990" w:type="dxa"/>
            <w:shd w:val="clear" w:color="auto" w:fill="auto"/>
            <w:noWrap/>
            <w:vAlign w:val="center"/>
          </w:tcPr>
          <w:p w14:paraId="15B0137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台</w:t>
            </w:r>
          </w:p>
        </w:tc>
        <w:tc>
          <w:tcPr>
            <w:tcW w:w="4710" w:type="dxa"/>
            <w:shd w:val="clear" w:color="auto" w:fill="auto"/>
            <w:vAlign w:val="center"/>
          </w:tcPr>
          <w:p w14:paraId="154A53A0">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特殊定制称重仪表；全天候连续工作；断电后来电自动开机并自动加载监控系统；远程维护模块及远程管理系统。</w:t>
            </w:r>
          </w:p>
        </w:tc>
      </w:tr>
      <w:tr w14:paraId="14E64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3" w:type="dxa"/>
            <w:shd w:val="clear" w:color="auto" w:fill="auto"/>
            <w:noWrap/>
            <w:vAlign w:val="center"/>
          </w:tcPr>
          <w:p w14:paraId="34D74CE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6</w:t>
            </w:r>
          </w:p>
        </w:tc>
        <w:tc>
          <w:tcPr>
            <w:tcW w:w="1060" w:type="dxa"/>
            <w:shd w:val="clear" w:color="auto" w:fill="auto"/>
            <w:vAlign w:val="center"/>
          </w:tcPr>
          <w:p w14:paraId="35790CB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标准称重数据处理控制单元</w:t>
            </w:r>
          </w:p>
        </w:tc>
        <w:tc>
          <w:tcPr>
            <w:tcW w:w="825" w:type="dxa"/>
            <w:shd w:val="clear" w:color="auto" w:fill="auto"/>
            <w:noWrap/>
            <w:vAlign w:val="center"/>
          </w:tcPr>
          <w:p w14:paraId="13DFA3A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盘天</w:t>
            </w:r>
          </w:p>
        </w:tc>
        <w:tc>
          <w:tcPr>
            <w:tcW w:w="1242" w:type="dxa"/>
            <w:shd w:val="clear" w:color="auto" w:fill="auto"/>
            <w:noWrap/>
            <w:vAlign w:val="center"/>
          </w:tcPr>
          <w:p w14:paraId="36DEC10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ZDG-40-DZ/TD</w:t>
            </w:r>
          </w:p>
        </w:tc>
        <w:tc>
          <w:tcPr>
            <w:tcW w:w="765" w:type="dxa"/>
            <w:shd w:val="clear" w:color="auto" w:fill="auto"/>
            <w:noWrap/>
            <w:vAlign w:val="center"/>
          </w:tcPr>
          <w:p w14:paraId="5FAA061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990" w:type="dxa"/>
            <w:shd w:val="clear" w:color="auto" w:fill="auto"/>
            <w:noWrap/>
            <w:vAlign w:val="center"/>
          </w:tcPr>
          <w:p w14:paraId="2171E3E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台</w:t>
            </w:r>
          </w:p>
        </w:tc>
        <w:tc>
          <w:tcPr>
            <w:tcW w:w="4710" w:type="dxa"/>
            <w:shd w:val="clear" w:color="auto" w:fill="auto"/>
            <w:vAlign w:val="center"/>
          </w:tcPr>
          <w:p w14:paraId="2623DA4C">
            <w:pPr>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rPr>
              <w:t>跨道精检型，AD转换，数据采集，轴数识别；8路同步采样模</w:t>
            </w:r>
            <w:r>
              <w:rPr>
                <w:rFonts w:hint="eastAsia" w:ascii="宋体" w:hAnsi="宋体" w:eastAsia="宋体" w:cs="宋体"/>
                <w:color w:val="auto"/>
                <w:kern w:val="0"/>
                <w:sz w:val="21"/>
                <w:szCs w:val="21"/>
                <w:lang w:eastAsia="zh-CN"/>
              </w:rPr>
              <w:t>。</w:t>
            </w:r>
          </w:p>
        </w:tc>
      </w:tr>
      <w:tr w14:paraId="275B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3" w:type="dxa"/>
            <w:shd w:val="clear" w:color="auto" w:fill="auto"/>
            <w:noWrap/>
            <w:vAlign w:val="center"/>
          </w:tcPr>
          <w:p w14:paraId="6E71357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7</w:t>
            </w:r>
          </w:p>
        </w:tc>
        <w:tc>
          <w:tcPr>
            <w:tcW w:w="1060" w:type="dxa"/>
            <w:shd w:val="clear" w:color="auto" w:fill="auto"/>
            <w:vAlign w:val="center"/>
          </w:tcPr>
          <w:p w14:paraId="48EBF05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数据上传控制机柜</w:t>
            </w:r>
          </w:p>
        </w:tc>
        <w:tc>
          <w:tcPr>
            <w:tcW w:w="825" w:type="dxa"/>
            <w:shd w:val="clear" w:color="auto" w:fill="auto"/>
            <w:noWrap/>
            <w:vAlign w:val="center"/>
          </w:tcPr>
          <w:p w14:paraId="0D1EF42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荣恩</w:t>
            </w:r>
          </w:p>
        </w:tc>
        <w:tc>
          <w:tcPr>
            <w:tcW w:w="1242" w:type="dxa"/>
            <w:shd w:val="clear" w:color="auto" w:fill="auto"/>
            <w:noWrap/>
            <w:vAlign w:val="center"/>
          </w:tcPr>
          <w:p w14:paraId="7217001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RE-HWJG</w:t>
            </w:r>
          </w:p>
        </w:tc>
        <w:tc>
          <w:tcPr>
            <w:tcW w:w="765" w:type="dxa"/>
            <w:shd w:val="clear" w:color="auto" w:fill="auto"/>
            <w:noWrap/>
            <w:vAlign w:val="center"/>
          </w:tcPr>
          <w:p w14:paraId="3998683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990" w:type="dxa"/>
            <w:shd w:val="clear" w:color="auto" w:fill="auto"/>
            <w:noWrap/>
            <w:vAlign w:val="center"/>
          </w:tcPr>
          <w:p w14:paraId="024A4F3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个</w:t>
            </w:r>
          </w:p>
        </w:tc>
        <w:tc>
          <w:tcPr>
            <w:tcW w:w="4710" w:type="dxa"/>
            <w:shd w:val="clear" w:color="auto" w:fill="auto"/>
            <w:vAlign w:val="center"/>
          </w:tcPr>
          <w:p w14:paraId="17217DA6">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控制柜箱体厚度为2mm的冷轧板，使用防盗锁；带制冷设备；控制柜采用挂杆或落地安装，落地时基础墩台高度不小于30cm；防护等级：IP65；使用寿命大于l0年。</w:t>
            </w:r>
          </w:p>
        </w:tc>
      </w:tr>
      <w:tr w14:paraId="733E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3" w:type="dxa"/>
            <w:shd w:val="clear" w:color="auto" w:fill="auto"/>
            <w:noWrap/>
            <w:vAlign w:val="center"/>
          </w:tcPr>
          <w:p w14:paraId="7F7F102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8</w:t>
            </w:r>
          </w:p>
        </w:tc>
        <w:tc>
          <w:tcPr>
            <w:tcW w:w="1060" w:type="dxa"/>
            <w:shd w:val="clear" w:color="auto" w:fill="auto"/>
            <w:vAlign w:val="center"/>
          </w:tcPr>
          <w:p w14:paraId="09880C3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智能交通终端管理设备</w:t>
            </w:r>
          </w:p>
        </w:tc>
        <w:tc>
          <w:tcPr>
            <w:tcW w:w="825" w:type="dxa"/>
            <w:shd w:val="clear" w:color="auto" w:fill="auto"/>
            <w:noWrap/>
            <w:vAlign w:val="center"/>
          </w:tcPr>
          <w:p w14:paraId="0ABFF81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242" w:type="dxa"/>
            <w:shd w:val="clear" w:color="auto" w:fill="auto"/>
            <w:noWrap/>
            <w:vAlign w:val="center"/>
          </w:tcPr>
          <w:p w14:paraId="0BD24BE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DS-TP50-12E</w:t>
            </w:r>
          </w:p>
        </w:tc>
        <w:tc>
          <w:tcPr>
            <w:tcW w:w="765" w:type="dxa"/>
            <w:shd w:val="clear" w:color="auto" w:fill="auto"/>
            <w:noWrap/>
            <w:vAlign w:val="center"/>
          </w:tcPr>
          <w:p w14:paraId="4B7E62F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990" w:type="dxa"/>
            <w:shd w:val="clear" w:color="auto" w:fill="auto"/>
            <w:noWrap/>
            <w:vAlign w:val="center"/>
          </w:tcPr>
          <w:p w14:paraId="1BC4006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710" w:type="dxa"/>
            <w:shd w:val="clear" w:color="auto" w:fill="auto"/>
            <w:vAlign w:val="center"/>
          </w:tcPr>
          <w:p w14:paraId="15F445F5">
            <w:pPr>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rPr>
              <w:t>需提供5秒短视频功能。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可设置图片的存储空间，在规定的空间内自动循环覆盖，剩余空间为录像存储空间。</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p>
        </w:tc>
      </w:tr>
      <w:tr w14:paraId="16D5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3" w:type="dxa"/>
            <w:shd w:val="clear" w:color="auto" w:fill="auto"/>
            <w:noWrap/>
            <w:vAlign w:val="center"/>
          </w:tcPr>
          <w:p w14:paraId="6D8504E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9</w:t>
            </w:r>
          </w:p>
        </w:tc>
        <w:tc>
          <w:tcPr>
            <w:tcW w:w="1060" w:type="dxa"/>
            <w:shd w:val="clear" w:color="auto" w:fill="auto"/>
            <w:vAlign w:val="center"/>
          </w:tcPr>
          <w:p w14:paraId="7ABD0B1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工业交换机</w:t>
            </w:r>
          </w:p>
        </w:tc>
        <w:tc>
          <w:tcPr>
            <w:tcW w:w="825" w:type="dxa"/>
            <w:shd w:val="clear" w:color="auto" w:fill="auto"/>
            <w:noWrap/>
            <w:vAlign w:val="center"/>
          </w:tcPr>
          <w:p w14:paraId="13D5D49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圃惠</w:t>
            </w:r>
          </w:p>
        </w:tc>
        <w:tc>
          <w:tcPr>
            <w:tcW w:w="1242" w:type="dxa"/>
            <w:shd w:val="clear" w:color="auto" w:fill="auto"/>
            <w:vAlign w:val="center"/>
          </w:tcPr>
          <w:p w14:paraId="656DDF2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PH-H1610-02400</w:t>
            </w:r>
          </w:p>
        </w:tc>
        <w:tc>
          <w:tcPr>
            <w:tcW w:w="765" w:type="dxa"/>
            <w:shd w:val="clear" w:color="auto" w:fill="auto"/>
            <w:noWrap/>
            <w:vAlign w:val="center"/>
          </w:tcPr>
          <w:p w14:paraId="0F047E2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990" w:type="dxa"/>
            <w:shd w:val="clear" w:color="auto" w:fill="auto"/>
            <w:noWrap/>
            <w:vAlign w:val="center"/>
          </w:tcPr>
          <w:p w14:paraId="06B4625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台</w:t>
            </w:r>
          </w:p>
        </w:tc>
        <w:tc>
          <w:tcPr>
            <w:tcW w:w="4710" w:type="dxa"/>
            <w:shd w:val="clear" w:color="auto" w:fill="auto"/>
            <w:vAlign w:val="center"/>
          </w:tcPr>
          <w:p w14:paraId="3D81149F">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防雷：共模防护7KV，防雷等级4级；工作湿度：5%～95%，无冷凝；背板带宽：48Gbps；包转发率：35.7Mbps；24口，传输方式：存储转发方式；10/100/1000M自适应以太网端口。</w:t>
            </w:r>
          </w:p>
        </w:tc>
      </w:tr>
      <w:tr w14:paraId="31FA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3" w:type="dxa"/>
            <w:shd w:val="clear" w:color="000000" w:fill="auto"/>
            <w:noWrap/>
            <w:vAlign w:val="center"/>
          </w:tcPr>
          <w:p w14:paraId="5B312E0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10</w:t>
            </w:r>
          </w:p>
        </w:tc>
        <w:tc>
          <w:tcPr>
            <w:tcW w:w="1060" w:type="dxa"/>
            <w:shd w:val="clear" w:color="000000" w:fill="auto"/>
            <w:vAlign w:val="center"/>
          </w:tcPr>
          <w:p w14:paraId="0BDCC72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车辆动态称重检测系统</w:t>
            </w:r>
          </w:p>
        </w:tc>
        <w:tc>
          <w:tcPr>
            <w:tcW w:w="825" w:type="dxa"/>
            <w:shd w:val="clear" w:color="000000" w:fill="auto"/>
            <w:noWrap/>
            <w:vAlign w:val="center"/>
          </w:tcPr>
          <w:p w14:paraId="3A2BC49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盘云</w:t>
            </w:r>
          </w:p>
        </w:tc>
        <w:tc>
          <w:tcPr>
            <w:tcW w:w="1242" w:type="dxa"/>
            <w:shd w:val="clear" w:color="000000" w:fill="auto"/>
            <w:noWrap/>
            <w:vAlign w:val="center"/>
          </w:tcPr>
          <w:p w14:paraId="4E3EB81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765" w:type="dxa"/>
            <w:shd w:val="clear" w:color="000000" w:fill="auto"/>
            <w:noWrap/>
            <w:vAlign w:val="center"/>
          </w:tcPr>
          <w:p w14:paraId="0B5A9CC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　</w:t>
            </w:r>
          </w:p>
        </w:tc>
        <w:tc>
          <w:tcPr>
            <w:tcW w:w="990" w:type="dxa"/>
            <w:shd w:val="clear" w:color="000000" w:fill="auto"/>
            <w:noWrap/>
            <w:vAlign w:val="center"/>
          </w:tcPr>
          <w:p w14:paraId="6F467B2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710" w:type="dxa"/>
            <w:shd w:val="clear" w:color="000000" w:fill="auto"/>
            <w:vAlign w:val="center"/>
          </w:tcPr>
          <w:p w14:paraId="36337F78">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车辆通过自动分车，准确判断车辆轴数；全速度段称重满足动态衡器5级标准；0-1km/h超低速修正模块，确保超低速能够准确称重；自动匹配车辆重量数据和车牌、抓拍数据，形成完整检测数据；自动上传检测数据。</w:t>
            </w:r>
          </w:p>
        </w:tc>
      </w:tr>
      <w:tr w14:paraId="55F1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3" w:type="dxa"/>
            <w:shd w:val="clear" w:color="000000" w:fill="auto"/>
            <w:noWrap/>
            <w:vAlign w:val="center"/>
          </w:tcPr>
          <w:p w14:paraId="22C7B71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11</w:t>
            </w:r>
          </w:p>
        </w:tc>
        <w:tc>
          <w:tcPr>
            <w:tcW w:w="1060" w:type="dxa"/>
            <w:shd w:val="clear" w:color="000000" w:fill="auto"/>
            <w:vAlign w:val="center"/>
          </w:tcPr>
          <w:p w14:paraId="2D91EF3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车辆特殊过衡行驶行为智能识别系统</w:t>
            </w:r>
          </w:p>
        </w:tc>
        <w:tc>
          <w:tcPr>
            <w:tcW w:w="825" w:type="dxa"/>
            <w:shd w:val="clear" w:color="000000" w:fill="auto"/>
            <w:noWrap/>
            <w:vAlign w:val="center"/>
          </w:tcPr>
          <w:p w14:paraId="30EA52F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盘云</w:t>
            </w:r>
          </w:p>
        </w:tc>
        <w:tc>
          <w:tcPr>
            <w:tcW w:w="1242" w:type="dxa"/>
            <w:shd w:val="clear" w:color="000000" w:fill="auto"/>
            <w:noWrap/>
            <w:vAlign w:val="center"/>
          </w:tcPr>
          <w:p w14:paraId="469EC56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765" w:type="dxa"/>
            <w:shd w:val="clear" w:color="000000" w:fill="auto"/>
            <w:noWrap/>
            <w:vAlign w:val="center"/>
          </w:tcPr>
          <w:p w14:paraId="33E9A16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990" w:type="dxa"/>
            <w:shd w:val="clear" w:color="000000" w:fill="auto"/>
            <w:noWrap/>
            <w:vAlign w:val="center"/>
          </w:tcPr>
          <w:p w14:paraId="2B1355A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710" w:type="dxa"/>
            <w:shd w:val="clear" w:color="000000" w:fill="auto"/>
            <w:vAlign w:val="center"/>
          </w:tcPr>
          <w:p w14:paraId="7AF1F618">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软件用来判别公路车辆特殊过衡状态行驶行为；自动判断正向、逆向行驶行为，准确定义行驶方向和车道；自动判断单车跨道模块，压缝行驶行为，准确合并车辆数据；加强反作弊能力，自动判断超低速、走走停停行为，保证车辆判断不断轴。</w:t>
            </w:r>
          </w:p>
        </w:tc>
      </w:tr>
      <w:tr w14:paraId="6128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3" w:type="dxa"/>
            <w:shd w:val="clear" w:color="000000" w:fill="auto"/>
            <w:noWrap/>
            <w:vAlign w:val="center"/>
          </w:tcPr>
          <w:p w14:paraId="1762D3B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12</w:t>
            </w:r>
          </w:p>
        </w:tc>
        <w:tc>
          <w:tcPr>
            <w:tcW w:w="1060" w:type="dxa"/>
            <w:shd w:val="clear" w:color="000000" w:fill="auto"/>
            <w:vAlign w:val="center"/>
          </w:tcPr>
          <w:p w14:paraId="7BFAB64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超限信息传输与服务系统</w:t>
            </w:r>
          </w:p>
        </w:tc>
        <w:tc>
          <w:tcPr>
            <w:tcW w:w="825" w:type="dxa"/>
            <w:shd w:val="clear" w:color="000000" w:fill="auto"/>
            <w:noWrap/>
            <w:vAlign w:val="center"/>
          </w:tcPr>
          <w:p w14:paraId="685396B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盘云</w:t>
            </w:r>
          </w:p>
        </w:tc>
        <w:tc>
          <w:tcPr>
            <w:tcW w:w="1242" w:type="dxa"/>
            <w:shd w:val="clear" w:color="000000" w:fill="auto"/>
            <w:noWrap/>
            <w:vAlign w:val="center"/>
          </w:tcPr>
          <w:p w14:paraId="397A824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765" w:type="dxa"/>
            <w:shd w:val="clear" w:color="000000" w:fill="auto"/>
            <w:noWrap/>
            <w:vAlign w:val="center"/>
          </w:tcPr>
          <w:p w14:paraId="6CC9720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990" w:type="dxa"/>
            <w:shd w:val="clear" w:color="000000" w:fill="auto"/>
            <w:noWrap/>
            <w:vAlign w:val="center"/>
          </w:tcPr>
          <w:p w14:paraId="785B153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710" w:type="dxa"/>
            <w:shd w:val="clear" w:color="000000" w:fill="auto"/>
            <w:vAlign w:val="center"/>
          </w:tcPr>
          <w:p w14:paraId="161024A1">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上层平台对接标准接口，情报板标准控制卡对接接口，与抓拍监控等外围系统数据对接；工控机现场数据对平台的数据传输服务。</w:t>
            </w:r>
          </w:p>
        </w:tc>
      </w:tr>
      <w:tr w14:paraId="2D32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225" w:type="dxa"/>
            <w:gridSpan w:val="7"/>
            <w:shd w:val="clear" w:color="000000" w:fill="auto"/>
            <w:noWrap/>
            <w:vAlign w:val="center"/>
          </w:tcPr>
          <w:p w14:paraId="6D164375">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车牌识别系统</w:t>
            </w:r>
          </w:p>
        </w:tc>
      </w:tr>
      <w:tr w14:paraId="39BFB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3" w:type="dxa"/>
            <w:shd w:val="clear" w:color="auto" w:fill="auto"/>
            <w:noWrap/>
            <w:vAlign w:val="center"/>
          </w:tcPr>
          <w:p w14:paraId="6FDC9EB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13</w:t>
            </w:r>
          </w:p>
        </w:tc>
        <w:tc>
          <w:tcPr>
            <w:tcW w:w="1060" w:type="dxa"/>
            <w:shd w:val="clear" w:color="auto" w:fill="auto"/>
            <w:vAlign w:val="center"/>
          </w:tcPr>
          <w:p w14:paraId="328C14A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车头抓拍高清摄像机(配置实现双向功能 )</w:t>
            </w:r>
          </w:p>
        </w:tc>
        <w:tc>
          <w:tcPr>
            <w:tcW w:w="825" w:type="dxa"/>
            <w:shd w:val="clear" w:color="auto" w:fill="auto"/>
            <w:noWrap/>
            <w:vAlign w:val="center"/>
          </w:tcPr>
          <w:p w14:paraId="4FDDE63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242" w:type="dxa"/>
            <w:shd w:val="clear" w:color="auto" w:fill="auto"/>
            <w:noWrap/>
            <w:vAlign w:val="center"/>
          </w:tcPr>
          <w:p w14:paraId="6C895F9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iDS-TCV900-PK</w:t>
            </w:r>
          </w:p>
        </w:tc>
        <w:tc>
          <w:tcPr>
            <w:tcW w:w="765" w:type="dxa"/>
            <w:shd w:val="clear" w:color="auto" w:fill="auto"/>
            <w:noWrap/>
            <w:vAlign w:val="center"/>
          </w:tcPr>
          <w:p w14:paraId="15FBE09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4</w:t>
            </w:r>
          </w:p>
        </w:tc>
        <w:tc>
          <w:tcPr>
            <w:tcW w:w="990" w:type="dxa"/>
            <w:shd w:val="clear" w:color="auto" w:fill="auto"/>
            <w:noWrap/>
            <w:vAlign w:val="center"/>
          </w:tcPr>
          <w:p w14:paraId="1E6289A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710" w:type="dxa"/>
            <w:shd w:val="clear" w:color="auto" w:fill="auto"/>
            <w:vAlign w:val="center"/>
          </w:tcPr>
          <w:p w14:paraId="300B99A2">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≥900万像素；至少支持H.265/H.264/MJPEG；</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支持识别多种车辆子品牌，在天气晴朗无雾，号牌无遮挡、无污损，白天环境光照度不低于200lx，晚上辅助光照度不高于30lx的条件下测试，白天、晚上识别准确率均≥96%</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支持多拍过滤功能，可设置多拍过滤时间段为0-250000ms，在此时间段内多次经过的车辆只抓拍一次。</w:t>
            </w:r>
          </w:p>
        </w:tc>
      </w:tr>
      <w:tr w14:paraId="4A65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3" w:type="dxa"/>
            <w:shd w:val="clear" w:color="auto" w:fill="auto"/>
            <w:noWrap/>
            <w:vAlign w:val="center"/>
          </w:tcPr>
          <w:p w14:paraId="6304D3C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14</w:t>
            </w:r>
          </w:p>
        </w:tc>
        <w:tc>
          <w:tcPr>
            <w:tcW w:w="1060" w:type="dxa"/>
            <w:shd w:val="clear" w:color="auto" w:fill="auto"/>
            <w:vAlign w:val="center"/>
          </w:tcPr>
          <w:p w14:paraId="43386C3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爆闪灯</w:t>
            </w:r>
          </w:p>
        </w:tc>
        <w:tc>
          <w:tcPr>
            <w:tcW w:w="825" w:type="dxa"/>
            <w:shd w:val="clear" w:color="auto" w:fill="auto"/>
            <w:noWrap/>
            <w:vAlign w:val="center"/>
          </w:tcPr>
          <w:p w14:paraId="2FFE65C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242" w:type="dxa"/>
            <w:shd w:val="clear" w:color="auto" w:fill="auto"/>
            <w:noWrap/>
            <w:vAlign w:val="center"/>
          </w:tcPr>
          <w:p w14:paraId="59A0652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CXBG-2-MC-SL-1211-1</w:t>
            </w:r>
          </w:p>
        </w:tc>
        <w:tc>
          <w:tcPr>
            <w:tcW w:w="765" w:type="dxa"/>
            <w:shd w:val="clear" w:color="auto" w:fill="auto"/>
            <w:noWrap/>
            <w:vAlign w:val="center"/>
          </w:tcPr>
          <w:p w14:paraId="2981D23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6</w:t>
            </w:r>
          </w:p>
        </w:tc>
        <w:tc>
          <w:tcPr>
            <w:tcW w:w="990" w:type="dxa"/>
            <w:shd w:val="clear" w:color="auto" w:fill="auto"/>
            <w:noWrap/>
            <w:vAlign w:val="center"/>
          </w:tcPr>
          <w:p w14:paraId="30C69A0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台</w:t>
            </w:r>
          </w:p>
        </w:tc>
        <w:tc>
          <w:tcPr>
            <w:tcW w:w="4710" w:type="dxa"/>
            <w:shd w:val="clear" w:color="auto" w:fill="auto"/>
            <w:vAlign w:val="center"/>
          </w:tcPr>
          <w:p w14:paraId="4A1FA5B6">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电源电压220VAC±15%；工作温度-20℃~+60℃；工作湿度 5%-90%@40℃，无凝结；覆盖单车道，有效拍摄距离(米) 18-25；最高闪光频率6次/秒，最大闪光能量75J，回电时间不大于67ms；色温值（K）5500±200；</w:t>
            </w:r>
          </w:p>
        </w:tc>
      </w:tr>
      <w:tr w14:paraId="564C5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3" w:type="dxa"/>
            <w:shd w:val="clear" w:color="auto" w:fill="auto"/>
            <w:noWrap/>
            <w:vAlign w:val="center"/>
          </w:tcPr>
          <w:p w14:paraId="2AF69E1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15</w:t>
            </w:r>
          </w:p>
        </w:tc>
        <w:tc>
          <w:tcPr>
            <w:tcW w:w="1060" w:type="dxa"/>
            <w:shd w:val="clear" w:color="auto" w:fill="auto"/>
            <w:vAlign w:val="center"/>
          </w:tcPr>
          <w:p w14:paraId="3CB5AA3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补光灯</w:t>
            </w:r>
          </w:p>
        </w:tc>
        <w:tc>
          <w:tcPr>
            <w:tcW w:w="825" w:type="dxa"/>
            <w:shd w:val="clear" w:color="auto" w:fill="auto"/>
            <w:noWrap/>
            <w:vAlign w:val="center"/>
          </w:tcPr>
          <w:p w14:paraId="2AEED4C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242" w:type="dxa"/>
            <w:shd w:val="clear" w:color="auto" w:fill="auto"/>
            <w:vAlign w:val="center"/>
          </w:tcPr>
          <w:p w14:paraId="011EB01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CXBG-1-PS-DS-TL2000A-L1-N</w:t>
            </w:r>
          </w:p>
        </w:tc>
        <w:tc>
          <w:tcPr>
            <w:tcW w:w="765" w:type="dxa"/>
            <w:shd w:val="clear" w:color="auto" w:fill="auto"/>
            <w:noWrap/>
            <w:vAlign w:val="center"/>
          </w:tcPr>
          <w:p w14:paraId="49DCAA3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4</w:t>
            </w:r>
          </w:p>
        </w:tc>
        <w:tc>
          <w:tcPr>
            <w:tcW w:w="990" w:type="dxa"/>
            <w:shd w:val="clear" w:color="auto" w:fill="auto"/>
            <w:noWrap/>
            <w:vAlign w:val="center"/>
          </w:tcPr>
          <w:p w14:paraId="7E94EBA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台</w:t>
            </w:r>
          </w:p>
        </w:tc>
        <w:tc>
          <w:tcPr>
            <w:tcW w:w="4710" w:type="dxa"/>
            <w:shd w:val="clear" w:color="auto" w:fill="auto"/>
            <w:vAlign w:val="center"/>
          </w:tcPr>
          <w:p w14:paraId="4C468CC1">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暖光LED频闪灯，单车道环境补光灯；最佳补光距离16m～25m；支持5V电平量触发，最大功率30W。</w:t>
            </w:r>
          </w:p>
        </w:tc>
      </w:tr>
      <w:tr w14:paraId="64C2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3" w:type="dxa"/>
            <w:shd w:val="clear" w:color="auto" w:fill="auto"/>
            <w:noWrap/>
            <w:vAlign w:val="center"/>
          </w:tcPr>
          <w:p w14:paraId="530AB3E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16</w:t>
            </w:r>
          </w:p>
        </w:tc>
        <w:tc>
          <w:tcPr>
            <w:tcW w:w="1060" w:type="dxa"/>
            <w:shd w:val="clear" w:color="auto" w:fill="auto"/>
            <w:vAlign w:val="center"/>
          </w:tcPr>
          <w:p w14:paraId="3833E05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侧后抓拍摄像机</w:t>
            </w:r>
          </w:p>
        </w:tc>
        <w:tc>
          <w:tcPr>
            <w:tcW w:w="825" w:type="dxa"/>
            <w:shd w:val="clear" w:color="auto" w:fill="auto"/>
            <w:noWrap/>
            <w:vAlign w:val="center"/>
          </w:tcPr>
          <w:p w14:paraId="390B257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242" w:type="dxa"/>
            <w:shd w:val="clear" w:color="auto" w:fill="auto"/>
            <w:noWrap/>
            <w:vAlign w:val="center"/>
          </w:tcPr>
          <w:p w14:paraId="7510207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iDS-TCE500-PK</w:t>
            </w:r>
          </w:p>
        </w:tc>
        <w:tc>
          <w:tcPr>
            <w:tcW w:w="765" w:type="dxa"/>
            <w:shd w:val="clear" w:color="auto" w:fill="auto"/>
            <w:noWrap/>
            <w:vAlign w:val="center"/>
          </w:tcPr>
          <w:p w14:paraId="45B9745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w:t>
            </w:r>
          </w:p>
        </w:tc>
        <w:tc>
          <w:tcPr>
            <w:tcW w:w="990" w:type="dxa"/>
            <w:shd w:val="clear" w:color="auto" w:fill="auto"/>
            <w:noWrap/>
            <w:vAlign w:val="center"/>
          </w:tcPr>
          <w:p w14:paraId="2C81070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710" w:type="dxa"/>
            <w:shd w:val="clear" w:color="auto" w:fill="auto"/>
            <w:vAlign w:val="center"/>
          </w:tcPr>
          <w:p w14:paraId="6422D504">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≥500万像素；至少支持H.265/H.264/MJPEG；</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支持识别多种车辆子品牌识别功能；白天识别准确率≥98%；晚上识别准确率≥96%；</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支持对视频画面中高度超过设定阈值的车辆进行检测并抓拍图片；</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支持多拍过滤功能，可设置多拍过滤时间段为0-250000ms，在此时间段内多次经过的车辆只抓拍一次；</w:t>
            </w:r>
          </w:p>
        </w:tc>
      </w:tr>
      <w:tr w14:paraId="3A0F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3" w:type="dxa"/>
            <w:shd w:val="clear" w:color="auto" w:fill="auto"/>
            <w:noWrap/>
            <w:vAlign w:val="center"/>
          </w:tcPr>
          <w:p w14:paraId="7021A75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17</w:t>
            </w:r>
          </w:p>
        </w:tc>
        <w:tc>
          <w:tcPr>
            <w:tcW w:w="1060" w:type="dxa"/>
            <w:shd w:val="clear" w:color="auto" w:fill="auto"/>
            <w:vAlign w:val="center"/>
          </w:tcPr>
          <w:p w14:paraId="476B884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道路监控球机</w:t>
            </w:r>
          </w:p>
        </w:tc>
        <w:tc>
          <w:tcPr>
            <w:tcW w:w="825" w:type="dxa"/>
            <w:shd w:val="clear" w:color="auto" w:fill="auto"/>
            <w:noWrap/>
            <w:vAlign w:val="center"/>
          </w:tcPr>
          <w:p w14:paraId="6B5265D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242" w:type="dxa"/>
            <w:shd w:val="clear" w:color="auto" w:fill="auto"/>
            <w:noWrap/>
            <w:vAlign w:val="center"/>
          </w:tcPr>
          <w:p w14:paraId="6450D0A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DS-2DF8225MH-PK</w:t>
            </w:r>
          </w:p>
        </w:tc>
        <w:tc>
          <w:tcPr>
            <w:tcW w:w="765" w:type="dxa"/>
            <w:shd w:val="clear" w:color="auto" w:fill="auto"/>
            <w:noWrap/>
            <w:vAlign w:val="center"/>
          </w:tcPr>
          <w:p w14:paraId="7A6633F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990" w:type="dxa"/>
            <w:shd w:val="clear" w:color="auto" w:fill="auto"/>
            <w:noWrap/>
            <w:vAlign w:val="center"/>
          </w:tcPr>
          <w:p w14:paraId="780C349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个</w:t>
            </w:r>
          </w:p>
        </w:tc>
        <w:tc>
          <w:tcPr>
            <w:tcW w:w="4710" w:type="dxa"/>
            <w:shd w:val="clear" w:color="auto" w:fill="auto"/>
            <w:vAlign w:val="center"/>
          </w:tcPr>
          <w:p w14:paraId="03BFB0E4">
            <w:pPr>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图像传感器 1/2.8＂</w:t>
            </w:r>
          </w:p>
          <w:p w14:paraId="3148DDB0">
            <w:pPr>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最低照度：彩色：0.0004Lux @ (F1.5，AGC ON)；黑白：0.0001Lux @(F1.5，AGC ON) ；0 Lux with IR </w:t>
            </w:r>
          </w:p>
          <w:p w14:paraId="4A7FC3EE">
            <w:pPr>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视频压缩：H.265/H.264/MJPEG </w:t>
            </w:r>
          </w:p>
          <w:p w14:paraId="1877B085">
            <w:pPr>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音频压缩：G.711alaw/G.711ulaw/G.722.1/G.726/MP2L2/AAC/PCM </w:t>
            </w:r>
          </w:p>
          <w:p w14:paraId="71BC0CA7">
            <w:pPr>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红外照射距离：200 米 </w:t>
            </w:r>
          </w:p>
          <w:p w14:paraId="3CD0C089">
            <w:pPr>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白平衡：自动/手动/自动跟踪白平衡/室外/室内/日光灯白平衡/钠灯白平衡 </w:t>
            </w:r>
          </w:p>
          <w:p w14:paraId="5C9C50AC">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增益控制：自动/手动 信噪比 ≥55dB</w:t>
            </w:r>
          </w:p>
        </w:tc>
      </w:tr>
      <w:tr w14:paraId="4D0D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225" w:type="dxa"/>
            <w:gridSpan w:val="7"/>
            <w:shd w:val="clear" w:color="auto" w:fill="auto"/>
            <w:noWrap/>
            <w:vAlign w:val="center"/>
          </w:tcPr>
          <w:p w14:paraId="25656237">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超限信息发布系统</w:t>
            </w:r>
          </w:p>
        </w:tc>
      </w:tr>
      <w:tr w14:paraId="5EBF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3" w:type="dxa"/>
            <w:shd w:val="clear" w:color="auto" w:fill="auto"/>
            <w:noWrap/>
            <w:vAlign w:val="center"/>
          </w:tcPr>
          <w:p w14:paraId="6BFC60F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18</w:t>
            </w:r>
          </w:p>
        </w:tc>
        <w:tc>
          <w:tcPr>
            <w:tcW w:w="1060" w:type="dxa"/>
            <w:shd w:val="clear" w:color="auto" w:fill="auto"/>
            <w:vAlign w:val="center"/>
          </w:tcPr>
          <w:p w14:paraId="56E3662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LED显示屏屏体(F型)</w:t>
            </w:r>
          </w:p>
        </w:tc>
        <w:tc>
          <w:tcPr>
            <w:tcW w:w="825" w:type="dxa"/>
            <w:shd w:val="clear" w:color="auto" w:fill="auto"/>
            <w:noWrap/>
            <w:vAlign w:val="center"/>
          </w:tcPr>
          <w:p w14:paraId="10C249E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依鲁光电</w:t>
            </w:r>
          </w:p>
        </w:tc>
        <w:tc>
          <w:tcPr>
            <w:tcW w:w="1242" w:type="dxa"/>
            <w:shd w:val="clear" w:color="auto" w:fill="auto"/>
            <w:noWrap/>
            <w:vAlign w:val="center"/>
          </w:tcPr>
          <w:p w14:paraId="25AED11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EL-PH31.25-3R2G</w:t>
            </w:r>
          </w:p>
        </w:tc>
        <w:tc>
          <w:tcPr>
            <w:tcW w:w="765" w:type="dxa"/>
            <w:shd w:val="clear" w:color="auto" w:fill="auto"/>
            <w:noWrap/>
            <w:vAlign w:val="center"/>
          </w:tcPr>
          <w:p w14:paraId="19D7F2A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5</w:t>
            </w:r>
          </w:p>
        </w:tc>
        <w:tc>
          <w:tcPr>
            <w:tcW w:w="990" w:type="dxa"/>
            <w:shd w:val="clear" w:color="auto" w:fill="auto"/>
            <w:noWrap/>
            <w:vAlign w:val="center"/>
          </w:tcPr>
          <w:p w14:paraId="38BBC20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平方</w:t>
            </w:r>
          </w:p>
        </w:tc>
        <w:tc>
          <w:tcPr>
            <w:tcW w:w="4710" w:type="dxa"/>
            <w:shd w:val="clear" w:color="auto" w:fill="auto"/>
            <w:vAlign w:val="center"/>
          </w:tcPr>
          <w:p w14:paraId="1F2CE8D4">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双基色 LED 屏（P31.25)；封装要求：防水、防光、防腐，通风，散热；像素点距：31.25mm；配置：3 红 2 绿；光源：红管晶元，绿管晶元；温度：-20℃～+60℃；湿度：10%～95%RH；抗风速：40m/s；</w:t>
            </w:r>
          </w:p>
        </w:tc>
      </w:tr>
      <w:tr w14:paraId="59294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3" w:type="dxa"/>
            <w:shd w:val="clear" w:color="auto" w:fill="auto"/>
            <w:noWrap/>
            <w:vAlign w:val="center"/>
          </w:tcPr>
          <w:p w14:paraId="2F6BE05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19</w:t>
            </w:r>
          </w:p>
        </w:tc>
        <w:tc>
          <w:tcPr>
            <w:tcW w:w="1060" w:type="dxa"/>
            <w:shd w:val="clear" w:color="auto" w:fill="auto"/>
            <w:vAlign w:val="center"/>
          </w:tcPr>
          <w:p w14:paraId="0C1CA31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户外LED屏配电箱</w:t>
            </w:r>
          </w:p>
        </w:tc>
        <w:tc>
          <w:tcPr>
            <w:tcW w:w="825" w:type="dxa"/>
            <w:shd w:val="clear" w:color="auto" w:fill="auto"/>
            <w:noWrap/>
            <w:vAlign w:val="center"/>
          </w:tcPr>
          <w:p w14:paraId="3DF6498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1242" w:type="dxa"/>
            <w:shd w:val="clear" w:color="auto" w:fill="auto"/>
            <w:noWrap/>
            <w:vAlign w:val="center"/>
          </w:tcPr>
          <w:p w14:paraId="7052F4C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765" w:type="dxa"/>
            <w:shd w:val="clear" w:color="auto" w:fill="auto"/>
            <w:noWrap/>
            <w:vAlign w:val="center"/>
          </w:tcPr>
          <w:p w14:paraId="134F1EB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990" w:type="dxa"/>
            <w:shd w:val="clear" w:color="auto" w:fill="auto"/>
            <w:noWrap/>
            <w:vAlign w:val="center"/>
          </w:tcPr>
          <w:p w14:paraId="1343A4D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710" w:type="dxa"/>
            <w:shd w:val="clear" w:color="auto" w:fill="auto"/>
            <w:vAlign w:val="center"/>
          </w:tcPr>
          <w:p w14:paraId="684BE39E">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含63A空开</w:t>
            </w:r>
          </w:p>
        </w:tc>
      </w:tr>
      <w:tr w14:paraId="171C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225" w:type="dxa"/>
            <w:gridSpan w:val="7"/>
            <w:shd w:val="clear" w:color="auto" w:fill="auto"/>
            <w:noWrap/>
            <w:vAlign w:val="center"/>
          </w:tcPr>
          <w:p w14:paraId="54B43AD3">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传输及供电系统</w:t>
            </w:r>
          </w:p>
        </w:tc>
      </w:tr>
      <w:tr w14:paraId="6F2B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3" w:type="dxa"/>
            <w:shd w:val="clear" w:color="auto" w:fill="auto"/>
            <w:noWrap/>
            <w:vAlign w:val="center"/>
          </w:tcPr>
          <w:p w14:paraId="7821BC8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20</w:t>
            </w:r>
          </w:p>
        </w:tc>
        <w:tc>
          <w:tcPr>
            <w:tcW w:w="1060" w:type="dxa"/>
            <w:shd w:val="clear" w:color="auto" w:fill="auto"/>
            <w:vAlign w:val="center"/>
          </w:tcPr>
          <w:p w14:paraId="2E0380C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摄像机电源线</w:t>
            </w:r>
          </w:p>
        </w:tc>
        <w:tc>
          <w:tcPr>
            <w:tcW w:w="825" w:type="dxa"/>
            <w:shd w:val="clear" w:color="auto" w:fill="auto"/>
            <w:noWrap/>
            <w:vAlign w:val="center"/>
          </w:tcPr>
          <w:p w14:paraId="15C4E2D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1242" w:type="dxa"/>
            <w:shd w:val="clear" w:color="auto" w:fill="auto"/>
            <w:noWrap/>
            <w:vAlign w:val="center"/>
          </w:tcPr>
          <w:p w14:paraId="5D6CCA9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优质</w:t>
            </w:r>
          </w:p>
        </w:tc>
        <w:tc>
          <w:tcPr>
            <w:tcW w:w="765" w:type="dxa"/>
            <w:shd w:val="clear" w:color="auto" w:fill="auto"/>
            <w:noWrap/>
            <w:vAlign w:val="center"/>
          </w:tcPr>
          <w:p w14:paraId="46601FA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200</w:t>
            </w:r>
          </w:p>
        </w:tc>
        <w:tc>
          <w:tcPr>
            <w:tcW w:w="990" w:type="dxa"/>
            <w:shd w:val="clear" w:color="auto" w:fill="auto"/>
            <w:noWrap/>
            <w:vAlign w:val="center"/>
          </w:tcPr>
          <w:p w14:paraId="67BC0B1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710" w:type="dxa"/>
            <w:shd w:val="clear" w:color="auto" w:fill="auto"/>
            <w:vAlign w:val="center"/>
          </w:tcPr>
          <w:p w14:paraId="59F2FF87">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工控机柜至摄像机，电源线。</w:t>
            </w:r>
          </w:p>
        </w:tc>
      </w:tr>
      <w:tr w14:paraId="2B0A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3" w:type="dxa"/>
            <w:shd w:val="clear" w:color="auto" w:fill="auto"/>
            <w:noWrap/>
            <w:vAlign w:val="center"/>
          </w:tcPr>
          <w:p w14:paraId="780F7AF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21</w:t>
            </w:r>
          </w:p>
        </w:tc>
        <w:tc>
          <w:tcPr>
            <w:tcW w:w="1060" w:type="dxa"/>
            <w:shd w:val="clear" w:color="auto" w:fill="auto"/>
            <w:vAlign w:val="center"/>
          </w:tcPr>
          <w:p w14:paraId="41150BA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摄像机控制线</w:t>
            </w:r>
          </w:p>
        </w:tc>
        <w:tc>
          <w:tcPr>
            <w:tcW w:w="825" w:type="dxa"/>
            <w:shd w:val="clear" w:color="auto" w:fill="auto"/>
            <w:noWrap/>
            <w:vAlign w:val="center"/>
          </w:tcPr>
          <w:p w14:paraId="33292F8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1242" w:type="dxa"/>
            <w:shd w:val="clear" w:color="auto" w:fill="auto"/>
            <w:noWrap/>
            <w:vAlign w:val="center"/>
          </w:tcPr>
          <w:p w14:paraId="04CF531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优质</w:t>
            </w:r>
          </w:p>
        </w:tc>
        <w:tc>
          <w:tcPr>
            <w:tcW w:w="765" w:type="dxa"/>
            <w:shd w:val="clear" w:color="auto" w:fill="auto"/>
            <w:noWrap/>
            <w:vAlign w:val="center"/>
          </w:tcPr>
          <w:p w14:paraId="5C7D66F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240</w:t>
            </w:r>
          </w:p>
        </w:tc>
        <w:tc>
          <w:tcPr>
            <w:tcW w:w="990" w:type="dxa"/>
            <w:shd w:val="clear" w:color="auto" w:fill="auto"/>
            <w:noWrap/>
            <w:vAlign w:val="center"/>
          </w:tcPr>
          <w:p w14:paraId="5CD1C3F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710" w:type="dxa"/>
            <w:shd w:val="clear" w:color="auto" w:fill="auto"/>
            <w:vAlign w:val="center"/>
          </w:tcPr>
          <w:p w14:paraId="778A3317">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工控机柜485模块至摄像机，信号线。</w:t>
            </w:r>
          </w:p>
        </w:tc>
      </w:tr>
      <w:tr w14:paraId="6E19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3" w:type="dxa"/>
            <w:shd w:val="clear" w:color="auto" w:fill="auto"/>
            <w:noWrap/>
            <w:vAlign w:val="center"/>
          </w:tcPr>
          <w:p w14:paraId="4BB3497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22</w:t>
            </w:r>
          </w:p>
        </w:tc>
        <w:tc>
          <w:tcPr>
            <w:tcW w:w="1060" w:type="dxa"/>
            <w:shd w:val="clear" w:color="auto" w:fill="auto"/>
            <w:vAlign w:val="center"/>
          </w:tcPr>
          <w:p w14:paraId="773BE26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网线</w:t>
            </w:r>
          </w:p>
        </w:tc>
        <w:tc>
          <w:tcPr>
            <w:tcW w:w="825" w:type="dxa"/>
            <w:shd w:val="clear" w:color="auto" w:fill="auto"/>
            <w:noWrap/>
            <w:vAlign w:val="center"/>
          </w:tcPr>
          <w:p w14:paraId="3733AC0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1242" w:type="dxa"/>
            <w:shd w:val="clear" w:color="auto" w:fill="auto"/>
            <w:noWrap/>
            <w:vAlign w:val="center"/>
          </w:tcPr>
          <w:p w14:paraId="33FA15A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优质</w:t>
            </w:r>
          </w:p>
        </w:tc>
        <w:tc>
          <w:tcPr>
            <w:tcW w:w="765" w:type="dxa"/>
            <w:shd w:val="clear" w:color="auto" w:fill="auto"/>
            <w:noWrap/>
            <w:vAlign w:val="center"/>
          </w:tcPr>
          <w:p w14:paraId="6C8650B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480</w:t>
            </w:r>
          </w:p>
        </w:tc>
        <w:tc>
          <w:tcPr>
            <w:tcW w:w="990" w:type="dxa"/>
            <w:shd w:val="clear" w:color="auto" w:fill="auto"/>
            <w:noWrap/>
            <w:vAlign w:val="center"/>
          </w:tcPr>
          <w:p w14:paraId="5841205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710" w:type="dxa"/>
            <w:shd w:val="clear" w:color="auto" w:fill="auto"/>
            <w:vAlign w:val="center"/>
          </w:tcPr>
          <w:p w14:paraId="5E9ACABC">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交换机至抱杆箱，抱杆箱至摄像机，后台系统用线，阻水。</w:t>
            </w:r>
          </w:p>
        </w:tc>
      </w:tr>
      <w:tr w14:paraId="53BC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3" w:type="dxa"/>
            <w:shd w:val="clear" w:color="auto" w:fill="auto"/>
            <w:noWrap/>
            <w:vAlign w:val="center"/>
          </w:tcPr>
          <w:p w14:paraId="00A91E8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23</w:t>
            </w:r>
          </w:p>
        </w:tc>
        <w:tc>
          <w:tcPr>
            <w:tcW w:w="1060" w:type="dxa"/>
            <w:shd w:val="clear" w:color="auto" w:fill="auto"/>
            <w:vAlign w:val="center"/>
          </w:tcPr>
          <w:p w14:paraId="5D15313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内部光缆</w:t>
            </w:r>
          </w:p>
        </w:tc>
        <w:tc>
          <w:tcPr>
            <w:tcW w:w="825" w:type="dxa"/>
            <w:shd w:val="clear" w:color="auto" w:fill="auto"/>
            <w:noWrap/>
            <w:vAlign w:val="center"/>
          </w:tcPr>
          <w:p w14:paraId="45B4A0B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1242" w:type="dxa"/>
            <w:shd w:val="clear" w:color="auto" w:fill="auto"/>
            <w:noWrap/>
            <w:vAlign w:val="center"/>
          </w:tcPr>
          <w:p w14:paraId="30B200F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优质</w:t>
            </w:r>
          </w:p>
        </w:tc>
        <w:tc>
          <w:tcPr>
            <w:tcW w:w="765" w:type="dxa"/>
            <w:shd w:val="clear" w:color="auto" w:fill="auto"/>
            <w:noWrap/>
            <w:vAlign w:val="center"/>
          </w:tcPr>
          <w:p w14:paraId="691F45F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250</w:t>
            </w:r>
          </w:p>
        </w:tc>
        <w:tc>
          <w:tcPr>
            <w:tcW w:w="990" w:type="dxa"/>
            <w:shd w:val="clear" w:color="auto" w:fill="auto"/>
            <w:noWrap/>
            <w:vAlign w:val="center"/>
          </w:tcPr>
          <w:p w14:paraId="6B72B6D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710" w:type="dxa"/>
            <w:shd w:val="clear" w:color="auto" w:fill="auto"/>
            <w:vAlign w:val="center"/>
          </w:tcPr>
          <w:p w14:paraId="799A6EA6">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室外单模，6芯，工控机至LED屏。</w:t>
            </w:r>
          </w:p>
        </w:tc>
      </w:tr>
      <w:tr w14:paraId="4F65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3" w:type="dxa"/>
            <w:shd w:val="clear" w:color="auto" w:fill="auto"/>
            <w:noWrap/>
            <w:vAlign w:val="center"/>
          </w:tcPr>
          <w:p w14:paraId="47EEF49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24</w:t>
            </w:r>
          </w:p>
        </w:tc>
        <w:tc>
          <w:tcPr>
            <w:tcW w:w="1060" w:type="dxa"/>
            <w:shd w:val="clear" w:color="auto" w:fill="auto"/>
            <w:vAlign w:val="center"/>
          </w:tcPr>
          <w:p w14:paraId="7C5B90F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内部光电缆、管材</w:t>
            </w:r>
          </w:p>
        </w:tc>
        <w:tc>
          <w:tcPr>
            <w:tcW w:w="825" w:type="dxa"/>
            <w:shd w:val="clear" w:color="auto" w:fill="auto"/>
            <w:noWrap/>
            <w:vAlign w:val="center"/>
          </w:tcPr>
          <w:p w14:paraId="6ABC6AC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1242" w:type="dxa"/>
            <w:shd w:val="clear" w:color="auto" w:fill="auto"/>
            <w:noWrap/>
            <w:vAlign w:val="center"/>
          </w:tcPr>
          <w:p w14:paraId="2284B57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优质</w:t>
            </w:r>
          </w:p>
        </w:tc>
        <w:tc>
          <w:tcPr>
            <w:tcW w:w="765" w:type="dxa"/>
            <w:shd w:val="clear" w:color="auto" w:fill="auto"/>
            <w:noWrap/>
            <w:vAlign w:val="center"/>
          </w:tcPr>
          <w:p w14:paraId="4B06BBF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250</w:t>
            </w:r>
          </w:p>
        </w:tc>
        <w:tc>
          <w:tcPr>
            <w:tcW w:w="990" w:type="dxa"/>
            <w:shd w:val="clear" w:color="auto" w:fill="auto"/>
            <w:noWrap/>
            <w:vAlign w:val="center"/>
          </w:tcPr>
          <w:p w14:paraId="6D3FA20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710" w:type="dxa"/>
            <w:shd w:val="clear" w:color="auto" w:fill="auto"/>
            <w:vAlign w:val="center"/>
          </w:tcPr>
          <w:p w14:paraId="08FA3DED">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内部传输供电套管材料（PE</w:t>
            </w:r>
            <w:r>
              <w:rPr>
                <w:rFonts w:hint="eastAsia" w:ascii="MS Mincho" w:hAnsi="MS Mincho" w:eastAsia="MS Mincho" w:cs="MS Mincho"/>
                <w:color w:val="auto"/>
                <w:kern w:val="0"/>
                <w:sz w:val="21"/>
                <w:szCs w:val="21"/>
              </w:rPr>
              <w:t>∅</w:t>
            </w:r>
            <w:r>
              <w:rPr>
                <w:rFonts w:hint="eastAsia" w:ascii="宋体" w:hAnsi="宋体" w:eastAsia="宋体" w:cs="宋体"/>
                <w:color w:val="auto"/>
                <w:kern w:val="0"/>
                <w:sz w:val="21"/>
                <w:szCs w:val="21"/>
              </w:rPr>
              <w:t>50），同内部光缆等长。</w:t>
            </w:r>
          </w:p>
        </w:tc>
      </w:tr>
    </w:tbl>
    <w:p w14:paraId="79A21FC3">
      <w:pPr>
        <w:spacing w:line="360" w:lineRule="auto"/>
        <w:rPr>
          <w:rFonts w:hint="eastAsia" w:asciiTheme="minorEastAsia" w:hAnsiTheme="minorEastAsia" w:eastAsiaTheme="minorEastAsia" w:cstheme="minorEastAsia"/>
          <w:b/>
          <w:bCs/>
          <w:color w:val="auto"/>
          <w:sz w:val="24"/>
          <w:szCs w:val="24"/>
          <w:highlight w:val="none"/>
          <w:lang w:val="en-US" w:eastAsia="zh-CN"/>
        </w:rPr>
      </w:pPr>
    </w:p>
    <w:p w14:paraId="6359FCFB">
      <w:pPr>
        <w:spacing w:line="360" w:lineRule="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3、点位名称：原：S210桐义线76K+470现：S218安龙线K235+700）</w:t>
      </w:r>
    </w:p>
    <w:tbl>
      <w:tblPr>
        <w:tblStyle w:val="29"/>
        <w:tblW w:w="10255" w:type="dxa"/>
        <w:tblInd w:w="0" w:type="dxa"/>
        <w:tblLayout w:type="fixed"/>
        <w:tblCellMar>
          <w:top w:w="0" w:type="dxa"/>
          <w:left w:w="108" w:type="dxa"/>
          <w:bottom w:w="0" w:type="dxa"/>
          <w:right w:w="108" w:type="dxa"/>
        </w:tblCellMar>
      </w:tblPr>
      <w:tblGrid>
        <w:gridCol w:w="625"/>
        <w:gridCol w:w="1350"/>
        <w:gridCol w:w="1260"/>
        <w:gridCol w:w="1575"/>
        <w:gridCol w:w="810"/>
        <w:gridCol w:w="630"/>
        <w:gridCol w:w="4005"/>
      </w:tblGrid>
      <w:tr w14:paraId="28DE5C9F">
        <w:tblPrEx>
          <w:tblCellMar>
            <w:top w:w="0" w:type="dxa"/>
            <w:left w:w="108" w:type="dxa"/>
            <w:bottom w:w="0" w:type="dxa"/>
            <w:right w:w="108" w:type="dxa"/>
          </w:tblCellMar>
        </w:tblPrEx>
        <w:trPr>
          <w:trHeight w:val="720" w:hRule="atLeast"/>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B9C9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序号</w:t>
            </w:r>
          </w:p>
        </w:tc>
        <w:tc>
          <w:tcPr>
            <w:tcW w:w="1350" w:type="dxa"/>
            <w:tcBorders>
              <w:top w:val="single" w:color="auto" w:sz="4" w:space="0"/>
              <w:left w:val="nil"/>
              <w:bottom w:val="single" w:color="auto" w:sz="4" w:space="0"/>
              <w:right w:val="single" w:color="auto" w:sz="4" w:space="0"/>
            </w:tcBorders>
            <w:shd w:val="clear" w:color="auto" w:fill="auto"/>
            <w:noWrap/>
            <w:vAlign w:val="center"/>
          </w:tcPr>
          <w:p w14:paraId="41F72EA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名称</w:t>
            </w:r>
          </w:p>
        </w:tc>
        <w:tc>
          <w:tcPr>
            <w:tcW w:w="1260" w:type="dxa"/>
            <w:tcBorders>
              <w:top w:val="single" w:color="auto" w:sz="4" w:space="0"/>
              <w:left w:val="nil"/>
              <w:bottom w:val="single" w:color="auto" w:sz="4" w:space="0"/>
              <w:right w:val="single" w:color="auto" w:sz="4" w:space="0"/>
            </w:tcBorders>
            <w:shd w:val="clear" w:color="auto" w:fill="auto"/>
            <w:noWrap/>
            <w:vAlign w:val="center"/>
          </w:tcPr>
          <w:p w14:paraId="4CD72C1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品牌</w:t>
            </w:r>
          </w:p>
        </w:tc>
        <w:tc>
          <w:tcPr>
            <w:tcW w:w="1575" w:type="dxa"/>
            <w:tcBorders>
              <w:top w:val="single" w:color="auto" w:sz="4" w:space="0"/>
              <w:left w:val="nil"/>
              <w:bottom w:val="single" w:color="auto" w:sz="4" w:space="0"/>
              <w:right w:val="single" w:color="auto" w:sz="4" w:space="0"/>
            </w:tcBorders>
            <w:shd w:val="clear" w:color="auto" w:fill="auto"/>
            <w:vAlign w:val="center"/>
          </w:tcPr>
          <w:p w14:paraId="10C079B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规格型号</w:t>
            </w:r>
          </w:p>
        </w:tc>
        <w:tc>
          <w:tcPr>
            <w:tcW w:w="810" w:type="dxa"/>
            <w:tcBorders>
              <w:top w:val="single" w:color="auto" w:sz="4" w:space="0"/>
              <w:left w:val="nil"/>
              <w:bottom w:val="single" w:color="auto" w:sz="4" w:space="0"/>
              <w:right w:val="single" w:color="auto" w:sz="4" w:space="0"/>
            </w:tcBorders>
            <w:shd w:val="clear" w:color="auto" w:fill="auto"/>
            <w:noWrap/>
            <w:vAlign w:val="center"/>
          </w:tcPr>
          <w:p w14:paraId="733D022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数量</w:t>
            </w:r>
          </w:p>
        </w:tc>
        <w:tc>
          <w:tcPr>
            <w:tcW w:w="630" w:type="dxa"/>
            <w:tcBorders>
              <w:top w:val="single" w:color="auto" w:sz="4" w:space="0"/>
              <w:left w:val="nil"/>
              <w:bottom w:val="single" w:color="auto" w:sz="4" w:space="0"/>
              <w:right w:val="single" w:color="auto" w:sz="4" w:space="0"/>
            </w:tcBorders>
            <w:shd w:val="clear" w:color="auto" w:fill="auto"/>
            <w:noWrap/>
            <w:vAlign w:val="center"/>
          </w:tcPr>
          <w:p w14:paraId="48640D2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单位</w:t>
            </w:r>
          </w:p>
        </w:tc>
        <w:tc>
          <w:tcPr>
            <w:tcW w:w="4005" w:type="dxa"/>
            <w:tcBorders>
              <w:top w:val="single" w:color="auto" w:sz="4" w:space="0"/>
              <w:left w:val="nil"/>
              <w:bottom w:val="single" w:color="auto" w:sz="4" w:space="0"/>
              <w:right w:val="single" w:color="auto" w:sz="4" w:space="0"/>
            </w:tcBorders>
            <w:shd w:val="clear" w:color="auto" w:fill="auto"/>
            <w:vAlign w:val="center"/>
          </w:tcPr>
          <w:p w14:paraId="4F4B3F8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val="en-US" w:eastAsia="zh-CN"/>
              </w:rPr>
              <w:t>设备</w:t>
            </w:r>
            <w:r>
              <w:rPr>
                <w:rFonts w:hint="eastAsia" w:ascii="宋体" w:hAnsi="宋体" w:eastAsia="宋体" w:cs="宋体"/>
                <w:color w:val="auto"/>
                <w:kern w:val="0"/>
                <w:sz w:val="21"/>
                <w:szCs w:val="21"/>
              </w:rPr>
              <w:t>参数</w:t>
            </w:r>
          </w:p>
        </w:tc>
      </w:tr>
      <w:tr w14:paraId="4D5B75BA">
        <w:tblPrEx>
          <w:tblCellMar>
            <w:top w:w="0" w:type="dxa"/>
            <w:left w:w="108" w:type="dxa"/>
            <w:bottom w:w="0" w:type="dxa"/>
            <w:right w:w="108" w:type="dxa"/>
          </w:tblCellMar>
        </w:tblPrEx>
        <w:trPr>
          <w:trHeight w:val="720" w:hRule="atLeast"/>
        </w:trPr>
        <w:tc>
          <w:tcPr>
            <w:tcW w:w="1025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6A99D9D">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超限车辆动态称重系统</w:t>
            </w:r>
          </w:p>
        </w:tc>
      </w:tr>
      <w:tr w14:paraId="3404E905">
        <w:tblPrEx>
          <w:tblCellMar>
            <w:top w:w="0" w:type="dxa"/>
            <w:left w:w="108" w:type="dxa"/>
            <w:bottom w:w="0" w:type="dxa"/>
            <w:right w:w="108" w:type="dxa"/>
          </w:tblCellMar>
        </w:tblPrEx>
        <w:trPr>
          <w:trHeight w:val="720" w:hRule="atLeast"/>
        </w:trPr>
        <w:tc>
          <w:tcPr>
            <w:tcW w:w="625" w:type="dxa"/>
            <w:tcBorders>
              <w:top w:val="nil"/>
              <w:left w:val="single" w:color="auto" w:sz="4" w:space="0"/>
              <w:bottom w:val="single" w:color="auto" w:sz="4" w:space="0"/>
              <w:right w:val="single" w:color="auto" w:sz="4" w:space="0"/>
            </w:tcBorders>
            <w:shd w:val="clear" w:color="auto" w:fill="auto"/>
            <w:noWrap/>
            <w:vAlign w:val="center"/>
          </w:tcPr>
          <w:p w14:paraId="68C7464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1350" w:type="dxa"/>
            <w:tcBorders>
              <w:top w:val="nil"/>
              <w:left w:val="nil"/>
              <w:bottom w:val="single" w:color="auto" w:sz="4" w:space="0"/>
              <w:right w:val="single" w:color="auto" w:sz="4" w:space="0"/>
            </w:tcBorders>
            <w:shd w:val="clear" w:color="auto" w:fill="auto"/>
            <w:vAlign w:val="center"/>
          </w:tcPr>
          <w:p w14:paraId="6153F83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数据采集处理器</w:t>
            </w:r>
          </w:p>
        </w:tc>
        <w:tc>
          <w:tcPr>
            <w:tcW w:w="1260" w:type="dxa"/>
            <w:tcBorders>
              <w:top w:val="nil"/>
              <w:left w:val="nil"/>
              <w:bottom w:val="single" w:color="auto" w:sz="4" w:space="0"/>
              <w:right w:val="single" w:color="auto" w:sz="4" w:space="0"/>
            </w:tcBorders>
            <w:shd w:val="clear" w:color="auto" w:fill="auto"/>
            <w:noWrap/>
            <w:vAlign w:val="center"/>
          </w:tcPr>
          <w:p w14:paraId="52FDB66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杭州四方</w:t>
            </w:r>
          </w:p>
        </w:tc>
        <w:tc>
          <w:tcPr>
            <w:tcW w:w="1575" w:type="dxa"/>
            <w:tcBorders>
              <w:top w:val="nil"/>
              <w:left w:val="nil"/>
              <w:bottom w:val="single" w:color="auto" w:sz="4" w:space="0"/>
              <w:right w:val="single" w:color="auto" w:sz="4" w:space="0"/>
            </w:tcBorders>
            <w:shd w:val="clear" w:color="auto" w:fill="auto"/>
            <w:noWrap/>
            <w:vAlign w:val="center"/>
          </w:tcPr>
          <w:p w14:paraId="379EDB1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IP-051</w:t>
            </w:r>
          </w:p>
        </w:tc>
        <w:tc>
          <w:tcPr>
            <w:tcW w:w="810" w:type="dxa"/>
            <w:tcBorders>
              <w:top w:val="nil"/>
              <w:left w:val="nil"/>
              <w:bottom w:val="single" w:color="auto" w:sz="4" w:space="0"/>
              <w:right w:val="single" w:color="auto" w:sz="4" w:space="0"/>
            </w:tcBorders>
            <w:shd w:val="clear" w:color="auto" w:fill="auto"/>
            <w:noWrap/>
            <w:vAlign w:val="center"/>
          </w:tcPr>
          <w:p w14:paraId="44B2567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630" w:type="dxa"/>
            <w:tcBorders>
              <w:top w:val="nil"/>
              <w:left w:val="nil"/>
              <w:bottom w:val="single" w:color="auto" w:sz="4" w:space="0"/>
              <w:right w:val="single" w:color="auto" w:sz="4" w:space="0"/>
            </w:tcBorders>
            <w:shd w:val="clear" w:color="auto" w:fill="auto"/>
            <w:noWrap/>
            <w:vAlign w:val="center"/>
          </w:tcPr>
          <w:p w14:paraId="1A826FA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005" w:type="dxa"/>
            <w:tcBorders>
              <w:top w:val="nil"/>
              <w:left w:val="nil"/>
              <w:bottom w:val="single" w:color="auto" w:sz="4" w:space="0"/>
              <w:right w:val="single" w:color="auto" w:sz="4" w:space="0"/>
            </w:tcBorders>
            <w:shd w:val="clear" w:color="auto" w:fill="auto"/>
            <w:vAlign w:val="center"/>
          </w:tcPr>
          <w:p w14:paraId="26241A27">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 xml:space="preserve">支持双向2车道，同时要求每个车道支持双向抓拍；数据采集与前端存储数据匹配 </w:t>
            </w:r>
          </w:p>
        </w:tc>
      </w:tr>
      <w:tr w14:paraId="4D9F5511">
        <w:tblPrEx>
          <w:tblCellMar>
            <w:top w:w="0" w:type="dxa"/>
            <w:left w:w="108" w:type="dxa"/>
            <w:bottom w:w="0" w:type="dxa"/>
            <w:right w:w="108" w:type="dxa"/>
          </w:tblCellMar>
        </w:tblPrEx>
        <w:trPr>
          <w:trHeight w:val="720" w:hRule="atLeast"/>
        </w:trPr>
        <w:tc>
          <w:tcPr>
            <w:tcW w:w="625" w:type="dxa"/>
            <w:tcBorders>
              <w:top w:val="nil"/>
              <w:left w:val="single" w:color="auto" w:sz="4" w:space="0"/>
              <w:bottom w:val="single" w:color="auto" w:sz="4" w:space="0"/>
              <w:right w:val="single" w:color="auto" w:sz="4" w:space="0"/>
            </w:tcBorders>
            <w:shd w:val="clear" w:color="auto" w:fill="auto"/>
            <w:noWrap/>
            <w:vAlign w:val="center"/>
          </w:tcPr>
          <w:p w14:paraId="7D2E371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w:t>
            </w:r>
          </w:p>
        </w:tc>
        <w:tc>
          <w:tcPr>
            <w:tcW w:w="1350" w:type="dxa"/>
            <w:tcBorders>
              <w:top w:val="nil"/>
              <w:left w:val="nil"/>
              <w:bottom w:val="single" w:color="auto" w:sz="4" w:space="0"/>
              <w:right w:val="single" w:color="auto" w:sz="4" w:space="0"/>
            </w:tcBorders>
            <w:shd w:val="clear" w:color="auto" w:fill="auto"/>
            <w:vAlign w:val="center"/>
          </w:tcPr>
          <w:p w14:paraId="65D387B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石英称重传感系统（国产）</w:t>
            </w:r>
          </w:p>
        </w:tc>
        <w:tc>
          <w:tcPr>
            <w:tcW w:w="1260" w:type="dxa"/>
            <w:tcBorders>
              <w:top w:val="nil"/>
              <w:left w:val="nil"/>
              <w:bottom w:val="single" w:color="auto" w:sz="4" w:space="0"/>
              <w:right w:val="single" w:color="auto" w:sz="4" w:space="0"/>
            </w:tcBorders>
            <w:shd w:val="clear" w:color="auto" w:fill="auto"/>
            <w:noWrap/>
            <w:vAlign w:val="center"/>
          </w:tcPr>
          <w:p w14:paraId="04064CC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杭州四方</w:t>
            </w:r>
          </w:p>
        </w:tc>
        <w:tc>
          <w:tcPr>
            <w:tcW w:w="1575" w:type="dxa"/>
            <w:tcBorders>
              <w:top w:val="nil"/>
              <w:left w:val="nil"/>
              <w:bottom w:val="single" w:color="auto" w:sz="4" w:space="0"/>
              <w:right w:val="single" w:color="auto" w:sz="4" w:space="0"/>
            </w:tcBorders>
            <w:shd w:val="clear" w:color="auto" w:fill="auto"/>
            <w:noWrap/>
            <w:vAlign w:val="center"/>
          </w:tcPr>
          <w:p w14:paraId="2151082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SF12</w:t>
            </w:r>
          </w:p>
        </w:tc>
        <w:tc>
          <w:tcPr>
            <w:tcW w:w="810" w:type="dxa"/>
            <w:tcBorders>
              <w:top w:val="nil"/>
              <w:left w:val="nil"/>
              <w:bottom w:val="single" w:color="auto" w:sz="4" w:space="0"/>
              <w:right w:val="single" w:color="auto" w:sz="4" w:space="0"/>
            </w:tcBorders>
            <w:shd w:val="clear" w:color="auto" w:fill="auto"/>
            <w:noWrap/>
            <w:vAlign w:val="center"/>
          </w:tcPr>
          <w:p w14:paraId="1675A7F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17</w:t>
            </w:r>
          </w:p>
        </w:tc>
        <w:tc>
          <w:tcPr>
            <w:tcW w:w="630" w:type="dxa"/>
            <w:tcBorders>
              <w:top w:val="nil"/>
              <w:left w:val="nil"/>
              <w:bottom w:val="single" w:color="auto" w:sz="4" w:space="0"/>
              <w:right w:val="single" w:color="auto" w:sz="4" w:space="0"/>
            </w:tcBorders>
            <w:shd w:val="clear" w:color="auto" w:fill="auto"/>
            <w:noWrap/>
            <w:vAlign w:val="center"/>
          </w:tcPr>
          <w:p w14:paraId="077AD46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005" w:type="dxa"/>
            <w:tcBorders>
              <w:top w:val="nil"/>
              <w:left w:val="nil"/>
              <w:bottom w:val="single" w:color="auto" w:sz="4" w:space="0"/>
              <w:right w:val="single" w:color="auto" w:sz="4" w:space="0"/>
            </w:tcBorders>
            <w:shd w:val="clear" w:color="auto" w:fill="auto"/>
            <w:vAlign w:val="center"/>
          </w:tcPr>
          <w:p w14:paraId="3422A5B4">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1.传感器类型：石英压电传感器；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2.传感器长度：1.5m/1.75m/2m；</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3.速度范围：0.5～200Km/h；</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4.传感器横截面：44×50mm²；</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5.传感器灵敏度-1.62（±10%）pC/N；</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6.绝缘电阻＞1010Ω；</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7.额定荷载≥30t；</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8.过载能力：≥150％FS；</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9.工作温度：-40～80℃；防护等级 IP68；</w:t>
            </w:r>
          </w:p>
        </w:tc>
      </w:tr>
      <w:tr w14:paraId="72C63617">
        <w:tblPrEx>
          <w:tblCellMar>
            <w:top w:w="0" w:type="dxa"/>
            <w:left w:w="108" w:type="dxa"/>
            <w:bottom w:w="0" w:type="dxa"/>
            <w:right w:w="108" w:type="dxa"/>
          </w:tblCellMar>
        </w:tblPrEx>
        <w:trPr>
          <w:trHeight w:val="720" w:hRule="atLeast"/>
        </w:trPr>
        <w:tc>
          <w:tcPr>
            <w:tcW w:w="625" w:type="dxa"/>
            <w:tcBorders>
              <w:top w:val="nil"/>
              <w:left w:val="single" w:color="auto" w:sz="4" w:space="0"/>
              <w:bottom w:val="single" w:color="auto" w:sz="4" w:space="0"/>
              <w:right w:val="single" w:color="auto" w:sz="4" w:space="0"/>
            </w:tcBorders>
            <w:shd w:val="clear" w:color="auto" w:fill="auto"/>
            <w:noWrap/>
            <w:vAlign w:val="center"/>
          </w:tcPr>
          <w:p w14:paraId="08917FB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3</w:t>
            </w:r>
          </w:p>
        </w:tc>
        <w:tc>
          <w:tcPr>
            <w:tcW w:w="1350" w:type="dxa"/>
            <w:tcBorders>
              <w:top w:val="nil"/>
              <w:left w:val="nil"/>
              <w:bottom w:val="nil"/>
              <w:right w:val="single" w:color="auto" w:sz="4" w:space="0"/>
            </w:tcBorders>
            <w:shd w:val="clear" w:color="auto" w:fill="auto"/>
            <w:vAlign w:val="center"/>
          </w:tcPr>
          <w:p w14:paraId="2C0F0E3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异常行驶检测传感器(单排传感器)</w:t>
            </w:r>
          </w:p>
        </w:tc>
        <w:tc>
          <w:tcPr>
            <w:tcW w:w="1260" w:type="dxa"/>
            <w:tcBorders>
              <w:top w:val="nil"/>
              <w:left w:val="nil"/>
              <w:bottom w:val="single" w:color="auto" w:sz="4" w:space="0"/>
              <w:right w:val="single" w:color="auto" w:sz="4" w:space="0"/>
            </w:tcBorders>
            <w:shd w:val="clear" w:color="auto" w:fill="auto"/>
            <w:noWrap/>
            <w:vAlign w:val="center"/>
          </w:tcPr>
          <w:p w14:paraId="07FC285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杭州四方</w:t>
            </w:r>
          </w:p>
        </w:tc>
        <w:tc>
          <w:tcPr>
            <w:tcW w:w="1575" w:type="dxa"/>
            <w:tcBorders>
              <w:top w:val="nil"/>
              <w:left w:val="nil"/>
              <w:bottom w:val="single" w:color="auto" w:sz="4" w:space="0"/>
              <w:right w:val="single" w:color="auto" w:sz="4" w:space="0"/>
            </w:tcBorders>
            <w:shd w:val="clear" w:color="auto" w:fill="auto"/>
            <w:noWrap/>
            <w:vAlign w:val="center"/>
          </w:tcPr>
          <w:p w14:paraId="4EBA5CB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SF12-1A</w:t>
            </w:r>
          </w:p>
        </w:tc>
        <w:tc>
          <w:tcPr>
            <w:tcW w:w="810" w:type="dxa"/>
            <w:tcBorders>
              <w:top w:val="nil"/>
              <w:left w:val="nil"/>
              <w:bottom w:val="single" w:color="auto" w:sz="4" w:space="0"/>
              <w:right w:val="single" w:color="auto" w:sz="4" w:space="0"/>
            </w:tcBorders>
            <w:shd w:val="clear" w:color="auto" w:fill="auto"/>
            <w:vAlign w:val="center"/>
          </w:tcPr>
          <w:p w14:paraId="6B63419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8.5</w:t>
            </w:r>
          </w:p>
        </w:tc>
        <w:tc>
          <w:tcPr>
            <w:tcW w:w="630" w:type="dxa"/>
            <w:tcBorders>
              <w:top w:val="nil"/>
              <w:left w:val="nil"/>
              <w:bottom w:val="single" w:color="auto" w:sz="4" w:space="0"/>
              <w:right w:val="single" w:color="auto" w:sz="4" w:space="0"/>
            </w:tcBorders>
            <w:shd w:val="clear" w:color="auto" w:fill="auto"/>
            <w:vAlign w:val="center"/>
          </w:tcPr>
          <w:p w14:paraId="7D32E6D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005" w:type="dxa"/>
            <w:tcBorders>
              <w:top w:val="nil"/>
              <w:left w:val="nil"/>
              <w:bottom w:val="single" w:color="auto" w:sz="4" w:space="0"/>
              <w:right w:val="single" w:color="auto" w:sz="4" w:space="0"/>
            </w:tcBorders>
            <w:shd w:val="clear" w:color="auto" w:fill="auto"/>
            <w:vAlign w:val="center"/>
          </w:tcPr>
          <w:p w14:paraId="170D31C4">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1、允许单独最大载荷：45t；</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2、最小检测宽度：150mm；</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3、绝缘电阻：≥500GΩ；</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4、工作环境温度：-40℃~80℃；</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5、防护等级：IP68。</w:t>
            </w:r>
          </w:p>
        </w:tc>
      </w:tr>
      <w:tr w14:paraId="7F1083B9">
        <w:tblPrEx>
          <w:tblCellMar>
            <w:top w:w="0" w:type="dxa"/>
            <w:left w:w="108" w:type="dxa"/>
            <w:bottom w:w="0" w:type="dxa"/>
            <w:right w:w="108" w:type="dxa"/>
          </w:tblCellMar>
        </w:tblPrEx>
        <w:trPr>
          <w:trHeight w:val="720" w:hRule="atLeast"/>
        </w:trPr>
        <w:tc>
          <w:tcPr>
            <w:tcW w:w="625" w:type="dxa"/>
            <w:tcBorders>
              <w:top w:val="nil"/>
              <w:left w:val="single" w:color="auto" w:sz="4" w:space="0"/>
              <w:bottom w:val="single" w:color="auto" w:sz="4" w:space="0"/>
              <w:right w:val="single" w:color="auto" w:sz="4" w:space="0"/>
            </w:tcBorders>
            <w:shd w:val="clear" w:color="auto" w:fill="auto"/>
            <w:noWrap/>
            <w:vAlign w:val="center"/>
          </w:tcPr>
          <w:p w14:paraId="190B932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4</w:t>
            </w:r>
          </w:p>
        </w:tc>
        <w:tc>
          <w:tcPr>
            <w:tcW w:w="1350" w:type="dxa"/>
            <w:tcBorders>
              <w:top w:val="single" w:color="auto" w:sz="4" w:space="0"/>
              <w:left w:val="nil"/>
              <w:bottom w:val="single" w:color="auto" w:sz="4" w:space="0"/>
              <w:right w:val="single" w:color="auto" w:sz="4" w:space="0"/>
            </w:tcBorders>
            <w:shd w:val="clear" w:color="auto" w:fill="auto"/>
            <w:noWrap/>
            <w:vAlign w:val="center"/>
          </w:tcPr>
          <w:p w14:paraId="35DCBB4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电荷放大器</w:t>
            </w:r>
          </w:p>
        </w:tc>
        <w:tc>
          <w:tcPr>
            <w:tcW w:w="1260" w:type="dxa"/>
            <w:tcBorders>
              <w:top w:val="nil"/>
              <w:left w:val="nil"/>
              <w:bottom w:val="single" w:color="auto" w:sz="4" w:space="0"/>
              <w:right w:val="single" w:color="auto" w:sz="4" w:space="0"/>
            </w:tcBorders>
            <w:shd w:val="clear" w:color="auto" w:fill="auto"/>
            <w:noWrap/>
            <w:vAlign w:val="center"/>
          </w:tcPr>
          <w:p w14:paraId="418E77A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杭州四方</w:t>
            </w:r>
          </w:p>
        </w:tc>
        <w:tc>
          <w:tcPr>
            <w:tcW w:w="1575" w:type="dxa"/>
            <w:tcBorders>
              <w:top w:val="nil"/>
              <w:left w:val="nil"/>
              <w:bottom w:val="single" w:color="auto" w:sz="4" w:space="0"/>
              <w:right w:val="single" w:color="auto" w:sz="4" w:space="0"/>
            </w:tcBorders>
            <w:shd w:val="clear" w:color="auto" w:fill="auto"/>
            <w:noWrap/>
            <w:vAlign w:val="center"/>
          </w:tcPr>
          <w:p w14:paraId="126E79F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DH-1</w:t>
            </w:r>
          </w:p>
        </w:tc>
        <w:tc>
          <w:tcPr>
            <w:tcW w:w="810" w:type="dxa"/>
            <w:tcBorders>
              <w:top w:val="nil"/>
              <w:left w:val="nil"/>
              <w:bottom w:val="single" w:color="auto" w:sz="4" w:space="0"/>
              <w:right w:val="single" w:color="auto" w:sz="4" w:space="0"/>
            </w:tcBorders>
            <w:shd w:val="clear" w:color="auto" w:fill="auto"/>
            <w:noWrap/>
            <w:vAlign w:val="center"/>
          </w:tcPr>
          <w:p w14:paraId="2CFF62B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5</w:t>
            </w:r>
          </w:p>
        </w:tc>
        <w:tc>
          <w:tcPr>
            <w:tcW w:w="630" w:type="dxa"/>
            <w:tcBorders>
              <w:top w:val="nil"/>
              <w:left w:val="nil"/>
              <w:bottom w:val="single" w:color="auto" w:sz="4" w:space="0"/>
              <w:right w:val="single" w:color="auto" w:sz="4" w:space="0"/>
            </w:tcBorders>
            <w:shd w:val="clear" w:color="auto" w:fill="auto"/>
            <w:noWrap/>
            <w:vAlign w:val="center"/>
          </w:tcPr>
          <w:p w14:paraId="77F52EB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个</w:t>
            </w:r>
          </w:p>
        </w:tc>
        <w:tc>
          <w:tcPr>
            <w:tcW w:w="4005" w:type="dxa"/>
            <w:tcBorders>
              <w:top w:val="nil"/>
              <w:left w:val="nil"/>
              <w:bottom w:val="single" w:color="auto" w:sz="4" w:space="0"/>
              <w:right w:val="single" w:color="auto" w:sz="4" w:space="0"/>
            </w:tcBorders>
            <w:shd w:val="clear" w:color="auto" w:fill="auto"/>
            <w:vAlign w:val="center"/>
          </w:tcPr>
          <w:p w14:paraId="1652EEF3">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 xml:space="preserve">1.测量范围：60,000pC；                                </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2.测量误差：&lt;1%；                                                                              3.输出电压：±5V；                                   </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4.输出电流：±2mA；                                                                                5.输出阻抗：&lt;100Ω；                                 </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6.输出干扰信号：&lt;3mVpp；                                                                                                          7.频响范围：0.0016～10kHz；                         </w:t>
            </w:r>
          </w:p>
        </w:tc>
      </w:tr>
      <w:tr w14:paraId="4D32D0E4">
        <w:tblPrEx>
          <w:tblCellMar>
            <w:top w:w="0" w:type="dxa"/>
            <w:left w:w="108" w:type="dxa"/>
            <w:bottom w:w="0" w:type="dxa"/>
            <w:right w:w="108" w:type="dxa"/>
          </w:tblCellMar>
        </w:tblPrEx>
        <w:trPr>
          <w:trHeight w:val="720" w:hRule="atLeast"/>
        </w:trPr>
        <w:tc>
          <w:tcPr>
            <w:tcW w:w="625" w:type="dxa"/>
            <w:tcBorders>
              <w:top w:val="nil"/>
              <w:left w:val="single" w:color="auto" w:sz="4" w:space="0"/>
              <w:bottom w:val="single" w:color="auto" w:sz="4" w:space="0"/>
              <w:right w:val="single" w:color="auto" w:sz="4" w:space="0"/>
            </w:tcBorders>
            <w:shd w:val="clear" w:color="auto" w:fill="auto"/>
            <w:noWrap/>
            <w:vAlign w:val="center"/>
          </w:tcPr>
          <w:p w14:paraId="72D7933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5</w:t>
            </w:r>
          </w:p>
        </w:tc>
        <w:tc>
          <w:tcPr>
            <w:tcW w:w="1350" w:type="dxa"/>
            <w:tcBorders>
              <w:top w:val="nil"/>
              <w:left w:val="nil"/>
              <w:bottom w:val="single" w:color="auto" w:sz="4" w:space="0"/>
              <w:right w:val="single" w:color="auto" w:sz="4" w:space="0"/>
            </w:tcBorders>
            <w:shd w:val="clear" w:color="auto" w:fill="auto"/>
            <w:noWrap/>
            <w:vAlign w:val="center"/>
          </w:tcPr>
          <w:p w14:paraId="061265D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高速动态称重控制器</w:t>
            </w:r>
          </w:p>
        </w:tc>
        <w:tc>
          <w:tcPr>
            <w:tcW w:w="1260" w:type="dxa"/>
            <w:tcBorders>
              <w:top w:val="nil"/>
              <w:left w:val="nil"/>
              <w:bottom w:val="single" w:color="auto" w:sz="4" w:space="0"/>
              <w:right w:val="single" w:color="auto" w:sz="4" w:space="0"/>
            </w:tcBorders>
            <w:shd w:val="clear" w:color="auto" w:fill="auto"/>
            <w:noWrap/>
            <w:vAlign w:val="center"/>
          </w:tcPr>
          <w:p w14:paraId="077862F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杭州四方</w:t>
            </w:r>
          </w:p>
        </w:tc>
        <w:tc>
          <w:tcPr>
            <w:tcW w:w="1575" w:type="dxa"/>
            <w:tcBorders>
              <w:top w:val="nil"/>
              <w:left w:val="nil"/>
              <w:bottom w:val="single" w:color="auto" w:sz="4" w:space="0"/>
              <w:right w:val="single" w:color="auto" w:sz="4" w:space="0"/>
            </w:tcBorders>
            <w:shd w:val="clear" w:color="auto" w:fill="auto"/>
            <w:noWrap/>
            <w:vAlign w:val="center"/>
          </w:tcPr>
          <w:p w14:paraId="60A1949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XK3196E3C</w:t>
            </w:r>
          </w:p>
        </w:tc>
        <w:tc>
          <w:tcPr>
            <w:tcW w:w="810" w:type="dxa"/>
            <w:tcBorders>
              <w:top w:val="nil"/>
              <w:left w:val="nil"/>
              <w:bottom w:val="single" w:color="auto" w:sz="4" w:space="0"/>
              <w:right w:val="single" w:color="auto" w:sz="4" w:space="0"/>
            </w:tcBorders>
            <w:shd w:val="clear" w:color="auto" w:fill="auto"/>
            <w:noWrap/>
            <w:vAlign w:val="center"/>
          </w:tcPr>
          <w:p w14:paraId="2B50761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630" w:type="dxa"/>
            <w:tcBorders>
              <w:top w:val="nil"/>
              <w:left w:val="nil"/>
              <w:bottom w:val="single" w:color="auto" w:sz="4" w:space="0"/>
              <w:right w:val="single" w:color="auto" w:sz="4" w:space="0"/>
            </w:tcBorders>
            <w:shd w:val="clear" w:color="auto" w:fill="auto"/>
            <w:noWrap/>
            <w:vAlign w:val="center"/>
          </w:tcPr>
          <w:p w14:paraId="530BA7B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个</w:t>
            </w:r>
          </w:p>
        </w:tc>
        <w:tc>
          <w:tcPr>
            <w:tcW w:w="4005" w:type="dxa"/>
            <w:tcBorders>
              <w:top w:val="nil"/>
              <w:left w:val="nil"/>
              <w:bottom w:val="single" w:color="auto" w:sz="4" w:space="0"/>
              <w:right w:val="single" w:color="auto" w:sz="4" w:space="0"/>
            </w:tcBorders>
            <w:shd w:val="clear" w:color="auto" w:fill="auto"/>
            <w:vAlign w:val="center"/>
          </w:tcPr>
          <w:p w14:paraId="2C14AA73">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1.自动采集车辆载荷信息，经程序运算出路面承受的车轮载荷参数及车辆轴距、轴数、车速等参数；</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2.对正常通过车辆进行监测，不影响道路通行能力；</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3.平均无故障时间：MTBF≥20000h；                                                                             4.信号传输方式：RS422/RS232/RS485多种接口实时传输；                                                                                          </w:t>
            </w:r>
          </w:p>
        </w:tc>
      </w:tr>
      <w:tr w14:paraId="39CAA09A">
        <w:tblPrEx>
          <w:tblCellMar>
            <w:top w:w="0" w:type="dxa"/>
            <w:left w:w="108" w:type="dxa"/>
            <w:bottom w:w="0" w:type="dxa"/>
            <w:right w:w="108" w:type="dxa"/>
          </w:tblCellMar>
        </w:tblPrEx>
        <w:trPr>
          <w:trHeight w:val="720" w:hRule="atLeast"/>
        </w:trPr>
        <w:tc>
          <w:tcPr>
            <w:tcW w:w="625" w:type="dxa"/>
            <w:tcBorders>
              <w:top w:val="nil"/>
              <w:left w:val="single" w:color="auto" w:sz="4" w:space="0"/>
              <w:bottom w:val="single" w:color="auto" w:sz="4" w:space="0"/>
              <w:right w:val="single" w:color="auto" w:sz="4" w:space="0"/>
            </w:tcBorders>
            <w:shd w:val="clear" w:color="auto" w:fill="auto"/>
            <w:noWrap/>
            <w:vAlign w:val="center"/>
          </w:tcPr>
          <w:p w14:paraId="7223080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6</w:t>
            </w:r>
          </w:p>
        </w:tc>
        <w:tc>
          <w:tcPr>
            <w:tcW w:w="1350" w:type="dxa"/>
            <w:tcBorders>
              <w:top w:val="nil"/>
              <w:left w:val="nil"/>
              <w:bottom w:val="single" w:color="auto" w:sz="4" w:space="0"/>
              <w:right w:val="single" w:color="auto" w:sz="4" w:space="0"/>
            </w:tcBorders>
            <w:shd w:val="clear" w:color="auto" w:fill="auto"/>
            <w:noWrap/>
            <w:vAlign w:val="center"/>
          </w:tcPr>
          <w:p w14:paraId="3E8CB7B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石英胶料</w:t>
            </w:r>
          </w:p>
        </w:tc>
        <w:tc>
          <w:tcPr>
            <w:tcW w:w="1260" w:type="dxa"/>
            <w:tcBorders>
              <w:top w:val="nil"/>
              <w:left w:val="nil"/>
              <w:bottom w:val="single" w:color="auto" w:sz="4" w:space="0"/>
              <w:right w:val="single" w:color="auto" w:sz="4" w:space="0"/>
            </w:tcBorders>
            <w:shd w:val="clear" w:color="auto" w:fill="auto"/>
            <w:noWrap/>
            <w:vAlign w:val="center"/>
          </w:tcPr>
          <w:p w14:paraId="6845912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杭州四方</w:t>
            </w:r>
          </w:p>
        </w:tc>
        <w:tc>
          <w:tcPr>
            <w:tcW w:w="1575" w:type="dxa"/>
            <w:tcBorders>
              <w:top w:val="nil"/>
              <w:left w:val="nil"/>
              <w:bottom w:val="single" w:color="auto" w:sz="4" w:space="0"/>
              <w:right w:val="single" w:color="auto" w:sz="4" w:space="0"/>
            </w:tcBorders>
            <w:shd w:val="clear" w:color="auto" w:fill="auto"/>
            <w:noWrap/>
            <w:vAlign w:val="center"/>
          </w:tcPr>
          <w:p w14:paraId="6295CC4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优质</w:t>
            </w:r>
          </w:p>
        </w:tc>
        <w:tc>
          <w:tcPr>
            <w:tcW w:w="810" w:type="dxa"/>
            <w:tcBorders>
              <w:top w:val="nil"/>
              <w:left w:val="nil"/>
              <w:bottom w:val="single" w:color="auto" w:sz="4" w:space="0"/>
              <w:right w:val="single" w:color="auto" w:sz="4" w:space="0"/>
            </w:tcBorders>
            <w:shd w:val="clear" w:color="auto" w:fill="auto"/>
            <w:noWrap/>
            <w:vAlign w:val="center"/>
          </w:tcPr>
          <w:p w14:paraId="5282BF8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16</w:t>
            </w:r>
          </w:p>
        </w:tc>
        <w:tc>
          <w:tcPr>
            <w:tcW w:w="630" w:type="dxa"/>
            <w:tcBorders>
              <w:top w:val="nil"/>
              <w:left w:val="nil"/>
              <w:bottom w:val="single" w:color="auto" w:sz="4" w:space="0"/>
              <w:right w:val="single" w:color="auto" w:sz="4" w:space="0"/>
            </w:tcBorders>
            <w:shd w:val="clear" w:color="auto" w:fill="auto"/>
            <w:noWrap/>
            <w:vAlign w:val="center"/>
          </w:tcPr>
          <w:p w14:paraId="2BADA44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005" w:type="dxa"/>
            <w:tcBorders>
              <w:top w:val="nil"/>
              <w:left w:val="nil"/>
              <w:bottom w:val="single" w:color="auto" w:sz="4" w:space="0"/>
              <w:right w:val="single" w:color="auto" w:sz="4" w:space="0"/>
            </w:tcBorders>
            <w:shd w:val="clear" w:color="auto" w:fill="auto"/>
            <w:vAlign w:val="center"/>
          </w:tcPr>
          <w:p w14:paraId="68EA1324">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摄氏23度下，8小时内固化，抗压强度≥30MPa，抗折强度≥10MPa，粘接强度≥3MPa；执行国标GB50367-2006；</w:t>
            </w:r>
          </w:p>
        </w:tc>
      </w:tr>
      <w:tr w14:paraId="586014F4">
        <w:tblPrEx>
          <w:tblCellMar>
            <w:top w:w="0" w:type="dxa"/>
            <w:left w:w="108" w:type="dxa"/>
            <w:bottom w:w="0" w:type="dxa"/>
            <w:right w:w="108" w:type="dxa"/>
          </w:tblCellMar>
        </w:tblPrEx>
        <w:trPr>
          <w:trHeight w:val="720" w:hRule="atLeast"/>
        </w:trPr>
        <w:tc>
          <w:tcPr>
            <w:tcW w:w="625" w:type="dxa"/>
            <w:tcBorders>
              <w:top w:val="nil"/>
              <w:left w:val="single" w:color="auto" w:sz="4" w:space="0"/>
              <w:bottom w:val="single" w:color="auto" w:sz="4" w:space="0"/>
              <w:right w:val="single" w:color="auto" w:sz="4" w:space="0"/>
            </w:tcBorders>
            <w:shd w:val="clear" w:color="auto" w:fill="auto"/>
            <w:noWrap/>
            <w:vAlign w:val="center"/>
          </w:tcPr>
          <w:p w14:paraId="7D67E23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7</w:t>
            </w:r>
          </w:p>
        </w:tc>
        <w:tc>
          <w:tcPr>
            <w:tcW w:w="1350" w:type="dxa"/>
            <w:tcBorders>
              <w:top w:val="nil"/>
              <w:left w:val="nil"/>
              <w:bottom w:val="single" w:color="auto" w:sz="4" w:space="0"/>
              <w:right w:val="single" w:color="auto" w:sz="4" w:space="0"/>
            </w:tcBorders>
            <w:shd w:val="clear" w:color="auto" w:fill="auto"/>
            <w:noWrap/>
            <w:vAlign w:val="center"/>
          </w:tcPr>
          <w:p w14:paraId="124A95D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线圈车辆检测器</w:t>
            </w:r>
          </w:p>
        </w:tc>
        <w:tc>
          <w:tcPr>
            <w:tcW w:w="1260" w:type="dxa"/>
            <w:tcBorders>
              <w:top w:val="nil"/>
              <w:left w:val="nil"/>
              <w:bottom w:val="single" w:color="auto" w:sz="4" w:space="0"/>
              <w:right w:val="single" w:color="auto" w:sz="4" w:space="0"/>
            </w:tcBorders>
            <w:shd w:val="clear" w:color="auto" w:fill="auto"/>
            <w:noWrap/>
            <w:vAlign w:val="center"/>
          </w:tcPr>
          <w:p w14:paraId="6D4D6A5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杭州四方</w:t>
            </w:r>
          </w:p>
        </w:tc>
        <w:tc>
          <w:tcPr>
            <w:tcW w:w="1575" w:type="dxa"/>
            <w:tcBorders>
              <w:top w:val="nil"/>
              <w:left w:val="nil"/>
              <w:bottom w:val="single" w:color="auto" w:sz="4" w:space="0"/>
              <w:right w:val="single" w:color="auto" w:sz="4" w:space="0"/>
            </w:tcBorders>
            <w:shd w:val="clear" w:color="auto" w:fill="auto"/>
            <w:noWrap/>
            <w:vAlign w:val="center"/>
          </w:tcPr>
          <w:p w14:paraId="5E990EA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SFCJ-1</w:t>
            </w:r>
          </w:p>
        </w:tc>
        <w:tc>
          <w:tcPr>
            <w:tcW w:w="810" w:type="dxa"/>
            <w:tcBorders>
              <w:top w:val="nil"/>
              <w:left w:val="nil"/>
              <w:bottom w:val="single" w:color="auto" w:sz="4" w:space="0"/>
              <w:right w:val="single" w:color="auto" w:sz="4" w:space="0"/>
            </w:tcBorders>
            <w:shd w:val="clear" w:color="auto" w:fill="auto"/>
            <w:noWrap/>
            <w:vAlign w:val="center"/>
          </w:tcPr>
          <w:p w14:paraId="447871B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4</w:t>
            </w:r>
          </w:p>
        </w:tc>
        <w:tc>
          <w:tcPr>
            <w:tcW w:w="630" w:type="dxa"/>
            <w:tcBorders>
              <w:top w:val="nil"/>
              <w:left w:val="nil"/>
              <w:bottom w:val="single" w:color="auto" w:sz="4" w:space="0"/>
              <w:right w:val="single" w:color="auto" w:sz="4" w:space="0"/>
            </w:tcBorders>
            <w:shd w:val="clear" w:color="auto" w:fill="auto"/>
            <w:noWrap/>
            <w:vAlign w:val="center"/>
          </w:tcPr>
          <w:p w14:paraId="2CB3C72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个</w:t>
            </w:r>
          </w:p>
        </w:tc>
        <w:tc>
          <w:tcPr>
            <w:tcW w:w="4005" w:type="dxa"/>
            <w:tcBorders>
              <w:top w:val="nil"/>
              <w:left w:val="nil"/>
              <w:bottom w:val="single" w:color="auto" w:sz="4" w:space="0"/>
              <w:right w:val="single" w:color="auto" w:sz="4" w:space="0"/>
            </w:tcBorders>
            <w:shd w:val="clear" w:color="auto" w:fill="auto"/>
            <w:vAlign w:val="center"/>
          </w:tcPr>
          <w:p w14:paraId="4075E9AF">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电感量自调谐范围20-1500uH,Q值≥5；灵敏度4级可调；频率范围20kHz-110kHz，4级可调；响应时间≤100ms；（含线圈）</w:t>
            </w:r>
          </w:p>
        </w:tc>
      </w:tr>
      <w:tr w14:paraId="4D9532AC">
        <w:tblPrEx>
          <w:tblCellMar>
            <w:top w:w="0" w:type="dxa"/>
            <w:left w:w="108" w:type="dxa"/>
            <w:bottom w:w="0" w:type="dxa"/>
            <w:right w:w="108" w:type="dxa"/>
          </w:tblCellMar>
        </w:tblPrEx>
        <w:trPr>
          <w:trHeight w:val="720" w:hRule="atLeast"/>
        </w:trPr>
        <w:tc>
          <w:tcPr>
            <w:tcW w:w="625" w:type="dxa"/>
            <w:tcBorders>
              <w:top w:val="nil"/>
              <w:left w:val="single" w:color="auto" w:sz="4" w:space="0"/>
              <w:bottom w:val="single" w:color="auto" w:sz="4" w:space="0"/>
              <w:right w:val="single" w:color="auto" w:sz="4" w:space="0"/>
            </w:tcBorders>
            <w:shd w:val="clear" w:color="auto" w:fill="auto"/>
            <w:noWrap/>
            <w:vAlign w:val="center"/>
          </w:tcPr>
          <w:p w14:paraId="1CB6403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8</w:t>
            </w:r>
          </w:p>
        </w:tc>
        <w:tc>
          <w:tcPr>
            <w:tcW w:w="1350" w:type="dxa"/>
            <w:tcBorders>
              <w:top w:val="nil"/>
              <w:left w:val="nil"/>
              <w:bottom w:val="single" w:color="auto" w:sz="4" w:space="0"/>
              <w:right w:val="single" w:color="auto" w:sz="4" w:space="0"/>
            </w:tcBorders>
            <w:shd w:val="clear" w:color="auto" w:fill="auto"/>
            <w:noWrap/>
            <w:vAlign w:val="center"/>
          </w:tcPr>
          <w:p w14:paraId="62F8A33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工业交换机</w:t>
            </w:r>
          </w:p>
        </w:tc>
        <w:tc>
          <w:tcPr>
            <w:tcW w:w="1260" w:type="dxa"/>
            <w:tcBorders>
              <w:top w:val="nil"/>
              <w:left w:val="nil"/>
              <w:bottom w:val="single" w:color="auto" w:sz="4" w:space="0"/>
              <w:right w:val="single" w:color="auto" w:sz="4" w:space="0"/>
            </w:tcBorders>
            <w:shd w:val="clear" w:color="auto" w:fill="auto"/>
            <w:noWrap/>
            <w:vAlign w:val="center"/>
          </w:tcPr>
          <w:p w14:paraId="483524B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圃惠</w:t>
            </w:r>
          </w:p>
        </w:tc>
        <w:tc>
          <w:tcPr>
            <w:tcW w:w="1575" w:type="dxa"/>
            <w:tcBorders>
              <w:top w:val="nil"/>
              <w:left w:val="nil"/>
              <w:bottom w:val="single" w:color="auto" w:sz="4" w:space="0"/>
              <w:right w:val="single" w:color="auto" w:sz="4" w:space="0"/>
            </w:tcBorders>
            <w:shd w:val="clear" w:color="auto" w:fill="auto"/>
            <w:noWrap/>
            <w:vAlign w:val="center"/>
          </w:tcPr>
          <w:p w14:paraId="6A15E0B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PHH2610-G2800</w:t>
            </w:r>
          </w:p>
        </w:tc>
        <w:tc>
          <w:tcPr>
            <w:tcW w:w="810" w:type="dxa"/>
            <w:tcBorders>
              <w:top w:val="nil"/>
              <w:left w:val="nil"/>
              <w:bottom w:val="single" w:color="auto" w:sz="4" w:space="0"/>
              <w:right w:val="single" w:color="auto" w:sz="4" w:space="0"/>
            </w:tcBorders>
            <w:shd w:val="clear" w:color="auto" w:fill="auto"/>
            <w:noWrap/>
            <w:vAlign w:val="center"/>
          </w:tcPr>
          <w:p w14:paraId="19639F7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630" w:type="dxa"/>
            <w:tcBorders>
              <w:top w:val="nil"/>
              <w:left w:val="nil"/>
              <w:bottom w:val="single" w:color="auto" w:sz="4" w:space="0"/>
              <w:right w:val="single" w:color="auto" w:sz="4" w:space="0"/>
            </w:tcBorders>
            <w:shd w:val="clear" w:color="auto" w:fill="auto"/>
            <w:noWrap/>
            <w:vAlign w:val="center"/>
          </w:tcPr>
          <w:p w14:paraId="05E402E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台</w:t>
            </w:r>
          </w:p>
        </w:tc>
        <w:tc>
          <w:tcPr>
            <w:tcW w:w="4005" w:type="dxa"/>
            <w:tcBorders>
              <w:top w:val="nil"/>
              <w:left w:val="nil"/>
              <w:bottom w:val="single" w:color="auto" w:sz="4" w:space="0"/>
              <w:right w:val="single" w:color="auto" w:sz="4" w:space="0"/>
            </w:tcBorders>
            <w:shd w:val="clear" w:color="auto" w:fill="auto"/>
            <w:vAlign w:val="center"/>
          </w:tcPr>
          <w:p w14:paraId="1D4CE500">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设备提供≥8路千兆以太网电口，支持VLAN划分，≥2个千兆以太SFP光接口，≥1个Console口，传输带宽为线速≥1000M；支持光纤级联与环网不同组网方式；（含一对光收发器）</w:t>
            </w:r>
          </w:p>
        </w:tc>
      </w:tr>
      <w:tr w14:paraId="5645F64F">
        <w:tblPrEx>
          <w:tblCellMar>
            <w:top w:w="0" w:type="dxa"/>
            <w:left w:w="108" w:type="dxa"/>
            <w:bottom w:w="0" w:type="dxa"/>
            <w:right w:w="108" w:type="dxa"/>
          </w:tblCellMar>
        </w:tblPrEx>
        <w:trPr>
          <w:trHeight w:val="720" w:hRule="atLeast"/>
        </w:trPr>
        <w:tc>
          <w:tcPr>
            <w:tcW w:w="625" w:type="dxa"/>
            <w:tcBorders>
              <w:top w:val="nil"/>
              <w:left w:val="single" w:color="auto" w:sz="4" w:space="0"/>
              <w:bottom w:val="single" w:color="auto" w:sz="4" w:space="0"/>
              <w:right w:val="single" w:color="auto" w:sz="4" w:space="0"/>
            </w:tcBorders>
            <w:shd w:val="clear" w:color="auto" w:fill="auto"/>
            <w:noWrap/>
            <w:vAlign w:val="center"/>
          </w:tcPr>
          <w:p w14:paraId="46E1304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9</w:t>
            </w:r>
          </w:p>
        </w:tc>
        <w:tc>
          <w:tcPr>
            <w:tcW w:w="1350" w:type="dxa"/>
            <w:tcBorders>
              <w:top w:val="nil"/>
              <w:left w:val="nil"/>
              <w:bottom w:val="single" w:color="auto" w:sz="4" w:space="0"/>
              <w:right w:val="single" w:color="auto" w:sz="4" w:space="0"/>
            </w:tcBorders>
            <w:shd w:val="clear" w:color="auto" w:fill="auto"/>
            <w:noWrap/>
            <w:vAlign w:val="center"/>
          </w:tcPr>
          <w:p w14:paraId="44D3538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前端称重系统软件</w:t>
            </w:r>
          </w:p>
        </w:tc>
        <w:tc>
          <w:tcPr>
            <w:tcW w:w="1260" w:type="dxa"/>
            <w:tcBorders>
              <w:top w:val="nil"/>
              <w:left w:val="nil"/>
              <w:bottom w:val="single" w:color="auto" w:sz="4" w:space="0"/>
              <w:right w:val="single" w:color="auto" w:sz="4" w:space="0"/>
            </w:tcBorders>
            <w:shd w:val="clear" w:color="auto" w:fill="auto"/>
            <w:noWrap/>
            <w:vAlign w:val="center"/>
          </w:tcPr>
          <w:p w14:paraId="23DFBA7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杭州四方</w:t>
            </w:r>
          </w:p>
        </w:tc>
        <w:tc>
          <w:tcPr>
            <w:tcW w:w="1575" w:type="dxa"/>
            <w:tcBorders>
              <w:top w:val="nil"/>
              <w:left w:val="nil"/>
              <w:bottom w:val="single" w:color="auto" w:sz="4" w:space="0"/>
              <w:right w:val="single" w:color="auto" w:sz="4" w:space="0"/>
            </w:tcBorders>
            <w:shd w:val="clear" w:color="auto" w:fill="auto"/>
            <w:noWrap/>
            <w:vAlign w:val="center"/>
          </w:tcPr>
          <w:p w14:paraId="6183DB9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优质</w:t>
            </w:r>
          </w:p>
        </w:tc>
        <w:tc>
          <w:tcPr>
            <w:tcW w:w="810" w:type="dxa"/>
            <w:tcBorders>
              <w:top w:val="nil"/>
              <w:left w:val="nil"/>
              <w:bottom w:val="single" w:color="auto" w:sz="4" w:space="0"/>
              <w:right w:val="single" w:color="auto" w:sz="4" w:space="0"/>
            </w:tcBorders>
            <w:shd w:val="clear" w:color="auto" w:fill="auto"/>
            <w:noWrap/>
            <w:vAlign w:val="center"/>
          </w:tcPr>
          <w:p w14:paraId="7B2183E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630" w:type="dxa"/>
            <w:tcBorders>
              <w:top w:val="nil"/>
              <w:left w:val="nil"/>
              <w:bottom w:val="single" w:color="auto" w:sz="4" w:space="0"/>
              <w:right w:val="single" w:color="auto" w:sz="4" w:space="0"/>
            </w:tcBorders>
            <w:shd w:val="clear" w:color="auto" w:fill="auto"/>
            <w:noWrap/>
            <w:vAlign w:val="center"/>
          </w:tcPr>
          <w:p w14:paraId="0518BE6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005" w:type="dxa"/>
            <w:tcBorders>
              <w:top w:val="nil"/>
              <w:left w:val="nil"/>
              <w:bottom w:val="single" w:color="auto" w:sz="4" w:space="0"/>
              <w:right w:val="single" w:color="auto" w:sz="4" w:space="0"/>
            </w:tcBorders>
            <w:shd w:val="clear" w:color="auto" w:fill="auto"/>
            <w:vAlign w:val="center"/>
          </w:tcPr>
          <w:p w14:paraId="5E8B03ED">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实时检测通行车辆的轴（组）重、总重、超载量、轴型、车速、车牌号、车辆图片等数据；</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自动识别超限车辆车牌号码、抓拍车辆前后车厢图片；</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自动匹配高速称重数据、超限车辆车牌号码、超限车辆前后车厢图片；</w:t>
            </w:r>
          </w:p>
        </w:tc>
      </w:tr>
      <w:tr w14:paraId="2FB78A48">
        <w:tblPrEx>
          <w:tblCellMar>
            <w:top w:w="0" w:type="dxa"/>
            <w:left w:w="108" w:type="dxa"/>
            <w:bottom w:w="0" w:type="dxa"/>
            <w:right w:w="108" w:type="dxa"/>
          </w:tblCellMar>
        </w:tblPrEx>
        <w:trPr>
          <w:trHeight w:val="720" w:hRule="atLeast"/>
        </w:trPr>
        <w:tc>
          <w:tcPr>
            <w:tcW w:w="625" w:type="dxa"/>
            <w:tcBorders>
              <w:top w:val="nil"/>
              <w:left w:val="single" w:color="auto" w:sz="4" w:space="0"/>
              <w:bottom w:val="single" w:color="auto" w:sz="4" w:space="0"/>
              <w:right w:val="single" w:color="auto" w:sz="4" w:space="0"/>
            </w:tcBorders>
            <w:shd w:val="clear" w:color="auto" w:fill="auto"/>
            <w:noWrap/>
            <w:vAlign w:val="center"/>
          </w:tcPr>
          <w:p w14:paraId="6531D84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10</w:t>
            </w:r>
          </w:p>
        </w:tc>
        <w:tc>
          <w:tcPr>
            <w:tcW w:w="1350" w:type="dxa"/>
            <w:tcBorders>
              <w:top w:val="nil"/>
              <w:left w:val="nil"/>
              <w:bottom w:val="single" w:color="auto" w:sz="4" w:space="0"/>
              <w:right w:val="single" w:color="auto" w:sz="4" w:space="0"/>
            </w:tcBorders>
            <w:shd w:val="clear" w:color="auto" w:fill="auto"/>
            <w:noWrap/>
            <w:vAlign w:val="center"/>
          </w:tcPr>
          <w:p w14:paraId="5D748E7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服务器</w:t>
            </w:r>
          </w:p>
        </w:tc>
        <w:tc>
          <w:tcPr>
            <w:tcW w:w="1260" w:type="dxa"/>
            <w:tcBorders>
              <w:top w:val="nil"/>
              <w:left w:val="nil"/>
              <w:bottom w:val="single" w:color="auto" w:sz="4" w:space="0"/>
              <w:right w:val="single" w:color="auto" w:sz="4" w:space="0"/>
            </w:tcBorders>
            <w:shd w:val="clear" w:color="auto" w:fill="auto"/>
            <w:noWrap/>
            <w:vAlign w:val="center"/>
          </w:tcPr>
          <w:p w14:paraId="46E35D8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DELL</w:t>
            </w:r>
          </w:p>
        </w:tc>
        <w:tc>
          <w:tcPr>
            <w:tcW w:w="1575" w:type="dxa"/>
            <w:tcBorders>
              <w:top w:val="nil"/>
              <w:left w:val="nil"/>
              <w:bottom w:val="single" w:color="auto" w:sz="4" w:space="0"/>
              <w:right w:val="single" w:color="auto" w:sz="4" w:space="0"/>
            </w:tcBorders>
            <w:shd w:val="clear" w:color="auto" w:fill="auto"/>
            <w:noWrap/>
            <w:vAlign w:val="center"/>
          </w:tcPr>
          <w:p w14:paraId="53AB08C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R740</w:t>
            </w:r>
          </w:p>
        </w:tc>
        <w:tc>
          <w:tcPr>
            <w:tcW w:w="810" w:type="dxa"/>
            <w:tcBorders>
              <w:top w:val="nil"/>
              <w:left w:val="nil"/>
              <w:bottom w:val="single" w:color="auto" w:sz="4" w:space="0"/>
              <w:right w:val="single" w:color="auto" w:sz="4" w:space="0"/>
            </w:tcBorders>
            <w:shd w:val="clear" w:color="auto" w:fill="auto"/>
            <w:noWrap/>
            <w:vAlign w:val="center"/>
          </w:tcPr>
          <w:p w14:paraId="3242A6D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630" w:type="dxa"/>
            <w:tcBorders>
              <w:top w:val="nil"/>
              <w:left w:val="nil"/>
              <w:bottom w:val="single" w:color="auto" w:sz="4" w:space="0"/>
              <w:right w:val="single" w:color="auto" w:sz="4" w:space="0"/>
            </w:tcBorders>
            <w:shd w:val="clear" w:color="auto" w:fill="auto"/>
            <w:noWrap/>
            <w:vAlign w:val="center"/>
          </w:tcPr>
          <w:p w14:paraId="70D36AD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005" w:type="dxa"/>
            <w:tcBorders>
              <w:top w:val="nil"/>
              <w:left w:val="nil"/>
              <w:bottom w:val="single" w:color="auto" w:sz="4" w:space="0"/>
              <w:right w:val="single" w:color="auto" w:sz="4" w:space="0"/>
            </w:tcBorders>
            <w:shd w:val="clear" w:color="auto" w:fill="auto"/>
            <w:vAlign w:val="center"/>
          </w:tcPr>
          <w:p w14:paraId="6BF416CD">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处理器:两个Intel至强可扩展处理器主频≥2.2GHz且≥10核，L3≥13.75MB，可选最大可支持至20核125W处理器。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工作温度:最高支持40°C以上。</w:t>
            </w:r>
          </w:p>
        </w:tc>
      </w:tr>
      <w:tr w14:paraId="0BFB4FDC">
        <w:tblPrEx>
          <w:tblCellMar>
            <w:top w:w="0" w:type="dxa"/>
            <w:left w:w="108" w:type="dxa"/>
            <w:bottom w:w="0" w:type="dxa"/>
            <w:right w:w="108" w:type="dxa"/>
          </w:tblCellMar>
        </w:tblPrEx>
        <w:trPr>
          <w:trHeight w:val="720" w:hRule="atLeast"/>
        </w:trPr>
        <w:tc>
          <w:tcPr>
            <w:tcW w:w="625" w:type="dxa"/>
            <w:tcBorders>
              <w:top w:val="nil"/>
              <w:left w:val="single" w:color="auto" w:sz="4" w:space="0"/>
              <w:bottom w:val="single" w:color="auto" w:sz="4" w:space="0"/>
              <w:right w:val="single" w:color="auto" w:sz="4" w:space="0"/>
            </w:tcBorders>
            <w:shd w:val="clear" w:color="000000" w:fill="auto"/>
            <w:noWrap/>
            <w:vAlign w:val="center"/>
          </w:tcPr>
          <w:p w14:paraId="6D5B1F4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11</w:t>
            </w:r>
          </w:p>
        </w:tc>
        <w:tc>
          <w:tcPr>
            <w:tcW w:w="1350" w:type="dxa"/>
            <w:tcBorders>
              <w:top w:val="nil"/>
              <w:left w:val="nil"/>
              <w:bottom w:val="single" w:color="auto" w:sz="4" w:space="0"/>
              <w:right w:val="single" w:color="auto" w:sz="4" w:space="0"/>
            </w:tcBorders>
            <w:shd w:val="clear" w:color="000000" w:fill="auto"/>
            <w:noWrap/>
            <w:vAlign w:val="center"/>
          </w:tcPr>
          <w:p w14:paraId="2474551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处罚软件接入服务费用</w:t>
            </w:r>
          </w:p>
        </w:tc>
        <w:tc>
          <w:tcPr>
            <w:tcW w:w="1260" w:type="dxa"/>
            <w:tcBorders>
              <w:top w:val="nil"/>
              <w:left w:val="nil"/>
              <w:bottom w:val="single" w:color="auto" w:sz="4" w:space="0"/>
              <w:right w:val="single" w:color="auto" w:sz="4" w:space="0"/>
            </w:tcBorders>
            <w:shd w:val="clear" w:color="000000" w:fill="auto"/>
            <w:noWrap/>
            <w:vAlign w:val="center"/>
          </w:tcPr>
          <w:p w14:paraId="247297F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软易</w:t>
            </w:r>
          </w:p>
        </w:tc>
        <w:tc>
          <w:tcPr>
            <w:tcW w:w="1575" w:type="dxa"/>
            <w:tcBorders>
              <w:top w:val="nil"/>
              <w:left w:val="nil"/>
              <w:bottom w:val="single" w:color="auto" w:sz="4" w:space="0"/>
              <w:right w:val="single" w:color="auto" w:sz="4" w:space="0"/>
            </w:tcBorders>
            <w:shd w:val="clear" w:color="000000" w:fill="auto"/>
            <w:noWrap/>
            <w:vAlign w:val="center"/>
          </w:tcPr>
          <w:p w14:paraId="0FA940C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810" w:type="dxa"/>
            <w:tcBorders>
              <w:top w:val="nil"/>
              <w:left w:val="nil"/>
              <w:bottom w:val="single" w:color="auto" w:sz="4" w:space="0"/>
              <w:right w:val="single" w:color="auto" w:sz="4" w:space="0"/>
            </w:tcBorders>
            <w:shd w:val="clear" w:color="000000" w:fill="auto"/>
            <w:noWrap/>
            <w:vAlign w:val="center"/>
          </w:tcPr>
          <w:p w14:paraId="766A34B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630" w:type="dxa"/>
            <w:tcBorders>
              <w:top w:val="nil"/>
              <w:left w:val="nil"/>
              <w:bottom w:val="single" w:color="auto" w:sz="4" w:space="0"/>
              <w:right w:val="single" w:color="auto" w:sz="4" w:space="0"/>
            </w:tcBorders>
            <w:shd w:val="clear" w:color="000000" w:fill="auto"/>
            <w:noWrap/>
            <w:vAlign w:val="center"/>
          </w:tcPr>
          <w:p w14:paraId="4A6359A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005" w:type="dxa"/>
            <w:tcBorders>
              <w:top w:val="nil"/>
              <w:left w:val="nil"/>
              <w:bottom w:val="single" w:color="auto" w:sz="4" w:space="0"/>
              <w:right w:val="single" w:color="auto" w:sz="4" w:space="0"/>
            </w:tcBorders>
            <w:shd w:val="clear" w:color="000000" w:fill="auto"/>
            <w:vAlign w:val="center"/>
          </w:tcPr>
          <w:p w14:paraId="4C4918C5">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非现处罚软件接入服务费</w:t>
            </w:r>
          </w:p>
        </w:tc>
      </w:tr>
      <w:tr w14:paraId="055D95AD">
        <w:tblPrEx>
          <w:tblCellMar>
            <w:top w:w="0" w:type="dxa"/>
            <w:left w:w="108" w:type="dxa"/>
            <w:bottom w:w="0" w:type="dxa"/>
            <w:right w:w="108" w:type="dxa"/>
          </w:tblCellMar>
        </w:tblPrEx>
        <w:trPr>
          <w:trHeight w:val="720" w:hRule="atLeast"/>
        </w:trPr>
        <w:tc>
          <w:tcPr>
            <w:tcW w:w="10255" w:type="dxa"/>
            <w:gridSpan w:val="7"/>
            <w:tcBorders>
              <w:top w:val="nil"/>
              <w:left w:val="single" w:color="auto" w:sz="4" w:space="0"/>
              <w:bottom w:val="single" w:color="auto" w:sz="4" w:space="0"/>
              <w:right w:val="single" w:color="auto" w:sz="4" w:space="0"/>
            </w:tcBorders>
            <w:shd w:val="clear" w:color="000000" w:fill="auto"/>
            <w:noWrap/>
            <w:vAlign w:val="center"/>
          </w:tcPr>
          <w:p w14:paraId="0D495B7D">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信息显示诱导系统</w:t>
            </w:r>
          </w:p>
        </w:tc>
      </w:tr>
      <w:tr w14:paraId="5E383D90">
        <w:tblPrEx>
          <w:tblCellMar>
            <w:top w:w="0" w:type="dxa"/>
            <w:left w:w="108" w:type="dxa"/>
            <w:bottom w:w="0" w:type="dxa"/>
            <w:right w:w="108" w:type="dxa"/>
          </w:tblCellMar>
        </w:tblPrEx>
        <w:trPr>
          <w:trHeight w:val="720" w:hRule="atLeast"/>
        </w:trPr>
        <w:tc>
          <w:tcPr>
            <w:tcW w:w="625" w:type="dxa"/>
            <w:tcBorders>
              <w:top w:val="nil"/>
              <w:left w:val="single" w:color="auto" w:sz="4" w:space="0"/>
              <w:bottom w:val="single" w:color="auto" w:sz="4" w:space="0"/>
              <w:right w:val="single" w:color="auto" w:sz="4" w:space="0"/>
            </w:tcBorders>
            <w:shd w:val="clear" w:color="auto" w:fill="auto"/>
            <w:noWrap/>
            <w:vAlign w:val="center"/>
          </w:tcPr>
          <w:p w14:paraId="599B4CE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12</w:t>
            </w:r>
          </w:p>
        </w:tc>
        <w:tc>
          <w:tcPr>
            <w:tcW w:w="1350" w:type="dxa"/>
            <w:tcBorders>
              <w:top w:val="nil"/>
              <w:left w:val="nil"/>
              <w:bottom w:val="single" w:color="auto" w:sz="4" w:space="0"/>
              <w:right w:val="single" w:color="auto" w:sz="4" w:space="0"/>
            </w:tcBorders>
            <w:shd w:val="clear" w:color="auto" w:fill="auto"/>
            <w:noWrap/>
            <w:vAlign w:val="center"/>
          </w:tcPr>
          <w:p w14:paraId="0C7C0E6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可变情报板</w:t>
            </w:r>
          </w:p>
        </w:tc>
        <w:tc>
          <w:tcPr>
            <w:tcW w:w="1260" w:type="dxa"/>
            <w:tcBorders>
              <w:top w:val="nil"/>
              <w:left w:val="nil"/>
              <w:bottom w:val="single" w:color="auto" w:sz="4" w:space="0"/>
              <w:right w:val="single" w:color="auto" w:sz="4" w:space="0"/>
            </w:tcBorders>
            <w:shd w:val="clear" w:color="auto" w:fill="auto"/>
            <w:noWrap/>
            <w:vAlign w:val="center"/>
          </w:tcPr>
          <w:p w14:paraId="155063B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依鲁光电</w:t>
            </w:r>
          </w:p>
        </w:tc>
        <w:tc>
          <w:tcPr>
            <w:tcW w:w="1575" w:type="dxa"/>
            <w:tcBorders>
              <w:top w:val="nil"/>
              <w:left w:val="nil"/>
              <w:bottom w:val="single" w:color="auto" w:sz="4" w:space="0"/>
              <w:right w:val="single" w:color="auto" w:sz="4" w:space="0"/>
            </w:tcBorders>
            <w:shd w:val="clear" w:color="auto" w:fill="auto"/>
            <w:noWrap/>
            <w:vAlign w:val="center"/>
          </w:tcPr>
          <w:p w14:paraId="064D0A4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KXB-10TB1-EL-PH3125C1</w:t>
            </w:r>
          </w:p>
        </w:tc>
        <w:tc>
          <w:tcPr>
            <w:tcW w:w="810" w:type="dxa"/>
            <w:tcBorders>
              <w:top w:val="nil"/>
              <w:left w:val="nil"/>
              <w:bottom w:val="single" w:color="auto" w:sz="4" w:space="0"/>
              <w:right w:val="single" w:color="auto" w:sz="4" w:space="0"/>
            </w:tcBorders>
            <w:shd w:val="clear" w:color="auto" w:fill="auto"/>
            <w:noWrap/>
            <w:vAlign w:val="center"/>
          </w:tcPr>
          <w:p w14:paraId="4E24659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630" w:type="dxa"/>
            <w:tcBorders>
              <w:top w:val="nil"/>
              <w:left w:val="nil"/>
              <w:bottom w:val="single" w:color="auto" w:sz="4" w:space="0"/>
              <w:right w:val="single" w:color="auto" w:sz="4" w:space="0"/>
            </w:tcBorders>
            <w:shd w:val="clear" w:color="auto" w:fill="auto"/>
            <w:noWrap/>
            <w:vAlign w:val="center"/>
          </w:tcPr>
          <w:p w14:paraId="1ED8BA1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005" w:type="dxa"/>
            <w:tcBorders>
              <w:top w:val="nil"/>
              <w:left w:val="nil"/>
              <w:bottom w:val="single" w:color="auto" w:sz="4" w:space="0"/>
              <w:right w:val="single" w:color="auto" w:sz="4" w:space="0"/>
            </w:tcBorders>
            <w:shd w:val="clear" w:color="auto" w:fill="auto"/>
            <w:vAlign w:val="center"/>
          </w:tcPr>
          <w:p w14:paraId="52CA789B">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双基色 LED 屏（P25)（长度定制）</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当车辆不超限时显示屏无显示，车辆超限时显示超限</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车车号和诱导提示，显示内容可按用户需要进行调节。</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面积不少于7.68平方</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投标人所投LED诱导屏须与称重传感器兼容</w:t>
            </w:r>
          </w:p>
        </w:tc>
      </w:tr>
      <w:tr w14:paraId="7E826972">
        <w:tblPrEx>
          <w:tblCellMar>
            <w:top w:w="0" w:type="dxa"/>
            <w:left w:w="108" w:type="dxa"/>
            <w:bottom w:w="0" w:type="dxa"/>
            <w:right w:w="108" w:type="dxa"/>
          </w:tblCellMar>
        </w:tblPrEx>
        <w:trPr>
          <w:trHeight w:val="720" w:hRule="atLeast"/>
        </w:trPr>
        <w:tc>
          <w:tcPr>
            <w:tcW w:w="10255" w:type="dxa"/>
            <w:gridSpan w:val="7"/>
            <w:tcBorders>
              <w:top w:val="nil"/>
              <w:left w:val="single" w:color="auto" w:sz="4" w:space="0"/>
              <w:bottom w:val="single" w:color="auto" w:sz="4" w:space="0"/>
              <w:right w:val="single" w:color="auto" w:sz="4" w:space="0"/>
            </w:tcBorders>
            <w:shd w:val="clear" w:color="auto" w:fill="auto"/>
            <w:noWrap/>
            <w:vAlign w:val="center"/>
          </w:tcPr>
          <w:p w14:paraId="5C48367A">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高清卡口车牌识别系统</w:t>
            </w:r>
          </w:p>
        </w:tc>
      </w:tr>
      <w:tr w14:paraId="526B76A2">
        <w:tblPrEx>
          <w:tblCellMar>
            <w:top w:w="0" w:type="dxa"/>
            <w:left w:w="108" w:type="dxa"/>
            <w:bottom w:w="0" w:type="dxa"/>
            <w:right w:w="108" w:type="dxa"/>
          </w:tblCellMar>
        </w:tblPrEx>
        <w:trPr>
          <w:trHeight w:val="720" w:hRule="atLeast"/>
        </w:trPr>
        <w:tc>
          <w:tcPr>
            <w:tcW w:w="625" w:type="dxa"/>
            <w:tcBorders>
              <w:top w:val="nil"/>
              <w:left w:val="single" w:color="auto" w:sz="4" w:space="0"/>
              <w:bottom w:val="single" w:color="auto" w:sz="4" w:space="0"/>
              <w:right w:val="single" w:color="auto" w:sz="4" w:space="0"/>
            </w:tcBorders>
            <w:shd w:val="clear" w:color="auto" w:fill="auto"/>
            <w:noWrap/>
            <w:vAlign w:val="center"/>
          </w:tcPr>
          <w:p w14:paraId="695F564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13</w:t>
            </w:r>
          </w:p>
        </w:tc>
        <w:tc>
          <w:tcPr>
            <w:tcW w:w="1350" w:type="dxa"/>
            <w:tcBorders>
              <w:top w:val="nil"/>
              <w:left w:val="nil"/>
              <w:bottom w:val="single" w:color="auto" w:sz="4" w:space="0"/>
              <w:right w:val="single" w:color="auto" w:sz="4" w:space="0"/>
            </w:tcBorders>
            <w:shd w:val="clear" w:color="auto" w:fill="auto"/>
            <w:noWrap/>
            <w:vAlign w:val="center"/>
          </w:tcPr>
          <w:p w14:paraId="740BD2B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高清卡口车牌识别系统</w:t>
            </w:r>
          </w:p>
        </w:tc>
        <w:tc>
          <w:tcPr>
            <w:tcW w:w="1260" w:type="dxa"/>
            <w:tcBorders>
              <w:top w:val="nil"/>
              <w:left w:val="nil"/>
              <w:bottom w:val="single" w:color="auto" w:sz="4" w:space="0"/>
              <w:right w:val="single" w:color="auto" w:sz="4" w:space="0"/>
            </w:tcBorders>
            <w:shd w:val="clear" w:color="auto" w:fill="auto"/>
            <w:noWrap/>
            <w:vAlign w:val="center"/>
          </w:tcPr>
          <w:p w14:paraId="3E5B896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大华</w:t>
            </w:r>
          </w:p>
        </w:tc>
        <w:tc>
          <w:tcPr>
            <w:tcW w:w="1575" w:type="dxa"/>
            <w:tcBorders>
              <w:top w:val="nil"/>
              <w:left w:val="nil"/>
              <w:bottom w:val="single" w:color="auto" w:sz="4" w:space="0"/>
              <w:right w:val="single" w:color="auto" w:sz="4" w:space="0"/>
            </w:tcBorders>
            <w:shd w:val="clear" w:color="auto" w:fill="auto"/>
            <w:noWrap/>
            <w:vAlign w:val="center"/>
          </w:tcPr>
          <w:p w14:paraId="4614D3C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DH-CP902</w:t>
            </w:r>
          </w:p>
        </w:tc>
        <w:tc>
          <w:tcPr>
            <w:tcW w:w="810" w:type="dxa"/>
            <w:tcBorders>
              <w:top w:val="nil"/>
              <w:left w:val="nil"/>
              <w:bottom w:val="single" w:color="auto" w:sz="4" w:space="0"/>
              <w:right w:val="single" w:color="auto" w:sz="4" w:space="0"/>
            </w:tcBorders>
            <w:shd w:val="clear" w:color="auto" w:fill="auto"/>
            <w:noWrap/>
            <w:vAlign w:val="center"/>
          </w:tcPr>
          <w:p w14:paraId="1760485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5</w:t>
            </w:r>
          </w:p>
        </w:tc>
        <w:tc>
          <w:tcPr>
            <w:tcW w:w="630" w:type="dxa"/>
            <w:tcBorders>
              <w:top w:val="nil"/>
              <w:left w:val="nil"/>
              <w:bottom w:val="single" w:color="auto" w:sz="4" w:space="0"/>
              <w:right w:val="single" w:color="auto" w:sz="4" w:space="0"/>
            </w:tcBorders>
            <w:shd w:val="clear" w:color="auto" w:fill="auto"/>
            <w:noWrap/>
            <w:vAlign w:val="center"/>
          </w:tcPr>
          <w:p w14:paraId="4F902E3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005" w:type="dxa"/>
            <w:tcBorders>
              <w:top w:val="nil"/>
              <w:left w:val="nil"/>
              <w:bottom w:val="single" w:color="auto" w:sz="4" w:space="0"/>
              <w:right w:val="single" w:color="auto" w:sz="4" w:space="0"/>
            </w:tcBorders>
            <w:shd w:val="clear" w:color="auto" w:fill="auto"/>
            <w:vAlign w:val="center"/>
          </w:tcPr>
          <w:p w14:paraId="2925CF73">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1英寸CMOS传感器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图像分辨率4096（H）×2160（V）</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视频帧率25fps；覆盖3车道</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支持识别车头6500种车辆子品牌，车尾3500种车辆子品牌，白天识别率98%，晚上识别率95%</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支持车辆捕获功能，白天准确率≥99.9%，晚上准确率≥99.9%  </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支持车牌识别功能，白天准确率≥99.9%，晚上准确率≥99.9%</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支持350种车标识别，白天准确率≥98%，晚上准确率≥98%</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支持红色信号灯昼夜色彩校正功能，可对设定区域内的红色信号灯进行显示色彩校正</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抓图分辨率可达4096*2160(不含OSD)</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4096*4208(含OSD)</w:t>
            </w:r>
          </w:p>
        </w:tc>
      </w:tr>
      <w:tr w14:paraId="5267CA8D">
        <w:tblPrEx>
          <w:tblCellMar>
            <w:top w:w="0" w:type="dxa"/>
            <w:left w:w="108" w:type="dxa"/>
            <w:bottom w:w="0" w:type="dxa"/>
            <w:right w:w="108" w:type="dxa"/>
          </w:tblCellMar>
        </w:tblPrEx>
        <w:trPr>
          <w:trHeight w:val="720" w:hRule="atLeast"/>
        </w:trPr>
        <w:tc>
          <w:tcPr>
            <w:tcW w:w="625" w:type="dxa"/>
            <w:tcBorders>
              <w:top w:val="nil"/>
              <w:left w:val="single" w:color="auto" w:sz="4" w:space="0"/>
              <w:bottom w:val="single" w:color="auto" w:sz="4" w:space="0"/>
              <w:right w:val="single" w:color="auto" w:sz="4" w:space="0"/>
            </w:tcBorders>
            <w:shd w:val="clear" w:color="auto" w:fill="auto"/>
            <w:noWrap/>
            <w:vAlign w:val="center"/>
          </w:tcPr>
          <w:p w14:paraId="5D9AFE1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14</w:t>
            </w:r>
          </w:p>
        </w:tc>
        <w:tc>
          <w:tcPr>
            <w:tcW w:w="1350" w:type="dxa"/>
            <w:tcBorders>
              <w:top w:val="nil"/>
              <w:left w:val="nil"/>
              <w:bottom w:val="single" w:color="auto" w:sz="4" w:space="0"/>
              <w:right w:val="single" w:color="auto" w:sz="4" w:space="0"/>
            </w:tcBorders>
            <w:shd w:val="clear" w:color="auto" w:fill="auto"/>
            <w:noWrap/>
            <w:vAlign w:val="center"/>
          </w:tcPr>
          <w:p w14:paraId="41B9225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补光灯</w:t>
            </w:r>
          </w:p>
        </w:tc>
        <w:tc>
          <w:tcPr>
            <w:tcW w:w="1260" w:type="dxa"/>
            <w:tcBorders>
              <w:top w:val="nil"/>
              <w:left w:val="nil"/>
              <w:bottom w:val="single" w:color="auto" w:sz="4" w:space="0"/>
              <w:right w:val="single" w:color="auto" w:sz="4" w:space="0"/>
            </w:tcBorders>
            <w:shd w:val="clear" w:color="auto" w:fill="auto"/>
            <w:noWrap/>
            <w:vAlign w:val="center"/>
          </w:tcPr>
          <w:p w14:paraId="34A8E31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意博</w:t>
            </w:r>
          </w:p>
        </w:tc>
        <w:tc>
          <w:tcPr>
            <w:tcW w:w="1575" w:type="dxa"/>
            <w:tcBorders>
              <w:top w:val="nil"/>
              <w:left w:val="nil"/>
              <w:bottom w:val="single" w:color="auto" w:sz="4" w:space="0"/>
              <w:right w:val="single" w:color="auto" w:sz="4" w:space="0"/>
            </w:tcBorders>
            <w:shd w:val="clear" w:color="auto" w:fill="auto"/>
            <w:noWrap/>
            <w:vAlign w:val="center"/>
          </w:tcPr>
          <w:p w14:paraId="3A1D7C6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EBE-ZPO3</w:t>
            </w:r>
          </w:p>
        </w:tc>
        <w:tc>
          <w:tcPr>
            <w:tcW w:w="810" w:type="dxa"/>
            <w:tcBorders>
              <w:top w:val="nil"/>
              <w:left w:val="nil"/>
              <w:bottom w:val="single" w:color="auto" w:sz="4" w:space="0"/>
              <w:right w:val="single" w:color="auto" w:sz="4" w:space="0"/>
            </w:tcBorders>
            <w:shd w:val="clear" w:color="auto" w:fill="auto"/>
            <w:noWrap/>
            <w:vAlign w:val="center"/>
          </w:tcPr>
          <w:p w14:paraId="0EAA74A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5</w:t>
            </w:r>
          </w:p>
        </w:tc>
        <w:tc>
          <w:tcPr>
            <w:tcW w:w="630" w:type="dxa"/>
            <w:tcBorders>
              <w:top w:val="nil"/>
              <w:left w:val="nil"/>
              <w:bottom w:val="single" w:color="auto" w:sz="4" w:space="0"/>
              <w:right w:val="single" w:color="auto" w:sz="4" w:space="0"/>
            </w:tcBorders>
            <w:shd w:val="clear" w:color="auto" w:fill="auto"/>
            <w:noWrap/>
            <w:vAlign w:val="center"/>
          </w:tcPr>
          <w:p w14:paraId="51016A6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005" w:type="dxa"/>
            <w:tcBorders>
              <w:top w:val="nil"/>
              <w:left w:val="nil"/>
              <w:bottom w:val="single" w:color="auto" w:sz="4" w:space="0"/>
              <w:right w:val="single" w:color="auto" w:sz="4" w:space="0"/>
            </w:tcBorders>
            <w:shd w:val="clear" w:color="auto" w:fill="auto"/>
            <w:vAlign w:val="center"/>
          </w:tcPr>
          <w:p w14:paraId="540F0AD8">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1、光源采用Cree、Osram等进口品牌灯珠，≥20颗3W高亮光源</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2、平均功率：≤50W</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3、色温：6000k-6700k</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4、补光角度：10°～40°可以选择</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5、功能要求：具备频闪+爆闪功能，补光方式可调</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6、补光灯光污染少、对驾驶人眼刺激小，符合光对生物安全性要求</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7、支持开关量/电平量触发方式</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8、外壳防尘防水等级：IP66及以上</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9、工作环境温度：-40℃～+70℃</w:t>
            </w:r>
          </w:p>
        </w:tc>
      </w:tr>
      <w:tr w14:paraId="4BEA1FF0">
        <w:tblPrEx>
          <w:tblCellMar>
            <w:top w:w="0" w:type="dxa"/>
            <w:left w:w="108" w:type="dxa"/>
            <w:bottom w:w="0" w:type="dxa"/>
            <w:right w:w="108" w:type="dxa"/>
          </w:tblCellMar>
        </w:tblPrEx>
        <w:trPr>
          <w:trHeight w:val="720" w:hRule="atLeast"/>
        </w:trPr>
        <w:tc>
          <w:tcPr>
            <w:tcW w:w="625" w:type="dxa"/>
            <w:tcBorders>
              <w:top w:val="nil"/>
              <w:left w:val="single" w:color="auto" w:sz="4" w:space="0"/>
              <w:bottom w:val="single" w:color="auto" w:sz="4" w:space="0"/>
              <w:right w:val="single" w:color="auto" w:sz="4" w:space="0"/>
            </w:tcBorders>
            <w:shd w:val="clear" w:color="auto" w:fill="auto"/>
            <w:noWrap/>
            <w:vAlign w:val="center"/>
          </w:tcPr>
          <w:p w14:paraId="1436047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15</w:t>
            </w:r>
          </w:p>
        </w:tc>
        <w:tc>
          <w:tcPr>
            <w:tcW w:w="1350" w:type="dxa"/>
            <w:tcBorders>
              <w:top w:val="nil"/>
              <w:left w:val="nil"/>
              <w:bottom w:val="single" w:color="auto" w:sz="4" w:space="0"/>
              <w:right w:val="single" w:color="auto" w:sz="4" w:space="0"/>
            </w:tcBorders>
            <w:shd w:val="clear" w:color="auto" w:fill="auto"/>
            <w:noWrap/>
            <w:vAlign w:val="center"/>
          </w:tcPr>
          <w:p w14:paraId="24ED6C7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全景摄像机</w:t>
            </w:r>
          </w:p>
        </w:tc>
        <w:tc>
          <w:tcPr>
            <w:tcW w:w="1260" w:type="dxa"/>
            <w:tcBorders>
              <w:top w:val="nil"/>
              <w:left w:val="nil"/>
              <w:bottom w:val="single" w:color="auto" w:sz="4" w:space="0"/>
              <w:right w:val="single" w:color="auto" w:sz="4" w:space="0"/>
            </w:tcBorders>
            <w:shd w:val="clear" w:color="auto" w:fill="auto"/>
            <w:noWrap/>
            <w:vAlign w:val="center"/>
          </w:tcPr>
          <w:p w14:paraId="16374BE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大华</w:t>
            </w:r>
          </w:p>
        </w:tc>
        <w:tc>
          <w:tcPr>
            <w:tcW w:w="1575" w:type="dxa"/>
            <w:tcBorders>
              <w:top w:val="nil"/>
              <w:left w:val="nil"/>
              <w:bottom w:val="single" w:color="auto" w:sz="4" w:space="0"/>
              <w:right w:val="single" w:color="auto" w:sz="4" w:space="0"/>
            </w:tcBorders>
            <w:shd w:val="clear" w:color="auto" w:fill="auto"/>
            <w:noWrap/>
            <w:vAlign w:val="center"/>
          </w:tcPr>
          <w:p w14:paraId="542505B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HF8239E</w:t>
            </w:r>
          </w:p>
        </w:tc>
        <w:tc>
          <w:tcPr>
            <w:tcW w:w="810" w:type="dxa"/>
            <w:tcBorders>
              <w:top w:val="nil"/>
              <w:left w:val="nil"/>
              <w:bottom w:val="single" w:color="auto" w:sz="4" w:space="0"/>
              <w:right w:val="single" w:color="auto" w:sz="4" w:space="0"/>
            </w:tcBorders>
            <w:shd w:val="clear" w:color="auto" w:fill="auto"/>
            <w:noWrap/>
            <w:vAlign w:val="center"/>
          </w:tcPr>
          <w:p w14:paraId="664301B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630" w:type="dxa"/>
            <w:tcBorders>
              <w:top w:val="nil"/>
              <w:left w:val="nil"/>
              <w:bottom w:val="single" w:color="auto" w:sz="4" w:space="0"/>
              <w:right w:val="single" w:color="auto" w:sz="4" w:space="0"/>
            </w:tcBorders>
            <w:shd w:val="clear" w:color="auto" w:fill="auto"/>
            <w:noWrap/>
            <w:vAlign w:val="center"/>
          </w:tcPr>
          <w:p w14:paraId="05D0FF6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台</w:t>
            </w:r>
          </w:p>
        </w:tc>
        <w:tc>
          <w:tcPr>
            <w:tcW w:w="4005" w:type="dxa"/>
            <w:tcBorders>
              <w:top w:val="nil"/>
              <w:left w:val="nil"/>
              <w:bottom w:val="single" w:color="auto" w:sz="4" w:space="0"/>
              <w:right w:val="single" w:color="auto" w:sz="4" w:space="0"/>
            </w:tcBorders>
            <w:shd w:val="clear" w:color="auto" w:fill="auto"/>
            <w:vAlign w:val="center"/>
          </w:tcPr>
          <w:p w14:paraId="5D5D31A0">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宽动态范围不小于120dB。</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支持人脸属性识别功能，支持通过菜单开启或关闭人脸优选功能，当开启人脸优选功能，能挑选出人脸轨迹中效果较好的一帧进行抓拍。</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支持人脸抓拍功能检验，包括人脸、单寸照、半身照、全身照；人脸抓拍图片可关联全景照存储。</w:t>
            </w:r>
          </w:p>
        </w:tc>
      </w:tr>
      <w:tr w14:paraId="379D333E">
        <w:tblPrEx>
          <w:tblCellMar>
            <w:top w:w="0" w:type="dxa"/>
            <w:left w:w="108" w:type="dxa"/>
            <w:bottom w:w="0" w:type="dxa"/>
            <w:right w:w="108" w:type="dxa"/>
          </w:tblCellMar>
        </w:tblPrEx>
        <w:trPr>
          <w:trHeight w:val="720" w:hRule="atLeast"/>
        </w:trPr>
        <w:tc>
          <w:tcPr>
            <w:tcW w:w="625" w:type="dxa"/>
            <w:tcBorders>
              <w:top w:val="nil"/>
              <w:left w:val="single" w:color="auto" w:sz="4" w:space="0"/>
              <w:bottom w:val="single" w:color="auto" w:sz="4" w:space="0"/>
              <w:right w:val="single" w:color="auto" w:sz="4" w:space="0"/>
            </w:tcBorders>
            <w:shd w:val="clear" w:color="auto" w:fill="auto"/>
            <w:noWrap/>
            <w:vAlign w:val="center"/>
          </w:tcPr>
          <w:p w14:paraId="07CB388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16</w:t>
            </w:r>
          </w:p>
        </w:tc>
        <w:tc>
          <w:tcPr>
            <w:tcW w:w="1350" w:type="dxa"/>
            <w:tcBorders>
              <w:top w:val="nil"/>
              <w:left w:val="nil"/>
              <w:bottom w:val="single" w:color="auto" w:sz="4" w:space="0"/>
              <w:right w:val="single" w:color="auto" w:sz="4" w:space="0"/>
            </w:tcBorders>
            <w:shd w:val="clear" w:color="auto" w:fill="auto"/>
            <w:noWrap/>
            <w:vAlign w:val="center"/>
          </w:tcPr>
          <w:p w14:paraId="63EB34D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道路监控球机</w:t>
            </w:r>
          </w:p>
        </w:tc>
        <w:tc>
          <w:tcPr>
            <w:tcW w:w="1260" w:type="dxa"/>
            <w:tcBorders>
              <w:top w:val="nil"/>
              <w:left w:val="nil"/>
              <w:bottom w:val="single" w:color="auto" w:sz="4" w:space="0"/>
              <w:right w:val="single" w:color="auto" w:sz="4" w:space="0"/>
            </w:tcBorders>
            <w:shd w:val="clear" w:color="auto" w:fill="auto"/>
            <w:noWrap/>
            <w:vAlign w:val="center"/>
          </w:tcPr>
          <w:p w14:paraId="2DACA17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大华</w:t>
            </w:r>
          </w:p>
        </w:tc>
        <w:tc>
          <w:tcPr>
            <w:tcW w:w="1575" w:type="dxa"/>
            <w:tcBorders>
              <w:top w:val="nil"/>
              <w:left w:val="nil"/>
              <w:bottom w:val="single" w:color="auto" w:sz="4" w:space="0"/>
              <w:right w:val="single" w:color="auto" w:sz="4" w:space="0"/>
            </w:tcBorders>
            <w:shd w:val="clear" w:color="auto" w:fill="auto"/>
            <w:noWrap/>
            <w:vAlign w:val="center"/>
          </w:tcPr>
          <w:p w14:paraId="67A1E75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SD-8A1240</w:t>
            </w:r>
          </w:p>
        </w:tc>
        <w:tc>
          <w:tcPr>
            <w:tcW w:w="810" w:type="dxa"/>
            <w:tcBorders>
              <w:top w:val="nil"/>
              <w:left w:val="nil"/>
              <w:bottom w:val="single" w:color="auto" w:sz="4" w:space="0"/>
              <w:right w:val="single" w:color="auto" w:sz="4" w:space="0"/>
            </w:tcBorders>
            <w:shd w:val="clear" w:color="auto" w:fill="auto"/>
            <w:noWrap/>
            <w:vAlign w:val="center"/>
          </w:tcPr>
          <w:p w14:paraId="79ADD89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630" w:type="dxa"/>
            <w:tcBorders>
              <w:top w:val="nil"/>
              <w:left w:val="nil"/>
              <w:bottom w:val="single" w:color="auto" w:sz="4" w:space="0"/>
              <w:right w:val="single" w:color="auto" w:sz="4" w:space="0"/>
            </w:tcBorders>
            <w:shd w:val="clear" w:color="auto" w:fill="auto"/>
            <w:noWrap/>
            <w:vAlign w:val="center"/>
          </w:tcPr>
          <w:p w14:paraId="722ECF6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个</w:t>
            </w:r>
          </w:p>
        </w:tc>
        <w:tc>
          <w:tcPr>
            <w:tcW w:w="4005" w:type="dxa"/>
            <w:tcBorders>
              <w:top w:val="nil"/>
              <w:left w:val="nil"/>
              <w:bottom w:val="single" w:color="auto" w:sz="4" w:space="0"/>
              <w:right w:val="single" w:color="auto" w:sz="4" w:space="0"/>
            </w:tcBorders>
            <w:shd w:val="clear" w:color="auto" w:fill="auto"/>
            <w:vAlign w:val="center"/>
          </w:tcPr>
          <w:p w14:paraId="268D768B">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可通过IE浏览器在视频图像上叠加通道名称、时间、预置点信息、坐标信息、倍数显示、人数进入和离开统计、温度显示等信息，具有45行字符显示，字体可设置为最大、大、中、小，字体颜色可设置；</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智能分析行为如区域入侵、停车、越界入侵、人员聚集、进入区域、离开区域、快速移动、物品移除、物品遗留、徘徊、监控区域内出现人脸、攀高、平躺起身、离岗，可通过客户端软件或IE浏览器给出报警提示；</w:t>
            </w:r>
          </w:p>
        </w:tc>
      </w:tr>
      <w:tr w14:paraId="0E821471">
        <w:tblPrEx>
          <w:tblCellMar>
            <w:top w:w="0" w:type="dxa"/>
            <w:left w:w="108" w:type="dxa"/>
            <w:bottom w:w="0" w:type="dxa"/>
            <w:right w:w="108" w:type="dxa"/>
          </w:tblCellMar>
        </w:tblPrEx>
        <w:trPr>
          <w:trHeight w:val="720" w:hRule="atLeast"/>
        </w:trPr>
        <w:tc>
          <w:tcPr>
            <w:tcW w:w="10255" w:type="dxa"/>
            <w:gridSpan w:val="7"/>
            <w:tcBorders>
              <w:top w:val="nil"/>
              <w:left w:val="single" w:color="auto" w:sz="4" w:space="0"/>
              <w:bottom w:val="single" w:color="auto" w:sz="4" w:space="0"/>
              <w:right w:val="single" w:color="auto" w:sz="4" w:space="0"/>
            </w:tcBorders>
            <w:shd w:val="clear" w:color="auto" w:fill="auto"/>
            <w:noWrap/>
            <w:vAlign w:val="center"/>
          </w:tcPr>
          <w:p w14:paraId="4B1CADDF">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公路路产赔(补)偿管理系统</w:t>
            </w:r>
          </w:p>
        </w:tc>
      </w:tr>
      <w:tr w14:paraId="4D5521E4">
        <w:tblPrEx>
          <w:tblCellMar>
            <w:top w:w="0" w:type="dxa"/>
            <w:left w:w="108" w:type="dxa"/>
            <w:bottom w:w="0" w:type="dxa"/>
            <w:right w:w="108" w:type="dxa"/>
          </w:tblCellMar>
        </w:tblPrEx>
        <w:trPr>
          <w:trHeight w:val="720" w:hRule="atLeast"/>
        </w:trPr>
        <w:tc>
          <w:tcPr>
            <w:tcW w:w="625" w:type="dxa"/>
            <w:tcBorders>
              <w:top w:val="nil"/>
              <w:left w:val="single" w:color="auto" w:sz="4" w:space="0"/>
              <w:bottom w:val="single" w:color="auto" w:sz="4" w:space="0"/>
              <w:right w:val="single" w:color="auto" w:sz="4" w:space="0"/>
            </w:tcBorders>
            <w:shd w:val="clear" w:color="000000" w:fill="auto"/>
            <w:noWrap/>
            <w:vAlign w:val="center"/>
          </w:tcPr>
          <w:p w14:paraId="02C39C1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17</w:t>
            </w:r>
          </w:p>
        </w:tc>
        <w:tc>
          <w:tcPr>
            <w:tcW w:w="1350" w:type="dxa"/>
            <w:tcBorders>
              <w:top w:val="nil"/>
              <w:left w:val="nil"/>
              <w:bottom w:val="single" w:color="auto" w:sz="4" w:space="0"/>
              <w:right w:val="single" w:color="auto" w:sz="4" w:space="0"/>
            </w:tcBorders>
            <w:shd w:val="clear" w:color="000000" w:fill="auto"/>
            <w:noWrap/>
            <w:vAlign w:val="center"/>
          </w:tcPr>
          <w:p w14:paraId="340B26F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公路路产赔(补)偿管理系统</w:t>
            </w:r>
          </w:p>
        </w:tc>
        <w:tc>
          <w:tcPr>
            <w:tcW w:w="1260" w:type="dxa"/>
            <w:tcBorders>
              <w:top w:val="nil"/>
              <w:left w:val="nil"/>
              <w:bottom w:val="single" w:color="auto" w:sz="4" w:space="0"/>
              <w:right w:val="single" w:color="auto" w:sz="4" w:space="0"/>
            </w:tcBorders>
            <w:shd w:val="clear" w:color="000000" w:fill="auto"/>
            <w:noWrap/>
            <w:vAlign w:val="center"/>
          </w:tcPr>
          <w:p w14:paraId="77D4407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软易</w:t>
            </w:r>
          </w:p>
        </w:tc>
        <w:tc>
          <w:tcPr>
            <w:tcW w:w="1575" w:type="dxa"/>
            <w:tcBorders>
              <w:top w:val="nil"/>
              <w:left w:val="nil"/>
              <w:bottom w:val="single" w:color="auto" w:sz="4" w:space="0"/>
              <w:right w:val="single" w:color="auto" w:sz="4" w:space="0"/>
            </w:tcBorders>
            <w:shd w:val="clear" w:color="000000" w:fill="auto"/>
            <w:noWrap/>
            <w:vAlign w:val="center"/>
          </w:tcPr>
          <w:p w14:paraId="5B250B1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810" w:type="dxa"/>
            <w:tcBorders>
              <w:top w:val="nil"/>
              <w:left w:val="nil"/>
              <w:bottom w:val="single" w:color="auto" w:sz="4" w:space="0"/>
              <w:right w:val="single" w:color="auto" w:sz="4" w:space="0"/>
            </w:tcBorders>
            <w:shd w:val="clear" w:color="000000" w:fill="auto"/>
            <w:noWrap/>
            <w:vAlign w:val="center"/>
          </w:tcPr>
          <w:p w14:paraId="63DCCE2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630" w:type="dxa"/>
            <w:tcBorders>
              <w:top w:val="nil"/>
              <w:left w:val="nil"/>
              <w:bottom w:val="single" w:color="auto" w:sz="4" w:space="0"/>
              <w:right w:val="single" w:color="auto" w:sz="4" w:space="0"/>
            </w:tcBorders>
            <w:shd w:val="clear" w:color="000000" w:fill="auto"/>
            <w:noWrap/>
            <w:vAlign w:val="center"/>
          </w:tcPr>
          <w:p w14:paraId="0EB0CAB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005" w:type="dxa"/>
            <w:tcBorders>
              <w:top w:val="nil"/>
              <w:left w:val="nil"/>
              <w:bottom w:val="single" w:color="auto" w:sz="4" w:space="0"/>
              <w:right w:val="single" w:color="auto" w:sz="4" w:space="0"/>
            </w:tcBorders>
            <w:shd w:val="clear" w:color="000000" w:fill="auto"/>
            <w:vAlign w:val="center"/>
          </w:tcPr>
          <w:p w14:paraId="013E0046">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1.证据采集与处理功能：本系统利用路政人员所采集的路产损坏照片等相关证据，通过附件上传的形式进行提交，实现证据电子化管理。</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2.要求通过本系统提供对公路路产基础数据进行分类和价格清单进行初始化设置，同时也要求依据路产类型的变化进行价格清单的自由调整。</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路产赔补偿案件处理功能：对路产损坏的行政相对人进行处罚，通过对立案登记表进行数据录入，要求系统能够自动生成一份完整的word格式的赔（补）偿案卷文书。此功能包括“信息录入、附件上传、结案处理、案卷生成”等功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4.系统自动统计行政相对人的违法信息。供相关部门和人员进行查询，查询条件可自由定义。</w:t>
            </w:r>
          </w:p>
        </w:tc>
      </w:tr>
      <w:tr w14:paraId="616881DB">
        <w:tblPrEx>
          <w:tblCellMar>
            <w:top w:w="0" w:type="dxa"/>
            <w:left w:w="108" w:type="dxa"/>
            <w:bottom w:w="0" w:type="dxa"/>
            <w:right w:w="108" w:type="dxa"/>
          </w:tblCellMar>
        </w:tblPrEx>
        <w:trPr>
          <w:trHeight w:val="3708" w:hRule="atLeast"/>
        </w:trPr>
        <w:tc>
          <w:tcPr>
            <w:tcW w:w="625" w:type="dxa"/>
            <w:tcBorders>
              <w:top w:val="nil"/>
              <w:left w:val="single" w:color="auto" w:sz="4" w:space="0"/>
              <w:bottom w:val="single" w:color="auto" w:sz="4" w:space="0"/>
              <w:right w:val="single" w:color="auto" w:sz="4" w:space="0"/>
            </w:tcBorders>
            <w:shd w:val="clear" w:color="000000" w:fill="auto"/>
            <w:noWrap/>
            <w:vAlign w:val="center"/>
          </w:tcPr>
          <w:p w14:paraId="4E41DD4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18</w:t>
            </w:r>
          </w:p>
        </w:tc>
        <w:tc>
          <w:tcPr>
            <w:tcW w:w="1350" w:type="dxa"/>
            <w:tcBorders>
              <w:top w:val="nil"/>
              <w:left w:val="nil"/>
              <w:bottom w:val="single" w:color="auto" w:sz="4" w:space="0"/>
              <w:right w:val="single" w:color="auto" w:sz="4" w:space="0"/>
            </w:tcBorders>
            <w:shd w:val="clear" w:color="000000" w:fill="auto"/>
            <w:noWrap/>
            <w:vAlign w:val="center"/>
          </w:tcPr>
          <w:p w14:paraId="7F0E2AD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标志标线模块</w:t>
            </w:r>
          </w:p>
        </w:tc>
        <w:tc>
          <w:tcPr>
            <w:tcW w:w="1260" w:type="dxa"/>
            <w:tcBorders>
              <w:top w:val="nil"/>
              <w:left w:val="nil"/>
              <w:bottom w:val="single" w:color="auto" w:sz="4" w:space="0"/>
              <w:right w:val="single" w:color="auto" w:sz="4" w:space="0"/>
            </w:tcBorders>
            <w:shd w:val="clear" w:color="000000" w:fill="auto"/>
            <w:noWrap/>
            <w:vAlign w:val="center"/>
          </w:tcPr>
          <w:p w14:paraId="2EEE982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软易</w:t>
            </w:r>
          </w:p>
        </w:tc>
        <w:tc>
          <w:tcPr>
            <w:tcW w:w="1575" w:type="dxa"/>
            <w:tcBorders>
              <w:top w:val="nil"/>
              <w:left w:val="nil"/>
              <w:bottom w:val="single" w:color="auto" w:sz="4" w:space="0"/>
              <w:right w:val="single" w:color="auto" w:sz="4" w:space="0"/>
            </w:tcBorders>
            <w:shd w:val="clear" w:color="000000" w:fill="auto"/>
            <w:noWrap/>
            <w:vAlign w:val="center"/>
          </w:tcPr>
          <w:p w14:paraId="7EB772B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810" w:type="dxa"/>
            <w:tcBorders>
              <w:top w:val="nil"/>
              <w:left w:val="nil"/>
              <w:bottom w:val="single" w:color="auto" w:sz="4" w:space="0"/>
              <w:right w:val="single" w:color="auto" w:sz="4" w:space="0"/>
            </w:tcBorders>
            <w:shd w:val="clear" w:color="000000" w:fill="auto"/>
            <w:noWrap/>
            <w:vAlign w:val="center"/>
          </w:tcPr>
          <w:p w14:paraId="5674EFF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630" w:type="dxa"/>
            <w:tcBorders>
              <w:top w:val="nil"/>
              <w:left w:val="nil"/>
              <w:bottom w:val="single" w:color="auto" w:sz="4" w:space="0"/>
              <w:right w:val="single" w:color="auto" w:sz="4" w:space="0"/>
            </w:tcBorders>
            <w:shd w:val="clear" w:color="000000" w:fill="auto"/>
            <w:noWrap/>
            <w:vAlign w:val="center"/>
          </w:tcPr>
          <w:p w14:paraId="7510F91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005" w:type="dxa"/>
            <w:tcBorders>
              <w:top w:val="nil"/>
              <w:left w:val="nil"/>
              <w:bottom w:val="single" w:color="auto" w:sz="4" w:space="0"/>
              <w:right w:val="single" w:color="auto" w:sz="4" w:space="0"/>
            </w:tcBorders>
            <w:shd w:val="clear" w:color="000000" w:fill="auto"/>
            <w:vAlign w:val="center"/>
          </w:tcPr>
          <w:p w14:paraId="76BFC1E1">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1.运用多媒体技术，建立公路交通标志标线等安全设施的科学规划配置库和模拟图片库；</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2.运用GIS技术全面浏览和查询各种标志标线等安全设施的实时分布状况，为公路管理部门提供辅助管理、决策依据； </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3.结合公路巡查系统的动态巡查结果，实现对辖区管理路段标志标线指路体系存在的问题及时发现、及时预防、及时处理，有效维护公路路产路权；</w:t>
            </w:r>
          </w:p>
        </w:tc>
      </w:tr>
      <w:tr w14:paraId="0B13BFD5">
        <w:tblPrEx>
          <w:tblCellMar>
            <w:top w:w="0" w:type="dxa"/>
            <w:left w:w="108" w:type="dxa"/>
            <w:bottom w:w="0" w:type="dxa"/>
            <w:right w:w="108" w:type="dxa"/>
          </w:tblCellMar>
        </w:tblPrEx>
        <w:trPr>
          <w:trHeight w:val="720" w:hRule="atLeast"/>
        </w:trPr>
        <w:tc>
          <w:tcPr>
            <w:tcW w:w="625" w:type="dxa"/>
            <w:tcBorders>
              <w:top w:val="nil"/>
              <w:left w:val="single" w:color="auto" w:sz="4" w:space="0"/>
              <w:bottom w:val="single" w:color="auto" w:sz="4" w:space="0"/>
              <w:right w:val="single" w:color="auto" w:sz="4" w:space="0"/>
            </w:tcBorders>
            <w:shd w:val="clear" w:color="auto" w:fill="auto"/>
            <w:noWrap/>
            <w:vAlign w:val="center"/>
          </w:tcPr>
          <w:p w14:paraId="2711946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19</w:t>
            </w:r>
          </w:p>
        </w:tc>
        <w:tc>
          <w:tcPr>
            <w:tcW w:w="1350" w:type="dxa"/>
            <w:tcBorders>
              <w:top w:val="nil"/>
              <w:left w:val="nil"/>
              <w:bottom w:val="single" w:color="auto" w:sz="4" w:space="0"/>
              <w:right w:val="single" w:color="auto" w:sz="4" w:space="0"/>
            </w:tcBorders>
            <w:shd w:val="clear" w:color="auto" w:fill="auto"/>
            <w:noWrap/>
            <w:vAlign w:val="center"/>
          </w:tcPr>
          <w:p w14:paraId="01F1AA6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防火墙</w:t>
            </w:r>
          </w:p>
        </w:tc>
        <w:tc>
          <w:tcPr>
            <w:tcW w:w="1260" w:type="dxa"/>
            <w:tcBorders>
              <w:top w:val="nil"/>
              <w:left w:val="nil"/>
              <w:bottom w:val="single" w:color="auto" w:sz="4" w:space="0"/>
              <w:right w:val="single" w:color="auto" w:sz="4" w:space="0"/>
            </w:tcBorders>
            <w:shd w:val="clear" w:color="auto" w:fill="auto"/>
            <w:noWrap/>
            <w:vAlign w:val="center"/>
          </w:tcPr>
          <w:p w14:paraId="278910A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迪普</w:t>
            </w:r>
          </w:p>
        </w:tc>
        <w:tc>
          <w:tcPr>
            <w:tcW w:w="1575" w:type="dxa"/>
            <w:tcBorders>
              <w:top w:val="nil"/>
              <w:left w:val="nil"/>
              <w:bottom w:val="single" w:color="auto" w:sz="4" w:space="0"/>
              <w:right w:val="single" w:color="auto" w:sz="4" w:space="0"/>
            </w:tcBorders>
            <w:shd w:val="clear" w:color="auto" w:fill="auto"/>
            <w:noWrap/>
            <w:vAlign w:val="center"/>
          </w:tcPr>
          <w:p w14:paraId="3352BE2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FW1000-GC</w:t>
            </w:r>
          </w:p>
        </w:tc>
        <w:tc>
          <w:tcPr>
            <w:tcW w:w="810" w:type="dxa"/>
            <w:tcBorders>
              <w:top w:val="nil"/>
              <w:left w:val="nil"/>
              <w:bottom w:val="single" w:color="auto" w:sz="4" w:space="0"/>
              <w:right w:val="single" w:color="auto" w:sz="4" w:space="0"/>
            </w:tcBorders>
            <w:shd w:val="clear" w:color="auto" w:fill="auto"/>
            <w:noWrap/>
            <w:vAlign w:val="center"/>
          </w:tcPr>
          <w:p w14:paraId="3E900F5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630" w:type="dxa"/>
            <w:tcBorders>
              <w:top w:val="nil"/>
              <w:left w:val="nil"/>
              <w:bottom w:val="single" w:color="auto" w:sz="4" w:space="0"/>
              <w:right w:val="single" w:color="auto" w:sz="4" w:space="0"/>
            </w:tcBorders>
            <w:shd w:val="clear" w:color="auto" w:fill="auto"/>
            <w:noWrap/>
            <w:vAlign w:val="center"/>
          </w:tcPr>
          <w:p w14:paraId="6EA880F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台</w:t>
            </w:r>
          </w:p>
        </w:tc>
        <w:tc>
          <w:tcPr>
            <w:tcW w:w="4005" w:type="dxa"/>
            <w:tcBorders>
              <w:top w:val="nil"/>
              <w:left w:val="nil"/>
              <w:bottom w:val="single" w:color="auto" w:sz="4" w:space="0"/>
              <w:right w:val="single" w:color="auto" w:sz="4" w:space="0"/>
            </w:tcBorders>
            <w:shd w:val="clear" w:color="auto" w:fill="auto"/>
            <w:vAlign w:val="center"/>
          </w:tcPr>
          <w:p w14:paraId="430E76F4">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设备具备独立的热门威胁库，防护类型包括木马远控、恶意脚本、勒索病毒、僵尸网络、挖矿病毒等，特征总数在60万条以上；配置至少3年IPS特征库升级。</w:t>
            </w:r>
          </w:p>
        </w:tc>
      </w:tr>
      <w:tr w14:paraId="78840217">
        <w:tblPrEx>
          <w:tblCellMar>
            <w:top w:w="0" w:type="dxa"/>
            <w:left w:w="108" w:type="dxa"/>
            <w:bottom w:w="0" w:type="dxa"/>
            <w:right w:w="108" w:type="dxa"/>
          </w:tblCellMar>
        </w:tblPrEx>
        <w:trPr>
          <w:trHeight w:val="720" w:hRule="atLeast"/>
        </w:trPr>
        <w:tc>
          <w:tcPr>
            <w:tcW w:w="10255" w:type="dxa"/>
            <w:gridSpan w:val="7"/>
            <w:tcBorders>
              <w:top w:val="nil"/>
              <w:left w:val="single" w:color="auto" w:sz="4" w:space="0"/>
              <w:bottom w:val="single" w:color="auto" w:sz="4" w:space="0"/>
              <w:right w:val="single" w:color="auto" w:sz="4" w:space="0"/>
            </w:tcBorders>
            <w:shd w:val="clear" w:color="auto" w:fill="auto"/>
            <w:noWrap/>
            <w:vAlign w:val="center"/>
          </w:tcPr>
          <w:p w14:paraId="188FE57C">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光传输设备及线缆等</w:t>
            </w:r>
          </w:p>
        </w:tc>
      </w:tr>
      <w:tr w14:paraId="15106F22">
        <w:tblPrEx>
          <w:tblCellMar>
            <w:top w:w="0" w:type="dxa"/>
            <w:left w:w="108" w:type="dxa"/>
            <w:bottom w:w="0" w:type="dxa"/>
            <w:right w:w="108" w:type="dxa"/>
          </w:tblCellMar>
        </w:tblPrEx>
        <w:trPr>
          <w:trHeight w:val="720" w:hRule="atLeast"/>
        </w:trPr>
        <w:tc>
          <w:tcPr>
            <w:tcW w:w="625" w:type="dxa"/>
            <w:tcBorders>
              <w:top w:val="nil"/>
              <w:left w:val="single" w:color="auto" w:sz="4" w:space="0"/>
              <w:bottom w:val="single" w:color="auto" w:sz="4" w:space="0"/>
              <w:right w:val="single" w:color="auto" w:sz="4" w:space="0"/>
            </w:tcBorders>
            <w:shd w:val="clear" w:color="auto" w:fill="auto"/>
            <w:noWrap/>
            <w:vAlign w:val="center"/>
          </w:tcPr>
          <w:p w14:paraId="2C6F4D0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20</w:t>
            </w:r>
          </w:p>
        </w:tc>
        <w:tc>
          <w:tcPr>
            <w:tcW w:w="1350" w:type="dxa"/>
            <w:tcBorders>
              <w:top w:val="nil"/>
              <w:left w:val="nil"/>
              <w:bottom w:val="single" w:color="auto" w:sz="4" w:space="0"/>
              <w:right w:val="single" w:color="auto" w:sz="4" w:space="0"/>
            </w:tcBorders>
            <w:shd w:val="clear" w:color="auto" w:fill="auto"/>
            <w:noWrap/>
            <w:vAlign w:val="center"/>
          </w:tcPr>
          <w:p w14:paraId="1B571D0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网线</w:t>
            </w:r>
          </w:p>
        </w:tc>
        <w:tc>
          <w:tcPr>
            <w:tcW w:w="1260" w:type="dxa"/>
            <w:tcBorders>
              <w:top w:val="nil"/>
              <w:left w:val="nil"/>
              <w:bottom w:val="single" w:color="auto" w:sz="4" w:space="0"/>
              <w:right w:val="single" w:color="auto" w:sz="4" w:space="0"/>
            </w:tcBorders>
            <w:shd w:val="clear" w:color="auto" w:fill="auto"/>
            <w:noWrap/>
            <w:vAlign w:val="center"/>
          </w:tcPr>
          <w:p w14:paraId="6A85224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1575" w:type="dxa"/>
            <w:tcBorders>
              <w:top w:val="nil"/>
              <w:left w:val="nil"/>
              <w:bottom w:val="single" w:color="auto" w:sz="4" w:space="0"/>
              <w:right w:val="single" w:color="auto" w:sz="4" w:space="0"/>
            </w:tcBorders>
            <w:shd w:val="clear" w:color="auto" w:fill="auto"/>
            <w:noWrap/>
            <w:vAlign w:val="center"/>
          </w:tcPr>
          <w:p w14:paraId="3212BB4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优质</w:t>
            </w:r>
          </w:p>
        </w:tc>
        <w:tc>
          <w:tcPr>
            <w:tcW w:w="810" w:type="dxa"/>
            <w:tcBorders>
              <w:top w:val="nil"/>
              <w:left w:val="nil"/>
              <w:bottom w:val="single" w:color="auto" w:sz="4" w:space="0"/>
              <w:right w:val="single" w:color="auto" w:sz="4" w:space="0"/>
            </w:tcBorders>
            <w:shd w:val="clear" w:color="auto" w:fill="auto"/>
            <w:noWrap/>
            <w:vAlign w:val="center"/>
          </w:tcPr>
          <w:p w14:paraId="5D0A0CB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w:t>
            </w:r>
          </w:p>
        </w:tc>
        <w:tc>
          <w:tcPr>
            <w:tcW w:w="630" w:type="dxa"/>
            <w:tcBorders>
              <w:top w:val="nil"/>
              <w:left w:val="nil"/>
              <w:bottom w:val="single" w:color="auto" w:sz="4" w:space="0"/>
              <w:right w:val="single" w:color="auto" w:sz="4" w:space="0"/>
            </w:tcBorders>
            <w:shd w:val="clear" w:color="auto" w:fill="auto"/>
            <w:noWrap/>
            <w:vAlign w:val="center"/>
          </w:tcPr>
          <w:p w14:paraId="5AFA6DB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箱</w:t>
            </w:r>
          </w:p>
        </w:tc>
        <w:tc>
          <w:tcPr>
            <w:tcW w:w="4005" w:type="dxa"/>
            <w:tcBorders>
              <w:top w:val="nil"/>
              <w:left w:val="nil"/>
              <w:bottom w:val="single" w:color="auto" w:sz="4" w:space="0"/>
              <w:right w:val="single" w:color="auto" w:sz="4" w:space="0"/>
            </w:tcBorders>
            <w:shd w:val="clear" w:color="auto" w:fill="auto"/>
            <w:vAlign w:val="center"/>
          </w:tcPr>
          <w:p w14:paraId="687DD2D3">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超五类网线，防水</w:t>
            </w:r>
          </w:p>
        </w:tc>
      </w:tr>
      <w:tr w14:paraId="65F778CB">
        <w:tblPrEx>
          <w:tblCellMar>
            <w:top w:w="0" w:type="dxa"/>
            <w:left w:w="108" w:type="dxa"/>
            <w:bottom w:w="0" w:type="dxa"/>
            <w:right w:w="108" w:type="dxa"/>
          </w:tblCellMar>
        </w:tblPrEx>
        <w:trPr>
          <w:trHeight w:val="720" w:hRule="atLeast"/>
        </w:trPr>
        <w:tc>
          <w:tcPr>
            <w:tcW w:w="625" w:type="dxa"/>
            <w:tcBorders>
              <w:top w:val="nil"/>
              <w:left w:val="single" w:color="auto" w:sz="4" w:space="0"/>
              <w:bottom w:val="single" w:color="auto" w:sz="4" w:space="0"/>
              <w:right w:val="single" w:color="auto" w:sz="4" w:space="0"/>
            </w:tcBorders>
            <w:shd w:val="clear" w:color="auto" w:fill="auto"/>
            <w:noWrap/>
            <w:vAlign w:val="center"/>
          </w:tcPr>
          <w:p w14:paraId="1809393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21</w:t>
            </w:r>
          </w:p>
        </w:tc>
        <w:tc>
          <w:tcPr>
            <w:tcW w:w="1350" w:type="dxa"/>
            <w:tcBorders>
              <w:top w:val="nil"/>
              <w:left w:val="nil"/>
              <w:bottom w:val="single" w:color="auto" w:sz="4" w:space="0"/>
              <w:right w:val="single" w:color="auto" w:sz="4" w:space="0"/>
            </w:tcBorders>
            <w:shd w:val="clear" w:color="auto" w:fill="auto"/>
            <w:noWrap/>
            <w:vAlign w:val="center"/>
          </w:tcPr>
          <w:p w14:paraId="21F947F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光纤</w:t>
            </w:r>
          </w:p>
        </w:tc>
        <w:tc>
          <w:tcPr>
            <w:tcW w:w="1260" w:type="dxa"/>
            <w:tcBorders>
              <w:top w:val="nil"/>
              <w:left w:val="nil"/>
              <w:bottom w:val="single" w:color="auto" w:sz="4" w:space="0"/>
              <w:right w:val="single" w:color="auto" w:sz="4" w:space="0"/>
            </w:tcBorders>
            <w:shd w:val="clear" w:color="auto" w:fill="auto"/>
            <w:noWrap/>
            <w:vAlign w:val="center"/>
          </w:tcPr>
          <w:p w14:paraId="7FD5C71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1575" w:type="dxa"/>
            <w:tcBorders>
              <w:top w:val="nil"/>
              <w:left w:val="nil"/>
              <w:bottom w:val="single" w:color="auto" w:sz="4" w:space="0"/>
              <w:right w:val="single" w:color="auto" w:sz="4" w:space="0"/>
            </w:tcBorders>
            <w:shd w:val="clear" w:color="auto" w:fill="auto"/>
            <w:noWrap/>
            <w:vAlign w:val="center"/>
          </w:tcPr>
          <w:p w14:paraId="66D9256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优质</w:t>
            </w:r>
          </w:p>
        </w:tc>
        <w:tc>
          <w:tcPr>
            <w:tcW w:w="810" w:type="dxa"/>
            <w:tcBorders>
              <w:top w:val="nil"/>
              <w:left w:val="nil"/>
              <w:bottom w:val="single" w:color="auto" w:sz="4" w:space="0"/>
              <w:right w:val="single" w:color="auto" w:sz="4" w:space="0"/>
            </w:tcBorders>
            <w:shd w:val="clear" w:color="auto" w:fill="auto"/>
            <w:noWrap/>
            <w:vAlign w:val="center"/>
          </w:tcPr>
          <w:p w14:paraId="3EA0B19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400</w:t>
            </w:r>
          </w:p>
        </w:tc>
        <w:tc>
          <w:tcPr>
            <w:tcW w:w="630" w:type="dxa"/>
            <w:tcBorders>
              <w:top w:val="nil"/>
              <w:left w:val="nil"/>
              <w:bottom w:val="single" w:color="auto" w:sz="4" w:space="0"/>
              <w:right w:val="single" w:color="auto" w:sz="4" w:space="0"/>
            </w:tcBorders>
            <w:shd w:val="clear" w:color="auto" w:fill="auto"/>
            <w:noWrap/>
            <w:vAlign w:val="center"/>
          </w:tcPr>
          <w:p w14:paraId="63DBCBC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005" w:type="dxa"/>
            <w:tcBorders>
              <w:top w:val="nil"/>
              <w:left w:val="nil"/>
              <w:bottom w:val="single" w:color="auto" w:sz="4" w:space="0"/>
              <w:right w:val="single" w:color="auto" w:sz="4" w:space="0"/>
            </w:tcBorders>
            <w:shd w:val="clear" w:color="auto" w:fill="auto"/>
            <w:vAlign w:val="center"/>
          </w:tcPr>
          <w:p w14:paraId="0B46A349">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单模四芯</w:t>
            </w:r>
          </w:p>
        </w:tc>
      </w:tr>
      <w:tr w14:paraId="69D060B7">
        <w:tblPrEx>
          <w:tblCellMar>
            <w:top w:w="0" w:type="dxa"/>
            <w:left w:w="108" w:type="dxa"/>
            <w:bottom w:w="0" w:type="dxa"/>
            <w:right w:w="108" w:type="dxa"/>
          </w:tblCellMar>
        </w:tblPrEx>
        <w:trPr>
          <w:trHeight w:val="720" w:hRule="atLeast"/>
        </w:trPr>
        <w:tc>
          <w:tcPr>
            <w:tcW w:w="625" w:type="dxa"/>
            <w:tcBorders>
              <w:top w:val="nil"/>
              <w:left w:val="single" w:color="auto" w:sz="4" w:space="0"/>
              <w:bottom w:val="single" w:color="auto" w:sz="4" w:space="0"/>
              <w:right w:val="single" w:color="auto" w:sz="4" w:space="0"/>
            </w:tcBorders>
            <w:shd w:val="clear" w:color="auto" w:fill="auto"/>
            <w:noWrap/>
            <w:vAlign w:val="center"/>
          </w:tcPr>
          <w:p w14:paraId="3A1F7CD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22</w:t>
            </w:r>
          </w:p>
        </w:tc>
        <w:tc>
          <w:tcPr>
            <w:tcW w:w="1350" w:type="dxa"/>
            <w:tcBorders>
              <w:top w:val="nil"/>
              <w:left w:val="nil"/>
              <w:bottom w:val="single" w:color="auto" w:sz="4" w:space="0"/>
              <w:right w:val="single" w:color="auto" w:sz="4" w:space="0"/>
            </w:tcBorders>
            <w:shd w:val="clear" w:color="auto" w:fill="auto"/>
            <w:noWrap/>
            <w:vAlign w:val="center"/>
          </w:tcPr>
          <w:p w14:paraId="08ACDF4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PE管</w:t>
            </w:r>
          </w:p>
        </w:tc>
        <w:tc>
          <w:tcPr>
            <w:tcW w:w="1260" w:type="dxa"/>
            <w:tcBorders>
              <w:top w:val="nil"/>
              <w:left w:val="nil"/>
              <w:bottom w:val="single" w:color="auto" w:sz="4" w:space="0"/>
              <w:right w:val="single" w:color="auto" w:sz="4" w:space="0"/>
            </w:tcBorders>
            <w:shd w:val="clear" w:color="auto" w:fill="auto"/>
            <w:noWrap/>
            <w:vAlign w:val="center"/>
          </w:tcPr>
          <w:p w14:paraId="72C20EA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1575" w:type="dxa"/>
            <w:tcBorders>
              <w:top w:val="nil"/>
              <w:left w:val="nil"/>
              <w:bottom w:val="single" w:color="auto" w:sz="4" w:space="0"/>
              <w:right w:val="single" w:color="auto" w:sz="4" w:space="0"/>
            </w:tcBorders>
            <w:shd w:val="clear" w:color="auto" w:fill="auto"/>
            <w:noWrap/>
            <w:vAlign w:val="center"/>
          </w:tcPr>
          <w:p w14:paraId="302A5B9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优质</w:t>
            </w:r>
          </w:p>
        </w:tc>
        <w:tc>
          <w:tcPr>
            <w:tcW w:w="810" w:type="dxa"/>
            <w:tcBorders>
              <w:top w:val="nil"/>
              <w:left w:val="nil"/>
              <w:bottom w:val="single" w:color="auto" w:sz="4" w:space="0"/>
              <w:right w:val="single" w:color="auto" w:sz="4" w:space="0"/>
            </w:tcBorders>
            <w:shd w:val="clear" w:color="auto" w:fill="auto"/>
            <w:noWrap/>
            <w:vAlign w:val="center"/>
          </w:tcPr>
          <w:p w14:paraId="7746E4B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500</w:t>
            </w:r>
          </w:p>
        </w:tc>
        <w:tc>
          <w:tcPr>
            <w:tcW w:w="630" w:type="dxa"/>
            <w:tcBorders>
              <w:top w:val="nil"/>
              <w:left w:val="nil"/>
              <w:bottom w:val="single" w:color="auto" w:sz="4" w:space="0"/>
              <w:right w:val="single" w:color="auto" w:sz="4" w:space="0"/>
            </w:tcBorders>
            <w:shd w:val="clear" w:color="auto" w:fill="auto"/>
            <w:noWrap/>
            <w:vAlign w:val="center"/>
          </w:tcPr>
          <w:p w14:paraId="40059A4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005" w:type="dxa"/>
            <w:tcBorders>
              <w:top w:val="nil"/>
              <w:left w:val="nil"/>
              <w:bottom w:val="single" w:color="auto" w:sz="4" w:space="0"/>
              <w:right w:val="single" w:color="auto" w:sz="4" w:space="0"/>
            </w:tcBorders>
            <w:shd w:val="clear" w:color="auto" w:fill="auto"/>
            <w:vAlign w:val="center"/>
          </w:tcPr>
          <w:p w14:paraId="680921B0">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50PE管</w:t>
            </w:r>
          </w:p>
        </w:tc>
      </w:tr>
      <w:tr w14:paraId="1315AD35">
        <w:tblPrEx>
          <w:tblCellMar>
            <w:top w:w="0" w:type="dxa"/>
            <w:left w:w="108" w:type="dxa"/>
            <w:bottom w:w="0" w:type="dxa"/>
            <w:right w:w="108" w:type="dxa"/>
          </w:tblCellMar>
        </w:tblPrEx>
        <w:trPr>
          <w:trHeight w:val="720" w:hRule="atLeast"/>
        </w:trPr>
        <w:tc>
          <w:tcPr>
            <w:tcW w:w="625" w:type="dxa"/>
            <w:tcBorders>
              <w:top w:val="nil"/>
              <w:left w:val="single" w:color="auto" w:sz="4" w:space="0"/>
              <w:bottom w:val="single" w:color="auto" w:sz="4" w:space="0"/>
              <w:right w:val="single" w:color="auto" w:sz="4" w:space="0"/>
            </w:tcBorders>
            <w:shd w:val="clear" w:color="auto" w:fill="auto"/>
            <w:noWrap/>
            <w:vAlign w:val="center"/>
          </w:tcPr>
          <w:p w14:paraId="0C16ADE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23</w:t>
            </w:r>
          </w:p>
        </w:tc>
        <w:tc>
          <w:tcPr>
            <w:tcW w:w="1350" w:type="dxa"/>
            <w:tcBorders>
              <w:top w:val="nil"/>
              <w:left w:val="nil"/>
              <w:bottom w:val="single" w:color="auto" w:sz="4" w:space="0"/>
              <w:right w:val="single" w:color="auto" w:sz="4" w:space="0"/>
            </w:tcBorders>
            <w:shd w:val="clear" w:color="auto" w:fill="auto"/>
            <w:noWrap/>
            <w:vAlign w:val="center"/>
          </w:tcPr>
          <w:p w14:paraId="56363E4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机柜防撞护拦</w:t>
            </w:r>
          </w:p>
        </w:tc>
        <w:tc>
          <w:tcPr>
            <w:tcW w:w="1260" w:type="dxa"/>
            <w:tcBorders>
              <w:top w:val="nil"/>
              <w:left w:val="nil"/>
              <w:bottom w:val="single" w:color="auto" w:sz="4" w:space="0"/>
              <w:right w:val="single" w:color="auto" w:sz="4" w:space="0"/>
            </w:tcBorders>
            <w:shd w:val="clear" w:color="auto" w:fill="auto"/>
            <w:noWrap/>
            <w:vAlign w:val="center"/>
          </w:tcPr>
          <w:p w14:paraId="69A0B3C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1575" w:type="dxa"/>
            <w:tcBorders>
              <w:top w:val="nil"/>
              <w:left w:val="nil"/>
              <w:bottom w:val="single" w:color="auto" w:sz="4" w:space="0"/>
              <w:right w:val="single" w:color="auto" w:sz="4" w:space="0"/>
            </w:tcBorders>
            <w:shd w:val="clear" w:color="auto" w:fill="auto"/>
            <w:noWrap/>
            <w:vAlign w:val="center"/>
          </w:tcPr>
          <w:p w14:paraId="0C6C522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优质</w:t>
            </w:r>
          </w:p>
        </w:tc>
        <w:tc>
          <w:tcPr>
            <w:tcW w:w="810" w:type="dxa"/>
            <w:tcBorders>
              <w:top w:val="nil"/>
              <w:left w:val="nil"/>
              <w:bottom w:val="single" w:color="auto" w:sz="4" w:space="0"/>
              <w:right w:val="single" w:color="auto" w:sz="4" w:space="0"/>
            </w:tcBorders>
            <w:shd w:val="clear" w:color="auto" w:fill="auto"/>
            <w:noWrap/>
            <w:vAlign w:val="center"/>
          </w:tcPr>
          <w:p w14:paraId="2F53C86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28</w:t>
            </w:r>
          </w:p>
        </w:tc>
        <w:tc>
          <w:tcPr>
            <w:tcW w:w="630" w:type="dxa"/>
            <w:tcBorders>
              <w:top w:val="nil"/>
              <w:left w:val="nil"/>
              <w:bottom w:val="single" w:color="auto" w:sz="4" w:space="0"/>
              <w:right w:val="single" w:color="auto" w:sz="4" w:space="0"/>
            </w:tcBorders>
            <w:shd w:val="clear" w:color="auto" w:fill="auto"/>
            <w:noWrap/>
            <w:vAlign w:val="center"/>
          </w:tcPr>
          <w:p w14:paraId="00E2657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005" w:type="dxa"/>
            <w:tcBorders>
              <w:top w:val="nil"/>
              <w:left w:val="nil"/>
              <w:bottom w:val="single" w:color="auto" w:sz="4" w:space="0"/>
              <w:right w:val="single" w:color="auto" w:sz="4" w:space="0"/>
            </w:tcBorders>
            <w:shd w:val="clear" w:color="auto" w:fill="auto"/>
            <w:vAlign w:val="center"/>
          </w:tcPr>
          <w:p w14:paraId="24613EE8">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波形梁护栏（Cr-B-2E）</w:t>
            </w:r>
          </w:p>
        </w:tc>
      </w:tr>
      <w:tr w14:paraId="21038A11">
        <w:tblPrEx>
          <w:tblCellMar>
            <w:top w:w="0" w:type="dxa"/>
            <w:left w:w="108" w:type="dxa"/>
            <w:bottom w:w="0" w:type="dxa"/>
            <w:right w:w="108" w:type="dxa"/>
          </w:tblCellMar>
        </w:tblPrEx>
        <w:trPr>
          <w:trHeight w:val="720" w:hRule="atLeast"/>
        </w:trPr>
        <w:tc>
          <w:tcPr>
            <w:tcW w:w="625" w:type="dxa"/>
            <w:tcBorders>
              <w:top w:val="nil"/>
              <w:left w:val="single" w:color="auto" w:sz="4" w:space="0"/>
              <w:bottom w:val="single" w:color="auto" w:sz="4" w:space="0"/>
              <w:right w:val="single" w:color="auto" w:sz="4" w:space="0"/>
            </w:tcBorders>
            <w:shd w:val="clear" w:color="auto" w:fill="auto"/>
            <w:noWrap/>
            <w:vAlign w:val="center"/>
          </w:tcPr>
          <w:p w14:paraId="5AFA512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24</w:t>
            </w:r>
          </w:p>
        </w:tc>
        <w:tc>
          <w:tcPr>
            <w:tcW w:w="1350" w:type="dxa"/>
            <w:tcBorders>
              <w:top w:val="nil"/>
              <w:left w:val="nil"/>
              <w:bottom w:val="single" w:color="auto" w:sz="4" w:space="0"/>
              <w:right w:val="single" w:color="auto" w:sz="4" w:space="0"/>
            </w:tcBorders>
            <w:shd w:val="clear" w:color="auto" w:fill="auto"/>
            <w:noWrap/>
            <w:vAlign w:val="center"/>
          </w:tcPr>
          <w:p w14:paraId="394217F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线圈线</w:t>
            </w:r>
          </w:p>
        </w:tc>
        <w:tc>
          <w:tcPr>
            <w:tcW w:w="1260" w:type="dxa"/>
            <w:tcBorders>
              <w:top w:val="nil"/>
              <w:left w:val="nil"/>
              <w:bottom w:val="single" w:color="auto" w:sz="4" w:space="0"/>
              <w:right w:val="single" w:color="auto" w:sz="4" w:space="0"/>
            </w:tcBorders>
            <w:shd w:val="clear" w:color="auto" w:fill="auto"/>
            <w:noWrap/>
            <w:vAlign w:val="center"/>
          </w:tcPr>
          <w:p w14:paraId="2FF9FBA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1575" w:type="dxa"/>
            <w:tcBorders>
              <w:top w:val="nil"/>
              <w:left w:val="nil"/>
              <w:bottom w:val="single" w:color="auto" w:sz="4" w:space="0"/>
              <w:right w:val="single" w:color="auto" w:sz="4" w:space="0"/>
            </w:tcBorders>
            <w:shd w:val="clear" w:color="auto" w:fill="auto"/>
            <w:noWrap/>
            <w:vAlign w:val="center"/>
          </w:tcPr>
          <w:p w14:paraId="311E7EB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优质</w:t>
            </w:r>
          </w:p>
        </w:tc>
        <w:tc>
          <w:tcPr>
            <w:tcW w:w="810" w:type="dxa"/>
            <w:tcBorders>
              <w:top w:val="nil"/>
              <w:left w:val="nil"/>
              <w:bottom w:val="single" w:color="auto" w:sz="4" w:space="0"/>
              <w:right w:val="single" w:color="auto" w:sz="4" w:space="0"/>
            </w:tcBorders>
            <w:shd w:val="clear" w:color="auto" w:fill="auto"/>
            <w:noWrap/>
            <w:vAlign w:val="center"/>
          </w:tcPr>
          <w:p w14:paraId="13476E6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1000</w:t>
            </w:r>
          </w:p>
        </w:tc>
        <w:tc>
          <w:tcPr>
            <w:tcW w:w="630" w:type="dxa"/>
            <w:tcBorders>
              <w:top w:val="nil"/>
              <w:left w:val="nil"/>
              <w:bottom w:val="single" w:color="auto" w:sz="4" w:space="0"/>
              <w:right w:val="single" w:color="auto" w:sz="4" w:space="0"/>
            </w:tcBorders>
            <w:shd w:val="clear" w:color="auto" w:fill="auto"/>
            <w:noWrap/>
            <w:vAlign w:val="center"/>
          </w:tcPr>
          <w:p w14:paraId="5A96E22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005" w:type="dxa"/>
            <w:tcBorders>
              <w:top w:val="nil"/>
              <w:left w:val="nil"/>
              <w:bottom w:val="single" w:color="auto" w:sz="4" w:space="0"/>
              <w:right w:val="single" w:color="auto" w:sz="4" w:space="0"/>
            </w:tcBorders>
            <w:shd w:val="clear" w:color="auto" w:fill="auto"/>
            <w:vAlign w:val="center"/>
          </w:tcPr>
          <w:p w14:paraId="63C6015F">
            <w:pPr>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rPr>
              <w:t>FVN49/0.26蓝/线圈线</w:t>
            </w:r>
            <w:r>
              <w:rPr>
                <w:rFonts w:hint="eastAsia" w:ascii="宋体" w:hAnsi="宋体" w:eastAsia="宋体" w:cs="宋体"/>
                <w:color w:val="auto"/>
                <w:kern w:val="0"/>
                <w:sz w:val="21"/>
                <w:szCs w:val="21"/>
                <w:lang w:eastAsia="zh-CN"/>
              </w:rPr>
              <w:t>。</w:t>
            </w:r>
          </w:p>
        </w:tc>
      </w:tr>
    </w:tbl>
    <w:p w14:paraId="1727D0E0">
      <w:pPr>
        <w:bidi w:val="0"/>
        <w:rPr>
          <w:rFonts w:hint="eastAsia" w:asciiTheme="minorEastAsia" w:hAnsiTheme="minorEastAsia" w:eastAsiaTheme="minorEastAsia" w:cstheme="minorEastAsia"/>
          <w:b/>
          <w:bCs/>
          <w:color w:val="auto"/>
          <w:sz w:val="24"/>
          <w:szCs w:val="24"/>
          <w:highlight w:val="none"/>
          <w:lang w:val="en-US" w:eastAsia="zh-CN"/>
        </w:rPr>
      </w:pPr>
    </w:p>
    <w:p w14:paraId="4464C349">
      <w:pPr>
        <w:numPr>
          <w:ilvl w:val="0"/>
          <w:numId w:val="0"/>
        </w:numPr>
        <w:spacing w:line="360" w:lineRule="auto"/>
        <w:ind w:leftChars="0"/>
        <w:rPr>
          <w:rFonts w:hint="eastAsia" w:asciiTheme="minorEastAsia" w:hAnsiTheme="minorEastAsia" w:eastAsiaTheme="minorEastAsia" w:cstheme="minorEastAsia"/>
          <w:b/>
          <w:bCs/>
          <w:color w:val="auto"/>
          <w:sz w:val="24"/>
          <w:szCs w:val="24"/>
          <w:highlight w:val="none"/>
          <w:lang w:val="en-US" w:eastAsia="zh-CN"/>
        </w:rPr>
      </w:pPr>
      <w:bookmarkStart w:id="33" w:name="_Toc15315"/>
      <w:bookmarkStart w:id="34" w:name="_Toc30045"/>
      <w:r>
        <w:rPr>
          <w:rFonts w:hint="eastAsia" w:asciiTheme="minorEastAsia" w:hAnsiTheme="minorEastAsia" w:eastAsiaTheme="minorEastAsia" w:cstheme="minorEastAsia"/>
          <w:b/>
          <w:bCs/>
          <w:color w:val="auto"/>
          <w:sz w:val="24"/>
          <w:szCs w:val="24"/>
          <w:highlight w:val="none"/>
          <w:lang w:val="en-US" w:eastAsia="zh-CN"/>
        </w:rPr>
        <w:t>4、点位名称：原：X801浦横线10K+760</w:t>
      </w:r>
    </w:p>
    <w:tbl>
      <w:tblPr>
        <w:tblStyle w:val="29"/>
        <w:tblW w:w="10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389"/>
        <w:gridCol w:w="1260"/>
        <w:gridCol w:w="1455"/>
        <w:gridCol w:w="720"/>
        <w:gridCol w:w="735"/>
        <w:gridCol w:w="3945"/>
      </w:tblGrid>
      <w:tr w14:paraId="7F78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0" w:type="dxa"/>
            <w:shd w:val="clear" w:color="auto" w:fill="auto"/>
            <w:noWrap/>
            <w:vAlign w:val="center"/>
          </w:tcPr>
          <w:p w14:paraId="1901EDA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序号</w:t>
            </w:r>
          </w:p>
        </w:tc>
        <w:tc>
          <w:tcPr>
            <w:tcW w:w="1389" w:type="dxa"/>
            <w:shd w:val="clear" w:color="auto" w:fill="auto"/>
            <w:noWrap/>
            <w:vAlign w:val="center"/>
          </w:tcPr>
          <w:p w14:paraId="4A321C1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名称</w:t>
            </w:r>
          </w:p>
        </w:tc>
        <w:tc>
          <w:tcPr>
            <w:tcW w:w="1260" w:type="dxa"/>
            <w:shd w:val="clear" w:color="auto" w:fill="auto"/>
            <w:noWrap/>
            <w:vAlign w:val="center"/>
          </w:tcPr>
          <w:p w14:paraId="631288C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品牌</w:t>
            </w:r>
          </w:p>
        </w:tc>
        <w:tc>
          <w:tcPr>
            <w:tcW w:w="1455" w:type="dxa"/>
            <w:shd w:val="clear" w:color="auto" w:fill="auto"/>
            <w:vAlign w:val="center"/>
          </w:tcPr>
          <w:p w14:paraId="0E1AB46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规格型号</w:t>
            </w:r>
          </w:p>
        </w:tc>
        <w:tc>
          <w:tcPr>
            <w:tcW w:w="720" w:type="dxa"/>
            <w:shd w:val="clear" w:color="auto" w:fill="auto"/>
            <w:noWrap/>
            <w:vAlign w:val="center"/>
          </w:tcPr>
          <w:p w14:paraId="5BEF4F6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数量</w:t>
            </w:r>
          </w:p>
        </w:tc>
        <w:tc>
          <w:tcPr>
            <w:tcW w:w="735" w:type="dxa"/>
            <w:shd w:val="clear" w:color="auto" w:fill="auto"/>
            <w:noWrap/>
            <w:vAlign w:val="center"/>
          </w:tcPr>
          <w:p w14:paraId="0D6C38C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单位</w:t>
            </w:r>
          </w:p>
        </w:tc>
        <w:tc>
          <w:tcPr>
            <w:tcW w:w="3945" w:type="dxa"/>
            <w:shd w:val="clear" w:color="auto" w:fill="auto"/>
            <w:vAlign w:val="center"/>
          </w:tcPr>
          <w:p w14:paraId="6E214B7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val="en-US" w:eastAsia="zh-CN"/>
              </w:rPr>
              <w:t>设备</w:t>
            </w:r>
            <w:r>
              <w:rPr>
                <w:rFonts w:hint="eastAsia" w:ascii="宋体" w:hAnsi="宋体" w:eastAsia="宋体" w:cs="宋体"/>
                <w:color w:val="auto"/>
                <w:kern w:val="0"/>
                <w:sz w:val="21"/>
                <w:szCs w:val="21"/>
              </w:rPr>
              <w:t>参数</w:t>
            </w:r>
          </w:p>
        </w:tc>
      </w:tr>
      <w:tr w14:paraId="6D39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084" w:type="dxa"/>
            <w:gridSpan w:val="7"/>
            <w:shd w:val="clear" w:color="auto" w:fill="auto"/>
            <w:noWrap/>
            <w:vAlign w:val="center"/>
          </w:tcPr>
          <w:p w14:paraId="7076FC91">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超限车辆动态称重系统</w:t>
            </w:r>
          </w:p>
        </w:tc>
      </w:tr>
      <w:tr w14:paraId="2FC6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0" w:type="dxa"/>
            <w:shd w:val="clear" w:color="auto" w:fill="auto"/>
            <w:noWrap/>
            <w:vAlign w:val="center"/>
          </w:tcPr>
          <w:p w14:paraId="0CD43E0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1389" w:type="dxa"/>
            <w:shd w:val="clear" w:color="auto" w:fill="auto"/>
            <w:vAlign w:val="center"/>
          </w:tcPr>
          <w:p w14:paraId="6227BEA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数据采集处理器</w:t>
            </w:r>
          </w:p>
        </w:tc>
        <w:tc>
          <w:tcPr>
            <w:tcW w:w="1260" w:type="dxa"/>
            <w:shd w:val="clear" w:color="auto" w:fill="auto"/>
            <w:noWrap/>
            <w:vAlign w:val="center"/>
          </w:tcPr>
          <w:p w14:paraId="1F74B8A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杭州四方</w:t>
            </w:r>
          </w:p>
        </w:tc>
        <w:tc>
          <w:tcPr>
            <w:tcW w:w="1455" w:type="dxa"/>
            <w:shd w:val="clear" w:color="auto" w:fill="auto"/>
            <w:noWrap/>
            <w:vAlign w:val="center"/>
          </w:tcPr>
          <w:p w14:paraId="697ADEA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IP-051</w:t>
            </w:r>
          </w:p>
        </w:tc>
        <w:tc>
          <w:tcPr>
            <w:tcW w:w="720" w:type="dxa"/>
            <w:shd w:val="clear" w:color="auto" w:fill="auto"/>
            <w:noWrap/>
            <w:vAlign w:val="center"/>
          </w:tcPr>
          <w:p w14:paraId="5EF6A6D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735" w:type="dxa"/>
            <w:shd w:val="clear" w:color="auto" w:fill="auto"/>
            <w:noWrap/>
            <w:vAlign w:val="center"/>
          </w:tcPr>
          <w:p w14:paraId="3272F34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3945" w:type="dxa"/>
            <w:shd w:val="clear" w:color="auto" w:fill="auto"/>
            <w:vAlign w:val="center"/>
          </w:tcPr>
          <w:p w14:paraId="4A422D94">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 xml:space="preserve">支持双向2车道，同时要求每个车道支持双向抓拍；数据采集与前端存储数据匹配 </w:t>
            </w:r>
          </w:p>
        </w:tc>
      </w:tr>
      <w:tr w14:paraId="0C058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0" w:type="dxa"/>
            <w:shd w:val="clear" w:color="auto" w:fill="auto"/>
            <w:noWrap/>
            <w:vAlign w:val="center"/>
          </w:tcPr>
          <w:p w14:paraId="3EF70E3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w:t>
            </w:r>
          </w:p>
        </w:tc>
        <w:tc>
          <w:tcPr>
            <w:tcW w:w="1389" w:type="dxa"/>
            <w:shd w:val="clear" w:color="auto" w:fill="auto"/>
            <w:vAlign w:val="center"/>
          </w:tcPr>
          <w:p w14:paraId="10C451E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石英称重传感系统（国产）</w:t>
            </w:r>
          </w:p>
        </w:tc>
        <w:tc>
          <w:tcPr>
            <w:tcW w:w="1260" w:type="dxa"/>
            <w:shd w:val="clear" w:color="auto" w:fill="auto"/>
            <w:noWrap/>
            <w:vAlign w:val="center"/>
          </w:tcPr>
          <w:p w14:paraId="2138350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杭州四方</w:t>
            </w:r>
          </w:p>
        </w:tc>
        <w:tc>
          <w:tcPr>
            <w:tcW w:w="1455" w:type="dxa"/>
            <w:shd w:val="clear" w:color="auto" w:fill="auto"/>
            <w:noWrap/>
            <w:vAlign w:val="center"/>
          </w:tcPr>
          <w:p w14:paraId="45106CC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SF12</w:t>
            </w:r>
          </w:p>
        </w:tc>
        <w:tc>
          <w:tcPr>
            <w:tcW w:w="720" w:type="dxa"/>
            <w:shd w:val="clear" w:color="auto" w:fill="auto"/>
            <w:noWrap/>
            <w:vAlign w:val="center"/>
          </w:tcPr>
          <w:p w14:paraId="703F14C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17</w:t>
            </w:r>
          </w:p>
        </w:tc>
        <w:tc>
          <w:tcPr>
            <w:tcW w:w="735" w:type="dxa"/>
            <w:shd w:val="clear" w:color="auto" w:fill="auto"/>
            <w:noWrap/>
            <w:vAlign w:val="center"/>
          </w:tcPr>
          <w:p w14:paraId="1488CDC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3945" w:type="dxa"/>
            <w:shd w:val="clear" w:color="auto" w:fill="auto"/>
            <w:vAlign w:val="center"/>
          </w:tcPr>
          <w:p w14:paraId="4DE9921D">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1.传感器类型：石英压电传感器；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2.传感器长度：1.5m/1.75m/2m；</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3.速度范围：0.5～200Km/h；</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4.传感器横截面：44×50mm²；</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5.传感器灵敏度-1.62（±10%）pC/N；</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6.绝缘电阻＞1010Ω；</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7.额定荷载≥30t；</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8.过载能力：≥150％FS；</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9.工作温度：-40～80℃；防护等级 IP68；</w:t>
            </w:r>
          </w:p>
        </w:tc>
      </w:tr>
      <w:tr w14:paraId="5285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0" w:type="dxa"/>
            <w:shd w:val="clear" w:color="auto" w:fill="auto"/>
            <w:noWrap/>
            <w:vAlign w:val="center"/>
          </w:tcPr>
          <w:p w14:paraId="31D7AF8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3</w:t>
            </w:r>
          </w:p>
        </w:tc>
        <w:tc>
          <w:tcPr>
            <w:tcW w:w="1389" w:type="dxa"/>
            <w:shd w:val="clear" w:color="auto" w:fill="auto"/>
            <w:vAlign w:val="center"/>
          </w:tcPr>
          <w:p w14:paraId="6CD62CC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异常行驶检测传感器(单排传感器)</w:t>
            </w:r>
          </w:p>
        </w:tc>
        <w:tc>
          <w:tcPr>
            <w:tcW w:w="1260" w:type="dxa"/>
            <w:shd w:val="clear" w:color="auto" w:fill="auto"/>
            <w:noWrap/>
            <w:vAlign w:val="center"/>
          </w:tcPr>
          <w:p w14:paraId="17D268F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杭州四方</w:t>
            </w:r>
          </w:p>
        </w:tc>
        <w:tc>
          <w:tcPr>
            <w:tcW w:w="1455" w:type="dxa"/>
            <w:shd w:val="clear" w:color="auto" w:fill="auto"/>
            <w:noWrap/>
            <w:vAlign w:val="center"/>
          </w:tcPr>
          <w:p w14:paraId="00DC70F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SF12-1A</w:t>
            </w:r>
          </w:p>
        </w:tc>
        <w:tc>
          <w:tcPr>
            <w:tcW w:w="720" w:type="dxa"/>
            <w:shd w:val="clear" w:color="auto" w:fill="auto"/>
            <w:vAlign w:val="center"/>
          </w:tcPr>
          <w:p w14:paraId="2D177E1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8.5</w:t>
            </w:r>
          </w:p>
        </w:tc>
        <w:tc>
          <w:tcPr>
            <w:tcW w:w="735" w:type="dxa"/>
            <w:shd w:val="clear" w:color="auto" w:fill="auto"/>
            <w:vAlign w:val="center"/>
          </w:tcPr>
          <w:p w14:paraId="2CEDA54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3945" w:type="dxa"/>
            <w:shd w:val="clear" w:color="auto" w:fill="auto"/>
            <w:vAlign w:val="center"/>
          </w:tcPr>
          <w:p w14:paraId="26D5A8E9">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1、允许单独最大载荷：45t；</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2、最小检测宽度：150mm；</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3、绝缘电阻：≥500GΩ；</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4、工作环境温度：-40℃~80℃；</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5、防护等级：IP68。</w:t>
            </w:r>
          </w:p>
        </w:tc>
      </w:tr>
      <w:tr w14:paraId="7F24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0" w:type="dxa"/>
            <w:shd w:val="clear" w:color="auto" w:fill="auto"/>
            <w:noWrap/>
            <w:vAlign w:val="center"/>
          </w:tcPr>
          <w:p w14:paraId="2EF2050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4</w:t>
            </w:r>
          </w:p>
        </w:tc>
        <w:tc>
          <w:tcPr>
            <w:tcW w:w="1389" w:type="dxa"/>
            <w:shd w:val="clear" w:color="auto" w:fill="auto"/>
            <w:noWrap/>
            <w:vAlign w:val="center"/>
          </w:tcPr>
          <w:p w14:paraId="241B578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电荷放大器</w:t>
            </w:r>
          </w:p>
        </w:tc>
        <w:tc>
          <w:tcPr>
            <w:tcW w:w="1260" w:type="dxa"/>
            <w:shd w:val="clear" w:color="auto" w:fill="auto"/>
            <w:noWrap/>
            <w:vAlign w:val="center"/>
          </w:tcPr>
          <w:p w14:paraId="40BF9D2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杭州四方</w:t>
            </w:r>
          </w:p>
        </w:tc>
        <w:tc>
          <w:tcPr>
            <w:tcW w:w="1455" w:type="dxa"/>
            <w:shd w:val="clear" w:color="auto" w:fill="auto"/>
            <w:noWrap/>
            <w:vAlign w:val="center"/>
          </w:tcPr>
          <w:p w14:paraId="2A573A0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DH-1</w:t>
            </w:r>
          </w:p>
        </w:tc>
        <w:tc>
          <w:tcPr>
            <w:tcW w:w="720" w:type="dxa"/>
            <w:shd w:val="clear" w:color="auto" w:fill="auto"/>
            <w:noWrap/>
            <w:vAlign w:val="center"/>
          </w:tcPr>
          <w:p w14:paraId="7611297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5</w:t>
            </w:r>
          </w:p>
        </w:tc>
        <w:tc>
          <w:tcPr>
            <w:tcW w:w="735" w:type="dxa"/>
            <w:shd w:val="clear" w:color="auto" w:fill="auto"/>
            <w:noWrap/>
            <w:vAlign w:val="center"/>
          </w:tcPr>
          <w:p w14:paraId="36DCCC8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个</w:t>
            </w:r>
          </w:p>
        </w:tc>
        <w:tc>
          <w:tcPr>
            <w:tcW w:w="3945" w:type="dxa"/>
            <w:shd w:val="clear" w:color="auto" w:fill="auto"/>
            <w:vAlign w:val="center"/>
          </w:tcPr>
          <w:p w14:paraId="14C1C6AA">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 xml:space="preserve">1.测量范围：60,000pC；                                </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2.测量误差：&lt;1%；                                                                              3.输出电压：±5V；                                   </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4.输出电流：±2mA；                                                                                5.输出阻抗：&lt;100Ω；                                 </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6.输出干扰信号：&lt;3mVpp；                                                                                                          7.频响范围：0.0016～10kHz；                         </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8.时间常数：≥1000s；                                                                           9.电流消耗：&lt;25mA；                                   </w:t>
            </w:r>
          </w:p>
        </w:tc>
      </w:tr>
      <w:tr w14:paraId="5F8A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0" w:type="dxa"/>
            <w:shd w:val="clear" w:color="auto" w:fill="auto"/>
            <w:noWrap/>
            <w:vAlign w:val="center"/>
          </w:tcPr>
          <w:p w14:paraId="2350097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5</w:t>
            </w:r>
          </w:p>
        </w:tc>
        <w:tc>
          <w:tcPr>
            <w:tcW w:w="1389" w:type="dxa"/>
            <w:shd w:val="clear" w:color="auto" w:fill="auto"/>
            <w:noWrap/>
            <w:vAlign w:val="center"/>
          </w:tcPr>
          <w:p w14:paraId="413E20D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高速动态称重控制器</w:t>
            </w:r>
          </w:p>
        </w:tc>
        <w:tc>
          <w:tcPr>
            <w:tcW w:w="1260" w:type="dxa"/>
            <w:shd w:val="clear" w:color="auto" w:fill="auto"/>
            <w:noWrap/>
            <w:vAlign w:val="center"/>
          </w:tcPr>
          <w:p w14:paraId="014DED6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杭州四方</w:t>
            </w:r>
          </w:p>
        </w:tc>
        <w:tc>
          <w:tcPr>
            <w:tcW w:w="1455" w:type="dxa"/>
            <w:shd w:val="clear" w:color="auto" w:fill="auto"/>
            <w:noWrap/>
            <w:vAlign w:val="center"/>
          </w:tcPr>
          <w:p w14:paraId="3F4CBD0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XK3196E3C</w:t>
            </w:r>
          </w:p>
        </w:tc>
        <w:tc>
          <w:tcPr>
            <w:tcW w:w="720" w:type="dxa"/>
            <w:shd w:val="clear" w:color="auto" w:fill="auto"/>
            <w:noWrap/>
            <w:vAlign w:val="center"/>
          </w:tcPr>
          <w:p w14:paraId="041E4F8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735" w:type="dxa"/>
            <w:shd w:val="clear" w:color="auto" w:fill="auto"/>
            <w:noWrap/>
            <w:vAlign w:val="center"/>
          </w:tcPr>
          <w:p w14:paraId="0271A8F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个</w:t>
            </w:r>
          </w:p>
        </w:tc>
        <w:tc>
          <w:tcPr>
            <w:tcW w:w="3945" w:type="dxa"/>
            <w:shd w:val="clear" w:color="auto" w:fill="auto"/>
            <w:vAlign w:val="center"/>
          </w:tcPr>
          <w:p w14:paraId="04F2845C">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1.自动采集车辆载荷信息，经程序运算出路面承受的车轮载荷参数及车辆轴距、轴数、车速等参数；</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2.对正常通过车辆进行监测，不影响道路通行能力；</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3.平均无故障时间：MTBF≥20000h；                                                                             4.信号传输方式：RS422/RS232/RS485多种接口实时传输；                                                                                          5.工作温度：-45℃～+80℃；湿度：0～95%；                                                                           6.电源：AC220V±10%，50Hz±1Hz；</w:t>
            </w:r>
          </w:p>
        </w:tc>
      </w:tr>
      <w:tr w14:paraId="6C0E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0" w:type="dxa"/>
            <w:shd w:val="clear" w:color="auto" w:fill="auto"/>
            <w:noWrap/>
            <w:vAlign w:val="center"/>
          </w:tcPr>
          <w:p w14:paraId="2C6E559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6</w:t>
            </w:r>
          </w:p>
        </w:tc>
        <w:tc>
          <w:tcPr>
            <w:tcW w:w="1389" w:type="dxa"/>
            <w:shd w:val="clear" w:color="auto" w:fill="auto"/>
            <w:noWrap/>
            <w:vAlign w:val="center"/>
          </w:tcPr>
          <w:p w14:paraId="6EEB22F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石英胶料</w:t>
            </w:r>
          </w:p>
        </w:tc>
        <w:tc>
          <w:tcPr>
            <w:tcW w:w="1260" w:type="dxa"/>
            <w:shd w:val="clear" w:color="auto" w:fill="auto"/>
            <w:noWrap/>
            <w:vAlign w:val="center"/>
          </w:tcPr>
          <w:p w14:paraId="42B5CFD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杭州四方</w:t>
            </w:r>
          </w:p>
        </w:tc>
        <w:tc>
          <w:tcPr>
            <w:tcW w:w="1455" w:type="dxa"/>
            <w:shd w:val="clear" w:color="auto" w:fill="auto"/>
            <w:noWrap/>
            <w:vAlign w:val="center"/>
          </w:tcPr>
          <w:p w14:paraId="0A43BE1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优质</w:t>
            </w:r>
          </w:p>
        </w:tc>
        <w:tc>
          <w:tcPr>
            <w:tcW w:w="720" w:type="dxa"/>
            <w:shd w:val="clear" w:color="auto" w:fill="auto"/>
            <w:noWrap/>
            <w:vAlign w:val="center"/>
          </w:tcPr>
          <w:p w14:paraId="11CE6BA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16</w:t>
            </w:r>
          </w:p>
        </w:tc>
        <w:tc>
          <w:tcPr>
            <w:tcW w:w="735" w:type="dxa"/>
            <w:shd w:val="clear" w:color="auto" w:fill="auto"/>
            <w:noWrap/>
            <w:vAlign w:val="center"/>
          </w:tcPr>
          <w:p w14:paraId="7AFBB2D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3945" w:type="dxa"/>
            <w:shd w:val="clear" w:color="auto" w:fill="auto"/>
            <w:vAlign w:val="center"/>
          </w:tcPr>
          <w:p w14:paraId="375A274E">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摄氏23度下，8小时内固化，抗压强度≥30MPa，抗折强度≥10MPa，粘接强度≥3MPa；执行国标GB50367-2006；</w:t>
            </w:r>
          </w:p>
        </w:tc>
      </w:tr>
      <w:tr w14:paraId="58F5E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0" w:type="dxa"/>
            <w:shd w:val="clear" w:color="auto" w:fill="auto"/>
            <w:noWrap/>
            <w:vAlign w:val="center"/>
          </w:tcPr>
          <w:p w14:paraId="2C4C671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7</w:t>
            </w:r>
          </w:p>
        </w:tc>
        <w:tc>
          <w:tcPr>
            <w:tcW w:w="1389" w:type="dxa"/>
            <w:shd w:val="clear" w:color="auto" w:fill="auto"/>
            <w:noWrap/>
            <w:vAlign w:val="center"/>
          </w:tcPr>
          <w:p w14:paraId="3B69BAB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线圈车辆检测器</w:t>
            </w:r>
          </w:p>
        </w:tc>
        <w:tc>
          <w:tcPr>
            <w:tcW w:w="1260" w:type="dxa"/>
            <w:shd w:val="clear" w:color="auto" w:fill="auto"/>
            <w:noWrap/>
            <w:vAlign w:val="center"/>
          </w:tcPr>
          <w:p w14:paraId="310E711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杭州四方</w:t>
            </w:r>
          </w:p>
        </w:tc>
        <w:tc>
          <w:tcPr>
            <w:tcW w:w="1455" w:type="dxa"/>
            <w:shd w:val="clear" w:color="auto" w:fill="auto"/>
            <w:noWrap/>
            <w:vAlign w:val="center"/>
          </w:tcPr>
          <w:p w14:paraId="1235C29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SFCJ-1</w:t>
            </w:r>
          </w:p>
        </w:tc>
        <w:tc>
          <w:tcPr>
            <w:tcW w:w="720" w:type="dxa"/>
            <w:shd w:val="clear" w:color="auto" w:fill="auto"/>
            <w:noWrap/>
            <w:vAlign w:val="center"/>
          </w:tcPr>
          <w:p w14:paraId="18BD203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4</w:t>
            </w:r>
          </w:p>
        </w:tc>
        <w:tc>
          <w:tcPr>
            <w:tcW w:w="735" w:type="dxa"/>
            <w:shd w:val="clear" w:color="auto" w:fill="auto"/>
            <w:noWrap/>
            <w:vAlign w:val="center"/>
          </w:tcPr>
          <w:p w14:paraId="6F6D1AE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个</w:t>
            </w:r>
          </w:p>
        </w:tc>
        <w:tc>
          <w:tcPr>
            <w:tcW w:w="3945" w:type="dxa"/>
            <w:shd w:val="clear" w:color="auto" w:fill="auto"/>
            <w:vAlign w:val="center"/>
          </w:tcPr>
          <w:p w14:paraId="036248E9">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电感量自调谐范围20-1500uH,Q值≥5；灵敏度4级可调；频率范围20kHz-110kHz，4级可调；响应时间≤100ms；（含线圈）</w:t>
            </w:r>
          </w:p>
        </w:tc>
      </w:tr>
      <w:tr w14:paraId="23B5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0" w:type="dxa"/>
            <w:shd w:val="clear" w:color="auto" w:fill="auto"/>
            <w:noWrap/>
            <w:vAlign w:val="center"/>
          </w:tcPr>
          <w:p w14:paraId="199B52A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8</w:t>
            </w:r>
          </w:p>
        </w:tc>
        <w:tc>
          <w:tcPr>
            <w:tcW w:w="1389" w:type="dxa"/>
            <w:shd w:val="clear" w:color="auto" w:fill="auto"/>
            <w:noWrap/>
            <w:vAlign w:val="center"/>
          </w:tcPr>
          <w:p w14:paraId="605347F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工业交换机</w:t>
            </w:r>
          </w:p>
        </w:tc>
        <w:tc>
          <w:tcPr>
            <w:tcW w:w="1260" w:type="dxa"/>
            <w:shd w:val="clear" w:color="auto" w:fill="auto"/>
            <w:noWrap/>
            <w:vAlign w:val="center"/>
          </w:tcPr>
          <w:p w14:paraId="5D3F65A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圃惠</w:t>
            </w:r>
          </w:p>
        </w:tc>
        <w:tc>
          <w:tcPr>
            <w:tcW w:w="1455" w:type="dxa"/>
            <w:shd w:val="clear" w:color="auto" w:fill="auto"/>
            <w:noWrap/>
            <w:vAlign w:val="center"/>
          </w:tcPr>
          <w:p w14:paraId="674CE8C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PHH2610-G2800</w:t>
            </w:r>
          </w:p>
        </w:tc>
        <w:tc>
          <w:tcPr>
            <w:tcW w:w="720" w:type="dxa"/>
            <w:shd w:val="clear" w:color="auto" w:fill="auto"/>
            <w:noWrap/>
            <w:vAlign w:val="center"/>
          </w:tcPr>
          <w:p w14:paraId="2200E05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735" w:type="dxa"/>
            <w:shd w:val="clear" w:color="auto" w:fill="auto"/>
            <w:noWrap/>
            <w:vAlign w:val="center"/>
          </w:tcPr>
          <w:p w14:paraId="13BACD7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台</w:t>
            </w:r>
          </w:p>
        </w:tc>
        <w:tc>
          <w:tcPr>
            <w:tcW w:w="3945" w:type="dxa"/>
            <w:shd w:val="clear" w:color="auto" w:fill="auto"/>
            <w:vAlign w:val="center"/>
          </w:tcPr>
          <w:p w14:paraId="612D619F">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设备提供≥8路千兆以太网电口，支持VLAN划分，≥2个千兆以太SFP光接口，≥1个Console口，传输带宽为线速≥1000M；支持光纤级联与环网不同组网方式；（含一对光收发器）</w:t>
            </w:r>
          </w:p>
        </w:tc>
      </w:tr>
      <w:tr w14:paraId="5302A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0" w:type="dxa"/>
            <w:shd w:val="clear" w:color="auto" w:fill="auto"/>
            <w:noWrap/>
            <w:vAlign w:val="center"/>
          </w:tcPr>
          <w:p w14:paraId="46D3BBF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9</w:t>
            </w:r>
          </w:p>
        </w:tc>
        <w:tc>
          <w:tcPr>
            <w:tcW w:w="1389" w:type="dxa"/>
            <w:shd w:val="clear" w:color="auto" w:fill="auto"/>
            <w:noWrap/>
            <w:vAlign w:val="center"/>
          </w:tcPr>
          <w:p w14:paraId="2E2EA51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前端称重系统软件</w:t>
            </w:r>
          </w:p>
        </w:tc>
        <w:tc>
          <w:tcPr>
            <w:tcW w:w="1260" w:type="dxa"/>
            <w:shd w:val="clear" w:color="auto" w:fill="auto"/>
            <w:noWrap/>
            <w:vAlign w:val="center"/>
          </w:tcPr>
          <w:p w14:paraId="65A0A1D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杭州四方</w:t>
            </w:r>
          </w:p>
        </w:tc>
        <w:tc>
          <w:tcPr>
            <w:tcW w:w="1455" w:type="dxa"/>
            <w:shd w:val="clear" w:color="auto" w:fill="auto"/>
            <w:noWrap/>
            <w:vAlign w:val="center"/>
          </w:tcPr>
          <w:p w14:paraId="1B23817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优质</w:t>
            </w:r>
          </w:p>
        </w:tc>
        <w:tc>
          <w:tcPr>
            <w:tcW w:w="720" w:type="dxa"/>
            <w:shd w:val="clear" w:color="auto" w:fill="auto"/>
            <w:noWrap/>
            <w:vAlign w:val="center"/>
          </w:tcPr>
          <w:p w14:paraId="563C5DC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735" w:type="dxa"/>
            <w:shd w:val="clear" w:color="auto" w:fill="auto"/>
            <w:noWrap/>
            <w:vAlign w:val="center"/>
          </w:tcPr>
          <w:p w14:paraId="53B828F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3945" w:type="dxa"/>
            <w:shd w:val="clear" w:color="auto" w:fill="auto"/>
            <w:vAlign w:val="center"/>
          </w:tcPr>
          <w:p w14:paraId="7F3B21BA">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实时检测通行车辆的轴（组）重、总重、超载量、轴型、车速、车牌号、车辆图片等数据；</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自动识别超限车辆车牌号码、抓拍车辆前后车厢图片；</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自动匹配高速称重数据、超限车辆车牌号码、超限车辆前后车厢图片；</w:t>
            </w:r>
          </w:p>
        </w:tc>
      </w:tr>
      <w:tr w14:paraId="731FF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0" w:type="dxa"/>
            <w:shd w:val="clear" w:color="000000" w:fill="auto"/>
            <w:noWrap/>
            <w:vAlign w:val="center"/>
          </w:tcPr>
          <w:p w14:paraId="3AC024B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10</w:t>
            </w:r>
          </w:p>
        </w:tc>
        <w:tc>
          <w:tcPr>
            <w:tcW w:w="1389" w:type="dxa"/>
            <w:shd w:val="clear" w:color="000000" w:fill="auto"/>
            <w:noWrap/>
            <w:vAlign w:val="center"/>
          </w:tcPr>
          <w:p w14:paraId="439AE90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处罚软件接入服务费用</w:t>
            </w:r>
          </w:p>
        </w:tc>
        <w:tc>
          <w:tcPr>
            <w:tcW w:w="1260" w:type="dxa"/>
            <w:shd w:val="clear" w:color="000000" w:fill="auto"/>
            <w:noWrap/>
            <w:vAlign w:val="center"/>
          </w:tcPr>
          <w:p w14:paraId="5F5A130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软易</w:t>
            </w:r>
          </w:p>
        </w:tc>
        <w:tc>
          <w:tcPr>
            <w:tcW w:w="1455" w:type="dxa"/>
            <w:shd w:val="clear" w:color="000000" w:fill="auto"/>
            <w:noWrap/>
            <w:vAlign w:val="center"/>
          </w:tcPr>
          <w:p w14:paraId="51336DE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720" w:type="dxa"/>
            <w:shd w:val="clear" w:color="000000" w:fill="auto"/>
            <w:noWrap/>
            <w:vAlign w:val="center"/>
          </w:tcPr>
          <w:p w14:paraId="7085C2C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735" w:type="dxa"/>
            <w:shd w:val="clear" w:color="000000" w:fill="auto"/>
            <w:noWrap/>
            <w:vAlign w:val="center"/>
          </w:tcPr>
          <w:p w14:paraId="3086F02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3945" w:type="dxa"/>
            <w:shd w:val="clear" w:color="000000" w:fill="auto"/>
            <w:vAlign w:val="center"/>
          </w:tcPr>
          <w:p w14:paraId="32FB757F">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非现处罚软件接入服务费</w:t>
            </w:r>
          </w:p>
        </w:tc>
      </w:tr>
      <w:tr w14:paraId="13F6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084" w:type="dxa"/>
            <w:gridSpan w:val="7"/>
            <w:shd w:val="clear" w:color="000000" w:fill="auto"/>
            <w:noWrap/>
            <w:vAlign w:val="center"/>
          </w:tcPr>
          <w:p w14:paraId="399DA164">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信息显示诱导系统</w:t>
            </w:r>
          </w:p>
        </w:tc>
      </w:tr>
      <w:tr w14:paraId="5446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0" w:type="dxa"/>
            <w:shd w:val="clear" w:color="auto" w:fill="auto"/>
            <w:noWrap/>
            <w:vAlign w:val="center"/>
          </w:tcPr>
          <w:p w14:paraId="566DA66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11</w:t>
            </w:r>
          </w:p>
        </w:tc>
        <w:tc>
          <w:tcPr>
            <w:tcW w:w="1389" w:type="dxa"/>
            <w:shd w:val="clear" w:color="auto" w:fill="auto"/>
            <w:noWrap/>
            <w:vAlign w:val="center"/>
          </w:tcPr>
          <w:p w14:paraId="7C723F0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可变情报板</w:t>
            </w:r>
          </w:p>
        </w:tc>
        <w:tc>
          <w:tcPr>
            <w:tcW w:w="1260" w:type="dxa"/>
            <w:shd w:val="clear" w:color="auto" w:fill="auto"/>
            <w:noWrap/>
            <w:vAlign w:val="center"/>
          </w:tcPr>
          <w:p w14:paraId="25FDAA7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依鲁光电</w:t>
            </w:r>
          </w:p>
        </w:tc>
        <w:tc>
          <w:tcPr>
            <w:tcW w:w="1455" w:type="dxa"/>
            <w:shd w:val="clear" w:color="auto" w:fill="auto"/>
            <w:noWrap/>
            <w:vAlign w:val="center"/>
          </w:tcPr>
          <w:p w14:paraId="5FA92C1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KXB-10TB1-EL-PH3125C1</w:t>
            </w:r>
          </w:p>
        </w:tc>
        <w:tc>
          <w:tcPr>
            <w:tcW w:w="720" w:type="dxa"/>
            <w:shd w:val="clear" w:color="auto" w:fill="auto"/>
            <w:noWrap/>
            <w:vAlign w:val="center"/>
          </w:tcPr>
          <w:p w14:paraId="66CAFE1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735" w:type="dxa"/>
            <w:shd w:val="clear" w:color="auto" w:fill="auto"/>
            <w:noWrap/>
            <w:vAlign w:val="center"/>
          </w:tcPr>
          <w:p w14:paraId="202B305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3945" w:type="dxa"/>
            <w:shd w:val="clear" w:color="auto" w:fill="auto"/>
            <w:vAlign w:val="center"/>
          </w:tcPr>
          <w:p w14:paraId="64D624F9">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当车辆不超限时显示屏无显示，车辆超限时显示超限</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车车号和诱导提示，显示内容可按用户需要进行调节。</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封装要求：防水、防光、防腐，通风，散热；</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面积不少于7.68平方</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LED诱导屏须与称重传感器兼容</w:t>
            </w:r>
          </w:p>
        </w:tc>
      </w:tr>
      <w:tr w14:paraId="0078D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084" w:type="dxa"/>
            <w:gridSpan w:val="7"/>
            <w:shd w:val="clear" w:color="auto" w:fill="auto"/>
            <w:noWrap/>
            <w:vAlign w:val="center"/>
          </w:tcPr>
          <w:p w14:paraId="75485D48">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高清卡口车牌识别系统</w:t>
            </w:r>
          </w:p>
        </w:tc>
      </w:tr>
      <w:tr w14:paraId="5086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0" w:type="dxa"/>
            <w:shd w:val="clear" w:color="auto" w:fill="auto"/>
            <w:noWrap/>
            <w:vAlign w:val="center"/>
          </w:tcPr>
          <w:p w14:paraId="2A7B247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12</w:t>
            </w:r>
          </w:p>
        </w:tc>
        <w:tc>
          <w:tcPr>
            <w:tcW w:w="1389" w:type="dxa"/>
            <w:shd w:val="clear" w:color="auto" w:fill="auto"/>
            <w:noWrap/>
            <w:vAlign w:val="center"/>
          </w:tcPr>
          <w:p w14:paraId="22F31CC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高清卡口车牌识别系统</w:t>
            </w:r>
          </w:p>
        </w:tc>
        <w:tc>
          <w:tcPr>
            <w:tcW w:w="1260" w:type="dxa"/>
            <w:shd w:val="clear" w:color="auto" w:fill="auto"/>
            <w:noWrap/>
            <w:vAlign w:val="center"/>
          </w:tcPr>
          <w:p w14:paraId="3719FFC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大华</w:t>
            </w:r>
          </w:p>
        </w:tc>
        <w:tc>
          <w:tcPr>
            <w:tcW w:w="1455" w:type="dxa"/>
            <w:shd w:val="clear" w:color="auto" w:fill="auto"/>
            <w:noWrap/>
            <w:vAlign w:val="center"/>
          </w:tcPr>
          <w:p w14:paraId="6658008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DH-CP902</w:t>
            </w:r>
          </w:p>
        </w:tc>
        <w:tc>
          <w:tcPr>
            <w:tcW w:w="720" w:type="dxa"/>
            <w:shd w:val="clear" w:color="auto" w:fill="auto"/>
            <w:noWrap/>
            <w:vAlign w:val="center"/>
          </w:tcPr>
          <w:p w14:paraId="6AB44DC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5</w:t>
            </w:r>
          </w:p>
        </w:tc>
        <w:tc>
          <w:tcPr>
            <w:tcW w:w="735" w:type="dxa"/>
            <w:shd w:val="clear" w:color="auto" w:fill="auto"/>
            <w:noWrap/>
            <w:vAlign w:val="center"/>
          </w:tcPr>
          <w:p w14:paraId="370ABE5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3945" w:type="dxa"/>
            <w:shd w:val="clear" w:color="auto" w:fill="auto"/>
            <w:vAlign w:val="center"/>
          </w:tcPr>
          <w:p w14:paraId="7100C234">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1英寸CMOS传感器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支持识别车头6500种车辆子品牌，车尾3500种车辆子品牌，白天识别率98%，晚上识别率95%</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支持车辆捕获功能，白天准确率≥99.9%，晚上准确率≥99.9%  </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支持车牌识别功能，白天准确率≥99.9%，晚上准确率≥99.9%</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支持350种车标识别，白天准确率≥98%，晚上准确率≥98%</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支持红色信号灯昼夜色彩校正功能，可对设定区域内的红色信号灯进行显示色彩校正</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抓图分辨率可达4096*2160(不含OSD)</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4096*4208(含OSD)</w:t>
            </w:r>
          </w:p>
        </w:tc>
      </w:tr>
      <w:tr w14:paraId="00D4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0" w:type="dxa"/>
            <w:shd w:val="clear" w:color="auto" w:fill="auto"/>
            <w:noWrap/>
            <w:vAlign w:val="center"/>
          </w:tcPr>
          <w:p w14:paraId="72420DC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13</w:t>
            </w:r>
          </w:p>
        </w:tc>
        <w:tc>
          <w:tcPr>
            <w:tcW w:w="1389" w:type="dxa"/>
            <w:shd w:val="clear" w:color="auto" w:fill="auto"/>
            <w:noWrap/>
            <w:vAlign w:val="center"/>
          </w:tcPr>
          <w:p w14:paraId="74D6B8C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补光灯</w:t>
            </w:r>
          </w:p>
        </w:tc>
        <w:tc>
          <w:tcPr>
            <w:tcW w:w="1260" w:type="dxa"/>
            <w:shd w:val="clear" w:color="auto" w:fill="auto"/>
            <w:noWrap/>
            <w:vAlign w:val="center"/>
          </w:tcPr>
          <w:p w14:paraId="32F729B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意博</w:t>
            </w:r>
          </w:p>
        </w:tc>
        <w:tc>
          <w:tcPr>
            <w:tcW w:w="1455" w:type="dxa"/>
            <w:shd w:val="clear" w:color="auto" w:fill="auto"/>
            <w:noWrap/>
            <w:vAlign w:val="center"/>
          </w:tcPr>
          <w:p w14:paraId="7AD1309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EBE-ZPO3</w:t>
            </w:r>
          </w:p>
        </w:tc>
        <w:tc>
          <w:tcPr>
            <w:tcW w:w="720" w:type="dxa"/>
            <w:shd w:val="clear" w:color="auto" w:fill="auto"/>
            <w:noWrap/>
            <w:vAlign w:val="center"/>
          </w:tcPr>
          <w:p w14:paraId="646D6A2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5</w:t>
            </w:r>
          </w:p>
        </w:tc>
        <w:tc>
          <w:tcPr>
            <w:tcW w:w="735" w:type="dxa"/>
            <w:shd w:val="clear" w:color="auto" w:fill="auto"/>
            <w:noWrap/>
            <w:vAlign w:val="center"/>
          </w:tcPr>
          <w:p w14:paraId="7BB27EB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3945" w:type="dxa"/>
            <w:shd w:val="clear" w:color="auto" w:fill="auto"/>
            <w:vAlign w:val="center"/>
          </w:tcPr>
          <w:p w14:paraId="06BFFE05">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1、光源采用Cree、Osram等进口品牌灯珠，≥20颗3W高亮光源</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2、平均功率：≤50W</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3、色温：6000k-6700k</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4、补光角度：10°～40°可以选择</w:t>
            </w:r>
          </w:p>
        </w:tc>
      </w:tr>
      <w:tr w14:paraId="55CA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0" w:type="dxa"/>
            <w:shd w:val="clear" w:color="auto" w:fill="auto"/>
            <w:noWrap/>
            <w:vAlign w:val="center"/>
          </w:tcPr>
          <w:p w14:paraId="61F7C4A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14</w:t>
            </w:r>
          </w:p>
        </w:tc>
        <w:tc>
          <w:tcPr>
            <w:tcW w:w="1389" w:type="dxa"/>
            <w:shd w:val="clear" w:color="auto" w:fill="auto"/>
            <w:noWrap/>
            <w:vAlign w:val="center"/>
          </w:tcPr>
          <w:p w14:paraId="7440DA6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全景摄像机</w:t>
            </w:r>
          </w:p>
        </w:tc>
        <w:tc>
          <w:tcPr>
            <w:tcW w:w="1260" w:type="dxa"/>
            <w:shd w:val="clear" w:color="auto" w:fill="auto"/>
            <w:noWrap/>
            <w:vAlign w:val="center"/>
          </w:tcPr>
          <w:p w14:paraId="719AEEF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大华</w:t>
            </w:r>
          </w:p>
        </w:tc>
        <w:tc>
          <w:tcPr>
            <w:tcW w:w="1455" w:type="dxa"/>
            <w:shd w:val="clear" w:color="auto" w:fill="auto"/>
            <w:noWrap/>
            <w:vAlign w:val="center"/>
          </w:tcPr>
          <w:p w14:paraId="29F1D71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HF8239E</w:t>
            </w:r>
          </w:p>
        </w:tc>
        <w:tc>
          <w:tcPr>
            <w:tcW w:w="720" w:type="dxa"/>
            <w:shd w:val="clear" w:color="auto" w:fill="auto"/>
            <w:noWrap/>
            <w:vAlign w:val="center"/>
          </w:tcPr>
          <w:p w14:paraId="6F7F0EB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735" w:type="dxa"/>
            <w:shd w:val="clear" w:color="auto" w:fill="auto"/>
            <w:noWrap/>
            <w:vAlign w:val="center"/>
          </w:tcPr>
          <w:p w14:paraId="5934256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台</w:t>
            </w:r>
          </w:p>
        </w:tc>
        <w:tc>
          <w:tcPr>
            <w:tcW w:w="3945" w:type="dxa"/>
            <w:shd w:val="clear" w:color="auto" w:fill="auto"/>
            <w:vAlign w:val="center"/>
          </w:tcPr>
          <w:p w14:paraId="617EDF3D">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宽动态范围不小于120dB。</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样机与客户端之间以长度为200m的五类非屏蔽网线直接连接，每次客户端连续发送2000个数据包，重复测试3次，每次丢包数不大于1个。</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支持人脸属性识别功能，在识别眼镜、胡子、性别、口罩情况下准确率不小于97%。</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支持多种肤色人脸检测，可支持检测白人、黄种人、黑人。</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支持通过菜单开启或关闭人脸优选功能，当开启人脸优选功能，能挑选出人脸轨迹中效果较好的一帧进行抓拍。</w:t>
            </w:r>
          </w:p>
        </w:tc>
      </w:tr>
      <w:tr w14:paraId="1460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0" w:type="dxa"/>
            <w:shd w:val="clear" w:color="auto" w:fill="auto"/>
            <w:noWrap/>
            <w:vAlign w:val="center"/>
          </w:tcPr>
          <w:p w14:paraId="425B1CF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15</w:t>
            </w:r>
          </w:p>
        </w:tc>
        <w:tc>
          <w:tcPr>
            <w:tcW w:w="1389" w:type="dxa"/>
            <w:shd w:val="clear" w:color="auto" w:fill="auto"/>
            <w:noWrap/>
            <w:vAlign w:val="center"/>
          </w:tcPr>
          <w:p w14:paraId="0A484C5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道路监控球机</w:t>
            </w:r>
          </w:p>
        </w:tc>
        <w:tc>
          <w:tcPr>
            <w:tcW w:w="1260" w:type="dxa"/>
            <w:shd w:val="clear" w:color="auto" w:fill="auto"/>
            <w:noWrap/>
            <w:vAlign w:val="center"/>
          </w:tcPr>
          <w:p w14:paraId="10F016E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大华</w:t>
            </w:r>
          </w:p>
        </w:tc>
        <w:tc>
          <w:tcPr>
            <w:tcW w:w="1455" w:type="dxa"/>
            <w:shd w:val="clear" w:color="auto" w:fill="auto"/>
            <w:noWrap/>
            <w:vAlign w:val="center"/>
          </w:tcPr>
          <w:p w14:paraId="4155139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SD-8A1240</w:t>
            </w:r>
          </w:p>
        </w:tc>
        <w:tc>
          <w:tcPr>
            <w:tcW w:w="720" w:type="dxa"/>
            <w:shd w:val="clear" w:color="auto" w:fill="auto"/>
            <w:noWrap/>
            <w:vAlign w:val="center"/>
          </w:tcPr>
          <w:p w14:paraId="492BDBD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735" w:type="dxa"/>
            <w:shd w:val="clear" w:color="auto" w:fill="auto"/>
            <w:noWrap/>
            <w:vAlign w:val="center"/>
          </w:tcPr>
          <w:p w14:paraId="10EF21E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个</w:t>
            </w:r>
          </w:p>
        </w:tc>
        <w:tc>
          <w:tcPr>
            <w:tcW w:w="3945" w:type="dxa"/>
            <w:shd w:val="clear" w:color="auto" w:fill="auto"/>
            <w:vAlign w:val="center"/>
          </w:tcPr>
          <w:p w14:paraId="2DEA770C">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可通过IE浏览器在视频图像上叠加通道名称、时间、预置点信息、坐标信息、倍数显示、人数进入和离开统计、温度显示等信息，具有45行字符显示，字体可设置为最大、大、中、小，字体颜色可设置；</w:t>
            </w:r>
          </w:p>
        </w:tc>
      </w:tr>
      <w:tr w14:paraId="4A59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084" w:type="dxa"/>
            <w:gridSpan w:val="7"/>
            <w:shd w:val="clear" w:color="auto" w:fill="auto"/>
            <w:noWrap/>
            <w:vAlign w:val="center"/>
          </w:tcPr>
          <w:p w14:paraId="28C27F2C">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光传输设备及线缆等</w:t>
            </w:r>
          </w:p>
        </w:tc>
      </w:tr>
      <w:tr w14:paraId="7F4D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0" w:type="dxa"/>
            <w:shd w:val="clear" w:color="auto" w:fill="auto"/>
            <w:noWrap/>
            <w:vAlign w:val="center"/>
          </w:tcPr>
          <w:p w14:paraId="326447F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16</w:t>
            </w:r>
          </w:p>
        </w:tc>
        <w:tc>
          <w:tcPr>
            <w:tcW w:w="1389" w:type="dxa"/>
            <w:shd w:val="clear" w:color="auto" w:fill="auto"/>
            <w:noWrap/>
            <w:vAlign w:val="center"/>
          </w:tcPr>
          <w:p w14:paraId="0EB667D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网线</w:t>
            </w:r>
          </w:p>
        </w:tc>
        <w:tc>
          <w:tcPr>
            <w:tcW w:w="1260" w:type="dxa"/>
            <w:shd w:val="clear" w:color="auto" w:fill="auto"/>
            <w:noWrap/>
            <w:vAlign w:val="center"/>
          </w:tcPr>
          <w:p w14:paraId="7B96B2A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1455" w:type="dxa"/>
            <w:shd w:val="clear" w:color="auto" w:fill="auto"/>
            <w:noWrap/>
            <w:vAlign w:val="center"/>
          </w:tcPr>
          <w:p w14:paraId="6709956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优质</w:t>
            </w:r>
          </w:p>
        </w:tc>
        <w:tc>
          <w:tcPr>
            <w:tcW w:w="720" w:type="dxa"/>
            <w:shd w:val="clear" w:color="auto" w:fill="auto"/>
            <w:noWrap/>
            <w:vAlign w:val="center"/>
          </w:tcPr>
          <w:p w14:paraId="5D14F17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w:t>
            </w:r>
          </w:p>
        </w:tc>
        <w:tc>
          <w:tcPr>
            <w:tcW w:w="735" w:type="dxa"/>
            <w:shd w:val="clear" w:color="auto" w:fill="auto"/>
            <w:noWrap/>
            <w:vAlign w:val="center"/>
          </w:tcPr>
          <w:p w14:paraId="3F25896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箱</w:t>
            </w:r>
          </w:p>
        </w:tc>
        <w:tc>
          <w:tcPr>
            <w:tcW w:w="3945" w:type="dxa"/>
            <w:shd w:val="clear" w:color="auto" w:fill="auto"/>
            <w:vAlign w:val="center"/>
          </w:tcPr>
          <w:p w14:paraId="50036540">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超五类网线，防水</w:t>
            </w:r>
          </w:p>
        </w:tc>
      </w:tr>
      <w:tr w14:paraId="7DC2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0" w:type="dxa"/>
            <w:shd w:val="clear" w:color="auto" w:fill="auto"/>
            <w:noWrap/>
            <w:vAlign w:val="center"/>
          </w:tcPr>
          <w:p w14:paraId="6330EB4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17</w:t>
            </w:r>
          </w:p>
        </w:tc>
        <w:tc>
          <w:tcPr>
            <w:tcW w:w="1389" w:type="dxa"/>
            <w:shd w:val="clear" w:color="auto" w:fill="auto"/>
            <w:noWrap/>
            <w:vAlign w:val="center"/>
          </w:tcPr>
          <w:p w14:paraId="0FB138A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光纤</w:t>
            </w:r>
          </w:p>
        </w:tc>
        <w:tc>
          <w:tcPr>
            <w:tcW w:w="1260" w:type="dxa"/>
            <w:shd w:val="clear" w:color="auto" w:fill="auto"/>
            <w:noWrap/>
            <w:vAlign w:val="center"/>
          </w:tcPr>
          <w:p w14:paraId="1C43CE1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1455" w:type="dxa"/>
            <w:shd w:val="clear" w:color="auto" w:fill="auto"/>
            <w:noWrap/>
            <w:vAlign w:val="center"/>
          </w:tcPr>
          <w:p w14:paraId="2D9A038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优质</w:t>
            </w:r>
          </w:p>
        </w:tc>
        <w:tc>
          <w:tcPr>
            <w:tcW w:w="720" w:type="dxa"/>
            <w:shd w:val="clear" w:color="auto" w:fill="auto"/>
            <w:noWrap/>
            <w:vAlign w:val="center"/>
          </w:tcPr>
          <w:p w14:paraId="68FA701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300</w:t>
            </w:r>
          </w:p>
        </w:tc>
        <w:tc>
          <w:tcPr>
            <w:tcW w:w="735" w:type="dxa"/>
            <w:shd w:val="clear" w:color="auto" w:fill="auto"/>
            <w:noWrap/>
            <w:vAlign w:val="center"/>
          </w:tcPr>
          <w:p w14:paraId="6DB11C2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3945" w:type="dxa"/>
            <w:shd w:val="clear" w:color="auto" w:fill="auto"/>
            <w:vAlign w:val="center"/>
          </w:tcPr>
          <w:p w14:paraId="7B94E32E">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单模四芯</w:t>
            </w:r>
          </w:p>
        </w:tc>
      </w:tr>
      <w:tr w14:paraId="5FB3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0" w:type="dxa"/>
            <w:shd w:val="clear" w:color="auto" w:fill="auto"/>
            <w:noWrap/>
            <w:vAlign w:val="center"/>
          </w:tcPr>
          <w:p w14:paraId="26B66B7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18</w:t>
            </w:r>
          </w:p>
        </w:tc>
        <w:tc>
          <w:tcPr>
            <w:tcW w:w="1389" w:type="dxa"/>
            <w:shd w:val="clear" w:color="auto" w:fill="auto"/>
            <w:noWrap/>
            <w:vAlign w:val="center"/>
          </w:tcPr>
          <w:p w14:paraId="2A10611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PE管</w:t>
            </w:r>
          </w:p>
        </w:tc>
        <w:tc>
          <w:tcPr>
            <w:tcW w:w="1260" w:type="dxa"/>
            <w:shd w:val="clear" w:color="auto" w:fill="auto"/>
            <w:noWrap/>
            <w:vAlign w:val="center"/>
          </w:tcPr>
          <w:p w14:paraId="2AFE865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1455" w:type="dxa"/>
            <w:shd w:val="clear" w:color="auto" w:fill="auto"/>
            <w:noWrap/>
            <w:vAlign w:val="center"/>
          </w:tcPr>
          <w:p w14:paraId="10A492A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优质</w:t>
            </w:r>
          </w:p>
        </w:tc>
        <w:tc>
          <w:tcPr>
            <w:tcW w:w="720" w:type="dxa"/>
            <w:shd w:val="clear" w:color="auto" w:fill="auto"/>
            <w:noWrap/>
            <w:vAlign w:val="center"/>
          </w:tcPr>
          <w:p w14:paraId="4D17A57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500</w:t>
            </w:r>
          </w:p>
        </w:tc>
        <w:tc>
          <w:tcPr>
            <w:tcW w:w="735" w:type="dxa"/>
            <w:shd w:val="clear" w:color="auto" w:fill="auto"/>
            <w:noWrap/>
            <w:vAlign w:val="center"/>
          </w:tcPr>
          <w:p w14:paraId="5AC8955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3945" w:type="dxa"/>
            <w:shd w:val="clear" w:color="auto" w:fill="auto"/>
            <w:vAlign w:val="center"/>
          </w:tcPr>
          <w:p w14:paraId="67A963E9">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50PE管</w:t>
            </w:r>
          </w:p>
        </w:tc>
      </w:tr>
      <w:tr w14:paraId="4C94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0" w:type="dxa"/>
            <w:shd w:val="clear" w:color="auto" w:fill="auto"/>
            <w:noWrap/>
            <w:vAlign w:val="center"/>
          </w:tcPr>
          <w:p w14:paraId="4B74BF2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19</w:t>
            </w:r>
          </w:p>
        </w:tc>
        <w:tc>
          <w:tcPr>
            <w:tcW w:w="1389" w:type="dxa"/>
            <w:shd w:val="clear" w:color="auto" w:fill="auto"/>
            <w:noWrap/>
            <w:vAlign w:val="center"/>
          </w:tcPr>
          <w:p w14:paraId="6AC8181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机柜防撞护拦</w:t>
            </w:r>
          </w:p>
        </w:tc>
        <w:tc>
          <w:tcPr>
            <w:tcW w:w="1260" w:type="dxa"/>
            <w:shd w:val="clear" w:color="auto" w:fill="auto"/>
            <w:noWrap/>
            <w:vAlign w:val="center"/>
          </w:tcPr>
          <w:p w14:paraId="6A673E9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1455" w:type="dxa"/>
            <w:shd w:val="clear" w:color="auto" w:fill="auto"/>
            <w:noWrap/>
            <w:vAlign w:val="center"/>
          </w:tcPr>
          <w:p w14:paraId="4F588B2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优质</w:t>
            </w:r>
          </w:p>
        </w:tc>
        <w:tc>
          <w:tcPr>
            <w:tcW w:w="720" w:type="dxa"/>
            <w:shd w:val="clear" w:color="auto" w:fill="auto"/>
            <w:noWrap/>
            <w:vAlign w:val="center"/>
          </w:tcPr>
          <w:p w14:paraId="74BF485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28</w:t>
            </w:r>
          </w:p>
        </w:tc>
        <w:tc>
          <w:tcPr>
            <w:tcW w:w="735" w:type="dxa"/>
            <w:shd w:val="clear" w:color="auto" w:fill="auto"/>
            <w:noWrap/>
            <w:vAlign w:val="center"/>
          </w:tcPr>
          <w:p w14:paraId="2753C4C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3945" w:type="dxa"/>
            <w:shd w:val="clear" w:color="auto" w:fill="auto"/>
            <w:vAlign w:val="center"/>
          </w:tcPr>
          <w:p w14:paraId="7885B956">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波形梁护栏（Cr-B-2E）</w:t>
            </w:r>
          </w:p>
        </w:tc>
      </w:tr>
      <w:tr w14:paraId="53E8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80" w:type="dxa"/>
            <w:shd w:val="clear" w:color="auto" w:fill="auto"/>
            <w:noWrap/>
            <w:vAlign w:val="center"/>
          </w:tcPr>
          <w:p w14:paraId="49B09E4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20</w:t>
            </w:r>
          </w:p>
        </w:tc>
        <w:tc>
          <w:tcPr>
            <w:tcW w:w="1389" w:type="dxa"/>
            <w:shd w:val="clear" w:color="auto" w:fill="auto"/>
            <w:noWrap/>
            <w:vAlign w:val="center"/>
          </w:tcPr>
          <w:p w14:paraId="3ED6565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线圈线</w:t>
            </w:r>
          </w:p>
        </w:tc>
        <w:tc>
          <w:tcPr>
            <w:tcW w:w="1260" w:type="dxa"/>
            <w:shd w:val="clear" w:color="auto" w:fill="auto"/>
            <w:noWrap/>
            <w:vAlign w:val="center"/>
          </w:tcPr>
          <w:p w14:paraId="4FA1BBA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1455" w:type="dxa"/>
            <w:shd w:val="clear" w:color="auto" w:fill="auto"/>
            <w:noWrap/>
            <w:vAlign w:val="center"/>
          </w:tcPr>
          <w:p w14:paraId="2A4621A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优质</w:t>
            </w:r>
          </w:p>
        </w:tc>
        <w:tc>
          <w:tcPr>
            <w:tcW w:w="720" w:type="dxa"/>
            <w:shd w:val="clear" w:color="auto" w:fill="auto"/>
            <w:noWrap/>
            <w:vAlign w:val="center"/>
          </w:tcPr>
          <w:p w14:paraId="25B21F8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1000</w:t>
            </w:r>
          </w:p>
        </w:tc>
        <w:tc>
          <w:tcPr>
            <w:tcW w:w="735" w:type="dxa"/>
            <w:shd w:val="clear" w:color="auto" w:fill="auto"/>
            <w:noWrap/>
            <w:vAlign w:val="center"/>
          </w:tcPr>
          <w:p w14:paraId="1ABD895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3945" w:type="dxa"/>
            <w:shd w:val="clear" w:color="auto" w:fill="auto"/>
            <w:vAlign w:val="center"/>
          </w:tcPr>
          <w:p w14:paraId="0AD64E63">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FVN49/0.26蓝/线圈线</w:t>
            </w:r>
          </w:p>
        </w:tc>
      </w:tr>
    </w:tbl>
    <w:p w14:paraId="225207C9">
      <w:pPr>
        <w:numPr>
          <w:ilvl w:val="0"/>
          <w:numId w:val="0"/>
        </w:numPr>
        <w:spacing w:line="360" w:lineRule="auto"/>
        <w:ind w:leftChars="0"/>
        <w:rPr>
          <w:rFonts w:hint="eastAsia" w:asciiTheme="minorEastAsia" w:hAnsiTheme="minorEastAsia" w:eastAsiaTheme="minorEastAsia" w:cstheme="minorEastAsia"/>
          <w:b/>
          <w:bCs/>
          <w:color w:val="auto"/>
          <w:sz w:val="24"/>
          <w:szCs w:val="24"/>
          <w:highlight w:val="none"/>
          <w:lang w:val="en-US" w:eastAsia="zh-CN"/>
        </w:rPr>
      </w:pPr>
    </w:p>
    <w:bookmarkEnd w:id="33"/>
    <w:bookmarkEnd w:id="34"/>
    <w:p w14:paraId="6AFD7360">
      <w:pPr>
        <w:spacing w:line="360" w:lineRule="auto"/>
        <w:rPr>
          <w:rFonts w:hint="eastAsia" w:asciiTheme="minorEastAsia" w:hAnsiTheme="minorEastAsia" w:eastAsiaTheme="minorEastAsia" w:cstheme="minorEastAsia"/>
          <w:b/>
          <w:bCs/>
          <w:color w:val="auto"/>
          <w:sz w:val="24"/>
          <w:szCs w:val="24"/>
          <w:highlight w:val="none"/>
          <w:lang w:val="en-US" w:eastAsia="zh-CN"/>
        </w:rPr>
      </w:pPr>
      <w:bookmarkStart w:id="35" w:name="_Toc3113"/>
      <w:bookmarkStart w:id="36" w:name="_Toc30257"/>
      <w:bookmarkStart w:id="37" w:name="_Toc18250"/>
      <w:r>
        <w:rPr>
          <w:rFonts w:hint="eastAsia" w:asciiTheme="minorEastAsia" w:hAnsiTheme="minorEastAsia" w:eastAsiaTheme="minorEastAsia" w:cstheme="minorEastAsia"/>
          <w:b/>
          <w:bCs/>
          <w:color w:val="auto"/>
          <w:sz w:val="24"/>
          <w:szCs w:val="24"/>
          <w:highlight w:val="none"/>
          <w:lang w:val="en-US" w:eastAsia="zh-CN"/>
        </w:rPr>
        <w:t>5、点位名称：原：S210桐义线42K+540现：S219临苍线K105+330</w:t>
      </w:r>
    </w:p>
    <w:tbl>
      <w:tblPr>
        <w:tblStyle w:val="29"/>
        <w:tblW w:w="10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386"/>
        <w:gridCol w:w="1137"/>
        <w:gridCol w:w="1131"/>
        <w:gridCol w:w="825"/>
        <w:gridCol w:w="735"/>
        <w:gridCol w:w="4196"/>
      </w:tblGrid>
      <w:tr w14:paraId="5152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1" w:type="dxa"/>
            <w:shd w:val="clear" w:color="auto" w:fill="auto"/>
            <w:noWrap/>
            <w:vAlign w:val="center"/>
          </w:tcPr>
          <w:p w14:paraId="24F75EB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序号</w:t>
            </w:r>
          </w:p>
        </w:tc>
        <w:tc>
          <w:tcPr>
            <w:tcW w:w="1386" w:type="dxa"/>
            <w:shd w:val="clear" w:color="auto" w:fill="auto"/>
            <w:noWrap/>
            <w:vAlign w:val="center"/>
          </w:tcPr>
          <w:p w14:paraId="12103F4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名称</w:t>
            </w:r>
          </w:p>
        </w:tc>
        <w:tc>
          <w:tcPr>
            <w:tcW w:w="1137" w:type="dxa"/>
            <w:shd w:val="clear" w:color="auto" w:fill="auto"/>
            <w:noWrap/>
            <w:vAlign w:val="center"/>
          </w:tcPr>
          <w:p w14:paraId="1A01A1C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品牌</w:t>
            </w:r>
          </w:p>
        </w:tc>
        <w:tc>
          <w:tcPr>
            <w:tcW w:w="1131" w:type="dxa"/>
            <w:shd w:val="clear" w:color="auto" w:fill="auto"/>
            <w:vAlign w:val="center"/>
          </w:tcPr>
          <w:p w14:paraId="64A4659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规格型号</w:t>
            </w:r>
          </w:p>
        </w:tc>
        <w:tc>
          <w:tcPr>
            <w:tcW w:w="825" w:type="dxa"/>
            <w:shd w:val="clear" w:color="auto" w:fill="auto"/>
            <w:noWrap/>
            <w:vAlign w:val="center"/>
          </w:tcPr>
          <w:p w14:paraId="14FAE78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数量</w:t>
            </w:r>
          </w:p>
        </w:tc>
        <w:tc>
          <w:tcPr>
            <w:tcW w:w="735" w:type="dxa"/>
            <w:shd w:val="clear" w:color="auto" w:fill="auto"/>
            <w:noWrap/>
            <w:vAlign w:val="center"/>
          </w:tcPr>
          <w:p w14:paraId="418DFDD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单位</w:t>
            </w:r>
          </w:p>
        </w:tc>
        <w:tc>
          <w:tcPr>
            <w:tcW w:w="4196" w:type="dxa"/>
            <w:shd w:val="clear" w:color="auto" w:fill="auto"/>
            <w:vAlign w:val="center"/>
          </w:tcPr>
          <w:p w14:paraId="3959CCA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val="en-US" w:eastAsia="zh-CN"/>
              </w:rPr>
              <w:t>设备</w:t>
            </w:r>
            <w:r>
              <w:rPr>
                <w:rFonts w:hint="eastAsia" w:ascii="宋体" w:hAnsi="宋体" w:eastAsia="宋体" w:cs="宋体"/>
                <w:color w:val="auto"/>
                <w:kern w:val="0"/>
                <w:sz w:val="21"/>
                <w:szCs w:val="21"/>
              </w:rPr>
              <w:t>参数</w:t>
            </w:r>
          </w:p>
        </w:tc>
      </w:tr>
      <w:tr w14:paraId="5F71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071" w:type="dxa"/>
            <w:gridSpan w:val="7"/>
            <w:shd w:val="clear" w:color="auto" w:fill="auto"/>
            <w:noWrap/>
            <w:vAlign w:val="center"/>
          </w:tcPr>
          <w:p w14:paraId="76DD7D66">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超限车辆动态称重系统</w:t>
            </w:r>
          </w:p>
        </w:tc>
      </w:tr>
      <w:tr w14:paraId="2CE68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1" w:type="dxa"/>
            <w:shd w:val="clear" w:color="auto" w:fill="auto"/>
            <w:noWrap/>
            <w:vAlign w:val="center"/>
          </w:tcPr>
          <w:p w14:paraId="5AE7D03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1386" w:type="dxa"/>
            <w:shd w:val="clear" w:color="auto" w:fill="auto"/>
            <w:vAlign w:val="center"/>
          </w:tcPr>
          <w:p w14:paraId="6D76F87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数据采集处理器</w:t>
            </w:r>
          </w:p>
        </w:tc>
        <w:tc>
          <w:tcPr>
            <w:tcW w:w="1137" w:type="dxa"/>
            <w:shd w:val="clear" w:color="auto" w:fill="auto"/>
            <w:noWrap/>
            <w:vAlign w:val="center"/>
          </w:tcPr>
          <w:p w14:paraId="42367A7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杭州四方</w:t>
            </w:r>
          </w:p>
        </w:tc>
        <w:tc>
          <w:tcPr>
            <w:tcW w:w="1131" w:type="dxa"/>
            <w:shd w:val="clear" w:color="auto" w:fill="auto"/>
            <w:noWrap/>
            <w:vAlign w:val="center"/>
          </w:tcPr>
          <w:p w14:paraId="5E13E53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IP-051</w:t>
            </w:r>
          </w:p>
        </w:tc>
        <w:tc>
          <w:tcPr>
            <w:tcW w:w="825" w:type="dxa"/>
            <w:shd w:val="clear" w:color="auto" w:fill="auto"/>
            <w:noWrap/>
            <w:vAlign w:val="center"/>
          </w:tcPr>
          <w:p w14:paraId="19E8861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735" w:type="dxa"/>
            <w:shd w:val="clear" w:color="auto" w:fill="auto"/>
            <w:noWrap/>
            <w:vAlign w:val="center"/>
          </w:tcPr>
          <w:p w14:paraId="2AAD29C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196" w:type="dxa"/>
            <w:shd w:val="clear" w:color="auto" w:fill="auto"/>
            <w:vAlign w:val="center"/>
          </w:tcPr>
          <w:p w14:paraId="0DD3B2B5">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 xml:space="preserve">支持双向2车道，同时要求每个车道支持双向抓拍；数据采集与前端存储数据匹配 </w:t>
            </w:r>
          </w:p>
        </w:tc>
      </w:tr>
      <w:tr w14:paraId="6ACB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1" w:type="dxa"/>
            <w:shd w:val="clear" w:color="auto" w:fill="auto"/>
            <w:noWrap/>
            <w:vAlign w:val="center"/>
          </w:tcPr>
          <w:p w14:paraId="7E41D6F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w:t>
            </w:r>
          </w:p>
        </w:tc>
        <w:tc>
          <w:tcPr>
            <w:tcW w:w="1386" w:type="dxa"/>
            <w:shd w:val="clear" w:color="auto" w:fill="auto"/>
            <w:vAlign w:val="center"/>
          </w:tcPr>
          <w:p w14:paraId="506EFC1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石英称重传感系统（国产）</w:t>
            </w:r>
          </w:p>
        </w:tc>
        <w:tc>
          <w:tcPr>
            <w:tcW w:w="1137" w:type="dxa"/>
            <w:shd w:val="clear" w:color="auto" w:fill="auto"/>
            <w:noWrap/>
            <w:vAlign w:val="center"/>
          </w:tcPr>
          <w:p w14:paraId="47520E1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杭州四方</w:t>
            </w:r>
          </w:p>
        </w:tc>
        <w:tc>
          <w:tcPr>
            <w:tcW w:w="1131" w:type="dxa"/>
            <w:shd w:val="clear" w:color="auto" w:fill="auto"/>
            <w:noWrap/>
            <w:vAlign w:val="center"/>
          </w:tcPr>
          <w:p w14:paraId="3E0C3F1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SF12</w:t>
            </w:r>
          </w:p>
        </w:tc>
        <w:tc>
          <w:tcPr>
            <w:tcW w:w="825" w:type="dxa"/>
            <w:shd w:val="clear" w:color="auto" w:fill="auto"/>
            <w:noWrap/>
            <w:vAlign w:val="center"/>
          </w:tcPr>
          <w:p w14:paraId="64786BA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17</w:t>
            </w:r>
          </w:p>
        </w:tc>
        <w:tc>
          <w:tcPr>
            <w:tcW w:w="735" w:type="dxa"/>
            <w:shd w:val="clear" w:color="auto" w:fill="auto"/>
            <w:noWrap/>
            <w:vAlign w:val="center"/>
          </w:tcPr>
          <w:p w14:paraId="2F14791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196" w:type="dxa"/>
            <w:shd w:val="clear" w:color="auto" w:fill="auto"/>
            <w:vAlign w:val="center"/>
          </w:tcPr>
          <w:p w14:paraId="77F29929">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1.传感器类型：石英压电传感器；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2.传感器长度：1.5m/1.75m/2m；</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3.速度范围：0.5～200Km/h；</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4.传感器横截面：44×50mm²；</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5.传感器灵敏度-1.62（±10%）pC/N；</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6.绝缘电阻＞1010Ω；</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7.额定荷载≥30t；</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8.过载能力：≥150％FS；</w:t>
            </w:r>
          </w:p>
        </w:tc>
      </w:tr>
      <w:tr w14:paraId="65A2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1" w:type="dxa"/>
            <w:shd w:val="clear" w:color="auto" w:fill="auto"/>
            <w:noWrap/>
            <w:vAlign w:val="center"/>
          </w:tcPr>
          <w:p w14:paraId="4777DE0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3</w:t>
            </w:r>
          </w:p>
        </w:tc>
        <w:tc>
          <w:tcPr>
            <w:tcW w:w="1386" w:type="dxa"/>
            <w:shd w:val="clear" w:color="auto" w:fill="auto"/>
            <w:vAlign w:val="center"/>
          </w:tcPr>
          <w:p w14:paraId="396A0C7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异常行驶检测传感器(单排传感器)</w:t>
            </w:r>
          </w:p>
        </w:tc>
        <w:tc>
          <w:tcPr>
            <w:tcW w:w="1137" w:type="dxa"/>
            <w:shd w:val="clear" w:color="auto" w:fill="auto"/>
            <w:noWrap/>
            <w:vAlign w:val="center"/>
          </w:tcPr>
          <w:p w14:paraId="17E37A1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杭州四方</w:t>
            </w:r>
          </w:p>
        </w:tc>
        <w:tc>
          <w:tcPr>
            <w:tcW w:w="1131" w:type="dxa"/>
            <w:shd w:val="clear" w:color="auto" w:fill="auto"/>
            <w:noWrap/>
            <w:vAlign w:val="center"/>
          </w:tcPr>
          <w:p w14:paraId="066DB69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SF12-1A</w:t>
            </w:r>
          </w:p>
        </w:tc>
        <w:tc>
          <w:tcPr>
            <w:tcW w:w="825" w:type="dxa"/>
            <w:shd w:val="clear" w:color="auto" w:fill="auto"/>
            <w:vAlign w:val="center"/>
          </w:tcPr>
          <w:p w14:paraId="7DCB421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8.5</w:t>
            </w:r>
          </w:p>
        </w:tc>
        <w:tc>
          <w:tcPr>
            <w:tcW w:w="735" w:type="dxa"/>
            <w:shd w:val="clear" w:color="auto" w:fill="auto"/>
            <w:vAlign w:val="center"/>
          </w:tcPr>
          <w:p w14:paraId="63A67DF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196" w:type="dxa"/>
            <w:shd w:val="clear" w:color="auto" w:fill="auto"/>
            <w:vAlign w:val="center"/>
          </w:tcPr>
          <w:p w14:paraId="40848A3F">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1、允许单独最大载荷：45t；</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2、最小检测宽度：150mm；</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3、绝缘电阻：≥500GΩ；</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4、工作环境温度：-40℃~80℃；</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5、防护等级：IP68。</w:t>
            </w:r>
          </w:p>
        </w:tc>
      </w:tr>
      <w:tr w14:paraId="3F1D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1" w:type="dxa"/>
            <w:shd w:val="clear" w:color="auto" w:fill="auto"/>
            <w:noWrap/>
            <w:vAlign w:val="center"/>
          </w:tcPr>
          <w:p w14:paraId="7F11410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4</w:t>
            </w:r>
          </w:p>
        </w:tc>
        <w:tc>
          <w:tcPr>
            <w:tcW w:w="1386" w:type="dxa"/>
            <w:shd w:val="clear" w:color="auto" w:fill="auto"/>
            <w:noWrap/>
            <w:vAlign w:val="center"/>
          </w:tcPr>
          <w:p w14:paraId="01CE2DB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电荷放大器</w:t>
            </w:r>
          </w:p>
        </w:tc>
        <w:tc>
          <w:tcPr>
            <w:tcW w:w="1137" w:type="dxa"/>
            <w:shd w:val="clear" w:color="auto" w:fill="auto"/>
            <w:noWrap/>
            <w:vAlign w:val="center"/>
          </w:tcPr>
          <w:p w14:paraId="50A9729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杭州四方</w:t>
            </w:r>
          </w:p>
        </w:tc>
        <w:tc>
          <w:tcPr>
            <w:tcW w:w="1131" w:type="dxa"/>
            <w:shd w:val="clear" w:color="auto" w:fill="auto"/>
            <w:noWrap/>
            <w:vAlign w:val="center"/>
          </w:tcPr>
          <w:p w14:paraId="330E79C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DH-1</w:t>
            </w:r>
          </w:p>
        </w:tc>
        <w:tc>
          <w:tcPr>
            <w:tcW w:w="825" w:type="dxa"/>
            <w:shd w:val="clear" w:color="auto" w:fill="auto"/>
            <w:noWrap/>
            <w:vAlign w:val="center"/>
          </w:tcPr>
          <w:p w14:paraId="7E7DEFC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4</w:t>
            </w:r>
          </w:p>
        </w:tc>
        <w:tc>
          <w:tcPr>
            <w:tcW w:w="735" w:type="dxa"/>
            <w:shd w:val="clear" w:color="auto" w:fill="auto"/>
            <w:noWrap/>
            <w:vAlign w:val="center"/>
          </w:tcPr>
          <w:p w14:paraId="2EBB2CA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个</w:t>
            </w:r>
          </w:p>
        </w:tc>
        <w:tc>
          <w:tcPr>
            <w:tcW w:w="4196" w:type="dxa"/>
            <w:shd w:val="clear" w:color="auto" w:fill="auto"/>
            <w:vAlign w:val="center"/>
          </w:tcPr>
          <w:p w14:paraId="2129E47C">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 xml:space="preserve">1.测量范围：60,000pC；                                </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2.测量误差：&lt;1%；                                                                              3.输出电压：±5V；                                   </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4.输出电流：±2mA；                                                                                5.输出阻抗：&lt;100Ω；                                 </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6.输出干扰信号：&lt;3mVpp；                                                                                                          7.频响范围：0.0016～10kHz；                         </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8.时间常数：≥1000s；                                                                           9.电流消耗：&lt;25mA；                                   </w:t>
            </w:r>
          </w:p>
        </w:tc>
      </w:tr>
      <w:tr w14:paraId="007C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1" w:type="dxa"/>
            <w:shd w:val="clear" w:color="auto" w:fill="auto"/>
            <w:noWrap/>
            <w:vAlign w:val="center"/>
          </w:tcPr>
          <w:p w14:paraId="5B8E15A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5</w:t>
            </w:r>
          </w:p>
        </w:tc>
        <w:tc>
          <w:tcPr>
            <w:tcW w:w="1386" w:type="dxa"/>
            <w:shd w:val="clear" w:color="auto" w:fill="auto"/>
            <w:noWrap/>
            <w:vAlign w:val="center"/>
          </w:tcPr>
          <w:p w14:paraId="6992B46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高速动态称重控制器</w:t>
            </w:r>
          </w:p>
        </w:tc>
        <w:tc>
          <w:tcPr>
            <w:tcW w:w="1137" w:type="dxa"/>
            <w:shd w:val="clear" w:color="auto" w:fill="auto"/>
            <w:noWrap/>
            <w:vAlign w:val="center"/>
          </w:tcPr>
          <w:p w14:paraId="005DCAD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杭州四方</w:t>
            </w:r>
          </w:p>
        </w:tc>
        <w:tc>
          <w:tcPr>
            <w:tcW w:w="1131" w:type="dxa"/>
            <w:shd w:val="clear" w:color="auto" w:fill="auto"/>
            <w:noWrap/>
            <w:vAlign w:val="center"/>
          </w:tcPr>
          <w:p w14:paraId="65D862B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XK3196E3C</w:t>
            </w:r>
          </w:p>
        </w:tc>
        <w:tc>
          <w:tcPr>
            <w:tcW w:w="825" w:type="dxa"/>
            <w:shd w:val="clear" w:color="auto" w:fill="auto"/>
            <w:noWrap/>
            <w:vAlign w:val="center"/>
          </w:tcPr>
          <w:p w14:paraId="7BC0778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735" w:type="dxa"/>
            <w:shd w:val="clear" w:color="auto" w:fill="auto"/>
            <w:noWrap/>
            <w:vAlign w:val="center"/>
          </w:tcPr>
          <w:p w14:paraId="7265A51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个</w:t>
            </w:r>
          </w:p>
        </w:tc>
        <w:tc>
          <w:tcPr>
            <w:tcW w:w="4196" w:type="dxa"/>
            <w:shd w:val="clear" w:color="auto" w:fill="auto"/>
            <w:vAlign w:val="center"/>
          </w:tcPr>
          <w:p w14:paraId="3C431C7E">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1.自动采集车辆载荷信息，经程序运算出路面承受的车轮载荷参数及车辆轴距、轴数、车速等参数；</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2.对正常通过车辆进行监测，不影响道路通行能力；</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3.平均无故障时间：MTBF≥20000h；                                                                             4.信号传输方式：RS422/RS232/RS485多种接口实时传输；                                                                                          </w:t>
            </w:r>
          </w:p>
        </w:tc>
      </w:tr>
      <w:tr w14:paraId="176F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1" w:type="dxa"/>
            <w:shd w:val="clear" w:color="auto" w:fill="auto"/>
            <w:noWrap/>
            <w:vAlign w:val="center"/>
          </w:tcPr>
          <w:p w14:paraId="56B3C1C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6</w:t>
            </w:r>
          </w:p>
        </w:tc>
        <w:tc>
          <w:tcPr>
            <w:tcW w:w="1386" w:type="dxa"/>
            <w:shd w:val="clear" w:color="auto" w:fill="auto"/>
            <w:noWrap/>
            <w:vAlign w:val="center"/>
          </w:tcPr>
          <w:p w14:paraId="40A0A52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石英胶料</w:t>
            </w:r>
          </w:p>
        </w:tc>
        <w:tc>
          <w:tcPr>
            <w:tcW w:w="1137" w:type="dxa"/>
            <w:shd w:val="clear" w:color="auto" w:fill="auto"/>
            <w:noWrap/>
            <w:vAlign w:val="center"/>
          </w:tcPr>
          <w:p w14:paraId="5BF9B5D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杭州四方</w:t>
            </w:r>
          </w:p>
        </w:tc>
        <w:tc>
          <w:tcPr>
            <w:tcW w:w="1131" w:type="dxa"/>
            <w:shd w:val="clear" w:color="auto" w:fill="auto"/>
            <w:noWrap/>
            <w:vAlign w:val="center"/>
          </w:tcPr>
          <w:p w14:paraId="13A93BA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优质</w:t>
            </w:r>
          </w:p>
        </w:tc>
        <w:tc>
          <w:tcPr>
            <w:tcW w:w="825" w:type="dxa"/>
            <w:shd w:val="clear" w:color="auto" w:fill="auto"/>
            <w:noWrap/>
            <w:vAlign w:val="center"/>
          </w:tcPr>
          <w:p w14:paraId="61FC2E5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15</w:t>
            </w:r>
          </w:p>
        </w:tc>
        <w:tc>
          <w:tcPr>
            <w:tcW w:w="735" w:type="dxa"/>
            <w:shd w:val="clear" w:color="auto" w:fill="auto"/>
            <w:noWrap/>
            <w:vAlign w:val="center"/>
          </w:tcPr>
          <w:p w14:paraId="353859C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196" w:type="dxa"/>
            <w:shd w:val="clear" w:color="auto" w:fill="auto"/>
            <w:vAlign w:val="center"/>
          </w:tcPr>
          <w:p w14:paraId="2211FDF8">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摄氏23度下，8小时内固化，抗压强度≥30MPa，抗折强度≥10MPa，粘接强度≥3MPa；执行国标GB50367-2006；</w:t>
            </w:r>
          </w:p>
        </w:tc>
      </w:tr>
      <w:tr w14:paraId="4F17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1" w:type="dxa"/>
            <w:shd w:val="clear" w:color="auto" w:fill="auto"/>
            <w:noWrap/>
            <w:vAlign w:val="center"/>
          </w:tcPr>
          <w:p w14:paraId="4530574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7</w:t>
            </w:r>
          </w:p>
        </w:tc>
        <w:tc>
          <w:tcPr>
            <w:tcW w:w="1386" w:type="dxa"/>
            <w:shd w:val="clear" w:color="auto" w:fill="auto"/>
            <w:noWrap/>
            <w:vAlign w:val="center"/>
          </w:tcPr>
          <w:p w14:paraId="49EDB0C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线圈车辆检测器</w:t>
            </w:r>
          </w:p>
        </w:tc>
        <w:tc>
          <w:tcPr>
            <w:tcW w:w="1137" w:type="dxa"/>
            <w:shd w:val="clear" w:color="auto" w:fill="auto"/>
            <w:noWrap/>
            <w:vAlign w:val="center"/>
          </w:tcPr>
          <w:p w14:paraId="3C4C966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杭州四方</w:t>
            </w:r>
          </w:p>
        </w:tc>
        <w:tc>
          <w:tcPr>
            <w:tcW w:w="1131" w:type="dxa"/>
            <w:shd w:val="clear" w:color="auto" w:fill="auto"/>
            <w:noWrap/>
            <w:vAlign w:val="center"/>
          </w:tcPr>
          <w:p w14:paraId="2EB4A42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SFCJ-1</w:t>
            </w:r>
          </w:p>
        </w:tc>
        <w:tc>
          <w:tcPr>
            <w:tcW w:w="825" w:type="dxa"/>
            <w:shd w:val="clear" w:color="auto" w:fill="auto"/>
            <w:noWrap/>
            <w:vAlign w:val="center"/>
          </w:tcPr>
          <w:p w14:paraId="2FF8C25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4</w:t>
            </w:r>
          </w:p>
        </w:tc>
        <w:tc>
          <w:tcPr>
            <w:tcW w:w="735" w:type="dxa"/>
            <w:shd w:val="clear" w:color="auto" w:fill="auto"/>
            <w:noWrap/>
            <w:vAlign w:val="center"/>
          </w:tcPr>
          <w:p w14:paraId="2A27776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个</w:t>
            </w:r>
          </w:p>
        </w:tc>
        <w:tc>
          <w:tcPr>
            <w:tcW w:w="4196" w:type="dxa"/>
            <w:shd w:val="clear" w:color="auto" w:fill="auto"/>
            <w:vAlign w:val="center"/>
          </w:tcPr>
          <w:p w14:paraId="24383EE2">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电感量自调谐范围20-1500uH,Q值≥5；灵敏度4级可调；频率范围20kHz-110kHz，4级可调；响应时间≤100ms；（含线圈）</w:t>
            </w:r>
          </w:p>
        </w:tc>
      </w:tr>
      <w:tr w14:paraId="2999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1" w:type="dxa"/>
            <w:shd w:val="clear" w:color="auto" w:fill="auto"/>
            <w:noWrap/>
            <w:vAlign w:val="center"/>
          </w:tcPr>
          <w:p w14:paraId="1404E1F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8</w:t>
            </w:r>
          </w:p>
        </w:tc>
        <w:tc>
          <w:tcPr>
            <w:tcW w:w="1386" w:type="dxa"/>
            <w:shd w:val="clear" w:color="auto" w:fill="auto"/>
            <w:noWrap/>
            <w:vAlign w:val="center"/>
          </w:tcPr>
          <w:p w14:paraId="1588F73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工业交换机</w:t>
            </w:r>
          </w:p>
        </w:tc>
        <w:tc>
          <w:tcPr>
            <w:tcW w:w="1137" w:type="dxa"/>
            <w:shd w:val="clear" w:color="auto" w:fill="auto"/>
            <w:noWrap/>
            <w:vAlign w:val="center"/>
          </w:tcPr>
          <w:p w14:paraId="734A4E8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圃惠</w:t>
            </w:r>
          </w:p>
        </w:tc>
        <w:tc>
          <w:tcPr>
            <w:tcW w:w="1131" w:type="dxa"/>
            <w:shd w:val="clear" w:color="auto" w:fill="auto"/>
            <w:noWrap/>
            <w:vAlign w:val="center"/>
          </w:tcPr>
          <w:p w14:paraId="46212E1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PHH2610-G2800</w:t>
            </w:r>
          </w:p>
        </w:tc>
        <w:tc>
          <w:tcPr>
            <w:tcW w:w="825" w:type="dxa"/>
            <w:shd w:val="clear" w:color="auto" w:fill="auto"/>
            <w:noWrap/>
            <w:vAlign w:val="center"/>
          </w:tcPr>
          <w:p w14:paraId="080050F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735" w:type="dxa"/>
            <w:shd w:val="clear" w:color="auto" w:fill="auto"/>
            <w:noWrap/>
            <w:vAlign w:val="center"/>
          </w:tcPr>
          <w:p w14:paraId="30DCCB1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台</w:t>
            </w:r>
          </w:p>
        </w:tc>
        <w:tc>
          <w:tcPr>
            <w:tcW w:w="4196" w:type="dxa"/>
            <w:shd w:val="clear" w:color="auto" w:fill="auto"/>
            <w:vAlign w:val="center"/>
          </w:tcPr>
          <w:p w14:paraId="260226A8">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设备提供≥8路千兆以太网电口，支持VLAN划分，≥2个千兆以太SFP光接口，≥1个Console口，传输带宽为线速≥1000M；</w:t>
            </w:r>
          </w:p>
        </w:tc>
      </w:tr>
      <w:tr w14:paraId="199A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1" w:type="dxa"/>
            <w:shd w:val="clear" w:color="auto" w:fill="auto"/>
            <w:noWrap/>
            <w:vAlign w:val="center"/>
          </w:tcPr>
          <w:p w14:paraId="519F5E5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9</w:t>
            </w:r>
          </w:p>
        </w:tc>
        <w:tc>
          <w:tcPr>
            <w:tcW w:w="1386" w:type="dxa"/>
            <w:shd w:val="clear" w:color="auto" w:fill="auto"/>
            <w:noWrap/>
            <w:vAlign w:val="center"/>
          </w:tcPr>
          <w:p w14:paraId="3A6BF79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前端称重系统软件</w:t>
            </w:r>
          </w:p>
        </w:tc>
        <w:tc>
          <w:tcPr>
            <w:tcW w:w="1137" w:type="dxa"/>
            <w:shd w:val="clear" w:color="auto" w:fill="auto"/>
            <w:noWrap/>
            <w:vAlign w:val="center"/>
          </w:tcPr>
          <w:p w14:paraId="7449701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杭州四方</w:t>
            </w:r>
          </w:p>
        </w:tc>
        <w:tc>
          <w:tcPr>
            <w:tcW w:w="1131" w:type="dxa"/>
            <w:shd w:val="clear" w:color="auto" w:fill="auto"/>
            <w:noWrap/>
            <w:vAlign w:val="center"/>
          </w:tcPr>
          <w:p w14:paraId="00BEB41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优质</w:t>
            </w:r>
          </w:p>
        </w:tc>
        <w:tc>
          <w:tcPr>
            <w:tcW w:w="825" w:type="dxa"/>
            <w:shd w:val="clear" w:color="auto" w:fill="auto"/>
            <w:noWrap/>
            <w:vAlign w:val="center"/>
          </w:tcPr>
          <w:p w14:paraId="7185DF6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735" w:type="dxa"/>
            <w:shd w:val="clear" w:color="auto" w:fill="auto"/>
            <w:noWrap/>
            <w:vAlign w:val="center"/>
          </w:tcPr>
          <w:p w14:paraId="3C3D9AB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196" w:type="dxa"/>
            <w:shd w:val="clear" w:color="auto" w:fill="auto"/>
            <w:vAlign w:val="center"/>
          </w:tcPr>
          <w:p w14:paraId="20A58ACE">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实时检测通行车辆的轴（组）重、总重、超载量、轴型、车速、车牌号、车辆图片等数据；</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自动识别超限车辆车牌号码、抓拍车辆前后车厢图片；</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自动匹配高速称重数据、超限车辆车牌号码、超限车辆前后车厢图片；</w:t>
            </w:r>
          </w:p>
        </w:tc>
      </w:tr>
      <w:tr w14:paraId="18E9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1" w:type="dxa"/>
            <w:shd w:val="clear" w:color="000000" w:fill="auto"/>
            <w:noWrap/>
            <w:vAlign w:val="center"/>
          </w:tcPr>
          <w:p w14:paraId="4329CAC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10</w:t>
            </w:r>
          </w:p>
        </w:tc>
        <w:tc>
          <w:tcPr>
            <w:tcW w:w="1386" w:type="dxa"/>
            <w:shd w:val="clear" w:color="000000" w:fill="auto"/>
            <w:noWrap/>
            <w:vAlign w:val="center"/>
          </w:tcPr>
          <w:p w14:paraId="7494670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处罚软件接入服务费用</w:t>
            </w:r>
          </w:p>
        </w:tc>
        <w:tc>
          <w:tcPr>
            <w:tcW w:w="1137" w:type="dxa"/>
            <w:shd w:val="clear" w:color="000000" w:fill="auto"/>
            <w:noWrap/>
            <w:vAlign w:val="center"/>
          </w:tcPr>
          <w:p w14:paraId="6DACD77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软易</w:t>
            </w:r>
          </w:p>
        </w:tc>
        <w:tc>
          <w:tcPr>
            <w:tcW w:w="1131" w:type="dxa"/>
            <w:shd w:val="clear" w:color="000000" w:fill="auto"/>
            <w:noWrap/>
            <w:vAlign w:val="center"/>
          </w:tcPr>
          <w:p w14:paraId="7E07CC9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825" w:type="dxa"/>
            <w:shd w:val="clear" w:color="000000" w:fill="auto"/>
            <w:noWrap/>
            <w:vAlign w:val="center"/>
          </w:tcPr>
          <w:p w14:paraId="2F40C27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735" w:type="dxa"/>
            <w:shd w:val="clear" w:color="000000" w:fill="auto"/>
            <w:noWrap/>
            <w:vAlign w:val="center"/>
          </w:tcPr>
          <w:p w14:paraId="501B02F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196" w:type="dxa"/>
            <w:shd w:val="clear" w:color="000000" w:fill="auto"/>
            <w:vAlign w:val="center"/>
          </w:tcPr>
          <w:p w14:paraId="1783CFE2">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非现处罚软件接入服务费</w:t>
            </w:r>
          </w:p>
        </w:tc>
      </w:tr>
      <w:tr w14:paraId="36B6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071" w:type="dxa"/>
            <w:gridSpan w:val="7"/>
            <w:shd w:val="clear" w:color="000000" w:fill="auto"/>
            <w:noWrap/>
            <w:vAlign w:val="center"/>
          </w:tcPr>
          <w:p w14:paraId="7669EEFE">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信息显示诱导系统</w:t>
            </w:r>
          </w:p>
        </w:tc>
      </w:tr>
      <w:tr w14:paraId="67EE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1" w:type="dxa"/>
            <w:shd w:val="clear" w:color="auto" w:fill="auto"/>
            <w:noWrap/>
            <w:vAlign w:val="center"/>
          </w:tcPr>
          <w:p w14:paraId="14AF97A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11</w:t>
            </w:r>
          </w:p>
        </w:tc>
        <w:tc>
          <w:tcPr>
            <w:tcW w:w="1386" w:type="dxa"/>
            <w:shd w:val="clear" w:color="auto" w:fill="auto"/>
            <w:noWrap/>
            <w:vAlign w:val="center"/>
          </w:tcPr>
          <w:p w14:paraId="3864AB7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可变情报板</w:t>
            </w:r>
          </w:p>
        </w:tc>
        <w:tc>
          <w:tcPr>
            <w:tcW w:w="1137" w:type="dxa"/>
            <w:shd w:val="clear" w:color="auto" w:fill="auto"/>
            <w:noWrap/>
            <w:vAlign w:val="center"/>
          </w:tcPr>
          <w:p w14:paraId="70A04E4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依鲁光电</w:t>
            </w:r>
          </w:p>
        </w:tc>
        <w:tc>
          <w:tcPr>
            <w:tcW w:w="1131" w:type="dxa"/>
            <w:shd w:val="clear" w:color="auto" w:fill="auto"/>
            <w:noWrap/>
            <w:vAlign w:val="center"/>
          </w:tcPr>
          <w:p w14:paraId="5FB25DA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KXB-10TB1-EL-PH3125C1</w:t>
            </w:r>
          </w:p>
        </w:tc>
        <w:tc>
          <w:tcPr>
            <w:tcW w:w="825" w:type="dxa"/>
            <w:shd w:val="clear" w:color="auto" w:fill="auto"/>
            <w:noWrap/>
            <w:vAlign w:val="center"/>
          </w:tcPr>
          <w:p w14:paraId="27CBA1F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735" w:type="dxa"/>
            <w:shd w:val="clear" w:color="auto" w:fill="auto"/>
            <w:noWrap/>
            <w:vAlign w:val="center"/>
          </w:tcPr>
          <w:p w14:paraId="644AD1E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196" w:type="dxa"/>
            <w:shd w:val="clear" w:color="auto" w:fill="auto"/>
            <w:vAlign w:val="center"/>
          </w:tcPr>
          <w:p w14:paraId="26F972CA">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双基色 LED 屏（P25)（长度定制）</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当车辆不超限时显示屏无显示，车辆超限时显示超限</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面积不少于7.68平方</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投标人所投LED诱导屏须与称重传感器兼容</w:t>
            </w:r>
          </w:p>
        </w:tc>
      </w:tr>
      <w:tr w14:paraId="24C9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071" w:type="dxa"/>
            <w:gridSpan w:val="7"/>
            <w:shd w:val="clear" w:color="auto" w:fill="auto"/>
            <w:noWrap/>
            <w:vAlign w:val="center"/>
          </w:tcPr>
          <w:p w14:paraId="76DEAC34">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高清卡口车牌识别系统</w:t>
            </w:r>
          </w:p>
        </w:tc>
      </w:tr>
      <w:tr w14:paraId="6B59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1" w:type="dxa"/>
            <w:shd w:val="clear" w:color="auto" w:fill="auto"/>
            <w:noWrap/>
            <w:vAlign w:val="center"/>
          </w:tcPr>
          <w:p w14:paraId="4B87A77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12</w:t>
            </w:r>
          </w:p>
        </w:tc>
        <w:tc>
          <w:tcPr>
            <w:tcW w:w="1386" w:type="dxa"/>
            <w:shd w:val="clear" w:color="auto" w:fill="auto"/>
            <w:noWrap/>
            <w:vAlign w:val="center"/>
          </w:tcPr>
          <w:p w14:paraId="58C690D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高清卡口车牌识别系统</w:t>
            </w:r>
          </w:p>
        </w:tc>
        <w:tc>
          <w:tcPr>
            <w:tcW w:w="1137" w:type="dxa"/>
            <w:shd w:val="clear" w:color="auto" w:fill="auto"/>
            <w:noWrap/>
            <w:vAlign w:val="center"/>
          </w:tcPr>
          <w:p w14:paraId="5C58E6E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大华</w:t>
            </w:r>
          </w:p>
        </w:tc>
        <w:tc>
          <w:tcPr>
            <w:tcW w:w="1131" w:type="dxa"/>
            <w:shd w:val="clear" w:color="auto" w:fill="auto"/>
            <w:noWrap/>
            <w:vAlign w:val="center"/>
          </w:tcPr>
          <w:p w14:paraId="7EBE7D3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DH-CP902</w:t>
            </w:r>
          </w:p>
        </w:tc>
        <w:tc>
          <w:tcPr>
            <w:tcW w:w="825" w:type="dxa"/>
            <w:shd w:val="clear" w:color="auto" w:fill="auto"/>
            <w:noWrap/>
            <w:vAlign w:val="center"/>
          </w:tcPr>
          <w:p w14:paraId="4487487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5</w:t>
            </w:r>
          </w:p>
        </w:tc>
        <w:tc>
          <w:tcPr>
            <w:tcW w:w="735" w:type="dxa"/>
            <w:shd w:val="clear" w:color="auto" w:fill="auto"/>
            <w:noWrap/>
            <w:vAlign w:val="center"/>
          </w:tcPr>
          <w:p w14:paraId="6BB9EFB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196" w:type="dxa"/>
            <w:shd w:val="clear" w:color="auto" w:fill="auto"/>
            <w:vAlign w:val="center"/>
          </w:tcPr>
          <w:p w14:paraId="3D9EF5AA">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1英寸CMOS传感器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图像分辨率4096（H）×2160（V）</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视频帧率25fps；覆盖3车道</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支持识别车头6500种车辆子品牌，车尾3500种车辆子品牌，白天识别率98%，晚上识别率95%</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支持车辆捕获功能，白天准确率≥99.9%，晚上准确率≥99.9%  </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支持车牌识别功能，白天准确率≥99.9%，晚上准确率≥99.9%</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支持350种车标识别，白天准确率≥98%，晚上准确率≥98%</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支持红色信号灯昼夜色彩校正功能，可对设定区域内的红色信号灯进行显示色彩校正</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抓图分辨率可达4096*2160(不含OSD)</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4096*4208(含OSD)</w:t>
            </w:r>
          </w:p>
        </w:tc>
      </w:tr>
      <w:tr w14:paraId="619B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1" w:type="dxa"/>
            <w:shd w:val="clear" w:color="auto" w:fill="auto"/>
            <w:noWrap/>
            <w:vAlign w:val="center"/>
          </w:tcPr>
          <w:p w14:paraId="0119D98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13</w:t>
            </w:r>
          </w:p>
        </w:tc>
        <w:tc>
          <w:tcPr>
            <w:tcW w:w="1386" w:type="dxa"/>
            <w:shd w:val="clear" w:color="auto" w:fill="auto"/>
            <w:noWrap/>
            <w:vAlign w:val="center"/>
          </w:tcPr>
          <w:p w14:paraId="143276A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补光灯</w:t>
            </w:r>
          </w:p>
        </w:tc>
        <w:tc>
          <w:tcPr>
            <w:tcW w:w="1137" w:type="dxa"/>
            <w:shd w:val="clear" w:color="auto" w:fill="auto"/>
            <w:noWrap/>
            <w:vAlign w:val="center"/>
          </w:tcPr>
          <w:p w14:paraId="3C14652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意博</w:t>
            </w:r>
          </w:p>
        </w:tc>
        <w:tc>
          <w:tcPr>
            <w:tcW w:w="1131" w:type="dxa"/>
            <w:shd w:val="clear" w:color="auto" w:fill="auto"/>
            <w:noWrap/>
            <w:vAlign w:val="center"/>
          </w:tcPr>
          <w:p w14:paraId="48D23E8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EBE-ZPO3</w:t>
            </w:r>
          </w:p>
        </w:tc>
        <w:tc>
          <w:tcPr>
            <w:tcW w:w="825" w:type="dxa"/>
            <w:shd w:val="clear" w:color="auto" w:fill="auto"/>
            <w:noWrap/>
            <w:vAlign w:val="center"/>
          </w:tcPr>
          <w:p w14:paraId="5AA067F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5</w:t>
            </w:r>
          </w:p>
        </w:tc>
        <w:tc>
          <w:tcPr>
            <w:tcW w:w="735" w:type="dxa"/>
            <w:shd w:val="clear" w:color="auto" w:fill="auto"/>
            <w:noWrap/>
            <w:vAlign w:val="center"/>
          </w:tcPr>
          <w:p w14:paraId="032EE79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196" w:type="dxa"/>
            <w:shd w:val="clear" w:color="auto" w:fill="auto"/>
            <w:vAlign w:val="center"/>
          </w:tcPr>
          <w:p w14:paraId="701483A5">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1、光源采用Cree、Osram等进口品牌灯珠，≥20颗3W高亮光源</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2、平均功率：≤50W</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3、色温：6000k-6700k</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4、补光角度：10°～40°可以选择</w:t>
            </w:r>
          </w:p>
        </w:tc>
      </w:tr>
      <w:tr w14:paraId="3E7E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1" w:type="dxa"/>
            <w:shd w:val="clear" w:color="auto" w:fill="auto"/>
            <w:noWrap/>
            <w:vAlign w:val="center"/>
          </w:tcPr>
          <w:p w14:paraId="381831B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14</w:t>
            </w:r>
          </w:p>
        </w:tc>
        <w:tc>
          <w:tcPr>
            <w:tcW w:w="1386" w:type="dxa"/>
            <w:shd w:val="clear" w:color="auto" w:fill="auto"/>
            <w:noWrap/>
            <w:vAlign w:val="center"/>
          </w:tcPr>
          <w:p w14:paraId="37CD4BF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全景摄像机</w:t>
            </w:r>
          </w:p>
        </w:tc>
        <w:tc>
          <w:tcPr>
            <w:tcW w:w="1137" w:type="dxa"/>
            <w:shd w:val="clear" w:color="auto" w:fill="auto"/>
            <w:noWrap/>
            <w:vAlign w:val="center"/>
          </w:tcPr>
          <w:p w14:paraId="28D7205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大华</w:t>
            </w:r>
          </w:p>
        </w:tc>
        <w:tc>
          <w:tcPr>
            <w:tcW w:w="1131" w:type="dxa"/>
            <w:shd w:val="clear" w:color="auto" w:fill="auto"/>
            <w:noWrap/>
            <w:vAlign w:val="center"/>
          </w:tcPr>
          <w:p w14:paraId="77094EF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HF8239E</w:t>
            </w:r>
          </w:p>
        </w:tc>
        <w:tc>
          <w:tcPr>
            <w:tcW w:w="825" w:type="dxa"/>
            <w:shd w:val="clear" w:color="auto" w:fill="auto"/>
            <w:noWrap/>
            <w:vAlign w:val="center"/>
          </w:tcPr>
          <w:p w14:paraId="2B09DD4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735" w:type="dxa"/>
            <w:shd w:val="clear" w:color="auto" w:fill="auto"/>
            <w:noWrap/>
            <w:vAlign w:val="center"/>
          </w:tcPr>
          <w:p w14:paraId="56C36D9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台</w:t>
            </w:r>
          </w:p>
        </w:tc>
        <w:tc>
          <w:tcPr>
            <w:tcW w:w="4196" w:type="dxa"/>
            <w:shd w:val="clear" w:color="auto" w:fill="auto"/>
            <w:vAlign w:val="center"/>
          </w:tcPr>
          <w:p w14:paraId="22CC8660">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样机与客户端之间以长度为200m的五类非屏蔽网线直接连接，每次客户端连续发送2000个数据包，重复测试3次，每次丢包数不大于1个。</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支持人脸属性识别功能，在识别眼镜、胡子、性别、口罩情况下准确率不小于97%。</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支持多种肤色人脸检测，可支持检测白人、黄种人、黑人。</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支持通过菜单开启或关闭人脸优选功能，当开启人脸优选功能，能挑选出人脸轨迹中效果较好的一帧进行抓拍。</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支持人脸抓拍功能检验，包括人脸、单寸照、半身照、全身照；人脸抓拍图片可关联全景照存储。</w:t>
            </w:r>
          </w:p>
        </w:tc>
      </w:tr>
      <w:tr w14:paraId="4E64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1" w:type="dxa"/>
            <w:shd w:val="clear" w:color="auto" w:fill="auto"/>
            <w:noWrap/>
            <w:vAlign w:val="center"/>
          </w:tcPr>
          <w:p w14:paraId="0AC03B0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15</w:t>
            </w:r>
          </w:p>
        </w:tc>
        <w:tc>
          <w:tcPr>
            <w:tcW w:w="1386" w:type="dxa"/>
            <w:shd w:val="clear" w:color="auto" w:fill="auto"/>
            <w:noWrap/>
            <w:vAlign w:val="center"/>
          </w:tcPr>
          <w:p w14:paraId="4D20466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道路监控球机</w:t>
            </w:r>
          </w:p>
        </w:tc>
        <w:tc>
          <w:tcPr>
            <w:tcW w:w="1137" w:type="dxa"/>
            <w:shd w:val="clear" w:color="auto" w:fill="auto"/>
            <w:noWrap/>
            <w:vAlign w:val="center"/>
          </w:tcPr>
          <w:p w14:paraId="5AFB6EF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大华</w:t>
            </w:r>
          </w:p>
        </w:tc>
        <w:tc>
          <w:tcPr>
            <w:tcW w:w="1131" w:type="dxa"/>
            <w:shd w:val="clear" w:color="auto" w:fill="auto"/>
            <w:noWrap/>
            <w:vAlign w:val="center"/>
          </w:tcPr>
          <w:p w14:paraId="1A5FE69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SD-8A1240</w:t>
            </w:r>
          </w:p>
        </w:tc>
        <w:tc>
          <w:tcPr>
            <w:tcW w:w="825" w:type="dxa"/>
            <w:shd w:val="clear" w:color="auto" w:fill="auto"/>
            <w:noWrap/>
            <w:vAlign w:val="center"/>
          </w:tcPr>
          <w:p w14:paraId="400FAB4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735" w:type="dxa"/>
            <w:shd w:val="clear" w:color="auto" w:fill="auto"/>
            <w:noWrap/>
            <w:vAlign w:val="center"/>
          </w:tcPr>
          <w:p w14:paraId="7D36F3B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个</w:t>
            </w:r>
          </w:p>
        </w:tc>
        <w:tc>
          <w:tcPr>
            <w:tcW w:w="4196" w:type="dxa"/>
            <w:shd w:val="clear" w:color="auto" w:fill="auto"/>
            <w:vAlign w:val="center"/>
          </w:tcPr>
          <w:p w14:paraId="4684436C">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支持智能分析行为如区域入侵、停车、越界入侵、人员聚集、进入区域、离开区域、快速移动、物品移除、物品遗留、徘徊、监控区域内出现人脸、攀高、平躺起身、离岗，可通过客户端软件或IE浏览器给出报警提示；</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支持道路信息设置，最大设置24个道路号及道路信息名称，并可随球机转动变化显示；</w:t>
            </w:r>
          </w:p>
        </w:tc>
      </w:tr>
      <w:tr w14:paraId="6524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071" w:type="dxa"/>
            <w:gridSpan w:val="7"/>
            <w:shd w:val="clear" w:color="auto" w:fill="auto"/>
            <w:noWrap/>
            <w:vAlign w:val="center"/>
          </w:tcPr>
          <w:p w14:paraId="050DE08E">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光传输设备及线缆等</w:t>
            </w:r>
          </w:p>
        </w:tc>
      </w:tr>
      <w:tr w14:paraId="7621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1" w:type="dxa"/>
            <w:shd w:val="clear" w:color="auto" w:fill="auto"/>
            <w:noWrap/>
            <w:vAlign w:val="center"/>
          </w:tcPr>
          <w:p w14:paraId="4CDA850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16</w:t>
            </w:r>
          </w:p>
        </w:tc>
        <w:tc>
          <w:tcPr>
            <w:tcW w:w="1386" w:type="dxa"/>
            <w:shd w:val="clear" w:color="auto" w:fill="auto"/>
            <w:noWrap/>
            <w:vAlign w:val="center"/>
          </w:tcPr>
          <w:p w14:paraId="018FE5E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网线</w:t>
            </w:r>
          </w:p>
        </w:tc>
        <w:tc>
          <w:tcPr>
            <w:tcW w:w="1137" w:type="dxa"/>
            <w:shd w:val="clear" w:color="auto" w:fill="auto"/>
            <w:noWrap/>
            <w:vAlign w:val="center"/>
          </w:tcPr>
          <w:p w14:paraId="187B780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1131" w:type="dxa"/>
            <w:shd w:val="clear" w:color="auto" w:fill="auto"/>
            <w:noWrap/>
            <w:vAlign w:val="center"/>
          </w:tcPr>
          <w:p w14:paraId="5954626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优质</w:t>
            </w:r>
          </w:p>
        </w:tc>
        <w:tc>
          <w:tcPr>
            <w:tcW w:w="825" w:type="dxa"/>
            <w:shd w:val="clear" w:color="auto" w:fill="auto"/>
            <w:noWrap/>
            <w:vAlign w:val="center"/>
          </w:tcPr>
          <w:p w14:paraId="35A29CB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735" w:type="dxa"/>
            <w:shd w:val="clear" w:color="auto" w:fill="auto"/>
            <w:noWrap/>
            <w:vAlign w:val="center"/>
          </w:tcPr>
          <w:p w14:paraId="5116B6E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箱</w:t>
            </w:r>
          </w:p>
        </w:tc>
        <w:tc>
          <w:tcPr>
            <w:tcW w:w="4196" w:type="dxa"/>
            <w:shd w:val="clear" w:color="auto" w:fill="auto"/>
            <w:vAlign w:val="center"/>
          </w:tcPr>
          <w:p w14:paraId="305D0948">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超五类网线，防水</w:t>
            </w:r>
          </w:p>
        </w:tc>
      </w:tr>
      <w:tr w14:paraId="31E7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1" w:type="dxa"/>
            <w:shd w:val="clear" w:color="auto" w:fill="auto"/>
            <w:noWrap/>
            <w:vAlign w:val="center"/>
          </w:tcPr>
          <w:p w14:paraId="0BFF653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17</w:t>
            </w:r>
          </w:p>
        </w:tc>
        <w:tc>
          <w:tcPr>
            <w:tcW w:w="1386" w:type="dxa"/>
            <w:shd w:val="clear" w:color="auto" w:fill="auto"/>
            <w:noWrap/>
            <w:vAlign w:val="center"/>
          </w:tcPr>
          <w:p w14:paraId="65C49B3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光纤</w:t>
            </w:r>
          </w:p>
        </w:tc>
        <w:tc>
          <w:tcPr>
            <w:tcW w:w="1137" w:type="dxa"/>
            <w:shd w:val="clear" w:color="auto" w:fill="auto"/>
            <w:noWrap/>
            <w:vAlign w:val="center"/>
          </w:tcPr>
          <w:p w14:paraId="0F05679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1131" w:type="dxa"/>
            <w:shd w:val="clear" w:color="auto" w:fill="auto"/>
            <w:noWrap/>
            <w:vAlign w:val="center"/>
          </w:tcPr>
          <w:p w14:paraId="50EB1B9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优质</w:t>
            </w:r>
          </w:p>
        </w:tc>
        <w:tc>
          <w:tcPr>
            <w:tcW w:w="825" w:type="dxa"/>
            <w:shd w:val="clear" w:color="auto" w:fill="auto"/>
            <w:noWrap/>
            <w:vAlign w:val="center"/>
          </w:tcPr>
          <w:p w14:paraId="1D5CFD6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300</w:t>
            </w:r>
          </w:p>
        </w:tc>
        <w:tc>
          <w:tcPr>
            <w:tcW w:w="735" w:type="dxa"/>
            <w:shd w:val="clear" w:color="auto" w:fill="auto"/>
            <w:noWrap/>
            <w:vAlign w:val="center"/>
          </w:tcPr>
          <w:p w14:paraId="3AE1A4F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196" w:type="dxa"/>
            <w:shd w:val="clear" w:color="auto" w:fill="auto"/>
            <w:vAlign w:val="center"/>
          </w:tcPr>
          <w:p w14:paraId="0DA25641">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单模四芯</w:t>
            </w:r>
          </w:p>
        </w:tc>
      </w:tr>
      <w:tr w14:paraId="079B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1" w:type="dxa"/>
            <w:shd w:val="clear" w:color="auto" w:fill="auto"/>
            <w:noWrap/>
            <w:vAlign w:val="center"/>
          </w:tcPr>
          <w:p w14:paraId="4C906F3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18</w:t>
            </w:r>
          </w:p>
        </w:tc>
        <w:tc>
          <w:tcPr>
            <w:tcW w:w="1386" w:type="dxa"/>
            <w:shd w:val="clear" w:color="auto" w:fill="auto"/>
            <w:noWrap/>
            <w:vAlign w:val="center"/>
          </w:tcPr>
          <w:p w14:paraId="6A0B26F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PE管</w:t>
            </w:r>
          </w:p>
        </w:tc>
        <w:tc>
          <w:tcPr>
            <w:tcW w:w="1137" w:type="dxa"/>
            <w:shd w:val="clear" w:color="auto" w:fill="auto"/>
            <w:noWrap/>
            <w:vAlign w:val="center"/>
          </w:tcPr>
          <w:p w14:paraId="673A71D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1131" w:type="dxa"/>
            <w:shd w:val="clear" w:color="auto" w:fill="auto"/>
            <w:noWrap/>
            <w:vAlign w:val="center"/>
          </w:tcPr>
          <w:p w14:paraId="50E6EEE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优质</w:t>
            </w:r>
          </w:p>
        </w:tc>
        <w:tc>
          <w:tcPr>
            <w:tcW w:w="825" w:type="dxa"/>
            <w:shd w:val="clear" w:color="auto" w:fill="auto"/>
            <w:noWrap/>
            <w:vAlign w:val="center"/>
          </w:tcPr>
          <w:p w14:paraId="5E1E684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500</w:t>
            </w:r>
          </w:p>
        </w:tc>
        <w:tc>
          <w:tcPr>
            <w:tcW w:w="735" w:type="dxa"/>
            <w:shd w:val="clear" w:color="auto" w:fill="auto"/>
            <w:noWrap/>
            <w:vAlign w:val="center"/>
          </w:tcPr>
          <w:p w14:paraId="3F311CD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196" w:type="dxa"/>
            <w:shd w:val="clear" w:color="auto" w:fill="auto"/>
            <w:vAlign w:val="center"/>
          </w:tcPr>
          <w:p w14:paraId="230E9097">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50PE管</w:t>
            </w:r>
          </w:p>
        </w:tc>
      </w:tr>
      <w:tr w14:paraId="5EB0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1" w:type="dxa"/>
            <w:shd w:val="clear" w:color="auto" w:fill="auto"/>
            <w:noWrap/>
            <w:vAlign w:val="center"/>
          </w:tcPr>
          <w:p w14:paraId="7C6BC8F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19</w:t>
            </w:r>
          </w:p>
        </w:tc>
        <w:tc>
          <w:tcPr>
            <w:tcW w:w="1386" w:type="dxa"/>
            <w:shd w:val="clear" w:color="auto" w:fill="auto"/>
            <w:noWrap/>
            <w:vAlign w:val="center"/>
          </w:tcPr>
          <w:p w14:paraId="27F8AE1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机柜防撞护拦</w:t>
            </w:r>
          </w:p>
        </w:tc>
        <w:tc>
          <w:tcPr>
            <w:tcW w:w="1137" w:type="dxa"/>
            <w:shd w:val="clear" w:color="auto" w:fill="auto"/>
            <w:noWrap/>
            <w:vAlign w:val="center"/>
          </w:tcPr>
          <w:p w14:paraId="1CF10DD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1131" w:type="dxa"/>
            <w:shd w:val="clear" w:color="auto" w:fill="auto"/>
            <w:noWrap/>
            <w:vAlign w:val="center"/>
          </w:tcPr>
          <w:p w14:paraId="206BFC2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优质</w:t>
            </w:r>
          </w:p>
        </w:tc>
        <w:tc>
          <w:tcPr>
            <w:tcW w:w="825" w:type="dxa"/>
            <w:shd w:val="clear" w:color="auto" w:fill="auto"/>
            <w:noWrap/>
            <w:vAlign w:val="center"/>
          </w:tcPr>
          <w:p w14:paraId="1A2CF16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28</w:t>
            </w:r>
          </w:p>
        </w:tc>
        <w:tc>
          <w:tcPr>
            <w:tcW w:w="735" w:type="dxa"/>
            <w:shd w:val="clear" w:color="auto" w:fill="auto"/>
            <w:noWrap/>
            <w:vAlign w:val="center"/>
          </w:tcPr>
          <w:p w14:paraId="628A193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196" w:type="dxa"/>
            <w:shd w:val="clear" w:color="auto" w:fill="auto"/>
            <w:vAlign w:val="center"/>
          </w:tcPr>
          <w:p w14:paraId="7E619CB8">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波形梁护栏（Cr-B-2E）</w:t>
            </w:r>
          </w:p>
        </w:tc>
      </w:tr>
      <w:tr w14:paraId="7F1A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1" w:type="dxa"/>
            <w:shd w:val="clear" w:color="auto" w:fill="auto"/>
            <w:noWrap/>
            <w:vAlign w:val="center"/>
          </w:tcPr>
          <w:p w14:paraId="1EE2528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20</w:t>
            </w:r>
          </w:p>
        </w:tc>
        <w:tc>
          <w:tcPr>
            <w:tcW w:w="1386" w:type="dxa"/>
            <w:shd w:val="clear" w:color="auto" w:fill="auto"/>
            <w:noWrap/>
            <w:vAlign w:val="center"/>
          </w:tcPr>
          <w:p w14:paraId="324A1FB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线圈线</w:t>
            </w:r>
          </w:p>
        </w:tc>
        <w:tc>
          <w:tcPr>
            <w:tcW w:w="1137" w:type="dxa"/>
            <w:shd w:val="clear" w:color="auto" w:fill="auto"/>
            <w:noWrap/>
            <w:vAlign w:val="center"/>
          </w:tcPr>
          <w:p w14:paraId="6075688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1131" w:type="dxa"/>
            <w:shd w:val="clear" w:color="auto" w:fill="auto"/>
            <w:noWrap/>
            <w:vAlign w:val="center"/>
          </w:tcPr>
          <w:p w14:paraId="10C6C7B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优质</w:t>
            </w:r>
          </w:p>
        </w:tc>
        <w:tc>
          <w:tcPr>
            <w:tcW w:w="825" w:type="dxa"/>
            <w:shd w:val="clear" w:color="auto" w:fill="auto"/>
            <w:noWrap/>
            <w:vAlign w:val="center"/>
          </w:tcPr>
          <w:p w14:paraId="0CB7AA1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1000</w:t>
            </w:r>
          </w:p>
        </w:tc>
        <w:tc>
          <w:tcPr>
            <w:tcW w:w="735" w:type="dxa"/>
            <w:shd w:val="clear" w:color="auto" w:fill="auto"/>
            <w:noWrap/>
            <w:vAlign w:val="center"/>
          </w:tcPr>
          <w:p w14:paraId="31DDD39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196" w:type="dxa"/>
            <w:shd w:val="clear" w:color="auto" w:fill="auto"/>
            <w:vAlign w:val="center"/>
          </w:tcPr>
          <w:p w14:paraId="67AC8C68">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FVN49/0.26蓝/线圈线</w:t>
            </w:r>
          </w:p>
        </w:tc>
      </w:tr>
    </w:tbl>
    <w:p w14:paraId="4ACF856E">
      <w:pPr>
        <w:spacing w:line="360" w:lineRule="auto"/>
        <w:ind w:firstLine="241" w:firstLineChars="100"/>
        <w:rPr>
          <w:rFonts w:hint="eastAsia" w:asciiTheme="minorEastAsia" w:hAnsiTheme="minorEastAsia" w:eastAsiaTheme="minorEastAsia" w:cstheme="minorEastAsia"/>
          <w:b/>
          <w:bCs/>
          <w:color w:val="auto"/>
          <w:sz w:val="24"/>
          <w:szCs w:val="24"/>
          <w:highlight w:val="none"/>
          <w:lang w:val="en-US" w:eastAsia="zh-CN"/>
        </w:rPr>
      </w:pPr>
    </w:p>
    <w:p w14:paraId="28528AE8">
      <w:pPr>
        <w:spacing w:line="360" w:lineRule="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6、点位名称：原：S210桐义线50K+700现：S219临苍线K113+400</w:t>
      </w:r>
    </w:p>
    <w:tbl>
      <w:tblPr>
        <w:tblStyle w:val="29"/>
        <w:tblpPr w:leftFromText="180" w:rightFromText="180" w:vertAnchor="text" w:horzAnchor="page" w:tblpX="1129" w:tblpY="474"/>
        <w:tblOverlap w:val="never"/>
        <w:tblW w:w="10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471"/>
        <w:gridCol w:w="1059"/>
        <w:gridCol w:w="1410"/>
        <w:gridCol w:w="810"/>
        <w:gridCol w:w="675"/>
        <w:gridCol w:w="4125"/>
      </w:tblGrid>
      <w:tr w14:paraId="4216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4" w:type="dxa"/>
            <w:shd w:val="clear" w:color="auto" w:fill="auto"/>
            <w:noWrap/>
            <w:vAlign w:val="center"/>
          </w:tcPr>
          <w:p w14:paraId="41409801">
            <w:pPr>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序号</w:t>
            </w:r>
          </w:p>
        </w:tc>
        <w:tc>
          <w:tcPr>
            <w:tcW w:w="1471" w:type="dxa"/>
            <w:shd w:val="clear" w:color="auto" w:fill="auto"/>
            <w:vAlign w:val="center"/>
          </w:tcPr>
          <w:p w14:paraId="066FEB6B">
            <w:pPr>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货物名称</w:t>
            </w:r>
          </w:p>
        </w:tc>
        <w:tc>
          <w:tcPr>
            <w:tcW w:w="1059" w:type="dxa"/>
            <w:shd w:val="clear" w:color="auto" w:fill="auto"/>
            <w:vAlign w:val="center"/>
          </w:tcPr>
          <w:p w14:paraId="6705A149">
            <w:pPr>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品牌</w:t>
            </w:r>
          </w:p>
        </w:tc>
        <w:tc>
          <w:tcPr>
            <w:tcW w:w="1410" w:type="dxa"/>
            <w:shd w:val="clear" w:color="auto" w:fill="auto"/>
            <w:vAlign w:val="center"/>
          </w:tcPr>
          <w:p w14:paraId="6F03043A">
            <w:pPr>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型号</w:t>
            </w:r>
          </w:p>
        </w:tc>
        <w:tc>
          <w:tcPr>
            <w:tcW w:w="810" w:type="dxa"/>
            <w:shd w:val="clear" w:color="auto" w:fill="auto"/>
            <w:noWrap/>
            <w:vAlign w:val="center"/>
          </w:tcPr>
          <w:p w14:paraId="7F2A6E44">
            <w:pPr>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数量</w:t>
            </w:r>
          </w:p>
        </w:tc>
        <w:tc>
          <w:tcPr>
            <w:tcW w:w="675" w:type="dxa"/>
            <w:shd w:val="clear" w:color="auto" w:fill="auto"/>
            <w:noWrap/>
            <w:vAlign w:val="center"/>
          </w:tcPr>
          <w:p w14:paraId="60C5B4D2">
            <w:pPr>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单位</w:t>
            </w:r>
          </w:p>
        </w:tc>
        <w:tc>
          <w:tcPr>
            <w:tcW w:w="4125" w:type="dxa"/>
            <w:shd w:val="clear" w:color="auto" w:fill="auto"/>
            <w:noWrap/>
            <w:vAlign w:val="center"/>
          </w:tcPr>
          <w:p w14:paraId="333258D7">
            <w:pPr>
              <w:jc w:val="center"/>
              <w:textAlignment w:val="center"/>
              <w:rPr>
                <w:rFonts w:ascii="宋体" w:hAnsi="宋体" w:eastAsia="宋体" w:cs="宋体"/>
                <w:b/>
                <w:bCs/>
                <w:color w:val="auto"/>
                <w:sz w:val="21"/>
                <w:szCs w:val="21"/>
                <w:highlight w:val="none"/>
              </w:rPr>
            </w:pPr>
            <w:r>
              <w:rPr>
                <w:rFonts w:hint="eastAsia" w:ascii="宋体" w:hAnsi="宋体" w:eastAsia="宋体" w:cs="宋体"/>
                <w:color w:val="auto"/>
                <w:kern w:val="0"/>
                <w:sz w:val="21"/>
                <w:szCs w:val="21"/>
                <w:lang w:val="en-US" w:eastAsia="zh-CN"/>
              </w:rPr>
              <w:t>设备</w:t>
            </w:r>
            <w:r>
              <w:rPr>
                <w:rFonts w:hint="eastAsia" w:ascii="宋体" w:hAnsi="宋体" w:eastAsia="宋体" w:cs="宋体"/>
                <w:color w:val="auto"/>
                <w:kern w:val="0"/>
                <w:sz w:val="21"/>
                <w:szCs w:val="21"/>
              </w:rPr>
              <w:t>参数</w:t>
            </w:r>
          </w:p>
        </w:tc>
      </w:tr>
      <w:tr w14:paraId="70FC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4" w:type="dxa"/>
            <w:shd w:val="clear" w:color="auto" w:fill="auto"/>
            <w:noWrap/>
            <w:vAlign w:val="center"/>
          </w:tcPr>
          <w:p w14:paraId="16954483">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1471" w:type="dxa"/>
            <w:shd w:val="clear" w:color="auto" w:fill="auto"/>
            <w:vAlign w:val="center"/>
          </w:tcPr>
          <w:p w14:paraId="3109712F">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称重控制仪</w:t>
            </w:r>
          </w:p>
        </w:tc>
        <w:tc>
          <w:tcPr>
            <w:tcW w:w="1059" w:type="dxa"/>
            <w:shd w:val="clear" w:color="auto" w:fill="auto"/>
            <w:vAlign w:val="center"/>
          </w:tcPr>
          <w:p w14:paraId="7527C969">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四方</w:t>
            </w:r>
          </w:p>
        </w:tc>
        <w:tc>
          <w:tcPr>
            <w:tcW w:w="1410" w:type="dxa"/>
            <w:shd w:val="clear" w:color="auto" w:fill="auto"/>
            <w:vAlign w:val="center"/>
          </w:tcPr>
          <w:p w14:paraId="01AA63FE">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XK3196E3C</w:t>
            </w:r>
          </w:p>
        </w:tc>
        <w:tc>
          <w:tcPr>
            <w:tcW w:w="810" w:type="dxa"/>
            <w:shd w:val="clear" w:color="auto" w:fill="auto"/>
            <w:noWrap/>
            <w:vAlign w:val="center"/>
          </w:tcPr>
          <w:p w14:paraId="7B710B81">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675" w:type="dxa"/>
            <w:shd w:val="clear" w:color="auto" w:fill="auto"/>
            <w:noWrap/>
            <w:vAlign w:val="center"/>
          </w:tcPr>
          <w:p w14:paraId="12BC0C86">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4125" w:type="dxa"/>
            <w:shd w:val="clear" w:color="auto" w:fill="auto"/>
            <w:vAlign w:val="center"/>
          </w:tcPr>
          <w:p w14:paraId="1F92304A">
            <w:pPr>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平均无故障工作时间不小于15000h.</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液晶显示屏实时显示传感器运行情况，自动采集车辆载荷信息，经程序运 算出路面承受的车轮载荷参数及车辆轴距、轴数、车速等参数：对正常通过 车辆进行监测，不影响道路通行能力</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信号传输方式：RS422/RS485多种接口实时传输：</w:t>
            </w:r>
          </w:p>
        </w:tc>
      </w:tr>
      <w:tr w14:paraId="329C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4" w:type="dxa"/>
            <w:shd w:val="clear" w:color="auto" w:fill="auto"/>
            <w:noWrap/>
            <w:vAlign w:val="center"/>
          </w:tcPr>
          <w:p w14:paraId="24A9C246">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1471" w:type="dxa"/>
            <w:shd w:val="clear" w:color="auto" w:fill="auto"/>
            <w:vAlign w:val="center"/>
          </w:tcPr>
          <w:p w14:paraId="03A3C6B1">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称重传感器（2车道加硬路肩，含基础及接地）</w:t>
            </w:r>
          </w:p>
        </w:tc>
        <w:tc>
          <w:tcPr>
            <w:tcW w:w="1059" w:type="dxa"/>
            <w:shd w:val="clear" w:color="auto" w:fill="auto"/>
            <w:vAlign w:val="center"/>
          </w:tcPr>
          <w:p w14:paraId="75D84F9A">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奇石乐</w:t>
            </w:r>
          </w:p>
        </w:tc>
        <w:tc>
          <w:tcPr>
            <w:tcW w:w="1410" w:type="dxa"/>
            <w:shd w:val="clear" w:color="auto" w:fill="auto"/>
            <w:vAlign w:val="center"/>
          </w:tcPr>
          <w:p w14:paraId="5C3C5204">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9195GC</w:t>
            </w:r>
          </w:p>
        </w:tc>
        <w:tc>
          <w:tcPr>
            <w:tcW w:w="810" w:type="dxa"/>
            <w:shd w:val="clear" w:color="auto" w:fill="auto"/>
            <w:noWrap/>
            <w:vAlign w:val="center"/>
          </w:tcPr>
          <w:p w14:paraId="73EB41AC">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675" w:type="dxa"/>
            <w:shd w:val="clear" w:color="auto" w:fill="auto"/>
            <w:noWrap/>
            <w:vAlign w:val="center"/>
          </w:tcPr>
          <w:p w14:paraId="22B733E5">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4125" w:type="dxa"/>
            <w:shd w:val="clear" w:color="auto" w:fill="auto"/>
            <w:vAlign w:val="center"/>
          </w:tcPr>
          <w:p w14:paraId="4A6AD7C5">
            <w:pPr>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电阻应变式</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合金钢外壳材质；防护等级IP68。</w:t>
            </w:r>
          </w:p>
        </w:tc>
      </w:tr>
      <w:tr w14:paraId="1B5A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4" w:type="dxa"/>
            <w:shd w:val="clear" w:color="auto" w:fill="auto"/>
            <w:noWrap/>
            <w:vAlign w:val="center"/>
          </w:tcPr>
          <w:p w14:paraId="16C15F7B">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1471" w:type="dxa"/>
            <w:shd w:val="clear" w:color="auto" w:fill="auto"/>
            <w:vAlign w:val="center"/>
          </w:tcPr>
          <w:p w14:paraId="7BE01E48">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改石英后增加石英料胶</w:t>
            </w:r>
          </w:p>
        </w:tc>
        <w:tc>
          <w:tcPr>
            <w:tcW w:w="1059" w:type="dxa"/>
            <w:shd w:val="clear" w:color="auto" w:fill="auto"/>
            <w:vAlign w:val="center"/>
          </w:tcPr>
          <w:p w14:paraId="7F84410C">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定制</w:t>
            </w:r>
          </w:p>
        </w:tc>
        <w:tc>
          <w:tcPr>
            <w:tcW w:w="1410" w:type="dxa"/>
            <w:shd w:val="clear" w:color="auto" w:fill="auto"/>
            <w:vAlign w:val="center"/>
          </w:tcPr>
          <w:p w14:paraId="1FD61800">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传感器专用合成胶料</w:t>
            </w:r>
          </w:p>
        </w:tc>
        <w:tc>
          <w:tcPr>
            <w:tcW w:w="810" w:type="dxa"/>
            <w:shd w:val="clear" w:color="auto" w:fill="auto"/>
            <w:noWrap/>
            <w:vAlign w:val="center"/>
          </w:tcPr>
          <w:p w14:paraId="6092B1EB">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c>
          <w:tcPr>
            <w:tcW w:w="675" w:type="dxa"/>
            <w:shd w:val="clear" w:color="auto" w:fill="auto"/>
            <w:noWrap/>
            <w:vAlign w:val="center"/>
          </w:tcPr>
          <w:p w14:paraId="61CE1998">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米</w:t>
            </w:r>
          </w:p>
        </w:tc>
        <w:tc>
          <w:tcPr>
            <w:tcW w:w="4125" w:type="dxa"/>
            <w:shd w:val="clear" w:color="auto" w:fill="auto"/>
            <w:vAlign w:val="center"/>
          </w:tcPr>
          <w:p w14:paraId="32F074D8">
            <w:pPr>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摄氏23度下，8小时内固化，抗压强度≥30MPa,抗折强度≥10MPa,粘接强 度≥3MPa:执行国标GB50367-2006:</w:t>
            </w:r>
          </w:p>
        </w:tc>
      </w:tr>
      <w:tr w14:paraId="3172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4" w:type="dxa"/>
            <w:shd w:val="clear" w:color="auto" w:fill="auto"/>
            <w:noWrap/>
            <w:vAlign w:val="center"/>
          </w:tcPr>
          <w:p w14:paraId="44C193A5">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1471" w:type="dxa"/>
            <w:shd w:val="clear" w:color="auto" w:fill="auto"/>
            <w:vAlign w:val="center"/>
          </w:tcPr>
          <w:p w14:paraId="107F1A71">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悬臂式可变信息标志（FCMS）（最少显示8个汉字、含机箱、F架、防雷、基础、接地）</w:t>
            </w:r>
          </w:p>
        </w:tc>
        <w:tc>
          <w:tcPr>
            <w:tcW w:w="1059" w:type="dxa"/>
            <w:shd w:val="clear" w:color="auto" w:fill="auto"/>
            <w:vAlign w:val="center"/>
          </w:tcPr>
          <w:p w14:paraId="6B522344">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富顺达</w:t>
            </w:r>
          </w:p>
        </w:tc>
        <w:tc>
          <w:tcPr>
            <w:tcW w:w="1410" w:type="dxa"/>
            <w:shd w:val="clear" w:color="auto" w:fill="auto"/>
            <w:vAlign w:val="center"/>
          </w:tcPr>
          <w:p w14:paraId="5CDFFA69">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8m*1 m</w:t>
            </w:r>
          </w:p>
        </w:tc>
        <w:tc>
          <w:tcPr>
            <w:tcW w:w="810" w:type="dxa"/>
            <w:shd w:val="clear" w:color="auto" w:fill="auto"/>
            <w:noWrap/>
            <w:vAlign w:val="center"/>
          </w:tcPr>
          <w:p w14:paraId="5F01941E">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675" w:type="dxa"/>
            <w:shd w:val="clear" w:color="auto" w:fill="auto"/>
            <w:noWrap/>
            <w:vAlign w:val="center"/>
          </w:tcPr>
          <w:p w14:paraId="04D62B2E">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根</w:t>
            </w:r>
          </w:p>
        </w:tc>
        <w:tc>
          <w:tcPr>
            <w:tcW w:w="4125" w:type="dxa"/>
            <w:shd w:val="clear" w:color="auto" w:fill="auto"/>
            <w:vAlign w:val="center"/>
          </w:tcPr>
          <w:p w14:paraId="7E86B901">
            <w:pPr>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当车辆不超限时显示屏无显示，车辆超限时显示超限车车号和诱导提示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显示内容可按用户需要进行调节。封装要求：防水、防光、防腐，通风，散 热：像素点距：16mm;配置：2红1绿：</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光源：红管晶元，绿管晶元：普通屏、不含电源冗余、断点检测等功能： 温 度 ：-20℃-+60℃;湿度：10%~-95%RH:抗风速：40m/s;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电源：220V±10%,50Hz:</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通信接口：RS232C或RS485,异步：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可视距离：120km/h.200m可视：可视角度：30°: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亮度：≥7000cd/m2: MTBF:≥10000小时.</w:t>
            </w:r>
          </w:p>
        </w:tc>
      </w:tr>
      <w:tr w14:paraId="795A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4" w:type="dxa"/>
            <w:shd w:val="clear" w:color="auto" w:fill="auto"/>
            <w:noWrap/>
            <w:vAlign w:val="center"/>
          </w:tcPr>
          <w:p w14:paraId="61E51B0D">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1471" w:type="dxa"/>
            <w:shd w:val="clear" w:color="auto" w:fill="auto"/>
            <w:vAlign w:val="center"/>
          </w:tcPr>
          <w:p w14:paraId="4590C6B5">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改石英后需要三个电荷放大器</w:t>
            </w:r>
          </w:p>
        </w:tc>
        <w:tc>
          <w:tcPr>
            <w:tcW w:w="1059" w:type="dxa"/>
            <w:shd w:val="clear" w:color="auto" w:fill="auto"/>
            <w:vAlign w:val="center"/>
          </w:tcPr>
          <w:p w14:paraId="2206E482">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四方</w:t>
            </w:r>
          </w:p>
        </w:tc>
        <w:tc>
          <w:tcPr>
            <w:tcW w:w="1410" w:type="dxa"/>
            <w:shd w:val="clear" w:color="auto" w:fill="auto"/>
            <w:vAlign w:val="center"/>
          </w:tcPr>
          <w:p w14:paraId="279A62FB">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DH-1</w:t>
            </w:r>
          </w:p>
        </w:tc>
        <w:tc>
          <w:tcPr>
            <w:tcW w:w="810" w:type="dxa"/>
            <w:shd w:val="clear" w:color="auto" w:fill="auto"/>
            <w:noWrap/>
            <w:vAlign w:val="center"/>
          </w:tcPr>
          <w:p w14:paraId="6630DFB2">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675" w:type="dxa"/>
            <w:shd w:val="clear" w:color="auto" w:fill="auto"/>
            <w:noWrap/>
            <w:vAlign w:val="center"/>
          </w:tcPr>
          <w:p w14:paraId="06D16630">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4125" w:type="dxa"/>
            <w:shd w:val="clear" w:color="auto" w:fill="auto"/>
            <w:vAlign w:val="center"/>
          </w:tcPr>
          <w:p w14:paraId="6FACE468">
            <w:pPr>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测量范围：60,000pC:测量误差：&lt;1%:输出电压：±5V:输出电流：±2mA</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输出阻抗：&lt;1000:输出干扰信号：&lt;3mVpp:频响范围：0.0016-10kHz:时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间常数：≥1000s;电流消耗：&lt;25mA:工作温度范围：-45℃~+60℃:防护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等 级 ：IP64:</w:t>
            </w:r>
          </w:p>
        </w:tc>
      </w:tr>
      <w:tr w14:paraId="6453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4" w:type="dxa"/>
            <w:shd w:val="clear" w:color="auto" w:fill="auto"/>
            <w:noWrap/>
            <w:vAlign w:val="center"/>
          </w:tcPr>
          <w:p w14:paraId="7F50E675">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p>
        </w:tc>
        <w:tc>
          <w:tcPr>
            <w:tcW w:w="1471" w:type="dxa"/>
            <w:shd w:val="clear" w:color="auto" w:fill="auto"/>
            <w:vAlign w:val="center"/>
          </w:tcPr>
          <w:p w14:paraId="4F94258F">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高清卡口抓拍摄像机（高清抓拍，含抓拍摄像机、L型支架、基础、防雷、接地、设备箱）</w:t>
            </w:r>
          </w:p>
        </w:tc>
        <w:tc>
          <w:tcPr>
            <w:tcW w:w="1059" w:type="dxa"/>
            <w:shd w:val="clear" w:color="auto" w:fill="auto"/>
            <w:vAlign w:val="center"/>
          </w:tcPr>
          <w:p w14:paraId="7CE594D3">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海康威视</w:t>
            </w:r>
          </w:p>
        </w:tc>
        <w:tc>
          <w:tcPr>
            <w:tcW w:w="1410" w:type="dxa"/>
            <w:shd w:val="clear" w:color="auto" w:fill="auto"/>
            <w:vAlign w:val="center"/>
          </w:tcPr>
          <w:p w14:paraId="75942D92">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iDS-TCV900-AE/XC</w:t>
            </w:r>
          </w:p>
        </w:tc>
        <w:tc>
          <w:tcPr>
            <w:tcW w:w="810" w:type="dxa"/>
            <w:shd w:val="clear" w:color="auto" w:fill="auto"/>
            <w:noWrap/>
            <w:vAlign w:val="center"/>
          </w:tcPr>
          <w:p w14:paraId="5E350499">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675" w:type="dxa"/>
            <w:shd w:val="clear" w:color="auto" w:fill="auto"/>
            <w:noWrap/>
            <w:vAlign w:val="center"/>
          </w:tcPr>
          <w:p w14:paraId="290D4EA7">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4125" w:type="dxa"/>
            <w:shd w:val="clear" w:color="auto" w:fill="auto"/>
            <w:vAlign w:val="center"/>
          </w:tcPr>
          <w:p w14:paraId="3C544648">
            <w:pPr>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支持识别多种车辆子品牌，在天气晴朗无雾，号牌无遮挡、无污损，白天环境光照度不低于200lx，晚上辅助光照度不高于30lx的条件下测试，白天、晚上识别准确率均≥96%。</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支持对设定区域内的机动车、非机动车是否悬挂车牌的情况进行检测并显示。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支持多拍过滤功能，可设置多拍过滤时间段为0-250000ms，在此时间段内多次经过的车辆只抓拍一次。</w:t>
            </w:r>
          </w:p>
        </w:tc>
      </w:tr>
      <w:tr w14:paraId="313B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4" w:type="dxa"/>
            <w:shd w:val="clear" w:color="auto" w:fill="auto"/>
            <w:noWrap/>
            <w:vAlign w:val="center"/>
          </w:tcPr>
          <w:p w14:paraId="26B045E4">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w:t>
            </w:r>
          </w:p>
        </w:tc>
        <w:tc>
          <w:tcPr>
            <w:tcW w:w="1471" w:type="dxa"/>
            <w:shd w:val="clear" w:color="auto" w:fill="auto"/>
            <w:vAlign w:val="center"/>
          </w:tcPr>
          <w:p w14:paraId="61D0FB42">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闪光灯</w:t>
            </w:r>
          </w:p>
        </w:tc>
        <w:tc>
          <w:tcPr>
            <w:tcW w:w="1059" w:type="dxa"/>
            <w:shd w:val="clear" w:color="auto" w:fill="auto"/>
            <w:vAlign w:val="center"/>
          </w:tcPr>
          <w:p w14:paraId="59221D84">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海康威视</w:t>
            </w:r>
          </w:p>
        </w:tc>
        <w:tc>
          <w:tcPr>
            <w:tcW w:w="1410" w:type="dxa"/>
            <w:shd w:val="clear" w:color="auto" w:fill="auto"/>
            <w:vAlign w:val="center"/>
          </w:tcPr>
          <w:p w14:paraId="2537A09A">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　</w:t>
            </w:r>
          </w:p>
        </w:tc>
        <w:tc>
          <w:tcPr>
            <w:tcW w:w="810" w:type="dxa"/>
            <w:shd w:val="clear" w:color="auto" w:fill="auto"/>
            <w:noWrap/>
            <w:vAlign w:val="center"/>
          </w:tcPr>
          <w:p w14:paraId="1C48C458">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675" w:type="dxa"/>
            <w:shd w:val="clear" w:color="auto" w:fill="auto"/>
            <w:noWrap/>
            <w:vAlign w:val="center"/>
          </w:tcPr>
          <w:p w14:paraId="4C360AB2">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台(套)</w:t>
            </w:r>
          </w:p>
        </w:tc>
        <w:tc>
          <w:tcPr>
            <w:tcW w:w="4125" w:type="dxa"/>
            <w:shd w:val="clear" w:color="auto" w:fill="auto"/>
            <w:vAlign w:val="center"/>
          </w:tcPr>
          <w:p w14:paraId="63F29EC6">
            <w:pPr>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可以准确的控制放电能量：该系列补光灯回电速度快，支持间隔67ms连续闪 光，单次放电能量在35焦耳的情况下，寿命可高达2000万次：闪光持续时间短。拍摄高速运动物体(如抓拍超速汽车等),可以清晰定格。不拖尾：</w:t>
            </w:r>
          </w:p>
        </w:tc>
      </w:tr>
      <w:tr w14:paraId="7B79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4" w:type="dxa"/>
            <w:shd w:val="clear" w:color="auto" w:fill="auto"/>
            <w:noWrap/>
            <w:vAlign w:val="center"/>
          </w:tcPr>
          <w:p w14:paraId="764C6CAC">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c>
          <w:tcPr>
            <w:tcW w:w="1471" w:type="dxa"/>
            <w:shd w:val="clear" w:color="auto" w:fill="auto"/>
            <w:vAlign w:val="center"/>
          </w:tcPr>
          <w:p w14:paraId="79BDF3BD">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车辆检测器（5车道，含线圈、机箱、防雷、基础、接地）</w:t>
            </w:r>
          </w:p>
        </w:tc>
        <w:tc>
          <w:tcPr>
            <w:tcW w:w="1059" w:type="dxa"/>
            <w:shd w:val="clear" w:color="auto" w:fill="auto"/>
            <w:vAlign w:val="center"/>
          </w:tcPr>
          <w:p w14:paraId="59C64C64">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四方</w:t>
            </w:r>
          </w:p>
        </w:tc>
        <w:tc>
          <w:tcPr>
            <w:tcW w:w="1410" w:type="dxa"/>
            <w:shd w:val="clear" w:color="auto" w:fill="auto"/>
            <w:vAlign w:val="center"/>
          </w:tcPr>
          <w:p w14:paraId="7E021025">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SFCJ-1</w:t>
            </w:r>
          </w:p>
        </w:tc>
        <w:tc>
          <w:tcPr>
            <w:tcW w:w="810" w:type="dxa"/>
            <w:shd w:val="clear" w:color="auto" w:fill="auto"/>
            <w:noWrap/>
            <w:vAlign w:val="center"/>
          </w:tcPr>
          <w:p w14:paraId="64071570">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675" w:type="dxa"/>
            <w:shd w:val="clear" w:color="auto" w:fill="auto"/>
            <w:noWrap/>
            <w:vAlign w:val="center"/>
          </w:tcPr>
          <w:p w14:paraId="26BED2B8">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台(套)</w:t>
            </w:r>
          </w:p>
        </w:tc>
        <w:tc>
          <w:tcPr>
            <w:tcW w:w="4125" w:type="dxa"/>
            <w:shd w:val="clear" w:color="auto" w:fill="auto"/>
            <w:vAlign w:val="center"/>
          </w:tcPr>
          <w:p w14:paraId="4F5A0693">
            <w:pPr>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电感量自调谐范围20-1500uH,Q值≥5:灵敏度4级可词：频率范围 20kHz-110kHz。4级可调：响应时间≤100ms:(合线图):</w:t>
            </w:r>
          </w:p>
        </w:tc>
      </w:tr>
      <w:tr w14:paraId="57E1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4" w:type="dxa"/>
            <w:shd w:val="clear" w:color="auto" w:fill="auto"/>
            <w:noWrap/>
            <w:vAlign w:val="center"/>
          </w:tcPr>
          <w:p w14:paraId="41E37457">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w:t>
            </w:r>
          </w:p>
        </w:tc>
        <w:tc>
          <w:tcPr>
            <w:tcW w:w="1471" w:type="dxa"/>
            <w:shd w:val="clear" w:color="auto" w:fill="auto"/>
            <w:vAlign w:val="center"/>
          </w:tcPr>
          <w:p w14:paraId="0495CB5C">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补光灯</w:t>
            </w:r>
          </w:p>
        </w:tc>
        <w:tc>
          <w:tcPr>
            <w:tcW w:w="1059" w:type="dxa"/>
            <w:shd w:val="clear" w:color="auto" w:fill="auto"/>
            <w:vAlign w:val="center"/>
          </w:tcPr>
          <w:p w14:paraId="57F2A7EB">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海康威视</w:t>
            </w:r>
          </w:p>
        </w:tc>
        <w:tc>
          <w:tcPr>
            <w:tcW w:w="1410" w:type="dxa"/>
            <w:shd w:val="clear" w:color="auto" w:fill="auto"/>
            <w:vAlign w:val="center"/>
          </w:tcPr>
          <w:p w14:paraId="2199CDC9">
            <w:pPr>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　</w:t>
            </w:r>
            <w:r>
              <w:rPr>
                <w:rFonts w:hint="eastAsia" w:ascii="宋体" w:hAnsi="宋体" w:eastAsia="宋体" w:cs="宋体"/>
                <w:color w:val="auto"/>
                <w:kern w:val="0"/>
                <w:sz w:val="21"/>
                <w:szCs w:val="21"/>
                <w:highlight w:val="none"/>
                <w:lang w:val="en-US" w:eastAsia="zh-CN"/>
              </w:rPr>
              <w:t>/</w:t>
            </w:r>
          </w:p>
        </w:tc>
        <w:tc>
          <w:tcPr>
            <w:tcW w:w="810" w:type="dxa"/>
            <w:shd w:val="clear" w:color="auto" w:fill="auto"/>
            <w:noWrap/>
            <w:vAlign w:val="center"/>
          </w:tcPr>
          <w:p w14:paraId="5B40DD12">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675" w:type="dxa"/>
            <w:shd w:val="clear" w:color="auto" w:fill="auto"/>
            <w:noWrap/>
            <w:vAlign w:val="center"/>
          </w:tcPr>
          <w:p w14:paraId="3D96F763">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台(套)</w:t>
            </w:r>
          </w:p>
        </w:tc>
        <w:tc>
          <w:tcPr>
            <w:tcW w:w="4125" w:type="dxa"/>
            <w:shd w:val="clear" w:color="auto" w:fill="auto"/>
            <w:vAlign w:val="center"/>
          </w:tcPr>
          <w:p w14:paraId="74368DC5">
            <w:pPr>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暖光LED频闪灯，单车道环境补光灯；最佳补光距离16m～25m；支持5V电平量触发，最大功率30W。</w:t>
            </w:r>
          </w:p>
        </w:tc>
      </w:tr>
      <w:tr w14:paraId="7B55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4" w:type="dxa"/>
            <w:shd w:val="clear" w:color="auto" w:fill="auto"/>
            <w:noWrap/>
            <w:vAlign w:val="center"/>
          </w:tcPr>
          <w:p w14:paraId="21A2E702">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c>
          <w:tcPr>
            <w:tcW w:w="1471" w:type="dxa"/>
            <w:shd w:val="clear" w:color="auto" w:fill="auto"/>
            <w:vAlign w:val="center"/>
          </w:tcPr>
          <w:p w14:paraId="61877576">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主线监控固定式摄像机（高清，含云台、防护罩、立柱、基础、防雷、接地、设备箱）</w:t>
            </w:r>
          </w:p>
        </w:tc>
        <w:tc>
          <w:tcPr>
            <w:tcW w:w="1059" w:type="dxa"/>
            <w:shd w:val="clear" w:color="auto" w:fill="auto"/>
            <w:vAlign w:val="center"/>
          </w:tcPr>
          <w:p w14:paraId="336C5392">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海康威视</w:t>
            </w:r>
          </w:p>
        </w:tc>
        <w:tc>
          <w:tcPr>
            <w:tcW w:w="1410" w:type="dxa"/>
            <w:shd w:val="clear" w:color="auto" w:fill="auto"/>
            <w:vAlign w:val="center"/>
          </w:tcPr>
          <w:p w14:paraId="41C7E12D">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iDS-TCV900-AE/XC</w:t>
            </w:r>
          </w:p>
        </w:tc>
        <w:tc>
          <w:tcPr>
            <w:tcW w:w="810" w:type="dxa"/>
            <w:shd w:val="clear" w:color="auto" w:fill="auto"/>
            <w:noWrap/>
            <w:vAlign w:val="center"/>
          </w:tcPr>
          <w:p w14:paraId="2E503F07">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675" w:type="dxa"/>
            <w:shd w:val="clear" w:color="auto" w:fill="auto"/>
            <w:noWrap/>
            <w:vAlign w:val="center"/>
          </w:tcPr>
          <w:p w14:paraId="2E83FB05">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w:t>
            </w:r>
          </w:p>
        </w:tc>
        <w:tc>
          <w:tcPr>
            <w:tcW w:w="4125" w:type="dxa"/>
            <w:shd w:val="clear" w:color="auto" w:fill="auto"/>
            <w:vAlign w:val="center"/>
          </w:tcPr>
          <w:p w14:paraId="35CDD82F">
            <w:pPr>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支持识别多种车辆子品牌识别功能；白天识别准确率≥98%；晚上识别准确率≥96%；</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支持对视频画面中高度超过设定阈值的车辆进行检测并抓拍图片；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支持多拍过滤功能，可设置多拍过滤时间段为0-250000ms，在此时间段内多次经过的车辆只抓拍一次；</w:t>
            </w:r>
          </w:p>
        </w:tc>
      </w:tr>
      <w:tr w14:paraId="37FF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4" w:type="dxa"/>
            <w:shd w:val="clear" w:color="auto" w:fill="auto"/>
            <w:noWrap/>
            <w:vAlign w:val="center"/>
          </w:tcPr>
          <w:p w14:paraId="55669400">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w:t>
            </w:r>
          </w:p>
        </w:tc>
        <w:tc>
          <w:tcPr>
            <w:tcW w:w="1471" w:type="dxa"/>
            <w:shd w:val="clear" w:color="auto" w:fill="auto"/>
            <w:vAlign w:val="center"/>
          </w:tcPr>
          <w:p w14:paraId="1F3C2D57">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终端服务器（用于抓拍存储图片及录像）</w:t>
            </w:r>
          </w:p>
        </w:tc>
        <w:tc>
          <w:tcPr>
            <w:tcW w:w="1059" w:type="dxa"/>
            <w:shd w:val="clear" w:color="auto" w:fill="auto"/>
            <w:vAlign w:val="center"/>
          </w:tcPr>
          <w:p w14:paraId="04C36818">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DELL</w:t>
            </w:r>
          </w:p>
        </w:tc>
        <w:tc>
          <w:tcPr>
            <w:tcW w:w="1410" w:type="dxa"/>
            <w:shd w:val="clear" w:color="auto" w:fill="auto"/>
            <w:vAlign w:val="center"/>
          </w:tcPr>
          <w:p w14:paraId="3F2726D4">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w:t>
            </w:r>
          </w:p>
        </w:tc>
        <w:tc>
          <w:tcPr>
            <w:tcW w:w="810" w:type="dxa"/>
            <w:shd w:val="clear" w:color="auto" w:fill="auto"/>
            <w:noWrap/>
            <w:vAlign w:val="center"/>
          </w:tcPr>
          <w:p w14:paraId="3A580AD1">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675" w:type="dxa"/>
            <w:shd w:val="clear" w:color="auto" w:fill="auto"/>
            <w:noWrap/>
            <w:vAlign w:val="center"/>
          </w:tcPr>
          <w:p w14:paraId="466E3C59">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台(套)</w:t>
            </w:r>
          </w:p>
        </w:tc>
        <w:tc>
          <w:tcPr>
            <w:tcW w:w="4125" w:type="dxa"/>
            <w:shd w:val="clear" w:color="auto" w:fill="auto"/>
            <w:vAlign w:val="center"/>
          </w:tcPr>
          <w:p w14:paraId="53B6AC2F">
            <w:pPr>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CPU:E5-26092颗Inte1 Quad-CoreXeon E56704C 2.40GHz 12MB Cache 1066MHz 80w,4*4GB DDR3内存，300G*2SATA,,750%,DVD,H310</w:t>
            </w:r>
          </w:p>
        </w:tc>
      </w:tr>
      <w:tr w14:paraId="259F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4" w:type="dxa"/>
            <w:shd w:val="clear" w:color="auto" w:fill="auto"/>
            <w:noWrap/>
            <w:vAlign w:val="center"/>
          </w:tcPr>
          <w:p w14:paraId="77F81CB1">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w:t>
            </w:r>
          </w:p>
        </w:tc>
        <w:tc>
          <w:tcPr>
            <w:tcW w:w="1471" w:type="dxa"/>
            <w:shd w:val="clear" w:color="auto" w:fill="auto"/>
            <w:vAlign w:val="center"/>
          </w:tcPr>
          <w:p w14:paraId="14173027">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数据光端机</w:t>
            </w:r>
          </w:p>
        </w:tc>
        <w:tc>
          <w:tcPr>
            <w:tcW w:w="1059" w:type="dxa"/>
            <w:shd w:val="clear" w:color="auto" w:fill="auto"/>
            <w:vAlign w:val="center"/>
          </w:tcPr>
          <w:p w14:paraId="40F86567">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海康威视</w:t>
            </w:r>
          </w:p>
        </w:tc>
        <w:tc>
          <w:tcPr>
            <w:tcW w:w="1410" w:type="dxa"/>
            <w:shd w:val="clear" w:color="auto" w:fill="auto"/>
            <w:vAlign w:val="center"/>
          </w:tcPr>
          <w:p w14:paraId="6E28A258">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DS-3D01T-A</w:t>
            </w:r>
          </w:p>
        </w:tc>
        <w:tc>
          <w:tcPr>
            <w:tcW w:w="810" w:type="dxa"/>
            <w:shd w:val="clear" w:color="auto" w:fill="auto"/>
            <w:noWrap/>
            <w:vAlign w:val="center"/>
          </w:tcPr>
          <w:p w14:paraId="28D44786">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675" w:type="dxa"/>
            <w:shd w:val="clear" w:color="auto" w:fill="auto"/>
            <w:noWrap/>
            <w:vAlign w:val="center"/>
          </w:tcPr>
          <w:p w14:paraId="5D9E841F">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台/系统</w:t>
            </w:r>
          </w:p>
        </w:tc>
        <w:tc>
          <w:tcPr>
            <w:tcW w:w="4125" w:type="dxa"/>
            <w:shd w:val="clear" w:color="auto" w:fill="auto"/>
            <w:vAlign w:val="center"/>
          </w:tcPr>
          <w:p w14:paraId="29A5DEAC">
            <w:pPr>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1口百兆光纤收发器发送机，4个百兆电口，1个百兆光口，FC接口，20公里</w:t>
            </w:r>
          </w:p>
        </w:tc>
      </w:tr>
      <w:tr w14:paraId="0523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4" w:type="dxa"/>
            <w:shd w:val="clear" w:color="auto" w:fill="auto"/>
            <w:noWrap/>
            <w:vAlign w:val="center"/>
          </w:tcPr>
          <w:p w14:paraId="1F696522">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w:t>
            </w:r>
          </w:p>
        </w:tc>
        <w:tc>
          <w:tcPr>
            <w:tcW w:w="1471" w:type="dxa"/>
            <w:shd w:val="clear" w:color="auto" w:fill="auto"/>
            <w:vAlign w:val="center"/>
          </w:tcPr>
          <w:p w14:paraId="030AD479">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工业交换机</w:t>
            </w:r>
          </w:p>
        </w:tc>
        <w:tc>
          <w:tcPr>
            <w:tcW w:w="1059" w:type="dxa"/>
            <w:shd w:val="clear" w:color="auto" w:fill="auto"/>
            <w:noWrap/>
            <w:vAlign w:val="center"/>
          </w:tcPr>
          <w:p w14:paraId="440D7E17">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圃惠</w:t>
            </w:r>
          </w:p>
        </w:tc>
        <w:tc>
          <w:tcPr>
            <w:tcW w:w="1410" w:type="dxa"/>
            <w:shd w:val="clear" w:color="auto" w:fill="auto"/>
            <w:noWrap/>
            <w:vAlign w:val="center"/>
          </w:tcPr>
          <w:p w14:paraId="6FFDE3DF">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PHH2610-G2800</w:t>
            </w:r>
          </w:p>
        </w:tc>
        <w:tc>
          <w:tcPr>
            <w:tcW w:w="810" w:type="dxa"/>
            <w:shd w:val="clear" w:color="auto" w:fill="auto"/>
            <w:noWrap/>
            <w:vAlign w:val="center"/>
          </w:tcPr>
          <w:p w14:paraId="28720F46">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675" w:type="dxa"/>
            <w:shd w:val="clear" w:color="auto" w:fill="auto"/>
            <w:noWrap/>
            <w:vAlign w:val="center"/>
          </w:tcPr>
          <w:p w14:paraId="44F0764D">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台(套)</w:t>
            </w:r>
          </w:p>
        </w:tc>
        <w:tc>
          <w:tcPr>
            <w:tcW w:w="4125" w:type="dxa"/>
            <w:shd w:val="clear" w:color="auto" w:fill="auto"/>
            <w:vAlign w:val="center"/>
          </w:tcPr>
          <w:p w14:paraId="45B4ED05">
            <w:pPr>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产品类型：快速以太网交换机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应用层级：二层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背板带宽：8.8Gbps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包转发率：6.55Mpps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端口结构：非模块化</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电源电压：AC 100-240V</w:t>
            </w:r>
          </w:p>
        </w:tc>
      </w:tr>
      <w:tr w14:paraId="5E68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4" w:type="dxa"/>
            <w:shd w:val="clear" w:color="000000" w:fill="auto"/>
            <w:noWrap/>
            <w:vAlign w:val="center"/>
          </w:tcPr>
          <w:p w14:paraId="144FE0E5">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w:t>
            </w:r>
          </w:p>
        </w:tc>
        <w:tc>
          <w:tcPr>
            <w:tcW w:w="1471" w:type="dxa"/>
            <w:shd w:val="clear" w:color="000000" w:fill="auto"/>
            <w:vAlign w:val="center"/>
          </w:tcPr>
          <w:p w14:paraId="77745A42">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车辆动态称重检测系统</w:t>
            </w:r>
          </w:p>
        </w:tc>
        <w:tc>
          <w:tcPr>
            <w:tcW w:w="1059" w:type="dxa"/>
            <w:shd w:val="clear" w:color="000000" w:fill="auto"/>
            <w:noWrap/>
            <w:vAlign w:val="center"/>
          </w:tcPr>
          <w:p w14:paraId="1B53950E">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四方</w:t>
            </w:r>
          </w:p>
        </w:tc>
        <w:tc>
          <w:tcPr>
            <w:tcW w:w="1410" w:type="dxa"/>
            <w:shd w:val="clear" w:color="000000" w:fill="auto"/>
            <w:noWrap/>
            <w:vAlign w:val="center"/>
          </w:tcPr>
          <w:p w14:paraId="25B2BA1C">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定制</w:t>
            </w:r>
          </w:p>
        </w:tc>
        <w:tc>
          <w:tcPr>
            <w:tcW w:w="810" w:type="dxa"/>
            <w:shd w:val="clear" w:color="000000" w:fill="auto"/>
            <w:noWrap/>
            <w:vAlign w:val="center"/>
          </w:tcPr>
          <w:p w14:paraId="32081562">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675" w:type="dxa"/>
            <w:shd w:val="clear" w:color="000000" w:fill="auto"/>
            <w:noWrap/>
            <w:vAlign w:val="center"/>
          </w:tcPr>
          <w:p w14:paraId="274EC56F">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套</w:t>
            </w:r>
          </w:p>
        </w:tc>
        <w:tc>
          <w:tcPr>
            <w:tcW w:w="4125" w:type="dxa"/>
            <w:shd w:val="clear" w:color="000000" w:fill="auto"/>
            <w:vAlign w:val="center"/>
          </w:tcPr>
          <w:p w14:paraId="48791323">
            <w:pPr>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车辆通过自动分车，准确判断车辆轴数；全速度段称重满足动态衡器5级标准；0-1km/h超低速修正模块，确保超低速能够准确称重；自动匹配车辆重量数据和车牌、抓拍数据，形成完整检测数据；自动上传检测数据。</w:t>
            </w:r>
          </w:p>
        </w:tc>
      </w:tr>
      <w:tr w14:paraId="66B4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4" w:type="dxa"/>
            <w:shd w:val="clear" w:color="000000" w:fill="auto"/>
            <w:noWrap/>
            <w:vAlign w:val="center"/>
          </w:tcPr>
          <w:p w14:paraId="4D35A5EF">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w:t>
            </w:r>
          </w:p>
        </w:tc>
        <w:tc>
          <w:tcPr>
            <w:tcW w:w="1471" w:type="dxa"/>
            <w:shd w:val="clear" w:color="000000" w:fill="auto"/>
            <w:vAlign w:val="center"/>
          </w:tcPr>
          <w:p w14:paraId="7039557A">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车辆特殊过衡行驶行为智能识别系统</w:t>
            </w:r>
          </w:p>
        </w:tc>
        <w:tc>
          <w:tcPr>
            <w:tcW w:w="1059" w:type="dxa"/>
            <w:shd w:val="clear" w:color="000000" w:fill="auto"/>
            <w:noWrap/>
            <w:vAlign w:val="center"/>
          </w:tcPr>
          <w:p w14:paraId="5E983C04">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四方</w:t>
            </w:r>
          </w:p>
        </w:tc>
        <w:tc>
          <w:tcPr>
            <w:tcW w:w="1410" w:type="dxa"/>
            <w:shd w:val="clear" w:color="000000" w:fill="auto"/>
            <w:noWrap/>
            <w:vAlign w:val="center"/>
          </w:tcPr>
          <w:p w14:paraId="3AFC7B95">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定制</w:t>
            </w:r>
          </w:p>
        </w:tc>
        <w:tc>
          <w:tcPr>
            <w:tcW w:w="810" w:type="dxa"/>
            <w:shd w:val="clear" w:color="000000" w:fill="auto"/>
            <w:noWrap/>
            <w:vAlign w:val="center"/>
          </w:tcPr>
          <w:p w14:paraId="3E61C536">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675" w:type="dxa"/>
            <w:shd w:val="clear" w:color="000000" w:fill="auto"/>
            <w:noWrap/>
            <w:vAlign w:val="center"/>
          </w:tcPr>
          <w:p w14:paraId="4ADAF9B8">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套</w:t>
            </w:r>
          </w:p>
        </w:tc>
        <w:tc>
          <w:tcPr>
            <w:tcW w:w="4125" w:type="dxa"/>
            <w:shd w:val="clear" w:color="000000" w:fill="auto"/>
            <w:vAlign w:val="center"/>
          </w:tcPr>
          <w:p w14:paraId="774B26B8">
            <w:pPr>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软件用来判别公路车辆特殊过衡状态行驶行为；自动判断正向、逆向行驶行为，准确定义行驶方向和车道；自动判断单车跨道模块，压缝行驶行为，准确合并车辆数据；加强反作弊能力，自动判断超低速、走走停停行为，保证车辆判断不断轴。</w:t>
            </w:r>
          </w:p>
        </w:tc>
      </w:tr>
      <w:tr w14:paraId="323D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4" w:type="dxa"/>
            <w:shd w:val="clear" w:color="000000" w:fill="auto"/>
            <w:noWrap/>
            <w:vAlign w:val="center"/>
          </w:tcPr>
          <w:p w14:paraId="6243BBFD">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16</w:t>
            </w:r>
          </w:p>
        </w:tc>
        <w:tc>
          <w:tcPr>
            <w:tcW w:w="1471" w:type="dxa"/>
            <w:shd w:val="clear" w:color="000000" w:fill="auto"/>
            <w:vAlign w:val="center"/>
          </w:tcPr>
          <w:p w14:paraId="27A7D3E9">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超限信息传输与服务系统</w:t>
            </w:r>
          </w:p>
        </w:tc>
        <w:tc>
          <w:tcPr>
            <w:tcW w:w="1059" w:type="dxa"/>
            <w:shd w:val="clear" w:color="000000" w:fill="auto"/>
            <w:noWrap/>
            <w:vAlign w:val="center"/>
          </w:tcPr>
          <w:p w14:paraId="57D95485">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四方</w:t>
            </w:r>
          </w:p>
        </w:tc>
        <w:tc>
          <w:tcPr>
            <w:tcW w:w="1410" w:type="dxa"/>
            <w:shd w:val="clear" w:color="000000" w:fill="auto"/>
            <w:noWrap/>
            <w:vAlign w:val="center"/>
          </w:tcPr>
          <w:p w14:paraId="4B682887">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定制</w:t>
            </w:r>
          </w:p>
        </w:tc>
        <w:tc>
          <w:tcPr>
            <w:tcW w:w="810" w:type="dxa"/>
            <w:shd w:val="clear" w:color="000000" w:fill="auto"/>
            <w:noWrap/>
            <w:vAlign w:val="center"/>
          </w:tcPr>
          <w:p w14:paraId="18680660">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675" w:type="dxa"/>
            <w:shd w:val="clear" w:color="000000" w:fill="auto"/>
            <w:noWrap/>
            <w:vAlign w:val="center"/>
          </w:tcPr>
          <w:p w14:paraId="0C486EDA">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套</w:t>
            </w:r>
          </w:p>
        </w:tc>
        <w:tc>
          <w:tcPr>
            <w:tcW w:w="4125" w:type="dxa"/>
            <w:shd w:val="clear" w:color="000000" w:fill="auto"/>
            <w:vAlign w:val="center"/>
          </w:tcPr>
          <w:p w14:paraId="4D323B4C">
            <w:pPr>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上层平台对接标准接口，情报板标准控制卡对接接口，与抓拍监控等外围系统数据对接；工控机现场数据对平台的数据传输服务。</w:t>
            </w:r>
          </w:p>
        </w:tc>
      </w:tr>
      <w:tr w14:paraId="0E3B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4" w:type="dxa"/>
            <w:shd w:val="clear" w:color="auto" w:fill="auto"/>
            <w:noWrap/>
            <w:vAlign w:val="center"/>
          </w:tcPr>
          <w:p w14:paraId="03B230B3">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17</w:t>
            </w:r>
          </w:p>
        </w:tc>
        <w:tc>
          <w:tcPr>
            <w:tcW w:w="1471" w:type="dxa"/>
            <w:shd w:val="clear" w:color="auto" w:fill="auto"/>
            <w:vAlign w:val="center"/>
          </w:tcPr>
          <w:p w14:paraId="7262ED04">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供电及配套管线（租用市电，含安装费、电表及配套管线）</w:t>
            </w:r>
          </w:p>
        </w:tc>
        <w:tc>
          <w:tcPr>
            <w:tcW w:w="1059" w:type="dxa"/>
            <w:shd w:val="clear" w:color="auto" w:fill="auto"/>
            <w:vAlign w:val="center"/>
          </w:tcPr>
          <w:p w14:paraId="151C88D2">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国产</w:t>
            </w:r>
          </w:p>
        </w:tc>
        <w:tc>
          <w:tcPr>
            <w:tcW w:w="1410" w:type="dxa"/>
            <w:shd w:val="clear" w:color="auto" w:fill="auto"/>
            <w:vAlign w:val="center"/>
          </w:tcPr>
          <w:p w14:paraId="7E578D79">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定制</w:t>
            </w:r>
          </w:p>
        </w:tc>
        <w:tc>
          <w:tcPr>
            <w:tcW w:w="810" w:type="dxa"/>
            <w:shd w:val="clear" w:color="auto" w:fill="auto"/>
            <w:noWrap/>
            <w:vAlign w:val="center"/>
          </w:tcPr>
          <w:p w14:paraId="7E47BB9D">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675" w:type="dxa"/>
            <w:shd w:val="clear" w:color="auto" w:fill="auto"/>
            <w:noWrap/>
            <w:vAlign w:val="center"/>
          </w:tcPr>
          <w:p w14:paraId="621B919B">
            <w:pPr>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套</w:t>
            </w:r>
          </w:p>
        </w:tc>
        <w:tc>
          <w:tcPr>
            <w:tcW w:w="4125" w:type="dxa"/>
            <w:shd w:val="clear" w:color="auto" w:fill="auto"/>
            <w:vAlign w:val="center"/>
          </w:tcPr>
          <w:p w14:paraId="5DDDC319">
            <w:pPr>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包含电业局取电费用和电表到机柜的电线</w:t>
            </w:r>
          </w:p>
        </w:tc>
      </w:tr>
    </w:tbl>
    <w:p w14:paraId="1BE78223">
      <w:pPr>
        <w:spacing w:line="360" w:lineRule="auto"/>
        <w:rPr>
          <w:rFonts w:hint="eastAsia" w:asciiTheme="minorEastAsia" w:hAnsiTheme="minorEastAsia" w:eastAsiaTheme="minorEastAsia" w:cstheme="minorEastAsia"/>
          <w:b/>
          <w:bCs/>
          <w:color w:val="auto"/>
          <w:sz w:val="24"/>
          <w:szCs w:val="24"/>
          <w:highlight w:val="none"/>
          <w:lang w:val="en-US" w:eastAsia="zh-CN"/>
        </w:rPr>
      </w:pPr>
    </w:p>
    <w:p w14:paraId="570F4489">
      <w:pPr>
        <w:spacing w:line="360" w:lineRule="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7、点位名称：原：S314浦兰线8K+300现：G351台小线K275+680</w:t>
      </w:r>
    </w:p>
    <w:tbl>
      <w:tblPr>
        <w:tblStyle w:val="29"/>
        <w:tblW w:w="10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30"/>
        <w:gridCol w:w="1185"/>
        <w:gridCol w:w="1080"/>
        <w:gridCol w:w="900"/>
        <w:gridCol w:w="606"/>
        <w:gridCol w:w="4524"/>
      </w:tblGrid>
      <w:tr w14:paraId="48B7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4" w:type="dxa"/>
            <w:shd w:val="clear" w:color="auto" w:fill="auto"/>
            <w:vAlign w:val="center"/>
          </w:tcPr>
          <w:p w14:paraId="682C348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序号</w:t>
            </w:r>
          </w:p>
        </w:tc>
        <w:tc>
          <w:tcPr>
            <w:tcW w:w="1230" w:type="dxa"/>
            <w:shd w:val="clear" w:color="auto" w:fill="auto"/>
            <w:vAlign w:val="center"/>
          </w:tcPr>
          <w:p w14:paraId="3E94B83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名称</w:t>
            </w:r>
          </w:p>
        </w:tc>
        <w:tc>
          <w:tcPr>
            <w:tcW w:w="1185" w:type="dxa"/>
            <w:shd w:val="clear" w:color="auto" w:fill="auto"/>
            <w:vAlign w:val="center"/>
          </w:tcPr>
          <w:p w14:paraId="28E6204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品牌</w:t>
            </w:r>
          </w:p>
        </w:tc>
        <w:tc>
          <w:tcPr>
            <w:tcW w:w="1080" w:type="dxa"/>
            <w:shd w:val="clear" w:color="auto" w:fill="auto"/>
            <w:vAlign w:val="center"/>
          </w:tcPr>
          <w:p w14:paraId="15B6594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型号</w:t>
            </w:r>
          </w:p>
        </w:tc>
        <w:tc>
          <w:tcPr>
            <w:tcW w:w="900" w:type="dxa"/>
            <w:shd w:val="clear" w:color="auto" w:fill="auto"/>
            <w:vAlign w:val="center"/>
          </w:tcPr>
          <w:p w14:paraId="25AE101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数量</w:t>
            </w:r>
          </w:p>
        </w:tc>
        <w:tc>
          <w:tcPr>
            <w:tcW w:w="606" w:type="dxa"/>
            <w:shd w:val="clear" w:color="auto" w:fill="auto"/>
            <w:vAlign w:val="center"/>
          </w:tcPr>
          <w:p w14:paraId="03314A8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单位</w:t>
            </w:r>
          </w:p>
        </w:tc>
        <w:tc>
          <w:tcPr>
            <w:tcW w:w="4524" w:type="dxa"/>
            <w:shd w:val="clear" w:color="auto" w:fill="auto"/>
            <w:vAlign w:val="center"/>
          </w:tcPr>
          <w:p w14:paraId="0042787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val="en-US" w:eastAsia="zh-CN"/>
              </w:rPr>
              <w:t>设备</w:t>
            </w:r>
            <w:r>
              <w:rPr>
                <w:rFonts w:hint="eastAsia" w:ascii="宋体" w:hAnsi="宋体" w:eastAsia="宋体" w:cs="宋体"/>
                <w:color w:val="auto"/>
                <w:kern w:val="0"/>
                <w:sz w:val="21"/>
                <w:szCs w:val="21"/>
              </w:rPr>
              <w:t>参数</w:t>
            </w:r>
          </w:p>
        </w:tc>
      </w:tr>
      <w:tr w14:paraId="7DF9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89" w:type="dxa"/>
            <w:gridSpan w:val="7"/>
            <w:shd w:val="clear" w:color="auto" w:fill="auto"/>
            <w:vAlign w:val="center"/>
          </w:tcPr>
          <w:p w14:paraId="5E24839E">
            <w:pPr>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超限车辆动态称重系统</w:t>
            </w:r>
          </w:p>
        </w:tc>
      </w:tr>
      <w:tr w14:paraId="4B08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4" w:type="dxa"/>
            <w:shd w:val="clear" w:color="auto" w:fill="auto"/>
            <w:vAlign w:val="center"/>
          </w:tcPr>
          <w:p w14:paraId="5B6A06D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1230" w:type="dxa"/>
            <w:shd w:val="clear" w:color="auto" w:fill="auto"/>
            <w:vAlign w:val="center"/>
          </w:tcPr>
          <w:p w14:paraId="125EAF7A">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数据采集处理器</w:t>
            </w:r>
          </w:p>
        </w:tc>
        <w:tc>
          <w:tcPr>
            <w:tcW w:w="1185" w:type="dxa"/>
            <w:shd w:val="clear" w:color="auto" w:fill="auto"/>
            <w:vAlign w:val="center"/>
          </w:tcPr>
          <w:p w14:paraId="01A52662">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四方</w:t>
            </w:r>
          </w:p>
        </w:tc>
        <w:tc>
          <w:tcPr>
            <w:tcW w:w="1080" w:type="dxa"/>
            <w:shd w:val="clear" w:color="auto" w:fill="auto"/>
            <w:vAlign w:val="center"/>
          </w:tcPr>
          <w:p w14:paraId="0E5FEEE2">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XK3196E3C</w:t>
            </w:r>
          </w:p>
        </w:tc>
        <w:tc>
          <w:tcPr>
            <w:tcW w:w="900" w:type="dxa"/>
            <w:shd w:val="clear" w:color="auto" w:fill="auto"/>
            <w:vAlign w:val="center"/>
          </w:tcPr>
          <w:p w14:paraId="59F6DD6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606" w:type="dxa"/>
            <w:shd w:val="clear" w:color="auto" w:fill="auto"/>
            <w:vAlign w:val="center"/>
          </w:tcPr>
          <w:p w14:paraId="67C28EE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524" w:type="dxa"/>
            <w:shd w:val="clear" w:color="auto" w:fill="auto"/>
            <w:noWrap/>
            <w:vAlign w:val="center"/>
          </w:tcPr>
          <w:p w14:paraId="3C1B2649">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支持单向3车</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道，数据采集与前端存储数据匹配</w:t>
            </w:r>
          </w:p>
        </w:tc>
      </w:tr>
      <w:tr w14:paraId="3498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4" w:type="dxa"/>
            <w:shd w:val="clear" w:color="auto" w:fill="auto"/>
            <w:vAlign w:val="center"/>
          </w:tcPr>
          <w:p w14:paraId="75F56D1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w:t>
            </w:r>
          </w:p>
        </w:tc>
        <w:tc>
          <w:tcPr>
            <w:tcW w:w="1230" w:type="dxa"/>
            <w:shd w:val="clear" w:color="auto" w:fill="auto"/>
            <w:vAlign w:val="center"/>
          </w:tcPr>
          <w:p w14:paraId="6CE399B9">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进口石英称重传感器</w:t>
            </w:r>
          </w:p>
        </w:tc>
        <w:tc>
          <w:tcPr>
            <w:tcW w:w="1185" w:type="dxa"/>
            <w:shd w:val="clear" w:color="auto" w:fill="auto"/>
            <w:vAlign w:val="center"/>
          </w:tcPr>
          <w:p w14:paraId="64EBF306">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奇石乐</w:t>
            </w:r>
          </w:p>
        </w:tc>
        <w:tc>
          <w:tcPr>
            <w:tcW w:w="1080" w:type="dxa"/>
            <w:shd w:val="clear" w:color="auto" w:fill="auto"/>
            <w:vAlign w:val="center"/>
          </w:tcPr>
          <w:p w14:paraId="77E99E9A">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9195GC</w:t>
            </w:r>
          </w:p>
        </w:tc>
        <w:tc>
          <w:tcPr>
            <w:tcW w:w="900" w:type="dxa"/>
            <w:shd w:val="clear" w:color="auto" w:fill="auto"/>
            <w:vAlign w:val="center"/>
          </w:tcPr>
          <w:p w14:paraId="4CD6629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10</w:t>
            </w:r>
          </w:p>
        </w:tc>
        <w:tc>
          <w:tcPr>
            <w:tcW w:w="606" w:type="dxa"/>
            <w:shd w:val="clear" w:color="auto" w:fill="auto"/>
            <w:vAlign w:val="center"/>
          </w:tcPr>
          <w:p w14:paraId="2F94B95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524" w:type="dxa"/>
            <w:shd w:val="clear" w:color="auto" w:fill="auto"/>
            <w:noWrap/>
            <w:vAlign w:val="center"/>
          </w:tcPr>
          <w:p w14:paraId="71D438DF">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非线性精度误差小于±2%(传感器各点静态校准精度):</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不一致性误差小于±3%(传感器不同位置点静态校准精度): 重复性误差小于±2%(传感器同位置点静态校准精度):</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综合精度优于±5%(传感器总的静态校准精度):</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工作环境温度：-40℃~+80℃:</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防护等级：IP65:温度系数：-0.02%/℃:</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传感器尺寸(长×宽×高):1500/1750/2000mm×50mm×44mm</w:t>
            </w:r>
          </w:p>
        </w:tc>
      </w:tr>
      <w:tr w14:paraId="4184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4" w:type="dxa"/>
            <w:shd w:val="clear" w:color="auto" w:fill="auto"/>
            <w:vAlign w:val="center"/>
          </w:tcPr>
          <w:p w14:paraId="3CEE8A1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3</w:t>
            </w:r>
          </w:p>
        </w:tc>
        <w:tc>
          <w:tcPr>
            <w:tcW w:w="1230" w:type="dxa"/>
            <w:shd w:val="clear" w:color="auto" w:fill="auto"/>
            <w:vAlign w:val="center"/>
          </w:tcPr>
          <w:p w14:paraId="7CC9F28F">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电荷放大器</w:t>
            </w:r>
          </w:p>
        </w:tc>
        <w:tc>
          <w:tcPr>
            <w:tcW w:w="1185" w:type="dxa"/>
            <w:shd w:val="clear" w:color="auto" w:fill="auto"/>
            <w:vAlign w:val="center"/>
          </w:tcPr>
          <w:p w14:paraId="195AAFE8">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四方</w:t>
            </w:r>
          </w:p>
        </w:tc>
        <w:tc>
          <w:tcPr>
            <w:tcW w:w="1080" w:type="dxa"/>
            <w:shd w:val="clear" w:color="auto" w:fill="auto"/>
            <w:vAlign w:val="center"/>
          </w:tcPr>
          <w:p w14:paraId="27F5130D">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DH-1</w:t>
            </w:r>
          </w:p>
        </w:tc>
        <w:tc>
          <w:tcPr>
            <w:tcW w:w="900" w:type="dxa"/>
            <w:shd w:val="clear" w:color="auto" w:fill="auto"/>
            <w:vAlign w:val="center"/>
          </w:tcPr>
          <w:p w14:paraId="47CE816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3</w:t>
            </w:r>
          </w:p>
        </w:tc>
        <w:tc>
          <w:tcPr>
            <w:tcW w:w="606" w:type="dxa"/>
            <w:shd w:val="clear" w:color="auto" w:fill="auto"/>
            <w:vAlign w:val="center"/>
          </w:tcPr>
          <w:p w14:paraId="57F2EDA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个</w:t>
            </w:r>
          </w:p>
        </w:tc>
        <w:tc>
          <w:tcPr>
            <w:tcW w:w="4524" w:type="dxa"/>
            <w:shd w:val="clear" w:color="auto" w:fill="auto"/>
            <w:noWrap/>
            <w:vAlign w:val="center"/>
          </w:tcPr>
          <w:p w14:paraId="3F574B4A">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测量范围：60,000pC:测量误差：&lt;1%:输出电压：±5V:输出电流：±2mA</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输出阻抗：&lt;1000:输出干扰信号：&lt;3mVpp:频响范围：0.0016-10kHz:时</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间常数：≥1000s;电流消耗：&lt;25mA:工作温度范围：-45℃~+60℃:防护</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等 级 ：IP64:</w:t>
            </w:r>
          </w:p>
        </w:tc>
      </w:tr>
      <w:tr w14:paraId="21B0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4" w:type="dxa"/>
            <w:shd w:val="clear" w:color="auto" w:fill="auto"/>
            <w:vAlign w:val="center"/>
          </w:tcPr>
          <w:p w14:paraId="213F172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4</w:t>
            </w:r>
          </w:p>
        </w:tc>
        <w:tc>
          <w:tcPr>
            <w:tcW w:w="1230" w:type="dxa"/>
            <w:shd w:val="clear" w:color="auto" w:fill="auto"/>
            <w:vAlign w:val="center"/>
          </w:tcPr>
          <w:p w14:paraId="33F8073C">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高速动态称重控制器</w:t>
            </w:r>
          </w:p>
        </w:tc>
        <w:tc>
          <w:tcPr>
            <w:tcW w:w="1185" w:type="dxa"/>
            <w:shd w:val="clear" w:color="auto" w:fill="auto"/>
            <w:vAlign w:val="center"/>
          </w:tcPr>
          <w:p w14:paraId="327AA53F">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四方</w:t>
            </w:r>
          </w:p>
        </w:tc>
        <w:tc>
          <w:tcPr>
            <w:tcW w:w="1080" w:type="dxa"/>
            <w:shd w:val="clear" w:color="auto" w:fill="auto"/>
            <w:vAlign w:val="center"/>
          </w:tcPr>
          <w:p w14:paraId="636561CB">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XK3196E3C</w:t>
            </w:r>
          </w:p>
        </w:tc>
        <w:tc>
          <w:tcPr>
            <w:tcW w:w="900" w:type="dxa"/>
            <w:shd w:val="clear" w:color="auto" w:fill="auto"/>
            <w:vAlign w:val="center"/>
          </w:tcPr>
          <w:p w14:paraId="5E1ED12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606" w:type="dxa"/>
            <w:shd w:val="clear" w:color="auto" w:fill="auto"/>
            <w:vAlign w:val="center"/>
          </w:tcPr>
          <w:p w14:paraId="00029B4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个</w:t>
            </w:r>
          </w:p>
        </w:tc>
        <w:tc>
          <w:tcPr>
            <w:tcW w:w="4524" w:type="dxa"/>
            <w:shd w:val="clear" w:color="auto" w:fill="auto"/>
            <w:noWrap/>
            <w:vAlign w:val="center"/>
          </w:tcPr>
          <w:p w14:paraId="6437A682">
            <w:pPr>
              <w:jc w:val="left"/>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平均无故障工作时间不小于15000h.</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液晶显示屏实时显示传感器运行情况，自动采集车辆载荷信息，经程序运 算出路面承受的车轮载荷参数及车辆轴距、轴数、车速等参数</w:t>
            </w:r>
            <w:r>
              <w:rPr>
                <w:rFonts w:hint="eastAsia" w:ascii="宋体" w:hAnsi="宋体" w:eastAsia="宋体" w:cs="宋体"/>
                <w:color w:val="auto"/>
                <w:kern w:val="0"/>
                <w:sz w:val="21"/>
                <w:szCs w:val="21"/>
                <w:lang w:val="en-US" w:eastAsia="zh-CN"/>
              </w:rPr>
              <w:t>.</w:t>
            </w:r>
          </w:p>
          <w:p w14:paraId="59039B44">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信号传输方式：RS422/RS485多种接口实时传输：</w:t>
            </w:r>
          </w:p>
        </w:tc>
      </w:tr>
      <w:tr w14:paraId="3581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64" w:type="dxa"/>
            <w:shd w:val="clear" w:color="auto" w:fill="auto"/>
            <w:vAlign w:val="center"/>
          </w:tcPr>
          <w:p w14:paraId="00C71C0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5</w:t>
            </w:r>
          </w:p>
        </w:tc>
        <w:tc>
          <w:tcPr>
            <w:tcW w:w="1230" w:type="dxa"/>
            <w:shd w:val="clear" w:color="auto" w:fill="auto"/>
            <w:vAlign w:val="center"/>
          </w:tcPr>
          <w:p w14:paraId="14E9AC89">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石英胶料</w:t>
            </w:r>
          </w:p>
        </w:tc>
        <w:tc>
          <w:tcPr>
            <w:tcW w:w="1185" w:type="dxa"/>
            <w:shd w:val="clear" w:color="auto" w:fill="auto"/>
            <w:vAlign w:val="center"/>
          </w:tcPr>
          <w:p w14:paraId="20092F26">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四方</w:t>
            </w:r>
          </w:p>
        </w:tc>
        <w:tc>
          <w:tcPr>
            <w:tcW w:w="1080" w:type="dxa"/>
            <w:shd w:val="clear" w:color="auto" w:fill="auto"/>
            <w:vAlign w:val="center"/>
          </w:tcPr>
          <w:p w14:paraId="5C5294D2">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传感器专用合成胶料</w:t>
            </w:r>
          </w:p>
        </w:tc>
        <w:tc>
          <w:tcPr>
            <w:tcW w:w="900" w:type="dxa"/>
            <w:shd w:val="clear" w:color="auto" w:fill="auto"/>
            <w:vAlign w:val="center"/>
          </w:tcPr>
          <w:p w14:paraId="44D2460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10</w:t>
            </w:r>
          </w:p>
        </w:tc>
        <w:tc>
          <w:tcPr>
            <w:tcW w:w="606" w:type="dxa"/>
            <w:shd w:val="clear" w:color="auto" w:fill="auto"/>
            <w:vAlign w:val="center"/>
          </w:tcPr>
          <w:p w14:paraId="1575689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组</w:t>
            </w:r>
          </w:p>
        </w:tc>
        <w:tc>
          <w:tcPr>
            <w:tcW w:w="4524" w:type="dxa"/>
            <w:shd w:val="clear" w:color="auto" w:fill="auto"/>
            <w:noWrap/>
            <w:vAlign w:val="center"/>
          </w:tcPr>
          <w:p w14:paraId="02EC1940">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摄氏23度下，8小时内固化，抗压强度≥30MPa,抗折强度≥10MPa,粘接强 度≥3MPa:执行国标GB50367-2006:</w:t>
            </w:r>
          </w:p>
        </w:tc>
      </w:tr>
      <w:tr w14:paraId="72C3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4" w:type="dxa"/>
            <w:shd w:val="clear" w:color="auto" w:fill="auto"/>
            <w:vAlign w:val="center"/>
          </w:tcPr>
          <w:p w14:paraId="6DBAA1E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6</w:t>
            </w:r>
          </w:p>
        </w:tc>
        <w:tc>
          <w:tcPr>
            <w:tcW w:w="1230" w:type="dxa"/>
            <w:shd w:val="clear" w:color="auto" w:fill="auto"/>
            <w:vAlign w:val="center"/>
          </w:tcPr>
          <w:p w14:paraId="26419AEF">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线圈车辆检测器</w:t>
            </w:r>
          </w:p>
        </w:tc>
        <w:tc>
          <w:tcPr>
            <w:tcW w:w="1185" w:type="dxa"/>
            <w:shd w:val="clear" w:color="auto" w:fill="auto"/>
            <w:vAlign w:val="center"/>
          </w:tcPr>
          <w:p w14:paraId="00095BB4">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四方</w:t>
            </w:r>
          </w:p>
        </w:tc>
        <w:tc>
          <w:tcPr>
            <w:tcW w:w="1080" w:type="dxa"/>
            <w:shd w:val="clear" w:color="auto" w:fill="auto"/>
            <w:vAlign w:val="center"/>
          </w:tcPr>
          <w:p w14:paraId="2CF66FF5">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SFCJ-1</w:t>
            </w:r>
          </w:p>
        </w:tc>
        <w:tc>
          <w:tcPr>
            <w:tcW w:w="900" w:type="dxa"/>
            <w:shd w:val="clear" w:color="auto" w:fill="auto"/>
            <w:vAlign w:val="center"/>
          </w:tcPr>
          <w:p w14:paraId="1D3D5C9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606" w:type="dxa"/>
            <w:shd w:val="clear" w:color="auto" w:fill="auto"/>
            <w:vAlign w:val="center"/>
          </w:tcPr>
          <w:p w14:paraId="60BFE69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524" w:type="dxa"/>
            <w:shd w:val="clear" w:color="auto" w:fill="auto"/>
            <w:noWrap/>
            <w:vAlign w:val="center"/>
          </w:tcPr>
          <w:p w14:paraId="7DA20A90">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电感量自调谐范围20-1500uH,Q值≥5:灵敏度4级可词：频率范围 20kHz-110kHz。4级可调：响应时间≤100ms:(合线图):</w:t>
            </w:r>
          </w:p>
        </w:tc>
      </w:tr>
      <w:tr w14:paraId="0643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4" w:type="dxa"/>
            <w:shd w:val="clear" w:color="auto" w:fill="auto"/>
            <w:vAlign w:val="center"/>
          </w:tcPr>
          <w:p w14:paraId="44CAE60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7</w:t>
            </w:r>
          </w:p>
        </w:tc>
        <w:tc>
          <w:tcPr>
            <w:tcW w:w="1230" w:type="dxa"/>
            <w:shd w:val="clear" w:color="auto" w:fill="auto"/>
            <w:vAlign w:val="center"/>
          </w:tcPr>
          <w:p w14:paraId="67A20A85">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交换机</w:t>
            </w:r>
          </w:p>
        </w:tc>
        <w:tc>
          <w:tcPr>
            <w:tcW w:w="1185" w:type="dxa"/>
            <w:shd w:val="clear" w:color="auto" w:fill="auto"/>
            <w:vAlign w:val="center"/>
          </w:tcPr>
          <w:p w14:paraId="622D8DDD">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H3C</w:t>
            </w:r>
          </w:p>
        </w:tc>
        <w:tc>
          <w:tcPr>
            <w:tcW w:w="1080" w:type="dxa"/>
            <w:shd w:val="clear" w:color="auto" w:fill="auto"/>
            <w:vAlign w:val="center"/>
          </w:tcPr>
          <w:p w14:paraId="42ACF484">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S1026T</w:t>
            </w:r>
          </w:p>
        </w:tc>
        <w:tc>
          <w:tcPr>
            <w:tcW w:w="900" w:type="dxa"/>
            <w:shd w:val="clear" w:color="auto" w:fill="auto"/>
            <w:vAlign w:val="center"/>
          </w:tcPr>
          <w:p w14:paraId="3A5D11D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606" w:type="dxa"/>
            <w:shd w:val="clear" w:color="auto" w:fill="auto"/>
            <w:vAlign w:val="center"/>
          </w:tcPr>
          <w:p w14:paraId="6DBA8D9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524" w:type="dxa"/>
            <w:shd w:val="clear" w:color="auto" w:fill="auto"/>
            <w:noWrap/>
            <w:vAlign w:val="center"/>
          </w:tcPr>
          <w:p w14:paraId="4B225B5B">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快速以太网交换机、应用层级二层，专传输速率10/100Mbps交换方式：存 储-转发背坂带宽8.8Gbps,包转发率6.55Mpps MAC地址表4K</w:t>
            </w:r>
          </w:p>
        </w:tc>
      </w:tr>
      <w:tr w14:paraId="4065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89" w:type="dxa"/>
            <w:gridSpan w:val="7"/>
            <w:shd w:val="clear" w:color="auto" w:fill="auto"/>
            <w:vAlign w:val="center"/>
          </w:tcPr>
          <w:p w14:paraId="2123DD9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信息显示诱导系统</w:t>
            </w:r>
          </w:p>
        </w:tc>
      </w:tr>
      <w:tr w14:paraId="2326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4" w:type="dxa"/>
            <w:shd w:val="clear" w:color="auto" w:fill="auto"/>
            <w:vAlign w:val="center"/>
          </w:tcPr>
          <w:p w14:paraId="65AEF38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8</w:t>
            </w:r>
          </w:p>
        </w:tc>
        <w:tc>
          <w:tcPr>
            <w:tcW w:w="1230" w:type="dxa"/>
            <w:shd w:val="clear" w:color="auto" w:fill="auto"/>
            <w:vAlign w:val="center"/>
          </w:tcPr>
          <w:p w14:paraId="7F5256D8">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可变情报板</w:t>
            </w:r>
          </w:p>
        </w:tc>
        <w:tc>
          <w:tcPr>
            <w:tcW w:w="1185" w:type="dxa"/>
            <w:shd w:val="clear" w:color="auto" w:fill="auto"/>
            <w:vAlign w:val="center"/>
          </w:tcPr>
          <w:p w14:paraId="0CA49A99">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富顺达</w:t>
            </w:r>
          </w:p>
        </w:tc>
        <w:tc>
          <w:tcPr>
            <w:tcW w:w="1080" w:type="dxa"/>
            <w:shd w:val="clear" w:color="auto" w:fill="auto"/>
            <w:vAlign w:val="center"/>
          </w:tcPr>
          <w:p w14:paraId="0DE36F4A">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8m*1m</w:t>
            </w:r>
          </w:p>
        </w:tc>
        <w:tc>
          <w:tcPr>
            <w:tcW w:w="900" w:type="dxa"/>
            <w:shd w:val="clear" w:color="auto" w:fill="auto"/>
            <w:vAlign w:val="center"/>
          </w:tcPr>
          <w:p w14:paraId="14DFADF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606" w:type="dxa"/>
            <w:shd w:val="clear" w:color="auto" w:fill="auto"/>
            <w:vAlign w:val="center"/>
          </w:tcPr>
          <w:p w14:paraId="5ACCFE7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524" w:type="dxa"/>
            <w:shd w:val="clear" w:color="auto" w:fill="auto"/>
            <w:noWrap/>
            <w:vAlign w:val="center"/>
          </w:tcPr>
          <w:p w14:paraId="525805B1">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当车辆不超限时显示屏无显示，车辆超限时显示超限车车号和诱导提示</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显示内容可按用户需要进行调节。封装要求：防水、防光、防腐，通风，散 热：像素点距：16mm;配置：2红1绿：</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光源：红管晶元，绿管晶元：普通屏、不含电源冗余、断点检测等功能： 温 度 ：-20℃-+60℃;湿度：10%~-95%RH:抗风速：40m/s;</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电源：220V±10%,50Hz:</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通信接口：RS232C或RS485,异步：</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可视距离：120km/h.200m可视：可视角度：30°:</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亮度：≥7000cd/m2: MTBF:≥10000小时.</w:t>
            </w:r>
          </w:p>
        </w:tc>
      </w:tr>
      <w:tr w14:paraId="0FF9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89" w:type="dxa"/>
            <w:gridSpan w:val="7"/>
            <w:shd w:val="clear" w:color="auto" w:fill="auto"/>
            <w:vAlign w:val="center"/>
          </w:tcPr>
          <w:p w14:paraId="60AE7A6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高清卡口车牌识别录像系统</w:t>
            </w:r>
          </w:p>
        </w:tc>
      </w:tr>
      <w:tr w14:paraId="5474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4" w:type="dxa"/>
            <w:shd w:val="clear" w:color="auto" w:fill="auto"/>
            <w:vAlign w:val="center"/>
          </w:tcPr>
          <w:p w14:paraId="6CF51F5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9</w:t>
            </w:r>
          </w:p>
        </w:tc>
        <w:tc>
          <w:tcPr>
            <w:tcW w:w="1230" w:type="dxa"/>
            <w:shd w:val="clear" w:color="auto" w:fill="auto"/>
            <w:vAlign w:val="center"/>
          </w:tcPr>
          <w:p w14:paraId="5AC79CFC">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高清卡口车牌系统</w:t>
            </w:r>
          </w:p>
        </w:tc>
        <w:tc>
          <w:tcPr>
            <w:tcW w:w="1185" w:type="dxa"/>
            <w:shd w:val="clear" w:color="auto" w:fill="auto"/>
            <w:vAlign w:val="center"/>
          </w:tcPr>
          <w:p w14:paraId="7D5521E2">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080" w:type="dxa"/>
            <w:shd w:val="clear" w:color="auto" w:fill="auto"/>
            <w:vAlign w:val="center"/>
          </w:tcPr>
          <w:p w14:paraId="0AA7F565">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VCU-901CIT/SF</w:t>
            </w:r>
          </w:p>
        </w:tc>
        <w:tc>
          <w:tcPr>
            <w:tcW w:w="900" w:type="dxa"/>
            <w:shd w:val="clear" w:color="auto" w:fill="auto"/>
            <w:vAlign w:val="center"/>
          </w:tcPr>
          <w:p w14:paraId="4FD1D48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w:t>
            </w:r>
          </w:p>
        </w:tc>
        <w:tc>
          <w:tcPr>
            <w:tcW w:w="606" w:type="dxa"/>
            <w:shd w:val="clear" w:color="auto" w:fill="auto"/>
            <w:vAlign w:val="center"/>
          </w:tcPr>
          <w:p w14:paraId="63EF4DD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524" w:type="dxa"/>
            <w:shd w:val="clear" w:color="auto" w:fill="auto"/>
            <w:noWrap/>
            <w:vAlign w:val="center"/>
          </w:tcPr>
          <w:p w14:paraId="47A237B2">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1/1.8英寸500万像素逐行扫描CCD智能高清摄像机：</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分 辨 率 ：1600(H)×1200(V).3路(光揭隔离2500VAC),支持闪光灯和LED 频闪灯同步补光及同步输出控制：</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高清卡口系统应具备车型识别功能，能通过视频分析技术识别车辆类型。 至少应能识别轿车、客车、面包车、大货车、小货车、中型客车、SUV-MVP  车型等七种车型。</w:t>
            </w:r>
          </w:p>
        </w:tc>
      </w:tr>
      <w:tr w14:paraId="7E2A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4" w:type="dxa"/>
            <w:shd w:val="clear" w:color="auto" w:fill="auto"/>
            <w:vAlign w:val="center"/>
          </w:tcPr>
          <w:p w14:paraId="54E0FB6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10</w:t>
            </w:r>
          </w:p>
        </w:tc>
        <w:tc>
          <w:tcPr>
            <w:tcW w:w="1230" w:type="dxa"/>
            <w:shd w:val="clear" w:color="auto" w:fill="auto"/>
            <w:vAlign w:val="center"/>
          </w:tcPr>
          <w:p w14:paraId="26A92CEF">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闪光灯</w:t>
            </w:r>
          </w:p>
        </w:tc>
        <w:tc>
          <w:tcPr>
            <w:tcW w:w="1185" w:type="dxa"/>
            <w:shd w:val="clear" w:color="auto" w:fill="auto"/>
            <w:vAlign w:val="center"/>
          </w:tcPr>
          <w:p w14:paraId="6157F723">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080" w:type="dxa"/>
            <w:shd w:val="clear" w:color="auto" w:fill="auto"/>
            <w:vAlign w:val="center"/>
          </w:tcPr>
          <w:p w14:paraId="5ECEFFA8">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SL-1211-1/C</w:t>
            </w:r>
          </w:p>
        </w:tc>
        <w:tc>
          <w:tcPr>
            <w:tcW w:w="900" w:type="dxa"/>
            <w:shd w:val="clear" w:color="auto" w:fill="auto"/>
            <w:vAlign w:val="center"/>
          </w:tcPr>
          <w:p w14:paraId="4CAC914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3</w:t>
            </w:r>
          </w:p>
        </w:tc>
        <w:tc>
          <w:tcPr>
            <w:tcW w:w="606" w:type="dxa"/>
            <w:shd w:val="clear" w:color="auto" w:fill="auto"/>
            <w:vAlign w:val="center"/>
          </w:tcPr>
          <w:p w14:paraId="2D3E9A9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台</w:t>
            </w:r>
          </w:p>
        </w:tc>
        <w:tc>
          <w:tcPr>
            <w:tcW w:w="4524" w:type="dxa"/>
            <w:shd w:val="clear" w:color="auto" w:fill="auto"/>
            <w:noWrap/>
            <w:vAlign w:val="center"/>
          </w:tcPr>
          <w:p w14:paraId="3C60E6F6">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可以准确的控制放电能量：该系列补光灯回电速度快，支持间隔67ms连续闪 光，单次放电能量在35焦耳的情况下，寿命可高达2000万次：闪光持续时间短。拍摄高速运动物体(如抓拍超速汽车等),可以清晰定格。不拖尾：</w:t>
            </w:r>
          </w:p>
        </w:tc>
      </w:tr>
      <w:tr w14:paraId="4552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4" w:type="dxa"/>
            <w:shd w:val="clear" w:color="auto" w:fill="auto"/>
            <w:vAlign w:val="center"/>
          </w:tcPr>
          <w:p w14:paraId="1A81642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11</w:t>
            </w:r>
          </w:p>
        </w:tc>
        <w:tc>
          <w:tcPr>
            <w:tcW w:w="1230" w:type="dxa"/>
            <w:shd w:val="clear" w:color="auto" w:fill="auto"/>
            <w:vAlign w:val="center"/>
          </w:tcPr>
          <w:p w14:paraId="2041275E">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频闪灯</w:t>
            </w:r>
          </w:p>
        </w:tc>
        <w:tc>
          <w:tcPr>
            <w:tcW w:w="1185" w:type="dxa"/>
            <w:shd w:val="clear" w:color="auto" w:fill="auto"/>
            <w:vAlign w:val="center"/>
          </w:tcPr>
          <w:p w14:paraId="49C3D18E">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080" w:type="dxa"/>
            <w:shd w:val="clear" w:color="auto" w:fill="auto"/>
            <w:vAlign w:val="center"/>
          </w:tcPr>
          <w:p w14:paraId="5FED946D">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SL-2102</w:t>
            </w:r>
          </w:p>
        </w:tc>
        <w:tc>
          <w:tcPr>
            <w:tcW w:w="900" w:type="dxa"/>
            <w:shd w:val="clear" w:color="auto" w:fill="auto"/>
            <w:vAlign w:val="center"/>
          </w:tcPr>
          <w:p w14:paraId="7A12FE9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3</w:t>
            </w:r>
          </w:p>
        </w:tc>
        <w:tc>
          <w:tcPr>
            <w:tcW w:w="606" w:type="dxa"/>
            <w:shd w:val="clear" w:color="auto" w:fill="auto"/>
            <w:vAlign w:val="center"/>
          </w:tcPr>
          <w:p w14:paraId="68FCBFF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台</w:t>
            </w:r>
          </w:p>
        </w:tc>
        <w:tc>
          <w:tcPr>
            <w:tcW w:w="4524" w:type="dxa"/>
            <w:shd w:val="clear" w:color="auto" w:fill="auto"/>
            <w:noWrap/>
            <w:vAlign w:val="center"/>
          </w:tcPr>
          <w:p w14:paraId="69F18D78">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光通量≥18001m,色温6700K,外壳材质金属铝，响应时间≤100μs,触发 方式电平，+5VDC,频率支持以频闪频率100Hz,占空比25%连续工作，发光 角度14°,有效补光距离16m~-21m,电压100VAC-240VAC,频率：48Hz~-52Hz,功耗平均28W(@100Hz.25%占空比),峰值90W,工作寿命≥50000小时，工作环境温度-20℃~+50℃:工作环境湿度10%~-90%040℃,无凝结 防护等级IP65</w:t>
            </w:r>
          </w:p>
        </w:tc>
      </w:tr>
      <w:tr w14:paraId="3E6A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4" w:type="dxa"/>
            <w:shd w:val="clear" w:color="auto" w:fill="auto"/>
            <w:vAlign w:val="center"/>
          </w:tcPr>
          <w:p w14:paraId="37B7AA8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12</w:t>
            </w:r>
          </w:p>
        </w:tc>
        <w:tc>
          <w:tcPr>
            <w:tcW w:w="1230" w:type="dxa"/>
            <w:shd w:val="clear" w:color="auto" w:fill="auto"/>
            <w:vAlign w:val="center"/>
          </w:tcPr>
          <w:p w14:paraId="655D4A34">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全景摄像机</w:t>
            </w:r>
          </w:p>
        </w:tc>
        <w:tc>
          <w:tcPr>
            <w:tcW w:w="1185" w:type="dxa"/>
            <w:shd w:val="clear" w:color="auto" w:fill="auto"/>
            <w:vAlign w:val="center"/>
          </w:tcPr>
          <w:p w14:paraId="75342712">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080" w:type="dxa"/>
            <w:shd w:val="clear" w:color="auto" w:fill="auto"/>
            <w:vAlign w:val="center"/>
          </w:tcPr>
          <w:p w14:paraId="0F63C2DB">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MCU-2A2E</w:t>
            </w:r>
          </w:p>
        </w:tc>
        <w:tc>
          <w:tcPr>
            <w:tcW w:w="900" w:type="dxa"/>
            <w:shd w:val="clear" w:color="auto" w:fill="auto"/>
            <w:vAlign w:val="center"/>
          </w:tcPr>
          <w:p w14:paraId="593EA70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606" w:type="dxa"/>
            <w:shd w:val="clear" w:color="auto" w:fill="auto"/>
            <w:vAlign w:val="center"/>
          </w:tcPr>
          <w:p w14:paraId="5DACCFD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524" w:type="dxa"/>
            <w:shd w:val="clear" w:color="auto" w:fill="auto"/>
            <w:noWrap/>
            <w:vAlign w:val="center"/>
          </w:tcPr>
          <w:p w14:paraId="23F01CE1">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采用200万CM0S ICR日夜切换型枪型智能网络摄像机，最大分辨率可达 1920×1080,最大帧率达25帧：</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内置网络信号防雷器：输出图片格式：JPEG,支持H.264码流输出：支持常  亮灯补光：支持全画面分析、车牌号码识别及车牌颜色识别：白天：第一车 道(靠近立杆)车辆捕获率≥90%,第二车道车辆捕获率≥80%,第三车道车</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辆捕获率≥70%:夜间环境亮度高于701ux,捕获率≥70%:</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车辆号牌全天识别率为85%,号牌识别准确率为80%;识别车牌种类多：民 用车牌(除5小车辆),警用车牌。2012式新军用车牌。2012式武警车牌：</w:t>
            </w:r>
          </w:p>
        </w:tc>
      </w:tr>
      <w:tr w14:paraId="705E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4" w:type="dxa"/>
            <w:shd w:val="clear" w:color="auto" w:fill="auto"/>
            <w:vAlign w:val="center"/>
          </w:tcPr>
          <w:p w14:paraId="5D1FB5D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13</w:t>
            </w:r>
          </w:p>
        </w:tc>
        <w:tc>
          <w:tcPr>
            <w:tcW w:w="1230" w:type="dxa"/>
            <w:shd w:val="clear" w:color="auto" w:fill="auto"/>
            <w:vAlign w:val="center"/>
          </w:tcPr>
          <w:p w14:paraId="7D562FEC">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道路监控球机</w:t>
            </w:r>
          </w:p>
        </w:tc>
        <w:tc>
          <w:tcPr>
            <w:tcW w:w="1185" w:type="dxa"/>
            <w:shd w:val="clear" w:color="auto" w:fill="auto"/>
            <w:vAlign w:val="center"/>
          </w:tcPr>
          <w:p w14:paraId="3A0AC2B6">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080" w:type="dxa"/>
            <w:shd w:val="clear" w:color="auto" w:fill="auto"/>
            <w:vAlign w:val="center"/>
          </w:tcPr>
          <w:p w14:paraId="1C46CD93">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DS-2DF8223F-I</w:t>
            </w:r>
          </w:p>
        </w:tc>
        <w:tc>
          <w:tcPr>
            <w:tcW w:w="900" w:type="dxa"/>
            <w:shd w:val="clear" w:color="auto" w:fill="auto"/>
            <w:vAlign w:val="center"/>
          </w:tcPr>
          <w:p w14:paraId="62CA935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606" w:type="dxa"/>
            <w:shd w:val="clear" w:color="auto" w:fill="auto"/>
            <w:vAlign w:val="center"/>
          </w:tcPr>
          <w:p w14:paraId="7E8B720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524" w:type="dxa"/>
            <w:shd w:val="clear" w:color="auto" w:fill="auto"/>
            <w:noWrap/>
            <w:vAlign w:val="center"/>
          </w:tcPr>
          <w:p w14:paraId="1D96E819">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200万/23信光学/星光级超低照度/光学宽动态120dB/3D降噪/低码率/ROI/</w:t>
            </w:r>
          </w:p>
        </w:tc>
      </w:tr>
      <w:tr w14:paraId="253B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89" w:type="dxa"/>
            <w:gridSpan w:val="7"/>
            <w:shd w:val="clear" w:color="auto" w:fill="auto"/>
            <w:vAlign w:val="center"/>
          </w:tcPr>
          <w:p w14:paraId="4EBAEC9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光传输设备及线缆</w:t>
            </w:r>
          </w:p>
        </w:tc>
      </w:tr>
      <w:tr w14:paraId="67ED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4" w:type="dxa"/>
            <w:shd w:val="clear" w:color="auto" w:fill="auto"/>
            <w:vAlign w:val="center"/>
          </w:tcPr>
          <w:p w14:paraId="17353E3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14</w:t>
            </w:r>
          </w:p>
        </w:tc>
        <w:tc>
          <w:tcPr>
            <w:tcW w:w="1230" w:type="dxa"/>
            <w:shd w:val="clear" w:color="auto" w:fill="auto"/>
            <w:vAlign w:val="center"/>
          </w:tcPr>
          <w:p w14:paraId="232E3927">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发射端光端机</w:t>
            </w:r>
          </w:p>
        </w:tc>
        <w:tc>
          <w:tcPr>
            <w:tcW w:w="1185" w:type="dxa"/>
            <w:shd w:val="clear" w:color="auto" w:fill="auto"/>
            <w:vAlign w:val="center"/>
          </w:tcPr>
          <w:p w14:paraId="3EA3080E">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080" w:type="dxa"/>
            <w:shd w:val="clear" w:color="auto" w:fill="auto"/>
            <w:vAlign w:val="center"/>
          </w:tcPr>
          <w:p w14:paraId="126F586A">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DS-3D01T-A</w:t>
            </w:r>
          </w:p>
        </w:tc>
        <w:tc>
          <w:tcPr>
            <w:tcW w:w="900" w:type="dxa"/>
            <w:shd w:val="clear" w:color="auto" w:fill="auto"/>
            <w:vAlign w:val="center"/>
          </w:tcPr>
          <w:p w14:paraId="06F561C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606" w:type="dxa"/>
            <w:shd w:val="clear" w:color="auto" w:fill="auto"/>
            <w:vAlign w:val="center"/>
          </w:tcPr>
          <w:p w14:paraId="429D919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台</w:t>
            </w:r>
          </w:p>
        </w:tc>
        <w:tc>
          <w:tcPr>
            <w:tcW w:w="4524" w:type="dxa"/>
            <w:shd w:val="clear" w:color="auto" w:fill="auto"/>
            <w:noWrap/>
            <w:vAlign w:val="center"/>
          </w:tcPr>
          <w:p w14:paraId="7530A4C1">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1口百兆光纤收发器发送机，4个百兆电口，1个百兆光口，FC接口，20公里</w:t>
            </w:r>
          </w:p>
        </w:tc>
      </w:tr>
      <w:tr w14:paraId="49EF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4" w:type="dxa"/>
            <w:shd w:val="clear" w:color="auto" w:fill="auto"/>
            <w:vAlign w:val="center"/>
          </w:tcPr>
          <w:p w14:paraId="0F7751D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15</w:t>
            </w:r>
          </w:p>
        </w:tc>
        <w:tc>
          <w:tcPr>
            <w:tcW w:w="1230" w:type="dxa"/>
            <w:shd w:val="clear" w:color="auto" w:fill="auto"/>
            <w:vAlign w:val="center"/>
          </w:tcPr>
          <w:p w14:paraId="59899A39">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接收端光端机</w:t>
            </w:r>
          </w:p>
        </w:tc>
        <w:tc>
          <w:tcPr>
            <w:tcW w:w="1185" w:type="dxa"/>
            <w:shd w:val="clear" w:color="auto" w:fill="auto"/>
            <w:vAlign w:val="center"/>
          </w:tcPr>
          <w:p w14:paraId="7D3F1318">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080" w:type="dxa"/>
            <w:shd w:val="clear" w:color="auto" w:fill="auto"/>
            <w:vAlign w:val="center"/>
          </w:tcPr>
          <w:p w14:paraId="1E64186E">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DS-3D01T-A</w:t>
            </w:r>
          </w:p>
        </w:tc>
        <w:tc>
          <w:tcPr>
            <w:tcW w:w="900" w:type="dxa"/>
            <w:shd w:val="clear" w:color="auto" w:fill="auto"/>
            <w:vAlign w:val="center"/>
          </w:tcPr>
          <w:p w14:paraId="299E367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606" w:type="dxa"/>
            <w:shd w:val="clear" w:color="auto" w:fill="auto"/>
            <w:vAlign w:val="center"/>
          </w:tcPr>
          <w:p w14:paraId="6480889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台</w:t>
            </w:r>
          </w:p>
        </w:tc>
        <w:tc>
          <w:tcPr>
            <w:tcW w:w="4524" w:type="dxa"/>
            <w:shd w:val="clear" w:color="auto" w:fill="auto"/>
            <w:noWrap/>
            <w:vAlign w:val="center"/>
          </w:tcPr>
          <w:p w14:paraId="279AB04A">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1口百兆光纤收发器发送机，4个百兆电口，1个百兆光口，FC接口，20公里</w:t>
            </w:r>
          </w:p>
        </w:tc>
      </w:tr>
      <w:tr w14:paraId="3504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4" w:type="dxa"/>
            <w:shd w:val="clear" w:color="auto" w:fill="auto"/>
            <w:vAlign w:val="center"/>
          </w:tcPr>
          <w:p w14:paraId="2DD7149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16</w:t>
            </w:r>
          </w:p>
        </w:tc>
        <w:tc>
          <w:tcPr>
            <w:tcW w:w="1230" w:type="dxa"/>
            <w:shd w:val="clear" w:color="auto" w:fill="auto"/>
            <w:vAlign w:val="center"/>
          </w:tcPr>
          <w:p w14:paraId="5FAAA5C6">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电力电缆1</w:t>
            </w:r>
          </w:p>
        </w:tc>
        <w:tc>
          <w:tcPr>
            <w:tcW w:w="1185" w:type="dxa"/>
            <w:shd w:val="clear" w:color="auto" w:fill="auto"/>
            <w:vAlign w:val="center"/>
          </w:tcPr>
          <w:p w14:paraId="0B3AAF97">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一舟</w:t>
            </w:r>
          </w:p>
        </w:tc>
        <w:tc>
          <w:tcPr>
            <w:tcW w:w="1080" w:type="dxa"/>
            <w:shd w:val="clear" w:color="auto" w:fill="auto"/>
            <w:vAlign w:val="center"/>
          </w:tcPr>
          <w:p w14:paraId="3BA3C1AB">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RVV3X1</w:t>
            </w:r>
          </w:p>
        </w:tc>
        <w:tc>
          <w:tcPr>
            <w:tcW w:w="900" w:type="dxa"/>
            <w:shd w:val="clear" w:color="auto" w:fill="auto"/>
            <w:vAlign w:val="center"/>
          </w:tcPr>
          <w:p w14:paraId="67A0515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280</w:t>
            </w:r>
          </w:p>
        </w:tc>
        <w:tc>
          <w:tcPr>
            <w:tcW w:w="606" w:type="dxa"/>
            <w:shd w:val="clear" w:color="auto" w:fill="auto"/>
            <w:vAlign w:val="center"/>
          </w:tcPr>
          <w:p w14:paraId="0D1970D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524" w:type="dxa"/>
            <w:shd w:val="clear" w:color="auto" w:fill="auto"/>
            <w:noWrap/>
            <w:vAlign w:val="center"/>
          </w:tcPr>
          <w:p w14:paraId="34FF72AE">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RVV3X1</w:t>
            </w:r>
          </w:p>
        </w:tc>
      </w:tr>
      <w:tr w14:paraId="6D74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4" w:type="dxa"/>
            <w:shd w:val="clear" w:color="auto" w:fill="auto"/>
            <w:vAlign w:val="center"/>
          </w:tcPr>
          <w:p w14:paraId="73FCA31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17</w:t>
            </w:r>
          </w:p>
        </w:tc>
        <w:tc>
          <w:tcPr>
            <w:tcW w:w="1230" w:type="dxa"/>
            <w:shd w:val="clear" w:color="auto" w:fill="auto"/>
            <w:vAlign w:val="center"/>
          </w:tcPr>
          <w:p w14:paraId="40297B14">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电力电缆2</w:t>
            </w:r>
          </w:p>
        </w:tc>
        <w:tc>
          <w:tcPr>
            <w:tcW w:w="1185" w:type="dxa"/>
            <w:shd w:val="clear" w:color="auto" w:fill="auto"/>
            <w:vAlign w:val="center"/>
          </w:tcPr>
          <w:p w14:paraId="0F6E6BAE">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蓝天</w:t>
            </w:r>
          </w:p>
        </w:tc>
        <w:tc>
          <w:tcPr>
            <w:tcW w:w="1080" w:type="dxa"/>
            <w:shd w:val="clear" w:color="auto" w:fill="auto"/>
            <w:vAlign w:val="center"/>
          </w:tcPr>
          <w:p w14:paraId="4B764183">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YJLV22 2*16</w:t>
            </w:r>
          </w:p>
        </w:tc>
        <w:tc>
          <w:tcPr>
            <w:tcW w:w="900" w:type="dxa"/>
            <w:shd w:val="clear" w:color="auto" w:fill="auto"/>
            <w:vAlign w:val="center"/>
          </w:tcPr>
          <w:p w14:paraId="6E10511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300</w:t>
            </w:r>
          </w:p>
        </w:tc>
        <w:tc>
          <w:tcPr>
            <w:tcW w:w="606" w:type="dxa"/>
            <w:shd w:val="clear" w:color="auto" w:fill="auto"/>
            <w:vAlign w:val="center"/>
          </w:tcPr>
          <w:p w14:paraId="34A310D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524" w:type="dxa"/>
            <w:shd w:val="clear" w:color="auto" w:fill="auto"/>
            <w:noWrap/>
            <w:vAlign w:val="center"/>
          </w:tcPr>
          <w:p w14:paraId="55E67915">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yjlv222*16</w:t>
            </w:r>
          </w:p>
        </w:tc>
      </w:tr>
      <w:tr w14:paraId="783A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4" w:type="dxa"/>
            <w:shd w:val="clear" w:color="auto" w:fill="auto"/>
            <w:vAlign w:val="center"/>
          </w:tcPr>
          <w:p w14:paraId="79506B4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18</w:t>
            </w:r>
          </w:p>
        </w:tc>
        <w:tc>
          <w:tcPr>
            <w:tcW w:w="1230" w:type="dxa"/>
            <w:shd w:val="clear" w:color="auto" w:fill="auto"/>
            <w:vAlign w:val="center"/>
          </w:tcPr>
          <w:p w14:paraId="02B7280D">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光缆</w:t>
            </w:r>
          </w:p>
        </w:tc>
        <w:tc>
          <w:tcPr>
            <w:tcW w:w="1185" w:type="dxa"/>
            <w:shd w:val="clear" w:color="auto" w:fill="auto"/>
            <w:vAlign w:val="center"/>
          </w:tcPr>
          <w:p w14:paraId="301362D7">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一舟</w:t>
            </w:r>
          </w:p>
        </w:tc>
        <w:tc>
          <w:tcPr>
            <w:tcW w:w="1080" w:type="dxa"/>
            <w:shd w:val="clear" w:color="auto" w:fill="auto"/>
            <w:vAlign w:val="center"/>
          </w:tcPr>
          <w:p w14:paraId="00F05E22">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单模四芯</w:t>
            </w:r>
          </w:p>
        </w:tc>
        <w:tc>
          <w:tcPr>
            <w:tcW w:w="900" w:type="dxa"/>
            <w:shd w:val="clear" w:color="auto" w:fill="auto"/>
            <w:vAlign w:val="center"/>
          </w:tcPr>
          <w:p w14:paraId="7B40549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600</w:t>
            </w:r>
          </w:p>
        </w:tc>
        <w:tc>
          <w:tcPr>
            <w:tcW w:w="606" w:type="dxa"/>
            <w:shd w:val="clear" w:color="auto" w:fill="auto"/>
            <w:vAlign w:val="center"/>
          </w:tcPr>
          <w:p w14:paraId="5F71530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524" w:type="dxa"/>
            <w:shd w:val="clear" w:color="auto" w:fill="auto"/>
            <w:noWrap/>
            <w:vAlign w:val="center"/>
          </w:tcPr>
          <w:p w14:paraId="4B493957">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单模四芯</w:t>
            </w:r>
          </w:p>
        </w:tc>
      </w:tr>
      <w:tr w14:paraId="52F59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4" w:type="dxa"/>
            <w:shd w:val="clear" w:color="auto" w:fill="auto"/>
            <w:vAlign w:val="center"/>
          </w:tcPr>
          <w:p w14:paraId="119B85D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19</w:t>
            </w:r>
          </w:p>
        </w:tc>
        <w:tc>
          <w:tcPr>
            <w:tcW w:w="1230" w:type="dxa"/>
            <w:shd w:val="clear" w:color="auto" w:fill="auto"/>
            <w:vAlign w:val="center"/>
          </w:tcPr>
          <w:p w14:paraId="4173C1C0">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网线</w:t>
            </w:r>
          </w:p>
        </w:tc>
        <w:tc>
          <w:tcPr>
            <w:tcW w:w="1185" w:type="dxa"/>
            <w:shd w:val="clear" w:color="auto" w:fill="auto"/>
            <w:vAlign w:val="center"/>
          </w:tcPr>
          <w:p w14:paraId="746BC1FA">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一舟</w:t>
            </w:r>
          </w:p>
        </w:tc>
        <w:tc>
          <w:tcPr>
            <w:tcW w:w="1080" w:type="dxa"/>
            <w:shd w:val="clear" w:color="auto" w:fill="auto"/>
            <w:vAlign w:val="center"/>
          </w:tcPr>
          <w:p w14:paraId="21BE80CF">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超五类网线</w:t>
            </w:r>
          </w:p>
        </w:tc>
        <w:tc>
          <w:tcPr>
            <w:tcW w:w="900" w:type="dxa"/>
            <w:shd w:val="clear" w:color="auto" w:fill="auto"/>
            <w:vAlign w:val="center"/>
          </w:tcPr>
          <w:p w14:paraId="65C3213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360</w:t>
            </w:r>
          </w:p>
        </w:tc>
        <w:tc>
          <w:tcPr>
            <w:tcW w:w="606" w:type="dxa"/>
            <w:shd w:val="clear" w:color="auto" w:fill="auto"/>
            <w:vAlign w:val="center"/>
          </w:tcPr>
          <w:p w14:paraId="06AEF86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524" w:type="dxa"/>
            <w:shd w:val="clear" w:color="auto" w:fill="auto"/>
            <w:noWrap/>
            <w:vAlign w:val="center"/>
          </w:tcPr>
          <w:p w14:paraId="3B009D99">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超五类网线</w:t>
            </w:r>
          </w:p>
        </w:tc>
      </w:tr>
      <w:tr w14:paraId="7349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4" w:type="dxa"/>
            <w:shd w:val="clear" w:color="auto" w:fill="auto"/>
            <w:vAlign w:val="center"/>
          </w:tcPr>
          <w:p w14:paraId="5928764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20</w:t>
            </w:r>
          </w:p>
        </w:tc>
        <w:tc>
          <w:tcPr>
            <w:tcW w:w="1230" w:type="dxa"/>
            <w:shd w:val="clear" w:color="auto" w:fill="auto"/>
            <w:vAlign w:val="center"/>
          </w:tcPr>
          <w:p w14:paraId="5B3F61C1">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线圈线</w:t>
            </w:r>
          </w:p>
        </w:tc>
        <w:tc>
          <w:tcPr>
            <w:tcW w:w="1185" w:type="dxa"/>
            <w:shd w:val="clear" w:color="auto" w:fill="auto"/>
            <w:vAlign w:val="center"/>
          </w:tcPr>
          <w:p w14:paraId="55864F3E">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上海申巨</w:t>
            </w:r>
          </w:p>
        </w:tc>
        <w:tc>
          <w:tcPr>
            <w:tcW w:w="1080" w:type="dxa"/>
            <w:shd w:val="clear" w:color="auto" w:fill="auto"/>
            <w:vAlign w:val="center"/>
          </w:tcPr>
          <w:p w14:paraId="70CBB1CD">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FVN49/0.26蓝/线圈线</w:t>
            </w:r>
          </w:p>
        </w:tc>
        <w:tc>
          <w:tcPr>
            <w:tcW w:w="900" w:type="dxa"/>
            <w:shd w:val="clear" w:color="auto" w:fill="auto"/>
            <w:vAlign w:val="center"/>
          </w:tcPr>
          <w:p w14:paraId="02B7693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500</w:t>
            </w:r>
          </w:p>
        </w:tc>
        <w:tc>
          <w:tcPr>
            <w:tcW w:w="606" w:type="dxa"/>
            <w:shd w:val="clear" w:color="auto" w:fill="auto"/>
            <w:vAlign w:val="center"/>
          </w:tcPr>
          <w:p w14:paraId="1626CC5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524" w:type="dxa"/>
            <w:shd w:val="clear" w:color="auto" w:fill="auto"/>
            <w:noWrap/>
            <w:vAlign w:val="center"/>
          </w:tcPr>
          <w:p w14:paraId="06B52897">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FVN49/0.26蓝/线国线</w:t>
            </w:r>
          </w:p>
        </w:tc>
      </w:tr>
      <w:tr w14:paraId="2159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89" w:type="dxa"/>
            <w:gridSpan w:val="7"/>
            <w:shd w:val="clear" w:color="auto" w:fill="auto"/>
            <w:vAlign w:val="center"/>
          </w:tcPr>
          <w:p w14:paraId="796113E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指挥中心配套设备</w:t>
            </w:r>
          </w:p>
        </w:tc>
      </w:tr>
      <w:tr w14:paraId="58CB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4" w:type="dxa"/>
            <w:shd w:val="clear" w:color="auto" w:fill="auto"/>
            <w:vAlign w:val="center"/>
          </w:tcPr>
          <w:p w14:paraId="6F1D524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21</w:t>
            </w:r>
          </w:p>
        </w:tc>
        <w:tc>
          <w:tcPr>
            <w:tcW w:w="1230" w:type="dxa"/>
            <w:shd w:val="clear" w:color="auto" w:fill="auto"/>
            <w:vAlign w:val="center"/>
          </w:tcPr>
          <w:p w14:paraId="11EAECB9">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硬盘录像机（NVR）</w:t>
            </w:r>
          </w:p>
        </w:tc>
        <w:tc>
          <w:tcPr>
            <w:tcW w:w="1185" w:type="dxa"/>
            <w:shd w:val="clear" w:color="auto" w:fill="auto"/>
            <w:vAlign w:val="center"/>
          </w:tcPr>
          <w:p w14:paraId="22BC74DE">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080" w:type="dxa"/>
            <w:shd w:val="clear" w:color="auto" w:fill="auto"/>
            <w:vAlign w:val="center"/>
          </w:tcPr>
          <w:p w14:paraId="14082737">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DS-9616N-ST</w:t>
            </w:r>
          </w:p>
        </w:tc>
        <w:tc>
          <w:tcPr>
            <w:tcW w:w="900" w:type="dxa"/>
            <w:shd w:val="clear" w:color="auto" w:fill="auto"/>
            <w:vAlign w:val="center"/>
          </w:tcPr>
          <w:p w14:paraId="19674E0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606" w:type="dxa"/>
            <w:shd w:val="clear" w:color="auto" w:fill="auto"/>
            <w:vAlign w:val="center"/>
          </w:tcPr>
          <w:p w14:paraId="62FAF46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台</w:t>
            </w:r>
          </w:p>
        </w:tc>
        <w:tc>
          <w:tcPr>
            <w:tcW w:w="4524" w:type="dxa"/>
            <w:shd w:val="clear" w:color="auto" w:fill="auto"/>
            <w:noWrap/>
            <w:vAlign w:val="center"/>
          </w:tcPr>
          <w:p w14:paraId="779BF932">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2U标准机架式IP存储，DSP+ARM架构，</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嵌入式软硬件设计：8个SATA热插拔盘位。前置插槽式硬盘安装方式：支持 RAID 0、1、5、10多种RAID模式及全局热备，多重保护数据安全：支持关键视频添加标签和加锁保护、N+1备机冗余、断网智能补录：支持智能搜素、 智能回放及备份功能。</w:t>
            </w:r>
          </w:p>
        </w:tc>
      </w:tr>
      <w:tr w14:paraId="7176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4" w:type="dxa"/>
            <w:shd w:val="clear" w:color="auto" w:fill="auto"/>
            <w:vAlign w:val="center"/>
          </w:tcPr>
          <w:p w14:paraId="7E4DF36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22</w:t>
            </w:r>
          </w:p>
        </w:tc>
        <w:tc>
          <w:tcPr>
            <w:tcW w:w="1230" w:type="dxa"/>
            <w:shd w:val="clear" w:color="auto" w:fill="auto"/>
            <w:vAlign w:val="center"/>
          </w:tcPr>
          <w:p w14:paraId="4F37A846">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监控级硬盘</w:t>
            </w:r>
          </w:p>
        </w:tc>
        <w:tc>
          <w:tcPr>
            <w:tcW w:w="1185" w:type="dxa"/>
            <w:shd w:val="clear" w:color="auto" w:fill="auto"/>
            <w:vAlign w:val="center"/>
          </w:tcPr>
          <w:p w14:paraId="786EEE62">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080" w:type="dxa"/>
            <w:shd w:val="clear" w:color="auto" w:fill="auto"/>
            <w:vAlign w:val="center"/>
          </w:tcPr>
          <w:p w14:paraId="3117C229">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3TB</w:t>
            </w:r>
          </w:p>
        </w:tc>
        <w:tc>
          <w:tcPr>
            <w:tcW w:w="900" w:type="dxa"/>
            <w:shd w:val="clear" w:color="auto" w:fill="auto"/>
            <w:vAlign w:val="center"/>
          </w:tcPr>
          <w:p w14:paraId="027A12A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8</w:t>
            </w:r>
          </w:p>
        </w:tc>
        <w:tc>
          <w:tcPr>
            <w:tcW w:w="606" w:type="dxa"/>
            <w:shd w:val="clear" w:color="auto" w:fill="auto"/>
            <w:vAlign w:val="center"/>
          </w:tcPr>
          <w:p w14:paraId="14F63AE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块</w:t>
            </w:r>
          </w:p>
        </w:tc>
        <w:tc>
          <w:tcPr>
            <w:tcW w:w="4524" w:type="dxa"/>
            <w:shd w:val="clear" w:color="auto" w:fill="auto"/>
            <w:noWrap/>
            <w:vAlign w:val="center"/>
          </w:tcPr>
          <w:p w14:paraId="72BC21D3">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7200转，2tb</w:t>
            </w:r>
          </w:p>
        </w:tc>
      </w:tr>
      <w:tr w14:paraId="5D6E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4" w:type="dxa"/>
            <w:shd w:val="clear" w:color="auto" w:fill="auto"/>
            <w:vAlign w:val="center"/>
          </w:tcPr>
          <w:p w14:paraId="175074E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23</w:t>
            </w:r>
          </w:p>
        </w:tc>
        <w:tc>
          <w:tcPr>
            <w:tcW w:w="1230" w:type="dxa"/>
            <w:shd w:val="clear" w:color="auto" w:fill="auto"/>
            <w:vAlign w:val="center"/>
          </w:tcPr>
          <w:p w14:paraId="4F8045C2">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服务器</w:t>
            </w:r>
          </w:p>
        </w:tc>
        <w:tc>
          <w:tcPr>
            <w:tcW w:w="1185" w:type="dxa"/>
            <w:shd w:val="clear" w:color="auto" w:fill="auto"/>
            <w:vAlign w:val="center"/>
          </w:tcPr>
          <w:p w14:paraId="4EA16502">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DELL</w:t>
            </w:r>
          </w:p>
        </w:tc>
        <w:tc>
          <w:tcPr>
            <w:tcW w:w="1080" w:type="dxa"/>
            <w:shd w:val="clear" w:color="auto" w:fill="auto"/>
            <w:vAlign w:val="center"/>
          </w:tcPr>
          <w:p w14:paraId="3290C027">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R720</w:t>
            </w:r>
          </w:p>
        </w:tc>
        <w:tc>
          <w:tcPr>
            <w:tcW w:w="900" w:type="dxa"/>
            <w:shd w:val="clear" w:color="auto" w:fill="auto"/>
            <w:vAlign w:val="center"/>
          </w:tcPr>
          <w:p w14:paraId="2959A5B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606" w:type="dxa"/>
            <w:shd w:val="clear" w:color="auto" w:fill="auto"/>
            <w:vAlign w:val="center"/>
          </w:tcPr>
          <w:p w14:paraId="4B59A42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台</w:t>
            </w:r>
          </w:p>
        </w:tc>
        <w:tc>
          <w:tcPr>
            <w:tcW w:w="4524" w:type="dxa"/>
            <w:shd w:val="clear" w:color="auto" w:fill="auto"/>
            <w:noWrap/>
            <w:vAlign w:val="center"/>
          </w:tcPr>
          <w:p w14:paraId="4400F466">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CPU:E5-26092颗Inte1 Quad-CoreXeon E56704C 2.40GHz 12MB Cache 1066MHz 80w,4*4GB DDR3内存，300G*2SATA,,750%,DVD,H310</w:t>
            </w:r>
          </w:p>
        </w:tc>
      </w:tr>
      <w:tr w14:paraId="37AF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4" w:type="dxa"/>
            <w:shd w:val="clear" w:color="auto" w:fill="auto"/>
            <w:vAlign w:val="center"/>
          </w:tcPr>
          <w:p w14:paraId="06D67A9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24</w:t>
            </w:r>
          </w:p>
        </w:tc>
        <w:tc>
          <w:tcPr>
            <w:tcW w:w="1230" w:type="dxa"/>
            <w:shd w:val="clear" w:color="auto" w:fill="auto"/>
            <w:vAlign w:val="center"/>
          </w:tcPr>
          <w:p w14:paraId="5A0EDBDA">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工作站</w:t>
            </w:r>
          </w:p>
        </w:tc>
        <w:tc>
          <w:tcPr>
            <w:tcW w:w="1185" w:type="dxa"/>
            <w:shd w:val="clear" w:color="auto" w:fill="auto"/>
            <w:vAlign w:val="center"/>
          </w:tcPr>
          <w:p w14:paraId="59E70C74">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联想</w:t>
            </w:r>
          </w:p>
        </w:tc>
        <w:tc>
          <w:tcPr>
            <w:tcW w:w="1080" w:type="dxa"/>
            <w:shd w:val="clear" w:color="auto" w:fill="auto"/>
            <w:vAlign w:val="center"/>
          </w:tcPr>
          <w:p w14:paraId="729B52CC">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启天M4550</w:t>
            </w:r>
          </w:p>
        </w:tc>
        <w:tc>
          <w:tcPr>
            <w:tcW w:w="900" w:type="dxa"/>
            <w:shd w:val="clear" w:color="auto" w:fill="auto"/>
            <w:vAlign w:val="center"/>
          </w:tcPr>
          <w:p w14:paraId="53CF5CB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606" w:type="dxa"/>
            <w:shd w:val="clear" w:color="auto" w:fill="auto"/>
            <w:vAlign w:val="center"/>
          </w:tcPr>
          <w:p w14:paraId="1693783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台</w:t>
            </w:r>
          </w:p>
        </w:tc>
        <w:tc>
          <w:tcPr>
            <w:tcW w:w="4524" w:type="dxa"/>
            <w:shd w:val="clear" w:color="auto" w:fill="auto"/>
            <w:noWrap/>
            <w:vAlign w:val="center"/>
          </w:tcPr>
          <w:p w14:paraId="7FD0D569">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CPU:i5-4590丨4G内存I 1T硬盘I DVD刻录I 1G独显丨有线键盘鼠 标I 19.5寸显示器</w:t>
            </w:r>
          </w:p>
        </w:tc>
      </w:tr>
      <w:tr w14:paraId="74EE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4" w:type="dxa"/>
            <w:shd w:val="clear" w:color="auto" w:fill="auto"/>
            <w:vAlign w:val="center"/>
          </w:tcPr>
          <w:p w14:paraId="3B9A658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25</w:t>
            </w:r>
          </w:p>
        </w:tc>
        <w:tc>
          <w:tcPr>
            <w:tcW w:w="1230" w:type="dxa"/>
            <w:shd w:val="clear" w:color="auto" w:fill="auto"/>
            <w:vAlign w:val="center"/>
          </w:tcPr>
          <w:p w14:paraId="193B5702">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服务器机柜</w:t>
            </w:r>
          </w:p>
        </w:tc>
        <w:tc>
          <w:tcPr>
            <w:tcW w:w="1185" w:type="dxa"/>
            <w:shd w:val="clear" w:color="auto" w:fill="auto"/>
            <w:vAlign w:val="center"/>
          </w:tcPr>
          <w:p w14:paraId="64773AC9">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图腾</w:t>
            </w:r>
          </w:p>
        </w:tc>
        <w:tc>
          <w:tcPr>
            <w:tcW w:w="1080" w:type="dxa"/>
            <w:shd w:val="clear" w:color="auto" w:fill="auto"/>
            <w:vAlign w:val="center"/>
          </w:tcPr>
          <w:p w14:paraId="2831D53E">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A36942</w:t>
            </w:r>
          </w:p>
        </w:tc>
        <w:tc>
          <w:tcPr>
            <w:tcW w:w="900" w:type="dxa"/>
            <w:shd w:val="clear" w:color="auto" w:fill="auto"/>
            <w:vAlign w:val="center"/>
          </w:tcPr>
          <w:p w14:paraId="2525A9B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606" w:type="dxa"/>
            <w:shd w:val="clear" w:color="auto" w:fill="auto"/>
            <w:vAlign w:val="center"/>
          </w:tcPr>
          <w:p w14:paraId="6B7A6FE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台</w:t>
            </w:r>
          </w:p>
        </w:tc>
        <w:tc>
          <w:tcPr>
            <w:tcW w:w="4524" w:type="dxa"/>
            <w:shd w:val="clear" w:color="auto" w:fill="auto"/>
            <w:noWrap/>
            <w:vAlign w:val="center"/>
          </w:tcPr>
          <w:p w14:paraId="6F99E4B1">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42U机柜</w:t>
            </w:r>
          </w:p>
        </w:tc>
      </w:tr>
      <w:tr w14:paraId="3043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4" w:type="dxa"/>
            <w:shd w:val="clear" w:color="auto" w:fill="auto"/>
            <w:vAlign w:val="center"/>
          </w:tcPr>
          <w:p w14:paraId="5321C3E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26</w:t>
            </w:r>
          </w:p>
        </w:tc>
        <w:tc>
          <w:tcPr>
            <w:tcW w:w="1230" w:type="dxa"/>
            <w:shd w:val="clear" w:color="auto" w:fill="auto"/>
            <w:vAlign w:val="center"/>
          </w:tcPr>
          <w:p w14:paraId="1A9BFC7B">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交换机</w:t>
            </w:r>
          </w:p>
        </w:tc>
        <w:tc>
          <w:tcPr>
            <w:tcW w:w="1185" w:type="dxa"/>
            <w:shd w:val="clear" w:color="auto" w:fill="auto"/>
            <w:vAlign w:val="center"/>
          </w:tcPr>
          <w:p w14:paraId="378DA8B1">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H3C</w:t>
            </w:r>
          </w:p>
        </w:tc>
        <w:tc>
          <w:tcPr>
            <w:tcW w:w="1080" w:type="dxa"/>
            <w:shd w:val="clear" w:color="auto" w:fill="auto"/>
            <w:vAlign w:val="center"/>
          </w:tcPr>
          <w:p w14:paraId="4C339074">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S1026T</w:t>
            </w:r>
          </w:p>
        </w:tc>
        <w:tc>
          <w:tcPr>
            <w:tcW w:w="900" w:type="dxa"/>
            <w:shd w:val="clear" w:color="auto" w:fill="auto"/>
            <w:vAlign w:val="center"/>
          </w:tcPr>
          <w:p w14:paraId="55AAD1C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w:t>
            </w:r>
          </w:p>
        </w:tc>
        <w:tc>
          <w:tcPr>
            <w:tcW w:w="606" w:type="dxa"/>
            <w:shd w:val="clear" w:color="auto" w:fill="auto"/>
            <w:vAlign w:val="center"/>
          </w:tcPr>
          <w:p w14:paraId="43C5415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台</w:t>
            </w:r>
          </w:p>
        </w:tc>
        <w:tc>
          <w:tcPr>
            <w:tcW w:w="4524" w:type="dxa"/>
            <w:shd w:val="clear" w:color="auto" w:fill="auto"/>
            <w:noWrap/>
            <w:vAlign w:val="center"/>
          </w:tcPr>
          <w:p w14:paraId="62BD73B6">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产品类型：快速以太网交换机</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应用层级：二层</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背板带宽：8.8Gbps</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包转发率：6.55Mpps</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端口结构：非模块化</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电源电压：AC 100-240V</w:t>
            </w:r>
          </w:p>
        </w:tc>
      </w:tr>
    </w:tbl>
    <w:p w14:paraId="4D908163">
      <w:pPr>
        <w:spacing w:line="360" w:lineRule="auto"/>
        <w:rPr>
          <w:rFonts w:hint="eastAsia" w:asciiTheme="minorEastAsia" w:hAnsiTheme="minorEastAsia" w:eastAsiaTheme="minorEastAsia" w:cstheme="minorEastAsia"/>
          <w:b/>
          <w:bCs/>
          <w:color w:val="auto"/>
          <w:sz w:val="24"/>
          <w:szCs w:val="24"/>
          <w:highlight w:val="none"/>
          <w:lang w:val="en-US" w:eastAsia="zh-CN"/>
        </w:rPr>
      </w:pPr>
    </w:p>
    <w:p w14:paraId="51BAA414">
      <w:pPr>
        <w:numPr>
          <w:ilvl w:val="0"/>
          <w:numId w:val="4"/>
        </w:numPr>
        <w:spacing w:line="360" w:lineRule="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点位名称：原：G351台小线247K+100</w:t>
      </w:r>
    </w:p>
    <w:tbl>
      <w:tblPr>
        <w:tblStyle w:val="29"/>
        <w:tblW w:w="10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065"/>
        <w:gridCol w:w="900"/>
        <w:gridCol w:w="1314"/>
        <w:gridCol w:w="915"/>
        <w:gridCol w:w="810"/>
        <w:gridCol w:w="4575"/>
      </w:tblGrid>
      <w:tr w14:paraId="67F95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5" w:type="dxa"/>
            <w:shd w:val="clear" w:color="auto" w:fill="auto"/>
            <w:vAlign w:val="center"/>
          </w:tcPr>
          <w:p w14:paraId="6310438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序号</w:t>
            </w:r>
          </w:p>
        </w:tc>
        <w:tc>
          <w:tcPr>
            <w:tcW w:w="1065" w:type="dxa"/>
            <w:shd w:val="clear" w:color="auto" w:fill="auto"/>
            <w:vAlign w:val="center"/>
          </w:tcPr>
          <w:p w14:paraId="2E88015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项目</w:t>
            </w:r>
          </w:p>
        </w:tc>
        <w:tc>
          <w:tcPr>
            <w:tcW w:w="900" w:type="dxa"/>
            <w:shd w:val="clear" w:color="auto" w:fill="auto"/>
            <w:vAlign w:val="center"/>
          </w:tcPr>
          <w:p w14:paraId="1470573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品牌</w:t>
            </w:r>
          </w:p>
        </w:tc>
        <w:tc>
          <w:tcPr>
            <w:tcW w:w="1314" w:type="dxa"/>
            <w:shd w:val="clear" w:color="auto" w:fill="auto"/>
            <w:vAlign w:val="center"/>
          </w:tcPr>
          <w:p w14:paraId="57DD2A5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型号</w:t>
            </w:r>
          </w:p>
        </w:tc>
        <w:tc>
          <w:tcPr>
            <w:tcW w:w="915" w:type="dxa"/>
            <w:shd w:val="clear" w:color="auto" w:fill="auto"/>
            <w:vAlign w:val="center"/>
          </w:tcPr>
          <w:p w14:paraId="548DAE1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数量</w:t>
            </w:r>
          </w:p>
        </w:tc>
        <w:tc>
          <w:tcPr>
            <w:tcW w:w="810" w:type="dxa"/>
            <w:shd w:val="clear" w:color="auto" w:fill="auto"/>
            <w:vAlign w:val="center"/>
          </w:tcPr>
          <w:p w14:paraId="534049D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单位</w:t>
            </w:r>
          </w:p>
        </w:tc>
        <w:tc>
          <w:tcPr>
            <w:tcW w:w="4575" w:type="dxa"/>
            <w:shd w:val="clear" w:color="auto" w:fill="auto"/>
            <w:vAlign w:val="center"/>
          </w:tcPr>
          <w:p w14:paraId="30B16A3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val="en-US" w:eastAsia="zh-CN"/>
              </w:rPr>
              <w:t>设备</w:t>
            </w:r>
            <w:r>
              <w:rPr>
                <w:rFonts w:hint="eastAsia" w:ascii="宋体" w:hAnsi="宋体" w:eastAsia="宋体" w:cs="宋体"/>
                <w:color w:val="auto"/>
                <w:kern w:val="0"/>
                <w:sz w:val="21"/>
                <w:szCs w:val="21"/>
              </w:rPr>
              <w:t>参数</w:t>
            </w:r>
          </w:p>
        </w:tc>
      </w:tr>
      <w:tr w14:paraId="4B2F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354" w:type="dxa"/>
            <w:gridSpan w:val="7"/>
            <w:shd w:val="clear" w:color="auto" w:fill="auto"/>
            <w:vAlign w:val="center"/>
          </w:tcPr>
          <w:p w14:paraId="335EFF35">
            <w:pPr>
              <w:jc w:val="center"/>
              <w:textAlignment w:val="center"/>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高速动态称重系统</w:t>
            </w:r>
          </w:p>
        </w:tc>
      </w:tr>
      <w:tr w14:paraId="673B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5" w:type="dxa"/>
            <w:shd w:val="clear" w:color="auto" w:fill="auto"/>
            <w:vAlign w:val="center"/>
          </w:tcPr>
          <w:p w14:paraId="52CA371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1065" w:type="dxa"/>
            <w:shd w:val="clear" w:color="auto" w:fill="auto"/>
            <w:vAlign w:val="center"/>
          </w:tcPr>
          <w:p w14:paraId="3C09E47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进口石英传感器</w:t>
            </w:r>
          </w:p>
        </w:tc>
        <w:tc>
          <w:tcPr>
            <w:tcW w:w="900" w:type="dxa"/>
            <w:shd w:val="clear" w:color="auto" w:fill="auto"/>
            <w:vAlign w:val="center"/>
          </w:tcPr>
          <w:p w14:paraId="3EC26C5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KISTLERLINEAS</w:t>
            </w:r>
          </w:p>
        </w:tc>
        <w:tc>
          <w:tcPr>
            <w:tcW w:w="1314" w:type="dxa"/>
            <w:shd w:val="clear" w:color="auto" w:fill="auto"/>
            <w:vAlign w:val="center"/>
          </w:tcPr>
          <w:p w14:paraId="50A85EE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9195GCx11(x-3, 4. 5)</w:t>
            </w:r>
          </w:p>
        </w:tc>
        <w:tc>
          <w:tcPr>
            <w:tcW w:w="915" w:type="dxa"/>
            <w:shd w:val="clear" w:color="auto" w:fill="auto"/>
            <w:vAlign w:val="center"/>
          </w:tcPr>
          <w:p w14:paraId="509ED29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28.5</w:t>
            </w:r>
          </w:p>
        </w:tc>
        <w:tc>
          <w:tcPr>
            <w:tcW w:w="810" w:type="dxa"/>
            <w:shd w:val="clear" w:color="auto" w:fill="auto"/>
            <w:vAlign w:val="center"/>
          </w:tcPr>
          <w:p w14:paraId="7D30FC6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575" w:type="dxa"/>
            <w:shd w:val="clear" w:color="auto" w:fill="auto"/>
            <w:vAlign w:val="center"/>
          </w:tcPr>
          <w:p w14:paraId="09B5A798">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使用进口石英传感器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传感器横截面≤45*55平方毫米，额定载荷:30t，最大过载:150%，灵敏度:-1.62±10%pC/N</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非线性精度误差小于士2%(传感器各点静志校准精度)</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不一致性误差小于士3%(传感器不同位置点静态校准精度)</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重复性误差小于士2%(传感器同位置点静态校准精度)</w:t>
            </w:r>
          </w:p>
        </w:tc>
      </w:tr>
      <w:tr w14:paraId="0E76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5" w:type="dxa"/>
            <w:shd w:val="clear" w:color="auto" w:fill="auto"/>
            <w:vAlign w:val="center"/>
          </w:tcPr>
          <w:p w14:paraId="356AC9A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w:t>
            </w:r>
          </w:p>
        </w:tc>
        <w:tc>
          <w:tcPr>
            <w:tcW w:w="1065" w:type="dxa"/>
            <w:shd w:val="clear" w:color="auto" w:fill="auto"/>
            <w:vAlign w:val="center"/>
          </w:tcPr>
          <w:p w14:paraId="73EB5E8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石英胶料</w:t>
            </w:r>
          </w:p>
        </w:tc>
        <w:tc>
          <w:tcPr>
            <w:tcW w:w="900" w:type="dxa"/>
            <w:shd w:val="clear" w:color="auto" w:fill="auto"/>
            <w:vAlign w:val="center"/>
          </w:tcPr>
          <w:p w14:paraId="3CFF2DE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Rosys</w:t>
            </w:r>
          </w:p>
        </w:tc>
        <w:tc>
          <w:tcPr>
            <w:tcW w:w="1314" w:type="dxa"/>
            <w:shd w:val="clear" w:color="auto" w:fill="auto"/>
            <w:vAlign w:val="center"/>
          </w:tcPr>
          <w:p w14:paraId="72A20F8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1500B</w:t>
            </w:r>
          </w:p>
        </w:tc>
        <w:tc>
          <w:tcPr>
            <w:tcW w:w="915" w:type="dxa"/>
            <w:shd w:val="clear" w:color="auto" w:fill="auto"/>
            <w:vAlign w:val="center"/>
          </w:tcPr>
          <w:p w14:paraId="1923F83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28.5</w:t>
            </w:r>
          </w:p>
        </w:tc>
        <w:tc>
          <w:tcPr>
            <w:tcW w:w="810" w:type="dxa"/>
            <w:shd w:val="clear" w:color="auto" w:fill="auto"/>
            <w:vAlign w:val="center"/>
          </w:tcPr>
          <w:p w14:paraId="3731AED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575" w:type="dxa"/>
            <w:shd w:val="clear" w:color="auto" w:fill="auto"/>
            <w:vAlign w:val="center"/>
          </w:tcPr>
          <w:p w14:paraId="5C9E9B25">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摄氏23度下，8小时内固化，抗压强度≥30MPa，抗折强度≥10MPa，粘接强度≥3MPa；执行国标GB50367-2006；</w:t>
            </w:r>
          </w:p>
        </w:tc>
      </w:tr>
      <w:tr w14:paraId="5C38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5" w:type="dxa"/>
            <w:shd w:val="clear" w:color="auto" w:fill="auto"/>
            <w:vAlign w:val="center"/>
          </w:tcPr>
          <w:p w14:paraId="247D6B3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3</w:t>
            </w:r>
          </w:p>
        </w:tc>
        <w:tc>
          <w:tcPr>
            <w:tcW w:w="1065" w:type="dxa"/>
            <w:shd w:val="clear" w:color="auto" w:fill="auto"/>
            <w:vAlign w:val="center"/>
          </w:tcPr>
          <w:p w14:paraId="2DFA93F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电荷放大器</w:t>
            </w:r>
          </w:p>
        </w:tc>
        <w:tc>
          <w:tcPr>
            <w:tcW w:w="900" w:type="dxa"/>
            <w:shd w:val="clear" w:color="auto" w:fill="auto"/>
            <w:vAlign w:val="center"/>
          </w:tcPr>
          <w:p w14:paraId="3996F26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KISTLERLINEAS</w:t>
            </w:r>
          </w:p>
        </w:tc>
        <w:tc>
          <w:tcPr>
            <w:tcW w:w="1314" w:type="dxa"/>
            <w:shd w:val="clear" w:color="auto" w:fill="auto"/>
            <w:vAlign w:val="center"/>
          </w:tcPr>
          <w:p w14:paraId="556BAA4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5163A</w:t>
            </w:r>
          </w:p>
        </w:tc>
        <w:tc>
          <w:tcPr>
            <w:tcW w:w="915" w:type="dxa"/>
            <w:shd w:val="clear" w:color="auto" w:fill="auto"/>
            <w:vAlign w:val="center"/>
          </w:tcPr>
          <w:p w14:paraId="6F6882F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4</w:t>
            </w:r>
          </w:p>
        </w:tc>
        <w:tc>
          <w:tcPr>
            <w:tcW w:w="810" w:type="dxa"/>
            <w:shd w:val="clear" w:color="auto" w:fill="auto"/>
            <w:vAlign w:val="center"/>
          </w:tcPr>
          <w:p w14:paraId="1A223A4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575" w:type="dxa"/>
            <w:shd w:val="clear" w:color="auto" w:fill="auto"/>
            <w:vAlign w:val="center"/>
          </w:tcPr>
          <w:p w14:paraId="2EFBACB9">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测量范围：60.000pCc；测量误差：&lt;1%；输出电压：土5V</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输出电流：士2mA；输出阻抗：&lt;100Ω；输出干扰信号：&lt;3mVpp；</w:t>
            </w:r>
          </w:p>
        </w:tc>
      </w:tr>
      <w:tr w14:paraId="0D1D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5" w:type="dxa"/>
            <w:shd w:val="clear" w:color="auto" w:fill="auto"/>
            <w:vAlign w:val="center"/>
          </w:tcPr>
          <w:p w14:paraId="53A0574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4</w:t>
            </w:r>
          </w:p>
        </w:tc>
        <w:tc>
          <w:tcPr>
            <w:tcW w:w="1065" w:type="dxa"/>
            <w:shd w:val="clear" w:color="auto" w:fill="auto"/>
            <w:vAlign w:val="center"/>
          </w:tcPr>
          <w:p w14:paraId="4CE741B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动态称重控制仪</w:t>
            </w:r>
          </w:p>
        </w:tc>
        <w:tc>
          <w:tcPr>
            <w:tcW w:w="900" w:type="dxa"/>
            <w:shd w:val="clear" w:color="auto" w:fill="auto"/>
            <w:vAlign w:val="center"/>
          </w:tcPr>
          <w:p w14:paraId="3E1E81F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Rosys</w:t>
            </w:r>
          </w:p>
        </w:tc>
        <w:tc>
          <w:tcPr>
            <w:tcW w:w="1314" w:type="dxa"/>
            <w:shd w:val="clear" w:color="auto" w:fill="auto"/>
            <w:vAlign w:val="center"/>
          </w:tcPr>
          <w:p w14:paraId="1F316A8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RDAQ8224</w:t>
            </w:r>
          </w:p>
        </w:tc>
        <w:tc>
          <w:tcPr>
            <w:tcW w:w="915" w:type="dxa"/>
            <w:shd w:val="clear" w:color="auto" w:fill="auto"/>
            <w:vAlign w:val="center"/>
          </w:tcPr>
          <w:p w14:paraId="21BDD93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810" w:type="dxa"/>
            <w:shd w:val="clear" w:color="auto" w:fill="auto"/>
            <w:vAlign w:val="center"/>
          </w:tcPr>
          <w:p w14:paraId="7084A5E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575" w:type="dxa"/>
            <w:shd w:val="clear" w:color="auto" w:fill="auto"/>
            <w:vAlign w:val="center"/>
          </w:tcPr>
          <w:p w14:paraId="1902D39D">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平均无故障时间:MTBF≥20000h</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信号传输方式:RS422/RS232/RS485多种接口实时传输</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电源:AC220V士10%，50Hz+1Hz;</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工作温度:-45℃~+80℃，湿度;0~95%</w:t>
            </w:r>
          </w:p>
        </w:tc>
      </w:tr>
      <w:tr w14:paraId="48EF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5" w:type="dxa"/>
            <w:shd w:val="clear" w:color="auto" w:fill="auto"/>
            <w:vAlign w:val="center"/>
          </w:tcPr>
          <w:p w14:paraId="08E943A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5</w:t>
            </w:r>
          </w:p>
        </w:tc>
        <w:tc>
          <w:tcPr>
            <w:tcW w:w="1065" w:type="dxa"/>
            <w:shd w:val="clear" w:color="auto" w:fill="auto"/>
            <w:vAlign w:val="center"/>
          </w:tcPr>
          <w:p w14:paraId="380F9EF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前置控制采集主机（工控机）</w:t>
            </w:r>
          </w:p>
        </w:tc>
        <w:tc>
          <w:tcPr>
            <w:tcW w:w="900" w:type="dxa"/>
            <w:shd w:val="clear" w:color="auto" w:fill="auto"/>
            <w:vAlign w:val="center"/>
          </w:tcPr>
          <w:p w14:paraId="102805D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研祥</w:t>
            </w:r>
          </w:p>
        </w:tc>
        <w:tc>
          <w:tcPr>
            <w:tcW w:w="1314" w:type="dxa"/>
            <w:shd w:val="clear" w:color="auto" w:fill="auto"/>
            <w:vAlign w:val="center"/>
          </w:tcPr>
          <w:p w14:paraId="44010AE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MEC3750</w:t>
            </w:r>
          </w:p>
        </w:tc>
        <w:tc>
          <w:tcPr>
            <w:tcW w:w="915" w:type="dxa"/>
            <w:shd w:val="clear" w:color="auto" w:fill="auto"/>
            <w:vAlign w:val="center"/>
          </w:tcPr>
          <w:p w14:paraId="4D2844A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810" w:type="dxa"/>
            <w:shd w:val="clear" w:color="auto" w:fill="auto"/>
            <w:vAlign w:val="center"/>
          </w:tcPr>
          <w:p w14:paraId="30D8EFA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575" w:type="dxa"/>
            <w:shd w:val="clear" w:color="auto" w:fill="auto"/>
            <w:vAlign w:val="center"/>
          </w:tcPr>
          <w:p w14:paraId="321E3429">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支持车道数：单向4车道或双向4车道；</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处理器Intel Celeron J1900 Processor 2.0GHz内存规格1个DDR3L/DDR3 SO-DIMM内存接口容量4GB(最大可支持8GB)</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存储硬盘接口1个Mini SATA接口和1个2.5寸SATA接口硬盘盘位，标配硬盘1个128G SSD硬盘(MLC)。</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显示：芯片组Intel HD Graphics Gen 7，图像引擎支持OpenCL 1.2， OpenGL 4.0及DirectX11.1，最高支持三通道独立显示.</w:t>
            </w:r>
          </w:p>
        </w:tc>
      </w:tr>
      <w:tr w14:paraId="76B1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354" w:type="dxa"/>
            <w:gridSpan w:val="7"/>
            <w:shd w:val="clear" w:color="auto" w:fill="auto"/>
            <w:vAlign w:val="center"/>
          </w:tcPr>
          <w:p w14:paraId="7D06B647">
            <w:pPr>
              <w:jc w:val="center"/>
              <w:textAlignment w:val="center"/>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电子显示设备</w:t>
            </w:r>
          </w:p>
        </w:tc>
      </w:tr>
      <w:tr w14:paraId="6EC6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5" w:type="dxa"/>
            <w:shd w:val="clear" w:color="auto" w:fill="auto"/>
            <w:vAlign w:val="center"/>
          </w:tcPr>
          <w:p w14:paraId="367929B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6</w:t>
            </w:r>
          </w:p>
        </w:tc>
        <w:tc>
          <w:tcPr>
            <w:tcW w:w="1065" w:type="dxa"/>
            <w:shd w:val="clear" w:color="auto" w:fill="auto"/>
            <w:vAlign w:val="center"/>
          </w:tcPr>
          <w:p w14:paraId="2BFA828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高清抓拍摄像机（含侧拍）</w:t>
            </w:r>
          </w:p>
        </w:tc>
        <w:tc>
          <w:tcPr>
            <w:tcW w:w="900" w:type="dxa"/>
            <w:shd w:val="clear" w:color="auto" w:fill="auto"/>
            <w:vAlign w:val="center"/>
          </w:tcPr>
          <w:p w14:paraId="5979F74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314" w:type="dxa"/>
            <w:shd w:val="clear" w:color="auto" w:fill="auto"/>
            <w:vAlign w:val="center"/>
          </w:tcPr>
          <w:p w14:paraId="4770842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iDS-TCV900-AE/XC</w:t>
            </w:r>
          </w:p>
        </w:tc>
        <w:tc>
          <w:tcPr>
            <w:tcW w:w="915" w:type="dxa"/>
            <w:shd w:val="clear" w:color="auto" w:fill="auto"/>
            <w:vAlign w:val="center"/>
          </w:tcPr>
          <w:p w14:paraId="1303A84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5</w:t>
            </w:r>
          </w:p>
        </w:tc>
        <w:tc>
          <w:tcPr>
            <w:tcW w:w="810" w:type="dxa"/>
            <w:shd w:val="clear" w:color="auto" w:fill="auto"/>
            <w:vAlign w:val="center"/>
          </w:tcPr>
          <w:p w14:paraId="4D6481A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575" w:type="dxa"/>
            <w:shd w:val="clear" w:color="auto" w:fill="auto"/>
            <w:vAlign w:val="center"/>
          </w:tcPr>
          <w:p w14:paraId="4617EEFF">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900万高清。</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分辨率:分辨率4096*2208</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帧率:25fps</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输出图片格式:JPEG</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接口:1个10M/100M自适应RJ45接口;1个RS-485半双工接口</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触发输入:4路外部触发输入</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触发输出：3路(光耦隔离2500VAC)，作为补光灯同步输出控制</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补光控制:支持闪光灯或LED频闪灯同步补光</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功能:支持车牌识别、视频触发，车身颜色识别和通行车辆信息捕获</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捕获率:≥99%(线圈触发)，≥95%(视频触发)</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车牌识别准确率：白天≥98%，夜间≥95%</w:t>
            </w:r>
          </w:p>
        </w:tc>
      </w:tr>
      <w:tr w14:paraId="7763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5" w:type="dxa"/>
            <w:shd w:val="clear" w:color="auto" w:fill="auto"/>
            <w:vAlign w:val="center"/>
          </w:tcPr>
          <w:p w14:paraId="799003D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7</w:t>
            </w:r>
          </w:p>
        </w:tc>
        <w:tc>
          <w:tcPr>
            <w:tcW w:w="1065" w:type="dxa"/>
            <w:shd w:val="clear" w:color="auto" w:fill="auto"/>
            <w:vAlign w:val="center"/>
          </w:tcPr>
          <w:p w14:paraId="5EDED52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高清抓拍摄像机支架</w:t>
            </w:r>
          </w:p>
        </w:tc>
        <w:tc>
          <w:tcPr>
            <w:tcW w:w="900" w:type="dxa"/>
            <w:shd w:val="clear" w:color="auto" w:fill="auto"/>
            <w:vAlign w:val="center"/>
          </w:tcPr>
          <w:p w14:paraId="4A03F6C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1314" w:type="dxa"/>
            <w:shd w:val="clear" w:color="auto" w:fill="auto"/>
            <w:vAlign w:val="center"/>
          </w:tcPr>
          <w:p w14:paraId="6F9AEE1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915" w:type="dxa"/>
            <w:shd w:val="clear" w:color="auto" w:fill="auto"/>
            <w:vAlign w:val="center"/>
          </w:tcPr>
          <w:p w14:paraId="4C36054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w:t>
            </w:r>
          </w:p>
        </w:tc>
        <w:tc>
          <w:tcPr>
            <w:tcW w:w="810" w:type="dxa"/>
            <w:shd w:val="clear" w:color="auto" w:fill="auto"/>
            <w:vAlign w:val="center"/>
          </w:tcPr>
          <w:p w14:paraId="799EF39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575" w:type="dxa"/>
            <w:shd w:val="clear" w:color="auto" w:fill="auto"/>
            <w:vAlign w:val="center"/>
          </w:tcPr>
          <w:p w14:paraId="69C53EB0">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规格：8mX6m；抗风速度：35m/s；抵抗强度：215Mpa；跨度：根据现场情况定做；净空高度：6m；</w:t>
            </w:r>
          </w:p>
        </w:tc>
      </w:tr>
      <w:tr w14:paraId="0BF5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5" w:type="dxa"/>
            <w:shd w:val="clear" w:color="auto" w:fill="auto"/>
            <w:vAlign w:val="center"/>
          </w:tcPr>
          <w:p w14:paraId="04044B9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8</w:t>
            </w:r>
          </w:p>
        </w:tc>
        <w:tc>
          <w:tcPr>
            <w:tcW w:w="1065" w:type="dxa"/>
            <w:shd w:val="clear" w:color="auto" w:fill="auto"/>
            <w:vAlign w:val="center"/>
          </w:tcPr>
          <w:p w14:paraId="3ECC11C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闪光灯</w:t>
            </w:r>
          </w:p>
        </w:tc>
        <w:tc>
          <w:tcPr>
            <w:tcW w:w="900" w:type="dxa"/>
            <w:shd w:val="clear" w:color="auto" w:fill="auto"/>
            <w:vAlign w:val="center"/>
          </w:tcPr>
          <w:p w14:paraId="23175B3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314" w:type="dxa"/>
            <w:shd w:val="clear" w:color="auto" w:fill="auto"/>
            <w:vAlign w:val="center"/>
          </w:tcPr>
          <w:p w14:paraId="1846CA2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CXBG-2-MC-SL</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12 11-1</w:t>
            </w:r>
          </w:p>
        </w:tc>
        <w:tc>
          <w:tcPr>
            <w:tcW w:w="915" w:type="dxa"/>
            <w:shd w:val="clear" w:color="auto" w:fill="auto"/>
            <w:vAlign w:val="center"/>
          </w:tcPr>
          <w:p w14:paraId="51B4B05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8</w:t>
            </w:r>
          </w:p>
        </w:tc>
        <w:tc>
          <w:tcPr>
            <w:tcW w:w="810" w:type="dxa"/>
            <w:shd w:val="clear" w:color="auto" w:fill="auto"/>
            <w:vAlign w:val="center"/>
          </w:tcPr>
          <w:p w14:paraId="400FFB7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个</w:t>
            </w:r>
          </w:p>
        </w:tc>
        <w:tc>
          <w:tcPr>
            <w:tcW w:w="4575" w:type="dxa"/>
            <w:shd w:val="clear" w:color="auto" w:fill="auto"/>
            <w:vAlign w:val="center"/>
          </w:tcPr>
          <w:p w14:paraId="26B9DA32">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电源电压：AC220V±44V</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平均功耗:≤100瓦</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频率：48Hz~52Hz;</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功耗:平均&lt;100W(@1闪/s).瞬间最大&lt;300W:</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有效拍摄距离(米):18-25</w:t>
            </w:r>
          </w:p>
        </w:tc>
      </w:tr>
      <w:tr w14:paraId="7CDD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5" w:type="dxa"/>
            <w:shd w:val="clear" w:color="auto" w:fill="auto"/>
            <w:vAlign w:val="center"/>
          </w:tcPr>
          <w:p w14:paraId="221FEEA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9</w:t>
            </w:r>
          </w:p>
        </w:tc>
        <w:tc>
          <w:tcPr>
            <w:tcW w:w="1065" w:type="dxa"/>
            <w:shd w:val="clear" w:color="auto" w:fill="auto"/>
            <w:vAlign w:val="center"/>
          </w:tcPr>
          <w:p w14:paraId="34E4E79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车辆检测器</w:t>
            </w:r>
          </w:p>
        </w:tc>
        <w:tc>
          <w:tcPr>
            <w:tcW w:w="900" w:type="dxa"/>
            <w:shd w:val="clear" w:color="auto" w:fill="auto"/>
            <w:vAlign w:val="center"/>
          </w:tcPr>
          <w:p w14:paraId="705D0E4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314" w:type="dxa"/>
            <w:shd w:val="clear" w:color="auto" w:fill="auto"/>
            <w:vAlign w:val="center"/>
          </w:tcPr>
          <w:p w14:paraId="46226C8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LD-2204</w:t>
            </w:r>
          </w:p>
        </w:tc>
        <w:tc>
          <w:tcPr>
            <w:tcW w:w="915" w:type="dxa"/>
            <w:shd w:val="clear" w:color="auto" w:fill="auto"/>
            <w:vAlign w:val="center"/>
          </w:tcPr>
          <w:p w14:paraId="3DB1046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4</w:t>
            </w:r>
          </w:p>
        </w:tc>
        <w:tc>
          <w:tcPr>
            <w:tcW w:w="810" w:type="dxa"/>
            <w:shd w:val="clear" w:color="auto" w:fill="auto"/>
            <w:vAlign w:val="center"/>
          </w:tcPr>
          <w:p w14:paraId="476624A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车道</w:t>
            </w:r>
          </w:p>
        </w:tc>
        <w:tc>
          <w:tcPr>
            <w:tcW w:w="4575" w:type="dxa"/>
            <w:shd w:val="clear" w:color="auto" w:fill="auto"/>
            <w:vAlign w:val="center"/>
          </w:tcPr>
          <w:p w14:paraId="104A5AFB">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双通道、4级灵敏度可调；</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线型：高温导线；缠绕匝数：4~6圈；</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电感范围：18~2500uh、16~116KHz；</w:t>
            </w:r>
          </w:p>
        </w:tc>
      </w:tr>
      <w:tr w14:paraId="0484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5" w:type="dxa"/>
            <w:shd w:val="clear" w:color="auto" w:fill="auto"/>
            <w:vAlign w:val="center"/>
          </w:tcPr>
          <w:p w14:paraId="55BA4ED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10</w:t>
            </w:r>
          </w:p>
        </w:tc>
        <w:tc>
          <w:tcPr>
            <w:tcW w:w="1065" w:type="dxa"/>
            <w:shd w:val="clear" w:color="auto" w:fill="auto"/>
            <w:vAlign w:val="center"/>
          </w:tcPr>
          <w:p w14:paraId="7D5CB48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补光灯</w:t>
            </w:r>
          </w:p>
        </w:tc>
        <w:tc>
          <w:tcPr>
            <w:tcW w:w="900" w:type="dxa"/>
            <w:shd w:val="clear" w:color="auto" w:fill="auto"/>
            <w:vAlign w:val="center"/>
          </w:tcPr>
          <w:p w14:paraId="2BBC38C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314" w:type="dxa"/>
            <w:shd w:val="clear" w:color="auto" w:fill="auto"/>
            <w:vAlign w:val="center"/>
          </w:tcPr>
          <w:p w14:paraId="42686B9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CXBG-1-PS-DSTL</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2000A-L1</w:t>
            </w:r>
          </w:p>
        </w:tc>
        <w:tc>
          <w:tcPr>
            <w:tcW w:w="915" w:type="dxa"/>
            <w:shd w:val="clear" w:color="auto" w:fill="auto"/>
            <w:vAlign w:val="center"/>
          </w:tcPr>
          <w:p w14:paraId="040E199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4</w:t>
            </w:r>
          </w:p>
        </w:tc>
        <w:tc>
          <w:tcPr>
            <w:tcW w:w="810" w:type="dxa"/>
            <w:shd w:val="clear" w:color="auto" w:fill="auto"/>
            <w:vAlign w:val="center"/>
          </w:tcPr>
          <w:p w14:paraId="7D874C3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个</w:t>
            </w:r>
          </w:p>
        </w:tc>
        <w:tc>
          <w:tcPr>
            <w:tcW w:w="4575" w:type="dxa"/>
            <w:shd w:val="clear" w:color="auto" w:fill="auto"/>
            <w:vAlign w:val="center"/>
          </w:tcPr>
          <w:p w14:paraId="5C5E5CB3">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瞬时最大光通量:≥6400lm</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色湿:6700K</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功耗:平均≤45W(@100Hz,25%占空比)。峰值140W</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外壳材质:金属铝</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输入电压;电压:85VAC~-264VAC;频率:47Hz~63Hz</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电源效率:≥85%可连续启动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响应时间;≤20μs</w:t>
            </w:r>
          </w:p>
        </w:tc>
      </w:tr>
      <w:tr w14:paraId="4F76C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5" w:type="dxa"/>
            <w:shd w:val="clear" w:color="auto" w:fill="auto"/>
            <w:vAlign w:val="center"/>
          </w:tcPr>
          <w:p w14:paraId="7F5FB14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11</w:t>
            </w:r>
          </w:p>
        </w:tc>
        <w:tc>
          <w:tcPr>
            <w:tcW w:w="1065" w:type="dxa"/>
            <w:shd w:val="clear" w:color="auto" w:fill="auto"/>
            <w:vAlign w:val="center"/>
          </w:tcPr>
          <w:p w14:paraId="2D723BA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高清球机</w:t>
            </w:r>
          </w:p>
        </w:tc>
        <w:tc>
          <w:tcPr>
            <w:tcW w:w="900" w:type="dxa"/>
            <w:shd w:val="clear" w:color="auto" w:fill="auto"/>
            <w:vAlign w:val="center"/>
          </w:tcPr>
          <w:p w14:paraId="239ED4C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314" w:type="dxa"/>
            <w:shd w:val="clear" w:color="auto" w:fill="auto"/>
            <w:vAlign w:val="center"/>
          </w:tcPr>
          <w:p w14:paraId="4CAD86D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DS-2DF8244IX-ACX</w:t>
            </w:r>
          </w:p>
        </w:tc>
        <w:tc>
          <w:tcPr>
            <w:tcW w:w="915" w:type="dxa"/>
            <w:shd w:val="clear" w:color="auto" w:fill="auto"/>
            <w:vAlign w:val="center"/>
          </w:tcPr>
          <w:p w14:paraId="2503656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810" w:type="dxa"/>
            <w:shd w:val="clear" w:color="auto" w:fill="auto"/>
            <w:vAlign w:val="center"/>
          </w:tcPr>
          <w:p w14:paraId="6B41DDB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个</w:t>
            </w:r>
          </w:p>
        </w:tc>
        <w:tc>
          <w:tcPr>
            <w:tcW w:w="4575" w:type="dxa"/>
            <w:shd w:val="clear" w:color="auto" w:fill="auto"/>
            <w:vAlign w:val="center"/>
          </w:tcPr>
          <w:p w14:paraId="164590A8">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200万以上/40倍光学/星光级度/光学宽动态120dB/3D降噪/低码率/ROI/三码流/透雾/强光抑制</w:t>
            </w:r>
          </w:p>
        </w:tc>
      </w:tr>
      <w:tr w14:paraId="79F1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5" w:type="dxa"/>
            <w:shd w:val="clear" w:color="auto" w:fill="auto"/>
            <w:vAlign w:val="center"/>
          </w:tcPr>
          <w:p w14:paraId="68D421F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12</w:t>
            </w:r>
          </w:p>
        </w:tc>
        <w:tc>
          <w:tcPr>
            <w:tcW w:w="1065" w:type="dxa"/>
            <w:shd w:val="clear" w:color="auto" w:fill="auto"/>
            <w:vAlign w:val="center"/>
          </w:tcPr>
          <w:p w14:paraId="7B95985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终端服务器</w:t>
            </w:r>
          </w:p>
        </w:tc>
        <w:tc>
          <w:tcPr>
            <w:tcW w:w="900" w:type="dxa"/>
            <w:shd w:val="clear" w:color="auto" w:fill="auto"/>
            <w:vAlign w:val="center"/>
          </w:tcPr>
          <w:p w14:paraId="374C557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314" w:type="dxa"/>
            <w:shd w:val="clear" w:color="auto" w:fill="auto"/>
            <w:vAlign w:val="center"/>
          </w:tcPr>
          <w:p w14:paraId="7409BF1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TS-5012-L/LX</w:t>
            </w:r>
          </w:p>
        </w:tc>
        <w:tc>
          <w:tcPr>
            <w:tcW w:w="915" w:type="dxa"/>
            <w:shd w:val="clear" w:color="auto" w:fill="auto"/>
            <w:vAlign w:val="center"/>
          </w:tcPr>
          <w:p w14:paraId="44A0DE9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810" w:type="dxa"/>
            <w:shd w:val="clear" w:color="auto" w:fill="auto"/>
            <w:vAlign w:val="center"/>
          </w:tcPr>
          <w:p w14:paraId="2B8B795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台</w:t>
            </w:r>
          </w:p>
        </w:tc>
        <w:tc>
          <w:tcPr>
            <w:tcW w:w="4575" w:type="dxa"/>
            <w:shd w:val="clear" w:color="auto" w:fill="auto"/>
            <w:vAlign w:val="center"/>
          </w:tcPr>
          <w:p w14:paraId="2412529B">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 xml:space="preserve">支持对HDCVI模拟视频进行编码，并传送至客户端，支持环通输出  </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支持通过3G/4G网络sim卡进入网络，兼容电信、移动、联通 </w:t>
            </w:r>
          </w:p>
        </w:tc>
      </w:tr>
      <w:tr w14:paraId="72AC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354" w:type="dxa"/>
            <w:gridSpan w:val="7"/>
            <w:shd w:val="clear" w:color="auto" w:fill="auto"/>
            <w:vAlign w:val="center"/>
          </w:tcPr>
          <w:p w14:paraId="6B0630B7">
            <w:pPr>
              <w:jc w:val="center"/>
              <w:textAlignment w:val="center"/>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数据传输</w:t>
            </w:r>
          </w:p>
        </w:tc>
      </w:tr>
      <w:tr w14:paraId="6264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5" w:type="dxa"/>
            <w:shd w:val="clear" w:color="auto" w:fill="auto"/>
            <w:vAlign w:val="center"/>
          </w:tcPr>
          <w:p w14:paraId="0AB79DE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13</w:t>
            </w:r>
          </w:p>
        </w:tc>
        <w:tc>
          <w:tcPr>
            <w:tcW w:w="1065" w:type="dxa"/>
            <w:shd w:val="clear" w:color="auto" w:fill="auto"/>
            <w:vAlign w:val="center"/>
          </w:tcPr>
          <w:p w14:paraId="5BEB8F6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数据光端机</w:t>
            </w:r>
          </w:p>
        </w:tc>
        <w:tc>
          <w:tcPr>
            <w:tcW w:w="900" w:type="dxa"/>
            <w:shd w:val="clear" w:color="auto" w:fill="auto"/>
            <w:vAlign w:val="center"/>
          </w:tcPr>
          <w:p w14:paraId="7D951E6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314" w:type="dxa"/>
            <w:shd w:val="clear" w:color="auto" w:fill="auto"/>
            <w:vAlign w:val="center"/>
          </w:tcPr>
          <w:p w14:paraId="0BFE1FF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DS-3DO1R/T-A</w:t>
            </w:r>
          </w:p>
        </w:tc>
        <w:tc>
          <w:tcPr>
            <w:tcW w:w="915" w:type="dxa"/>
            <w:shd w:val="clear" w:color="auto" w:fill="auto"/>
            <w:vAlign w:val="center"/>
          </w:tcPr>
          <w:p w14:paraId="70FFB5A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810" w:type="dxa"/>
            <w:shd w:val="clear" w:color="auto" w:fill="auto"/>
            <w:vAlign w:val="center"/>
          </w:tcPr>
          <w:p w14:paraId="489DCD7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对</w:t>
            </w:r>
          </w:p>
        </w:tc>
        <w:tc>
          <w:tcPr>
            <w:tcW w:w="4575" w:type="dxa"/>
            <w:shd w:val="clear" w:color="auto" w:fill="auto"/>
            <w:vAlign w:val="center"/>
          </w:tcPr>
          <w:p w14:paraId="6EF0AE05">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4口以太网光端机</w:t>
            </w:r>
          </w:p>
        </w:tc>
      </w:tr>
      <w:tr w14:paraId="62F4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5" w:type="dxa"/>
            <w:shd w:val="clear" w:color="auto" w:fill="auto"/>
            <w:vAlign w:val="center"/>
          </w:tcPr>
          <w:p w14:paraId="08FE1C0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14</w:t>
            </w:r>
          </w:p>
        </w:tc>
        <w:tc>
          <w:tcPr>
            <w:tcW w:w="1065" w:type="dxa"/>
            <w:shd w:val="clear" w:color="auto" w:fill="auto"/>
            <w:vAlign w:val="center"/>
          </w:tcPr>
          <w:p w14:paraId="1EA3D04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单模光纤</w:t>
            </w:r>
          </w:p>
        </w:tc>
        <w:tc>
          <w:tcPr>
            <w:tcW w:w="900" w:type="dxa"/>
            <w:shd w:val="clear" w:color="auto" w:fill="auto"/>
            <w:vAlign w:val="center"/>
          </w:tcPr>
          <w:p w14:paraId="6A4716B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Excel</w:t>
            </w:r>
          </w:p>
        </w:tc>
        <w:tc>
          <w:tcPr>
            <w:tcW w:w="1314" w:type="dxa"/>
            <w:shd w:val="clear" w:color="auto" w:fill="auto"/>
            <w:vAlign w:val="center"/>
          </w:tcPr>
          <w:p w14:paraId="114A97F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107B-x</w:t>
            </w:r>
          </w:p>
        </w:tc>
        <w:tc>
          <w:tcPr>
            <w:tcW w:w="915" w:type="dxa"/>
            <w:shd w:val="clear" w:color="auto" w:fill="auto"/>
            <w:vAlign w:val="center"/>
          </w:tcPr>
          <w:p w14:paraId="1196F88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300</w:t>
            </w:r>
          </w:p>
        </w:tc>
        <w:tc>
          <w:tcPr>
            <w:tcW w:w="810" w:type="dxa"/>
            <w:shd w:val="clear" w:color="auto" w:fill="auto"/>
            <w:vAlign w:val="center"/>
          </w:tcPr>
          <w:p w14:paraId="72E7F0E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575" w:type="dxa"/>
            <w:shd w:val="clear" w:color="auto" w:fill="auto"/>
            <w:vAlign w:val="center"/>
          </w:tcPr>
          <w:p w14:paraId="1AEC1CE5">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4芯</w:t>
            </w:r>
          </w:p>
        </w:tc>
      </w:tr>
      <w:tr w14:paraId="7EDC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5" w:type="dxa"/>
            <w:shd w:val="clear" w:color="auto" w:fill="auto"/>
            <w:vAlign w:val="center"/>
          </w:tcPr>
          <w:p w14:paraId="177BD8B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15</w:t>
            </w:r>
          </w:p>
        </w:tc>
        <w:tc>
          <w:tcPr>
            <w:tcW w:w="1065" w:type="dxa"/>
            <w:shd w:val="clear" w:color="auto" w:fill="auto"/>
            <w:vAlign w:val="center"/>
          </w:tcPr>
          <w:p w14:paraId="4D92AA1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网络线</w:t>
            </w:r>
          </w:p>
        </w:tc>
        <w:tc>
          <w:tcPr>
            <w:tcW w:w="900" w:type="dxa"/>
            <w:shd w:val="clear" w:color="auto" w:fill="auto"/>
            <w:vAlign w:val="center"/>
          </w:tcPr>
          <w:p w14:paraId="7C211B7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Excel</w:t>
            </w:r>
          </w:p>
        </w:tc>
        <w:tc>
          <w:tcPr>
            <w:tcW w:w="1314" w:type="dxa"/>
            <w:shd w:val="clear" w:color="auto" w:fill="auto"/>
            <w:vAlign w:val="center"/>
          </w:tcPr>
          <w:p w14:paraId="447C448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107B-x</w:t>
            </w:r>
          </w:p>
        </w:tc>
        <w:tc>
          <w:tcPr>
            <w:tcW w:w="915" w:type="dxa"/>
            <w:shd w:val="clear" w:color="auto" w:fill="auto"/>
            <w:vAlign w:val="center"/>
          </w:tcPr>
          <w:p w14:paraId="365FD26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250</w:t>
            </w:r>
          </w:p>
        </w:tc>
        <w:tc>
          <w:tcPr>
            <w:tcW w:w="810" w:type="dxa"/>
            <w:shd w:val="clear" w:color="auto" w:fill="auto"/>
            <w:vAlign w:val="center"/>
          </w:tcPr>
          <w:p w14:paraId="1AD52AD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575" w:type="dxa"/>
            <w:shd w:val="clear" w:color="auto" w:fill="auto"/>
            <w:vAlign w:val="center"/>
          </w:tcPr>
          <w:p w14:paraId="7152E619">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UTP-6</w:t>
            </w:r>
          </w:p>
        </w:tc>
      </w:tr>
      <w:tr w14:paraId="4ACB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5" w:type="dxa"/>
            <w:shd w:val="clear" w:color="auto" w:fill="auto"/>
            <w:vAlign w:val="center"/>
          </w:tcPr>
          <w:p w14:paraId="4F99346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16</w:t>
            </w:r>
          </w:p>
        </w:tc>
        <w:tc>
          <w:tcPr>
            <w:tcW w:w="1065" w:type="dxa"/>
            <w:shd w:val="clear" w:color="auto" w:fill="auto"/>
            <w:vAlign w:val="center"/>
          </w:tcPr>
          <w:p w14:paraId="7AC85AA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以太网交换机</w:t>
            </w:r>
          </w:p>
        </w:tc>
        <w:tc>
          <w:tcPr>
            <w:tcW w:w="900" w:type="dxa"/>
            <w:shd w:val="clear" w:color="auto" w:fill="auto"/>
            <w:vAlign w:val="center"/>
          </w:tcPr>
          <w:p w14:paraId="3B971D8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314" w:type="dxa"/>
            <w:shd w:val="clear" w:color="auto" w:fill="auto"/>
            <w:vAlign w:val="center"/>
          </w:tcPr>
          <w:p w14:paraId="60A0D5B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DS-3E0524-S</w:t>
            </w:r>
          </w:p>
        </w:tc>
        <w:tc>
          <w:tcPr>
            <w:tcW w:w="915" w:type="dxa"/>
            <w:shd w:val="clear" w:color="auto" w:fill="auto"/>
            <w:vAlign w:val="center"/>
          </w:tcPr>
          <w:p w14:paraId="468530D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810" w:type="dxa"/>
            <w:shd w:val="clear" w:color="auto" w:fill="auto"/>
            <w:vAlign w:val="center"/>
          </w:tcPr>
          <w:p w14:paraId="7733042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个</w:t>
            </w:r>
          </w:p>
        </w:tc>
        <w:tc>
          <w:tcPr>
            <w:tcW w:w="4575" w:type="dxa"/>
            <w:shd w:val="clear" w:color="auto" w:fill="auto"/>
            <w:vAlign w:val="center"/>
          </w:tcPr>
          <w:p w14:paraId="1B00C11F">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交换机:24口接入交换机安装、调试：</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交换机容量：32Gbps，</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包转发率：13.2mpps</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24个10/100Base-TX以太网端口,2个复用的10/100/1000Base-T以太网端口Combo,交流供电</w:t>
            </w:r>
          </w:p>
        </w:tc>
      </w:tr>
      <w:tr w14:paraId="22F9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354" w:type="dxa"/>
            <w:gridSpan w:val="7"/>
            <w:shd w:val="clear" w:color="auto" w:fill="auto"/>
            <w:vAlign w:val="center"/>
          </w:tcPr>
          <w:p w14:paraId="4319DA43">
            <w:pPr>
              <w:jc w:val="center"/>
              <w:textAlignment w:val="center"/>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供电</w:t>
            </w:r>
          </w:p>
        </w:tc>
      </w:tr>
      <w:tr w14:paraId="2811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5" w:type="dxa"/>
            <w:shd w:val="clear" w:color="auto" w:fill="auto"/>
            <w:vAlign w:val="center"/>
          </w:tcPr>
          <w:p w14:paraId="0EDD001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17</w:t>
            </w:r>
          </w:p>
        </w:tc>
        <w:tc>
          <w:tcPr>
            <w:tcW w:w="1065" w:type="dxa"/>
            <w:shd w:val="clear" w:color="auto" w:fill="auto"/>
            <w:vAlign w:val="center"/>
          </w:tcPr>
          <w:p w14:paraId="243E452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电缆</w:t>
            </w:r>
          </w:p>
        </w:tc>
        <w:tc>
          <w:tcPr>
            <w:tcW w:w="900" w:type="dxa"/>
            <w:shd w:val="clear" w:color="auto" w:fill="auto"/>
            <w:vAlign w:val="center"/>
          </w:tcPr>
          <w:p w14:paraId="32AD654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春天</w:t>
            </w:r>
          </w:p>
        </w:tc>
        <w:tc>
          <w:tcPr>
            <w:tcW w:w="1314" w:type="dxa"/>
            <w:shd w:val="clear" w:color="auto" w:fill="auto"/>
            <w:vAlign w:val="center"/>
          </w:tcPr>
          <w:p w14:paraId="15E9CBF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YJV-4*16mm2</w:t>
            </w:r>
          </w:p>
        </w:tc>
        <w:tc>
          <w:tcPr>
            <w:tcW w:w="915" w:type="dxa"/>
            <w:shd w:val="clear" w:color="auto" w:fill="auto"/>
            <w:vAlign w:val="center"/>
          </w:tcPr>
          <w:p w14:paraId="7321A57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800</w:t>
            </w:r>
          </w:p>
        </w:tc>
        <w:tc>
          <w:tcPr>
            <w:tcW w:w="810" w:type="dxa"/>
            <w:shd w:val="clear" w:color="auto" w:fill="auto"/>
            <w:vAlign w:val="center"/>
          </w:tcPr>
          <w:p w14:paraId="24784CB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575" w:type="dxa"/>
            <w:shd w:val="clear" w:color="auto" w:fill="auto"/>
            <w:vAlign w:val="center"/>
          </w:tcPr>
          <w:p w14:paraId="6D7F6C0C">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YJV-4*16mm2</w:t>
            </w:r>
          </w:p>
        </w:tc>
      </w:tr>
      <w:tr w14:paraId="7FA0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5" w:type="dxa"/>
            <w:shd w:val="clear" w:color="auto" w:fill="auto"/>
            <w:vAlign w:val="center"/>
          </w:tcPr>
          <w:p w14:paraId="67A57F9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18</w:t>
            </w:r>
          </w:p>
        </w:tc>
        <w:tc>
          <w:tcPr>
            <w:tcW w:w="1065" w:type="dxa"/>
            <w:shd w:val="clear" w:color="auto" w:fill="auto"/>
            <w:vAlign w:val="center"/>
          </w:tcPr>
          <w:p w14:paraId="4327BA1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电缆</w:t>
            </w:r>
          </w:p>
        </w:tc>
        <w:tc>
          <w:tcPr>
            <w:tcW w:w="900" w:type="dxa"/>
            <w:shd w:val="clear" w:color="auto" w:fill="auto"/>
            <w:vAlign w:val="center"/>
          </w:tcPr>
          <w:p w14:paraId="04D6E96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春天</w:t>
            </w:r>
          </w:p>
        </w:tc>
        <w:tc>
          <w:tcPr>
            <w:tcW w:w="1314" w:type="dxa"/>
            <w:shd w:val="clear" w:color="auto" w:fill="auto"/>
            <w:vAlign w:val="center"/>
          </w:tcPr>
          <w:p w14:paraId="2F38B20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YJV-2*10mm2</w:t>
            </w:r>
          </w:p>
        </w:tc>
        <w:tc>
          <w:tcPr>
            <w:tcW w:w="915" w:type="dxa"/>
            <w:shd w:val="clear" w:color="auto" w:fill="auto"/>
            <w:vAlign w:val="center"/>
          </w:tcPr>
          <w:p w14:paraId="24FCBC9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100</w:t>
            </w:r>
          </w:p>
        </w:tc>
        <w:tc>
          <w:tcPr>
            <w:tcW w:w="810" w:type="dxa"/>
            <w:shd w:val="clear" w:color="auto" w:fill="auto"/>
            <w:vAlign w:val="center"/>
          </w:tcPr>
          <w:p w14:paraId="3B29F2F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575" w:type="dxa"/>
            <w:shd w:val="clear" w:color="auto" w:fill="auto"/>
            <w:vAlign w:val="center"/>
          </w:tcPr>
          <w:p w14:paraId="6925AF31">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YJV-2*10mm2</w:t>
            </w:r>
          </w:p>
        </w:tc>
      </w:tr>
      <w:tr w14:paraId="19D7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5" w:type="dxa"/>
            <w:shd w:val="clear" w:color="auto" w:fill="auto"/>
            <w:vAlign w:val="center"/>
          </w:tcPr>
          <w:p w14:paraId="4BDED9B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19</w:t>
            </w:r>
          </w:p>
        </w:tc>
        <w:tc>
          <w:tcPr>
            <w:tcW w:w="1065" w:type="dxa"/>
            <w:shd w:val="clear" w:color="auto" w:fill="auto"/>
            <w:vAlign w:val="center"/>
          </w:tcPr>
          <w:p w14:paraId="0A246EA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RVV3*1.5</w:t>
            </w:r>
          </w:p>
        </w:tc>
        <w:tc>
          <w:tcPr>
            <w:tcW w:w="900" w:type="dxa"/>
            <w:shd w:val="clear" w:color="auto" w:fill="auto"/>
            <w:vAlign w:val="center"/>
          </w:tcPr>
          <w:p w14:paraId="55C38E3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春天</w:t>
            </w:r>
          </w:p>
        </w:tc>
        <w:tc>
          <w:tcPr>
            <w:tcW w:w="1314" w:type="dxa"/>
            <w:shd w:val="clear" w:color="auto" w:fill="auto"/>
            <w:vAlign w:val="center"/>
          </w:tcPr>
          <w:p w14:paraId="290A1F9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RVV3*1.5</w:t>
            </w:r>
          </w:p>
        </w:tc>
        <w:tc>
          <w:tcPr>
            <w:tcW w:w="915" w:type="dxa"/>
            <w:shd w:val="clear" w:color="auto" w:fill="auto"/>
            <w:vAlign w:val="center"/>
          </w:tcPr>
          <w:p w14:paraId="77666CE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500</w:t>
            </w:r>
          </w:p>
        </w:tc>
        <w:tc>
          <w:tcPr>
            <w:tcW w:w="810" w:type="dxa"/>
            <w:shd w:val="clear" w:color="auto" w:fill="auto"/>
            <w:vAlign w:val="center"/>
          </w:tcPr>
          <w:p w14:paraId="46F6153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575" w:type="dxa"/>
            <w:shd w:val="clear" w:color="auto" w:fill="auto"/>
            <w:vAlign w:val="center"/>
          </w:tcPr>
          <w:p w14:paraId="398FD46A">
            <w:pPr>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w:t>
            </w:r>
          </w:p>
        </w:tc>
      </w:tr>
      <w:tr w14:paraId="46E4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5" w:type="dxa"/>
            <w:shd w:val="clear" w:color="auto" w:fill="auto"/>
            <w:vAlign w:val="center"/>
          </w:tcPr>
          <w:p w14:paraId="539EBC0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20</w:t>
            </w:r>
          </w:p>
        </w:tc>
        <w:tc>
          <w:tcPr>
            <w:tcW w:w="1065" w:type="dxa"/>
            <w:shd w:val="clear" w:color="auto" w:fill="auto"/>
            <w:vAlign w:val="center"/>
          </w:tcPr>
          <w:p w14:paraId="51890F2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镀锌钢管</w:t>
            </w:r>
          </w:p>
        </w:tc>
        <w:tc>
          <w:tcPr>
            <w:tcW w:w="900" w:type="dxa"/>
            <w:shd w:val="clear" w:color="auto" w:fill="auto"/>
            <w:vAlign w:val="center"/>
          </w:tcPr>
          <w:p w14:paraId="74A386B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1314" w:type="dxa"/>
            <w:shd w:val="clear" w:color="auto" w:fill="auto"/>
            <w:vAlign w:val="center"/>
          </w:tcPr>
          <w:p w14:paraId="4D6DD4A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Φ100;(6米/条)</w:t>
            </w:r>
          </w:p>
        </w:tc>
        <w:tc>
          <w:tcPr>
            <w:tcW w:w="915" w:type="dxa"/>
            <w:shd w:val="clear" w:color="auto" w:fill="auto"/>
            <w:vAlign w:val="center"/>
          </w:tcPr>
          <w:p w14:paraId="6A7FD58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500</w:t>
            </w:r>
          </w:p>
        </w:tc>
        <w:tc>
          <w:tcPr>
            <w:tcW w:w="810" w:type="dxa"/>
            <w:shd w:val="clear" w:color="auto" w:fill="auto"/>
            <w:vAlign w:val="center"/>
          </w:tcPr>
          <w:p w14:paraId="6B4A97F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575" w:type="dxa"/>
            <w:shd w:val="clear" w:color="auto" w:fill="auto"/>
            <w:vAlign w:val="center"/>
          </w:tcPr>
          <w:p w14:paraId="5FC1B799">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Φ100</w:t>
            </w:r>
          </w:p>
        </w:tc>
      </w:tr>
      <w:tr w14:paraId="0EBF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5" w:type="dxa"/>
            <w:shd w:val="clear" w:color="auto" w:fill="auto"/>
            <w:vAlign w:val="center"/>
          </w:tcPr>
          <w:p w14:paraId="7BBA26D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21</w:t>
            </w:r>
          </w:p>
        </w:tc>
        <w:tc>
          <w:tcPr>
            <w:tcW w:w="1065" w:type="dxa"/>
            <w:shd w:val="clear" w:color="auto" w:fill="auto"/>
            <w:vAlign w:val="center"/>
          </w:tcPr>
          <w:p w14:paraId="1E51495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室外配电箱</w:t>
            </w:r>
          </w:p>
        </w:tc>
        <w:tc>
          <w:tcPr>
            <w:tcW w:w="900" w:type="dxa"/>
            <w:shd w:val="clear" w:color="auto" w:fill="auto"/>
            <w:vAlign w:val="center"/>
          </w:tcPr>
          <w:p w14:paraId="68D4862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1314" w:type="dxa"/>
            <w:shd w:val="clear" w:color="auto" w:fill="auto"/>
            <w:vAlign w:val="center"/>
          </w:tcPr>
          <w:p w14:paraId="34BFE08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915" w:type="dxa"/>
            <w:shd w:val="clear" w:color="auto" w:fill="auto"/>
            <w:vAlign w:val="center"/>
          </w:tcPr>
          <w:p w14:paraId="1E0A9F7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810" w:type="dxa"/>
            <w:shd w:val="clear" w:color="auto" w:fill="auto"/>
            <w:vAlign w:val="center"/>
          </w:tcPr>
          <w:p w14:paraId="5BF4B07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个</w:t>
            </w:r>
          </w:p>
        </w:tc>
        <w:tc>
          <w:tcPr>
            <w:tcW w:w="4575" w:type="dxa"/>
            <w:shd w:val="clear" w:color="auto" w:fill="auto"/>
            <w:vAlign w:val="center"/>
          </w:tcPr>
          <w:p w14:paraId="630847CF">
            <w:pPr>
              <w:jc w:val="both"/>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rPr>
              <w:t>定制</w:t>
            </w:r>
          </w:p>
        </w:tc>
      </w:tr>
      <w:tr w14:paraId="164F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5" w:type="dxa"/>
            <w:shd w:val="clear" w:color="auto" w:fill="auto"/>
            <w:vAlign w:val="center"/>
          </w:tcPr>
          <w:p w14:paraId="01702DE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22</w:t>
            </w:r>
          </w:p>
        </w:tc>
        <w:tc>
          <w:tcPr>
            <w:tcW w:w="1065" w:type="dxa"/>
            <w:shd w:val="clear" w:color="auto" w:fill="auto"/>
            <w:vAlign w:val="center"/>
          </w:tcPr>
          <w:p w14:paraId="73B7140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称重设备处路面处理工程</w:t>
            </w:r>
          </w:p>
        </w:tc>
        <w:tc>
          <w:tcPr>
            <w:tcW w:w="900" w:type="dxa"/>
            <w:shd w:val="clear" w:color="auto" w:fill="auto"/>
            <w:vAlign w:val="center"/>
          </w:tcPr>
          <w:p w14:paraId="3040805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1314" w:type="dxa"/>
            <w:shd w:val="clear" w:color="auto" w:fill="auto"/>
            <w:vAlign w:val="center"/>
          </w:tcPr>
          <w:p w14:paraId="5489CE5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915" w:type="dxa"/>
            <w:shd w:val="clear" w:color="auto" w:fill="auto"/>
            <w:vAlign w:val="center"/>
          </w:tcPr>
          <w:p w14:paraId="400B855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810" w:type="dxa"/>
            <w:shd w:val="clear" w:color="auto" w:fill="auto"/>
            <w:vAlign w:val="center"/>
          </w:tcPr>
          <w:p w14:paraId="6413CD2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项</w:t>
            </w:r>
          </w:p>
        </w:tc>
        <w:tc>
          <w:tcPr>
            <w:tcW w:w="4575" w:type="dxa"/>
            <w:shd w:val="clear" w:color="auto" w:fill="auto"/>
            <w:vAlign w:val="center"/>
          </w:tcPr>
          <w:p w14:paraId="1717812C">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15cm水泥稳定碎石、20cm水泥稳定碎石、26cm水泥混凝土；4cm沥青上面层、8cm沥青下面层、水泥稳定碎石以及其他附属工程</w:t>
            </w:r>
          </w:p>
        </w:tc>
      </w:tr>
      <w:tr w14:paraId="795F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5" w:type="dxa"/>
            <w:shd w:val="clear" w:color="auto" w:fill="auto"/>
            <w:vAlign w:val="center"/>
          </w:tcPr>
          <w:p w14:paraId="1EF3F49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23</w:t>
            </w:r>
          </w:p>
        </w:tc>
        <w:tc>
          <w:tcPr>
            <w:tcW w:w="1065" w:type="dxa"/>
            <w:shd w:val="clear" w:color="auto" w:fill="auto"/>
            <w:vAlign w:val="center"/>
          </w:tcPr>
          <w:p w14:paraId="008A179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过路管道</w:t>
            </w:r>
          </w:p>
        </w:tc>
        <w:tc>
          <w:tcPr>
            <w:tcW w:w="900" w:type="dxa"/>
            <w:shd w:val="clear" w:color="auto" w:fill="auto"/>
            <w:vAlign w:val="center"/>
          </w:tcPr>
          <w:p w14:paraId="07B5A99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1314" w:type="dxa"/>
            <w:shd w:val="clear" w:color="auto" w:fill="auto"/>
            <w:vAlign w:val="center"/>
          </w:tcPr>
          <w:p w14:paraId="683CA49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915" w:type="dxa"/>
            <w:shd w:val="clear" w:color="auto" w:fill="auto"/>
            <w:vAlign w:val="center"/>
          </w:tcPr>
          <w:p w14:paraId="649B962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50</w:t>
            </w:r>
          </w:p>
        </w:tc>
        <w:tc>
          <w:tcPr>
            <w:tcW w:w="810" w:type="dxa"/>
            <w:shd w:val="clear" w:color="auto" w:fill="auto"/>
            <w:vAlign w:val="center"/>
          </w:tcPr>
          <w:p w14:paraId="1AA265B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米</w:t>
            </w:r>
          </w:p>
        </w:tc>
        <w:tc>
          <w:tcPr>
            <w:tcW w:w="4575" w:type="dxa"/>
            <w:shd w:val="clear" w:color="auto" w:fill="auto"/>
            <w:vAlign w:val="center"/>
          </w:tcPr>
          <w:p w14:paraId="2E31F3D2">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2*DN100,70cm深（过路）</w:t>
            </w:r>
          </w:p>
        </w:tc>
      </w:tr>
      <w:tr w14:paraId="7EE2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5" w:type="dxa"/>
            <w:shd w:val="clear" w:color="auto" w:fill="auto"/>
            <w:vAlign w:val="center"/>
          </w:tcPr>
          <w:p w14:paraId="5D6E53D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24</w:t>
            </w:r>
          </w:p>
        </w:tc>
        <w:tc>
          <w:tcPr>
            <w:tcW w:w="1065" w:type="dxa"/>
            <w:shd w:val="clear" w:color="auto" w:fill="auto"/>
            <w:vAlign w:val="center"/>
          </w:tcPr>
          <w:p w14:paraId="432B86F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手井</w:t>
            </w:r>
          </w:p>
        </w:tc>
        <w:tc>
          <w:tcPr>
            <w:tcW w:w="900" w:type="dxa"/>
            <w:shd w:val="clear" w:color="auto" w:fill="auto"/>
            <w:vAlign w:val="center"/>
          </w:tcPr>
          <w:p w14:paraId="752D2C3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1314" w:type="dxa"/>
            <w:shd w:val="clear" w:color="auto" w:fill="auto"/>
            <w:vAlign w:val="center"/>
          </w:tcPr>
          <w:p w14:paraId="2DAFDFE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915" w:type="dxa"/>
            <w:shd w:val="clear" w:color="auto" w:fill="auto"/>
            <w:vAlign w:val="center"/>
          </w:tcPr>
          <w:p w14:paraId="113D005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4</w:t>
            </w:r>
          </w:p>
        </w:tc>
        <w:tc>
          <w:tcPr>
            <w:tcW w:w="810" w:type="dxa"/>
            <w:shd w:val="clear" w:color="auto" w:fill="auto"/>
            <w:vAlign w:val="center"/>
          </w:tcPr>
          <w:p w14:paraId="4C5F588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个</w:t>
            </w:r>
          </w:p>
        </w:tc>
        <w:tc>
          <w:tcPr>
            <w:tcW w:w="4575" w:type="dxa"/>
            <w:shd w:val="clear" w:color="auto" w:fill="auto"/>
            <w:vAlign w:val="center"/>
          </w:tcPr>
          <w:p w14:paraId="438592F4">
            <w:pPr>
              <w:jc w:val="left"/>
              <w:textAlignment w:val="center"/>
              <w:rPr>
                <w:rFonts w:ascii="宋体" w:hAnsi="宋体" w:eastAsia="宋体" w:cs="宋体"/>
                <w:color w:val="auto"/>
                <w:sz w:val="21"/>
                <w:szCs w:val="21"/>
              </w:rPr>
            </w:pPr>
            <w:r>
              <w:rPr>
                <w:rFonts w:hint="eastAsia" w:ascii="宋体" w:hAnsi="宋体" w:eastAsia="宋体" w:cs="宋体"/>
                <w:color w:val="auto"/>
                <w:sz w:val="21"/>
                <w:szCs w:val="21"/>
                <w:lang w:eastAsia="zh-CN"/>
              </w:rPr>
              <w:t>定制</w:t>
            </w:r>
            <w:r>
              <w:rPr>
                <w:rFonts w:hint="eastAsia" w:ascii="宋体" w:hAnsi="宋体" w:eastAsia="宋体" w:cs="宋体"/>
                <w:color w:val="auto"/>
                <w:kern w:val="0"/>
                <w:sz w:val="21"/>
                <w:szCs w:val="21"/>
              </w:rPr>
              <w:t>　</w:t>
            </w:r>
          </w:p>
        </w:tc>
      </w:tr>
      <w:tr w14:paraId="504D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354" w:type="dxa"/>
            <w:gridSpan w:val="7"/>
            <w:shd w:val="clear" w:color="auto" w:fill="auto"/>
            <w:vAlign w:val="center"/>
          </w:tcPr>
          <w:p w14:paraId="7FEE3ACB">
            <w:pPr>
              <w:jc w:val="center"/>
              <w:textAlignment w:val="center"/>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防雷设置</w:t>
            </w:r>
          </w:p>
        </w:tc>
      </w:tr>
      <w:tr w14:paraId="6637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5" w:type="dxa"/>
            <w:shd w:val="clear" w:color="auto" w:fill="auto"/>
            <w:vAlign w:val="center"/>
          </w:tcPr>
          <w:p w14:paraId="041E5BB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25</w:t>
            </w:r>
          </w:p>
        </w:tc>
        <w:tc>
          <w:tcPr>
            <w:tcW w:w="1065" w:type="dxa"/>
            <w:shd w:val="clear" w:color="auto" w:fill="auto"/>
            <w:vAlign w:val="center"/>
          </w:tcPr>
          <w:p w14:paraId="34B5158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电源防雷</w:t>
            </w:r>
          </w:p>
        </w:tc>
        <w:tc>
          <w:tcPr>
            <w:tcW w:w="900" w:type="dxa"/>
            <w:shd w:val="clear" w:color="auto" w:fill="auto"/>
            <w:vAlign w:val="center"/>
          </w:tcPr>
          <w:p w14:paraId="026CA6DE">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德力西</w:t>
            </w:r>
          </w:p>
        </w:tc>
        <w:tc>
          <w:tcPr>
            <w:tcW w:w="1314" w:type="dxa"/>
            <w:shd w:val="clear" w:color="auto" w:fill="auto"/>
            <w:vAlign w:val="center"/>
          </w:tcPr>
          <w:p w14:paraId="3E68286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CDYX-4X-XP</w:t>
            </w:r>
          </w:p>
        </w:tc>
        <w:tc>
          <w:tcPr>
            <w:tcW w:w="915" w:type="dxa"/>
            <w:shd w:val="clear" w:color="auto" w:fill="auto"/>
            <w:vAlign w:val="center"/>
          </w:tcPr>
          <w:p w14:paraId="6D19524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4</w:t>
            </w:r>
          </w:p>
        </w:tc>
        <w:tc>
          <w:tcPr>
            <w:tcW w:w="810" w:type="dxa"/>
            <w:shd w:val="clear" w:color="auto" w:fill="auto"/>
            <w:vAlign w:val="center"/>
          </w:tcPr>
          <w:p w14:paraId="5671889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575" w:type="dxa"/>
            <w:shd w:val="clear" w:color="auto" w:fill="auto"/>
            <w:vAlign w:val="center"/>
          </w:tcPr>
          <w:p w14:paraId="3FE9AB0F">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视频浪涌设定电压Uc: (DC/AC)≤180V/130V</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标称电流IN;3.5A</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额定放电电流In(8/20)us:芯-屏蔽线/芯地:5KA/5kA</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残余浪涌电流(8/20)us:芯地:10kA</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响应时间ta:芯屏蔽线/芯-地≤100ns/≤100ns</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温度范围在-40℃至+80℃</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保护等级为IP20</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数据信号浪涌保护器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数据信号浪涌保护器设定电压Uc:14VDC</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标称电流IN:450mA</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额定放电电流1n(8/20)us:10kA</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残余浪涌电流(8/20)us:芯-地:20kA</w:t>
            </w:r>
          </w:p>
        </w:tc>
      </w:tr>
      <w:tr w14:paraId="3EB3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5" w:type="dxa"/>
            <w:shd w:val="clear" w:color="auto" w:fill="auto"/>
            <w:vAlign w:val="center"/>
          </w:tcPr>
          <w:p w14:paraId="1478979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26</w:t>
            </w:r>
          </w:p>
        </w:tc>
        <w:tc>
          <w:tcPr>
            <w:tcW w:w="1065" w:type="dxa"/>
            <w:shd w:val="clear" w:color="auto" w:fill="auto"/>
            <w:vAlign w:val="center"/>
          </w:tcPr>
          <w:p w14:paraId="331ED19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信号防雷</w:t>
            </w:r>
          </w:p>
        </w:tc>
        <w:tc>
          <w:tcPr>
            <w:tcW w:w="900" w:type="dxa"/>
            <w:shd w:val="clear" w:color="auto" w:fill="auto"/>
            <w:vAlign w:val="center"/>
          </w:tcPr>
          <w:p w14:paraId="79121BA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鸿雁</w:t>
            </w:r>
          </w:p>
        </w:tc>
        <w:tc>
          <w:tcPr>
            <w:tcW w:w="1314" w:type="dxa"/>
            <w:shd w:val="clear" w:color="auto" w:fill="auto"/>
            <w:vAlign w:val="center"/>
          </w:tcPr>
          <w:p w14:paraId="0E12EA8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RJ45X</w:t>
            </w:r>
          </w:p>
        </w:tc>
        <w:tc>
          <w:tcPr>
            <w:tcW w:w="915" w:type="dxa"/>
            <w:shd w:val="clear" w:color="auto" w:fill="auto"/>
            <w:vAlign w:val="center"/>
          </w:tcPr>
          <w:p w14:paraId="38215E5D">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4</w:t>
            </w:r>
          </w:p>
        </w:tc>
        <w:tc>
          <w:tcPr>
            <w:tcW w:w="810" w:type="dxa"/>
            <w:shd w:val="clear" w:color="auto" w:fill="auto"/>
            <w:vAlign w:val="center"/>
          </w:tcPr>
          <w:p w14:paraId="2F032F12">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575" w:type="dxa"/>
            <w:shd w:val="clear" w:color="auto" w:fill="auto"/>
            <w:vAlign w:val="center"/>
          </w:tcPr>
          <w:p w14:paraId="4A6705D9">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 xml:space="preserve">RJ45接口/155M传输速率/用于计算机网络双绞线保护/如服务器,交换机数据线保护等 </w:t>
            </w:r>
          </w:p>
        </w:tc>
      </w:tr>
      <w:tr w14:paraId="5F65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5" w:type="dxa"/>
            <w:shd w:val="clear" w:color="auto" w:fill="auto"/>
            <w:vAlign w:val="center"/>
          </w:tcPr>
          <w:p w14:paraId="0CAA262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27</w:t>
            </w:r>
          </w:p>
        </w:tc>
        <w:tc>
          <w:tcPr>
            <w:tcW w:w="1065" w:type="dxa"/>
            <w:shd w:val="clear" w:color="auto" w:fill="auto"/>
            <w:vAlign w:val="center"/>
          </w:tcPr>
          <w:p w14:paraId="1EFADF4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避雷针</w:t>
            </w:r>
          </w:p>
        </w:tc>
        <w:tc>
          <w:tcPr>
            <w:tcW w:w="900" w:type="dxa"/>
            <w:shd w:val="clear" w:color="auto" w:fill="auto"/>
            <w:vAlign w:val="center"/>
          </w:tcPr>
          <w:p w14:paraId="44C18386">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1314" w:type="dxa"/>
            <w:shd w:val="clear" w:color="auto" w:fill="auto"/>
            <w:vAlign w:val="center"/>
          </w:tcPr>
          <w:p w14:paraId="4EBCB69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915" w:type="dxa"/>
            <w:shd w:val="clear" w:color="auto" w:fill="auto"/>
            <w:vAlign w:val="center"/>
          </w:tcPr>
          <w:p w14:paraId="582172C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4</w:t>
            </w:r>
          </w:p>
        </w:tc>
        <w:tc>
          <w:tcPr>
            <w:tcW w:w="810" w:type="dxa"/>
            <w:shd w:val="clear" w:color="auto" w:fill="auto"/>
            <w:vAlign w:val="center"/>
          </w:tcPr>
          <w:p w14:paraId="012A0338">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根</w:t>
            </w:r>
          </w:p>
        </w:tc>
        <w:tc>
          <w:tcPr>
            <w:tcW w:w="4575" w:type="dxa"/>
            <w:shd w:val="clear" w:color="auto" w:fill="auto"/>
            <w:vAlign w:val="center"/>
          </w:tcPr>
          <w:p w14:paraId="748610A7">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r>
      <w:tr w14:paraId="4527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5" w:type="dxa"/>
            <w:shd w:val="clear" w:color="auto" w:fill="auto"/>
            <w:vAlign w:val="center"/>
          </w:tcPr>
          <w:p w14:paraId="50E18D2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28</w:t>
            </w:r>
          </w:p>
        </w:tc>
        <w:tc>
          <w:tcPr>
            <w:tcW w:w="1065" w:type="dxa"/>
            <w:shd w:val="clear" w:color="auto" w:fill="auto"/>
            <w:vAlign w:val="center"/>
          </w:tcPr>
          <w:p w14:paraId="06B5D7E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限流避雷针</w:t>
            </w:r>
          </w:p>
        </w:tc>
        <w:tc>
          <w:tcPr>
            <w:tcW w:w="900" w:type="dxa"/>
            <w:shd w:val="clear" w:color="auto" w:fill="auto"/>
            <w:vAlign w:val="center"/>
          </w:tcPr>
          <w:p w14:paraId="76EECF0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1314" w:type="dxa"/>
            <w:shd w:val="clear" w:color="auto" w:fill="auto"/>
            <w:vAlign w:val="center"/>
          </w:tcPr>
          <w:p w14:paraId="3B95E80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915" w:type="dxa"/>
            <w:shd w:val="clear" w:color="auto" w:fill="auto"/>
            <w:vAlign w:val="center"/>
          </w:tcPr>
          <w:p w14:paraId="4CB43A9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w:t>
            </w:r>
          </w:p>
        </w:tc>
        <w:tc>
          <w:tcPr>
            <w:tcW w:w="810" w:type="dxa"/>
            <w:shd w:val="clear" w:color="auto" w:fill="auto"/>
            <w:vAlign w:val="center"/>
          </w:tcPr>
          <w:p w14:paraId="1DEA28D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根</w:t>
            </w:r>
          </w:p>
        </w:tc>
        <w:tc>
          <w:tcPr>
            <w:tcW w:w="4575" w:type="dxa"/>
            <w:shd w:val="clear" w:color="auto" w:fill="auto"/>
            <w:vAlign w:val="center"/>
          </w:tcPr>
          <w:p w14:paraId="667C3E93">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r>
      <w:tr w14:paraId="6BF7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354" w:type="dxa"/>
            <w:gridSpan w:val="7"/>
            <w:shd w:val="clear" w:color="auto" w:fill="auto"/>
            <w:vAlign w:val="center"/>
          </w:tcPr>
          <w:p w14:paraId="2FFE2139">
            <w:pPr>
              <w:jc w:val="center"/>
              <w:textAlignment w:val="center"/>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公路局新增设备</w:t>
            </w:r>
          </w:p>
        </w:tc>
      </w:tr>
      <w:tr w14:paraId="68FD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5" w:type="dxa"/>
            <w:shd w:val="clear" w:color="000000" w:fill="auto"/>
            <w:vAlign w:val="center"/>
          </w:tcPr>
          <w:p w14:paraId="46C186B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29</w:t>
            </w:r>
          </w:p>
        </w:tc>
        <w:tc>
          <w:tcPr>
            <w:tcW w:w="1065" w:type="dxa"/>
            <w:shd w:val="clear" w:color="000000" w:fill="auto"/>
            <w:vAlign w:val="center"/>
          </w:tcPr>
          <w:p w14:paraId="0304BCC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县级治超软件</w:t>
            </w:r>
          </w:p>
        </w:tc>
        <w:tc>
          <w:tcPr>
            <w:tcW w:w="900" w:type="dxa"/>
            <w:shd w:val="clear" w:color="000000" w:fill="auto"/>
            <w:vAlign w:val="center"/>
          </w:tcPr>
          <w:p w14:paraId="18032BE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智诚</w:t>
            </w:r>
          </w:p>
        </w:tc>
        <w:tc>
          <w:tcPr>
            <w:tcW w:w="1314" w:type="dxa"/>
            <w:shd w:val="clear" w:color="000000" w:fill="auto"/>
            <w:vAlign w:val="center"/>
          </w:tcPr>
          <w:p w14:paraId="6193746F">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定制</w:t>
            </w:r>
          </w:p>
        </w:tc>
        <w:tc>
          <w:tcPr>
            <w:tcW w:w="915" w:type="dxa"/>
            <w:shd w:val="clear" w:color="000000" w:fill="auto"/>
            <w:vAlign w:val="center"/>
          </w:tcPr>
          <w:p w14:paraId="0CA414DB">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810" w:type="dxa"/>
            <w:shd w:val="clear" w:color="000000" w:fill="auto"/>
            <w:vAlign w:val="center"/>
          </w:tcPr>
          <w:p w14:paraId="583723F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575" w:type="dxa"/>
            <w:shd w:val="clear" w:color="000000" w:fill="auto"/>
            <w:vAlign w:val="center"/>
          </w:tcPr>
          <w:p w14:paraId="1821B332">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非现场数据传输：县级平台数据或非现场抓拍设备必须通过调用市级平台统一 Webservice接口，实现非现场数据上传。                                         快速生成处罚案卷, 从立案信息录入完成到生成全部案卷不能超过10分钟。</w:t>
            </w:r>
          </w:p>
        </w:tc>
      </w:tr>
      <w:tr w14:paraId="6374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354" w:type="dxa"/>
            <w:gridSpan w:val="7"/>
            <w:shd w:val="clear" w:color="000000" w:fill="auto"/>
            <w:vAlign w:val="center"/>
          </w:tcPr>
          <w:p w14:paraId="4F9BEDC5">
            <w:pPr>
              <w:jc w:val="center"/>
              <w:textAlignment w:val="center"/>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测速卡口</w:t>
            </w:r>
          </w:p>
        </w:tc>
      </w:tr>
      <w:tr w14:paraId="77A1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5" w:type="dxa"/>
            <w:shd w:val="clear" w:color="auto" w:fill="auto"/>
            <w:vAlign w:val="center"/>
          </w:tcPr>
          <w:p w14:paraId="570B226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30</w:t>
            </w:r>
          </w:p>
        </w:tc>
        <w:tc>
          <w:tcPr>
            <w:tcW w:w="1065" w:type="dxa"/>
            <w:shd w:val="clear" w:color="auto" w:fill="auto"/>
            <w:vAlign w:val="center"/>
          </w:tcPr>
          <w:p w14:paraId="70345DD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终端服务器</w:t>
            </w:r>
          </w:p>
        </w:tc>
        <w:tc>
          <w:tcPr>
            <w:tcW w:w="900" w:type="dxa"/>
            <w:shd w:val="clear" w:color="auto" w:fill="auto"/>
            <w:vAlign w:val="center"/>
          </w:tcPr>
          <w:p w14:paraId="2B478B83">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1314" w:type="dxa"/>
            <w:shd w:val="clear" w:color="auto" w:fill="auto"/>
            <w:vAlign w:val="center"/>
          </w:tcPr>
          <w:p w14:paraId="424A45AA">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TS-5012-L/LX</w:t>
            </w:r>
          </w:p>
        </w:tc>
        <w:tc>
          <w:tcPr>
            <w:tcW w:w="915" w:type="dxa"/>
            <w:shd w:val="clear" w:color="auto" w:fill="auto"/>
            <w:vAlign w:val="center"/>
          </w:tcPr>
          <w:p w14:paraId="08AF794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1</w:t>
            </w:r>
          </w:p>
        </w:tc>
        <w:tc>
          <w:tcPr>
            <w:tcW w:w="810" w:type="dxa"/>
            <w:shd w:val="clear" w:color="auto" w:fill="auto"/>
            <w:vAlign w:val="center"/>
          </w:tcPr>
          <w:p w14:paraId="11AC2814">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台</w:t>
            </w:r>
          </w:p>
        </w:tc>
        <w:tc>
          <w:tcPr>
            <w:tcW w:w="4575" w:type="dxa"/>
            <w:shd w:val="clear" w:color="auto" w:fill="auto"/>
            <w:vAlign w:val="center"/>
          </w:tcPr>
          <w:p w14:paraId="4F41F60B">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 xml:space="preserve">支持对HDCVI模拟视频进行编码，并传送至客户端，支持环通输出 </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支持通过3G/4G网络sim卡进入网络，兼容电信、移动、联通 </w:t>
            </w:r>
          </w:p>
        </w:tc>
      </w:tr>
      <w:tr w14:paraId="076A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5" w:type="dxa"/>
            <w:shd w:val="clear" w:color="auto" w:fill="auto"/>
            <w:vAlign w:val="center"/>
          </w:tcPr>
          <w:p w14:paraId="2A7A1CE7">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31</w:t>
            </w:r>
          </w:p>
        </w:tc>
        <w:tc>
          <w:tcPr>
            <w:tcW w:w="1065" w:type="dxa"/>
            <w:shd w:val="clear" w:color="auto" w:fill="auto"/>
            <w:vAlign w:val="center"/>
          </w:tcPr>
          <w:p w14:paraId="129BCFD5">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车辆检测处理器 （测速雷达）</w:t>
            </w:r>
          </w:p>
        </w:tc>
        <w:tc>
          <w:tcPr>
            <w:tcW w:w="900" w:type="dxa"/>
            <w:shd w:val="clear" w:color="auto" w:fill="auto"/>
            <w:vAlign w:val="center"/>
          </w:tcPr>
          <w:p w14:paraId="20FE0A31">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森思泰克</w:t>
            </w:r>
          </w:p>
        </w:tc>
        <w:tc>
          <w:tcPr>
            <w:tcW w:w="1314" w:type="dxa"/>
            <w:shd w:val="clear" w:color="auto" w:fill="auto"/>
            <w:vAlign w:val="center"/>
          </w:tcPr>
          <w:p w14:paraId="71F5699C">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STJ1</w:t>
            </w:r>
          </w:p>
        </w:tc>
        <w:tc>
          <w:tcPr>
            <w:tcW w:w="915" w:type="dxa"/>
            <w:shd w:val="clear" w:color="auto" w:fill="auto"/>
            <w:vAlign w:val="center"/>
          </w:tcPr>
          <w:p w14:paraId="6CD312C9">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3</w:t>
            </w:r>
          </w:p>
        </w:tc>
        <w:tc>
          <w:tcPr>
            <w:tcW w:w="810" w:type="dxa"/>
            <w:shd w:val="clear" w:color="auto" w:fill="auto"/>
            <w:vAlign w:val="center"/>
          </w:tcPr>
          <w:p w14:paraId="3CF8C1B0">
            <w:pPr>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套</w:t>
            </w:r>
          </w:p>
        </w:tc>
        <w:tc>
          <w:tcPr>
            <w:tcW w:w="4575" w:type="dxa"/>
            <w:shd w:val="clear" w:color="auto" w:fill="auto"/>
            <w:vAlign w:val="center"/>
          </w:tcPr>
          <w:p w14:paraId="577AD91F">
            <w:pPr>
              <w:jc w:val="left"/>
              <w:textAlignment w:val="center"/>
              <w:rPr>
                <w:rFonts w:ascii="宋体" w:hAnsi="宋体" w:eastAsia="宋体" w:cs="宋体"/>
                <w:color w:val="auto"/>
                <w:sz w:val="21"/>
                <w:szCs w:val="21"/>
              </w:rPr>
            </w:pPr>
            <w:r>
              <w:rPr>
                <w:rFonts w:hint="eastAsia" w:ascii="宋体" w:hAnsi="宋体" w:eastAsia="宋体" w:cs="宋体"/>
                <w:color w:val="auto"/>
                <w:kern w:val="0"/>
                <w:sz w:val="21"/>
                <w:szCs w:val="21"/>
              </w:rPr>
              <w:t xml:space="preserve">微波发射频率应在24.150GHz±45MHz之内 </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测速范围10km/h~250km/h  </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测速误差-2km/h~0km/h  </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功耗2.3W  </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电源工作范围DC10.8V~DC15.6V或AC24V±4.8V  </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xml:space="preserve">工作温度-40℃~80℃  </w:t>
            </w:r>
          </w:p>
        </w:tc>
      </w:tr>
      <w:bookmarkEnd w:id="35"/>
      <w:bookmarkEnd w:id="36"/>
      <w:bookmarkEnd w:id="37"/>
    </w:tbl>
    <w:p w14:paraId="1FEE27DC">
      <w:pPr>
        <w:pStyle w:val="5"/>
        <w:numPr>
          <w:ilvl w:val="0"/>
          <w:numId w:val="0"/>
        </w:numPr>
        <w:spacing w:line="360" w:lineRule="auto"/>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lang w:eastAsia="zh-CN"/>
        </w:rPr>
        <w:t>二、</w:t>
      </w:r>
      <w:r>
        <w:rPr>
          <w:rFonts w:hint="eastAsia" w:asciiTheme="minorEastAsia" w:hAnsiTheme="minorEastAsia" w:eastAsiaTheme="minorEastAsia" w:cstheme="minorEastAsia"/>
          <w:color w:val="auto"/>
          <w:sz w:val="36"/>
          <w:szCs w:val="36"/>
          <w:highlight w:val="none"/>
        </w:rPr>
        <w:t>项目要求</w:t>
      </w:r>
      <w:bookmarkEnd w:id="10"/>
    </w:p>
    <w:p w14:paraId="5DAEDCD5">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bookmarkStart w:id="38" w:name="_Toc5233"/>
      <w:r>
        <w:rPr>
          <w:rFonts w:hint="eastAsia" w:asciiTheme="minorEastAsia" w:hAnsiTheme="minorEastAsia" w:eastAsiaTheme="minorEastAsia" w:cstheme="minorEastAsia"/>
          <w:b/>
          <w:bCs/>
          <w:color w:val="auto"/>
          <w:sz w:val="24"/>
          <w:szCs w:val="24"/>
          <w:highlight w:val="none"/>
        </w:rPr>
        <w:t>1、维护目标</w:t>
      </w:r>
      <w:bookmarkEnd w:id="38"/>
    </w:p>
    <w:p w14:paraId="26F206FD">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1）治超非现场执法设施每月正常运行不低于26天，设备完好率每月达到80%以上，数据完好率每月达到80%以上，不可抗力及甲方因素除外。</w:t>
      </w:r>
    </w:p>
    <w:p w14:paraId="1E0DA06D">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2）确保非现治超维护范围的称重精准度偏差不超10%范围。</w:t>
      </w:r>
    </w:p>
    <w:p w14:paraId="15B616A7">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3）车牌识别抓拍率保持在95%以上，人为遮挡因素除外。</w:t>
      </w:r>
    </w:p>
    <w:p w14:paraId="48CC662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）接到采购人报障，在半小时内电话响应，3小时内赶到现场，24小时内恢复系统正常运行。若因设备故障需更换硬件的，由采购人支付硬件费用，维护单位负责</w:t>
      </w:r>
      <w:r>
        <w:rPr>
          <w:rFonts w:hint="eastAsia" w:asciiTheme="minorEastAsia" w:hAnsiTheme="minorEastAsia" w:eastAsiaTheme="minorEastAsia" w:cstheme="minorEastAsia"/>
          <w:color w:val="auto"/>
          <w:sz w:val="24"/>
          <w:szCs w:val="24"/>
          <w:highlight w:val="none"/>
          <w:lang w:val="en-US" w:eastAsia="zh-CN"/>
        </w:rPr>
        <w:t>备品备件采购、</w:t>
      </w:r>
      <w:r>
        <w:rPr>
          <w:rFonts w:hint="eastAsia" w:asciiTheme="minorEastAsia" w:hAnsiTheme="minorEastAsia" w:eastAsiaTheme="minorEastAsia" w:cstheme="minorEastAsia"/>
          <w:color w:val="auto"/>
          <w:sz w:val="24"/>
          <w:szCs w:val="24"/>
          <w:highlight w:val="none"/>
        </w:rPr>
        <w:t>安装、调试工作。</w:t>
      </w:r>
    </w:p>
    <w:p w14:paraId="1AE21DDD">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bookmarkStart w:id="39" w:name="_Toc18418"/>
      <w:r>
        <w:rPr>
          <w:rFonts w:hint="eastAsia" w:asciiTheme="minorEastAsia" w:hAnsiTheme="minorEastAsia" w:eastAsiaTheme="minorEastAsia" w:cstheme="minorEastAsia"/>
          <w:b/>
          <w:bCs/>
          <w:color w:val="auto"/>
          <w:sz w:val="24"/>
          <w:szCs w:val="24"/>
          <w:highlight w:val="none"/>
        </w:rPr>
        <w:t>2、维护内容</w:t>
      </w:r>
      <w:bookmarkEnd w:id="39"/>
    </w:p>
    <w:p w14:paraId="265BB5B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1）定期检查：不少于每月一次定期外场巡检，做好外场设备保养工作，并做好巡检记录。每月5日前，将上月的巡查记录报送业主方审查。</w:t>
      </w:r>
    </w:p>
    <w:p w14:paraId="6727A45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有必要时，进行设备的除尘、清理，扫净。设备显露的尘土，对摄像机、防护罩等部件要卸下彻底吹风除尘，之后用无水酒精棉将各个镜头擦干净，调整清晰度，防止由于机器运转、静电等因素将尘土吸入监控设备机体内，确保机器正常运行。</w:t>
      </w:r>
    </w:p>
    <w:p w14:paraId="232C01A7">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3）非现治超配合每年一次的动态称重系统检定工作（封道、称台调试等）</w:t>
      </w:r>
      <w:r>
        <w:rPr>
          <w:rFonts w:hint="eastAsia" w:asciiTheme="minorEastAsia" w:hAnsiTheme="minorEastAsia" w:eastAsiaTheme="minorEastAsia" w:cstheme="minorEastAsia"/>
          <w:color w:val="auto"/>
          <w:sz w:val="24"/>
          <w:szCs w:val="24"/>
          <w:highlight w:val="none"/>
          <w:lang w:eastAsia="zh-CN"/>
        </w:rPr>
        <w:t>。</w:t>
      </w:r>
    </w:p>
    <w:p w14:paraId="2CE6E6E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4）根据用户日常使用中经常出现的情况及时提出日常维护和日常使用建议。</w:t>
      </w:r>
    </w:p>
    <w:p w14:paraId="442DC38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5）配合交通局指挥中心机房正常运行需要支撑的相关工作。</w:t>
      </w:r>
    </w:p>
    <w:p w14:paraId="1B4CAE3B">
      <w:pPr>
        <w:spacing w:line="360" w:lineRule="auto"/>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6）做好系统网络安全相关工作。</w:t>
      </w:r>
    </w:p>
    <w:p w14:paraId="5B11160B">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bookmarkStart w:id="40" w:name="_Toc11492"/>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、维护要求</w:t>
      </w:r>
      <w:bookmarkEnd w:id="40"/>
    </w:p>
    <w:p w14:paraId="637A74B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维护单位配备足够的维护人员、工程车辆、制订相关运行维护制度，包含专门的抢修流程及内部日常管理、考核制度，并建立维护台账，严格按服务规范和标准执行。</w:t>
      </w:r>
    </w:p>
    <w:p w14:paraId="78A362B8">
      <w:pPr>
        <w:pStyle w:val="5"/>
        <w:numPr>
          <w:ilvl w:val="0"/>
          <w:numId w:val="0"/>
        </w:numPr>
        <w:spacing w:line="360" w:lineRule="auto"/>
        <w:rPr>
          <w:rFonts w:hint="eastAsia" w:asciiTheme="minorEastAsia" w:hAnsiTheme="minorEastAsia" w:eastAsiaTheme="minorEastAsia" w:cstheme="minorEastAsia"/>
          <w:color w:val="auto"/>
          <w:sz w:val="32"/>
          <w:szCs w:val="32"/>
          <w:highlight w:val="none"/>
          <w:lang w:val="en-US" w:eastAsia="zh-CN"/>
        </w:rPr>
      </w:pPr>
      <w:bookmarkStart w:id="41" w:name="_Toc7459"/>
      <w:r>
        <w:rPr>
          <w:rFonts w:hint="eastAsia" w:asciiTheme="minorEastAsia" w:hAnsiTheme="minorEastAsia" w:eastAsiaTheme="minorEastAsia" w:cstheme="minorEastAsia"/>
          <w:color w:val="auto"/>
          <w:sz w:val="32"/>
          <w:szCs w:val="32"/>
          <w:highlight w:val="none"/>
          <w:lang w:val="en-US" w:eastAsia="zh-CN"/>
        </w:rPr>
        <w:t>三</w:t>
      </w:r>
      <w:r>
        <w:rPr>
          <w:rFonts w:hint="eastAsia" w:asciiTheme="minorEastAsia" w:hAnsiTheme="minorEastAsia" w:eastAsiaTheme="minorEastAsia" w:cstheme="minorEastAsia"/>
          <w:color w:val="auto"/>
          <w:sz w:val="32"/>
          <w:szCs w:val="32"/>
          <w:highlight w:val="none"/>
          <w:lang w:eastAsia="zh-CN"/>
        </w:rPr>
        <w:t>、服务期</w:t>
      </w:r>
      <w:bookmarkEnd w:id="41"/>
    </w:p>
    <w:p w14:paraId="3391ABFF">
      <w:pPr>
        <w:tabs>
          <w:tab w:val="left" w:pos="315"/>
        </w:tabs>
        <w:spacing w:line="360" w:lineRule="auto"/>
        <w:ind w:firstLine="420"/>
        <w:rPr>
          <w:rFonts w:hint="eastAsia" w:asciiTheme="minorEastAsia" w:hAnsiTheme="minorEastAsia" w:eastAsiaTheme="minorEastAsia" w:cstheme="minorEastAsia"/>
          <w:color w:val="auto"/>
          <w:kern w:val="1"/>
          <w:sz w:val="24"/>
          <w:szCs w:val="24"/>
          <w:highlight w:val="none"/>
          <w:lang w:val="en-US" w:eastAsia="zh-CN"/>
        </w:rPr>
      </w:pPr>
      <w:r>
        <w:rPr>
          <w:rFonts w:hint="eastAsia" w:asciiTheme="minorEastAsia" w:hAnsiTheme="minorEastAsia" w:eastAsiaTheme="minorEastAsia" w:cstheme="minorEastAsia"/>
          <w:color w:val="auto"/>
          <w:kern w:val="1"/>
          <w:sz w:val="24"/>
          <w:szCs w:val="24"/>
          <w:highlight w:val="none"/>
          <w:lang w:val="en-US" w:eastAsia="zh-CN"/>
        </w:rPr>
        <w:t>本项目</w:t>
      </w:r>
      <w:r>
        <w:rPr>
          <w:rFonts w:hint="eastAsia" w:asciiTheme="minorEastAsia" w:hAnsiTheme="minorEastAsia" w:eastAsiaTheme="minorEastAsia" w:cstheme="minorEastAsia"/>
          <w:color w:val="auto"/>
          <w:sz w:val="24"/>
          <w:szCs w:val="24"/>
          <w:highlight w:val="none"/>
        </w:rPr>
        <w:t>服务期</w:t>
      </w:r>
      <w:r>
        <w:rPr>
          <w:rFonts w:hint="eastAsia" w:asciiTheme="minorEastAsia" w:hAnsiTheme="minorEastAsia" w:eastAsiaTheme="minorEastAsia" w:cstheme="minorEastAsia"/>
          <w:color w:val="auto"/>
          <w:kern w:val="1"/>
          <w:sz w:val="24"/>
          <w:szCs w:val="24"/>
          <w:highlight w:val="none"/>
          <w:lang w:val="en-US" w:eastAsia="zh-CN"/>
        </w:rPr>
        <w:t>自合同签订之日起，壹年。</w:t>
      </w:r>
    </w:p>
    <w:p w14:paraId="4A642401">
      <w:pPr>
        <w:pStyle w:val="5"/>
        <w:spacing w:line="360" w:lineRule="auto"/>
        <w:rPr>
          <w:rFonts w:hint="eastAsia" w:asciiTheme="minorEastAsia" w:hAnsiTheme="minorEastAsia" w:eastAsiaTheme="minorEastAsia" w:cstheme="minorEastAsia"/>
          <w:color w:val="auto"/>
          <w:sz w:val="32"/>
          <w:szCs w:val="32"/>
          <w:highlight w:val="none"/>
        </w:rPr>
      </w:pPr>
      <w:bookmarkStart w:id="42" w:name="_Toc22734"/>
      <w:r>
        <w:rPr>
          <w:rFonts w:hint="eastAsia" w:asciiTheme="minorEastAsia" w:hAnsiTheme="minorEastAsia" w:eastAsiaTheme="minorEastAsia" w:cstheme="minorEastAsia"/>
          <w:color w:val="auto"/>
          <w:sz w:val="32"/>
          <w:szCs w:val="32"/>
          <w:highlight w:val="none"/>
          <w:lang w:val="en-US" w:eastAsia="zh-CN"/>
        </w:rPr>
        <w:t>四</w:t>
      </w:r>
      <w:r>
        <w:rPr>
          <w:rFonts w:hint="eastAsia" w:asciiTheme="minorEastAsia" w:hAnsiTheme="minorEastAsia" w:eastAsiaTheme="minorEastAsia" w:cstheme="minorEastAsia"/>
          <w:color w:val="auto"/>
          <w:sz w:val="32"/>
          <w:szCs w:val="32"/>
          <w:highlight w:val="none"/>
        </w:rPr>
        <w:t>、售后服务</w:t>
      </w:r>
      <w:bookmarkEnd w:id="42"/>
    </w:p>
    <w:p w14:paraId="14C0393E">
      <w:pPr>
        <w:tabs>
          <w:tab w:val="left" w:pos="315"/>
        </w:tabs>
        <w:spacing w:line="360" w:lineRule="auto"/>
        <w:ind w:firstLine="420"/>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lang w:val="en-US" w:eastAsia="zh-CN"/>
        </w:rPr>
        <w:t>1</w:t>
      </w:r>
      <w:r>
        <w:rPr>
          <w:rFonts w:hint="eastAsia" w:asciiTheme="minorEastAsia" w:hAnsiTheme="minorEastAsia" w:eastAsiaTheme="minorEastAsia" w:cstheme="minorEastAsia"/>
          <w:color w:val="auto"/>
          <w:kern w:val="1"/>
          <w:sz w:val="24"/>
          <w:szCs w:val="24"/>
          <w:highlight w:val="none"/>
        </w:rPr>
        <w:t>.售后服务和响应时间</w:t>
      </w:r>
    </w:p>
    <w:p w14:paraId="51E7C615">
      <w:pPr>
        <w:tabs>
          <w:tab w:val="left" w:pos="315"/>
        </w:tabs>
        <w:spacing w:line="360" w:lineRule="auto"/>
        <w:ind w:firstLine="420"/>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在质保期内，采购人有故障申报，中标人必须在</w:t>
      </w:r>
      <w:r>
        <w:rPr>
          <w:rFonts w:hint="eastAsia" w:asciiTheme="minorEastAsia" w:hAnsiTheme="minorEastAsia" w:eastAsiaTheme="minorEastAsia" w:cstheme="minorEastAsia"/>
          <w:color w:val="auto"/>
          <w:kern w:val="1"/>
          <w:sz w:val="24"/>
          <w:szCs w:val="24"/>
          <w:highlight w:val="none"/>
          <w:lang w:eastAsia="zh-CN"/>
        </w:rPr>
        <w:t>半</w:t>
      </w:r>
      <w:r>
        <w:rPr>
          <w:rFonts w:hint="eastAsia" w:asciiTheme="minorEastAsia" w:hAnsiTheme="minorEastAsia" w:eastAsiaTheme="minorEastAsia" w:cstheme="minorEastAsia"/>
          <w:color w:val="auto"/>
          <w:kern w:val="1"/>
          <w:sz w:val="24"/>
          <w:szCs w:val="24"/>
          <w:highlight w:val="none"/>
        </w:rPr>
        <w:t>小时内响应，</w:t>
      </w:r>
      <w:r>
        <w:rPr>
          <w:rFonts w:hint="eastAsia" w:asciiTheme="minorEastAsia" w:hAnsiTheme="minorEastAsia" w:eastAsiaTheme="minorEastAsia" w:cstheme="minorEastAsia"/>
          <w:color w:val="auto"/>
          <w:sz w:val="24"/>
          <w:szCs w:val="24"/>
          <w:highlight w:val="none"/>
        </w:rPr>
        <w:t>3小时内赶到现场，</w:t>
      </w:r>
      <w:r>
        <w:rPr>
          <w:rFonts w:hint="eastAsia" w:asciiTheme="minorEastAsia" w:hAnsiTheme="minorEastAsia" w:eastAsiaTheme="minorEastAsia" w:cstheme="minorEastAsia"/>
          <w:color w:val="auto"/>
          <w:kern w:val="1"/>
          <w:sz w:val="24"/>
          <w:szCs w:val="24"/>
          <w:highlight w:val="none"/>
          <w:lang w:val="en-US" w:eastAsia="zh-CN"/>
        </w:rPr>
        <w:t>24</w:t>
      </w:r>
      <w:r>
        <w:rPr>
          <w:rFonts w:hint="eastAsia" w:asciiTheme="minorEastAsia" w:hAnsiTheme="minorEastAsia" w:eastAsiaTheme="minorEastAsia" w:cstheme="minorEastAsia"/>
          <w:color w:val="auto"/>
          <w:kern w:val="1"/>
          <w:sz w:val="24"/>
          <w:szCs w:val="24"/>
          <w:highlight w:val="none"/>
        </w:rPr>
        <w:t>小时内解决。若不能在24小时内解决，须提供同等性能、同等配置的产品替换。</w:t>
      </w:r>
    </w:p>
    <w:p w14:paraId="50F155FB">
      <w:pPr>
        <w:pStyle w:val="5"/>
        <w:numPr>
          <w:ilvl w:val="0"/>
          <w:numId w:val="0"/>
        </w:numPr>
        <w:spacing w:line="360" w:lineRule="auto"/>
        <w:rPr>
          <w:rFonts w:hint="eastAsia" w:asciiTheme="minorEastAsia" w:hAnsiTheme="minorEastAsia" w:eastAsiaTheme="minorEastAsia" w:cstheme="minorEastAsia"/>
          <w:color w:val="auto"/>
          <w:sz w:val="32"/>
          <w:szCs w:val="32"/>
          <w:highlight w:val="none"/>
          <w:lang w:val="en-US" w:eastAsia="zh-CN"/>
        </w:rPr>
      </w:pPr>
      <w:bookmarkStart w:id="43" w:name="_Toc10088"/>
      <w:r>
        <w:rPr>
          <w:rFonts w:hint="eastAsia" w:asciiTheme="minorEastAsia" w:hAnsiTheme="minorEastAsia" w:eastAsiaTheme="minorEastAsia" w:cstheme="minorEastAsia"/>
          <w:color w:val="auto"/>
          <w:sz w:val="32"/>
          <w:szCs w:val="32"/>
          <w:highlight w:val="none"/>
          <w:lang w:val="en-US" w:eastAsia="zh-CN"/>
        </w:rPr>
        <w:t>五、履约验收</w:t>
      </w:r>
      <w:bookmarkEnd w:id="11"/>
      <w:bookmarkEnd w:id="12"/>
      <w:bookmarkEnd w:id="13"/>
      <w:bookmarkEnd w:id="14"/>
      <w:bookmarkEnd w:id="15"/>
      <w:bookmarkEnd w:id="43"/>
    </w:p>
    <w:p w14:paraId="6EB1F449">
      <w:pPr>
        <w:snapToGrid w:val="0"/>
        <w:spacing w:line="360" w:lineRule="auto"/>
        <w:ind w:firstLine="360" w:firstLineChars="150"/>
        <w:jc w:val="left"/>
        <w:rPr>
          <w:rFonts w:hint="eastAsia" w:asciiTheme="minorEastAsia" w:hAnsiTheme="minorEastAsia" w:eastAsiaTheme="minorEastAsia" w:cstheme="minorEastAsia"/>
          <w:bCs/>
          <w:color w:val="auto"/>
          <w:sz w:val="24"/>
          <w:szCs w:val="24"/>
          <w:highlight w:val="none"/>
        </w:rPr>
      </w:pPr>
      <w:bookmarkStart w:id="44" w:name="_Toc21302"/>
      <w:r>
        <w:rPr>
          <w:rFonts w:hint="eastAsia" w:asciiTheme="minorEastAsia" w:hAnsiTheme="minorEastAsia" w:eastAsiaTheme="minorEastAsia" w:cstheme="minorEastAsia"/>
          <w:bCs/>
          <w:color w:val="auto"/>
          <w:sz w:val="24"/>
          <w:szCs w:val="24"/>
          <w:highlight w:val="none"/>
        </w:rPr>
        <w:t>据中华人民共和国现行技术标准，按招标文件以及合同规定的验收评定标准等规范，由采购人统一组织验收。</w:t>
      </w:r>
    </w:p>
    <w:p w14:paraId="7BA69A20">
      <w:pPr>
        <w:snapToGrid w:val="0"/>
        <w:spacing w:line="360" w:lineRule="auto"/>
        <w:ind w:firstLine="360" w:firstLineChars="15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1.采购人组织对供应商履约的验收。验收方成员应当在验收书上签字，并承担相应的法律责任。如果发现与合同中要求不符，供应商须承担由此发生的一切损失和费用，并接受相应的处理。</w:t>
      </w:r>
    </w:p>
    <w:p w14:paraId="1E2C8108">
      <w:pPr>
        <w:snapToGrid w:val="0"/>
        <w:spacing w:line="360" w:lineRule="auto"/>
        <w:ind w:firstLine="240" w:firstLineChars="1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2.采购人可以邀请参加本项目的其他供应商或者第三方机构参与验收。参与验收的供应商或者第三方机构的意见作为验收书的参考资料一并存档。</w:t>
      </w:r>
    </w:p>
    <w:p w14:paraId="28C3D804">
      <w:pPr>
        <w:snapToGrid w:val="0"/>
        <w:spacing w:line="360" w:lineRule="auto"/>
        <w:ind w:firstLine="240" w:firstLineChars="1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履约验收的各项资料应当存档备查。</w:t>
      </w:r>
    </w:p>
    <w:p w14:paraId="2A40D0DB">
      <w:pPr>
        <w:snapToGrid w:val="0"/>
        <w:spacing w:line="360" w:lineRule="auto"/>
        <w:ind w:firstLine="240" w:firstLineChars="1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4.验收合格的项目，采购人将根据采购合同的约定及时向供应商支付采购资金。</w:t>
      </w:r>
    </w:p>
    <w:p w14:paraId="2D9F8D15">
      <w:pPr>
        <w:spacing w:line="360" w:lineRule="auto"/>
        <w:ind w:firstLine="482" w:firstLineChars="200"/>
        <w:outlineLvl w:val="9"/>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8413EBA">
      <w:pPr>
        <w:pStyle w:val="5"/>
        <w:spacing w:line="360" w:lineRule="auto"/>
        <w:ind w:firstLine="361" w:firstLineChars="100"/>
        <w:rPr>
          <w:rFonts w:ascii="Times New Roman" w:hAnsi="Times New Roman" w:eastAsia="宋体" w:cs="Times New Roman"/>
          <w:color w:val="auto"/>
          <w:sz w:val="24"/>
          <w:szCs w:val="24"/>
          <w:highlight w:val="none"/>
        </w:rPr>
      </w:pPr>
      <w:r>
        <w:rPr>
          <w:rFonts w:hint="eastAsia" w:asciiTheme="minorEastAsia" w:hAnsiTheme="minorEastAsia" w:eastAsiaTheme="minorEastAsia" w:cstheme="minorEastAsia"/>
          <w:color w:val="auto"/>
          <w:sz w:val="36"/>
          <w:szCs w:val="36"/>
          <w:highlight w:val="none"/>
        </w:rPr>
        <w:t>六</w:t>
      </w:r>
      <w:r>
        <w:rPr>
          <w:rFonts w:hint="eastAsia" w:asciiTheme="minorEastAsia" w:hAnsiTheme="minorEastAsia" w:eastAsiaTheme="minorEastAsia" w:cstheme="minorEastAsia"/>
          <w:b/>
          <w:bCs/>
          <w:color w:val="auto"/>
          <w:sz w:val="36"/>
          <w:szCs w:val="36"/>
          <w:highlight w:val="none"/>
        </w:rPr>
        <w:t>、</w:t>
      </w:r>
      <w:bookmarkEnd w:id="16"/>
      <w:bookmarkEnd w:id="17"/>
      <w:bookmarkEnd w:id="18"/>
      <w:bookmarkEnd w:id="19"/>
      <w:bookmarkEnd w:id="20"/>
      <w:bookmarkEnd w:id="21"/>
      <w:bookmarkEnd w:id="22"/>
      <w:bookmarkEnd w:id="23"/>
      <w:bookmarkEnd w:id="24"/>
      <w:bookmarkEnd w:id="25"/>
      <w:bookmarkEnd w:id="26"/>
      <w:bookmarkEnd w:id="44"/>
      <w:r>
        <w:rPr>
          <w:rFonts w:hint="eastAsia" w:asciiTheme="minorEastAsia" w:hAnsiTheme="minorEastAsia" w:eastAsiaTheme="minorEastAsia" w:cstheme="minorEastAsia"/>
          <w:b/>
          <w:bCs/>
          <w:color w:val="auto"/>
          <w:sz w:val="36"/>
          <w:szCs w:val="36"/>
          <w:highlight w:val="none"/>
        </w:rPr>
        <w:t>商务要求</w:t>
      </w:r>
    </w:p>
    <w:p w14:paraId="587C41FF">
      <w:pPr>
        <w:spacing w:line="360" w:lineRule="auto"/>
        <w:ind w:firstLine="320" w:firstLineChars="100"/>
        <w:outlineLvl w:val="9"/>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1.报价要求</w:t>
      </w:r>
    </w:p>
    <w:p w14:paraId="12B78E67">
      <w:pPr>
        <w:pStyle w:val="15"/>
        <w:spacing w:line="360" w:lineRule="auto"/>
        <w:ind w:firstLine="48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cs="宋体"/>
          <w:color w:val="auto"/>
          <w:sz w:val="22"/>
          <w:szCs w:val="22"/>
          <w:highlight w:val="none"/>
        </w:rPr>
        <w:t>1.1</w:t>
      </w:r>
      <w:r>
        <w:rPr>
          <w:rFonts w:hint="eastAsia" w:asciiTheme="minorEastAsia" w:hAnsiTheme="minorEastAsia" w:eastAsiaTheme="minorEastAsia" w:cstheme="minorEastAsia"/>
          <w:color w:val="auto"/>
          <w:kern w:val="0"/>
          <w:sz w:val="24"/>
          <w:szCs w:val="24"/>
          <w:highlight w:val="none"/>
          <w:lang w:val="en-US" w:eastAsia="zh-CN" w:bidi="ar-SA"/>
        </w:rPr>
        <w:t>投标人应按招标项目的相关要求，根据项目特点和企业条件确定投标报价。投标报价为投标方所能承受的最低、最终一次性报价。</w:t>
      </w:r>
    </w:p>
    <w:p w14:paraId="7D948B41">
      <w:pPr>
        <w:spacing w:line="360" w:lineRule="auto"/>
        <w:ind w:firstLine="48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1.2按国家规定由投标人缴纳的各种税收已包含在投标总价内，由投标人向税务机关缴纳。</w:t>
      </w:r>
    </w:p>
    <w:p w14:paraId="70442D8A">
      <w:pPr>
        <w:pStyle w:val="15"/>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1.3中标后，中标人所填写的价格在合同实施期间不因市场变化因素而变动，投标人在计算报价时应考虑一定的风险系数。  </w:t>
      </w:r>
    </w:p>
    <w:p w14:paraId="5DE3542B">
      <w:pPr>
        <w:spacing w:line="360" w:lineRule="auto"/>
        <w:ind w:firstLine="320" w:firstLineChars="100"/>
        <w:outlineLvl w:val="9"/>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2、</w:t>
      </w:r>
      <w:r>
        <w:rPr>
          <w:rFonts w:hint="eastAsia" w:asciiTheme="minorEastAsia" w:hAnsiTheme="minorEastAsia" w:eastAsiaTheme="minorEastAsia" w:cstheme="minorEastAsia"/>
          <w:b/>
          <w:bCs/>
          <w:color w:val="auto"/>
          <w:sz w:val="32"/>
          <w:szCs w:val="32"/>
          <w:highlight w:val="none"/>
        </w:rPr>
        <w:t>付款方式</w:t>
      </w:r>
      <w:bookmarkEnd w:id="27"/>
      <w:bookmarkEnd w:id="28"/>
      <w:bookmarkEnd w:id="29"/>
    </w:p>
    <w:p w14:paraId="78B33C65">
      <w:pPr>
        <w:snapToGrid w:val="0"/>
        <w:spacing w:line="360" w:lineRule="auto"/>
        <w:ind w:firstLine="720" w:firstLineChars="300"/>
        <w:jc w:val="left"/>
        <w:rPr>
          <w:rFonts w:hint="default" w:asciiTheme="minorEastAsia" w:hAnsiTheme="minorEastAsia" w:eastAsiaTheme="minorEastAsia" w:cstheme="minorEastAsia"/>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rPr>
        <w:t>在合同生效以及具备实施条件后7个工作日</w:t>
      </w:r>
      <w:r>
        <w:rPr>
          <w:rFonts w:hint="eastAsia" w:ascii="宋体" w:hAnsi="宋体" w:eastAsia="宋体" w:cs="宋体"/>
          <w:b w:val="0"/>
          <w:bCs w:val="0"/>
          <w:color w:val="auto"/>
          <w:sz w:val="24"/>
          <w:szCs w:val="24"/>
          <w:highlight w:val="none"/>
          <w:lang w:val="en-US" w:eastAsia="zh-CN"/>
        </w:rPr>
        <w:t>内</w:t>
      </w:r>
      <w:r>
        <w:rPr>
          <w:rFonts w:hint="eastAsia" w:ascii="宋体" w:hAnsi="宋体" w:eastAsia="宋体" w:cs="宋体"/>
          <w:b w:val="0"/>
          <w:bCs w:val="0"/>
          <w:color w:val="auto"/>
          <w:sz w:val="24"/>
          <w:szCs w:val="24"/>
          <w:highlight w:val="none"/>
        </w:rPr>
        <w:t>,采购人</w:t>
      </w:r>
      <w:r>
        <w:rPr>
          <w:rFonts w:hint="eastAsia" w:ascii="宋体" w:hAnsi="宋体" w:eastAsia="宋体" w:cs="宋体"/>
          <w:b w:val="0"/>
          <w:bCs w:val="0"/>
          <w:color w:val="auto"/>
          <w:sz w:val="24"/>
          <w:szCs w:val="24"/>
          <w:highlight w:val="none"/>
          <w:lang w:val="en-US" w:eastAsia="zh-CN"/>
        </w:rPr>
        <w:t>凭发票</w:t>
      </w:r>
      <w:r>
        <w:rPr>
          <w:rFonts w:hint="eastAsia" w:ascii="宋体" w:hAnsi="宋体" w:eastAsia="宋体" w:cs="宋体"/>
          <w:b w:val="0"/>
          <w:bCs w:val="0"/>
          <w:color w:val="auto"/>
          <w:sz w:val="24"/>
          <w:szCs w:val="24"/>
          <w:highlight w:val="none"/>
        </w:rPr>
        <w:t>向中标单位支付合同</w:t>
      </w:r>
      <w:r>
        <w:rPr>
          <w:rFonts w:hint="eastAsia" w:ascii="宋体" w:hAnsi="宋体" w:eastAsia="宋体" w:cs="宋体"/>
          <w:b w:val="0"/>
          <w:bCs w:val="0"/>
          <w:color w:val="auto"/>
          <w:sz w:val="24"/>
          <w:szCs w:val="24"/>
          <w:highlight w:val="none"/>
          <w:lang w:val="en-US" w:eastAsia="zh-CN"/>
        </w:rPr>
        <w:t>总</w:t>
      </w:r>
      <w:r>
        <w:rPr>
          <w:rFonts w:hint="eastAsia" w:ascii="宋体" w:hAnsi="宋体" w:eastAsia="宋体" w:cs="宋体"/>
          <w:b w:val="0"/>
          <w:bCs w:val="0"/>
          <w:color w:val="auto"/>
          <w:sz w:val="24"/>
          <w:szCs w:val="24"/>
          <w:highlight w:val="none"/>
        </w:rPr>
        <w:t>价的</w:t>
      </w:r>
      <w:r>
        <w:rPr>
          <w:rFonts w:hint="eastAsia" w:ascii="宋体" w:hAnsi="宋体" w:eastAsia="宋体" w:cs="宋体"/>
          <w:b w:val="0"/>
          <w:bCs w:val="0"/>
          <w:color w:val="auto"/>
          <w:sz w:val="24"/>
          <w:szCs w:val="24"/>
          <w:highlight w:val="none"/>
          <w:lang w:val="en-US" w:eastAsia="zh-CN"/>
        </w:rPr>
        <w:t>40</w:t>
      </w:r>
      <w:r>
        <w:rPr>
          <w:rFonts w:hint="eastAsia" w:ascii="宋体" w:hAnsi="宋体" w:eastAsia="宋体" w:cs="宋体"/>
          <w:b w:val="0"/>
          <w:bCs w:val="0"/>
          <w:color w:val="auto"/>
          <w:sz w:val="24"/>
          <w:szCs w:val="24"/>
          <w:highlight w:val="none"/>
        </w:rPr>
        <w:t>%作为预付款</w:t>
      </w:r>
      <w:r>
        <w:rPr>
          <w:rFonts w:hint="eastAsia" w:ascii="宋体" w:hAnsi="宋体" w:eastAsia="宋体" w:cs="宋体"/>
          <w:b w:val="0"/>
          <w:bCs w:val="0"/>
          <w:color w:val="auto"/>
          <w:sz w:val="24"/>
          <w:szCs w:val="24"/>
          <w:highlight w:val="none"/>
          <w:lang w:val="en-US" w:eastAsia="zh-CN"/>
        </w:rPr>
        <w:t>（中标人需出具同金额预付款保函。如中标人明确表示无需预付款或者主动要求降低预付款比例的，采购人可不支付或减少预付款支付比例。），</w:t>
      </w:r>
      <w:r>
        <w:rPr>
          <w:rFonts w:hint="eastAsia" w:ascii="宋体" w:hAnsi="宋体" w:eastAsia="宋体" w:cs="宋体"/>
          <w:b w:val="0"/>
          <w:bCs w:val="0"/>
          <w:color w:val="auto"/>
          <w:sz w:val="24"/>
          <w:szCs w:val="24"/>
          <w:highlight w:val="none"/>
        </w:rPr>
        <w:t>待合同服务期履行结束，合同价</w:t>
      </w:r>
      <w:r>
        <w:rPr>
          <w:rFonts w:hint="eastAsia" w:ascii="宋体" w:hAnsi="宋体" w:eastAsia="宋体" w:cs="宋体"/>
          <w:b w:val="0"/>
          <w:bCs w:val="0"/>
          <w:color w:val="auto"/>
          <w:sz w:val="24"/>
          <w:szCs w:val="24"/>
          <w:highlight w:val="none"/>
          <w:lang w:val="en-US" w:eastAsia="zh-CN"/>
        </w:rPr>
        <w:t>（如考核有扣除的，扣减相应服务费）</w:t>
      </w:r>
      <w:r>
        <w:rPr>
          <w:rFonts w:hint="eastAsia" w:ascii="宋体" w:hAnsi="宋体" w:eastAsia="宋体" w:cs="宋体"/>
          <w:b w:val="0"/>
          <w:bCs w:val="0"/>
          <w:color w:val="auto"/>
          <w:sz w:val="24"/>
          <w:szCs w:val="24"/>
          <w:highlight w:val="none"/>
        </w:rPr>
        <w:t>余款经采购人验收且收到中标单位正规发票后支付。</w:t>
      </w:r>
    </w:p>
    <w:p w14:paraId="6521A98D">
      <w:pPr>
        <w:pStyle w:val="5"/>
        <w:spacing w:line="360" w:lineRule="auto"/>
        <w:rPr>
          <w:rFonts w:hint="eastAsia" w:asciiTheme="minorEastAsia" w:hAnsiTheme="minorEastAsia" w:eastAsiaTheme="minorEastAsia" w:cstheme="minorEastAsia"/>
          <w:color w:val="auto"/>
          <w:sz w:val="36"/>
          <w:szCs w:val="36"/>
          <w:highlight w:val="none"/>
        </w:rPr>
      </w:pPr>
      <w:bookmarkStart w:id="45" w:name="_Toc29610"/>
      <w:r>
        <w:rPr>
          <w:rFonts w:hint="eastAsia" w:asciiTheme="minorEastAsia" w:hAnsiTheme="minorEastAsia" w:eastAsiaTheme="minorEastAsia" w:cstheme="minorEastAsia"/>
          <w:color w:val="auto"/>
          <w:sz w:val="36"/>
          <w:szCs w:val="36"/>
          <w:highlight w:val="none"/>
        </w:rPr>
        <w:t>七、其他</w:t>
      </w:r>
      <w:bookmarkEnd w:id="45"/>
    </w:p>
    <w:p w14:paraId="4FD8474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1.中标单位在签订合同时，若坚持提出附加条件和不合理要求，中标资格将被取消。</w:t>
      </w:r>
    </w:p>
    <w:p w14:paraId="028825F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2.中标之后，如发现投标文件与招标文件内容如有不一致，应以有利于采购人原则为准。</w:t>
      </w:r>
    </w:p>
    <w:p w14:paraId="5B91DA1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3.中标人需加强员工安全教育，并为其购买有关保险。中标人员工若在合同履行过程中发生意外或安全事故的，相关责任由中标人自行承担。</w:t>
      </w:r>
    </w:p>
    <w:p w14:paraId="0331177F">
      <w:pPr>
        <w:rPr>
          <w:rFonts w:hint="eastAsia" w:asciiTheme="minorEastAsia" w:hAnsiTheme="minorEastAsia" w:eastAsiaTheme="minorEastAsia" w:cstheme="minorEastAsia"/>
          <w:color w:val="auto"/>
          <w:sz w:val="21"/>
          <w:szCs w:val="21"/>
          <w:highlight w:val="none"/>
        </w:rPr>
        <w:sectPr>
          <w:footerReference r:id="rId6" w:type="first"/>
          <w:footerReference r:id="rId5" w:type="default"/>
          <w:pgSz w:w="11906" w:h="16838"/>
          <w:pgMar w:top="1247" w:right="1134" w:bottom="1247" w:left="1134" w:header="851" w:footer="992" w:gutter="0"/>
          <w:pgNumType w:fmt="decimal"/>
          <w:cols w:space="720" w:num="1"/>
          <w:titlePg/>
          <w:docGrid w:linePitch="286" w:charSpace="0"/>
        </w:sectPr>
      </w:pPr>
    </w:p>
    <w:p w14:paraId="62A56BFA">
      <w:pPr>
        <w:keepNext w:val="0"/>
        <w:keepLines w:val="0"/>
        <w:pageBreakBefore w:val="0"/>
        <w:widowControl/>
        <w:kinsoku/>
        <w:wordWrap/>
        <w:overflowPunct/>
        <w:topLinePunct w:val="0"/>
        <w:autoSpaceDE/>
        <w:autoSpaceDN/>
        <w:bidi w:val="0"/>
        <w:adjustRightInd/>
        <w:snapToGrid w:val="0"/>
        <w:spacing w:line="360" w:lineRule="auto"/>
        <w:jc w:val="center"/>
        <w:textAlignment w:val="auto"/>
        <w:outlineLvl w:val="0"/>
        <w:rPr>
          <w:rFonts w:hint="default" w:asciiTheme="minorEastAsia" w:hAnsiTheme="minorEastAsia" w:eastAsiaTheme="minorEastAsia" w:cstheme="minorEastAsia"/>
          <w:b/>
          <w:color w:val="auto"/>
          <w:kern w:val="2"/>
          <w:sz w:val="36"/>
          <w:highlight w:val="none"/>
        </w:rPr>
      </w:pPr>
      <w:r>
        <w:rPr>
          <w:rFonts w:asciiTheme="minorEastAsia" w:hAnsiTheme="minorEastAsia" w:eastAsiaTheme="minorEastAsia" w:cstheme="minorEastAsia"/>
          <w:b/>
          <w:color w:val="auto"/>
          <w:kern w:val="2"/>
          <w:sz w:val="36"/>
          <w:highlight w:val="none"/>
        </w:rPr>
        <w:t>第四部分  评标办法</w:t>
      </w:r>
    </w:p>
    <w:p w14:paraId="389A127F">
      <w:pPr>
        <w:autoSpaceDE w:val="0"/>
        <w:autoSpaceDN w:val="0"/>
        <w:adjustRightInd w:val="0"/>
        <w:spacing w:after="120" w:line="240" w:lineRule="auto"/>
        <w:jc w:val="center"/>
        <w:textAlignment w:val="baseline"/>
        <w:outlineLvl w:val="9"/>
        <w:rPr>
          <w:rFonts w:hint="default" w:eastAsia="宋体"/>
          <w:color w:val="auto"/>
          <w:kern w:val="0"/>
          <w:sz w:val="28"/>
          <w:highlight w:val="none"/>
        </w:rPr>
      </w:pPr>
      <w:r>
        <w:rPr>
          <w:rFonts w:ascii="宋体" w:hAnsi="宋体" w:eastAsia="宋体" w:cs="宋体"/>
          <w:b/>
          <w:color w:val="auto"/>
          <w:sz w:val="32"/>
          <w:highlight w:val="none"/>
        </w:rPr>
        <w:t>评标办法前附表</w:t>
      </w:r>
    </w:p>
    <w:tbl>
      <w:tblPr>
        <w:tblStyle w:val="29"/>
        <w:tblW w:w="1076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7"/>
        <w:gridCol w:w="1325"/>
        <w:gridCol w:w="7338"/>
        <w:gridCol w:w="783"/>
        <w:gridCol w:w="696"/>
      </w:tblGrid>
      <w:tr w14:paraId="07587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627" w:type="dxa"/>
            <w:noWrap w:val="0"/>
            <w:vAlign w:val="center"/>
          </w:tcPr>
          <w:p w14:paraId="774B5A14">
            <w:pPr>
              <w:widowControl/>
              <w:kinsoku w:val="0"/>
              <w:autoSpaceDE w:val="0"/>
              <w:autoSpaceDN w:val="0"/>
              <w:adjustRightInd w:val="0"/>
              <w:snapToGrid w:val="0"/>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序号</w:t>
            </w:r>
          </w:p>
        </w:tc>
        <w:tc>
          <w:tcPr>
            <w:tcW w:w="1325" w:type="dxa"/>
            <w:noWrap w:val="0"/>
            <w:vAlign w:val="center"/>
          </w:tcPr>
          <w:p w14:paraId="687B03D8">
            <w:pPr>
              <w:widowControl/>
              <w:kinsoku w:val="0"/>
              <w:autoSpaceDE w:val="0"/>
              <w:autoSpaceDN w:val="0"/>
              <w:adjustRightInd w:val="0"/>
              <w:snapToGrid w:val="0"/>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评分</w:t>
            </w:r>
          </w:p>
          <w:p w14:paraId="07055F6F">
            <w:pPr>
              <w:widowControl/>
              <w:kinsoku w:val="0"/>
              <w:autoSpaceDE w:val="0"/>
              <w:autoSpaceDN w:val="0"/>
              <w:adjustRightInd w:val="0"/>
              <w:snapToGrid w:val="0"/>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项目</w:t>
            </w:r>
          </w:p>
        </w:tc>
        <w:tc>
          <w:tcPr>
            <w:tcW w:w="7338" w:type="dxa"/>
            <w:noWrap w:val="0"/>
            <w:vAlign w:val="center"/>
          </w:tcPr>
          <w:p w14:paraId="4EB32D87">
            <w:pPr>
              <w:widowControl/>
              <w:kinsoku w:val="0"/>
              <w:autoSpaceDE w:val="0"/>
              <w:autoSpaceDN w:val="0"/>
              <w:adjustRightInd w:val="0"/>
              <w:snapToGrid w:val="0"/>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评分细则</w:t>
            </w:r>
          </w:p>
        </w:tc>
        <w:tc>
          <w:tcPr>
            <w:tcW w:w="783" w:type="dxa"/>
            <w:noWrap w:val="0"/>
            <w:vAlign w:val="center"/>
          </w:tcPr>
          <w:p w14:paraId="0125712E">
            <w:pPr>
              <w:widowControl/>
              <w:kinsoku w:val="0"/>
              <w:autoSpaceDE w:val="0"/>
              <w:autoSpaceDN w:val="0"/>
              <w:adjustRightInd w:val="0"/>
              <w:snapToGrid w:val="0"/>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分值</w:t>
            </w:r>
          </w:p>
          <w:p w14:paraId="73262647">
            <w:pPr>
              <w:widowControl/>
              <w:kinsoku w:val="0"/>
              <w:autoSpaceDE w:val="0"/>
              <w:autoSpaceDN w:val="0"/>
              <w:adjustRightInd w:val="0"/>
              <w:snapToGrid w:val="0"/>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（分）</w:t>
            </w:r>
          </w:p>
        </w:tc>
        <w:tc>
          <w:tcPr>
            <w:tcW w:w="696" w:type="dxa"/>
            <w:noWrap w:val="0"/>
            <w:vAlign w:val="center"/>
          </w:tcPr>
          <w:p w14:paraId="60380BDC">
            <w:pPr>
              <w:widowControl/>
              <w:kinsoku w:val="0"/>
              <w:autoSpaceDE w:val="0"/>
              <w:autoSpaceDN w:val="0"/>
              <w:adjustRightInd w:val="0"/>
              <w:snapToGrid w:val="0"/>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打分方法</w:t>
            </w:r>
          </w:p>
        </w:tc>
      </w:tr>
      <w:tr w14:paraId="3740D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627" w:type="dxa"/>
            <w:noWrap w:val="0"/>
            <w:vAlign w:val="center"/>
          </w:tcPr>
          <w:p w14:paraId="3185632E">
            <w:pPr>
              <w:widowControl/>
              <w:kinsoku w:val="0"/>
              <w:autoSpaceDE w:val="0"/>
              <w:autoSpaceDN w:val="0"/>
              <w:adjustRightInd w:val="0"/>
              <w:snapToGri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1325" w:type="dxa"/>
            <w:noWrap w:val="0"/>
            <w:vAlign w:val="center"/>
          </w:tcPr>
          <w:p w14:paraId="725E4FDD">
            <w:pPr>
              <w:widowControl/>
              <w:kinsoku w:val="0"/>
              <w:autoSpaceDE w:val="0"/>
              <w:autoSpaceDN w:val="0"/>
              <w:adjustRightInd w:val="0"/>
              <w:snapToGrid w:val="0"/>
              <w:jc w:val="center"/>
              <w:textAlignment w:val="baseline"/>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投标人综合实力</w:t>
            </w:r>
          </w:p>
        </w:tc>
        <w:tc>
          <w:tcPr>
            <w:tcW w:w="7338" w:type="dxa"/>
            <w:noWrap w:val="0"/>
            <w:vAlign w:val="center"/>
          </w:tcPr>
          <w:p w14:paraId="1899667D">
            <w:pPr>
              <w:widowControl/>
              <w:kinsoku w:val="0"/>
              <w:autoSpaceDE w:val="0"/>
              <w:autoSpaceDN w:val="0"/>
              <w:adjustRightInd w:val="0"/>
              <w:snapToGrid w:val="0"/>
              <w:textAlignment w:val="baseline"/>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投标供应商具有质量管理体系认证，环境管理体系认证职业健康与安全管理体系认证每个得1分，最高得</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分</w:t>
            </w:r>
            <w:r>
              <w:rPr>
                <w:rFonts w:hint="eastAsia" w:ascii="宋体" w:hAnsi="宋体" w:eastAsia="宋体" w:cs="宋体"/>
                <w:color w:val="auto"/>
                <w:kern w:val="2"/>
                <w:sz w:val="24"/>
                <w:szCs w:val="24"/>
                <w:highlight w:val="none"/>
                <w:lang w:eastAsia="zh-CN"/>
              </w:rPr>
              <w:t>。</w:t>
            </w:r>
          </w:p>
          <w:p w14:paraId="544B0C61">
            <w:pPr>
              <w:widowControl/>
              <w:kinsoku w:val="0"/>
              <w:autoSpaceDE w:val="0"/>
              <w:autoSpaceDN w:val="0"/>
              <w:adjustRightInd w:val="0"/>
              <w:snapToGrid w:val="0"/>
              <w:textAlignment w:val="baseline"/>
              <w:rPr>
                <w:rFonts w:hint="eastAsia" w:ascii="宋体" w:hAnsi="宋体" w:eastAsia="宋体" w:cs="宋体"/>
                <w:color w:val="auto"/>
                <w:kern w:val="2"/>
                <w:sz w:val="24"/>
                <w:szCs w:val="24"/>
                <w:highlight w:val="none"/>
                <w:lang w:eastAsia="zh-CN"/>
              </w:rPr>
            </w:pPr>
            <w:r>
              <w:rPr>
                <w:rFonts w:hint="eastAsia" w:ascii="宋体" w:hAnsi="宋体" w:eastAsia="宋体" w:cs="宋体"/>
                <w:b/>
                <w:bCs/>
                <w:color w:val="auto"/>
                <w:kern w:val="2"/>
                <w:sz w:val="24"/>
                <w:szCs w:val="24"/>
                <w:highlight w:val="none"/>
                <w:lang w:val="en-US" w:eastAsia="zh-CN"/>
              </w:rPr>
              <w:t>注：</w:t>
            </w:r>
            <w:r>
              <w:rPr>
                <w:rFonts w:hint="eastAsia" w:ascii="宋体" w:hAnsi="宋体" w:eastAsia="宋体" w:cs="宋体"/>
                <w:b/>
                <w:bCs/>
                <w:color w:val="auto"/>
                <w:kern w:val="2"/>
                <w:sz w:val="24"/>
                <w:szCs w:val="24"/>
                <w:highlight w:val="none"/>
              </w:rPr>
              <w:t>须提供有效期内证书复印件或扫描件，不提供不得分</w:t>
            </w:r>
            <w:r>
              <w:rPr>
                <w:rFonts w:hint="eastAsia" w:ascii="宋体" w:hAnsi="宋体" w:eastAsia="宋体" w:cs="宋体"/>
                <w:b/>
                <w:bCs/>
                <w:color w:val="auto"/>
                <w:kern w:val="2"/>
                <w:sz w:val="24"/>
                <w:szCs w:val="24"/>
                <w:highlight w:val="none"/>
                <w:lang w:eastAsia="zh-CN"/>
              </w:rPr>
              <w:t>。</w:t>
            </w:r>
          </w:p>
        </w:tc>
        <w:tc>
          <w:tcPr>
            <w:tcW w:w="783" w:type="dxa"/>
            <w:noWrap w:val="0"/>
            <w:vAlign w:val="center"/>
          </w:tcPr>
          <w:p w14:paraId="54283A01">
            <w:pPr>
              <w:widowControl/>
              <w:kinsoku w:val="0"/>
              <w:autoSpaceDE w:val="0"/>
              <w:autoSpaceDN w:val="0"/>
              <w:adjustRightInd w:val="0"/>
              <w:snapToGrid w:val="0"/>
              <w:spacing w:line="360" w:lineRule="auto"/>
              <w:jc w:val="center"/>
              <w:textAlignment w:val="baseline"/>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3</w:t>
            </w:r>
          </w:p>
        </w:tc>
        <w:tc>
          <w:tcPr>
            <w:tcW w:w="696" w:type="dxa"/>
            <w:tcBorders>
              <w:bottom w:val="single" w:color="auto" w:sz="4" w:space="0"/>
            </w:tcBorders>
            <w:noWrap w:val="0"/>
            <w:vAlign w:val="center"/>
          </w:tcPr>
          <w:p w14:paraId="18C00437">
            <w:pPr>
              <w:widowControl/>
              <w:kinsoku w:val="0"/>
              <w:autoSpaceDE w:val="0"/>
              <w:autoSpaceDN w:val="0"/>
              <w:adjustRightInd w:val="0"/>
              <w:snapToGrid w:val="0"/>
              <w:spacing w:line="36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客观分</w:t>
            </w:r>
          </w:p>
        </w:tc>
      </w:tr>
      <w:tr w14:paraId="522BA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jc w:val="center"/>
        </w:trPr>
        <w:tc>
          <w:tcPr>
            <w:tcW w:w="627" w:type="dxa"/>
            <w:tcBorders>
              <w:top w:val="single" w:color="auto" w:sz="4" w:space="0"/>
              <w:left w:val="single" w:color="auto" w:sz="4" w:space="0"/>
              <w:bottom w:val="single" w:color="auto" w:sz="4" w:space="0"/>
            </w:tcBorders>
            <w:noWrap w:val="0"/>
            <w:vAlign w:val="center"/>
          </w:tcPr>
          <w:p w14:paraId="0606D2E6">
            <w:pPr>
              <w:widowControl/>
              <w:kinsoku w:val="0"/>
              <w:autoSpaceDE w:val="0"/>
              <w:autoSpaceDN w:val="0"/>
              <w:adjustRightInd w:val="0"/>
              <w:snapToGri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1325" w:type="dxa"/>
            <w:tcBorders>
              <w:top w:val="single" w:color="auto" w:sz="4" w:space="0"/>
              <w:bottom w:val="single" w:color="auto" w:sz="4" w:space="0"/>
            </w:tcBorders>
            <w:noWrap w:val="0"/>
            <w:vAlign w:val="center"/>
          </w:tcPr>
          <w:p w14:paraId="3421ED86">
            <w:pPr>
              <w:widowControl/>
              <w:kinsoku w:val="0"/>
              <w:autoSpaceDE w:val="0"/>
              <w:autoSpaceDN w:val="0"/>
              <w:adjustRightInd w:val="0"/>
              <w:snapToGrid w:val="0"/>
              <w:jc w:val="center"/>
              <w:textAlignment w:val="baseline"/>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业绩</w:t>
            </w:r>
          </w:p>
        </w:tc>
        <w:tc>
          <w:tcPr>
            <w:tcW w:w="7338" w:type="dxa"/>
            <w:tcBorders>
              <w:top w:val="single" w:color="auto" w:sz="4" w:space="0"/>
              <w:bottom w:val="single" w:color="auto" w:sz="4" w:space="0"/>
            </w:tcBorders>
            <w:noWrap w:val="0"/>
            <w:vAlign w:val="center"/>
          </w:tcPr>
          <w:p w14:paraId="20B99D9C">
            <w:pPr>
              <w:widowControl/>
              <w:kinsoku w:val="0"/>
              <w:autoSpaceDE w:val="0"/>
              <w:autoSpaceDN w:val="0"/>
              <w:adjustRightInd w:val="0"/>
              <w:snapToGrid w:val="0"/>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投标人自202</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年1月1日以来（以合同签订时间为准）有类似项目</w:t>
            </w:r>
          </w:p>
          <w:p w14:paraId="73BFB017">
            <w:pPr>
              <w:widowControl/>
              <w:kinsoku w:val="0"/>
              <w:autoSpaceDE w:val="0"/>
              <w:autoSpaceDN w:val="0"/>
              <w:adjustRightInd w:val="0"/>
              <w:snapToGrid w:val="0"/>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（建设或维护）业绩的，每一项得</w:t>
            </w:r>
            <w:r>
              <w:rPr>
                <w:rFonts w:hint="eastAsia" w:ascii="宋体" w:hAnsi="宋体" w:eastAsia="宋体" w:cs="宋体"/>
                <w:color w:val="auto"/>
                <w:kern w:val="2"/>
                <w:sz w:val="24"/>
                <w:szCs w:val="24"/>
                <w:highlight w:val="none"/>
                <w:lang w:val="en-US" w:eastAsia="zh-CN"/>
              </w:rPr>
              <w:t>0.5</w:t>
            </w:r>
            <w:r>
              <w:rPr>
                <w:rFonts w:hint="eastAsia" w:ascii="宋体" w:hAnsi="宋体" w:eastAsia="宋体" w:cs="宋体"/>
                <w:color w:val="auto"/>
                <w:kern w:val="2"/>
                <w:sz w:val="24"/>
                <w:szCs w:val="24"/>
                <w:highlight w:val="none"/>
              </w:rPr>
              <w:t>分，最多得</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分。</w:t>
            </w:r>
          </w:p>
          <w:p w14:paraId="2DB53A73">
            <w:pPr>
              <w:widowControl/>
              <w:kinsoku w:val="0"/>
              <w:autoSpaceDE w:val="0"/>
              <w:autoSpaceDN w:val="0"/>
              <w:adjustRightInd w:val="0"/>
              <w:snapToGrid w:val="0"/>
              <w:textAlignment w:val="baseline"/>
              <w:rPr>
                <w:rFonts w:hint="eastAsia" w:ascii="宋体" w:hAnsi="宋体" w:eastAsia="宋体" w:cs="宋体"/>
                <w:color w:val="auto"/>
                <w:kern w:val="2"/>
                <w:sz w:val="24"/>
                <w:szCs w:val="24"/>
                <w:highlight w:val="none"/>
                <w:lang w:eastAsia="zh-CN"/>
              </w:rPr>
            </w:pPr>
            <w:r>
              <w:rPr>
                <w:rFonts w:hint="eastAsia" w:ascii="宋体" w:hAnsi="宋体" w:eastAsia="宋体" w:cs="宋体"/>
                <w:b/>
                <w:bCs/>
                <w:color w:val="auto"/>
                <w:kern w:val="2"/>
                <w:sz w:val="24"/>
                <w:szCs w:val="24"/>
                <w:highlight w:val="none"/>
              </w:rPr>
              <w:t>注：须提供合同复印件或扫描件，不提供不得分</w:t>
            </w:r>
            <w:r>
              <w:rPr>
                <w:rFonts w:hint="eastAsia" w:ascii="宋体" w:hAnsi="宋体" w:eastAsia="宋体" w:cs="宋体"/>
                <w:b/>
                <w:bCs/>
                <w:color w:val="auto"/>
                <w:kern w:val="2"/>
                <w:sz w:val="24"/>
                <w:szCs w:val="24"/>
                <w:highlight w:val="none"/>
                <w:lang w:eastAsia="zh-CN"/>
              </w:rPr>
              <w:t>。</w:t>
            </w:r>
          </w:p>
        </w:tc>
        <w:tc>
          <w:tcPr>
            <w:tcW w:w="783" w:type="dxa"/>
            <w:tcBorders>
              <w:top w:val="single" w:color="auto" w:sz="4" w:space="0"/>
              <w:bottom w:val="single" w:color="auto" w:sz="4" w:space="0"/>
              <w:right w:val="single" w:color="auto" w:sz="4" w:space="0"/>
            </w:tcBorders>
            <w:noWrap w:val="0"/>
            <w:vAlign w:val="center"/>
          </w:tcPr>
          <w:p w14:paraId="2875665C">
            <w:pPr>
              <w:widowControl/>
              <w:kinsoku w:val="0"/>
              <w:autoSpaceDE w:val="0"/>
              <w:autoSpaceDN w:val="0"/>
              <w:adjustRightInd w:val="0"/>
              <w:snapToGrid w:val="0"/>
              <w:spacing w:line="360" w:lineRule="auto"/>
              <w:jc w:val="center"/>
              <w:textAlignment w:val="baseline"/>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1</w:t>
            </w:r>
          </w:p>
        </w:tc>
        <w:tc>
          <w:tcPr>
            <w:tcW w:w="696" w:type="dxa"/>
            <w:tcBorders>
              <w:top w:val="single" w:color="auto" w:sz="4" w:space="0"/>
              <w:bottom w:val="single" w:color="auto" w:sz="4" w:space="0"/>
              <w:right w:val="single" w:color="auto" w:sz="4" w:space="0"/>
            </w:tcBorders>
            <w:noWrap w:val="0"/>
            <w:vAlign w:val="center"/>
          </w:tcPr>
          <w:p w14:paraId="15690BF0">
            <w:pPr>
              <w:widowControl/>
              <w:kinsoku w:val="0"/>
              <w:autoSpaceDE w:val="0"/>
              <w:autoSpaceDN w:val="0"/>
              <w:adjustRightInd w:val="0"/>
              <w:snapToGrid w:val="0"/>
              <w:spacing w:line="36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客观分</w:t>
            </w:r>
          </w:p>
        </w:tc>
      </w:tr>
      <w:tr w14:paraId="7BA5A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8" w:hRule="atLeast"/>
          <w:jc w:val="center"/>
        </w:trPr>
        <w:tc>
          <w:tcPr>
            <w:tcW w:w="627" w:type="dxa"/>
            <w:tcBorders>
              <w:top w:val="single" w:color="auto" w:sz="4" w:space="0"/>
              <w:left w:val="single" w:color="auto" w:sz="4" w:space="0"/>
              <w:bottom w:val="single" w:color="auto" w:sz="4" w:space="0"/>
              <w:right w:val="single" w:color="auto" w:sz="4" w:space="0"/>
            </w:tcBorders>
            <w:noWrap w:val="0"/>
            <w:vAlign w:val="center"/>
          </w:tcPr>
          <w:p w14:paraId="14FE018F">
            <w:pPr>
              <w:widowControl/>
              <w:kinsoku w:val="0"/>
              <w:autoSpaceDE w:val="0"/>
              <w:autoSpaceDN w:val="0"/>
              <w:adjustRightInd w:val="0"/>
              <w:snapToGri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388B6A69">
            <w:pPr>
              <w:widowControl/>
              <w:kinsoku w:val="0"/>
              <w:autoSpaceDE w:val="0"/>
              <w:autoSpaceDN w:val="0"/>
              <w:adjustRightInd w:val="0"/>
              <w:snapToGrid w:val="0"/>
              <w:jc w:val="center"/>
              <w:textAlignment w:val="baseline"/>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人员配置</w:t>
            </w:r>
          </w:p>
        </w:tc>
        <w:tc>
          <w:tcPr>
            <w:tcW w:w="7338" w:type="dxa"/>
            <w:tcBorders>
              <w:top w:val="single" w:color="auto" w:sz="4" w:space="0"/>
              <w:left w:val="single" w:color="auto" w:sz="4" w:space="0"/>
              <w:bottom w:val="single" w:color="auto" w:sz="4" w:space="0"/>
              <w:right w:val="single" w:color="auto" w:sz="4" w:space="0"/>
            </w:tcBorders>
            <w:noWrap w:val="0"/>
            <w:vAlign w:val="center"/>
          </w:tcPr>
          <w:p w14:paraId="3985726F">
            <w:pPr>
              <w:widowControl/>
              <w:numPr>
                <w:ilvl w:val="0"/>
                <w:numId w:val="0"/>
              </w:numPr>
              <w:kinsoku w:val="0"/>
              <w:autoSpaceDE w:val="0"/>
              <w:autoSpaceDN w:val="0"/>
              <w:adjustRightInd w:val="0"/>
              <w:snapToGrid w:val="0"/>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3.1</w:t>
            </w:r>
            <w:r>
              <w:rPr>
                <w:rFonts w:hint="eastAsia" w:ascii="宋体" w:hAnsi="宋体" w:eastAsia="宋体" w:cs="宋体"/>
                <w:color w:val="auto"/>
                <w:kern w:val="2"/>
                <w:sz w:val="24"/>
                <w:szCs w:val="24"/>
                <w:highlight w:val="none"/>
              </w:rPr>
              <w:t>拟派项目</w:t>
            </w:r>
            <w:r>
              <w:rPr>
                <w:rFonts w:hint="eastAsia" w:ascii="宋体" w:hAnsi="宋体" w:eastAsia="宋体" w:cs="宋体"/>
                <w:color w:val="auto"/>
                <w:kern w:val="2"/>
                <w:sz w:val="24"/>
                <w:szCs w:val="24"/>
                <w:highlight w:val="none"/>
                <w:lang w:val="en-US" w:eastAsia="zh-CN"/>
              </w:rPr>
              <w:t>负责人具有一级建造师（机电专业或通信与广电专业）证书或具备人力社保局颁发的中级及以上工程师职称证书的得3分</w:t>
            </w:r>
            <w:r>
              <w:rPr>
                <w:rFonts w:hint="eastAsia" w:ascii="宋体" w:hAnsi="宋体" w:eastAsia="宋体" w:cs="宋体"/>
                <w:color w:val="auto"/>
                <w:kern w:val="2"/>
                <w:sz w:val="24"/>
                <w:szCs w:val="24"/>
                <w:highlight w:val="none"/>
                <w:lang w:eastAsia="zh-CN"/>
              </w:rPr>
              <w:t>。</w:t>
            </w:r>
          </w:p>
          <w:p w14:paraId="1E59A5BF">
            <w:pPr>
              <w:widowControl/>
              <w:numPr>
                <w:ilvl w:val="0"/>
                <w:numId w:val="0"/>
              </w:numPr>
              <w:kinsoku w:val="0"/>
              <w:autoSpaceDE w:val="0"/>
              <w:autoSpaceDN w:val="0"/>
              <w:adjustRightInd w:val="0"/>
              <w:snapToGrid w:val="0"/>
              <w:ind w:leftChars="0"/>
              <w:textAlignment w:val="baseline"/>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3.2</w:t>
            </w:r>
            <w:r>
              <w:rPr>
                <w:rFonts w:hint="eastAsia" w:ascii="宋体" w:hAnsi="宋体" w:eastAsia="宋体" w:cs="宋体"/>
                <w:color w:val="auto"/>
                <w:kern w:val="2"/>
                <w:sz w:val="24"/>
                <w:szCs w:val="24"/>
                <w:highlight w:val="none"/>
              </w:rPr>
              <w:t>拟派技术负责人具有一级建造师（机电专业或通信</w:t>
            </w:r>
            <w:r>
              <w:rPr>
                <w:rFonts w:hint="eastAsia" w:ascii="宋体" w:hAnsi="宋体" w:eastAsia="宋体" w:cs="宋体"/>
                <w:color w:val="auto"/>
                <w:kern w:val="2"/>
                <w:sz w:val="24"/>
                <w:szCs w:val="24"/>
                <w:highlight w:val="none"/>
                <w:lang w:val="en-US" w:eastAsia="zh-CN"/>
              </w:rPr>
              <w:t>与广电</w:t>
            </w:r>
            <w:r>
              <w:rPr>
                <w:rFonts w:hint="eastAsia" w:ascii="宋体" w:hAnsi="宋体" w:eastAsia="宋体" w:cs="宋体"/>
                <w:color w:val="auto"/>
                <w:kern w:val="2"/>
                <w:sz w:val="24"/>
                <w:szCs w:val="24"/>
                <w:highlight w:val="none"/>
              </w:rPr>
              <w:t>专业）</w:t>
            </w:r>
            <w:r>
              <w:rPr>
                <w:rFonts w:hint="eastAsia" w:ascii="宋体" w:hAnsi="宋体" w:eastAsia="宋体" w:cs="宋体"/>
                <w:color w:val="auto"/>
                <w:kern w:val="2"/>
                <w:sz w:val="24"/>
                <w:szCs w:val="24"/>
                <w:highlight w:val="none"/>
                <w:lang w:val="en-US" w:eastAsia="zh-CN"/>
              </w:rPr>
              <w:t>证书或具备人力社保局颁发的中级及以上工程师职称证书的得3分</w:t>
            </w:r>
            <w:r>
              <w:rPr>
                <w:rFonts w:hint="eastAsia" w:ascii="宋体" w:hAnsi="宋体" w:eastAsia="宋体" w:cs="宋体"/>
                <w:color w:val="auto"/>
                <w:kern w:val="2"/>
                <w:sz w:val="24"/>
                <w:szCs w:val="24"/>
                <w:highlight w:val="none"/>
                <w:lang w:eastAsia="zh-CN"/>
              </w:rPr>
              <w:t>。</w:t>
            </w:r>
          </w:p>
          <w:p w14:paraId="67A39121">
            <w:pPr>
              <w:widowControl/>
              <w:numPr>
                <w:ilvl w:val="0"/>
                <w:numId w:val="0"/>
              </w:numPr>
              <w:kinsoku w:val="0"/>
              <w:autoSpaceDE w:val="0"/>
              <w:autoSpaceDN w:val="0"/>
              <w:adjustRightInd w:val="0"/>
              <w:snapToGrid w:val="0"/>
              <w:ind w:leftChars="0"/>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3.3</w:t>
            </w:r>
            <w:r>
              <w:rPr>
                <w:rFonts w:hint="eastAsia" w:ascii="宋体" w:hAnsi="宋体" w:eastAsia="宋体" w:cs="宋体"/>
                <w:color w:val="auto"/>
                <w:kern w:val="2"/>
                <w:sz w:val="24"/>
                <w:szCs w:val="24"/>
                <w:highlight w:val="none"/>
              </w:rPr>
              <w:t>拟派项目团队成员（除项目负责人、技术负责人以外）</w:t>
            </w:r>
            <w:r>
              <w:rPr>
                <w:rFonts w:hint="eastAsia" w:ascii="宋体" w:hAnsi="宋体" w:eastAsia="宋体" w:cs="宋体"/>
                <w:color w:val="auto"/>
                <w:kern w:val="2"/>
                <w:sz w:val="24"/>
                <w:szCs w:val="24"/>
                <w:highlight w:val="none"/>
                <w:lang w:val="en-US" w:eastAsia="zh-CN"/>
              </w:rPr>
              <w:t>具有</w:t>
            </w:r>
            <w:r>
              <w:rPr>
                <w:rFonts w:hint="eastAsia" w:asciiTheme="minorEastAsia" w:hAnsiTheme="minorEastAsia" w:eastAsiaTheme="minorEastAsia" w:cstheme="minorEastAsia"/>
                <w:color w:val="auto"/>
                <w:kern w:val="2"/>
                <w:sz w:val="24"/>
                <w:szCs w:val="24"/>
                <w:highlight w:val="none"/>
              </w:rPr>
              <w:t>专职安全</w:t>
            </w:r>
            <w:r>
              <w:rPr>
                <w:rFonts w:hint="eastAsia" w:asciiTheme="minorEastAsia" w:hAnsiTheme="minorEastAsia" w:eastAsiaTheme="minorEastAsia" w:cstheme="minorEastAsia"/>
                <w:color w:val="auto"/>
                <w:kern w:val="2"/>
                <w:sz w:val="24"/>
                <w:szCs w:val="24"/>
                <w:highlight w:val="none"/>
                <w:lang w:eastAsia="zh-CN"/>
              </w:rPr>
              <w:t>生产管理人</w:t>
            </w:r>
            <w:r>
              <w:rPr>
                <w:rFonts w:hint="eastAsia" w:asciiTheme="minorEastAsia" w:hAnsiTheme="minorEastAsia" w:eastAsiaTheme="minorEastAsia" w:cstheme="minorEastAsia"/>
                <w:color w:val="auto"/>
                <w:kern w:val="2"/>
                <w:sz w:val="24"/>
                <w:szCs w:val="24"/>
                <w:highlight w:val="none"/>
              </w:rPr>
              <w:t>员</w:t>
            </w:r>
            <w:r>
              <w:rPr>
                <w:rFonts w:hint="eastAsia" w:asciiTheme="minorEastAsia" w:hAnsiTheme="minorEastAsia" w:eastAsiaTheme="minorEastAsia" w:cstheme="minorEastAsia"/>
                <w:color w:val="auto"/>
                <w:kern w:val="2"/>
                <w:sz w:val="24"/>
                <w:szCs w:val="24"/>
                <w:highlight w:val="none"/>
                <w:lang w:val="en-US" w:eastAsia="zh-CN"/>
              </w:rPr>
              <w:t>证书</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eastAsia="zh-CN"/>
              </w:rPr>
              <w:t>建筑起重机械司机（物料提升机）、电工、焊工特种作业证书</w:t>
            </w:r>
            <w:r>
              <w:rPr>
                <w:rFonts w:hint="eastAsia" w:ascii="宋体" w:hAnsi="宋体" w:eastAsia="宋体" w:cs="宋体"/>
                <w:color w:val="auto"/>
                <w:kern w:val="2"/>
                <w:sz w:val="24"/>
                <w:szCs w:val="24"/>
                <w:highlight w:val="none"/>
              </w:rPr>
              <w:t>的每个得</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分，最</w:t>
            </w:r>
            <w:r>
              <w:rPr>
                <w:rFonts w:hint="eastAsia" w:ascii="宋体" w:hAnsi="宋体" w:eastAsia="宋体" w:cs="宋体"/>
                <w:color w:val="auto"/>
                <w:kern w:val="2"/>
                <w:sz w:val="24"/>
                <w:szCs w:val="24"/>
                <w:highlight w:val="none"/>
                <w:lang w:val="en-US" w:eastAsia="zh-CN"/>
              </w:rPr>
              <w:t>多</w:t>
            </w:r>
            <w:r>
              <w:rPr>
                <w:rFonts w:hint="eastAsia" w:ascii="宋体" w:hAnsi="宋体" w:eastAsia="宋体" w:cs="宋体"/>
                <w:color w:val="auto"/>
                <w:kern w:val="2"/>
                <w:sz w:val="24"/>
                <w:szCs w:val="24"/>
                <w:highlight w:val="none"/>
              </w:rPr>
              <w:t>得</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分。</w:t>
            </w:r>
          </w:p>
          <w:p w14:paraId="1976FD41">
            <w:pPr>
              <w:pStyle w:val="35"/>
              <w:ind w:left="0" w:leftChars="0" w:firstLine="0" w:firstLineChars="0"/>
              <w:rPr>
                <w:rFonts w:hint="eastAsia" w:eastAsia="宋体"/>
                <w:color w:val="auto"/>
                <w:highlight w:val="none"/>
                <w:lang w:eastAsia="zh-CN"/>
              </w:rPr>
            </w:pPr>
            <w:r>
              <w:rPr>
                <w:rFonts w:hint="eastAsia" w:ascii="宋体" w:hAnsi="宋体" w:eastAsia="宋体" w:cs="宋体"/>
                <w:b/>
                <w:bCs/>
                <w:color w:val="auto"/>
                <w:kern w:val="2"/>
                <w:sz w:val="24"/>
                <w:szCs w:val="24"/>
                <w:highlight w:val="none"/>
                <w:lang w:val="en-US" w:eastAsia="zh-CN"/>
              </w:rPr>
              <w:t>注：以上人员</w:t>
            </w:r>
            <w:r>
              <w:rPr>
                <w:rFonts w:hint="eastAsia" w:ascii="宋体" w:hAnsi="宋体" w:eastAsia="宋体" w:cs="宋体"/>
                <w:b/>
                <w:bCs/>
                <w:color w:val="auto"/>
                <w:kern w:val="2"/>
                <w:sz w:val="24"/>
                <w:szCs w:val="24"/>
                <w:highlight w:val="none"/>
              </w:rPr>
              <w:t>须提供</w:t>
            </w:r>
            <w:r>
              <w:rPr>
                <w:rFonts w:hint="eastAsia" w:ascii="宋体" w:hAnsi="宋体" w:eastAsia="宋体" w:cs="宋体"/>
                <w:b/>
                <w:bCs/>
                <w:color w:val="auto"/>
                <w:kern w:val="2"/>
                <w:sz w:val="24"/>
                <w:szCs w:val="24"/>
                <w:highlight w:val="none"/>
                <w:lang w:val="en-US" w:eastAsia="zh-CN"/>
              </w:rPr>
              <w:t>有效期内相关</w:t>
            </w:r>
            <w:r>
              <w:rPr>
                <w:rFonts w:hint="eastAsia" w:ascii="宋体" w:hAnsi="宋体" w:eastAsia="宋体" w:cs="宋体"/>
                <w:b/>
                <w:bCs/>
                <w:color w:val="auto"/>
                <w:kern w:val="2"/>
                <w:sz w:val="24"/>
                <w:szCs w:val="24"/>
                <w:highlight w:val="none"/>
              </w:rPr>
              <w:t>证书复印件或扫描件</w:t>
            </w:r>
            <w:r>
              <w:rPr>
                <w:rFonts w:hint="eastAsia" w:ascii="宋体" w:hAnsi="宋体" w:eastAsia="宋体" w:cs="宋体"/>
                <w:b/>
                <w:bCs/>
                <w:color w:val="auto"/>
                <w:kern w:val="2"/>
                <w:sz w:val="24"/>
                <w:szCs w:val="24"/>
                <w:highlight w:val="none"/>
                <w:lang w:val="en-US" w:eastAsia="zh-CN"/>
              </w:rPr>
              <w:t>和</w:t>
            </w:r>
            <w:r>
              <w:rPr>
                <w:rFonts w:hint="eastAsia" w:ascii="宋体" w:hAnsi="宋体" w:eastAsia="宋体" w:cs="宋体"/>
                <w:b/>
                <w:bCs/>
                <w:color w:val="auto"/>
                <w:kern w:val="2"/>
                <w:sz w:val="24"/>
                <w:szCs w:val="24"/>
                <w:highlight w:val="none"/>
              </w:rPr>
              <w:t>近三个月内任意一个月在本单位的社保缴纳证明，不提供不得分</w:t>
            </w:r>
            <w:r>
              <w:rPr>
                <w:rFonts w:hint="eastAsia" w:ascii="宋体" w:hAnsi="宋体" w:eastAsia="宋体" w:cs="宋体"/>
                <w:b/>
                <w:bCs/>
                <w:color w:val="auto"/>
                <w:kern w:val="2"/>
                <w:sz w:val="24"/>
                <w:szCs w:val="24"/>
                <w:highlight w:val="none"/>
                <w:lang w:eastAsia="zh-CN"/>
              </w:rPr>
              <w:t>。</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2402BBC9">
            <w:pPr>
              <w:widowControl/>
              <w:kinsoku w:val="0"/>
              <w:autoSpaceDE w:val="0"/>
              <w:autoSpaceDN w:val="0"/>
              <w:adjustRightInd w:val="0"/>
              <w:snapToGrid w:val="0"/>
              <w:spacing w:line="360" w:lineRule="auto"/>
              <w:jc w:val="center"/>
              <w:textAlignment w:val="baseline"/>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10</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7D25D39A">
            <w:pPr>
              <w:widowControl/>
              <w:kinsoku w:val="0"/>
              <w:autoSpaceDE w:val="0"/>
              <w:autoSpaceDN w:val="0"/>
              <w:adjustRightInd w:val="0"/>
              <w:snapToGrid w:val="0"/>
              <w:spacing w:line="36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客观分</w:t>
            </w:r>
          </w:p>
        </w:tc>
      </w:tr>
      <w:tr w14:paraId="17FF6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627" w:type="dxa"/>
            <w:tcBorders>
              <w:top w:val="single" w:color="auto" w:sz="4" w:space="0"/>
              <w:left w:val="single" w:color="auto" w:sz="4" w:space="0"/>
              <w:bottom w:val="single" w:color="auto" w:sz="4" w:space="0"/>
            </w:tcBorders>
            <w:noWrap w:val="0"/>
            <w:vAlign w:val="center"/>
          </w:tcPr>
          <w:p w14:paraId="23670A51">
            <w:pPr>
              <w:widowControl/>
              <w:kinsoku w:val="0"/>
              <w:autoSpaceDE w:val="0"/>
              <w:autoSpaceDN w:val="0"/>
              <w:adjustRightInd w:val="0"/>
              <w:snapToGrid w:val="0"/>
              <w:spacing w:line="36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w:t>
            </w:r>
          </w:p>
        </w:tc>
        <w:tc>
          <w:tcPr>
            <w:tcW w:w="1325" w:type="dxa"/>
            <w:tcBorders>
              <w:top w:val="single" w:color="auto" w:sz="4" w:space="0"/>
              <w:bottom w:val="single" w:color="auto" w:sz="4" w:space="0"/>
            </w:tcBorders>
            <w:noWrap w:val="0"/>
            <w:vAlign w:val="center"/>
          </w:tcPr>
          <w:p w14:paraId="03AAFE5E">
            <w:pPr>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维保服务能力</w:t>
            </w:r>
          </w:p>
        </w:tc>
        <w:tc>
          <w:tcPr>
            <w:tcW w:w="7338" w:type="dxa"/>
            <w:tcBorders>
              <w:top w:val="single" w:color="auto" w:sz="4" w:space="0"/>
              <w:bottom w:val="single" w:color="auto" w:sz="4" w:space="0"/>
            </w:tcBorders>
            <w:noWrap w:val="0"/>
            <w:vAlign w:val="center"/>
          </w:tcPr>
          <w:p w14:paraId="4FFF2988">
            <w:pPr>
              <w:widowControl/>
              <w:kinsoku w:val="0"/>
              <w:autoSpaceDE w:val="0"/>
              <w:autoSpaceDN w:val="0"/>
              <w:adjustRightInd w:val="0"/>
              <w:snapToGrid w:val="0"/>
              <w:textAlignment w:val="baseline"/>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运维工具应用能力：投标人具有专业的运维服务工具，基于运维服务平台能够监测站点信息（包括站点类别、运行状态、检定时间等信息）、站点地图（带有站点地图定位，实时显示站点的运行状态，及当日过车数据统计信息）、统计分析功能、设备状态（称重系统、相机、显示屏等）等运行情况，如出现问题能够实现智能化①告警信息、②过车异常信息、③过车实时信息、④日常过车统计、⑤轴数超限统计、⑥超限程度统计、⑦告警统计、⑧随时查询维护各站点情况等功能，提供运维工具应用截图，完全满足要求得8分，①至⑧每缺一项扣1分。</w:t>
            </w:r>
          </w:p>
        </w:tc>
        <w:tc>
          <w:tcPr>
            <w:tcW w:w="783" w:type="dxa"/>
            <w:tcBorders>
              <w:top w:val="single" w:color="auto" w:sz="4" w:space="0"/>
              <w:bottom w:val="single" w:color="auto" w:sz="4" w:space="0"/>
              <w:right w:val="single" w:color="auto" w:sz="4" w:space="0"/>
            </w:tcBorders>
            <w:noWrap w:val="0"/>
            <w:vAlign w:val="center"/>
          </w:tcPr>
          <w:p w14:paraId="502E9063">
            <w:pPr>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8</w:t>
            </w:r>
          </w:p>
        </w:tc>
        <w:tc>
          <w:tcPr>
            <w:tcW w:w="696" w:type="dxa"/>
            <w:tcBorders>
              <w:top w:val="single" w:color="auto" w:sz="4" w:space="0"/>
              <w:bottom w:val="single" w:color="auto" w:sz="4" w:space="0"/>
              <w:right w:val="single" w:color="auto" w:sz="4" w:space="0"/>
            </w:tcBorders>
            <w:noWrap w:val="0"/>
            <w:vAlign w:val="center"/>
          </w:tcPr>
          <w:p w14:paraId="5976EF53">
            <w:pPr>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客观分</w:t>
            </w:r>
          </w:p>
        </w:tc>
      </w:tr>
      <w:tr w14:paraId="57B0A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jc w:val="center"/>
        </w:trPr>
        <w:tc>
          <w:tcPr>
            <w:tcW w:w="627" w:type="dxa"/>
            <w:tcBorders>
              <w:top w:val="single" w:color="auto" w:sz="4" w:space="0"/>
              <w:left w:val="single" w:color="auto" w:sz="4" w:space="0"/>
              <w:bottom w:val="single" w:color="auto" w:sz="4" w:space="0"/>
            </w:tcBorders>
            <w:noWrap w:val="0"/>
            <w:vAlign w:val="center"/>
          </w:tcPr>
          <w:p w14:paraId="49A9B994">
            <w:pPr>
              <w:widowControl/>
              <w:kinsoku w:val="0"/>
              <w:autoSpaceDE w:val="0"/>
              <w:autoSpaceDN w:val="0"/>
              <w:adjustRightInd w:val="0"/>
              <w:snapToGrid w:val="0"/>
              <w:spacing w:line="360" w:lineRule="auto"/>
              <w:jc w:val="center"/>
              <w:textAlignment w:val="baseline"/>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1325" w:type="dxa"/>
            <w:tcBorders>
              <w:top w:val="single" w:color="auto" w:sz="4" w:space="0"/>
              <w:bottom w:val="single" w:color="auto" w:sz="4" w:space="0"/>
            </w:tcBorders>
            <w:noWrap w:val="0"/>
            <w:vAlign w:val="center"/>
          </w:tcPr>
          <w:p w14:paraId="1C94B9A3">
            <w:pPr>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响应时间</w:t>
            </w:r>
          </w:p>
        </w:tc>
        <w:tc>
          <w:tcPr>
            <w:tcW w:w="7338" w:type="dxa"/>
            <w:tcBorders>
              <w:top w:val="single" w:color="auto" w:sz="4" w:space="0"/>
              <w:bottom w:val="single" w:color="auto" w:sz="4" w:space="0"/>
            </w:tcBorders>
            <w:noWrap w:val="0"/>
            <w:vAlign w:val="center"/>
          </w:tcPr>
          <w:p w14:paraId="08B66F9F">
            <w:pPr>
              <w:widowControl/>
              <w:kinsoku w:val="0"/>
              <w:autoSpaceDE w:val="0"/>
              <w:autoSpaceDN w:val="0"/>
              <w:adjustRightInd w:val="0"/>
              <w:snapToGrid w:val="0"/>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投标人对故障在半小时内电话响应服务，3小时内赶到现场，24小时内恢复系统并保证正常运行，提供相应内容承诺函得2分，不承诺不得分。</w:t>
            </w:r>
          </w:p>
          <w:p w14:paraId="761629CB">
            <w:pPr>
              <w:pStyle w:val="28"/>
              <w:ind w:left="0" w:leftChars="0" w:firstLine="0" w:firstLineChars="0"/>
              <w:rPr>
                <w:rFonts w:hint="default"/>
                <w:color w:val="auto"/>
                <w:highlight w:val="none"/>
                <w:lang w:val="en-US" w:eastAsia="zh-CN"/>
              </w:rPr>
            </w:pPr>
            <w:r>
              <w:rPr>
                <w:rFonts w:hint="eastAsia" w:ascii="宋体" w:hAnsi="宋体" w:eastAsia="宋体" w:cs="宋体"/>
                <w:b/>
                <w:bCs/>
                <w:color w:val="auto"/>
                <w:kern w:val="2"/>
                <w:sz w:val="24"/>
                <w:szCs w:val="24"/>
                <w:highlight w:val="none"/>
                <w:lang w:val="en-US" w:eastAsia="zh-CN" w:bidi="ar-SA"/>
              </w:rPr>
              <w:t>注：提供承诺函，并加盖本单位公章，未按照要求提供不得分。</w:t>
            </w:r>
          </w:p>
        </w:tc>
        <w:tc>
          <w:tcPr>
            <w:tcW w:w="783" w:type="dxa"/>
            <w:tcBorders>
              <w:top w:val="single" w:color="auto" w:sz="4" w:space="0"/>
              <w:bottom w:val="single" w:color="auto" w:sz="4" w:space="0"/>
              <w:right w:val="single" w:color="auto" w:sz="4" w:space="0"/>
            </w:tcBorders>
            <w:noWrap w:val="0"/>
            <w:vAlign w:val="center"/>
          </w:tcPr>
          <w:p w14:paraId="019077DF">
            <w:pPr>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p>
        </w:tc>
        <w:tc>
          <w:tcPr>
            <w:tcW w:w="696" w:type="dxa"/>
            <w:tcBorders>
              <w:top w:val="single" w:color="auto" w:sz="4" w:space="0"/>
              <w:bottom w:val="single" w:color="auto" w:sz="4" w:space="0"/>
              <w:right w:val="single" w:color="auto" w:sz="4" w:space="0"/>
            </w:tcBorders>
            <w:noWrap w:val="0"/>
            <w:vAlign w:val="center"/>
          </w:tcPr>
          <w:p w14:paraId="78DC9A91">
            <w:pPr>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客观分</w:t>
            </w:r>
          </w:p>
        </w:tc>
      </w:tr>
      <w:tr w14:paraId="29190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627" w:type="dxa"/>
            <w:tcBorders>
              <w:top w:val="single" w:color="auto" w:sz="4" w:space="0"/>
              <w:left w:val="single" w:color="auto" w:sz="4" w:space="0"/>
              <w:bottom w:val="single" w:color="auto" w:sz="4" w:space="0"/>
            </w:tcBorders>
            <w:noWrap w:val="0"/>
            <w:vAlign w:val="center"/>
          </w:tcPr>
          <w:p w14:paraId="328ACC66">
            <w:pPr>
              <w:widowControl/>
              <w:kinsoku w:val="0"/>
              <w:autoSpaceDE w:val="0"/>
              <w:autoSpaceDN w:val="0"/>
              <w:adjustRightInd w:val="0"/>
              <w:snapToGrid w:val="0"/>
              <w:spacing w:line="360" w:lineRule="auto"/>
              <w:jc w:val="center"/>
              <w:textAlignment w:val="baseline"/>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w:t>
            </w:r>
          </w:p>
        </w:tc>
        <w:tc>
          <w:tcPr>
            <w:tcW w:w="1325" w:type="dxa"/>
            <w:tcBorders>
              <w:top w:val="single" w:color="auto" w:sz="4" w:space="0"/>
              <w:bottom w:val="single" w:color="auto" w:sz="4" w:space="0"/>
            </w:tcBorders>
            <w:noWrap w:val="0"/>
            <w:vAlign w:val="center"/>
          </w:tcPr>
          <w:p w14:paraId="18F1721C">
            <w:pPr>
              <w:widowControl/>
              <w:kinsoku w:val="0"/>
              <w:autoSpaceDE w:val="0"/>
              <w:autoSpaceDN w:val="0"/>
              <w:adjustRightInd w:val="0"/>
              <w:snapToGrid w:val="0"/>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项目总体理解</w:t>
            </w:r>
          </w:p>
        </w:tc>
        <w:tc>
          <w:tcPr>
            <w:tcW w:w="7338" w:type="dxa"/>
            <w:tcBorders>
              <w:top w:val="single" w:color="auto" w:sz="4" w:space="0"/>
              <w:bottom w:val="single" w:color="auto" w:sz="4" w:space="0"/>
            </w:tcBorders>
            <w:noWrap w:val="0"/>
            <w:vAlign w:val="center"/>
          </w:tcPr>
          <w:p w14:paraId="17A0C50C">
            <w:pPr>
              <w:widowControl/>
              <w:kinsoku w:val="0"/>
              <w:autoSpaceDE w:val="0"/>
              <w:autoSpaceDN w:val="0"/>
              <w:adjustRightInd w:val="0"/>
              <w:snapToGrid w:val="0"/>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6.1投标人对浦江非现场执法维护需求的理解分析进行打分（0-4分）</w:t>
            </w:r>
          </w:p>
          <w:p w14:paraId="4A073A68">
            <w:pPr>
              <w:widowControl/>
              <w:kinsoku w:val="0"/>
              <w:autoSpaceDE w:val="0"/>
              <w:autoSpaceDN w:val="0"/>
              <w:adjustRightInd w:val="0"/>
              <w:snapToGrid w:val="0"/>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6.2对本次项目</w:t>
            </w:r>
            <w:r>
              <w:rPr>
                <w:rFonts w:hint="eastAsia" w:ascii="宋体" w:hAnsi="宋体" w:eastAsia="宋体" w:cs="宋体"/>
                <w:color w:val="auto"/>
                <w:sz w:val="24"/>
                <w:szCs w:val="24"/>
                <w:highlight w:val="none"/>
                <w:lang w:val="en-US" w:eastAsia="zh-CN"/>
              </w:rPr>
              <w:t>8个</w:t>
            </w:r>
            <w:r>
              <w:rPr>
                <w:rFonts w:hint="eastAsia" w:ascii="宋体" w:hAnsi="宋体" w:eastAsia="宋体" w:cs="宋体"/>
                <w:color w:val="auto"/>
                <w:kern w:val="2"/>
                <w:sz w:val="24"/>
                <w:szCs w:val="24"/>
                <w:highlight w:val="none"/>
                <w:lang w:val="en-US" w:eastAsia="zh-CN"/>
              </w:rPr>
              <w:t>非现场</w:t>
            </w:r>
            <w:r>
              <w:rPr>
                <w:rFonts w:hint="eastAsia" w:ascii="宋体" w:hAnsi="宋体" w:eastAsia="宋体" w:cs="宋体"/>
                <w:color w:val="auto"/>
                <w:sz w:val="24"/>
                <w:szCs w:val="24"/>
                <w:highlight w:val="none"/>
                <w:lang w:val="en-US" w:eastAsia="zh-CN"/>
              </w:rPr>
              <w:t>点位</w:t>
            </w:r>
            <w:r>
              <w:rPr>
                <w:rFonts w:hint="eastAsia" w:ascii="宋体" w:hAnsi="宋体" w:eastAsia="宋体" w:cs="宋体"/>
                <w:color w:val="auto"/>
                <w:kern w:val="2"/>
                <w:sz w:val="24"/>
                <w:szCs w:val="24"/>
                <w:highlight w:val="none"/>
                <w:lang w:val="en-US" w:eastAsia="zh-CN"/>
              </w:rPr>
              <w:t>现状情况结合实际情况进行详细分析（0-4分）。</w:t>
            </w:r>
          </w:p>
        </w:tc>
        <w:tc>
          <w:tcPr>
            <w:tcW w:w="783" w:type="dxa"/>
            <w:tcBorders>
              <w:top w:val="single" w:color="auto" w:sz="4" w:space="0"/>
              <w:bottom w:val="single" w:color="auto" w:sz="4" w:space="0"/>
              <w:right w:val="single" w:color="auto" w:sz="4" w:space="0"/>
            </w:tcBorders>
            <w:noWrap w:val="0"/>
            <w:vAlign w:val="center"/>
          </w:tcPr>
          <w:p w14:paraId="053850E9">
            <w:pPr>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8</w:t>
            </w:r>
          </w:p>
        </w:tc>
        <w:tc>
          <w:tcPr>
            <w:tcW w:w="696" w:type="dxa"/>
            <w:tcBorders>
              <w:top w:val="single" w:color="auto" w:sz="4" w:space="0"/>
              <w:bottom w:val="single" w:color="auto" w:sz="4" w:space="0"/>
              <w:right w:val="single" w:color="auto" w:sz="4" w:space="0"/>
            </w:tcBorders>
            <w:noWrap w:val="0"/>
            <w:vAlign w:val="center"/>
          </w:tcPr>
          <w:p w14:paraId="54FDF555">
            <w:pPr>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主观分</w:t>
            </w:r>
          </w:p>
        </w:tc>
      </w:tr>
      <w:tr w14:paraId="2F8C5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3" w:hRule="atLeast"/>
          <w:jc w:val="center"/>
        </w:trPr>
        <w:tc>
          <w:tcPr>
            <w:tcW w:w="627" w:type="dxa"/>
            <w:tcBorders>
              <w:top w:val="single" w:color="auto" w:sz="4" w:space="0"/>
              <w:left w:val="single" w:color="auto" w:sz="4" w:space="0"/>
            </w:tcBorders>
            <w:noWrap w:val="0"/>
            <w:vAlign w:val="center"/>
          </w:tcPr>
          <w:p w14:paraId="09044093">
            <w:pPr>
              <w:widowControl/>
              <w:kinsoku w:val="0"/>
              <w:autoSpaceDE w:val="0"/>
              <w:autoSpaceDN w:val="0"/>
              <w:adjustRightInd w:val="0"/>
              <w:snapToGrid w:val="0"/>
              <w:spacing w:line="36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7</w:t>
            </w:r>
          </w:p>
        </w:tc>
        <w:tc>
          <w:tcPr>
            <w:tcW w:w="1325" w:type="dxa"/>
            <w:tcBorders>
              <w:top w:val="single" w:color="auto" w:sz="4" w:space="0"/>
            </w:tcBorders>
            <w:noWrap w:val="0"/>
            <w:vAlign w:val="center"/>
          </w:tcPr>
          <w:p w14:paraId="22BE812B">
            <w:pPr>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维</w:t>
            </w:r>
            <w:r>
              <w:rPr>
                <w:rFonts w:hint="eastAsia" w:ascii="宋体" w:hAnsi="宋体" w:eastAsia="宋体" w:cs="宋体"/>
                <w:color w:val="auto"/>
                <w:kern w:val="2"/>
                <w:sz w:val="24"/>
                <w:szCs w:val="24"/>
                <w:highlight w:val="none"/>
                <w:lang w:val="en-US" w:eastAsia="zh-CN"/>
              </w:rPr>
              <w:t>护技术</w:t>
            </w:r>
            <w:r>
              <w:rPr>
                <w:rFonts w:hint="eastAsia" w:ascii="宋体" w:hAnsi="宋体" w:eastAsia="宋体" w:cs="宋体"/>
                <w:color w:val="auto"/>
                <w:kern w:val="2"/>
                <w:sz w:val="24"/>
                <w:szCs w:val="24"/>
                <w:highlight w:val="none"/>
              </w:rPr>
              <w:t>方案</w:t>
            </w:r>
          </w:p>
        </w:tc>
        <w:tc>
          <w:tcPr>
            <w:tcW w:w="7338" w:type="dxa"/>
            <w:tcBorders>
              <w:top w:val="single" w:color="auto" w:sz="4" w:space="0"/>
            </w:tcBorders>
            <w:noWrap w:val="0"/>
            <w:vAlign w:val="center"/>
          </w:tcPr>
          <w:p w14:paraId="5891BE01">
            <w:pPr>
              <w:widowControl/>
              <w:kinsoku w:val="0"/>
              <w:autoSpaceDE w:val="0"/>
              <w:autoSpaceDN w:val="0"/>
              <w:adjustRightInd w:val="0"/>
              <w:snapToGrid w:val="0"/>
              <w:textAlignment w:val="baseline"/>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根据投标人对整体项目维护技术方案合理、可行、覆盖全面打分</w:t>
            </w:r>
          </w:p>
          <w:p w14:paraId="453DC26C">
            <w:pPr>
              <w:widowControl/>
              <w:numPr>
                <w:ilvl w:val="0"/>
                <w:numId w:val="0"/>
              </w:numPr>
              <w:kinsoku w:val="0"/>
              <w:autoSpaceDE w:val="0"/>
              <w:autoSpaceDN w:val="0"/>
              <w:adjustRightInd w:val="0"/>
              <w:snapToGrid w:val="0"/>
              <w:textAlignment w:val="baseline"/>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val="en-US" w:eastAsia="zh-CN"/>
              </w:rPr>
              <w:t>7.1</w:t>
            </w:r>
            <w:r>
              <w:rPr>
                <w:rFonts w:hint="eastAsia" w:ascii="宋体" w:hAnsi="宋体" w:eastAsia="宋体" w:cs="宋体"/>
                <w:b/>
                <w:bCs/>
                <w:color w:val="auto"/>
                <w:kern w:val="2"/>
                <w:sz w:val="24"/>
                <w:szCs w:val="24"/>
                <w:highlight w:val="none"/>
              </w:rPr>
              <w:t>设备维护</w:t>
            </w:r>
            <w:r>
              <w:rPr>
                <w:rFonts w:hint="eastAsia" w:ascii="宋体" w:hAnsi="宋体" w:eastAsia="宋体" w:cs="宋体"/>
                <w:b/>
                <w:bCs/>
                <w:color w:val="auto"/>
                <w:kern w:val="2"/>
                <w:sz w:val="24"/>
                <w:szCs w:val="24"/>
                <w:highlight w:val="none"/>
                <w:lang w:eastAsia="zh-CN"/>
              </w:rPr>
              <w:t>方案（</w:t>
            </w:r>
            <w:r>
              <w:rPr>
                <w:rFonts w:hint="eastAsia" w:ascii="宋体" w:hAnsi="宋体" w:eastAsia="宋体" w:cs="宋体"/>
                <w:b/>
                <w:bCs/>
                <w:color w:val="auto"/>
                <w:kern w:val="2"/>
                <w:sz w:val="24"/>
                <w:szCs w:val="24"/>
                <w:highlight w:val="none"/>
                <w:lang w:val="en-US" w:eastAsia="zh-CN"/>
              </w:rPr>
              <w:t>0-22分</w:t>
            </w:r>
            <w:r>
              <w:rPr>
                <w:rFonts w:hint="eastAsia" w:ascii="宋体" w:hAnsi="宋体" w:eastAsia="宋体" w:cs="宋体"/>
                <w:b/>
                <w:bCs/>
                <w:color w:val="auto"/>
                <w:kern w:val="2"/>
                <w:sz w:val="24"/>
                <w:szCs w:val="24"/>
                <w:highlight w:val="none"/>
                <w:lang w:eastAsia="zh-CN"/>
              </w:rPr>
              <w:t>）</w:t>
            </w:r>
          </w:p>
          <w:p w14:paraId="278DEF45">
            <w:pPr>
              <w:pStyle w:val="28"/>
              <w:numPr>
                <w:ilvl w:val="0"/>
                <w:numId w:val="0"/>
              </w:numPr>
              <w:ind w:left="400" w:leftChars="0"/>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①</w:t>
            </w:r>
            <w:r>
              <w:rPr>
                <w:rFonts w:hint="eastAsia" w:ascii="宋体" w:hAnsi="宋体" w:eastAsia="宋体" w:cs="宋体"/>
                <w:b w:val="0"/>
                <w:bCs w:val="0"/>
                <w:color w:val="auto"/>
                <w:kern w:val="2"/>
                <w:sz w:val="24"/>
                <w:szCs w:val="24"/>
                <w:highlight w:val="none"/>
              </w:rPr>
              <w:t>定期巡检</w:t>
            </w:r>
            <w:r>
              <w:rPr>
                <w:rFonts w:hint="eastAsia" w:ascii="宋体" w:hAnsi="宋体" w:eastAsia="宋体" w:cs="宋体"/>
                <w:b w:val="0"/>
                <w:bCs w:val="0"/>
                <w:color w:val="auto"/>
                <w:kern w:val="2"/>
                <w:sz w:val="24"/>
                <w:szCs w:val="24"/>
                <w:highlight w:val="none"/>
                <w:lang w:eastAsia="zh-CN"/>
              </w:rPr>
              <w:t>方案（</w:t>
            </w:r>
            <w:r>
              <w:rPr>
                <w:rFonts w:hint="eastAsia" w:ascii="宋体" w:hAnsi="宋体" w:eastAsia="宋体" w:cs="宋体"/>
                <w:b w:val="0"/>
                <w:bCs w:val="0"/>
                <w:color w:val="auto"/>
                <w:kern w:val="2"/>
                <w:sz w:val="24"/>
                <w:szCs w:val="24"/>
                <w:highlight w:val="none"/>
                <w:lang w:val="en-US" w:eastAsia="zh-CN"/>
              </w:rPr>
              <w:t>0-</w:t>
            </w:r>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lang w:val="en-US" w:eastAsia="zh-CN"/>
              </w:rPr>
              <w:t>分</w:t>
            </w:r>
            <w:r>
              <w:rPr>
                <w:rFonts w:hint="eastAsia" w:ascii="宋体" w:hAnsi="宋体" w:eastAsia="宋体" w:cs="宋体"/>
                <w:b w:val="0"/>
                <w:bCs w:val="0"/>
                <w:color w:val="auto"/>
                <w:kern w:val="2"/>
                <w:sz w:val="24"/>
                <w:szCs w:val="24"/>
                <w:highlight w:val="none"/>
                <w:lang w:eastAsia="zh-CN"/>
              </w:rPr>
              <w:t>）</w:t>
            </w:r>
          </w:p>
          <w:p w14:paraId="168593CC">
            <w:pPr>
              <w:numPr>
                <w:ilvl w:val="0"/>
                <w:numId w:val="0"/>
              </w:numPr>
              <w:ind w:left="400" w:leftChars="0"/>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②</w:t>
            </w:r>
            <w:r>
              <w:rPr>
                <w:rFonts w:hint="eastAsia" w:ascii="宋体" w:hAnsi="宋体" w:eastAsia="宋体" w:cs="宋体"/>
                <w:b w:val="0"/>
                <w:bCs w:val="0"/>
                <w:color w:val="auto"/>
                <w:kern w:val="2"/>
                <w:sz w:val="24"/>
                <w:szCs w:val="24"/>
                <w:highlight w:val="none"/>
              </w:rPr>
              <w:t>定期清洁</w:t>
            </w:r>
            <w:r>
              <w:rPr>
                <w:rFonts w:hint="eastAsia" w:ascii="宋体" w:hAnsi="宋体" w:eastAsia="宋体" w:cs="宋体"/>
                <w:b w:val="0"/>
                <w:bCs w:val="0"/>
                <w:color w:val="auto"/>
                <w:kern w:val="2"/>
                <w:sz w:val="24"/>
                <w:szCs w:val="24"/>
                <w:highlight w:val="none"/>
                <w:lang w:eastAsia="zh-CN"/>
              </w:rPr>
              <w:t>方案（</w:t>
            </w:r>
            <w:r>
              <w:rPr>
                <w:rFonts w:hint="eastAsia" w:ascii="宋体" w:hAnsi="宋体" w:eastAsia="宋体" w:cs="宋体"/>
                <w:b w:val="0"/>
                <w:bCs w:val="0"/>
                <w:color w:val="auto"/>
                <w:kern w:val="2"/>
                <w:sz w:val="24"/>
                <w:szCs w:val="24"/>
                <w:highlight w:val="none"/>
                <w:lang w:val="en-US" w:eastAsia="zh-CN"/>
              </w:rPr>
              <w:t>0-4分</w:t>
            </w:r>
            <w:r>
              <w:rPr>
                <w:rFonts w:hint="eastAsia" w:ascii="宋体" w:hAnsi="宋体" w:eastAsia="宋体" w:cs="宋体"/>
                <w:b w:val="0"/>
                <w:bCs w:val="0"/>
                <w:color w:val="auto"/>
                <w:kern w:val="2"/>
                <w:sz w:val="24"/>
                <w:szCs w:val="24"/>
                <w:highlight w:val="none"/>
                <w:lang w:eastAsia="zh-CN"/>
              </w:rPr>
              <w:t>）</w:t>
            </w:r>
          </w:p>
          <w:p w14:paraId="3C3D59EC">
            <w:pPr>
              <w:numPr>
                <w:ilvl w:val="0"/>
                <w:numId w:val="0"/>
              </w:numPr>
              <w:ind w:left="400" w:leftChars="0"/>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③</w:t>
            </w:r>
            <w:r>
              <w:rPr>
                <w:rFonts w:hint="eastAsia" w:ascii="宋体" w:hAnsi="宋体" w:eastAsia="宋体" w:cs="宋体"/>
                <w:b w:val="0"/>
                <w:bCs w:val="0"/>
                <w:color w:val="auto"/>
                <w:kern w:val="2"/>
                <w:sz w:val="24"/>
                <w:szCs w:val="24"/>
                <w:highlight w:val="none"/>
              </w:rPr>
              <w:t>维护建议</w:t>
            </w:r>
            <w:r>
              <w:rPr>
                <w:rFonts w:hint="eastAsia" w:ascii="宋体" w:hAnsi="宋体" w:eastAsia="宋体" w:cs="宋体"/>
                <w:b w:val="0"/>
                <w:bCs w:val="0"/>
                <w:color w:val="auto"/>
                <w:kern w:val="2"/>
                <w:sz w:val="24"/>
                <w:szCs w:val="24"/>
                <w:highlight w:val="none"/>
                <w:lang w:eastAsia="zh-CN"/>
              </w:rPr>
              <w:t>（内容包括维护流程、维护技术、备品备件准备、系统优化和改善建议等）（</w:t>
            </w:r>
            <w:r>
              <w:rPr>
                <w:rFonts w:hint="eastAsia" w:ascii="宋体" w:hAnsi="宋体" w:eastAsia="宋体" w:cs="宋体"/>
                <w:b w:val="0"/>
                <w:bCs w:val="0"/>
                <w:color w:val="auto"/>
                <w:kern w:val="2"/>
                <w:sz w:val="24"/>
                <w:szCs w:val="24"/>
                <w:highlight w:val="none"/>
                <w:lang w:val="en-US" w:eastAsia="zh-CN"/>
              </w:rPr>
              <w:t>0-4分</w:t>
            </w:r>
            <w:r>
              <w:rPr>
                <w:rFonts w:hint="eastAsia" w:ascii="宋体" w:hAnsi="宋体" w:eastAsia="宋体" w:cs="宋体"/>
                <w:b w:val="0"/>
                <w:bCs w:val="0"/>
                <w:color w:val="auto"/>
                <w:kern w:val="2"/>
                <w:sz w:val="24"/>
                <w:szCs w:val="24"/>
                <w:highlight w:val="none"/>
                <w:lang w:eastAsia="zh-CN"/>
              </w:rPr>
              <w:t>）</w:t>
            </w:r>
          </w:p>
          <w:p w14:paraId="40C7BBEA">
            <w:pPr>
              <w:pStyle w:val="28"/>
              <w:numPr>
                <w:ilvl w:val="0"/>
                <w:numId w:val="0"/>
              </w:numPr>
              <w:ind w:left="400" w:leftChars="0"/>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④</w:t>
            </w:r>
            <w:r>
              <w:rPr>
                <w:rFonts w:hint="eastAsia" w:ascii="宋体" w:hAnsi="宋体" w:eastAsia="宋体" w:cs="宋体"/>
                <w:b w:val="0"/>
                <w:bCs w:val="0"/>
                <w:color w:val="auto"/>
                <w:kern w:val="2"/>
                <w:sz w:val="24"/>
                <w:szCs w:val="24"/>
                <w:highlight w:val="none"/>
              </w:rPr>
              <w:t>设备维修</w:t>
            </w:r>
            <w:r>
              <w:rPr>
                <w:rFonts w:hint="eastAsia" w:ascii="宋体" w:hAnsi="宋体" w:eastAsia="宋体" w:cs="宋体"/>
                <w:b w:val="0"/>
                <w:bCs w:val="0"/>
                <w:color w:val="auto"/>
                <w:kern w:val="2"/>
                <w:sz w:val="24"/>
                <w:szCs w:val="24"/>
                <w:highlight w:val="none"/>
                <w:lang w:eastAsia="zh-CN"/>
              </w:rPr>
              <w:t>方案（</w:t>
            </w:r>
            <w:r>
              <w:rPr>
                <w:rFonts w:hint="eastAsia" w:ascii="宋体" w:hAnsi="宋体" w:eastAsia="宋体" w:cs="宋体"/>
                <w:b w:val="0"/>
                <w:bCs w:val="0"/>
                <w:color w:val="auto"/>
                <w:kern w:val="2"/>
                <w:sz w:val="24"/>
                <w:szCs w:val="24"/>
                <w:highlight w:val="none"/>
                <w:lang w:val="en-US" w:eastAsia="zh-CN"/>
              </w:rPr>
              <w:t>0-</w:t>
            </w:r>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lang w:val="en-US" w:eastAsia="zh-CN"/>
              </w:rPr>
              <w:t>分</w:t>
            </w:r>
            <w:r>
              <w:rPr>
                <w:rFonts w:hint="eastAsia" w:ascii="宋体" w:hAnsi="宋体" w:eastAsia="宋体" w:cs="宋体"/>
                <w:b w:val="0"/>
                <w:bCs w:val="0"/>
                <w:color w:val="auto"/>
                <w:kern w:val="2"/>
                <w:sz w:val="24"/>
                <w:szCs w:val="24"/>
                <w:highlight w:val="none"/>
                <w:lang w:eastAsia="zh-CN"/>
              </w:rPr>
              <w:t>）</w:t>
            </w:r>
          </w:p>
          <w:p w14:paraId="3E05FE32">
            <w:pPr>
              <w:numPr>
                <w:ilvl w:val="0"/>
                <w:numId w:val="0"/>
              </w:numPr>
              <w:ind w:left="400" w:leftChars="0"/>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⑤</w:t>
            </w:r>
            <w:r>
              <w:rPr>
                <w:rFonts w:hint="eastAsia" w:ascii="宋体" w:hAnsi="宋体" w:eastAsia="宋体" w:cs="宋体"/>
                <w:b w:val="0"/>
                <w:bCs w:val="0"/>
                <w:color w:val="auto"/>
                <w:kern w:val="2"/>
                <w:sz w:val="24"/>
                <w:szCs w:val="24"/>
                <w:highlight w:val="none"/>
                <w:lang w:eastAsia="zh-CN"/>
              </w:rPr>
              <w:t>人员</w:t>
            </w:r>
            <w:r>
              <w:rPr>
                <w:rFonts w:hint="eastAsia" w:ascii="宋体" w:hAnsi="宋体" w:eastAsia="宋体" w:cs="宋体"/>
                <w:b w:val="0"/>
                <w:bCs w:val="0"/>
                <w:color w:val="auto"/>
                <w:kern w:val="2"/>
                <w:sz w:val="24"/>
                <w:szCs w:val="24"/>
                <w:highlight w:val="none"/>
              </w:rPr>
              <w:t>培训</w:t>
            </w:r>
            <w:r>
              <w:rPr>
                <w:rFonts w:hint="eastAsia" w:ascii="宋体" w:hAnsi="宋体" w:eastAsia="宋体" w:cs="宋体"/>
                <w:b w:val="0"/>
                <w:bCs w:val="0"/>
                <w:color w:val="auto"/>
                <w:kern w:val="2"/>
                <w:sz w:val="24"/>
                <w:szCs w:val="24"/>
                <w:highlight w:val="none"/>
                <w:lang w:eastAsia="zh-CN"/>
              </w:rPr>
              <w:t>方案（</w:t>
            </w:r>
            <w:r>
              <w:rPr>
                <w:rFonts w:hint="eastAsia" w:ascii="宋体" w:hAnsi="宋体" w:eastAsia="宋体" w:cs="宋体"/>
                <w:b w:val="0"/>
                <w:bCs w:val="0"/>
                <w:color w:val="auto"/>
                <w:kern w:val="2"/>
                <w:sz w:val="24"/>
                <w:szCs w:val="24"/>
                <w:highlight w:val="none"/>
                <w:lang w:val="en-US" w:eastAsia="zh-CN"/>
              </w:rPr>
              <w:t>0-3分</w:t>
            </w:r>
            <w:r>
              <w:rPr>
                <w:rFonts w:hint="eastAsia" w:ascii="宋体" w:hAnsi="宋体" w:eastAsia="宋体" w:cs="宋体"/>
                <w:b w:val="0"/>
                <w:bCs w:val="0"/>
                <w:color w:val="auto"/>
                <w:kern w:val="2"/>
                <w:sz w:val="24"/>
                <w:szCs w:val="24"/>
                <w:highlight w:val="none"/>
                <w:lang w:eastAsia="zh-CN"/>
              </w:rPr>
              <w:t>）</w:t>
            </w:r>
          </w:p>
          <w:p w14:paraId="22CF9646">
            <w:pPr>
              <w:pStyle w:val="28"/>
              <w:numPr>
                <w:ilvl w:val="0"/>
                <w:numId w:val="0"/>
              </w:numPr>
              <w:ind w:left="400" w:leftChars="0"/>
              <w:rPr>
                <w:rFonts w:hint="eastAsia"/>
                <w:b w:val="0"/>
                <w:bCs w:val="0"/>
                <w:color w:val="auto"/>
                <w:sz w:val="24"/>
                <w:szCs w:val="24"/>
                <w:highlight w:val="none"/>
                <w:lang w:eastAsia="zh-CN"/>
              </w:rPr>
            </w:pPr>
            <w:r>
              <w:rPr>
                <w:rFonts w:hint="eastAsia" w:ascii="宋体" w:hAnsi="宋体" w:eastAsia="宋体" w:cs="宋体"/>
                <w:color w:val="auto"/>
                <w:kern w:val="2"/>
                <w:sz w:val="24"/>
                <w:szCs w:val="24"/>
                <w:highlight w:val="none"/>
                <w:lang w:val="en-US" w:eastAsia="zh-CN"/>
              </w:rPr>
              <w:t>⑥</w:t>
            </w:r>
            <w:r>
              <w:rPr>
                <w:rFonts w:hint="eastAsia"/>
                <w:b w:val="0"/>
                <w:bCs w:val="0"/>
                <w:color w:val="auto"/>
                <w:sz w:val="24"/>
                <w:szCs w:val="24"/>
                <w:highlight w:val="none"/>
                <w:lang w:eastAsia="zh-CN"/>
              </w:rPr>
              <w:t>档案管理及资料制作方案</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lang w:val="en-US" w:eastAsia="zh-CN"/>
              </w:rPr>
              <w:t>0-</w:t>
            </w:r>
            <w:r>
              <w:rPr>
                <w:rFonts w:hint="eastAsia" w:ascii="宋体" w:hAnsi="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lang w:val="en-US" w:eastAsia="zh-CN"/>
              </w:rPr>
              <w:t>分</w:t>
            </w:r>
            <w:r>
              <w:rPr>
                <w:rFonts w:hint="eastAsia" w:ascii="宋体" w:hAnsi="宋体" w:eastAsia="宋体" w:cs="宋体"/>
                <w:b w:val="0"/>
                <w:bCs w:val="0"/>
                <w:color w:val="auto"/>
                <w:kern w:val="2"/>
                <w:sz w:val="24"/>
                <w:szCs w:val="24"/>
                <w:highlight w:val="none"/>
                <w:lang w:eastAsia="zh-CN"/>
              </w:rPr>
              <w:t>）</w:t>
            </w:r>
          </w:p>
          <w:p w14:paraId="4332E7D1">
            <w:pPr>
              <w:numPr>
                <w:ilvl w:val="0"/>
                <w:numId w:val="0"/>
              </w:numPr>
              <w:ind w:leftChars="0"/>
              <w:rPr>
                <w:rFonts w:hint="default"/>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7.2</w:t>
            </w:r>
            <w:r>
              <w:rPr>
                <w:rFonts w:hint="eastAsia" w:ascii="宋体" w:hAnsi="宋体" w:eastAsia="宋体" w:cs="宋体"/>
                <w:b/>
                <w:bCs/>
                <w:color w:val="auto"/>
                <w:kern w:val="2"/>
                <w:sz w:val="24"/>
                <w:szCs w:val="24"/>
                <w:highlight w:val="none"/>
              </w:rPr>
              <w:t>前置机对接服务</w:t>
            </w:r>
            <w:r>
              <w:rPr>
                <w:rFonts w:hint="eastAsia" w:ascii="宋体" w:hAnsi="宋体" w:eastAsia="宋体" w:cs="宋体"/>
                <w:b/>
                <w:bCs/>
                <w:color w:val="auto"/>
                <w:kern w:val="2"/>
                <w:sz w:val="24"/>
                <w:szCs w:val="24"/>
                <w:highlight w:val="none"/>
                <w:lang w:eastAsia="zh-CN"/>
              </w:rPr>
              <w:t>方案（</w:t>
            </w:r>
            <w:r>
              <w:rPr>
                <w:rFonts w:hint="eastAsia" w:ascii="宋体" w:hAnsi="宋体" w:eastAsia="宋体" w:cs="宋体"/>
                <w:b/>
                <w:bCs/>
                <w:color w:val="auto"/>
                <w:kern w:val="2"/>
                <w:sz w:val="24"/>
                <w:szCs w:val="24"/>
                <w:highlight w:val="none"/>
                <w:lang w:val="en-US" w:eastAsia="zh-CN"/>
              </w:rPr>
              <w:t>0-4分</w:t>
            </w:r>
            <w:r>
              <w:rPr>
                <w:rFonts w:hint="eastAsia" w:ascii="宋体" w:hAnsi="宋体" w:eastAsia="宋体" w:cs="宋体"/>
                <w:b/>
                <w:bCs/>
                <w:color w:val="auto"/>
                <w:kern w:val="2"/>
                <w:sz w:val="24"/>
                <w:szCs w:val="24"/>
                <w:highlight w:val="none"/>
                <w:lang w:eastAsia="zh-CN"/>
              </w:rPr>
              <w:t>）</w:t>
            </w:r>
          </w:p>
          <w:p w14:paraId="5F8C5DCF">
            <w:pPr>
              <w:numPr>
                <w:ilvl w:val="0"/>
                <w:numId w:val="0"/>
              </w:numPr>
              <w:ind w:leftChars="0"/>
              <w:rPr>
                <w:rFonts w:hint="eastAsia" w:ascii="宋体" w:hAnsi="宋体" w:eastAsia="宋体" w:cs="宋体"/>
                <w:b/>
                <w:color w:val="auto"/>
                <w:kern w:val="2"/>
                <w:sz w:val="24"/>
                <w:szCs w:val="24"/>
                <w:highlight w:val="none"/>
                <w:lang w:eastAsia="zh-CN"/>
              </w:rPr>
            </w:pPr>
            <w:r>
              <w:rPr>
                <w:rFonts w:hint="eastAsia" w:ascii="宋体" w:hAnsi="宋体" w:eastAsia="宋体" w:cs="宋体"/>
                <w:b/>
                <w:color w:val="auto"/>
                <w:kern w:val="2"/>
                <w:sz w:val="24"/>
                <w:szCs w:val="24"/>
                <w:highlight w:val="none"/>
                <w:lang w:val="en-US" w:eastAsia="zh-CN"/>
              </w:rPr>
              <w:t>7.3</w:t>
            </w:r>
            <w:r>
              <w:rPr>
                <w:rFonts w:hint="eastAsia" w:ascii="宋体" w:hAnsi="宋体" w:eastAsia="宋体" w:cs="宋体"/>
                <w:b/>
                <w:color w:val="auto"/>
                <w:kern w:val="2"/>
                <w:sz w:val="24"/>
                <w:szCs w:val="24"/>
                <w:highlight w:val="none"/>
              </w:rPr>
              <w:t>平台试算服务</w:t>
            </w:r>
            <w:r>
              <w:rPr>
                <w:rFonts w:hint="eastAsia" w:ascii="宋体" w:hAnsi="宋体" w:eastAsia="宋体" w:cs="宋体"/>
                <w:b/>
                <w:color w:val="auto"/>
                <w:kern w:val="2"/>
                <w:sz w:val="24"/>
                <w:szCs w:val="24"/>
                <w:highlight w:val="none"/>
                <w:lang w:eastAsia="zh-CN"/>
              </w:rPr>
              <w:t>方案（</w:t>
            </w:r>
            <w:r>
              <w:rPr>
                <w:rFonts w:hint="eastAsia" w:ascii="宋体" w:hAnsi="宋体" w:eastAsia="宋体" w:cs="宋体"/>
                <w:b/>
                <w:color w:val="auto"/>
                <w:kern w:val="2"/>
                <w:sz w:val="24"/>
                <w:szCs w:val="24"/>
                <w:highlight w:val="none"/>
                <w:lang w:val="en-US" w:eastAsia="zh-CN"/>
              </w:rPr>
              <w:t>0-4分</w:t>
            </w:r>
            <w:r>
              <w:rPr>
                <w:rFonts w:hint="eastAsia" w:ascii="宋体" w:hAnsi="宋体" w:eastAsia="宋体" w:cs="宋体"/>
                <w:b/>
                <w:color w:val="auto"/>
                <w:kern w:val="2"/>
                <w:sz w:val="24"/>
                <w:szCs w:val="24"/>
                <w:highlight w:val="none"/>
                <w:lang w:eastAsia="zh-CN"/>
              </w:rPr>
              <w:t>）</w:t>
            </w:r>
          </w:p>
          <w:p w14:paraId="6DA54EC6">
            <w:pPr>
              <w:pStyle w:val="28"/>
              <w:numPr>
                <w:ilvl w:val="0"/>
                <w:numId w:val="0"/>
              </w:numPr>
              <w:ind w:leftChars="0"/>
              <w:rPr>
                <w:rFonts w:hint="eastAsia"/>
                <w:color w:val="auto"/>
                <w:sz w:val="24"/>
                <w:szCs w:val="24"/>
                <w:highlight w:val="none"/>
                <w:lang w:val="en-US" w:eastAsia="zh-CN"/>
              </w:rPr>
            </w:pPr>
            <w:r>
              <w:rPr>
                <w:rFonts w:hint="eastAsia" w:ascii="宋体" w:hAnsi="宋体" w:cs="宋体"/>
                <w:b/>
                <w:color w:val="auto"/>
                <w:kern w:val="2"/>
                <w:sz w:val="24"/>
                <w:szCs w:val="24"/>
                <w:highlight w:val="none"/>
                <w:lang w:val="en-US" w:eastAsia="zh-CN"/>
              </w:rPr>
              <w:t>7.4</w:t>
            </w:r>
            <w:r>
              <w:rPr>
                <w:rFonts w:hint="eastAsia" w:ascii="宋体" w:hAnsi="宋体" w:eastAsia="宋体" w:cs="宋体"/>
                <w:b/>
                <w:color w:val="auto"/>
                <w:kern w:val="2"/>
                <w:sz w:val="24"/>
                <w:szCs w:val="24"/>
                <w:highlight w:val="none"/>
              </w:rPr>
              <w:t>称台及过车较准</w:t>
            </w:r>
            <w:r>
              <w:rPr>
                <w:rFonts w:hint="eastAsia" w:ascii="宋体" w:hAnsi="宋体" w:eastAsia="宋体" w:cs="宋体"/>
                <w:b/>
                <w:color w:val="auto"/>
                <w:kern w:val="2"/>
                <w:sz w:val="24"/>
                <w:szCs w:val="24"/>
                <w:highlight w:val="none"/>
                <w:lang w:eastAsia="zh-CN"/>
              </w:rPr>
              <w:t>（</w:t>
            </w:r>
            <w:r>
              <w:rPr>
                <w:rFonts w:hint="eastAsia" w:ascii="宋体" w:hAnsi="宋体" w:eastAsia="宋体" w:cs="宋体"/>
                <w:b/>
                <w:color w:val="auto"/>
                <w:kern w:val="2"/>
                <w:sz w:val="24"/>
                <w:szCs w:val="24"/>
                <w:highlight w:val="none"/>
                <w:lang w:val="en-US" w:eastAsia="zh-CN"/>
              </w:rPr>
              <w:t>0-1</w:t>
            </w:r>
            <w:r>
              <w:rPr>
                <w:rFonts w:hint="eastAsia" w:ascii="宋体" w:hAnsi="宋体" w:cs="宋体"/>
                <w:b/>
                <w:color w:val="auto"/>
                <w:kern w:val="2"/>
                <w:sz w:val="24"/>
                <w:szCs w:val="24"/>
                <w:highlight w:val="none"/>
                <w:lang w:val="en-US" w:eastAsia="zh-CN"/>
              </w:rPr>
              <w:t>0</w:t>
            </w:r>
            <w:r>
              <w:rPr>
                <w:rFonts w:hint="eastAsia" w:ascii="宋体" w:hAnsi="宋体" w:eastAsia="宋体" w:cs="宋体"/>
                <w:b/>
                <w:color w:val="auto"/>
                <w:kern w:val="2"/>
                <w:sz w:val="24"/>
                <w:szCs w:val="24"/>
                <w:highlight w:val="none"/>
                <w:lang w:val="en-US" w:eastAsia="zh-CN"/>
              </w:rPr>
              <w:t>分</w:t>
            </w:r>
            <w:r>
              <w:rPr>
                <w:rFonts w:hint="eastAsia" w:ascii="宋体" w:hAnsi="宋体" w:eastAsia="宋体" w:cs="宋体"/>
                <w:b/>
                <w:color w:val="auto"/>
                <w:kern w:val="2"/>
                <w:sz w:val="24"/>
                <w:szCs w:val="24"/>
                <w:highlight w:val="none"/>
                <w:lang w:eastAsia="zh-CN"/>
              </w:rPr>
              <w:t>）</w:t>
            </w:r>
          </w:p>
          <w:p w14:paraId="770626BE">
            <w:pPr>
              <w:numPr>
                <w:ilvl w:val="0"/>
                <w:numId w:val="0"/>
              </w:numPr>
              <w:ind w:left="400" w:leftChars="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①</w:t>
            </w:r>
            <w:r>
              <w:rPr>
                <w:rFonts w:hint="eastAsia" w:ascii="宋体" w:hAnsi="宋体" w:eastAsia="宋体" w:cs="宋体"/>
                <w:color w:val="auto"/>
                <w:kern w:val="2"/>
                <w:sz w:val="24"/>
                <w:szCs w:val="24"/>
                <w:highlight w:val="none"/>
              </w:rPr>
              <w:t>动态称重系统校准</w:t>
            </w:r>
            <w:r>
              <w:rPr>
                <w:rFonts w:hint="eastAsia" w:ascii="宋体" w:hAnsi="宋体" w:eastAsia="宋体" w:cs="宋体"/>
                <w:color w:val="auto"/>
                <w:kern w:val="2"/>
                <w:sz w:val="24"/>
                <w:szCs w:val="24"/>
                <w:highlight w:val="none"/>
                <w:lang w:eastAsia="zh-CN"/>
              </w:rPr>
              <w:t>方案（</w:t>
            </w:r>
            <w:r>
              <w:rPr>
                <w:rFonts w:hint="eastAsia" w:ascii="宋体" w:hAnsi="宋体" w:eastAsia="宋体" w:cs="宋体"/>
                <w:color w:val="auto"/>
                <w:kern w:val="2"/>
                <w:sz w:val="24"/>
                <w:szCs w:val="24"/>
                <w:highlight w:val="none"/>
                <w:lang w:val="en-US" w:eastAsia="zh-CN"/>
              </w:rPr>
              <w:t>0-4分</w:t>
            </w:r>
            <w:r>
              <w:rPr>
                <w:rFonts w:hint="eastAsia" w:ascii="宋体" w:hAnsi="宋体" w:eastAsia="宋体" w:cs="宋体"/>
                <w:color w:val="auto"/>
                <w:kern w:val="2"/>
                <w:sz w:val="24"/>
                <w:szCs w:val="24"/>
                <w:highlight w:val="none"/>
                <w:lang w:eastAsia="zh-CN"/>
              </w:rPr>
              <w:t>）</w:t>
            </w:r>
          </w:p>
          <w:p w14:paraId="5E068D1F">
            <w:pPr>
              <w:pStyle w:val="28"/>
              <w:numPr>
                <w:ilvl w:val="0"/>
                <w:numId w:val="0"/>
              </w:numPr>
              <w:ind w:left="400" w:leftChars="0"/>
              <w:rPr>
                <w:rFonts w:hint="default" w:eastAsiaTheme="minorEastAsia"/>
                <w:color w:val="auto"/>
                <w:highlight w:val="none"/>
                <w:lang w:val="en-US" w:eastAsia="zh-CN"/>
              </w:rPr>
            </w:pPr>
            <w:r>
              <w:rPr>
                <w:rFonts w:hint="eastAsia" w:ascii="宋体" w:hAnsi="宋体" w:eastAsia="宋体" w:cs="宋体"/>
                <w:color w:val="auto"/>
                <w:kern w:val="2"/>
                <w:sz w:val="24"/>
                <w:szCs w:val="24"/>
                <w:highlight w:val="none"/>
                <w:lang w:val="en-US" w:eastAsia="zh-CN"/>
              </w:rPr>
              <w:t>②</w:t>
            </w:r>
            <w:r>
              <w:rPr>
                <w:rFonts w:hint="eastAsia" w:ascii="宋体" w:hAnsi="宋体" w:eastAsia="宋体" w:cs="宋体"/>
                <w:color w:val="auto"/>
                <w:kern w:val="2"/>
                <w:sz w:val="24"/>
                <w:szCs w:val="24"/>
                <w:highlight w:val="none"/>
              </w:rPr>
              <w:t>检定封道安全设施</w:t>
            </w:r>
            <w:r>
              <w:rPr>
                <w:rFonts w:hint="eastAsia" w:ascii="宋体" w:hAnsi="宋体" w:eastAsia="宋体" w:cs="宋体"/>
                <w:color w:val="auto"/>
                <w:kern w:val="2"/>
                <w:sz w:val="24"/>
                <w:szCs w:val="24"/>
                <w:highlight w:val="none"/>
                <w:lang w:eastAsia="zh-CN"/>
              </w:rPr>
              <w:t>方案</w:t>
            </w:r>
            <w:r>
              <w:rPr>
                <w:rFonts w:hint="eastAsia" w:ascii="宋体" w:hAnsi="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eastAsia="zh-CN"/>
              </w:rPr>
              <w:t>包括人员安排（</w:t>
            </w:r>
            <w:r>
              <w:rPr>
                <w:rFonts w:hint="eastAsia" w:ascii="宋体" w:hAnsi="宋体" w:eastAsia="宋体" w:cs="宋体"/>
                <w:color w:val="auto"/>
                <w:kern w:val="2"/>
                <w:sz w:val="24"/>
                <w:szCs w:val="24"/>
                <w:highlight w:val="none"/>
                <w:lang w:val="en-US" w:eastAsia="zh-CN"/>
              </w:rPr>
              <w:t>0-</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w:t>
            </w:r>
            <w:r>
              <w:rPr>
                <w:rFonts w:hint="eastAsia" w:ascii="宋体" w:hAnsi="宋体" w:eastAsia="宋体" w:cs="宋体"/>
                <w:color w:val="auto"/>
                <w:kern w:val="2"/>
                <w:sz w:val="24"/>
                <w:szCs w:val="24"/>
                <w:highlight w:val="none"/>
                <w:lang w:eastAsia="zh-CN"/>
              </w:rPr>
              <w:t>）、交通保通方</w:t>
            </w:r>
            <w:r>
              <w:rPr>
                <w:rFonts w:hint="eastAsia" w:ascii="宋体" w:hAnsi="宋体" w:cs="宋体"/>
                <w:color w:val="auto"/>
                <w:kern w:val="2"/>
                <w:sz w:val="24"/>
                <w:szCs w:val="24"/>
                <w:highlight w:val="none"/>
                <w:lang w:val="en-US" w:eastAsia="zh-CN"/>
              </w:rPr>
              <w:t>案</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0-</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w:t>
            </w:r>
            <w:r>
              <w:rPr>
                <w:rFonts w:hint="eastAsia" w:ascii="宋体" w:hAnsi="宋体" w:eastAsia="宋体" w:cs="宋体"/>
                <w:color w:val="auto"/>
                <w:kern w:val="2"/>
                <w:sz w:val="24"/>
                <w:szCs w:val="24"/>
                <w:highlight w:val="none"/>
                <w:lang w:eastAsia="zh-CN"/>
              </w:rPr>
              <w:t>）</w:t>
            </w:r>
          </w:p>
        </w:tc>
        <w:tc>
          <w:tcPr>
            <w:tcW w:w="783" w:type="dxa"/>
            <w:tcBorders>
              <w:top w:val="single" w:color="auto" w:sz="4" w:space="0"/>
              <w:right w:val="single" w:color="auto" w:sz="4" w:space="0"/>
            </w:tcBorders>
            <w:noWrap w:val="0"/>
            <w:vAlign w:val="center"/>
          </w:tcPr>
          <w:p w14:paraId="2A5E3044">
            <w:pPr>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40</w:t>
            </w:r>
          </w:p>
        </w:tc>
        <w:tc>
          <w:tcPr>
            <w:tcW w:w="696" w:type="dxa"/>
            <w:tcBorders>
              <w:top w:val="single" w:color="auto" w:sz="4" w:space="0"/>
              <w:right w:val="single" w:color="auto" w:sz="4" w:space="0"/>
            </w:tcBorders>
            <w:noWrap w:val="0"/>
            <w:vAlign w:val="center"/>
          </w:tcPr>
          <w:p w14:paraId="4CED7992">
            <w:pPr>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主观分</w:t>
            </w:r>
          </w:p>
        </w:tc>
      </w:tr>
      <w:tr w14:paraId="04387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jc w:val="center"/>
        </w:trPr>
        <w:tc>
          <w:tcPr>
            <w:tcW w:w="627" w:type="dxa"/>
            <w:tcBorders>
              <w:top w:val="single" w:color="auto" w:sz="4" w:space="0"/>
              <w:left w:val="single" w:color="auto" w:sz="4" w:space="0"/>
            </w:tcBorders>
            <w:noWrap w:val="0"/>
            <w:vAlign w:val="center"/>
          </w:tcPr>
          <w:p w14:paraId="0448C650">
            <w:pPr>
              <w:widowControl/>
              <w:kinsoku w:val="0"/>
              <w:autoSpaceDE w:val="0"/>
              <w:autoSpaceDN w:val="0"/>
              <w:adjustRightInd w:val="0"/>
              <w:snapToGrid w:val="0"/>
              <w:spacing w:line="360" w:lineRule="auto"/>
              <w:jc w:val="center"/>
              <w:textAlignment w:val="baseline"/>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8</w:t>
            </w:r>
          </w:p>
        </w:tc>
        <w:tc>
          <w:tcPr>
            <w:tcW w:w="1325" w:type="dxa"/>
            <w:tcBorders>
              <w:top w:val="single" w:color="auto" w:sz="4" w:space="0"/>
            </w:tcBorders>
            <w:noWrap w:val="0"/>
            <w:vAlign w:val="center"/>
          </w:tcPr>
          <w:p w14:paraId="224D763D">
            <w:pPr>
              <w:jc w:val="center"/>
              <w:rPr>
                <w:rFonts w:hint="eastAsia" w:ascii="宋体" w:hAnsi="宋体" w:eastAsia="宋体" w:cs="宋体"/>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项目保证措施</w:t>
            </w:r>
          </w:p>
        </w:tc>
        <w:tc>
          <w:tcPr>
            <w:tcW w:w="7338" w:type="dxa"/>
            <w:tcBorders>
              <w:top w:val="single" w:color="auto" w:sz="4" w:space="0"/>
            </w:tcBorders>
            <w:noWrap w:val="0"/>
            <w:vAlign w:val="center"/>
          </w:tcPr>
          <w:p w14:paraId="0A3C7859">
            <w:pPr>
              <w:widowControl/>
              <w:kinsoku w:val="0"/>
              <w:autoSpaceDE w:val="0"/>
              <w:autoSpaceDN w:val="0"/>
              <w:adjustRightInd w:val="0"/>
              <w:snapToGrid w:val="0"/>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投标人针对本项目质量保证措施</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0-4分</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安全保障措施</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0-4分）</w:t>
            </w:r>
            <w:r>
              <w:rPr>
                <w:rFonts w:hint="eastAsia" w:ascii="宋体" w:hAnsi="宋体" w:eastAsia="宋体" w:cs="宋体"/>
                <w:color w:val="auto"/>
                <w:kern w:val="2"/>
                <w:sz w:val="24"/>
                <w:szCs w:val="24"/>
                <w:highlight w:val="none"/>
              </w:rPr>
              <w:t>是否科学性、合理性和可操作性打分。</w:t>
            </w:r>
          </w:p>
        </w:tc>
        <w:tc>
          <w:tcPr>
            <w:tcW w:w="783" w:type="dxa"/>
            <w:tcBorders>
              <w:top w:val="single" w:color="auto" w:sz="4" w:space="0"/>
              <w:right w:val="single" w:color="auto" w:sz="4" w:space="0"/>
            </w:tcBorders>
            <w:noWrap w:val="0"/>
            <w:vAlign w:val="center"/>
          </w:tcPr>
          <w:p w14:paraId="70230A95">
            <w:pPr>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8</w:t>
            </w:r>
          </w:p>
        </w:tc>
        <w:tc>
          <w:tcPr>
            <w:tcW w:w="696" w:type="dxa"/>
            <w:tcBorders>
              <w:top w:val="single" w:color="auto" w:sz="4" w:space="0"/>
              <w:right w:val="single" w:color="auto" w:sz="4" w:space="0"/>
            </w:tcBorders>
            <w:noWrap w:val="0"/>
            <w:vAlign w:val="center"/>
          </w:tcPr>
          <w:p w14:paraId="0A477E67">
            <w:pPr>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主观分</w:t>
            </w:r>
          </w:p>
        </w:tc>
      </w:tr>
      <w:tr w14:paraId="0E159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jc w:val="center"/>
        </w:trPr>
        <w:tc>
          <w:tcPr>
            <w:tcW w:w="627" w:type="dxa"/>
            <w:tcBorders>
              <w:top w:val="single" w:color="auto" w:sz="4" w:space="0"/>
              <w:left w:val="single" w:color="auto" w:sz="4" w:space="0"/>
            </w:tcBorders>
            <w:noWrap w:val="0"/>
            <w:vAlign w:val="center"/>
          </w:tcPr>
          <w:p w14:paraId="0E1A0D48">
            <w:pPr>
              <w:widowControl/>
              <w:kinsoku w:val="0"/>
              <w:autoSpaceDE w:val="0"/>
              <w:autoSpaceDN w:val="0"/>
              <w:adjustRightInd w:val="0"/>
              <w:snapToGrid w:val="0"/>
              <w:spacing w:line="360" w:lineRule="auto"/>
              <w:jc w:val="center"/>
              <w:textAlignment w:val="baseline"/>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9</w:t>
            </w:r>
          </w:p>
        </w:tc>
        <w:tc>
          <w:tcPr>
            <w:tcW w:w="1325" w:type="dxa"/>
            <w:tcBorders>
              <w:top w:val="single" w:color="auto" w:sz="4" w:space="0"/>
            </w:tcBorders>
            <w:noWrap w:val="0"/>
            <w:vAlign w:val="center"/>
          </w:tcPr>
          <w:p w14:paraId="550CE05C">
            <w:pPr>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应急方案</w:t>
            </w:r>
          </w:p>
        </w:tc>
        <w:tc>
          <w:tcPr>
            <w:tcW w:w="7338" w:type="dxa"/>
            <w:tcBorders>
              <w:top w:val="single" w:color="auto" w:sz="4" w:space="0"/>
            </w:tcBorders>
            <w:noWrap w:val="0"/>
            <w:vAlign w:val="center"/>
          </w:tcPr>
          <w:p w14:paraId="11530AE6">
            <w:pPr>
              <w:widowControl/>
              <w:kinsoku w:val="0"/>
              <w:autoSpaceDE w:val="0"/>
              <w:autoSpaceDN w:val="0"/>
              <w:adjustRightInd w:val="0"/>
              <w:snapToGrid w:val="0"/>
              <w:textAlignment w:val="baseline"/>
              <w:rPr>
                <w:rFonts w:hint="eastAsia"/>
                <w:color w:val="auto"/>
                <w:highlight w:val="none"/>
              </w:rPr>
            </w:pPr>
            <w:r>
              <w:rPr>
                <w:rFonts w:hint="eastAsia" w:ascii="宋体" w:hAnsi="宋体" w:eastAsia="宋体" w:cs="宋体"/>
                <w:color w:val="auto"/>
                <w:kern w:val="2"/>
                <w:sz w:val="24"/>
                <w:szCs w:val="24"/>
                <w:highlight w:val="none"/>
              </w:rPr>
              <w:t>投标人针对本项目的突发应急事件（停电、设备故障应急处理等）的处理预案是否合理、及时有效</w:t>
            </w:r>
            <w:r>
              <w:rPr>
                <w:rFonts w:hint="eastAsia" w:ascii="宋体" w:hAnsi="宋体" w:eastAsia="宋体" w:cs="宋体"/>
                <w:color w:val="auto"/>
                <w:kern w:val="2"/>
                <w:sz w:val="24"/>
                <w:szCs w:val="24"/>
                <w:highlight w:val="none"/>
                <w:lang w:val="en-US" w:eastAsia="zh-CN"/>
              </w:rPr>
              <w:t>打分（0-4分）</w:t>
            </w:r>
            <w:r>
              <w:rPr>
                <w:rFonts w:hint="eastAsia" w:ascii="宋体" w:hAnsi="宋体" w:eastAsia="宋体" w:cs="宋体"/>
                <w:color w:val="auto"/>
                <w:kern w:val="2"/>
                <w:sz w:val="24"/>
                <w:szCs w:val="24"/>
                <w:highlight w:val="none"/>
              </w:rPr>
              <w:t>。</w:t>
            </w:r>
          </w:p>
        </w:tc>
        <w:tc>
          <w:tcPr>
            <w:tcW w:w="783" w:type="dxa"/>
            <w:tcBorders>
              <w:top w:val="single" w:color="auto" w:sz="4" w:space="0"/>
              <w:right w:val="single" w:color="auto" w:sz="4" w:space="0"/>
            </w:tcBorders>
            <w:noWrap w:val="0"/>
            <w:vAlign w:val="center"/>
          </w:tcPr>
          <w:p w14:paraId="14316DCE">
            <w:pPr>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4</w:t>
            </w:r>
          </w:p>
        </w:tc>
        <w:tc>
          <w:tcPr>
            <w:tcW w:w="696" w:type="dxa"/>
            <w:tcBorders>
              <w:top w:val="single" w:color="auto" w:sz="4" w:space="0"/>
              <w:right w:val="single" w:color="auto" w:sz="4" w:space="0"/>
            </w:tcBorders>
            <w:noWrap w:val="0"/>
            <w:vAlign w:val="center"/>
          </w:tcPr>
          <w:p w14:paraId="5581991A">
            <w:pPr>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主观分</w:t>
            </w:r>
          </w:p>
        </w:tc>
      </w:tr>
      <w:tr w14:paraId="2A8D9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jc w:val="center"/>
        </w:trPr>
        <w:tc>
          <w:tcPr>
            <w:tcW w:w="627" w:type="dxa"/>
            <w:tcBorders>
              <w:left w:val="single" w:color="auto" w:sz="4" w:space="0"/>
            </w:tcBorders>
            <w:noWrap w:val="0"/>
            <w:vAlign w:val="center"/>
          </w:tcPr>
          <w:p w14:paraId="11FEBC19">
            <w:pPr>
              <w:widowControl/>
              <w:kinsoku w:val="0"/>
              <w:autoSpaceDE w:val="0"/>
              <w:autoSpaceDN w:val="0"/>
              <w:adjustRightInd w:val="0"/>
              <w:snapToGrid w:val="0"/>
              <w:spacing w:line="360" w:lineRule="auto"/>
              <w:jc w:val="center"/>
              <w:textAlignment w:val="baseline"/>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10</w:t>
            </w:r>
          </w:p>
        </w:tc>
        <w:tc>
          <w:tcPr>
            <w:tcW w:w="1325" w:type="dxa"/>
            <w:noWrap w:val="0"/>
            <w:vAlign w:val="center"/>
          </w:tcPr>
          <w:p w14:paraId="23CA29DC">
            <w:pPr>
              <w:widowControl/>
              <w:kinsoku w:val="0"/>
              <w:autoSpaceDE w:val="0"/>
              <w:autoSpaceDN w:val="0"/>
              <w:adjustRightInd w:val="0"/>
              <w:snapToGrid w:val="0"/>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项目重点难点分析</w:t>
            </w:r>
          </w:p>
        </w:tc>
        <w:tc>
          <w:tcPr>
            <w:tcW w:w="7338" w:type="dxa"/>
            <w:noWrap w:val="0"/>
            <w:vAlign w:val="center"/>
          </w:tcPr>
          <w:p w14:paraId="30A2E14D">
            <w:pPr>
              <w:widowControl/>
              <w:kinsoku w:val="0"/>
              <w:autoSpaceDE w:val="0"/>
              <w:autoSpaceDN w:val="0"/>
              <w:adjustRightInd w:val="0"/>
              <w:snapToGrid w:val="0"/>
              <w:textAlignment w:val="baseline"/>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针对该项目实施过程中重难点分析</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0-3分</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、重难点</w:t>
            </w:r>
            <w:r>
              <w:rPr>
                <w:rFonts w:hint="eastAsia" w:ascii="宋体" w:hAnsi="宋体" w:eastAsia="宋体" w:cs="宋体"/>
                <w:color w:val="auto"/>
                <w:kern w:val="2"/>
                <w:sz w:val="24"/>
                <w:szCs w:val="24"/>
                <w:highlight w:val="none"/>
                <w:lang w:eastAsia="zh-CN"/>
              </w:rPr>
              <w:t>解决措施</w:t>
            </w:r>
            <w:r>
              <w:rPr>
                <w:rFonts w:hint="eastAsia" w:ascii="宋体" w:hAnsi="宋体" w:eastAsia="宋体" w:cs="宋体"/>
                <w:color w:val="auto"/>
                <w:kern w:val="2"/>
                <w:sz w:val="24"/>
                <w:szCs w:val="24"/>
                <w:highlight w:val="none"/>
                <w:lang w:val="en-US" w:eastAsia="zh-CN"/>
              </w:rPr>
              <w:t>(0-3分)</w:t>
            </w:r>
            <w:r>
              <w:rPr>
                <w:rFonts w:hint="eastAsia" w:ascii="宋体" w:hAnsi="宋体" w:eastAsia="宋体" w:cs="宋体"/>
                <w:color w:val="auto"/>
                <w:kern w:val="2"/>
                <w:sz w:val="24"/>
                <w:szCs w:val="24"/>
                <w:highlight w:val="none"/>
              </w:rPr>
              <w:t>进行</w:t>
            </w:r>
            <w:r>
              <w:rPr>
                <w:rFonts w:hint="eastAsia" w:ascii="宋体" w:hAnsi="宋体" w:eastAsia="宋体" w:cs="宋体"/>
                <w:color w:val="auto"/>
                <w:kern w:val="2"/>
                <w:sz w:val="24"/>
                <w:szCs w:val="24"/>
                <w:highlight w:val="none"/>
                <w:lang w:val="en-US" w:eastAsia="zh-CN"/>
              </w:rPr>
              <w:t>打分。</w:t>
            </w:r>
          </w:p>
        </w:tc>
        <w:tc>
          <w:tcPr>
            <w:tcW w:w="783" w:type="dxa"/>
            <w:tcBorders>
              <w:right w:val="single" w:color="auto" w:sz="4" w:space="0"/>
            </w:tcBorders>
            <w:noWrap w:val="0"/>
            <w:vAlign w:val="center"/>
          </w:tcPr>
          <w:p w14:paraId="5FBF216E">
            <w:pPr>
              <w:widowControl/>
              <w:kinsoku w:val="0"/>
              <w:autoSpaceDE w:val="0"/>
              <w:autoSpaceDN w:val="0"/>
              <w:adjustRightInd w:val="0"/>
              <w:snapToGrid w:val="0"/>
              <w:spacing w:line="360" w:lineRule="auto"/>
              <w:jc w:val="center"/>
              <w:textAlignment w:val="baseline"/>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w:t>
            </w:r>
          </w:p>
        </w:tc>
        <w:tc>
          <w:tcPr>
            <w:tcW w:w="696" w:type="dxa"/>
            <w:tcBorders>
              <w:right w:val="single" w:color="auto" w:sz="4" w:space="0"/>
            </w:tcBorders>
            <w:noWrap w:val="0"/>
            <w:vAlign w:val="center"/>
          </w:tcPr>
          <w:p w14:paraId="26E7EA3F">
            <w:pPr>
              <w:widowControl/>
              <w:kinsoku w:val="0"/>
              <w:autoSpaceDE w:val="0"/>
              <w:autoSpaceDN w:val="0"/>
              <w:adjustRightInd w:val="0"/>
              <w:snapToGrid w:val="0"/>
              <w:spacing w:line="36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主观分</w:t>
            </w:r>
          </w:p>
        </w:tc>
      </w:tr>
      <w:tr w14:paraId="2A539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jc w:val="center"/>
        </w:trPr>
        <w:tc>
          <w:tcPr>
            <w:tcW w:w="627" w:type="dxa"/>
            <w:tcBorders>
              <w:left w:val="single" w:color="auto" w:sz="4" w:space="0"/>
            </w:tcBorders>
            <w:noWrap w:val="0"/>
            <w:vAlign w:val="top"/>
          </w:tcPr>
          <w:p w14:paraId="1CE29A07">
            <w:pPr>
              <w:widowControl/>
              <w:kinsoku w:val="0"/>
              <w:autoSpaceDE w:val="0"/>
              <w:autoSpaceDN w:val="0"/>
              <w:adjustRightInd w:val="0"/>
              <w:snapToGrid w:val="0"/>
              <w:spacing w:line="360" w:lineRule="auto"/>
              <w:jc w:val="both"/>
              <w:textAlignment w:val="baseline"/>
              <w:rPr>
                <w:rFonts w:hint="eastAsia" w:ascii="宋体" w:hAnsi="宋体" w:eastAsia="宋体" w:cs="宋体"/>
                <w:color w:val="auto"/>
                <w:kern w:val="2"/>
                <w:sz w:val="24"/>
                <w:szCs w:val="24"/>
                <w:highlight w:val="none"/>
                <w:lang w:val="en-US" w:eastAsia="zh-CN"/>
              </w:rPr>
            </w:pPr>
          </w:p>
          <w:p w14:paraId="65F7226A">
            <w:pPr>
              <w:widowControl/>
              <w:kinsoku w:val="0"/>
              <w:autoSpaceDE w:val="0"/>
              <w:autoSpaceDN w:val="0"/>
              <w:adjustRightInd w:val="0"/>
              <w:snapToGrid w:val="0"/>
              <w:spacing w:line="360" w:lineRule="auto"/>
              <w:jc w:val="both"/>
              <w:textAlignment w:val="baseline"/>
              <w:rPr>
                <w:rFonts w:hint="eastAsia" w:ascii="宋体" w:hAnsi="宋体" w:eastAsia="宋体" w:cs="宋体"/>
                <w:color w:val="auto"/>
                <w:kern w:val="2"/>
                <w:sz w:val="24"/>
                <w:szCs w:val="24"/>
                <w:highlight w:val="none"/>
                <w:lang w:val="en-US" w:eastAsia="zh-CN"/>
              </w:rPr>
            </w:pPr>
          </w:p>
          <w:p w14:paraId="44553D50">
            <w:pPr>
              <w:widowControl/>
              <w:kinsoku w:val="0"/>
              <w:autoSpaceDE w:val="0"/>
              <w:autoSpaceDN w:val="0"/>
              <w:adjustRightInd w:val="0"/>
              <w:snapToGrid w:val="0"/>
              <w:spacing w:line="360" w:lineRule="auto"/>
              <w:jc w:val="center"/>
              <w:textAlignment w:val="baseline"/>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11</w:t>
            </w:r>
          </w:p>
        </w:tc>
        <w:tc>
          <w:tcPr>
            <w:tcW w:w="1325" w:type="dxa"/>
            <w:noWrap w:val="0"/>
            <w:vAlign w:val="center"/>
          </w:tcPr>
          <w:p w14:paraId="1F81D4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highlight w:val="none"/>
                <w:lang w:val="en-US" w:eastAsia="zh-CN"/>
              </w:rPr>
              <w:t>报价文件</w:t>
            </w:r>
          </w:p>
        </w:tc>
        <w:tc>
          <w:tcPr>
            <w:tcW w:w="7338" w:type="dxa"/>
            <w:noWrap w:val="0"/>
            <w:vAlign w:val="center"/>
          </w:tcPr>
          <w:p w14:paraId="159B6E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价格评分采用低价优先法计算，在有效报价中，满足招标文件要求且投标价格最低的投标报价为评标基准价，其价格分为满分10分。其他供应商的价格分统一按照下列公式计算：</w:t>
            </w:r>
          </w:p>
          <w:p w14:paraId="04A862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投标报价得分=（评标基准价/投标报价）×10%×100。</w:t>
            </w:r>
          </w:p>
          <w:p w14:paraId="73A256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等线" w:cs="宋体"/>
                <w:color w:val="auto"/>
                <w:kern w:val="2"/>
                <w:sz w:val="24"/>
                <w:szCs w:val="24"/>
                <w:highlight w:val="none"/>
                <w:lang w:eastAsia="zh-CN"/>
              </w:rPr>
            </w:pPr>
            <w:r>
              <w:rPr>
                <w:rFonts w:hint="eastAsia" w:ascii="宋体" w:hAnsi="宋体" w:eastAsia="宋体" w:cs="宋体"/>
                <w:color w:val="auto"/>
                <w:sz w:val="24"/>
                <w:highlight w:val="none"/>
                <w:lang w:val="en-US" w:eastAsia="zh-CN"/>
              </w:rPr>
              <w:t>投标人最终得分=商务技术标得分+报价得分，满分为100分</w:t>
            </w:r>
          </w:p>
        </w:tc>
        <w:tc>
          <w:tcPr>
            <w:tcW w:w="783" w:type="dxa"/>
            <w:tcBorders>
              <w:bottom w:val="single" w:color="auto" w:sz="4" w:space="0"/>
              <w:right w:val="single" w:color="auto" w:sz="4" w:space="0"/>
            </w:tcBorders>
            <w:noWrap w:val="0"/>
            <w:vAlign w:val="center"/>
          </w:tcPr>
          <w:p w14:paraId="45BED3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napToGrid w:val="0"/>
                <w:color w:val="auto"/>
                <w:kern w:val="2"/>
                <w:sz w:val="24"/>
                <w:szCs w:val="24"/>
                <w:highlight w:val="none"/>
                <w:lang w:val="en-US"/>
              </w:rPr>
            </w:pPr>
            <w:r>
              <w:rPr>
                <w:rFonts w:hint="eastAsia" w:ascii="宋体" w:hAnsi="宋体" w:eastAsia="宋体" w:cs="宋体"/>
                <w:color w:val="auto"/>
                <w:sz w:val="24"/>
                <w:highlight w:val="none"/>
                <w:lang w:val="en-US" w:eastAsia="zh-CN"/>
              </w:rPr>
              <w:t>10</w:t>
            </w:r>
          </w:p>
        </w:tc>
        <w:tc>
          <w:tcPr>
            <w:tcW w:w="696" w:type="dxa"/>
            <w:tcBorders>
              <w:bottom w:val="single" w:color="auto" w:sz="4" w:space="0"/>
              <w:right w:val="single" w:color="auto" w:sz="4" w:space="0"/>
            </w:tcBorders>
            <w:noWrap w:val="0"/>
            <w:vAlign w:val="center"/>
          </w:tcPr>
          <w:p w14:paraId="643052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价格分</w:t>
            </w:r>
          </w:p>
        </w:tc>
      </w:tr>
    </w:tbl>
    <w:p w14:paraId="223B44AB">
      <w:pPr>
        <w:rPr>
          <w:color w:val="auto"/>
          <w:highlight w:val="none"/>
        </w:rPr>
      </w:pPr>
    </w:p>
    <w:p w14:paraId="71082EDA">
      <w:pPr>
        <w:keepNext w:val="0"/>
        <w:keepLines w:val="0"/>
        <w:pageBreakBefore w:val="0"/>
        <w:widowControl/>
        <w:kinsoku/>
        <w:wordWrap/>
        <w:overflowPunct/>
        <w:topLinePunct w:val="0"/>
        <w:autoSpaceDE/>
        <w:autoSpaceDN/>
        <w:bidi w:val="0"/>
        <w:adjustRightInd/>
        <w:snapToGrid w:val="0"/>
        <w:spacing w:line="360" w:lineRule="auto"/>
        <w:textAlignment w:val="auto"/>
        <w:outlineLvl w:val="1"/>
        <w:rPr>
          <w:rFonts w:hint="default" w:asciiTheme="minorEastAsia" w:hAnsiTheme="minorEastAsia" w:eastAsiaTheme="minorEastAsia" w:cstheme="minorEastAsia"/>
          <w:b/>
          <w:color w:val="auto"/>
          <w:sz w:val="28"/>
          <w:szCs w:val="28"/>
          <w:highlight w:val="none"/>
        </w:rPr>
      </w:pPr>
      <w:r>
        <w:rPr>
          <w:rFonts w:asciiTheme="minorEastAsia" w:hAnsiTheme="minorEastAsia" w:eastAsiaTheme="minorEastAsia" w:cstheme="minorEastAsia"/>
          <w:b/>
          <w:color w:val="auto"/>
          <w:sz w:val="28"/>
          <w:szCs w:val="28"/>
          <w:highlight w:val="none"/>
        </w:rPr>
        <w:t>一、评标方法</w:t>
      </w:r>
    </w:p>
    <w:p w14:paraId="2A4A6325">
      <w:pPr>
        <w:spacing w:line="360" w:lineRule="auto"/>
        <w:ind w:firstLine="472" w:firstLineChars="196"/>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b/>
          <w:color w:val="auto"/>
          <w:kern w:val="0"/>
          <w:sz w:val="24"/>
          <w:szCs w:val="24"/>
          <w:highlight w:val="none"/>
        </w:rPr>
        <w:t>1.本项目采用综合评分法。</w:t>
      </w:r>
      <w:r>
        <w:rPr>
          <w:rFonts w:asciiTheme="minorEastAsia" w:hAnsiTheme="minorEastAsia" w:eastAsiaTheme="minorEastAsia" w:cstheme="minorEastAsia"/>
          <w:color w:val="auto"/>
          <w:kern w:val="0"/>
          <w:sz w:val="24"/>
          <w:szCs w:val="24"/>
          <w:highlight w:val="none"/>
        </w:rPr>
        <w:t>综合评分法，是指投标文件满足招标文件全部实质性要求，且按照评审因素的量化指标评审得分最高的投标人为中标候选人的评标方法。</w:t>
      </w:r>
    </w:p>
    <w:p w14:paraId="001BA471">
      <w:pPr>
        <w:spacing w:line="360" w:lineRule="auto"/>
        <w:outlineLvl w:val="1"/>
        <w:rPr>
          <w:rFonts w:hint="default" w:asciiTheme="minorEastAsia" w:hAnsiTheme="minorEastAsia" w:eastAsiaTheme="minorEastAsia" w:cstheme="minorEastAsia"/>
          <w:color w:val="auto"/>
          <w:kern w:val="0"/>
          <w:sz w:val="28"/>
          <w:szCs w:val="28"/>
          <w:highlight w:val="none"/>
        </w:rPr>
      </w:pPr>
      <w:r>
        <w:rPr>
          <w:rFonts w:asciiTheme="minorEastAsia" w:hAnsiTheme="minorEastAsia" w:eastAsiaTheme="minorEastAsia" w:cstheme="minorEastAsia"/>
          <w:b/>
          <w:color w:val="auto"/>
          <w:sz w:val="28"/>
          <w:szCs w:val="28"/>
          <w:highlight w:val="none"/>
        </w:rPr>
        <w:t>二、评标标准</w:t>
      </w:r>
    </w:p>
    <w:p w14:paraId="61402B6B">
      <w:pPr>
        <w:adjustRightInd w:val="0"/>
        <w:spacing w:line="360" w:lineRule="auto"/>
        <w:ind w:firstLine="472" w:firstLineChars="196"/>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2.评标标准：</w:t>
      </w:r>
      <w:r>
        <w:rPr>
          <w:rFonts w:asciiTheme="minorEastAsia" w:hAnsiTheme="minorEastAsia" w:eastAsiaTheme="minorEastAsia" w:cstheme="minorEastAsia"/>
          <w:color w:val="auto"/>
          <w:kern w:val="0"/>
          <w:sz w:val="24"/>
          <w:szCs w:val="24"/>
          <w:highlight w:val="none"/>
        </w:rPr>
        <w:t>见评标办法前附表。</w:t>
      </w:r>
    </w:p>
    <w:p w14:paraId="457D468A">
      <w:pPr>
        <w:adjustRightInd w:val="0"/>
        <w:spacing w:line="360" w:lineRule="auto"/>
        <w:outlineLvl w:val="1"/>
        <w:rPr>
          <w:rFonts w:hint="default" w:asciiTheme="minorEastAsia" w:hAnsiTheme="minorEastAsia" w:eastAsiaTheme="minorEastAsia" w:cstheme="minorEastAsia"/>
          <w:b/>
          <w:color w:val="auto"/>
          <w:sz w:val="28"/>
          <w:szCs w:val="28"/>
          <w:highlight w:val="none"/>
        </w:rPr>
      </w:pPr>
      <w:r>
        <w:rPr>
          <w:rFonts w:asciiTheme="minorEastAsia" w:hAnsiTheme="minorEastAsia" w:eastAsiaTheme="minorEastAsia" w:cstheme="minorEastAsia"/>
          <w:b/>
          <w:color w:val="auto"/>
          <w:sz w:val="28"/>
          <w:szCs w:val="28"/>
          <w:highlight w:val="none"/>
        </w:rPr>
        <w:t>三、评标程序</w:t>
      </w:r>
    </w:p>
    <w:p w14:paraId="1B577EBB">
      <w:pPr>
        <w:adjustRightInd w:val="0"/>
        <w:spacing w:line="360" w:lineRule="auto"/>
        <w:ind w:firstLine="472" w:firstLineChars="196"/>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b/>
          <w:color w:val="auto"/>
          <w:kern w:val="0"/>
          <w:sz w:val="24"/>
          <w:szCs w:val="24"/>
          <w:highlight w:val="none"/>
        </w:rPr>
        <w:t>3.1 符合性审查。</w:t>
      </w:r>
      <w:r>
        <w:rPr>
          <w:rFonts w:asciiTheme="minorEastAsia" w:hAnsiTheme="minorEastAsia" w:eastAsiaTheme="minorEastAsia" w:cstheme="minorEastAsia"/>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34354A3E">
      <w:pPr>
        <w:adjustRightInd w:val="0"/>
        <w:spacing w:line="360" w:lineRule="auto"/>
        <w:ind w:firstLine="472" w:firstLineChars="196"/>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b/>
          <w:color w:val="auto"/>
          <w:kern w:val="0"/>
          <w:sz w:val="24"/>
          <w:szCs w:val="24"/>
          <w:highlight w:val="none"/>
        </w:rPr>
        <w:t>3.2 比较与评价。</w:t>
      </w:r>
      <w:r>
        <w:rPr>
          <w:rFonts w:asciiTheme="minorEastAsia" w:hAnsiTheme="minorEastAsia" w:eastAsiaTheme="minorEastAsia" w:cstheme="minorEastAsia"/>
          <w:color w:val="auto"/>
          <w:kern w:val="0"/>
          <w:sz w:val="24"/>
          <w:szCs w:val="24"/>
          <w:highlight w:val="none"/>
        </w:rPr>
        <w:t>评标委员会应当按照招标文件中规定的评标方法和标准，对符合性审查合格的投标文件进行商务和技术评估，综合比较与评价。</w:t>
      </w:r>
    </w:p>
    <w:p w14:paraId="7FCD8E6B">
      <w:pPr>
        <w:adjustRightInd w:val="0"/>
        <w:spacing w:line="360" w:lineRule="auto"/>
        <w:ind w:firstLine="472" w:firstLineChars="196"/>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b/>
          <w:color w:val="auto"/>
          <w:kern w:val="0"/>
          <w:sz w:val="24"/>
          <w:szCs w:val="24"/>
          <w:highlight w:val="none"/>
        </w:rPr>
        <w:t>3.3 汇总商务技术得分。</w:t>
      </w:r>
      <w:r>
        <w:rPr>
          <w:rFonts w:asciiTheme="minorEastAsia" w:hAnsiTheme="minorEastAsia" w:eastAsiaTheme="minorEastAsia" w:cstheme="minorEastAsia"/>
          <w:color w:val="auto"/>
          <w:kern w:val="0"/>
          <w:sz w:val="24"/>
          <w:szCs w:val="24"/>
          <w:highlight w:val="none"/>
        </w:rPr>
        <w:t>评标委员会各成员应当独立对每个投标人的商务和技术文件进行评价，汇总各评委打分的算术平均值（小数点后保留二位数），并汇总商务技术得分情况。</w:t>
      </w:r>
    </w:p>
    <w:p w14:paraId="752FBE6D">
      <w:pPr>
        <w:adjustRightInd w:val="0"/>
        <w:spacing w:line="360" w:lineRule="auto"/>
        <w:ind w:firstLine="472" w:firstLineChars="196"/>
        <w:rPr>
          <w:rFonts w:hint="default" w:asciiTheme="minorEastAsia" w:hAnsiTheme="minorEastAsia" w:eastAsiaTheme="minorEastAsia" w:cstheme="minorEastAsia"/>
          <w:b/>
          <w:color w:val="auto"/>
          <w:kern w:val="0"/>
          <w:sz w:val="24"/>
          <w:szCs w:val="24"/>
          <w:highlight w:val="none"/>
        </w:rPr>
      </w:pPr>
      <w:r>
        <w:rPr>
          <w:rFonts w:asciiTheme="minorEastAsia" w:hAnsiTheme="minorEastAsia" w:eastAsiaTheme="minorEastAsia" w:cstheme="minorEastAsia"/>
          <w:b/>
          <w:color w:val="auto"/>
          <w:kern w:val="0"/>
          <w:sz w:val="24"/>
          <w:szCs w:val="24"/>
          <w:highlight w:val="none"/>
        </w:rPr>
        <w:t>3.4 报价评审。</w:t>
      </w:r>
    </w:p>
    <w:p w14:paraId="7E213935">
      <w:pPr>
        <w:adjustRightInd w:val="0"/>
        <w:spacing w:line="360" w:lineRule="auto"/>
        <w:ind w:firstLine="508" w:firstLineChars="212"/>
        <w:rPr>
          <w:rFonts w:hint="default"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3.4.1 投标文件报价出现前后不一致的，按照下列规定修正：</w:t>
      </w:r>
    </w:p>
    <w:p w14:paraId="5058C732">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3.4.1.1 投标文件中开标一览表(报价表)内容与投标文件中相应内容不一致的，以开标一览表(报价表)为准;</w:t>
      </w:r>
    </w:p>
    <w:p w14:paraId="48DD3F4D">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3.4.1.2 大写金额和小写金额不一致的，以大写金额为准;</w:t>
      </w:r>
    </w:p>
    <w:p w14:paraId="3D279905">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3.4.1.3 单价金额小数点或者百分比有明显错位的，以开标一览表的总价为准，并修改单价;</w:t>
      </w:r>
    </w:p>
    <w:p w14:paraId="0244F1E6">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3.4.1.4 总价金额与按单价汇总金额不一致的，以单价金额计算结果为准。</w:t>
      </w:r>
    </w:p>
    <w:p w14:paraId="77796E19">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3.4.1.5 同时出现两种以上不一致的，按照3.4.1规定的顺序修正。修正后的报价按照财政部第87号令 《政府采购货物和服务招标投标管理办法》第五十一条第二款的规定经投标人确认后产生约束力。</w:t>
      </w:r>
    </w:p>
    <w:p w14:paraId="51083879">
      <w:pPr>
        <w:adjustRightInd w:val="0"/>
        <w:snapToGrid w:val="0"/>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3.4.2 投标文件出现不是唯一的、有选择性投标报价的，投标无效。</w:t>
      </w:r>
    </w:p>
    <w:p w14:paraId="46BA179A">
      <w:pPr>
        <w:adjustRightInd w:val="0"/>
        <w:snapToGrid w:val="0"/>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3.4.3 投标报价超过招标文件中规定的预算金额或者最高限价的，投标无效。</w:t>
      </w:r>
    </w:p>
    <w:p w14:paraId="621AEA6C">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44AF0DE">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7E95B16">
      <w:pPr>
        <w:adjustRightInd w:val="0"/>
        <w:spacing w:line="360" w:lineRule="auto"/>
        <w:ind w:firstLine="482"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b/>
          <w:color w:val="auto"/>
          <w:kern w:val="0"/>
          <w:sz w:val="24"/>
          <w:szCs w:val="24"/>
          <w:highlight w:val="none"/>
        </w:rPr>
        <w:t>3.5 排序与推荐。</w:t>
      </w:r>
      <w:r>
        <w:rPr>
          <w:rFonts w:asciiTheme="minorEastAsia" w:hAnsiTheme="minorEastAsia" w:eastAsiaTheme="minorEastAsia" w:cstheme="minorEastAsia"/>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采购人可以确定无异议的第二中标候选人为中标候选人，也可以重新招标。评分过程中采用四舍五入法，并保留小数2位。</w:t>
      </w:r>
    </w:p>
    <w:p w14:paraId="0A36329C">
      <w:pPr>
        <w:adjustRightInd w:val="0"/>
        <w:spacing w:line="360" w:lineRule="auto"/>
        <w:ind w:firstLine="480" w:firstLineChars="200"/>
        <w:rPr>
          <w:rFonts w:hint="default" w:asciiTheme="minorEastAsia" w:hAnsiTheme="minorEastAsia" w:eastAsiaTheme="minorEastAsia" w:cstheme="minorEastAsia"/>
          <w:b/>
          <w:color w:val="auto"/>
          <w:kern w:val="0"/>
          <w:sz w:val="24"/>
          <w:szCs w:val="24"/>
          <w:highlight w:val="none"/>
        </w:rPr>
      </w:pPr>
      <w:r>
        <w:rPr>
          <w:rFonts w:asciiTheme="minorEastAsia" w:hAnsiTheme="minorEastAsia" w:eastAsiaTheme="minorEastAsia" w:cstheme="minorEastAsia"/>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4F499CF">
      <w:pPr>
        <w:adjustRightInd w:val="0"/>
        <w:spacing w:line="360" w:lineRule="auto"/>
        <w:ind w:firstLine="472" w:firstLineChars="196"/>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b/>
          <w:color w:val="auto"/>
          <w:kern w:val="0"/>
          <w:sz w:val="24"/>
          <w:szCs w:val="24"/>
          <w:highlight w:val="none"/>
        </w:rPr>
        <w:t>3.6 编写评标报告。</w:t>
      </w:r>
      <w:r>
        <w:rPr>
          <w:rFonts w:asciiTheme="minorEastAsia" w:hAnsiTheme="minorEastAsia" w:eastAsiaTheme="minorEastAsia" w:cstheme="minorEastAsia"/>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asciiTheme="minorEastAsia" w:hAnsiTheme="minorEastAsia" w:eastAsiaTheme="minorEastAsia" w:cstheme="minorEastAsia"/>
          <w:b/>
          <w:bCs/>
          <w:color w:val="auto"/>
          <w:sz w:val="24"/>
          <w:highlight w:val="none"/>
        </w:rPr>
        <w:t>评标过程中如发现有异常情况，由评委集体讨论决定。</w:t>
      </w:r>
    </w:p>
    <w:p w14:paraId="6FFDA2A9">
      <w:pPr>
        <w:adjustRightInd w:val="0"/>
        <w:spacing w:line="360" w:lineRule="auto"/>
        <w:outlineLvl w:val="1"/>
        <w:rPr>
          <w:rFonts w:hint="default" w:asciiTheme="minorEastAsia" w:hAnsiTheme="minorEastAsia" w:eastAsiaTheme="minorEastAsia" w:cstheme="minorEastAsia"/>
          <w:b/>
          <w:color w:val="auto"/>
          <w:sz w:val="28"/>
          <w:szCs w:val="28"/>
          <w:highlight w:val="none"/>
        </w:rPr>
      </w:pPr>
      <w:r>
        <w:rPr>
          <w:rFonts w:asciiTheme="minorEastAsia" w:hAnsiTheme="minorEastAsia" w:eastAsiaTheme="minorEastAsia" w:cstheme="minorEastAsia"/>
          <w:b/>
          <w:color w:val="auto"/>
          <w:sz w:val="28"/>
          <w:szCs w:val="28"/>
          <w:highlight w:val="none"/>
        </w:rPr>
        <w:t>四、评标中的其他事项</w:t>
      </w:r>
    </w:p>
    <w:p w14:paraId="6D005A92">
      <w:pPr>
        <w:adjustRightInd w:val="0"/>
        <w:spacing w:line="360" w:lineRule="auto"/>
        <w:ind w:firstLine="472" w:firstLineChars="196"/>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b/>
          <w:color w:val="auto"/>
          <w:kern w:val="0"/>
          <w:sz w:val="24"/>
          <w:szCs w:val="24"/>
          <w:highlight w:val="none"/>
        </w:rPr>
        <w:t>4.1 投标人澄清、说明或者补正。</w:t>
      </w:r>
      <w:r>
        <w:rPr>
          <w:rFonts w:asciiTheme="minorEastAsia" w:hAnsiTheme="minorEastAsia" w:eastAsiaTheme="minorEastAsia" w:cstheme="minorEastAsia"/>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A13FDE8">
      <w:pPr>
        <w:adjustRightInd w:val="0"/>
        <w:spacing w:line="360" w:lineRule="auto"/>
        <w:ind w:firstLine="472" w:firstLineChars="196"/>
        <w:rPr>
          <w:rFonts w:hint="default" w:asciiTheme="minorEastAsia" w:hAnsiTheme="minorEastAsia" w:eastAsiaTheme="minorEastAsia" w:cstheme="minorEastAsia"/>
          <w:color w:val="auto"/>
          <w:sz w:val="24"/>
          <w:szCs w:val="21"/>
          <w:highlight w:val="none"/>
        </w:rPr>
      </w:pPr>
      <w:r>
        <w:rPr>
          <w:rFonts w:asciiTheme="minorEastAsia" w:hAnsiTheme="minorEastAsia" w:eastAsiaTheme="minorEastAsia" w:cstheme="minorEastAsia"/>
          <w:b/>
          <w:color w:val="auto"/>
          <w:kern w:val="0"/>
          <w:sz w:val="24"/>
          <w:szCs w:val="24"/>
          <w:highlight w:val="none"/>
        </w:rPr>
        <w:t>4.2投标无效。</w:t>
      </w:r>
      <w:r>
        <w:rPr>
          <w:rFonts w:asciiTheme="minorEastAsia" w:hAnsiTheme="minorEastAsia" w:eastAsiaTheme="minorEastAsia" w:cstheme="minorEastAsia"/>
          <w:color w:val="auto"/>
          <w:sz w:val="24"/>
          <w:szCs w:val="21"/>
          <w:highlight w:val="none"/>
        </w:rPr>
        <w:t>有下列情况之一的，投标无效：</w:t>
      </w:r>
    </w:p>
    <w:p w14:paraId="4CBC4EDA">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4.2.1投标人不具备招标文件中规定的资格要求的（投标人未提供有效的资格文件的，视为投标人不具备招标文件中规定的资格要求）；</w:t>
      </w:r>
    </w:p>
    <w:p w14:paraId="0DA000B8">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4.2.2投标文件未按照招标文件要求签署、盖章的；</w:t>
      </w:r>
    </w:p>
    <w:p w14:paraId="756F6C9B">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14:paraId="1695809C">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4.2.4投标文件含有采购人不能接受的附加条件的；</w:t>
      </w:r>
    </w:p>
    <w:p w14:paraId="390DA489">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4.2.5投标文件中承诺的投标有效期少于招标文件中载明的投标有效期的；</w:t>
      </w:r>
    </w:p>
    <w:p w14:paraId="02729119">
      <w:pPr>
        <w:pageBreakBefore w:val="0"/>
        <w:kinsoku/>
        <w:wordWrap/>
        <w:overflowPunct/>
        <w:topLinePunct w:val="0"/>
        <w:autoSpaceDE/>
        <w:autoSpaceDN/>
        <w:bidi w:val="0"/>
        <w:adjustRightInd w:val="0"/>
        <w:snapToGrid w:val="0"/>
        <w:spacing w:line="360" w:lineRule="auto"/>
        <w:ind w:left="0" w:leftChars="0" w:firstLine="120" w:firstLineChars="5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4.2.6投标文件出现不是唯一的、有选择性投标报价的;</w:t>
      </w:r>
    </w:p>
    <w:p w14:paraId="792869A3">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4.2.7投标报价超过招标文件中规定的预算金额或者最高限价的;</w:t>
      </w:r>
    </w:p>
    <w:p w14:paraId="199639FC">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14:paraId="62E2FC0C">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4.2.9投标人对根据修正原则修正后的报价不确认的；</w:t>
      </w:r>
    </w:p>
    <w:p w14:paraId="73F6FB35">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4.2.10投标人提供虚假材料投标的；</w:t>
      </w:r>
    </w:p>
    <w:p w14:paraId="51DEB47E">
      <w:pPr>
        <w:pageBreakBefore w:val="0"/>
        <w:kinsoku/>
        <w:wordWrap/>
        <w:overflowPunct/>
        <w:topLinePunct w:val="0"/>
        <w:autoSpaceDE/>
        <w:autoSpaceDN/>
        <w:bidi w:val="0"/>
        <w:adjustRightInd w:val="0"/>
        <w:spacing w:line="360" w:lineRule="auto"/>
        <w:ind w:left="0" w:leftChars="0" w:firstLine="240" w:firstLineChars="1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4.2.11投标人有恶意串通、妨碍其他投标人的竞争行为、损害采购人或者其他投标人的合法权益情形的；</w:t>
      </w:r>
    </w:p>
    <w:p w14:paraId="259E1E4D">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4.2.12投标人仅提交备份投标文件，没有在电子交易平台传输递交投标文件的，投标无效；</w:t>
      </w:r>
    </w:p>
    <w:p w14:paraId="5BCCCF92">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4.2.13 投标文件不满足招标文件的其他实质性要求的；</w:t>
      </w:r>
    </w:p>
    <w:p w14:paraId="20DF85A5">
      <w:pPr>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4.2.14参与同一个标段(包)的供应商存在下列情形之一的，其投标(响应)文件无效：</w:t>
      </w:r>
    </w:p>
    <w:p w14:paraId="5B8F3853">
      <w:pPr>
        <w:pageBreakBefore w:val="0"/>
        <w:widowControl w:val="0"/>
        <w:kinsoku/>
        <w:wordWrap/>
        <w:overflowPunct/>
        <w:topLinePunct w:val="0"/>
        <w:autoSpaceDE/>
        <w:autoSpaceDN/>
        <w:bidi w:val="0"/>
        <w:adjustRightInd w:val="0"/>
        <w:snapToGrid w:val="0"/>
        <w:spacing w:after="0" w:line="360" w:lineRule="auto"/>
        <w:ind w:left="0" w:leftChars="0" w:firstLine="470" w:firstLineChars="196"/>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①不同供应商制作电子投标(响应)文件的计算机网卡MAC地址相同的；</w:t>
      </w:r>
    </w:p>
    <w:p w14:paraId="11500135">
      <w:pPr>
        <w:pageBreakBefore w:val="0"/>
        <w:widowControl w:val="0"/>
        <w:kinsoku/>
        <w:wordWrap/>
        <w:overflowPunct/>
        <w:topLinePunct w:val="0"/>
        <w:autoSpaceDE/>
        <w:autoSpaceDN/>
        <w:bidi w:val="0"/>
        <w:adjustRightInd w:val="0"/>
        <w:snapToGrid w:val="0"/>
        <w:spacing w:after="0" w:line="360" w:lineRule="auto"/>
        <w:ind w:left="0" w:leftChars="0" w:firstLine="470" w:firstLineChars="196"/>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②不同供应商制作电子投标(响应)文件的计算机硬盘序列号相同的；</w:t>
      </w:r>
    </w:p>
    <w:p w14:paraId="1202D2CC">
      <w:pPr>
        <w:pageBreakBefore w:val="0"/>
        <w:widowControl w:val="0"/>
        <w:kinsoku/>
        <w:wordWrap/>
        <w:overflowPunct/>
        <w:topLinePunct w:val="0"/>
        <w:autoSpaceDE/>
        <w:autoSpaceDN/>
        <w:bidi w:val="0"/>
        <w:adjustRightInd w:val="0"/>
        <w:snapToGrid w:val="0"/>
        <w:spacing w:after="0" w:line="360" w:lineRule="auto"/>
        <w:ind w:left="0" w:leftChars="0" w:firstLine="470" w:firstLineChars="196"/>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③不同供应商的投标(响应)文件的内容存在两处以上细节错误一致，且无法合理解释的。</w:t>
      </w:r>
    </w:p>
    <w:p w14:paraId="714D3E29">
      <w:pPr>
        <w:pageBreakBefore w:val="0"/>
        <w:widowControl w:val="0"/>
        <w:kinsoku/>
        <w:wordWrap/>
        <w:overflowPunct/>
        <w:topLinePunct w:val="0"/>
        <w:autoSpaceDE/>
        <w:autoSpaceDN/>
        <w:bidi w:val="0"/>
        <w:adjustRightInd w:val="0"/>
        <w:snapToGrid w:val="0"/>
        <w:spacing w:after="0" w:line="360" w:lineRule="auto"/>
        <w:ind w:left="0" w:leftChars="0" w:firstLine="470" w:firstLineChars="196"/>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4.2.15法律法规、规章（适用本市的）及省级以上规范性文件（适用本市的）规定的其他无效情形。</w:t>
      </w:r>
    </w:p>
    <w:p w14:paraId="1829254A">
      <w:pPr>
        <w:adjustRightInd w:val="0"/>
        <w:snapToGrid w:val="0"/>
        <w:spacing w:line="360" w:lineRule="auto"/>
        <w:ind w:firstLine="472" w:firstLineChars="196"/>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
          <w:color w:val="auto"/>
          <w:sz w:val="24"/>
          <w:szCs w:val="24"/>
          <w:highlight w:val="none"/>
        </w:rPr>
        <w:t>5.废标。</w:t>
      </w:r>
      <w:r>
        <w:rPr>
          <w:rFonts w:asciiTheme="minorEastAsia" w:hAnsiTheme="minorEastAsia" w:eastAsiaTheme="minorEastAsia" w:cstheme="minorEastAsia"/>
          <w:color w:val="auto"/>
          <w:sz w:val="24"/>
          <w:szCs w:val="24"/>
          <w:highlight w:val="none"/>
        </w:rPr>
        <w:t>根据《中华人民共和国政府采购法》第三十六条之规定，在采购中，出现下列情形之一的，应予废标：</w:t>
      </w:r>
    </w:p>
    <w:p w14:paraId="118E0C86">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5.1符合专业条件的供应商或者对招标文件作实质响应的供应商不足3家的；</w:t>
      </w:r>
    </w:p>
    <w:p w14:paraId="02A6EBAE">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5.2出现影响采购公正的违法、违规行为的；</w:t>
      </w:r>
    </w:p>
    <w:p w14:paraId="66C5A01F">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5.3投标人的报价均超过了采购预算，采购人不能支付的；</w:t>
      </w:r>
    </w:p>
    <w:p w14:paraId="6A2BA4D7">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5.4因重大变故，采购任务取消的。</w:t>
      </w:r>
    </w:p>
    <w:p w14:paraId="565F7EC1">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废标后，采购机构应当将废标理由通知所有投标人。</w:t>
      </w:r>
    </w:p>
    <w:p w14:paraId="4FAE56C1">
      <w:pPr>
        <w:adjustRightInd w:val="0"/>
        <w:snapToGrid w:val="0"/>
        <w:spacing w:line="360" w:lineRule="auto"/>
        <w:ind w:firstLine="590" w:firstLineChars="245"/>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
          <w:color w:val="auto"/>
          <w:sz w:val="24"/>
          <w:szCs w:val="24"/>
          <w:highlight w:val="none"/>
        </w:rPr>
        <w:t>6.修改招标文件，重新组织采购活动。</w:t>
      </w:r>
      <w:r>
        <w:rPr>
          <w:rFonts w:asciiTheme="minorEastAsia" w:hAnsiTheme="minorEastAsia" w:eastAsiaTheme="minorEastAsia" w:cstheme="minorEastAsia"/>
          <w:color w:val="auto"/>
          <w:sz w:val="24"/>
          <w:szCs w:val="24"/>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BFD5775">
      <w:pPr>
        <w:adjustRightInd w:val="0"/>
        <w:snapToGrid w:val="0"/>
        <w:spacing w:line="360" w:lineRule="auto"/>
        <w:ind w:firstLine="590" w:firstLineChars="245"/>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
          <w:color w:val="auto"/>
          <w:kern w:val="0"/>
          <w:sz w:val="24"/>
          <w:szCs w:val="24"/>
          <w:highlight w:val="none"/>
        </w:rPr>
        <w:t>7.重新开展采购。</w:t>
      </w:r>
      <w:r>
        <w:rPr>
          <w:rFonts w:asciiTheme="minorEastAsia" w:hAnsiTheme="minorEastAsia" w:eastAsiaTheme="minorEastAsia" w:cstheme="minorEastAsia"/>
          <w:color w:val="auto"/>
          <w:sz w:val="24"/>
          <w:szCs w:val="24"/>
          <w:highlight w:val="none"/>
        </w:rPr>
        <w:t>有政府采购法第七十一条、第七十二条规定的违法行为之一，影响或者可能影响中标、成交结果的，依照下列规定处理：</w:t>
      </w:r>
    </w:p>
    <w:p w14:paraId="08D25107">
      <w:pPr>
        <w:adjustRightInd w:val="0"/>
        <w:snapToGrid w:val="0"/>
        <w:spacing w:line="360" w:lineRule="auto"/>
        <w:ind w:firstLine="600" w:firstLineChars="25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7.1未确定中标或者中标人的，终止本次政府采购活动，重新开展政府采购活动。</w:t>
      </w:r>
    </w:p>
    <w:p w14:paraId="733C9F49">
      <w:pPr>
        <w:adjustRightInd w:val="0"/>
        <w:snapToGrid w:val="0"/>
        <w:spacing w:line="360" w:lineRule="auto"/>
        <w:ind w:firstLine="600" w:firstLineChars="25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7755ED77">
      <w:pPr>
        <w:adjustRightInd w:val="0"/>
        <w:snapToGrid w:val="0"/>
        <w:spacing w:line="360" w:lineRule="auto"/>
        <w:ind w:firstLine="600" w:firstLineChars="25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7.3政府采购合同已签订但尚未履行的，撤销合同，从合格的中标或者成交候选人中另行确定中标或者中标人；没有合格的中标或者成交候选人的，重新开展政府采购活动。</w:t>
      </w:r>
    </w:p>
    <w:p w14:paraId="280CD99F">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7.4政府采购合同已经履行，给采购人、供应商造成损失的，由责任人承担赔偿责任。</w:t>
      </w:r>
    </w:p>
    <w:p w14:paraId="1A4F9167">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7.5政府采购当事人有其他违反政府采购法</w:t>
      </w:r>
      <w:r>
        <w:rPr>
          <w:rFonts w:asciiTheme="minorEastAsia" w:hAnsiTheme="minorEastAsia" w:eastAsiaTheme="minorEastAsia" w:cstheme="minorEastAsia"/>
          <w:color w:val="auto"/>
          <w:kern w:val="0"/>
          <w:sz w:val="24"/>
          <w:szCs w:val="24"/>
          <w:highlight w:val="none"/>
        </w:rPr>
        <w:t>或者政府采购法实施条例等法律法规规定</w:t>
      </w:r>
      <w:r>
        <w:rPr>
          <w:rFonts w:asciiTheme="minorEastAsia" w:hAnsiTheme="minorEastAsia" w:eastAsiaTheme="minorEastAsia" w:cstheme="minorEastAsia"/>
          <w:color w:val="auto"/>
          <w:sz w:val="24"/>
          <w:szCs w:val="24"/>
          <w:highlight w:val="none"/>
        </w:rPr>
        <w:t>的行为，经改正后仍然影响或者可能影响中标、成交结果或者依法被认定为中标、成交无效的，依照7.1-7.4规定处理。</w:t>
      </w:r>
    </w:p>
    <w:p w14:paraId="3610C6F2">
      <w:pPr>
        <w:adjustRightInd w:val="0"/>
        <w:snapToGrid w:val="0"/>
        <w:spacing w:line="360" w:lineRule="auto"/>
        <w:outlineLvl w:val="1"/>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
          <w:color w:val="auto"/>
          <w:sz w:val="28"/>
          <w:szCs w:val="28"/>
          <w:highlight w:val="none"/>
        </w:rPr>
        <w:t>五、评审纪律和要求</w:t>
      </w:r>
    </w:p>
    <w:p w14:paraId="028EC4F1">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1.评审专家必须公平、公正评审，遵纪守法，客观、廉洁地履行职责。</w:t>
      </w:r>
    </w:p>
    <w:p w14:paraId="433811FA">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2.评审专家在评审开始前，应关闭并上交随身携带的各种通信工具。</w:t>
      </w:r>
    </w:p>
    <w:p w14:paraId="6BF9B46B">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3.评审专家在评审过程中，未经许可不得中途离开评审现场，不得迟到早退。</w:t>
      </w:r>
    </w:p>
    <w:p w14:paraId="732FB265">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4.评审专家和工作人员不得透露评审过程中的讨论情况和评审结果。</w:t>
      </w:r>
    </w:p>
    <w:p w14:paraId="6962EA41">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5B84DB5">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6.采购人、采购代理机构不得向评审委员会的评审专家作倾向性、误导性的解释或者说明。</w:t>
      </w:r>
    </w:p>
    <w:p w14:paraId="3DF7788A">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635C6767">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8.评审专家在评审过程中不得将自己的观点强加给其他评审专家，评审专家应自主发表见解，对评审意见承担个人责任。</w:t>
      </w:r>
    </w:p>
    <w:p w14:paraId="0A2E0A42">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4BFBBEB5">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5478F9EA">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11.评审专家应当遵守评审工作纪律，不得泄露评审文件、评审情况和评审中获悉的商业秘密。</w:t>
      </w:r>
    </w:p>
    <w:p w14:paraId="025F5697">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评审委员会在评审过程中发现投标人有行贿、提供虚假材料或者串通等违法行为的，应当及时向财政部门报告。</w:t>
      </w:r>
    </w:p>
    <w:p w14:paraId="776B6447">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12.招标文件内容违反国家有关强制性规定的，评审委员会应当停止评审并向采购代理机构说明情况。</w:t>
      </w:r>
    </w:p>
    <w:p w14:paraId="2B8883BA">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13.评审专家应当配合采购代理机构答复投标人提出的质疑。</w:t>
      </w:r>
    </w:p>
    <w:p w14:paraId="2EC3F416">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14.评审专家应当配合财政部门的投诉处理工作。</w:t>
      </w:r>
    </w:p>
    <w:p w14:paraId="7B5F7418">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15.评审专家有如下行为之一的，责令改正，给予警告，可以并处一千元以下的罚款：</w:t>
      </w:r>
    </w:p>
    <w:p w14:paraId="004D6E8E">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①明知应当回避而未主动回避的；</w:t>
      </w:r>
    </w:p>
    <w:p w14:paraId="1B18CC44">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②在得知自己为评审专家身份后至评审结束前时段内私下接触投标人的；</w:t>
      </w:r>
    </w:p>
    <w:p w14:paraId="56F9BAA8">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③在评审过程中擅离职守，影响评审程序正常进行的；</w:t>
      </w:r>
    </w:p>
    <w:p w14:paraId="314EE264">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④在评审过程有明显不合理或者不正当倾向性的；</w:t>
      </w:r>
    </w:p>
    <w:p w14:paraId="59DC6BC6">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⑤未按招标文件规定的评审方法和标准进行评审的。</w:t>
      </w:r>
    </w:p>
    <w:p w14:paraId="482992A9">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⑥上述①至⑤行为影响中标结果的，中标结果无效。</w:t>
      </w:r>
    </w:p>
    <w:p w14:paraId="4CDA2408">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1C6C3A7A">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政府采购评审专家与投标人存在利害关系未回避的，处2万元以上5万元以下的罚款，禁止其参加政府采购评审活动。</w:t>
      </w:r>
    </w:p>
    <w:p w14:paraId="0FD4716D">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43CA63E6">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政府采购评审专家有上述违法行为的，其评审意见无效，不得获取评审费；有违法所得的，没收违法所得；给他人造成损失的，依法承担民事责任。</w:t>
      </w:r>
    </w:p>
    <w:p w14:paraId="35E3B7B2">
      <w:pPr>
        <w:rPr>
          <w:rFonts w:hint="default" w:asciiTheme="minorEastAsia" w:hAnsiTheme="minorEastAsia" w:eastAsiaTheme="minorEastAsia" w:cstheme="minorEastAsia"/>
          <w:b/>
          <w:color w:val="auto"/>
          <w:sz w:val="36"/>
          <w:highlight w:val="none"/>
        </w:rPr>
      </w:pPr>
      <w:r>
        <w:rPr>
          <w:rFonts w:asciiTheme="minorEastAsia" w:hAnsiTheme="minorEastAsia" w:eastAsiaTheme="minorEastAsia" w:cstheme="minorEastAsia"/>
          <w:b/>
          <w:color w:val="auto"/>
          <w:sz w:val="36"/>
          <w:highlight w:val="none"/>
        </w:rPr>
        <w:br w:type="page"/>
      </w:r>
    </w:p>
    <w:p w14:paraId="00668C95">
      <w:pPr>
        <w:jc w:val="center"/>
        <w:outlineLvl w:val="0"/>
        <w:rPr>
          <w:rFonts w:hint="default" w:asciiTheme="minorEastAsia" w:hAnsiTheme="minorEastAsia" w:eastAsiaTheme="minorEastAsia" w:cstheme="minorEastAsia"/>
          <w:b/>
          <w:color w:val="auto"/>
          <w:sz w:val="36"/>
          <w:highlight w:val="none"/>
        </w:rPr>
      </w:pPr>
      <w:r>
        <w:rPr>
          <w:rFonts w:asciiTheme="minorEastAsia" w:hAnsiTheme="minorEastAsia" w:eastAsiaTheme="minorEastAsia" w:cstheme="minorEastAsia"/>
          <w:b/>
          <w:color w:val="auto"/>
          <w:sz w:val="36"/>
          <w:highlight w:val="none"/>
        </w:rPr>
        <w:t>第五部分 拟签订的合同文本</w:t>
      </w:r>
    </w:p>
    <w:p w14:paraId="5F68E75C">
      <w:pPr>
        <w:spacing w:line="360" w:lineRule="auto"/>
        <w:jc w:val="center"/>
        <w:rPr>
          <w:rFonts w:hint="default" w:asciiTheme="minorEastAsia" w:hAnsiTheme="minorEastAsia" w:eastAsiaTheme="minorEastAsia" w:cstheme="minorEastAsia"/>
          <w:b/>
          <w:color w:val="auto"/>
          <w:sz w:val="28"/>
          <w:szCs w:val="24"/>
          <w:highlight w:val="none"/>
        </w:rPr>
      </w:pPr>
      <w:r>
        <w:rPr>
          <w:rFonts w:asciiTheme="minorEastAsia" w:hAnsiTheme="minorEastAsia" w:eastAsiaTheme="minorEastAsia" w:cstheme="minorEastAsia"/>
          <w:b/>
          <w:color w:val="auto"/>
          <w:sz w:val="28"/>
          <w:szCs w:val="24"/>
          <w:highlight w:val="none"/>
        </w:rPr>
        <w:t>合同主要条款</w:t>
      </w:r>
    </w:p>
    <w:p w14:paraId="363BB155">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Cs/>
          <w:color w:val="auto"/>
          <w:kern w:val="0"/>
          <w:sz w:val="24"/>
          <w:szCs w:val="24"/>
          <w:highlight w:val="none"/>
        </w:rPr>
        <w:t>甲方：</w:t>
      </w:r>
      <w:r>
        <w:rPr>
          <w:rFonts w:hint="eastAsia" w:asciiTheme="minorEastAsia" w:hAnsiTheme="minorEastAsia" w:eastAsiaTheme="minorEastAsia" w:cstheme="minorEastAsia"/>
          <w:bCs/>
          <w:color w:val="auto"/>
          <w:kern w:val="0"/>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（招标单位全称）</w:t>
      </w:r>
    </w:p>
    <w:p w14:paraId="4E8415B3">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kern w:val="0"/>
          <w:sz w:val="24"/>
          <w:szCs w:val="24"/>
          <w:highlight w:val="none"/>
        </w:rPr>
        <w:t>乙方：</w:t>
      </w:r>
      <w:r>
        <w:rPr>
          <w:rFonts w:hint="eastAsia" w:asciiTheme="minorEastAsia" w:hAnsiTheme="minorEastAsia" w:eastAsiaTheme="minorEastAsia" w:cstheme="minorEastAsia"/>
          <w:bCs/>
          <w:color w:val="auto"/>
          <w:kern w:val="0"/>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val="en-US" w:eastAsia="zh-CN"/>
        </w:rPr>
        <w:t>服务</w:t>
      </w:r>
      <w:r>
        <w:rPr>
          <w:rFonts w:hint="eastAsia" w:asciiTheme="minorEastAsia" w:hAnsiTheme="minorEastAsia" w:eastAsiaTheme="minorEastAsia" w:cstheme="minorEastAsia"/>
          <w:color w:val="auto"/>
          <w:sz w:val="24"/>
          <w:szCs w:val="24"/>
          <w:highlight w:val="none"/>
          <w:u w:val="single"/>
        </w:rPr>
        <w:t>单位全称）</w:t>
      </w:r>
    </w:p>
    <w:p w14:paraId="169B734F">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甲、乙双方根</w:t>
      </w:r>
      <w:r>
        <w:rPr>
          <w:rFonts w:hint="eastAsia" w:asciiTheme="minorEastAsia" w:hAnsiTheme="minorEastAsia" w:eastAsiaTheme="minorEastAsia" w:cstheme="minorEastAsia"/>
          <w:b w:val="0"/>
          <w:bCs w:val="0"/>
          <w:color w:val="auto"/>
          <w:sz w:val="24"/>
          <w:szCs w:val="24"/>
          <w:highlight w:val="none"/>
        </w:rPr>
        <w:t>据</w:t>
      </w:r>
      <w:r>
        <w:rPr>
          <w:rFonts w:hint="eastAsia" w:asciiTheme="minorEastAsia" w:hAnsiTheme="minorEastAsia" w:eastAsiaTheme="minorEastAsia" w:cstheme="minorEastAsia"/>
          <w:b w:val="0"/>
          <w:bCs w:val="0"/>
          <w:color w:val="auto"/>
          <w:sz w:val="24"/>
          <w:szCs w:val="24"/>
          <w:highlight w:val="none"/>
          <w:lang w:eastAsia="zh-CN"/>
        </w:rPr>
        <w:t xml:space="preserve"> 浦江县公路与运输事业发展中心非现场执法设备2025年运维项目(第二次）</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sz w:val="24"/>
          <w:szCs w:val="24"/>
          <w:highlight w:val="none"/>
        </w:rPr>
        <w:t xml:space="preserve">采购编号：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公开招标</w:t>
      </w:r>
      <w:r>
        <w:rPr>
          <w:rFonts w:hint="eastAsia" w:asciiTheme="minorEastAsia" w:hAnsiTheme="minorEastAsia" w:eastAsiaTheme="minorEastAsia" w:cstheme="minorEastAsia"/>
          <w:color w:val="auto"/>
          <w:sz w:val="24"/>
          <w:szCs w:val="24"/>
          <w:highlight w:val="none"/>
        </w:rPr>
        <w:t>的结果，签署本合同。</w:t>
      </w:r>
    </w:p>
    <w:p w14:paraId="3E61F36D">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一、服务内容、形式和要求：</w:t>
      </w:r>
    </w:p>
    <w:p w14:paraId="66E8560D">
      <w:pPr>
        <w:keepNext w:val="0"/>
        <w:keepLines w:val="0"/>
        <w:pageBreakBefore w:val="0"/>
        <w:widowControl w:val="0"/>
        <w:kinsoku/>
        <w:wordWrap/>
        <w:overflowPunct/>
        <w:topLinePunct w:val="0"/>
        <w:bidi w:val="0"/>
        <w:spacing w:before="0" w:beforeLines="0" w:after="0" w:afterLines="0"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详见采购文件。</w:t>
      </w:r>
    </w:p>
    <w:p w14:paraId="66F4012F">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w:t>
      </w:r>
      <w:r>
        <w:rPr>
          <w:rFonts w:hint="eastAsia" w:asciiTheme="minorEastAsia" w:hAnsiTheme="minorEastAsia" w:eastAsiaTheme="minorEastAsia" w:cstheme="minorEastAsia"/>
          <w:b/>
          <w:bCs/>
          <w:color w:val="auto"/>
          <w:sz w:val="24"/>
          <w:szCs w:val="24"/>
          <w:highlight w:val="none"/>
          <w:lang w:val="en-US" w:eastAsia="zh-CN"/>
        </w:rPr>
        <w:t>服务</w:t>
      </w:r>
      <w:r>
        <w:rPr>
          <w:rFonts w:hint="eastAsia" w:asciiTheme="minorEastAsia" w:hAnsiTheme="minorEastAsia" w:eastAsiaTheme="minorEastAsia" w:cstheme="minorEastAsia"/>
          <w:b/>
          <w:bCs/>
          <w:color w:val="auto"/>
          <w:sz w:val="24"/>
          <w:szCs w:val="24"/>
          <w:highlight w:val="none"/>
        </w:rPr>
        <w:t>期、地点：</w:t>
      </w:r>
    </w:p>
    <w:p w14:paraId="67A9B8E1">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期</w:t>
      </w:r>
      <w:r>
        <w:rPr>
          <w:rFonts w:hint="eastAsia" w:asciiTheme="minorEastAsia" w:hAnsiTheme="minorEastAsia" w:eastAsiaTheme="minorEastAsia" w:cstheme="minorEastAsia"/>
          <w:color w:val="auto"/>
          <w:sz w:val="24"/>
          <w:szCs w:val="24"/>
          <w:highlight w:val="none"/>
          <w:lang w:eastAsia="zh-CN"/>
        </w:rPr>
        <w:t>：本项目</w:t>
      </w:r>
      <w:r>
        <w:rPr>
          <w:rFonts w:hint="eastAsia" w:asciiTheme="minorEastAsia" w:hAnsiTheme="minorEastAsia" w:eastAsiaTheme="minorEastAsia" w:cstheme="minorEastAsia"/>
          <w:color w:val="auto"/>
          <w:sz w:val="24"/>
          <w:szCs w:val="24"/>
          <w:highlight w:val="none"/>
          <w:lang w:val="en-US" w:eastAsia="zh-CN"/>
        </w:rPr>
        <w:t>服务期</w:t>
      </w:r>
      <w:r>
        <w:rPr>
          <w:rFonts w:hint="eastAsia" w:asciiTheme="minorEastAsia" w:hAnsiTheme="minorEastAsia" w:eastAsiaTheme="minorEastAsia" w:cstheme="minorEastAsia"/>
          <w:color w:val="auto"/>
          <w:sz w:val="24"/>
          <w:szCs w:val="24"/>
          <w:highlight w:val="none"/>
          <w:lang w:eastAsia="zh-CN"/>
        </w:rPr>
        <w:t>自合同签订之日起，一年。</w:t>
      </w:r>
    </w:p>
    <w:p w14:paraId="3C42C5CA">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指定的地点。</w:t>
      </w:r>
    </w:p>
    <w:p w14:paraId="42DC63DC">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三、技术情报和资料的保密：</w:t>
      </w:r>
    </w:p>
    <w:p w14:paraId="6CDA9A63">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1.乙方应按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规定的时间向甲方提供使用技术和服务的有关技术资料。</w:t>
      </w:r>
    </w:p>
    <w:p w14:paraId="69D4688F">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乙方应保证所提供的服务或其任何一部分均不会侵犯任何第三方的知识产权。</w:t>
      </w:r>
    </w:p>
    <w:p w14:paraId="722E9FF5">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3.没有甲方事先书面同意，乙方不得将由甲方提供的有关合同或任何合同条文、规格、计划、</w:t>
      </w:r>
      <w:r>
        <w:rPr>
          <w:rFonts w:hint="eastAsia" w:asciiTheme="minorEastAsia" w:hAnsiTheme="minorEastAsia" w:eastAsiaTheme="minorEastAsia" w:cstheme="minorEastAsia"/>
          <w:color w:val="auto"/>
          <w:sz w:val="24"/>
          <w:szCs w:val="24"/>
          <w:highlight w:val="none"/>
          <w:lang w:val="en-US" w:eastAsia="zh-CN"/>
        </w:rPr>
        <w:t>技术</w:t>
      </w:r>
      <w:r>
        <w:rPr>
          <w:rFonts w:hint="eastAsia" w:asciiTheme="minorEastAsia" w:hAnsiTheme="minorEastAsia" w:eastAsiaTheme="minorEastAsia" w:cstheme="minorEastAsia"/>
          <w:color w:val="auto"/>
          <w:sz w:val="24"/>
          <w:szCs w:val="24"/>
          <w:highlight w:val="none"/>
        </w:rPr>
        <w:t>资料、技术咨询服务提供给与履行本合同无关的任何其他人。即使向履行本合同有关的人员提供，也应注意保密并限于履行合同的必需范围。</w:t>
      </w:r>
    </w:p>
    <w:p w14:paraId="73E26BD1">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auto"/>
          <w:sz w:val="28"/>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未经甲方同意，不得将本项目技术成果提交给与本项目无关的第三方。</w:t>
      </w:r>
    </w:p>
    <w:p w14:paraId="7FC7C359">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四、质量、验收、评价方法：</w:t>
      </w:r>
    </w:p>
    <w:p w14:paraId="5B55E065">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本项目合同服务的质量、技术标准如在</w:t>
      </w:r>
      <w:r>
        <w:rPr>
          <w:rFonts w:hint="eastAsia" w:asciiTheme="minorEastAsia" w:hAnsiTheme="minorEastAsia" w:eastAsiaTheme="minorEastAsia" w:cstheme="minorEastAsia"/>
          <w:bCs/>
          <w:color w:val="auto"/>
          <w:sz w:val="24"/>
          <w:szCs w:val="24"/>
          <w:highlight w:val="none"/>
          <w:lang w:val="en-US" w:eastAsia="zh-CN"/>
        </w:rPr>
        <w:t>采购文件</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eastAsia="zh-CN"/>
        </w:rPr>
        <w:t>投标文件</w:t>
      </w:r>
      <w:r>
        <w:rPr>
          <w:rFonts w:hint="eastAsia" w:asciiTheme="minorEastAsia" w:hAnsiTheme="minorEastAsia" w:eastAsiaTheme="minorEastAsia" w:cstheme="minorEastAsia"/>
          <w:bCs/>
          <w:color w:val="auto"/>
          <w:sz w:val="24"/>
          <w:szCs w:val="24"/>
          <w:highlight w:val="none"/>
        </w:rPr>
        <w:t>中无相应说明的则按最新的国家或专业标准及相应的国际标准执行。所有工作须满足本项目质量、进度要求及</w:t>
      </w:r>
      <w:r>
        <w:rPr>
          <w:rFonts w:hint="eastAsia" w:asciiTheme="minorEastAsia" w:hAnsiTheme="minorEastAsia" w:eastAsiaTheme="minorEastAsia" w:cstheme="minorEastAsia"/>
          <w:bCs/>
          <w:color w:val="auto"/>
          <w:sz w:val="24"/>
          <w:szCs w:val="24"/>
          <w:highlight w:val="none"/>
          <w:lang w:val="en-US" w:eastAsia="zh-CN"/>
        </w:rPr>
        <w:t>甲方</w:t>
      </w:r>
      <w:r>
        <w:rPr>
          <w:rFonts w:hint="eastAsia" w:asciiTheme="minorEastAsia" w:hAnsiTheme="minorEastAsia" w:eastAsiaTheme="minorEastAsia" w:cstheme="minorEastAsia"/>
          <w:bCs/>
          <w:color w:val="auto"/>
          <w:sz w:val="24"/>
          <w:szCs w:val="24"/>
          <w:highlight w:val="none"/>
        </w:rPr>
        <w:t>要求。</w:t>
      </w:r>
      <w:r>
        <w:rPr>
          <w:rFonts w:hint="eastAsia" w:asciiTheme="minorEastAsia" w:hAnsiTheme="minorEastAsia" w:eastAsiaTheme="minorEastAsia" w:cstheme="minorEastAsia"/>
          <w:bCs/>
          <w:color w:val="auto"/>
          <w:sz w:val="24"/>
          <w:szCs w:val="24"/>
          <w:highlight w:val="none"/>
          <w:lang w:val="en-US" w:eastAsia="zh-CN"/>
        </w:rPr>
        <w:t>由于乙方原因造成</w:t>
      </w:r>
      <w:r>
        <w:rPr>
          <w:rFonts w:hint="eastAsia" w:asciiTheme="minorEastAsia" w:hAnsiTheme="minorEastAsia" w:eastAsiaTheme="minorEastAsia" w:cstheme="minorEastAsia"/>
          <w:color w:val="auto"/>
          <w:sz w:val="24"/>
          <w:szCs w:val="24"/>
          <w:highlight w:val="none"/>
        </w:rPr>
        <w:t>超过时间达不到要求的或验收不合格的，</w:t>
      </w:r>
      <w:r>
        <w:rPr>
          <w:rFonts w:hint="eastAsia" w:asciiTheme="minorEastAsia" w:hAnsiTheme="minorEastAsia" w:eastAsiaTheme="minorEastAsia" w:cstheme="minorEastAsia"/>
          <w:color w:val="auto"/>
          <w:sz w:val="24"/>
          <w:szCs w:val="24"/>
          <w:highlight w:val="none"/>
          <w:lang w:eastAsia="zh-CN"/>
        </w:rPr>
        <w:t>报采购监管机关处理</w:t>
      </w:r>
      <w:r>
        <w:rPr>
          <w:rFonts w:hint="eastAsia" w:asciiTheme="minorEastAsia" w:hAnsiTheme="minorEastAsia" w:eastAsiaTheme="minorEastAsia" w:cstheme="minorEastAsia"/>
          <w:color w:val="auto"/>
          <w:sz w:val="24"/>
          <w:szCs w:val="24"/>
          <w:highlight w:val="none"/>
        </w:rPr>
        <w:t>，并承担相应损失。</w:t>
      </w:r>
    </w:p>
    <w:p w14:paraId="11CC551B">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服务成果达到了本合同第一项所列要求，</w:t>
      </w:r>
      <w:r>
        <w:rPr>
          <w:rFonts w:hint="eastAsia" w:asciiTheme="minorEastAsia" w:hAnsiTheme="minorEastAsia" w:eastAsiaTheme="minorEastAsia" w:cstheme="minorEastAsia"/>
          <w:color w:val="auto"/>
          <w:sz w:val="24"/>
          <w:szCs w:val="24"/>
          <w:highlight w:val="none"/>
          <w:lang w:val="en-US" w:eastAsia="zh-CN"/>
        </w:rPr>
        <w:t>乙方协助</w:t>
      </w:r>
      <w:r>
        <w:rPr>
          <w:rFonts w:hint="eastAsia" w:asciiTheme="minorEastAsia" w:hAnsiTheme="minorEastAsia" w:eastAsiaTheme="minorEastAsia" w:cstheme="minorEastAsia"/>
          <w:color w:val="auto"/>
          <w:sz w:val="24"/>
          <w:szCs w:val="24"/>
          <w:highlight w:val="none"/>
        </w:rPr>
        <w:t>甲方组织相关人员进行验收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验收完成交付</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后须附相关资料（具体份数按</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要求提供），</w:t>
      </w:r>
      <w:r>
        <w:rPr>
          <w:rFonts w:hint="eastAsia" w:asciiTheme="minorEastAsia" w:hAnsiTheme="minorEastAsia" w:eastAsiaTheme="minorEastAsia" w:cstheme="minorEastAsia"/>
          <w:bCs/>
          <w:color w:val="auto"/>
          <w:sz w:val="24"/>
          <w:szCs w:val="24"/>
          <w:highlight w:val="none"/>
        </w:rPr>
        <w:t>验收费用由乙方支付</w:t>
      </w:r>
      <w:r>
        <w:rPr>
          <w:rFonts w:hint="eastAsia" w:asciiTheme="minorEastAsia" w:hAnsiTheme="minorEastAsia" w:eastAsiaTheme="minorEastAsia" w:cstheme="minorEastAsia"/>
          <w:color w:val="auto"/>
          <w:sz w:val="24"/>
          <w:szCs w:val="24"/>
          <w:highlight w:val="none"/>
        </w:rPr>
        <w:t>。</w:t>
      </w:r>
    </w:p>
    <w:p w14:paraId="046A37E5">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五、报酬及其支付方式：</w:t>
      </w:r>
    </w:p>
    <w:p w14:paraId="4D95E172">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本项目签约合同价（所有经费）：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53A67C7E">
      <w:pPr>
        <w:keepNext w:val="0"/>
        <w:keepLines w:val="0"/>
        <w:pageBreakBefore w:val="0"/>
        <w:widowControl w:val="0"/>
        <w:kinsoku/>
        <w:wordWrap/>
        <w:overflowPunct/>
        <w:topLinePunct w:val="0"/>
        <w:bidi w:val="0"/>
        <w:snapToGrid w:val="0"/>
        <w:spacing w:before="0" w:beforeLines="0" w:after="0" w:afterLines="0"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kern w:val="2"/>
          <w:sz w:val="24"/>
          <w:szCs w:val="24"/>
          <w:highlight w:val="none"/>
          <w:lang w:val="en-US" w:eastAsia="zh-CN" w:bidi="ar-SA"/>
        </w:rPr>
        <w:t>上述报酬包含</w:t>
      </w:r>
      <w:r>
        <w:rPr>
          <w:rFonts w:hint="eastAsia" w:asciiTheme="minorEastAsia" w:hAnsiTheme="minorEastAsia" w:eastAsiaTheme="minorEastAsia" w:cstheme="minorEastAsia"/>
          <w:color w:val="auto"/>
          <w:sz w:val="24"/>
          <w:szCs w:val="24"/>
          <w:highlight w:val="none"/>
          <w:lang w:val="en-US" w:eastAsia="zh-CN"/>
        </w:rPr>
        <w:t>人工费、日常维护费、调试费、培训费、</w:t>
      </w:r>
      <w:r>
        <w:rPr>
          <w:rFonts w:hint="eastAsia" w:asciiTheme="minorEastAsia" w:hAnsiTheme="minorEastAsia" w:eastAsiaTheme="minorEastAsia" w:cstheme="minorEastAsia"/>
          <w:color w:val="auto"/>
          <w:sz w:val="24"/>
          <w:szCs w:val="24"/>
          <w:highlight w:val="none"/>
          <w:lang w:eastAsia="zh-CN"/>
        </w:rPr>
        <w:t>技术</w:t>
      </w:r>
      <w:r>
        <w:rPr>
          <w:rFonts w:hint="eastAsia" w:asciiTheme="minorEastAsia" w:hAnsiTheme="minorEastAsia" w:eastAsiaTheme="minorEastAsia" w:cstheme="minorEastAsia"/>
          <w:color w:val="auto"/>
          <w:sz w:val="24"/>
          <w:szCs w:val="24"/>
          <w:highlight w:val="none"/>
          <w:lang w:val="en-US" w:eastAsia="zh-CN"/>
        </w:rPr>
        <w:t>服务费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保修期内维护费、</w:t>
      </w:r>
      <w:r>
        <w:rPr>
          <w:rFonts w:hint="eastAsia" w:asciiTheme="minorEastAsia" w:hAnsiTheme="minorEastAsia" w:eastAsiaTheme="minorEastAsia" w:cstheme="minorEastAsia"/>
          <w:color w:val="auto"/>
          <w:sz w:val="24"/>
          <w:szCs w:val="24"/>
          <w:highlight w:val="none"/>
          <w:lang w:eastAsia="zh-CN"/>
        </w:rPr>
        <w:t>招标代理费、</w:t>
      </w:r>
      <w:r>
        <w:rPr>
          <w:rFonts w:hint="eastAsia" w:asciiTheme="minorEastAsia" w:hAnsiTheme="minorEastAsia" w:eastAsiaTheme="minorEastAsia" w:cstheme="minorEastAsia"/>
          <w:color w:val="auto"/>
          <w:sz w:val="24"/>
          <w:szCs w:val="24"/>
          <w:highlight w:val="none"/>
          <w:lang w:val="en-US" w:eastAsia="zh-CN"/>
        </w:rPr>
        <w:t>提供相关资料、验收费用、管理费、利润、风险费、</w:t>
      </w:r>
      <w:r>
        <w:rPr>
          <w:rFonts w:hint="eastAsia" w:asciiTheme="minorEastAsia" w:hAnsiTheme="minorEastAsia" w:eastAsiaTheme="minorEastAsia" w:cstheme="minorEastAsia"/>
          <w:color w:val="auto"/>
          <w:sz w:val="24"/>
          <w:szCs w:val="24"/>
          <w:highlight w:val="none"/>
          <w:lang w:eastAsia="zh-CN"/>
        </w:rPr>
        <w:t>保险、税金</w:t>
      </w:r>
      <w:r>
        <w:rPr>
          <w:rFonts w:hint="eastAsia" w:asciiTheme="minorEastAsia" w:hAnsiTheme="minorEastAsia" w:eastAsiaTheme="minorEastAsia" w:cstheme="minorEastAsia"/>
          <w:color w:val="auto"/>
          <w:sz w:val="24"/>
          <w:szCs w:val="24"/>
          <w:highlight w:val="none"/>
        </w:rPr>
        <w:t>等完成招标内容及要求所提供的服务过程中涉及的一切费用。</w:t>
      </w:r>
    </w:p>
    <w:p w14:paraId="4E4A3E92">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支付方式</w:t>
      </w:r>
    </w:p>
    <w:p w14:paraId="44186FA7">
      <w:pPr>
        <w:autoSpaceDE w:val="0"/>
        <w:autoSpaceDN w:val="0"/>
        <w:adjustRightIn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在合同生效以及具备实施条件后7个工作日</w:t>
      </w:r>
      <w:r>
        <w:rPr>
          <w:rFonts w:hint="eastAsia" w:ascii="宋体" w:hAnsi="宋体" w:eastAsia="宋体" w:cs="宋体"/>
          <w:b w:val="0"/>
          <w:bCs w:val="0"/>
          <w:color w:val="auto"/>
          <w:sz w:val="24"/>
          <w:szCs w:val="24"/>
          <w:highlight w:val="none"/>
          <w:lang w:val="en-US" w:eastAsia="zh-CN"/>
        </w:rPr>
        <w:t>内</w:t>
      </w:r>
      <w:r>
        <w:rPr>
          <w:rFonts w:hint="eastAsia" w:ascii="宋体" w:hAnsi="宋体" w:eastAsia="宋体" w:cs="宋体"/>
          <w:b w:val="0"/>
          <w:bCs w:val="0"/>
          <w:color w:val="auto"/>
          <w:sz w:val="24"/>
          <w:szCs w:val="24"/>
          <w:highlight w:val="none"/>
        </w:rPr>
        <w:t>,采购人</w:t>
      </w:r>
      <w:r>
        <w:rPr>
          <w:rFonts w:hint="eastAsia" w:ascii="宋体" w:hAnsi="宋体" w:eastAsia="宋体" w:cs="宋体"/>
          <w:b w:val="0"/>
          <w:bCs w:val="0"/>
          <w:color w:val="auto"/>
          <w:sz w:val="24"/>
          <w:szCs w:val="24"/>
          <w:highlight w:val="none"/>
          <w:lang w:val="en-US" w:eastAsia="zh-CN"/>
        </w:rPr>
        <w:t>凭发票</w:t>
      </w:r>
      <w:r>
        <w:rPr>
          <w:rFonts w:hint="eastAsia" w:ascii="宋体" w:hAnsi="宋体" w:eastAsia="宋体" w:cs="宋体"/>
          <w:b w:val="0"/>
          <w:bCs w:val="0"/>
          <w:color w:val="auto"/>
          <w:sz w:val="24"/>
          <w:szCs w:val="24"/>
          <w:highlight w:val="none"/>
        </w:rPr>
        <w:t>向中标单位支付合同</w:t>
      </w:r>
      <w:r>
        <w:rPr>
          <w:rFonts w:hint="eastAsia" w:ascii="宋体" w:hAnsi="宋体" w:eastAsia="宋体" w:cs="宋体"/>
          <w:b w:val="0"/>
          <w:bCs w:val="0"/>
          <w:color w:val="auto"/>
          <w:sz w:val="24"/>
          <w:szCs w:val="24"/>
          <w:highlight w:val="none"/>
          <w:lang w:val="en-US" w:eastAsia="zh-CN"/>
        </w:rPr>
        <w:t>总</w:t>
      </w:r>
      <w:r>
        <w:rPr>
          <w:rFonts w:hint="eastAsia" w:ascii="宋体" w:hAnsi="宋体" w:eastAsia="宋体" w:cs="宋体"/>
          <w:b w:val="0"/>
          <w:bCs w:val="0"/>
          <w:color w:val="auto"/>
          <w:sz w:val="24"/>
          <w:szCs w:val="24"/>
          <w:highlight w:val="none"/>
        </w:rPr>
        <w:t>价的</w:t>
      </w:r>
      <w:r>
        <w:rPr>
          <w:rFonts w:hint="eastAsia" w:ascii="宋体" w:hAnsi="宋体" w:eastAsia="宋体" w:cs="宋体"/>
          <w:b w:val="0"/>
          <w:bCs w:val="0"/>
          <w:color w:val="auto"/>
          <w:sz w:val="24"/>
          <w:szCs w:val="24"/>
          <w:highlight w:val="none"/>
          <w:lang w:val="en-US" w:eastAsia="zh-CN"/>
        </w:rPr>
        <w:t>40</w:t>
      </w:r>
      <w:r>
        <w:rPr>
          <w:rFonts w:hint="eastAsia" w:ascii="宋体" w:hAnsi="宋体" w:eastAsia="宋体" w:cs="宋体"/>
          <w:b w:val="0"/>
          <w:bCs w:val="0"/>
          <w:color w:val="auto"/>
          <w:sz w:val="24"/>
          <w:szCs w:val="24"/>
          <w:highlight w:val="none"/>
        </w:rPr>
        <w:t>%作为预付款</w:t>
      </w:r>
      <w:r>
        <w:rPr>
          <w:rFonts w:hint="eastAsia" w:ascii="宋体" w:hAnsi="宋体" w:eastAsia="宋体" w:cs="宋体"/>
          <w:b w:val="0"/>
          <w:bCs w:val="0"/>
          <w:color w:val="auto"/>
          <w:sz w:val="24"/>
          <w:szCs w:val="24"/>
          <w:highlight w:val="none"/>
          <w:lang w:val="en-US" w:eastAsia="zh-CN"/>
        </w:rPr>
        <w:t>（中标人需出具同金额预付款保函。如中标人明确表示无需预付款或者主动要求降低预付款比例的，采购人可不支付或减少预付款支付比例。），</w:t>
      </w:r>
      <w:r>
        <w:rPr>
          <w:rFonts w:hint="eastAsia" w:ascii="宋体" w:hAnsi="宋体" w:eastAsia="宋体" w:cs="宋体"/>
          <w:b w:val="0"/>
          <w:bCs w:val="0"/>
          <w:color w:val="auto"/>
          <w:sz w:val="24"/>
          <w:szCs w:val="24"/>
          <w:highlight w:val="none"/>
        </w:rPr>
        <w:t>待合同服务期履行结束，合同价</w:t>
      </w:r>
      <w:r>
        <w:rPr>
          <w:rFonts w:hint="eastAsia" w:ascii="宋体" w:hAnsi="宋体" w:eastAsia="宋体" w:cs="宋体"/>
          <w:b w:val="0"/>
          <w:bCs w:val="0"/>
          <w:color w:val="auto"/>
          <w:sz w:val="24"/>
          <w:szCs w:val="24"/>
          <w:highlight w:val="none"/>
          <w:lang w:val="en-US" w:eastAsia="zh-CN"/>
        </w:rPr>
        <w:t>（如考核有扣除的，扣减相应服务费）</w:t>
      </w:r>
      <w:r>
        <w:rPr>
          <w:rFonts w:hint="eastAsia" w:ascii="宋体" w:hAnsi="宋体" w:eastAsia="宋体" w:cs="宋体"/>
          <w:b w:val="0"/>
          <w:bCs w:val="0"/>
          <w:color w:val="auto"/>
          <w:sz w:val="24"/>
          <w:szCs w:val="24"/>
          <w:highlight w:val="none"/>
        </w:rPr>
        <w:t>余款经采购人验收且收到中标单位正规发票后支付。</w:t>
      </w:r>
    </w:p>
    <w:p w14:paraId="5EFDB481">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履约保证金</w:t>
      </w:r>
      <w:r>
        <w:rPr>
          <w:rFonts w:hint="eastAsia" w:asciiTheme="minorEastAsia" w:hAnsiTheme="minorEastAsia" w:eastAsiaTheme="minorEastAsia" w:cstheme="minorEastAsia"/>
          <w:color w:val="auto"/>
          <w:sz w:val="24"/>
          <w:szCs w:val="24"/>
          <w:highlight w:val="none"/>
          <w:lang w:eastAsia="zh-CN"/>
        </w:rPr>
        <w:t>：本项目不要求</w:t>
      </w:r>
    </w:p>
    <w:p w14:paraId="09B252FF">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、售后服务</w:t>
      </w:r>
    </w:p>
    <w:p w14:paraId="1207A28C">
      <w:pPr>
        <w:keepNext w:val="0"/>
        <w:keepLines w:val="0"/>
        <w:pageBreakBefore w:val="0"/>
        <w:widowControl w:val="0"/>
        <w:numPr>
          <w:ilvl w:val="0"/>
          <w:numId w:val="0"/>
        </w:numPr>
        <w:kinsoku/>
        <w:wordWrap/>
        <w:overflowPunct/>
        <w:topLinePunct w:val="0"/>
        <w:bidi w:val="0"/>
        <w:spacing w:line="348"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.售后服务和响应时间</w:t>
      </w:r>
    </w:p>
    <w:p w14:paraId="495598D8">
      <w:pPr>
        <w:tabs>
          <w:tab w:val="left" w:pos="315"/>
        </w:tabs>
        <w:spacing w:line="360" w:lineRule="auto"/>
        <w:ind w:firstLine="420"/>
        <w:rPr>
          <w:rFonts w:hint="eastAsia" w:asciiTheme="minorEastAsia" w:hAnsiTheme="minorEastAsia" w:eastAsiaTheme="minorEastAsia" w:cstheme="minorEastAsia"/>
          <w:color w:val="auto"/>
          <w:kern w:val="1"/>
          <w:sz w:val="24"/>
          <w:szCs w:val="24"/>
          <w:highlight w:val="none"/>
        </w:rPr>
      </w:pPr>
      <w:r>
        <w:rPr>
          <w:rFonts w:hint="eastAsia" w:asciiTheme="minorEastAsia" w:hAnsiTheme="minorEastAsia" w:eastAsiaTheme="minorEastAsia" w:cstheme="minorEastAsia"/>
          <w:color w:val="auto"/>
          <w:kern w:val="1"/>
          <w:sz w:val="24"/>
          <w:szCs w:val="24"/>
          <w:highlight w:val="none"/>
        </w:rPr>
        <w:t>在质保期内，采购人有故障申报，中标人必须在</w:t>
      </w:r>
      <w:r>
        <w:rPr>
          <w:rFonts w:hint="eastAsia" w:asciiTheme="minorEastAsia" w:hAnsiTheme="minorEastAsia" w:eastAsiaTheme="minorEastAsia" w:cstheme="minorEastAsia"/>
          <w:color w:val="auto"/>
          <w:kern w:val="1"/>
          <w:sz w:val="24"/>
          <w:szCs w:val="24"/>
          <w:highlight w:val="none"/>
          <w:lang w:eastAsia="zh-CN"/>
        </w:rPr>
        <w:t>半</w:t>
      </w:r>
      <w:r>
        <w:rPr>
          <w:rFonts w:hint="eastAsia" w:asciiTheme="minorEastAsia" w:hAnsiTheme="minorEastAsia" w:eastAsiaTheme="minorEastAsia" w:cstheme="minorEastAsia"/>
          <w:color w:val="auto"/>
          <w:kern w:val="1"/>
          <w:sz w:val="24"/>
          <w:szCs w:val="24"/>
          <w:highlight w:val="none"/>
        </w:rPr>
        <w:t>小时内响应，</w:t>
      </w:r>
      <w:r>
        <w:rPr>
          <w:rFonts w:hint="eastAsia" w:asciiTheme="minorEastAsia" w:hAnsiTheme="minorEastAsia" w:eastAsiaTheme="minorEastAsia" w:cstheme="minorEastAsia"/>
          <w:color w:val="auto"/>
          <w:sz w:val="24"/>
          <w:szCs w:val="24"/>
          <w:highlight w:val="none"/>
        </w:rPr>
        <w:t>3小时内赶到现场，</w:t>
      </w:r>
      <w:r>
        <w:rPr>
          <w:rFonts w:hint="eastAsia" w:asciiTheme="minorEastAsia" w:hAnsiTheme="minorEastAsia" w:eastAsiaTheme="minorEastAsia" w:cstheme="minorEastAsia"/>
          <w:color w:val="auto"/>
          <w:kern w:val="1"/>
          <w:sz w:val="24"/>
          <w:szCs w:val="24"/>
          <w:highlight w:val="none"/>
          <w:lang w:val="en-US" w:eastAsia="zh-CN"/>
        </w:rPr>
        <w:t>24</w:t>
      </w:r>
      <w:r>
        <w:rPr>
          <w:rFonts w:hint="eastAsia" w:asciiTheme="minorEastAsia" w:hAnsiTheme="minorEastAsia" w:eastAsiaTheme="minorEastAsia" w:cstheme="minorEastAsia"/>
          <w:color w:val="auto"/>
          <w:kern w:val="1"/>
          <w:sz w:val="24"/>
          <w:szCs w:val="24"/>
          <w:highlight w:val="none"/>
        </w:rPr>
        <w:t>小时内解决。若不能在24小时内解决，须提供同等性能、同等配置的产品替换。</w:t>
      </w:r>
    </w:p>
    <w:p w14:paraId="4E56FAA8">
      <w:pPr>
        <w:keepNext w:val="0"/>
        <w:keepLines w:val="0"/>
        <w:pageBreakBefore w:val="0"/>
        <w:widowControl w:val="0"/>
        <w:numPr>
          <w:ilvl w:val="0"/>
          <w:numId w:val="0"/>
        </w:numPr>
        <w:kinsoku/>
        <w:wordWrap/>
        <w:overflowPunct/>
        <w:topLinePunct w:val="0"/>
        <w:bidi w:val="0"/>
        <w:spacing w:line="348"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当甲方告知乙方设备异常要求维保时，如乙方未按甲方要求，出现处置不及时、维修不到位等情况，影响甲方正常工作的，需对乙方进行相应的责罚。第一次未按甲方要求处置的，对乙方采取警告处理，第二次出现相关情况，对乙方进行约谈；第三次及以上出现相关情况的，每次扣除乙方2%合同款。</w:t>
      </w:r>
    </w:p>
    <w:p w14:paraId="3302C8A8">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七</w:t>
      </w:r>
      <w:r>
        <w:rPr>
          <w:rFonts w:hint="eastAsia" w:asciiTheme="minorEastAsia" w:hAnsiTheme="minorEastAsia" w:eastAsiaTheme="minorEastAsia" w:cstheme="minorEastAsia"/>
          <w:b/>
          <w:bCs/>
          <w:color w:val="auto"/>
          <w:sz w:val="24"/>
          <w:szCs w:val="24"/>
          <w:highlight w:val="none"/>
        </w:rPr>
        <w:t>、违约金或者损失赔偿额的计算方法：</w:t>
      </w:r>
    </w:p>
    <w:p w14:paraId="5B81D55E">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left"/>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.甲方无故逾期验收和办理款项支付手续的,甲方应按逾期付款总额每日</w:t>
      </w:r>
      <w:r>
        <w:rPr>
          <w:rFonts w:hint="eastAsia" w:asciiTheme="minorEastAsia" w:hAnsiTheme="minorEastAsia" w:eastAsiaTheme="minorEastAsia" w:cstheme="minorEastAsia"/>
          <w:color w:val="auto"/>
          <w:sz w:val="24"/>
          <w:szCs w:val="24"/>
          <w:highlight w:val="none"/>
          <w:lang w:val="en-US" w:eastAsia="zh-CN"/>
        </w:rPr>
        <w:t>万</w:t>
      </w:r>
      <w:r>
        <w:rPr>
          <w:rFonts w:hint="eastAsia" w:asciiTheme="minorEastAsia" w:hAnsiTheme="minorEastAsia" w:eastAsiaTheme="minorEastAsia" w:cstheme="minorEastAsia"/>
          <w:color w:val="auto"/>
          <w:sz w:val="24"/>
          <w:szCs w:val="24"/>
          <w:highlight w:val="none"/>
          <w:lang w:eastAsia="zh-CN"/>
        </w:rPr>
        <w:t>分之</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lang w:eastAsia="zh-CN"/>
        </w:rPr>
        <w:t>向乙方支付违约金。</w:t>
      </w:r>
      <w:r>
        <w:rPr>
          <w:rFonts w:hint="eastAsia" w:asciiTheme="minorEastAsia" w:hAnsiTheme="minorEastAsia" w:eastAsiaTheme="minorEastAsia" w:cstheme="minorEastAsia"/>
          <w:color w:val="auto"/>
          <w:spacing w:val="0"/>
          <w:kern w:val="0"/>
          <w:sz w:val="24"/>
          <w:szCs w:val="20"/>
          <w:highlight w:val="none"/>
          <w:lang w:val="en-US" w:eastAsia="zh-CN" w:bidi="ar-SA"/>
        </w:rPr>
        <w:t>双方无正当理由不得擅自终止合同，违约方将向另一方支付中途毁约违约金，金额为合同总价的30%。</w:t>
      </w:r>
    </w:p>
    <w:p w14:paraId="134D1DCA">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left"/>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67C5D72B">
      <w:pPr>
        <w:keepNext w:val="0"/>
        <w:keepLines w:val="0"/>
        <w:pageBreakBefore w:val="0"/>
        <w:widowControl w:val="0"/>
        <w:kinsoku/>
        <w:wordWrap/>
        <w:overflowPunct/>
        <w:topLinePunct w:val="0"/>
        <w:autoSpaceDE w:val="0"/>
        <w:autoSpaceDN w:val="0"/>
        <w:bidi w:val="0"/>
        <w:adjustRightInd w:val="0"/>
        <w:spacing w:line="360" w:lineRule="auto"/>
        <w:jc w:val="left"/>
        <w:textAlignment w:val="baseline"/>
        <w:rPr>
          <w:rFonts w:hint="eastAsia" w:asciiTheme="minorEastAsia" w:hAnsiTheme="minorEastAsia" w:eastAsiaTheme="minorEastAsia" w:cstheme="minorEastAsia"/>
          <w:color w:val="auto"/>
          <w:spacing w:val="0"/>
          <w:kern w:val="0"/>
          <w:sz w:val="28"/>
          <w:szCs w:val="20"/>
          <w:highlight w:val="none"/>
          <w:lang w:val="en-US" w:eastAsia="zh-CN" w:bidi="ar-SA"/>
        </w:rPr>
      </w:pPr>
      <w:r>
        <w:rPr>
          <w:rFonts w:hint="eastAsia" w:asciiTheme="minorEastAsia" w:hAnsiTheme="minorEastAsia" w:eastAsiaTheme="minorEastAsia" w:cstheme="minorEastAsia"/>
          <w:color w:val="auto"/>
          <w:spacing w:val="0"/>
          <w:kern w:val="0"/>
          <w:sz w:val="24"/>
          <w:szCs w:val="20"/>
          <w:highlight w:val="none"/>
          <w:lang w:val="en-US" w:eastAsia="zh-CN" w:bidi="ar-SA"/>
        </w:rPr>
        <w:t>报有关部门处理。</w:t>
      </w:r>
      <w:r>
        <w:rPr>
          <w:rFonts w:hint="eastAsia" w:asciiTheme="minorEastAsia" w:hAnsiTheme="minorEastAsia" w:eastAsiaTheme="minorEastAsia" w:cstheme="minorEastAsia"/>
          <w:color w:val="auto"/>
          <w:kern w:val="2"/>
          <w:sz w:val="24"/>
          <w:szCs w:val="24"/>
          <w:highlight w:val="none"/>
          <w:lang w:val="en-US" w:eastAsia="zh-CN" w:bidi="ar-SA"/>
        </w:rPr>
        <w:t>如因中标人原因，造成安全事故的，追究经济和法律责任。</w:t>
      </w:r>
    </w:p>
    <w:p w14:paraId="3208BC20">
      <w:pPr>
        <w:keepNext w:val="0"/>
        <w:keepLines w:val="0"/>
        <w:pageBreakBefore w:val="0"/>
        <w:kinsoku/>
        <w:wordWrap/>
        <w:overflowPunct/>
        <w:topLinePunct w:val="0"/>
        <w:bidi w:val="0"/>
        <w:spacing w:line="360" w:lineRule="auto"/>
        <w:ind w:firstLine="55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如果乙方违反本合同第</w:t>
      </w:r>
      <w:r>
        <w:rPr>
          <w:rFonts w:hint="eastAsia" w:asciiTheme="minorEastAsia" w:hAnsiTheme="minorEastAsia" w:eastAsiaTheme="minorEastAsia" w:cstheme="minorEastAsia"/>
          <w:color w:val="auto"/>
          <w:sz w:val="24"/>
          <w:szCs w:val="24"/>
          <w:highlight w:val="none"/>
          <w:u w:val="single"/>
        </w:rPr>
        <w:t>一、二、三、四</w:t>
      </w:r>
      <w:r>
        <w:rPr>
          <w:rFonts w:hint="eastAsia" w:asciiTheme="minorEastAsia" w:hAnsiTheme="minorEastAsia" w:eastAsiaTheme="minorEastAsia" w:cstheme="minorEastAsia"/>
          <w:color w:val="auto"/>
          <w:sz w:val="24"/>
          <w:szCs w:val="24"/>
          <w:highlight w:val="none"/>
        </w:rPr>
        <w:t>条约定，应当承担违约责任，承担方式和违约金额如下：甲方可单方面解除合同，履约保证金不予退还，报采购</w:t>
      </w:r>
      <w:r>
        <w:rPr>
          <w:rFonts w:hint="eastAsia" w:asciiTheme="minorEastAsia" w:hAnsiTheme="minorEastAsia" w:eastAsiaTheme="minorEastAsia" w:cstheme="minorEastAsia"/>
          <w:color w:val="auto"/>
          <w:kern w:val="0"/>
          <w:sz w:val="24"/>
          <w:szCs w:val="24"/>
          <w:highlight w:val="none"/>
        </w:rPr>
        <w:t>监管</w:t>
      </w:r>
      <w:r>
        <w:rPr>
          <w:rFonts w:hint="eastAsia" w:asciiTheme="minorEastAsia" w:hAnsiTheme="minorEastAsia" w:eastAsiaTheme="minorEastAsia" w:cstheme="minorEastAsia"/>
          <w:color w:val="auto"/>
          <w:sz w:val="24"/>
          <w:szCs w:val="24"/>
          <w:highlight w:val="none"/>
        </w:rPr>
        <w:t>机关处理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并向甲方赔偿由此产生的损失。</w:t>
      </w:r>
    </w:p>
    <w:p w14:paraId="771F22FF">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left"/>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人员到位违约：投标人中标后，未经甲方同意乙方不得擅自更换项目组成员，否则发包人有权单方面扣除相应的合同款。因特殊情况，更换人员须经发包人同意，且更换的项目组成员要有同等级及以上资质。每更换一人或未按发包人要求到场的，乙方应向甲方支付违约金2000元。</w:t>
      </w:r>
    </w:p>
    <w:p w14:paraId="710BCB30">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八</w:t>
      </w:r>
      <w:r>
        <w:rPr>
          <w:rFonts w:hint="eastAsia" w:asciiTheme="minorEastAsia" w:hAnsiTheme="minorEastAsia" w:eastAsiaTheme="minorEastAsia" w:cstheme="minorEastAsia"/>
          <w:b/>
          <w:color w:val="auto"/>
          <w:sz w:val="24"/>
          <w:szCs w:val="24"/>
          <w:highlight w:val="none"/>
        </w:rPr>
        <w:t>、不可抗力事件处理：</w:t>
      </w:r>
    </w:p>
    <w:p w14:paraId="1A5A3BEE">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1.在合同有效期内，任何一方因不可抗力事件导致不能履行合同，则合同履行期可延长，其延长期与不可抗力影响期相同。</w:t>
      </w:r>
    </w:p>
    <w:p w14:paraId="46FAC54A">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2.不可抗力事件发生后，应立即通知对方，并寄送有关权威机构出具的</w:t>
      </w:r>
      <w:r>
        <w:rPr>
          <w:rFonts w:hint="eastAsia" w:asciiTheme="minorEastAsia" w:hAnsiTheme="minorEastAsia" w:eastAsiaTheme="minorEastAsia" w:cstheme="minorEastAsia"/>
          <w:color w:val="auto"/>
          <w:sz w:val="24"/>
          <w:szCs w:val="24"/>
          <w:highlight w:val="none"/>
          <w:lang w:eastAsia="zh-CN"/>
        </w:rPr>
        <w:t>说明资料</w:t>
      </w:r>
      <w:r>
        <w:rPr>
          <w:rFonts w:hint="eastAsia" w:asciiTheme="minorEastAsia" w:hAnsiTheme="minorEastAsia" w:eastAsiaTheme="minorEastAsia" w:cstheme="minorEastAsia"/>
          <w:color w:val="auto"/>
          <w:sz w:val="24"/>
          <w:szCs w:val="24"/>
          <w:highlight w:val="none"/>
        </w:rPr>
        <w:t>。</w:t>
      </w:r>
    </w:p>
    <w:p w14:paraId="2BDEB1BE">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3.不可抗力事件延续</w:t>
      </w:r>
      <w:r>
        <w:rPr>
          <w:rFonts w:hint="eastAsia" w:asciiTheme="minorEastAsia" w:hAnsiTheme="minorEastAsia" w:eastAsiaTheme="minorEastAsia" w:cstheme="minorEastAsia"/>
          <w:color w:val="auto"/>
          <w:sz w:val="24"/>
          <w:szCs w:val="24"/>
          <w:highlight w:val="none"/>
          <w:lang w:val="en-US" w:eastAsia="zh-CN"/>
        </w:rPr>
        <w:t>90</w:t>
      </w:r>
      <w:r>
        <w:rPr>
          <w:rFonts w:hint="eastAsia" w:asciiTheme="minorEastAsia" w:hAnsiTheme="minorEastAsia" w:eastAsiaTheme="minorEastAsia" w:cstheme="minorEastAsia"/>
          <w:color w:val="auto"/>
          <w:sz w:val="24"/>
          <w:szCs w:val="24"/>
          <w:highlight w:val="none"/>
        </w:rPr>
        <w:t>天以上，双方应通过友好协商，确定是否继续履行合同。</w:t>
      </w:r>
    </w:p>
    <w:p w14:paraId="405C3B76">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九</w:t>
      </w:r>
      <w:r>
        <w:rPr>
          <w:rFonts w:hint="eastAsia" w:asciiTheme="minorEastAsia" w:hAnsiTheme="minorEastAsia" w:eastAsiaTheme="minorEastAsia" w:cstheme="minorEastAsia"/>
          <w:b/>
          <w:bCs/>
          <w:color w:val="auto"/>
          <w:sz w:val="24"/>
          <w:szCs w:val="24"/>
          <w:highlight w:val="none"/>
        </w:rPr>
        <w:t>、争议的解决办法：</w:t>
      </w:r>
    </w:p>
    <w:p w14:paraId="2E835159">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双方在执行合同中所发生的一切争议，应通过协商解决。如协商不成，</w:t>
      </w:r>
      <w:r>
        <w:rPr>
          <w:rFonts w:hint="eastAsia" w:asciiTheme="minorEastAsia" w:hAnsiTheme="minorEastAsia" w:eastAsiaTheme="minorEastAsia" w:cstheme="minorEastAsia"/>
          <w:color w:val="auto"/>
          <w:sz w:val="24"/>
          <w:szCs w:val="24"/>
          <w:highlight w:val="none"/>
          <w:lang w:val="en-US" w:eastAsia="zh-CN"/>
        </w:rPr>
        <w:t>双方约定由甲</w:t>
      </w:r>
      <w:r>
        <w:rPr>
          <w:rFonts w:hint="eastAsia" w:asciiTheme="minorEastAsia" w:hAnsiTheme="minorEastAsia" w:eastAsiaTheme="minorEastAsia" w:cstheme="minorEastAsia"/>
          <w:color w:val="auto"/>
          <w:sz w:val="24"/>
          <w:szCs w:val="24"/>
          <w:highlight w:val="none"/>
        </w:rPr>
        <w:t>方所在地法院</w:t>
      </w:r>
      <w:r>
        <w:rPr>
          <w:rFonts w:hint="eastAsia" w:asciiTheme="minorEastAsia" w:hAnsiTheme="minorEastAsia" w:eastAsiaTheme="minorEastAsia" w:cstheme="minorEastAsia"/>
          <w:color w:val="auto"/>
          <w:sz w:val="24"/>
          <w:szCs w:val="24"/>
          <w:highlight w:val="none"/>
          <w:lang w:val="en-US" w:eastAsia="zh-CN"/>
        </w:rPr>
        <w:t>管辖</w:t>
      </w:r>
      <w:r>
        <w:rPr>
          <w:rFonts w:hint="eastAsia" w:asciiTheme="minorEastAsia" w:hAnsiTheme="minorEastAsia" w:eastAsiaTheme="minorEastAsia" w:cstheme="minorEastAsia"/>
          <w:color w:val="auto"/>
          <w:sz w:val="24"/>
          <w:szCs w:val="24"/>
          <w:highlight w:val="none"/>
        </w:rPr>
        <w:t>。</w:t>
      </w:r>
    </w:p>
    <w:p w14:paraId="34B020A6">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十</w:t>
      </w:r>
      <w:r>
        <w:rPr>
          <w:rFonts w:hint="eastAsia" w:asciiTheme="minorEastAsia" w:hAnsiTheme="minorEastAsia" w:eastAsiaTheme="minorEastAsia" w:cstheme="minorEastAsia"/>
          <w:b/>
          <w:bCs/>
          <w:color w:val="auto"/>
          <w:sz w:val="24"/>
          <w:szCs w:val="24"/>
          <w:highlight w:val="none"/>
        </w:rPr>
        <w:t>、其它：</w:t>
      </w:r>
    </w:p>
    <w:p w14:paraId="3C50FFC8">
      <w:pPr>
        <w:keepNext w:val="0"/>
        <w:keepLines w:val="0"/>
        <w:pageBreakBefore w:val="0"/>
        <w:kinsoku/>
        <w:wordWrap/>
        <w:overflowPunct/>
        <w:topLinePunct w:val="0"/>
        <w:bidi w:val="0"/>
        <w:spacing w:line="360" w:lineRule="auto"/>
        <w:ind w:firstLine="52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强化安全意识、抓好安全生产，</w:t>
      </w:r>
      <w:r>
        <w:rPr>
          <w:rFonts w:hint="eastAsia" w:asciiTheme="minorEastAsia" w:hAnsiTheme="minorEastAsia" w:eastAsiaTheme="minorEastAsia" w:cstheme="minorEastAsia"/>
          <w:bCs/>
          <w:color w:val="auto"/>
          <w:sz w:val="24"/>
          <w:szCs w:val="24"/>
          <w:highlight w:val="none"/>
          <w:lang w:val="en-US" w:eastAsia="zh-CN"/>
        </w:rPr>
        <w:t>明确</w:t>
      </w:r>
      <w:r>
        <w:rPr>
          <w:rFonts w:hint="eastAsia" w:asciiTheme="minorEastAsia" w:hAnsiTheme="minorEastAsia" w:eastAsiaTheme="minorEastAsia" w:cstheme="minorEastAsia"/>
          <w:bCs/>
          <w:color w:val="auto"/>
          <w:sz w:val="24"/>
          <w:szCs w:val="24"/>
          <w:highlight w:val="none"/>
        </w:rPr>
        <w:t>安全责任，杜绝事故发生，项目实施中</w:t>
      </w:r>
      <w:r>
        <w:rPr>
          <w:rFonts w:hint="eastAsia" w:asciiTheme="minorEastAsia" w:hAnsiTheme="minorEastAsia" w:eastAsiaTheme="minorEastAsia" w:cstheme="minorEastAsia"/>
          <w:bCs/>
          <w:color w:val="auto"/>
          <w:sz w:val="24"/>
          <w:szCs w:val="24"/>
          <w:highlight w:val="none"/>
          <w:lang w:val="en-US" w:eastAsia="zh-CN"/>
        </w:rPr>
        <w:t>乙方</w:t>
      </w:r>
      <w:r>
        <w:rPr>
          <w:rFonts w:hint="eastAsia" w:asciiTheme="minorEastAsia" w:hAnsiTheme="minorEastAsia" w:eastAsiaTheme="minorEastAsia" w:cstheme="minorEastAsia"/>
          <w:bCs/>
          <w:color w:val="auto"/>
          <w:sz w:val="24"/>
          <w:szCs w:val="24"/>
          <w:highlight w:val="none"/>
        </w:rPr>
        <w:t>发生安全及人身事故均由</w:t>
      </w:r>
      <w:r>
        <w:rPr>
          <w:rFonts w:hint="eastAsia" w:asciiTheme="minorEastAsia" w:hAnsiTheme="minorEastAsia" w:eastAsiaTheme="minorEastAsia" w:cstheme="minorEastAsia"/>
          <w:bCs/>
          <w:color w:val="auto"/>
          <w:sz w:val="24"/>
          <w:szCs w:val="24"/>
          <w:highlight w:val="none"/>
          <w:lang w:val="en-US" w:eastAsia="zh-CN"/>
        </w:rPr>
        <w:t>乙方</w:t>
      </w:r>
      <w:r>
        <w:rPr>
          <w:rFonts w:hint="eastAsia" w:asciiTheme="minorEastAsia" w:hAnsiTheme="minorEastAsia" w:eastAsiaTheme="minorEastAsia" w:cstheme="minorEastAsia"/>
          <w:bCs/>
          <w:color w:val="auto"/>
          <w:sz w:val="24"/>
          <w:szCs w:val="24"/>
          <w:highlight w:val="none"/>
        </w:rPr>
        <w:t>负责处理，并承担全部责任和费用。</w:t>
      </w:r>
    </w:p>
    <w:p w14:paraId="1B511F44">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合同经双方法定代表人或授权代表签字并加盖单位公章后生效。</w:t>
      </w:r>
    </w:p>
    <w:p w14:paraId="4FDB4638">
      <w:pPr>
        <w:keepNext w:val="0"/>
        <w:keepLines w:val="0"/>
        <w:pageBreakBefore w:val="0"/>
        <w:widowControl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合同执行中涉及采购资金和采购内容修改或补充的，须经原审批部门审批，作为</w:t>
      </w:r>
      <w:r>
        <w:rPr>
          <w:rFonts w:hint="eastAsia" w:asciiTheme="minorEastAsia" w:hAnsiTheme="minorEastAsia" w:eastAsiaTheme="minorEastAsia" w:cstheme="minorEastAsia"/>
          <w:color w:val="auto"/>
          <w:sz w:val="24"/>
          <w:szCs w:val="24"/>
          <w:highlight w:val="none"/>
          <w:lang w:val="en-US" w:eastAsia="zh-CN"/>
        </w:rPr>
        <w:t>本</w:t>
      </w:r>
      <w:r>
        <w:rPr>
          <w:rFonts w:hint="eastAsia" w:asciiTheme="minorEastAsia" w:hAnsiTheme="minorEastAsia" w:eastAsiaTheme="minorEastAsia" w:cstheme="minorEastAsia"/>
          <w:color w:val="auto"/>
          <w:sz w:val="24"/>
          <w:szCs w:val="24"/>
          <w:highlight w:val="none"/>
        </w:rPr>
        <w:t>合</w:t>
      </w:r>
      <w:r>
        <w:rPr>
          <w:rFonts w:hint="eastAsia" w:asciiTheme="minorEastAsia" w:hAnsiTheme="minorEastAsia" w:eastAsiaTheme="minorEastAsia" w:cstheme="minorEastAsia"/>
          <w:color w:val="auto"/>
          <w:sz w:val="24"/>
          <w:szCs w:val="24"/>
          <w:highlight w:val="none"/>
          <w:lang w:val="en-US" w:eastAsia="zh-CN"/>
        </w:rPr>
        <w:t>同的组成部分</w:t>
      </w:r>
      <w:r>
        <w:rPr>
          <w:rFonts w:hint="eastAsia" w:asciiTheme="minorEastAsia" w:hAnsiTheme="minorEastAsia" w:eastAsiaTheme="minorEastAsia" w:cstheme="minorEastAsia"/>
          <w:color w:val="auto"/>
          <w:sz w:val="24"/>
          <w:szCs w:val="24"/>
          <w:highlight w:val="none"/>
        </w:rPr>
        <w:t>。</w:t>
      </w:r>
    </w:p>
    <w:p w14:paraId="66178987">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本项目的</w:t>
      </w:r>
      <w:r>
        <w:rPr>
          <w:rFonts w:hint="eastAsia" w:asciiTheme="minorEastAsia" w:hAnsiTheme="minorEastAsia" w:eastAsiaTheme="minorEastAsia" w:cstheme="minorEastAsia"/>
          <w:color w:val="auto"/>
          <w:sz w:val="24"/>
          <w:szCs w:val="24"/>
          <w:highlight w:val="none"/>
          <w:lang w:eastAsia="zh-CN"/>
        </w:rPr>
        <w:t>成交通知书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为本合同的有效组成部分。本合同未尽事宜，遵照《</w:t>
      </w:r>
      <w:r>
        <w:rPr>
          <w:rFonts w:hint="eastAsia" w:asciiTheme="minorEastAsia" w:hAnsiTheme="minorEastAsia" w:eastAsiaTheme="minorEastAsia" w:cstheme="minorEastAsia"/>
          <w:color w:val="auto"/>
          <w:sz w:val="24"/>
          <w:szCs w:val="24"/>
          <w:highlight w:val="none"/>
          <w:lang w:val="en-US" w:eastAsia="zh-CN"/>
        </w:rPr>
        <w:t>中华人民共和国民法典</w:t>
      </w:r>
      <w:r>
        <w:rPr>
          <w:rFonts w:hint="eastAsia" w:asciiTheme="minorEastAsia" w:hAnsiTheme="minorEastAsia" w:eastAsiaTheme="minorEastAsia" w:cstheme="minorEastAsia"/>
          <w:color w:val="auto"/>
          <w:sz w:val="24"/>
          <w:szCs w:val="24"/>
          <w:highlight w:val="none"/>
        </w:rPr>
        <w:t>》有关条文执行。</w:t>
      </w:r>
    </w:p>
    <w:p w14:paraId="6F4997A3">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本合同一式</w:t>
      </w:r>
      <w:r>
        <w:rPr>
          <w:rFonts w:hint="eastAsia" w:asciiTheme="minorEastAsia" w:hAnsiTheme="minorEastAsia" w:eastAsiaTheme="minorEastAsia" w:cstheme="minorEastAsia"/>
          <w:color w:val="auto"/>
          <w:sz w:val="24"/>
          <w:szCs w:val="24"/>
          <w:highlight w:val="none"/>
          <w:lang w:val="en-US" w:eastAsia="zh-CN"/>
        </w:rPr>
        <w:t>陆</w:t>
      </w:r>
      <w:r>
        <w:rPr>
          <w:rFonts w:hint="eastAsia" w:asciiTheme="minorEastAsia" w:hAnsiTheme="minorEastAsia" w:eastAsiaTheme="minorEastAsia" w:cstheme="minorEastAsia"/>
          <w:color w:val="auto"/>
          <w:sz w:val="24"/>
          <w:szCs w:val="24"/>
          <w:highlight w:val="none"/>
        </w:rPr>
        <w:t>份，具有同等法律效力，甲乙双方各执</w:t>
      </w:r>
      <w:r>
        <w:rPr>
          <w:rFonts w:hint="eastAsia" w:asciiTheme="minorEastAsia" w:hAnsiTheme="minorEastAsia" w:eastAsiaTheme="minorEastAsia" w:cstheme="minorEastAsia"/>
          <w:color w:val="auto"/>
          <w:sz w:val="24"/>
          <w:szCs w:val="24"/>
          <w:highlight w:val="none"/>
          <w:lang w:val="en-US" w:eastAsia="zh-CN"/>
        </w:rPr>
        <w:t>贰</w:t>
      </w:r>
      <w:r>
        <w:rPr>
          <w:rFonts w:hint="eastAsia" w:asciiTheme="minorEastAsia" w:hAnsiTheme="minorEastAsia" w:eastAsiaTheme="minorEastAsia" w:cstheme="minorEastAsia"/>
          <w:color w:val="auto"/>
          <w:sz w:val="24"/>
          <w:szCs w:val="24"/>
          <w:highlight w:val="none"/>
        </w:rPr>
        <w:t>份，其余用于采购代理机构存档</w:t>
      </w:r>
      <w:r>
        <w:rPr>
          <w:rFonts w:hint="eastAsia" w:asciiTheme="minorEastAsia" w:hAnsiTheme="minorEastAsia" w:eastAsiaTheme="minorEastAsia" w:cstheme="minorEastAsia"/>
          <w:color w:val="auto"/>
          <w:sz w:val="24"/>
          <w:szCs w:val="24"/>
          <w:highlight w:val="none"/>
          <w:lang w:val="en-US" w:eastAsia="zh-CN"/>
        </w:rPr>
        <w:t>贰</w:t>
      </w:r>
      <w:r>
        <w:rPr>
          <w:rFonts w:hint="eastAsia" w:asciiTheme="minorEastAsia" w:hAnsiTheme="minorEastAsia" w:eastAsiaTheme="minorEastAsia" w:cstheme="minorEastAsia"/>
          <w:color w:val="auto"/>
          <w:sz w:val="24"/>
          <w:szCs w:val="24"/>
          <w:highlight w:val="none"/>
        </w:rPr>
        <w:t>份。</w:t>
      </w:r>
    </w:p>
    <w:p w14:paraId="5803A841">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其他未尽事宜，双方协商解决。</w:t>
      </w:r>
    </w:p>
    <w:p w14:paraId="31C80F1A">
      <w:pPr>
        <w:keepNext w:val="0"/>
        <w:keepLines w:val="0"/>
        <w:pageBreakBefore w:val="0"/>
        <w:widowControl w:val="0"/>
        <w:kinsoku/>
        <w:wordWrap/>
        <w:overflowPunct/>
        <w:topLinePunct w:val="0"/>
        <w:bidi w:val="0"/>
        <w:snapToGrid w:val="0"/>
        <w:spacing w:before="0" w:beforeLines="0" w:after="0" w:afterLines="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p>
    <w:p w14:paraId="5A2F5BA7">
      <w:pPr>
        <w:keepNext w:val="0"/>
        <w:keepLines w:val="0"/>
        <w:pageBreakBefore w:val="0"/>
        <w:widowControl w:val="0"/>
        <w:kinsoku/>
        <w:wordWrap/>
        <w:overflowPunct/>
        <w:topLinePunct w:val="0"/>
        <w:bidi w:val="0"/>
        <w:snapToGrid w:val="0"/>
        <w:spacing w:before="0" w:beforeLines="0" w:after="0" w:afterLines="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甲方：                                    乙方： </w:t>
      </w:r>
    </w:p>
    <w:p w14:paraId="3E147AD8">
      <w:pPr>
        <w:keepNext w:val="0"/>
        <w:keepLines w:val="0"/>
        <w:pageBreakBefore w:val="0"/>
        <w:widowControl w:val="0"/>
        <w:kinsoku/>
        <w:wordWrap/>
        <w:overflowPunct/>
        <w:topLinePunct w:val="0"/>
        <w:bidi w:val="0"/>
        <w:snapToGrid w:val="0"/>
        <w:spacing w:before="0" w:beforeLines="0" w:after="0" w:afterLines="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法定（授权）代表人：                      法定（授权）代表人：</w:t>
      </w:r>
    </w:p>
    <w:p w14:paraId="4D383D85">
      <w:pPr>
        <w:keepNext w:val="0"/>
        <w:keepLines w:val="0"/>
        <w:pageBreakBefore w:val="0"/>
        <w:widowControl w:val="0"/>
        <w:kinsoku/>
        <w:wordWrap/>
        <w:overflowPunct/>
        <w:topLinePunct w:val="0"/>
        <w:bidi w:val="0"/>
        <w:snapToGrid w:val="0"/>
        <w:spacing w:before="0" w:beforeLines="0" w:after="0" w:afterLines="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签字日期：      年  月  日                签字日期：      年  月  日</w:t>
      </w:r>
    </w:p>
    <w:p w14:paraId="4FC8D425">
      <w:pPr>
        <w:keepNext w:val="0"/>
        <w:keepLines w:val="0"/>
        <w:pageBreakBefore w:val="0"/>
        <w:widowControl w:val="0"/>
        <w:kinsoku/>
        <w:wordWrap/>
        <w:overflowPunct/>
        <w:topLinePunct w:val="0"/>
        <w:bidi w:val="0"/>
        <w:snapToGrid w:val="0"/>
        <w:spacing w:before="0" w:beforeLines="0" w:after="0" w:afterLines="0" w:line="360" w:lineRule="auto"/>
        <w:jc w:val="left"/>
        <w:rPr>
          <w:rFonts w:hint="eastAsia" w:asciiTheme="minorEastAsia" w:hAnsiTheme="minorEastAsia" w:eastAsiaTheme="minorEastAsia" w:cstheme="minorEastAsia"/>
          <w:bCs/>
          <w:color w:val="auto"/>
          <w:kern w:val="2"/>
          <w:sz w:val="24"/>
          <w:szCs w:val="24"/>
          <w:highlight w:val="none"/>
          <w:lang w:val="en-US" w:eastAsia="zh-CN" w:bidi="ar-SA"/>
        </w:rPr>
      </w:pPr>
    </w:p>
    <w:p w14:paraId="52DEE662">
      <w:pPr>
        <w:keepNext w:val="0"/>
        <w:keepLines w:val="0"/>
        <w:pageBreakBefore w:val="0"/>
        <w:widowControl w:val="0"/>
        <w:kinsoku/>
        <w:wordWrap/>
        <w:overflowPunct/>
        <w:topLinePunct w:val="0"/>
        <w:bidi w:val="0"/>
        <w:snapToGrid w:val="0"/>
        <w:spacing w:before="0" w:beforeLines="0" w:after="0" w:afterLines="0" w:line="360" w:lineRule="auto"/>
        <w:jc w:val="left"/>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见证方：</w:t>
      </w:r>
    </w:p>
    <w:p w14:paraId="60A3FF93">
      <w:pPr>
        <w:keepNext w:val="0"/>
        <w:keepLines w:val="0"/>
        <w:pageBreakBefore w:val="0"/>
        <w:widowControl w:val="0"/>
        <w:kinsoku/>
        <w:wordWrap/>
        <w:overflowPunct/>
        <w:topLinePunct w:val="0"/>
        <w:bidi w:val="0"/>
        <w:snapToGrid w:val="0"/>
        <w:spacing w:before="0" w:beforeLines="0" w:after="0" w:afterLines="0" w:line="360" w:lineRule="auto"/>
        <w:jc w:val="left"/>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法定（授权）代表人：</w:t>
      </w:r>
    </w:p>
    <w:p w14:paraId="164F2126">
      <w:pPr>
        <w:snapToGrid w:val="0"/>
        <w:spacing w:line="360" w:lineRule="auto"/>
        <w:jc w:val="left"/>
        <w:rPr>
          <w:rFonts w:hint="default"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kern w:val="2"/>
          <w:sz w:val="24"/>
          <w:szCs w:val="24"/>
          <w:highlight w:val="none"/>
          <w:lang w:val="en-US" w:eastAsia="zh-CN" w:bidi="ar-SA"/>
        </w:rPr>
        <w:t>见证日期：</w:t>
      </w:r>
    </w:p>
    <w:p w14:paraId="58564F98">
      <w:pPr>
        <w:rPr>
          <w:rFonts w:hint="default" w:asciiTheme="minorEastAsia" w:hAnsiTheme="minorEastAsia" w:eastAsiaTheme="minorEastAsia" w:cstheme="minorEastAsia"/>
          <w:b/>
          <w:color w:val="auto"/>
          <w:sz w:val="36"/>
          <w:highlight w:val="none"/>
        </w:rPr>
      </w:pPr>
      <w:r>
        <w:rPr>
          <w:rFonts w:asciiTheme="minorEastAsia" w:hAnsiTheme="minorEastAsia" w:eastAsiaTheme="minorEastAsia" w:cstheme="minorEastAsia"/>
          <w:b/>
          <w:color w:val="auto"/>
          <w:sz w:val="36"/>
          <w:highlight w:val="none"/>
        </w:rPr>
        <w:br w:type="page"/>
      </w:r>
    </w:p>
    <w:p w14:paraId="0867E324">
      <w:pPr>
        <w:jc w:val="center"/>
        <w:outlineLvl w:val="0"/>
        <w:rPr>
          <w:rFonts w:hint="default" w:asciiTheme="minorEastAsia" w:hAnsiTheme="minorEastAsia" w:eastAsiaTheme="minorEastAsia" w:cstheme="minorEastAsia"/>
          <w:b/>
          <w:color w:val="auto"/>
          <w:sz w:val="36"/>
          <w:highlight w:val="none"/>
        </w:rPr>
      </w:pPr>
      <w:r>
        <w:rPr>
          <w:rFonts w:asciiTheme="minorEastAsia" w:hAnsiTheme="minorEastAsia" w:eastAsiaTheme="minorEastAsia" w:cstheme="minorEastAsia"/>
          <w:b/>
          <w:color w:val="auto"/>
          <w:sz w:val="36"/>
          <w:highlight w:val="none"/>
        </w:rPr>
        <w:t>第六部分 应提交的有关格式范例</w:t>
      </w:r>
    </w:p>
    <w:p w14:paraId="714C2FA0">
      <w:pPr>
        <w:spacing w:line="48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说明：</w:t>
      </w:r>
    </w:p>
    <w:p w14:paraId="355868D8">
      <w:pPr>
        <w:spacing w:line="48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1.投标文件由供应商根据招标文件要求参照附件格式编制。</w:t>
      </w:r>
    </w:p>
    <w:p w14:paraId="22A6C003">
      <w:pPr>
        <w:spacing w:line="48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2.供应商根据实际情况填写。</w:t>
      </w:r>
    </w:p>
    <w:p w14:paraId="4A098285">
      <w:pPr>
        <w:spacing w:line="48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3.招标文件中没有参考格式的，供应商自行编制。</w:t>
      </w:r>
    </w:p>
    <w:p w14:paraId="5F35C4F0">
      <w:pPr>
        <w:pStyle w:val="28"/>
        <w:ind w:left="0" w:leftChars="0" w:firstLine="0" w:firstLineChars="0"/>
        <w:rPr>
          <w:rFonts w:hint="default" w:asciiTheme="minorEastAsia" w:hAnsiTheme="minorEastAsia" w:eastAsiaTheme="minorEastAsia" w:cstheme="minorEastAsia"/>
          <w:b/>
          <w:color w:val="auto"/>
          <w:kern w:val="2"/>
          <w:sz w:val="36"/>
          <w:highlight w:val="none"/>
        </w:rPr>
      </w:pPr>
    </w:p>
    <w:p w14:paraId="2C431212">
      <w:pPr>
        <w:pStyle w:val="28"/>
        <w:ind w:left="0" w:leftChars="0" w:firstLine="0" w:firstLineChars="0"/>
        <w:rPr>
          <w:rFonts w:hint="default" w:asciiTheme="minorEastAsia" w:hAnsiTheme="minorEastAsia" w:eastAsiaTheme="minorEastAsia" w:cstheme="minorEastAsia"/>
          <w:b/>
          <w:color w:val="auto"/>
          <w:kern w:val="2"/>
          <w:sz w:val="36"/>
          <w:highlight w:val="none"/>
        </w:rPr>
      </w:pPr>
    </w:p>
    <w:p w14:paraId="14C615D8">
      <w:pPr>
        <w:rPr>
          <w:rFonts w:hint="default" w:asciiTheme="minorEastAsia" w:hAnsiTheme="minorEastAsia" w:eastAsiaTheme="minorEastAsia" w:cstheme="minorEastAsia"/>
          <w:b/>
          <w:color w:val="auto"/>
          <w:sz w:val="36"/>
          <w:highlight w:val="none"/>
        </w:rPr>
      </w:pPr>
    </w:p>
    <w:p w14:paraId="7C8DA311">
      <w:pPr>
        <w:pStyle w:val="28"/>
        <w:ind w:firstLine="723"/>
        <w:rPr>
          <w:rFonts w:hint="default" w:asciiTheme="minorEastAsia" w:hAnsiTheme="minorEastAsia" w:eastAsiaTheme="minorEastAsia" w:cstheme="minorEastAsia"/>
          <w:b/>
          <w:color w:val="auto"/>
          <w:kern w:val="2"/>
          <w:sz w:val="36"/>
          <w:highlight w:val="none"/>
        </w:rPr>
      </w:pPr>
    </w:p>
    <w:p w14:paraId="4F03EA42">
      <w:pPr>
        <w:rPr>
          <w:rFonts w:hint="default" w:asciiTheme="minorEastAsia" w:hAnsiTheme="minorEastAsia" w:eastAsiaTheme="minorEastAsia" w:cstheme="minorEastAsia"/>
          <w:b/>
          <w:color w:val="auto"/>
          <w:sz w:val="36"/>
          <w:highlight w:val="none"/>
        </w:rPr>
      </w:pPr>
    </w:p>
    <w:p w14:paraId="428098DB">
      <w:pPr>
        <w:pStyle w:val="28"/>
        <w:ind w:firstLine="723"/>
        <w:rPr>
          <w:rFonts w:hint="default" w:asciiTheme="minorEastAsia" w:hAnsiTheme="minorEastAsia" w:eastAsiaTheme="minorEastAsia" w:cstheme="minorEastAsia"/>
          <w:b/>
          <w:color w:val="auto"/>
          <w:kern w:val="2"/>
          <w:sz w:val="36"/>
          <w:highlight w:val="none"/>
        </w:rPr>
      </w:pPr>
    </w:p>
    <w:p w14:paraId="5B2C6AAB">
      <w:pPr>
        <w:rPr>
          <w:rFonts w:hint="default" w:asciiTheme="minorEastAsia" w:hAnsiTheme="minorEastAsia" w:eastAsiaTheme="minorEastAsia" w:cstheme="minorEastAsia"/>
          <w:b/>
          <w:color w:val="auto"/>
          <w:sz w:val="36"/>
          <w:highlight w:val="none"/>
        </w:rPr>
      </w:pPr>
    </w:p>
    <w:p w14:paraId="5A42338E">
      <w:pPr>
        <w:pStyle w:val="28"/>
        <w:ind w:firstLine="723"/>
        <w:rPr>
          <w:rFonts w:hint="default" w:asciiTheme="minorEastAsia" w:hAnsiTheme="minorEastAsia" w:eastAsiaTheme="minorEastAsia" w:cstheme="minorEastAsia"/>
          <w:b/>
          <w:color w:val="auto"/>
          <w:kern w:val="2"/>
          <w:sz w:val="36"/>
          <w:highlight w:val="none"/>
        </w:rPr>
      </w:pPr>
    </w:p>
    <w:p w14:paraId="207A5B4C">
      <w:pPr>
        <w:rPr>
          <w:rFonts w:hint="default" w:asciiTheme="minorEastAsia" w:hAnsiTheme="minorEastAsia" w:eastAsiaTheme="minorEastAsia" w:cstheme="minorEastAsia"/>
          <w:b/>
          <w:color w:val="auto"/>
          <w:sz w:val="36"/>
          <w:highlight w:val="none"/>
        </w:rPr>
      </w:pPr>
    </w:p>
    <w:p w14:paraId="1A20DF9C">
      <w:pPr>
        <w:pStyle w:val="28"/>
        <w:ind w:firstLine="723"/>
        <w:rPr>
          <w:rFonts w:hint="default" w:asciiTheme="minorEastAsia" w:hAnsiTheme="minorEastAsia" w:eastAsiaTheme="minorEastAsia" w:cstheme="minorEastAsia"/>
          <w:b/>
          <w:color w:val="auto"/>
          <w:kern w:val="2"/>
          <w:sz w:val="36"/>
          <w:highlight w:val="none"/>
        </w:rPr>
      </w:pPr>
    </w:p>
    <w:p w14:paraId="397919B0">
      <w:pPr>
        <w:rPr>
          <w:rFonts w:hint="default" w:asciiTheme="minorEastAsia" w:hAnsiTheme="minorEastAsia" w:eastAsiaTheme="minorEastAsia" w:cstheme="minorEastAsia"/>
          <w:b/>
          <w:color w:val="auto"/>
          <w:sz w:val="36"/>
          <w:highlight w:val="none"/>
        </w:rPr>
      </w:pPr>
    </w:p>
    <w:p w14:paraId="7A5B5EA3">
      <w:pPr>
        <w:rPr>
          <w:rFonts w:hint="default" w:ascii="宋体" w:hAnsi="宋体" w:eastAsia="宋体" w:cs="宋体"/>
          <w:b/>
          <w:color w:val="auto"/>
          <w:sz w:val="28"/>
          <w:szCs w:val="28"/>
          <w:highlight w:val="none"/>
        </w:rPr>
      </w:pPr>
      <w:r>
        <w:rPr>
          <w:rFonts w:ascii="宋体" w:hAnsi="宋体" w:eastAsia="宋体" w:cs="宋体"/>
          <w:b/>
          <w:color w:val="auto"/>
          <w:sz w:val="28"/>
          <w:szCs w:val="28"/>
          <w:highlight w:val="none"/>
        </w:rPr>
        <w:br w:type="page"/>
      </w:r>
    </w:p>
    <w:p w14:paraId="59CC0F4C">
      <w:pPr>
        <w:spacing w:line="240" w:lineRule="auto"/>
        <w:outlineLvl w:val="1"/>
        <w:rPr>
          <w:rFonts w:hint="default" w:ascii="宋体" w:hAnsi="宋体" w:eastAsia="宋体" w:cs="宋体"/>
          <w:b/>
          <w:color w:val="auto"/>
          <w:sz w:val="28"/>
          <w:szCs w:val="28"/>
          <w:highlight w:val="none"/>
        </w:rPr>
      </w:pPr>
      <w:r>
        <w:rPr>
          <w:rFonts w:ascii="宋体" w:hAnsi="宋体" w:eastAsia="宋体" w:cs="宋体"/>
          <w:b/>
          <w:color w:val="auto"/>
          <w:sz w:val="28"/>
          <w:szCs w:val="28"/>
          <w:highlight w:val="none"/>
        </w:rPr>
        <w:t>一、资格文件封面格式</w:t>
      </w:r>
    </w:p>
    <w:p w14:paraId="70B5DDA0">
      <w:pPr>
        <w:spacing w:line="240" w:lineRule="auto"/>
        <w:rPr>
          <w:rFonts w:hint="default" w:ascii="宋体" w:hAnsi="宋体" w:eastAsia="宋体" w:cs="宋体"/>
          <w:b/>
          <w:bCs/>
          <w:color w:val="auto"/>
          <w:sz w:val="40"/>
          <w:szCs w:val="40"/>
          <w:highlight w:val="none"/>
        </w:rPr>
      </w:pPr>
    </w:p>
    <w:p w14:paraId="2D4893AC">
      <w:pPr>
        <w:spacing w:line="240" w:lineRule="auto"/>
        <w:jc w:val="center"/>
        <w:rPr>
          <w:rFonts w:hint="default" w:ascii="宋体" w:hAnsi="宋体" w:eastAsia="宋体" w:cs="宋体"/>
          <w:b/>
          <w:bCs/>
          <w:color w:val="auto"/>
          <w:sz w:val="40"/>
          <w:szCs w:val="40"/>
          <w:highlight w:val="none"/>
        </w:rPr>
      </w:pPr>
    </w:p>
    <w:p w14:paraId="0BE0DCB1">
      <w:pPr>
        <w:spacing w:line="240"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40"/>
          <w:szCs w:val="40"/>
          <w:highlight w:val="none"/>
          <w:lang w:eastAsia="zh-CN"/>
        </w:rPr>
        <w:t>浦江县公路与运输事业发展中心非现场执法设备2025年运维项目(第二次）</w:t>
      </w:r>
    </w:p>
    <w:p w14:paraId="167C0313">
      <w:pPr>
        <w:spacing w:line="360" w:lineRule="auto"/>
        <w:jc w:val="center"/>
        <w:rPr>
          <w:rFonts w:hint="default" w:ascii="宋体" w:hAnsi="宋体" w:eastAsia="宋体" w:cs="宋体"/>
          <w:color w:val="auto"/>
          <w:spacing w:val="40"/>
          <w:w w:val="90"/>
          <w:sz w:val="96"/>
          <w:szCs w:val="96"/>
          <w:highlight w:val="none"/>
          <w:lang w:bidi="th-TH"/>
        </w:rPr>
      </w:pPr>
    </w:p>
    <w:p w14:paraId="1F86D8C1">
      <w:pPr>
        <w:spacing w:line="360" w:lineRule="auto"/>
        <w:jc w:val="center"/>
        <w:rPr>
          <w:rFonts w:hint="default" w:ascii="宋体" w:hAnsi="宋体" w:eastAsia="宋体" w:cs="宋体"/>
          <w:color w:val="auto"/>
          <w:spacing w:val="40"/>
          <w:w w:val="90"/>
          <w:sz w:val="96"/>
          <w:szCs w:val="96"/>
          <w:highlight w:val="none"/>
          <w:lang w:bidi="th-TH"/>
        </w:rPr>
      </w:pPr>
      <w:r>
        <w:rPr>
          <w:rFonts w:ascii="宋体" w:hAnsi="宋体" w:eastAsia="宋体" w:cs="宋体"/>
          <w:color w:val="auto"/>
          <w:spacing w:val="40"/>
          <w:w w:val="90"/>
          <w:sz w:val="96"/>
          <w:szCs w:val="96"/>
          <w:highlight w:val="none"/>
          <w:lang w:bidi="th-TH"/>
        </w:rPr>
        <w:t>投 标 文 件</w:t>
      </w:r>
    </w:p>
    <w:p w14:paraId="1C135742">
      <w:pPr>
        <w:spacing w:line="240" w:lineRule="auto"/>
        <w:jc w:val="center"/>
        <w:rPr>
          <w:rFonts w:hint="default" w:ascii="宋体" w:hAnsi="宋体" w:eastAsia="宋体" w:cs="宋体"/>
          <w:b/>
          <w:bCs/>
          <w:color w:val="auto"/>
          <w:sz w:val="36"/>
          <w:szCs w:val="36"/>
          <w:highlight w:val="none"/>
        </w:rPr>
      </w:pPr>
      <w:r>
        <w:rPr>
          <w:rFonts w:ascii="宋体" w:hAnsi="宋体" w:eastAsia="宋体" w:cs="宋体"/>
          <w:b/>
          <w:bCs/>
          <w:color w:val="auto"/>
          <w:sz w:val="36"/>
          <w:szCs w:val="36"/>
          <w:highlight w:val="none"/>
        </w:rPr>
        <w:t>（资格文件）</w:t>
      </w:r>
    </w:p>
    <w:p w14:paraId="424DDE6C">
      <w:pPr>
        <w:spacing w:line="240" w:lineRule="auto"/>
        <w:jc w:val="center"/>
        <w:rPr>
          <w:rFonts w:hint="default" w:ascii="宋体" w:hAnsi="宋体" w:eastAsia="宋体" w:cs="宋体"/>
          <w:b/>
          <w:bCs/>
          <w:color w:val="auto"/>
          <w:sz w:val="28"/>
          <w:szCs w:val="28"/>
          <w:highlight w:val="none"/>
        </w:rPr>
      </w:pPr>
      <w:r>
        <w:rPr>
          <w:rFonts w:ascii="宋体" w:hAnsi="宋体" w:eastAsia="宋体" w:cs="宋体"/>
          <w:b/>
          <w:bCs/>
          <w:color w:val="auto"/>
          <w:sz w:val="28"/>
          <w:szCs w:val="28"/>
          <w:highlight w:val="none"/>
        </w:rPr>
        <w:t>项目编号：</w:t>
      </w:r>
    </w:p>
    <w:p w14:paraId="3D70F800">
      <w:pPr>
        <w:spacing w:line="240" w:lineRule="auto"/>
        <w:jc w:val="center"/>
        <w:rPr>
          <w:rFonts w:hint="default" w:ascii="宋体" w:hAnsi="宋体" w:eastAsia="宋体" w:cs="宋体"/>
          <w:b/>
          <w:bCs/>
          <w:color w:val="auto"/>
          <w:sz w:val="28"/>
          <w:szCs w:val="28"/>
          <w:highlight w:val="none"/>
        </w:rPr>
      </w:pPr>
    </w:p>
    <w:p w14:paraId="768A667B">
      <w:pPr>
        <w:autoSpaceDE w:val="0"/>
        <w:autoSpaceDN w:val="0"/>
        <w:adjustRightInd w:val="0"/>
        <w:spacing w:line="360" w:lineRule="auto"/>
        <w:rPr>
          <w:rFonts w:hint="default" w:ascii="宋体" w:hAnsi="宋体" w:eastAsia="宋体" w:cs="宋体"/>
          <w:b/>
          <w:color w:val="auto"/>
          <w:sz w:val="32"/>
          <w:szCs w:val="32"/>
          <w:highlight w:val="none"/>
        </w:rPr>
      </w:pPr>
    </w:p>
    <w:p w14:paraId="7C9C0BCB">
      <w:pPr>
        <w:autoSpaceDE w:val="0"/>
        <w:autoSpaceDN w:val="0"/>
        <w:adjustRightInd w:val="0"/>
        <w:spacing w:line="360" w:lineRule="auto"/>
        <w:rPr>
          <w:rFonts w:hint="default" w:ascii="宋体" w:hAnsi="宋体" w:eastAsia="宋体" w:cs="宋体"/>
          <w:b/>
          <w:color w:val="auto"/>
          <w:sz w:val="32"/>
          <w:szCs w:val="32"/>
          <w:highlight w:val="none"/>
        </w:rPr>
      </w:pPr>
    </w:p>
    <w:p w14:paraId="6EBE22D7">
      <w:pPr>
        <w:autoSpaceDE w:val="0"/>
        <w:autoSpaceDN w:val="0"/>
        <w:adjustRightInd w:val="0"/>
        <w:spacing w:line="360" w:lineRule="auto"/>
        <w:rPr>
          <w:rFonts w:hint="default" w:ascii="宋体" w:hAnsi="宋体" w:eastAsia="宋体" w:cs="宋体"/>
          <w:b/>
          <w:color w:val="auto"/>
          <w:sz w:val="32"/>
          <w:szCs w:val="32"/>
          <w:highlight w:val="none"/>
        </w:rPr>
      </w:pPr>
    </w:p>
    <w:p w14:paraId="6AD35BC5">
      <w:pPr>
        <w:autoSpaceDE w:val="0"/>
        <w:autoSpaceDN w:val="0"/>
        <w:adjustRightInd w:val="0"/>
        <w:spacing w:line="360" w:lineRule="auto"/>
        <w:rPr>
          <w:rFonts w:hint="default" w:ascii="宋体" w:hAnsi="宋体" w:eastAsia="宋体" w:cs="宋体"/>
          <w:b/>
          <w:color w:val="auto"/>
          <w:sz w:val="32"/>
          <w:szCs w:val="32"/>
          <w:highlight w:val="none"/>
        </w:rPr>
      </w:pPr>
    </w:p>
    <w:p w14:paraId="489D12FB">
      <w:pPr>
        <w:autoSpaceDE w:val="0"/>
        <w:autoSpaceDN w:val="0"/>
        <w:adjustRightInd w:val="0"/>
        <w:spacing w:line="360" w:lineRule="auto"/>
        <w:rPr>
          <w:rFonts w:hint="default" w:ascii="宋体" w:hAnsi="宋体" w:eastAsia="宋体" w:cs="宋体"/>
          <w:b/>
          <w:color w:val="auto"/>
          <w:sz w:val="32"/>
          <w:szCs w:val="32"/>
          <w:highlight w:val="none"/>
        </w:rPr>
      </w:pPr>
      <w:r>
        <w:rPr>
          <w:rFonts w:ascii="宋体" w:hAnsi="宋体" w:eastAsia="宋体" w:cs="宋体"/>
          <w:b/>
          <w:color w:val="auto"/>
          <w:sz w:val="32"/>
          <w:szCs w:val="32"/>
          <w:highlight w:val="none"/>
        </w:rPr>
        <w:t>投标人名称（电子签章）：</w:t>
      </w:r>
      <w:r>
        <w:rPr>
          <w:rFonts w:ascii="宋体" w:hAnsi="宋体" w:eastAsia="宋体" w:cs="宋体"/>
          <w:b/>
          <w:color w:val="auto"/>
          <w:sz w:val="32"/>
          <w:szCs w:val="32"/>
          <w:highlight w:val="none"/>
          <w:u w:val="single"/>
        </w:rPr>
        <w:t xml:space="preserve">                             </w:t>
      </w:r>
    </w:p>
    <w:p w14:paraId="62A16FB9">
      <w:pPr>
        <w:autoSpaceDE w:val="0"/>
        <w:autoSpaceDN w:val="0"/>
        <w:adjustRightInd w:val="0"/>
        <w:spacing w:line="360" w:lineRule="auto"/>
        <w:rPr>
          <w:rFonts w:hint="default" w:ascii="宋体" w:hAnsi="宋体" w:eastAsia="宋体" w:cs="宋体"/>
          <w:b/>
          <w:color w:val="auto"/>
          <w:sz w:val="32"/>
          <w:szCs w:val="32"/>
          <w:highlight w:val="none"/>
        </w:rPr>
      </w:pPr>
    </w:p>
    <w:p w14:paraId="0B2B96BF">
      <w:pPr>
        <w:autoSpaceDE w:val="0"/>
        <w:autoSpaceDN w:val="0"/>
        <w:adjustRightInd w:val="0"/>
        <w:spacing w:line="360" w:lineRule="auto"/>
        <w:rPr>
          <w:rFonts w:hint="default" w:ascii="宋体" w:hAnsi="宋体" w:eastAsia="宋体" w:cs="宋体"/>
          <w:b/>
          <w:color w:val="auto"/>
          <w:sz w:val="32"/>
          <w:szCs w:val="32"/>
          <w:highlight w:val="none"/>
        </w:rPr>
      </w:pPr>
      <w:r>
        <w:rPr>
          <w:rFonts w:ascii="宋体" w:hAnsi="宋体" w:eastAsia="宋体" w:cs="宋体"/>
          <w:b/>
          <w:color w:val="auto"/>
          <w:sz w:val="32"/>
          <w:szCs w:val="32"/>
          <w:highlight w:val="none"/>
        </w:rPr>
        <w:t xml:space="preserve">法定代表人或授权代表(签字或盖章)： </w:t>
      </w:r>
      <w:r>
        <w:rPr>
          <w:rFonts w:ascii="宋体" w:hAnsi="宋体" w:eastAsia="宋体" w:cs="宋体"/>
          <w:b/>
          <w:color w:val="auto"/>
          <w:sz w:val="32"/>
          <w:szCs w:val="32"/>
          <w:highlight w:val="none"/>
          <w:u w:val="single"/>
        </w:rPr>
        <w:t xml:space="preserve">                  </w:t>
      </w:r>
    </w:p>
    <w:p w14:paraId="5B71A0EC">
      <w:pPr>
        <w:autoSpaceDE w:val="0"/>
        <w:autoSpaceDN w:val="0"/>
        <w:adjustRightInd w:val="0"/>
        <w:spacing w:line="360" w:lineRule="auto"/>
        <w:rPr>
          <w:rFonts w:hint="default" w:ascii="宋体" w:hAnsi="宋体" w:eastAsia="宋体" w:cs="宋体"/>
          <w:b/>
          <w:color w:val="auto"/>
          <w:sz w:val="32"/>
          <w:szCs w:val="32"/>
          <w:highlight w:val="none"/>
        </w:rPr>
      </w:pPr>
    </w:p>
    <w:p w14:paraId="72767462">
      <w:pPr>
        <w:autoSpaceDE w:val="0"/>
        <w:autoSpaceDN w:val="0"/>
        <w:adjustRightInd w:val="0"/>
        <w:spacing w:line="360" w:lineRule="auto"/>
        <w:jc w:val="center"/>
        <w:rPr>
          <w:rFonts w:hint="default" w:ascii="宋体" w:hAnsi="宋体" w:eastAsia="宋体" w:cs="宋体"/>
          <w:b/>
          <w:snapToGrid w:val="0"/>
          <w:color w:val="auto"/>
          <w:kern w:val="0"/>
          <w:sz w:val="32"/>
          <w:szCs w:val="32"/>
          <w:highlight w:val="none"/>
        </w:rPr>
      </w:pPr>
      <w:r>
        <w:rPr>
          <w:rFonts w:ascii="宋体" w:hAnsi="宋体" w:eastAsia="宋体" w:cs="宋体"/>
          <w:b/>
          <w:color w:val="auto"/>
          <w:sz w:val="32"/>
          <w:szCs w:val="32"/>
          <w:highlight w:val="none"/>
        </w:rPr>
        <w:t>时间：    年   月   日</w:t>
      </w:r>
    </w:p>
    <w:p w14:paraId="1C6889EF">
      <w:pPr>
        <w:rPr>
          <w:rFonts w:hint="default" w:ascii="宋体" w:hAnsi="宋体" w:eastAsia="宋体" w:cs="宋体"/>
          <w:b/>
          <w:snapToGrid w:val="0"/>
          <w:color w:val="auto"/>
          <w:kern w:val="0"/>
          <w:sz w:val="32"/>
          <w:szCs w:val="32"/>
          <w:highlight w:val="none"/>
        </w:rPr>
      </w:pPr>
      <w:r>
        <w:rPr>
          <w:rFonts w:ascii="宋体" w:hAnsi="宋体" w:eastAsia="宋体" w:cs="宋体"/>
          <w:b/>
          <w:snapToGrid w:val="0"/>
          <w:color w:val="auto"/>
          <w:kern w:val="0"/>
          <w:sz w:val="32"/>
          <w:szCs w:val="32"/>
          <w:highlight w:val="none"/>
        </w:rPr>
        <w:br w:type="page"/>
      </w:r>
    </w:p>
    <w:p w14:paraId="066CBF16">
      <w:pPr>
        <w:tabs>
          <w:tab w:val="left" w:pos="720"/>
        </w:tabs>
        <w:adjustRightInd w:val="0"/>
        <w:snapToGrid w:val="0"/>
        <w:spacing w:line="336" w:lineRule="auto"/>
        <w:jc w:val="center"/>
        <w:rPr>
          <w:rFonts w:hint="default" w:ascii="宋体" w:hAnsi="宋体" w:eastAsia="宋体" w:cs="宋体"/>
          <w:b/>
          <w:snapToGrid w:val="0"/>
          <w:color w:val="auto"/>
          <w:kern w:val="0"/>
          <w:sz w:val="32"/>
          <w:szCs w:val="32"/>
          <w:highlight w:val="none"/>
        </w:rPr>
      </w:pPr>
      <w:r>
        <w:rPr>
          <w:rFonts w:ascii="宋体" w:hAnsi="宋体" w:eastAsia="宋体" w:cs="宋体"/>
          <w:b/>
          <w:snapToGrid w:val="0"/>
          <w:color w:val="auto"/>
          <w:kern w:val="0"/>
          <w:sz w:val="32"/>
          <w:szCs w:val="32"/>
          <w:highlight w:val="none"/>
        </w:rPr>
        <w:t>资格文件目录</w:t>
      </w:r>
    </w:p>
    <w:p w14:paraId="2E45BDC1">
      <w:pPr>
        <w:spacing w:line="288" w:lineRule="auto"/>
        <w:ind w:firstLine="422" w:firstLineChars="200"/>
        <w:rPr>
          <w:rFonts w:hint="default" w:ascii="宋体" w:hAnsi="宋体" w:eastAsia="宋体" w:cs="宋体"/>
          <w:b/>
          <w:bCs/>
          <w:color w:val="auto"/>
          <w:szCs w:val="24"/>
          <w:highlight w:val="none"/>
        </w:rPr>
      </w:pPr>
      <w:r>
        <w:rPr>
          <w:rFonts w:ascii="宋体" w:hAnsi="宋体" w:eastAsia="宋体" w:cs="宋体"/>
          <w:b/>
          <w:bCs/>
          <w:color w:val="auto"/>
          <w:szCs w:val="24"/>
          <w:highlight w:val="none"/>
        </w:rPr>
        <w:t>1.投标声明书（格式附后）</w:t>
      </w:r>
    </w:p>
    <w:p w14:paraId="68E57678">
      <w:pPr>
        <w:spacing w:line="288" w:lineRule="auto"/>
        <w:ind w:firstLine="422" w:firstLineChars="200"/>
        <w:rPr>
          <w:rFonts w:hint="default" w:ascii="宋体" w:hAnsi="宋体" w:eastAsia="宋体" w:cs="宋体"/>
          <w:b/>
          <w:bCs/>
          <w:color w:val="auto"/>
          <w:szCs w:val="24"/>
          <w:highlight w:val="none"/>
        </w:rPr>
      </w:pPr>
      <w:r>
        <w:rPr>
          <w:rFonts w:ascii="宋体" w:hAnsi="宋体" w:eastAsia="宋体" w:cs="宋体"/>
          <w:b/>
          <w:bCs/>
          <w:color w:val="auto"/>
          <w:szCs w:val="24"/>
          <w:highlight w:val="none"/>
        </w:rPr>
        <w:t>2.资格承诺函（格式附后）</w:t>
      </w:r>
    </w:p>
    <w:p w14:paraId="678D5E6B">
      <w:pPr>
        <w:spacing w:line="288" w:lineRule="auto"/>
        <w:ind w:firstLine="422" w:firstLineChars="200"/>
        <w:rPr>
          <w:rFonts w:hint="default" w:ascii="宋体" w:hAnsi="宋体" w:eastAsia="宋体" w:cs="宋体"/>
          <w:b/>
          <w:bCs/>
          <w:color w:val="auto"/>
          <w:sz w:val="30"/>
          <w:szCs w:val="24"/>
          <w:highlight w:val="none"/>
        </w:rPr>
      </w:pPr>
      <w:r>
        <w:rPr>
          <w:rFonts w:ascii="宋体" w:hAnsi="宋体" w:eastAsia="宋体" w:cs="宋体"/>
          <w:b/>
          <w:bCs/>
          <w:color w:val="auto"/>
          <w:szCs w:val="24"/>
          <w:highlight w:val="none"/>
        </w:rPr>
        <w:t>3.具有独立承担民事责任能力的说明材料：</w:t>
      </w:r>
    </w:p>
    <w:p w14:paraId="748D734E">
      <w:pPr>
        <w:spacing w:line="288" w:lineRule="auto"/>
        <w:ind w:firstLine="420" w:firstLineChars="200"/>
        <w:rPr>
          <w:rFonts w:hint="default"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投标人须在投标文件中出具符合以下情况的说明材料复印件（五选一）：</w:t>
      </w:r>
    </w:p>
    <w:p w14:paraId="0BACDBD1">
      <w:pPr>
        <w:spacing w:line="288" w:lineRule="auto"/>
        <w:ind w:firstLine="420" w:firstLineChars="200"/>
        <w:rPr>
          <w:rFonts w:hint="default"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①如投标人是企业（包括合伙企业），提供在工商部门注册的有效“企业法人营业执照”或“营业执照”；</w:t>
      </w:r>
    </w:p>
    <w:p w14:paraId="0F098401">
      <w:pPr>
        <w:spacing w:line="288" w:lineRule="auto"/>
        <w:ind w:firstLine="420" w:firstLineChars="200"/>
        <w:rPr>
          <w:rFonts w:hint="default"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②如投标人是事业单位，提供有效的“事业单位法人证书”；</w:t>
      </w:r>
    </w:p>
    <w:p w14:paraId="2FD39BB7">
      <w:pPr>
        <w:spacing w:line="288" w:lineRule="auto"/>
        <w:ind w:firstLine="420" w:firstLineChars="200"/>
        <w:rPr>
          <w:rFonts w:hint="default"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③如投标人是非企业专业服务机构的，提供执业许可证等说明文件；</w:t>
      </w:r>
    </w:p>
    <w:p w14:paraId="71A4BFCE">
      <w:pPr>
        <w:spacing w:line="288" w:lineRule="auto"/>
        <w:ind w:firstLine="420" w:firstLineChars="200"/>
        <w:rPr>
          <w:rFonts w:hint="default"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④如投标人是个体工商户，提供有效的“个体工商户营业执照”；</w:t>
      </w:r>
    </w:p>
    <w:p w14:paraId="5755A998">
      <w:pPr>
        <w:spacing w:line="288" w:lineRule="auto"/>
        <w:ind w:firstLine="420" w:firstLineChars="200"/>
        <w:rPr>
          <w:rFonts w:hint="default"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⑤如投标人是自然人，提供有效的自然人身份说明（居民身份证正反面或公安机关出具的临时居民身份证正反面或港澳台胞证或护照）。</w:t>
      </w:r>
    </w:p>
    <w:p w14:paraId="2E2A53B7">
      <w:pPr>
        <w:spacing w:line="288" w:lineRule="auto"/>
        <w:ind w:firstLine="420" w:firstLineChars="200"/>
        <w:rPr>
          <w:rFonts w:hint="default"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2E58DFAD">
      <w:pPr>
        <w:spacing w:line="288" w:lineRule="auto"/>
        <w:ind w:firstLine="420" w:firstLineChars="200"/>
        <w:rPr>
          <w:rFonts w:hint="default" w:asciiTheme="minorEastAsia" w:hAnsiTheme="minorEastAsia" w:eastAsiaTheme="minorEastAsia" w:cstheme="minorEastAsia"/>
          <w:color w:val="auto"/>
          <w:szCs w:val="21"/>
          <w:highlight w:val="none"/>
          <w:u w:val="single"/>
        </w:rPr>
      </w:pPr>
      <w:r>
        <w:rPr>
          <w:rFonts w:asciiTheme="minorEastAsia" w:hAnsiTheme="minorEastAsia" w:eastAsiaTheme="minorEastAsia" w:cstheme="minorEastAsia"/>
          <w:color w:val="auto"/>
          <w:szCs w:val="21"/>
          <w:highlight w:val="none"/>
          <w:u w:val="single"/>
        </w:rPr>
        <w:t>接受联合体投标的项目，投标供应商为联合体的，联合体各方均须提供。</w:t>
      </w:r>
    </w:p>
    <w:p w14:paraId="1E4B582A">
      <w:pPr>
        <w:keepNext w:val="0"/>
        <w:keepLines w:val="0"/>
        <w:pageBreakBefore w:val="0"/>
        <w:widowControl w:val="0"/>
        <w:kinsoku/>
        <w:wordWrap/>
        <w:overflowPunct/>
        <w:topLinePunct w:val="0"/>
        <w:autoSpaceDE/>
        <w:autoSpaceDN/>
        <w:bidi w:val="0"/>
        <w:adjustRightInd/>
        <w:snapToGrid/>
        <w:spacing w:after="0" w:afterLines="0" w:line="312" w:lineRule="auto"/>
        <w:ind w:firstLine="422" w:firstLineChars="20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4"/>
          <w:highlight w:val="none"/>
        </w:rPr>
        <w:t>4.落实政府采购政策需满足的资格要求：</w:t>
      </w:r>
      <w:r>
        <w:rPr>
          <w:rFonts w:hint="eastAsia" w:asciiTheme="minorEastAsia" w:hAnsiTheme="minorEastAsia" w:eastAsiaTheme="minorEastAsia" w:cstheme="minorEastAsia"/>
          <w:snapToGrid w:val="0"/>
          <w:color w:val="auto"/>
          <w:kern w:val="28"/>
          <w:sz w:val="21"/>
          <w:szCs w:val="21"/>
          <w:highlight w:val="none"/>
        </w:rPr>
        <w:t>本项目专门面向中小企业采购，服务全部由符合政策要求的中小企业承接</w:t>
      </w:r>
      <w:r>
        <w:rPr>
          <w:rFonts w:hint="eastAsia" w:ascii="宋体" w:hAnsi="宋体" w:eastAsia="宋体" w:cs="宋体"/>
          <w:b/>
          <w:bCs/>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（本项目属于预留份额专门面向中小企业采购的项目，根据《关于印发中小企业划型标准规定的通知》（工信部联企业〔2011〕300 号）规定，本项目采购标的对应的中小企业划分标准</w:t>
      </w:r>
      <w:r>
        <w:rPr>
          <w:rFonts w:hint="eastAsia" w:ascii="宋体" w:hAnsi="宋体" w:eastAsia="宋体" w:cs="宋体"/>
          <w:b/>
          <w:bCs/>
          <w:color w:val="auto"/>
          <w:kern w:val="2"/>
          <w:sz w:val="21"/>
          <w:szCs w:val="21"/>
          <w:highlight w:val="none"/>
          <w:lang w:val="en-US" w:eastAsia="zh-CN" w:bidi="ar-SA"/>
        </w:rPr>
        <w:t>所属行业为</w:t>
      </w:r>
      <w:r>
        <w:rPr>
          <w:rFonts w:hint="eastAsia" w:ascii="宋体" w:hAnsi="宋体" w:eastAsia="宋体" w:cs="宋体"/>
          <w:b/>
          <w:bCs/>
          <w:color w:val="auto"/>
          <w:kern w:val="2"/>
          <w:sz w:val="21"/>
          <w:szCs w:val="21"/>
          <w:highlight w:val="none"/>
          <w:u w:val="single"/>
          <w:lang w:val="en-US" w:eastAsia="zh-CN" w:bidi="ar-SA"/>
        </w:rPr>
        <w:t>（十二）软件和信息技术服务业</w:t>
      </w:r>
      <w:r>
        <w:rPr>
          <w:rFonts w:hint="eastAsia" w:ascii="宋体" w:hAnsi="宋体" w:eastAsia="宋体" w:cs="宋体"/>
          <w:b/>
          <w:bCs/>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w:t>
      </w:r>
    </w:p>
    <w:p w14:paraId="357652C9">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投标人须在投标文件中出具符合以下情况的说明材料复印件（三选一）：</w:t>
      </w:r>
    </w:p>
    <w:p w14:paraId="6A7D3F63">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①投标人为中小企业的，投标文件中提供《中小企业声明函》（格式附后）；</w:t>
      </w:r>
    </w:p>
    <w:p w14:paraId="1B0E8154">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②投标人为残疾人福利单位的，在投标文件中提供《残疾人福利性单位声明函》（格式附后）；</w:t>
      </w:r>
    </w:p>
    <w:p w14:paraId="48788D29">
      <w:pPr>
        <w:spacing w:line="288" w:lineRule="auto"/>
        <w:ind w:firstLine="420" w:firstLineChars="200"/>
        <w:rPr>
          <w:rFonts w:hint="default" w:asciiTheme="minorEastAsia" w:hAnsiTheme="minorEastAsia" w:eastAsiaTheme="minorEastAsia" w:cstheme="minorEastAsia"/>
          <w:b/>
          <w:bCs/>
          <w:color w:val="auto"/>
          <w:szCs w:val="24"/>
          <w:highlight w:val="none"/>
          <w:lang w:val="en-US" w:eastAsia="zh-CN"/>
        </w:rPr>
      </w:pPr>
      <w:r>
        <w:rPr>
          <w:rFonts w:hint="eastAsia" w:ascii="宋体" w:hAnsi="宋体" w:eastAsia="宋体" w:cs="宋体"/>
          <w:color w:val="auto"/>
          <w:kern w:val="2"/>
          <w:sz w:val="21"/>
          <w:szCs w:val="21"/>
          <w:highlight w:val="none"/>
          <w:lang w:val="en-US" w:eastAsia="zh-CN" w:bidi="ar-SA"/>
        </w:rPr>
        <w:t>③投标人为监狱企业的，在投标文件中提供由省级以上监狱管理局、戒毒管理局（含新疆生产建设兵团）出具的属于监狱企业的说明文件（格式自拟）。</w:t>
      </w:r>
    </w:p>
    <w:p w14:paraId="05B06CAE">
      <w:pPr>
        <w:spacing w:line="288" w:lineRule="auto"/>
        <w:rPr>
          <w:rFonts w:hint="default" w:asciiTheme="minorEastAsia" w:hAnsiTheme="minorEastAsia" w:eastAsiaTheme="minorEastAsia" w:cstheme="minorEastAsia"/>
          <w:b/>
          <w:bCs/>
          <w:color w:val="auto"/>
          <w:szCs w:val="21"/>
          <w:highlight w:val="none"/>
        </w:rPr>
      </w:pPr>
    </w:p>
    <w:p w14:paraId="1B86A0F1">
      <w:pPr>
        <w:spacing w:line="288" w:lineRule="auto"/>
        <w:ind w:firstLine="422" w:firstLineChars="200"/>
        <w:rPr>
          <w:rFonts w:hint="default" w:asciiTheme="minorEastAsia" w:hAnsiTheme="minorEastAsia" w:eastAsiaTheme="minorEastAsia" w:cstheme="minorEastAsia"/>
          <w:b/>
          <w:bCs/>
          <w:color w:val="auto"/>
          <w:szCs w:val="21"/>
          <w:highlight w:val="none"/>
        </w:rPr>
      </w:pPr>
      <w:r>
        <w:rPr>
          <w:rFonts w:asciiTheme="minorEastAsia" w:hAnsiTheme="minorEastAsia" w:eastAsiaTheme="minorEastAsia" w:cstheme="minorEastAsia"/>
          <w:b/>
          <w:bCs/>
          <w:color w:val="auto"/>
          <w:szCs w:val="21"/>
          <w:highlight w:val="none"/>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20335FB4">
      <w:pPr>
        <w:spacing w:line="288" w:lineRule="auto"/>
        <w:ind w:firstLine="482" w:firstLineChars="200"/>
        <w:rPr>
          <w:rFonts w:hint="default" w:asciiTheme="minorEastAsia" w:hAnsiTheme="minorEastAsia" w:eastAsiaTheme="minorEastAsia" w:cstheme="minorEastAsia"/>
          <w:b/>
          <w:bCs/>
          <w:color w:val="auto"/>
          <w:sz w:val="24"/>
          <w:szCs w:val="24"/>
          <w:highlight w:val="none"/>
          <w:u w:val="single"/>
        </w:rPr>
      </w:pPr>
    </w:p>
    <w:p w14:paraId="533478A4">
      <w:pPr>
        <w:spacing w:line="288" w:lineRule="auto"/>
        <w:jc w:val="center"/>
        <w:rPr>
          <w:rFonts w:hint="default" w:ascii="宋体" w:hAnsi="宋体" w:eastAsia="宋体" w:cs="宋体"/>
          <w:b/>
          <w:color w:val="auto"/>
          <w:sz w:val="24"/>
          <w:szCs w:val="24"/>
          <w:highlight w:val="none"/>
        </w:rPr>
      </w:pPr>
      <w:r>
        <w:rPr>
          <w:rFonts w:asciiTheme="minorEastAsia" w:hAnsiTheme="minorEastAsia" w:eastAsiaTheme="minorEastAsia" w:cstheme="minorEastAsia"/>
          <w:b/>
          <w:bCs/>
          <w:color w:val="auto"/>
          <w:sz w:val="24"/>
          <w:szCs w:val="24"/>
          <w:highlight w:val="none"/>
          <w:u w:val="single"/>
        </w:rPr>
        <w:t>附后无格式部分由投标人根据招标文件规定自行编制</w:t>
      </w:r>
    </w:p>
    <w:p w14:paraId="0FA3CC01">
      <w:pPr>
        <w:rPr>
          <w:rFonts w:hint="default" w:ascii="宋体" w:hAnsi="宋体" w:eastAsia="宋体" w:cs="宋体"/>
          <w:b/>
          <w:bCs/>
          <w:color w:val="auto"/>
          <w:sz w:val="30"/>
          <w:szCs w:val="24"/>
          <w:highlight w:val="none"/>
        </w:rPr>
      </w:pPr>
      <w:r>
        <w:rPr>
          <w:rFonts w:ascii="宋体" w:hAnsi="宋体" w:eastAsia="宋体" w:cs="宋体"/>
          <w:b/>
          <w:color w:val="auto"/>
          <w:sz w:val="24"/>
          <w:szCs w:val="24"/>
          <w:highlight w:val="none"/>
        </w:rPr>
        <w:br w:type="page"/>
      </w:r>
      <w:r>
        <w:rPr>
          <w:rFonts w:ascii="宋体" w:hAnsi="宋体" w:eastAsia="宋体" w:cs="宋体"/>
          <w:b/>
          <w:color w:val="auto"/>
          <w:sz w:val="24"/>
          <w:szCs w:val="24"/>
          <w:highlight w:val="none"/>
        </w:rPr>
        <w:t>投标声明书格式</w:t>
      </w:r>
      <w:r>
        <w:rPr>
          <w:rFonts w:ascii="宋体" w:hAnsi="宋体" w:eastAsia="宋体" w:cs="宋体"/>
          <w:color w:val="auto"/>
          <w:sz w:val="24"/>
          <w:szCs w:val="24"/>
          <w:highlight w:val="none"/>
        </w:rPr>
        <w:t>：</w:t>
      </w:r>
    </w:p>
    <w:p w14:paraId="508F96D8">
      <w:pPr>
        <w:snapToGrid w:val="0"/>
        <w:spacing w:beforeLines="50" w:after="50" w:line="240" w:lineRule="auto"/>
        <w:jc w:val="center"/>
        <w:rPr>
          <w:rFonts w:hint="default" w:ascii="宋体" w:hAnsi="宋体" w:eastAsia="宋体" w:cs="宋体"/>
          <w:b/>
          <w:bCs/>
          <w:color w:val="auto"/>
          <w:sz w:val="24"/>
          <w:highlight w:val="none"/>
        </w:rPr>
      </w:pPr>
      <w:r>
        <w:rPr>
          <w:rFonts w:ascii="宋体" w:hAnsi="宋体" w:eastAsia="宋体" w:cs="宋体"/>
          <w:b/>
          <w:bCs/>
          <w:color w:val="auto"/>
          <w:sz w:val="30"/>
          <w:szCs w:val="24"/>
          <w:highlight w:val="none"/>
        </w:rPr>
        <w:t>投标声明书</w:t>
      </w:r>
    </w:p>
    <w:p w14:paraId="1D66AC73">
      <w:pPr>
        <w:snapToGrid w:val="0"/>
        <w:spacing w:beforeLines="50" w:after="50" w:line="240" w:lineRule="auto"/>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szCs w:val="24"/>
          <w:highlight w:val="none"/>
        </w:rPr>
        <w:t>致：</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rPr>
        <w:t>（采购单位名称）：</w:t>
      </w:r>
    </w:p>
    <w:p w14:paraId="1ECA62AE">
      <w:pPr>
        <w:snapToGrid w:val="0"/>
        <w:spacing w:beforeLines="50" w:after="50" w:line="240" w:lineRule="auto"/>
        <w:ind w:firstLine="720" w:firstLineChars="3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rPr>
        <w:t>（投标人名称）系中华人民共和国合法企业，经营地址</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rPr>
        <w:t>。</w:t>
      </w:r>
    </w:p>
    <w:p w14:paraId="2EDC45AE">
      <w:pPr>
        <w:snapToGrid w:val="0"/>
        <w:spacing w:beforeLines="50" w:after="50" w:line="240" w:lineRule="auto"/>
        <w:ind w:firstLine="645"/>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szCs w:val="24"/>
          <w:highlight w:val="none"/>
        </w:rPr>
        <w:t>我</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rPr>
        <w:t>（姓名）系</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rPr>
        <w:t>（投标人名称）的法定代表人，我方愿意参加贵方组织的</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rPr>
        <w:t>项目的投标，为便于贵方公正、择优地确定中标人及其投标产品和服务，我方就本次投标有关事项郑重声明如下：</w:t>
      </w:r>
    </w:p>
    <w:p w14:paraId="0C83859B">
      <w:pPr>
        <w:spacing w:line="240" w:lineRule="auto"/>
        <w:ind w:firstLine="464" w:firstLineChars="200"/>
        <w:rPr>
          <w:rFonts w:hint="default" w:asciiTheme="minorEastAsia" w:hAnsiTheme="minorEastAsia" w:eastAsiaTheme="minorEastAsia" w:cstheme="minorEastAsia"/>
          <w:color w:val="auto"/>
          <w:spacing w:val="-4"/>
          <w:sz w:val="24"/>
          <w:szCs w:val="24"/>
          <w:highlight w:val="none"/>
        </w:rPr>
      </w:pPr>
      <w:r>
        <w:rPr>
          <w:rFonts w:asciiTheme="minorEastAsia" w:hAnsiTheme="minorEastAsia" w:eastAsiaTheme="minorEastAsia" w:cstheme="minorEastAsia"/>
          <w:color w:val="auto"/>
          <w:spacing w:val="-4"/>
          <w:sz w:val="24"/>
          <w:highlight w:val="none"/>
        </w:rPr>
        <w:t>1.我方向贵方提交的所有投标文件、资料都是准确的和真实的。若未中标，我单位同意采购人免费采用我单位全部或部分方案。</w:t>
      </w:r>
    </w:p>
    <w:p w14:paraId="38E0CA35">
      <w:pPr>
        <w:snapToGrid w:val="0"/>
        <w:spacing w:beforeLines="50" w:line="24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szCs w:val="24"/>
          <w:highlight w:val="none"/>
        </w:rPr>
        <w:t>2. 我们承诺，与为采购人采购本次招标的服务进行编制规范和其他文件所委托的咨询公司或其附属机构无任何直接或间接的关联。</w:t>
      </w:r>
    </w:p>
    <w:p w14:paraId="3E62E189">
      <w:pPr>
        <w:snapToGrid w:val="0"/>
        <w:spacing w:beforeLines="50" w:line="24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szCs w:val="24"/>
          <w:highlight w:val="none"/>
        </w:rPr>
        <w:t>3.我方此次向贵方提供的服务名称为：</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bCs/>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rPr>
        <w:t>，该服务我方有能力完成。</w:t>
      </w:r>
    </w:p>
    <w:p w14:paraId="5E535E75">
      <w:pPr>
        <w:snapToGrid w:val="0"/>
        <w:spacing w:beforeLines="50" w:line="240" w:lineRule="auto"/>
        <w:ind w:firstLine="480" w:firstLineChars="200"/>
        <w:rPr>
          <w:rFonts w:hint="default" w:asciiTheme="minorEastAsia" w:hAnsiTheme="minorEastAsia" w:eastAsiaTheme="minorEastAsia" w:cstheme="minorEastAsia"/>
          <w:color w:val="auto"/>
          <w:sz w:val="24"/>
          <w:highlight w:val="none"/>
          <w:u w:val="single"/>
        </w:rPr>
      </w:pPr>
      <w:r>
        <w:rPr>
          <w:rFonts w:asciiTheme="minorEastAsia" w:hAnsiTheme="minorEastAsia" w:eastAsiaTheme="minorEastAsia" w:cstheme="minorEastAsia"/>
          <w:color w:val="auto"/>
          <w:sz w:val="24"/>
          <w:szCs w:val="24"/>
          <w:highlight w:val="none"/>
        </w:rPr>
        <w:t>4.我方诚意提请贵方关注：近期有关服务的组织、人员、能力、售后服务等方面的重大决策和事项有：</w:t>
      </w:r>
      <w:r>
        <w:rPr>
          <w:rFonts w:asciiTheme="minorEastAsia" w:hAnsiTheme="minorEastAsia" w:eastAsiaTheme="minorEastAsia" w:cstheme="minorEastAsia"/>
          <w:color w:val="auto"/>
          <w:sz w:val="24"/>
          <w:szCs w:val="24"/>
          <w:highlight w:val="none"/>
          <w:u w:val="single"/>
        </w:rPr>
        <w:t>　　　　　　　　　　　　　　　　　　　　　　　　　</w:t>
      </w:r>
    </w:p>
    <w:p w14:paraId="73420C67">
      <w:pPr>
        <w:snapToGrid w:val="0"/>
        <w:spacing w:line="240" w:lineRule="auto"/>
        <w:ind w:firstLine="464" w:firstLineChars="200"/>
        <w:rPr>
          <w:rFonts w:hint="default" w:asciiTheme="minorEastAsia" w:hAnsiTheme="minorEastAsia" w:eastAsiaTheme="minorEastAsia" w:cstheme="minorEastAsia"/>
          <w:color w:val="auto"/>
          <w:spacing w:val="-4"/>
          <w:sz w:val="24"/>
          <w:highlight w:val="none"/>
          <w:u w:val="single"/>
        </w:rPr>
      </w:pPr>
      <w:r>
        <w:rPr>
          <w:rFonts w:asciiTheme="minorEastAsia" w:hAnsiTheme="minorEastAsia" w:eastAsiaTheme="minorEastAsia" w:cstheme="minorEastAsia"/>
          <w:color w:val="auto"/>
          <w:spacing w:val="-4"/>
          <w:sz w:val="24"/>
          <w:highlight w:val="none"/>
        </w:rPr>
        <w:t>5.我方及由本人担任法定代表人的其他机构最近三年内被通报或者被处罚的违法行为有：</w:t>
      </w:r>
      <w:r>
        <w:rPr>
          <w:rFonts w:asciiTheme="minorEastAsia" w:hAnsiTheme="minorEastAsia" w:eastAsiaTheme="minorEastAsia" w:cstheme="minorEastAsia"/>
          <w:color w:val="auto"/>
          <w:spacing w:val="-4"/>
          <w:sz w:val="24"/>
          <w:highlight w:val="none"/>
          <w:u w:val="single"/>
        </w:rPr>
        <w:t>　　　　　　　　　　　　　　　　　　　　　　　　　　　</w:t>
      </w:r>
    </w:p>
    <w:p w14:paraId="43F204BE">
      <w:pPr>
        <w:spacing w:line="240" w:lineRule="auto"/>
        <w:ind w:firstLine="464" w:firstLineChars="200"/>
        <w:rPr>
          <w:rFonts w:hint="default" w:asciiTheme="minorEastAsia" w:hAnsiTheme="minorEastAsia" w:eastAsiaTheme="minorEastAsia" w:cstheme="minorEastAsia"/>
          <w:color w:val="auto"/>
          <w:spacing w:val="-4"/>
          <w:sz w:val="24"/>
          <w:szCs w:val="24"/>
          <w:highlight w:val="none"/>
        </w:rPr>
      </w:pPr>
      <w:r>
        <w:rPr>
          <w:rFonts w:asciiTheme="minorEastAsia" w:hAnsiTheme="minorEastAsia" w:eastAsiaTheme="minorEastAsia" w:cstheme="minorEastAsia"/>
          <w:color w:val="auto"/>
          <w:spacing w:val="-4"/>
          <w:sz w:val="24"/>
          <w:highlight w:val="none"/>
        </w:rPr>
        <w:t>6.</w:t>
      </w:r>
      <w:r>
        <w:rPr>
          <w:rFonts w:asciiTheme="minorEastAsia" w:hAnsiTheme="minorEastAsia" w:eastAsiaTheme="minorEastAsia" w:cstheme="minorEastAsia"/>
          <w:color w:val="auto"/>
          <w:spacing w:val="-4"/>
          <w:sz w:val="24"/>
          <w:szCs w:val="24"/>
          <w:highlight w:val="none"/>
        </w:rPr>
        <w:t>我们已详细审查全部招标文件及有关的澄清、修改文件（若有的话），我们完全理解并同意放弃对这方面提出任何异议的权利。保证遵守招标文件有关条款规定。</w:t>
      </w:r>
    </w:p>
    <w:p w14:paraId="2513D4A4">
      <w:pPr>
        <w:spacing w:line="240" w:lineRule="auto"/>
        <w:ind w:firstLine="464" w:firstLineChars="200"/>
        <w:rPr>
          <w:rFonts w:hint="default" w:asciiTheme="minorEastAsia" w:hAnsiTheme="minorEastAsia" w:eastAsiaTheme="minorEastAsia" w:cstheme="minorEastAsia"/>
          <w:color w:val="auto"/>
          <w:spacing w:val="-4"/>
          <w:sz w:val="24"/>
          <w:szCs w:val="24"/>
          <w:highlight w:val="none"/>
        </w:rPr>
      </w:pPr>
      <w:r>
        <w:rPr>
          <w:rFonts w:asciiTheme="minorEastAsia" w:hAnsiTheme="minorEastAsia" w:eastAsiaTheme="minorEastAsia" w:cstheme="minorEastAsia"/>
          <w:color w:val="auto"/>
          <w:spacing w:val="-4"/>
          <w:sz w:val="24"/>
          <w:highlight w:val="none"/>
        </w:rPr>
        <w:t>7.</w:t>
      </w:r>
      <w:r>
        <w:rPr>
          <w:rFonts w:asciiTheme="minorEastAsia" w:hAnsiTheme="minorEastAsia" w:eastAsiaTheme="minorEastAsia" w:cstheme="minorEastAsia"/>
          <w:color w:val="auto"/>
          <w:spacing w:val="-4"/>
          <w:sz w:val="24"/>
          <w:szCs w:val="24"/>
          <w:highlight w:val="none"/>
        </w:rPr>
        <w:t xml:space="preserve"> 保证在中标后忠实地执行与采购人所签署的合同，并承担合同规定的责任义务。保证在中标后按照招标文件的规定支付采购代理服务费。承诺按采购人要求做好保密工作。</w:t>
      </w:r>
    </w:p>
    <w:p w14:paraId="78C58018">
      <w:pPr>
        <w:spacing w:line="240" w:lineRule="auto"/>
        <w:ind w:firstLine="464" w:firstLineChars="200"/>
        <w:rPr>
          <w:rFonts w:hint="default" w:asciiTheme="minorEastAsia" w:hAnsiTheme="minorEastAsia" w:eastAsiaTheme="minorEastAsia" w:cstheme="minorEastAsia"/>
          <w:color w:val="auto"/>
          <w:spacing w:val="-4"/>
          <w:sz w:val="24"/>
          <w:szCs w:val="24"/>
          <w:highlight w:val="none"/>
        </w:rPr>
      </w:pPr>
      <w:r>
        <w:rPr>
          <w:rFonts w:asciiTheme="minorEastAsia" w:hAnsiTheme="minorEastAsia" w:eastAsiaTheme="minorEastAsia" w:cstheme="minorEastAsia"/>
          <w:color w:val="auto"/>
          <w:spacing w:val="-4"/>
          <w:sz w:val="24"/>
          <w:highlight w:val="none"/>
        </w:rPr>
        <w:t>8.</w:t>
      </w:r>
      <w:r>
        <w:rPr>
          <w:rFonts w:asciiTheme="minorEastAsia" w:hAnsiTheme="minorEastAsia" w:eastAsiaTheme="minorEastAsia" w:cstheme="minorEastAsia"/>
          <w:color w:val="auto"/>
          <w:spacing w:val="-4"/>
          <w:sz w:val="24"/>
          <w:szCs w:val="24"/>
          <w:highlight w:val="none"/>
        </w:rPr>
        <w:t xml:space="preserve"> 我们郑重声明：我公司符合政府采购法规定的参加采购活动应当具备的条件：具有健全的财务会计制度、依法缴纳税收和社会保障资金、参加本次采购活动之前的三年内，在经营活动中无重大违法活动，</w:t>
      </w:r>
      <w:r>
        <w:rPr>
          <w:rFonts w:asciiTheme="minorEastAsia" w:hAnsiTheme="minorEastAsia" w:eastAsiaTheme="minorEastAsia" w:cstheme="minorEastAsia"/>
          <w:color w:val="auto"/>
          <w:spacing w:val="-4"/>
          <w:sz w:val="24"/>
          <w:highlight w:val="none"/>
        </w:rPr>
        <w:t>并在人员、设备、技术、资金、售后服务等方面具有相应的服务能力</w:t>
      </w:r>
      <w:r>
        <w:rPr>
          <w:rFonts w:asciiTheme="minorEastAsia" w:hAnsiTheme="minorEastAsia" w:eastAsiaTheme="minorEastAsia" w:cstheme="minorEastAsia"/>
          <w:color w:val="auto"/>
          <w:spacing w:val="-4"/>
          <w:sz w:val="24"/>
          <w:szCs w:val="24"/>
          <w:highlight w:val="none"/>
        </w:rPr>
        <w:t>。我公司</w:t>
      </w:r>
      <w:r>
        <w:rPr>
          <w:rFonts w:asciiTheme="minorEastAsia" w:hAnsiTheme="minorEastAsia" w:eastAsiaTheme="minorEastAsia" w:cstheme="minorEastAsia"/>
          <w:color w:val="auto"/>
          <w:spacing w:val="-4"/>
          <w:sz w:val="24"/>
          <w:highlight w:val="none"/>
        </w:rPr>
        <w:t>未被列入失信被执行人名单、重大税收违法失信主体、政府采购严重违法失信行为记录名单。</w:t>
      </w:r>
    </w:p>
    <w:p w14:paraId="0DDA758F">
      <w:pPr>
        <w:snapToGrid w:val="0"/>
        <w:spacing w:line="24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9.以上事项如有虚假或隐瞒，我方愿意承担一切后果，并不再寻求任何旨在减轻或免除法律责任的辩解。</w:t>
      </w:r>
    </w:p>
    <w:p w14:paraId="2476B529">
      <w:pPr>
        <w:snapToGrid w:val="0"/>
        <w:spacing w:beforeLines="50" w:line="240" w:lineRule="auto"/>
        <w:ind w:firstLine="200"/>
        <w:rPr>
          <w:rFonts w:hint="default" w:asciiTheme="minorEastAsia" w:hAnsiTheme="minorEastAsia" w:eastAsiaTheme="minorEastAsia" w:cstheme="minorEastAsia"/>
          <w:color w:val="auto"/>
          <w:sz w:val="24"/>
          <w:highlight w:val="none"/>
          <w:u w:val="single"/>
        </w:rPr>
      </w:pPr>
      <w:r>
        <w:rPr>
          <w:rFonts w:asciiTheme="minorEastAsia" w:hAnsiTheme="minorEastAsia" w:eastAsiaTheme="minorEastAsia" w:cstheme="minorEastAsia"/>
          <w:color w:val="auto"/>
          <w:sz w:val="24"/>
          <w:szCs w:val="24"/>
          <w:highlight w:val="none"/>
        </w:rPr>
        <w:t>法定代表人（签名或盖章）：</w:t>
      </w:r>
      <w:r>
        <w:rPr>
          <w:rFonts w:asciiTheme="minorEastAsia" w:hAnsiTheme="minorEastAsia" w:eastAsiaTheme="minorEastAsia" w:cstheme="minorEastAsia"/>
          <w:color w:val="auto"/>
          <w:sz w:val="24"/>
          <w:szCs w:val="24"/>
          <w:highlight w:val="none"/>
          <w:u w:val="single"/>
        </w:rPr>
        <w:t xml:space="preserve">             </w:t>
      </w:r>
    </w:p>
    <w:p w14:paraId="18186070">
      <w:pPr>
        <w:snapToGrid w:val="0"/>
        <w:spacing w:beforeLines="50" w:after="50" w:line="240" w:lineRule="auto"/>
        <w:ind w:firstLine="240" w:firstLineChars="1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投标人名称（电子签章）：</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rPr>
        <w:t xml:space="preserve">                    </w:t>
      </w:r>
    </w:p>
    <w:p w14:paraId="752927FB">
      <w:pPr>
        <w:snapToGrid w:val="0"/>
        <w:spacing w:before="50" w:afterLines="50" w:line="240" w:lineRule="auto"/>
        <w:jc w:val="left"/>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szCs w:val="24"/>
          <w:highlight w:val="none"/>
        </w:rPr>
        <w:t xml:space="preserve">  </w:t>
      </w:r>
      <w:r>
        <w:rPr>
          <w:rFonts w:asciiTheme="minorEastAsia" w:hAnsiTheme="minorEastAsia" w:eastAsiaTheme="minorEastAsia" w:cstheme="minorEastAsia"/>
          <w:snapToGrid w:val="0"/>
          <w:color w:val="auto"/>
          <w:kern w:val="0"/>
          <w:sz w:val="24"/>
          <w:szCs w:val="24"/>
          <w:highlight w:val="none"/>
        </w:rPr>
        <w:t>日期：</w:t>
      </w:r>
      <w:r>
        <w:rPr>
          <w:rFonts w:asciiTheme="minorEastAsia" w:hAnsiTheme="minorEastAsia" w:eastAsiaTheme="minorEastAsia" w:cstheme="minorEastAsia"/>
          <w:snapToGrid w:val="0"/>
          <w:color w:val="auto"/>
          <w:kern w:val="0"/>
          <w:sz w:val="24"/>
          <w:szCs w:val="24"/>
          <w:highlight w:val="none"/>
          <w:u w:val="single"/>
        </w:rPr>
        <w:t xml:space="preserve">        </w:t>
      </w:r>
      <w:r>
        <w:rPr>
          <w:rFonts w:asciiTheme="minorEastAsia" w:hAnsiTheme="minorEastAsia" w:eastAsiaTheme="minorEastAsia" w:cstheme="minorEastAsia"/>
          <w:snapToGrid w:val="0"/>
          <w:color w:val="auto"/>
          <w:kern w:val="0"/>
          <w:sz w:val="24"/>
          <w:szCs w:val="24"/>
          <w:highlight w:val="none"/>
        </w:rPr>
        <w:t>年</w:t>
      </w:r>
      <w:r>
        <w:rPr>
          <w:rFonts w:asciiTheme="minorEastAsia" w:hAnsiTheme="minorEastAsia" w:eastAsiaTheme="minorEastAsia" w:cstheme="minorEastAsia"/>
          <w:snapToGrid w:val="0"/>
          <w:color w:val="auto"/>
          <w:kern w:val="0"/>
          <w:sz w:val="24"/>
          <w:szCs w:val="24"/>
          <w:highlight w:val="none"/>
          <w:u w:val="single"/>
        </w:rPr>
        <w:t xml:space="preserve">       </w:t>
      </w:r>
      <w:r>
        <w:rPr>
          <w:rFonts w:asciiTheme="minorEastAsia" w:hAnsiTheme="minorEastAsia" w:eastAsiaTheme="minorEastAsia" w:cstheme="minorEastAsia"/>
          <w:snapToGrid w:val="0"/>
          <w:color w:val="auto"/>
          <w:kern w:val="0"/>
          <w:sz w:val="24"/>
          <w:szCs w:val="24"/>
          <w:highlight w:val="none"/>
        </w:rPr>
        <w:t>月</w:t>
      </w:r>
      <w:r>
        <w:rPr>
          <w:rFonts w:asciiTheme="minorEastAsia" w:hAnsiTheme="minorEastAsia" w:eastAsiaTheme="minorEastAsia" w:cstheme="minorEastAsia"/>
          <w:snapToGrid w:val="0"/>
          <w:color w:val="auto"/>
          <w:kern w:val="0"/>
          <w:sz w:val="24"/>
          <w:szCs w:val="24"/>
          <w:highlight w:val="none"/>
          <w:u w:val="single"/>
        </w:rPr>
        <w:t xml:space="preserve">       </w:t>
      </w:r>
      <w:r>
        <w:rPr>
          <w:rFonts w:asciiTheme="minorEastAsia" w:hAnsiTheme="minorEastAsia" w:eastAsiaTheme="minorEastAsia" w:cstheme="minorEastAsia"/>
          <w:snapToGrid w:val="0"/>
          <w:color w:val="auto"/>
          <w:kern w:val="0"/>
          <w:sz w:val="24"/>
          <w:szCs w:val="24"/>
          <w:highlight w:val="none"/>
        </w:rPr>
        <w:t>日</w:t>
      </w:r>
    </w:p>
    <w:p w14:paraId="2050DA8C">
      <w:pPr>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rPr>
        <w:br w:type="page"/>
      </w:r>
    </w:p>
    <w:p w14:paraId="0A7EF297">
      <w:pPr>
        <w:snapToGrid w:val="0"/>
        <w:spacing w:before="50" w:afterLines="50" w:line="360" w:lineRule="auto"/>
        <w:jc w:val="left"/>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rPr>
        <w:t>资格承诺函格式：</w:t>
      </w:r>
    </w:p>
    <w:p w14:paraId="68DA2E52">
      <w:pPr>
        <w:snapToGrid w:val="0"/>
        <w:spacing w:beforeLines="50" w:after="50" w:line="240" w:lineRule="auto"/>
        <w:jc w:val="center"/>
        <w:rPr>
          <w:rFonts w:hint="default" w:ascii="宋体" w:hAnsi="宋体" w:eastAsia="宋体" w:cs="宋体"/>
          <w:b/>
          <w:bCs/>
          <w:color w:val="auto"/>
          <w:sz w:val="30"/>
          <w:szCs w:val="24"/>
          <w:highlight w:val="none"/>
        </w:rPr>
      </w:pPr>
      <w:r>
        <w:rPr>
          <w:rFonts w:ascii="宋体" w:hAnsi="宋体" w:eastAsia="宋体" w:cs="宋体"/>
          <w:b/>
          <w:bCs/>
          <w:color w:val="auto"/>
          <w:sz w:val="30"/>
          <w:szCs w:val="24"/>
          <w:highlight w:val="none"/>
        </w:rPr>
        <w:t>资格承诺函</w:t>
      </w:r>
    </w:p>
    <w:p w14:paraId="30ADF1CC">
      <w:pPr>
        <w:tabs>
          <w:tab w:val="left" w:pos="0"/>
        </w:tabs>
        <w:snapToGrid w:val="0"/>
        <w:spacing w:line="360" w:lineRule="auto"/>
        <w:ind w:firstLine="240" w:firstLineChars="10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u w:val="single"/>
        </w:rPr>
        <w:t xml:space="preserve">                 （采购人）、（采购代理机构）</w:t>
      </w:r>
      <w:r>
        <w:rPr>
          <w:rFonts w:ascii="宋体" w:hAnsi="宋体" w:eastAsia="宋体" w:cs="宋体"/>
          <w:color w:val="auto"/>
          <w:kern w:val="0"/>
          <w:sz w:val="24"/>
          <w:szCs w:val="24"/>
          <w:highlight w:val="none"/>
        </w:rPr>
        <w:t>：</w:t>
      </w:r>
    </w:p>
    <w:p w14:paraId="0752EB62">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我方参与</w:t>
      </w:r>
      <w:r>
        <w:rPr>
          <w:rFonts w:ascii="宋体" w:hAnsi="宋体" w:eastAsia="宋体" w:cs="宋体"/>
          <w:b/>
          <w:color w:val="auto"/>
          <w:kern w:val="0"/>
          <w:szCs w:val="24"/>
          <w:highlight w:val="none"/>
          <w:u w:val="single"/>
        </w:rPr>
        <w:t xml:space="preserve">          </w:t>
      </w:r>
      <w:r>
        <w:rPr>
          <w:rFonts w:ascii="宋体" w:hAnsi="宋体" w:eastAsia="宋体" w:cs="宋体"/>
          <w:b/>
          <w:color w:val="auto"/>
          <w:kern w:val="0"/>
          <w:sz w:val="24"/>
          <w:szCs w:val="24"/>
          <w:highlight w:val="none"/>
          <w:u w:val="single"/>
        </w:rPr>
        <w:t xml:space="preserve">      </w:t>
      </w:r>
      <w:r>
        <w:rPr>
          <w:rFonts w:ascii="宋体" w:hAnsi="宋体" w:eastAsia="宋体" w:cs="宋体"/>
          <w:color w:val="auto"/>
          <w:sz w:val="24"/>
          <w:szCs w:val="24"/>
          <w:highlight w:val="none"/>
        </w:rPr>
        <w:t>（项目名称）</w:t>
      </w:r>
      <w:r>
        <w:rPr>
          <w:rFonts w:ascii="宋体" w:hAnsi="宋体" w:eastAsia="宋体" w:cs="宋体"/>
          <w:b/>
          <w:color w:val="auto"/>
          <w:kern w:val="0"/>
          <w:sz w:val="24"/>
          <w:szCs w:val="24"/>
          <w:highlight w:val="none"/>
          <w:u w:val="single"/>
        </w:rPr>
        <w:t>（项目编号：    ）</w:t>
      </w:r>
      <w:r>
        <w:rPr>
          <w:rFonts w:ascii="宋体" w:hAnsi="宋体" w:eastAsia="宋体" w:cs="宋体"/>
          <w:color w:val="auto"/>
          <w:kern w:val="0"/>
          <w:sz w:val="24"/>
          <w:szCs w:val="24"/>
          <w:highlight w:val="none"/>
        </w:rPr>
        <w:t>政府采购活动，郑重承诺：</w:t>
      </w:r>
    </w:p>
    <w:p w14:paraId="66F68D7C">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（一）具备《中华人民共和国政府采购法》第二十二条第一款规定的条件：</w:t>
      </w:r>
    </w:p>
    <w:p w14:paraId="184CC935">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1.具有独立承担民事责任的能力；</w:t>
      </w:r>
    </w:p>
    <w:p w14:paraId="2A873E02">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2.具有良好的商业信誉和健全的财务会计制度； </w:t>
      </w:r>
    </w:p>
    <w:p w14:paraId="18946DF3">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3.具有履行合同所必需的设备和专业技术能力；</w:t>
      </w:r>
    </w:p>
    <w:p w14:paraId="2168B4C5">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4.有依法缴纳税收和社会保障资金的良好记录；</w:t>
      </w:r>
    </w:p>
    <w:p w14:paraId="1BE5C21D">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5.参加政府采购活动前三年内，在经营活动中没有重大违法记录；</w:t>
      </w:r>
    </w:p>
    <w:p w14:paraId="5B171EE7">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6.具有法律、行政法规规定的其他条件。</w:t>
      </w:r>
    </w:p>
    <w:p w14:paraId="26A9CA44">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（二）未被信用中国（www.creditchina.gov.cn)、中国政府采购网（www.ccgp.gov.cn）列入失信被执行人、重大税收违法失信主体、政府采购严重违法失信行为记录名单。</w:t>
      </w:r>
    </w:p>
    <w:p w14:paraId="05DB6E82">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（三）不存在以下情况：</w:t>
      </w:r>
    </w:p>
    <w:p w14:paraId="76A31499">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1.单位负责人为同一人或者存在直接控股、管理关系的不同供应商参加同一合同项下的政府采购活动的；</w:t>
      </w:r>
    </w:p>
    <w:p w14:paraId="4F8DB088">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2.为采购项目提供整体设计、规范编制或者项目管理、监理、检测等服务后再参加该采购项目的其他采购活动的。</w:t>
      </w:r>
    </w:p>
    <w:p w14:paraId="1BE858F5">
      <w:pPr>
        <w:spacing w:line="360" w:lineRule="auto"/>
        <w:ind w:firstLine="422" w:firstLineChars="200"/>
        <w:rPr>
          <w:rFonts w:hint="default" w:ascii="宋体" w:hAnsi="宋体" w:eastAsia="宋体" w:cs="宋体"/>
          <w:b/>
          <w:color w:val="auto"/>
          <w:kern w:val="0"/>
          <w:szCs w:val="24"/>
          <w:highlight w:val="none"/>
        </w:rPr>
      </w:pPr>
      <w:r>
        <w:rPr>
          <w:rFonts w:ascii="宋体" w:hAnsi="宋体" w:eastAsia="宋体" w:cs="宋体"/>
          <w:b/>
          <w:color w:val="auto"/>
          <w:kern w:val="0"/>
          <w:szCs w:val="24"/>
          <w:highlight w:val="none"/>
        </w:rPr>
        <w:t>以上承诺如有虚假或隐瞒，采购人可取消我方任何资格（投标/中标/签订合同），我方对此无任何异议，并愿意承担一切后果和责任。</w:t>
      </w:r>
    </w:p>
    <w:p w14:paraId="4CCB5308">
      <w:pPr>
        <w:spacing w:line="360" w:lineRule="auto"/>
        <w:ind w:firstLine="420" w:firstLineChars="200"/>
        <w:rPr>
          <w:rFonts w:hint="default" w:ascii="宋体" w:hAnsi="宋体" w:eastAsia="宋体" w:cs="宋体"/>
          <w:color w:val="auto"/>
          <w:kern w:val="0"/>
          <w:szCs w:val="24"/>
          <w:highlight w:val="none"/>
        </w:rPr>
      </w:pPr>
      <w:r>
        <w:rPr>
          <w:rFonts w:ascii="宋体" w:hAnsi="宋体" w:eastAsia="宋体" w:cs="宋体"/>
          <w:color w:val="auto"/>
          <w:kern w:val="0"/>
          <w:szCs w:val="24"/>
          <w:highlight w:val="none"/>
        </w:rPr>
        <w:t>特此承诺！</w:t>
      </w:r>
    </w:p>
    <w:p w14:paraId="5D3508B7">
      <w:pPr>
        <w:spacing w:line="360" w:lineRule="auto"/>
        <w:ind w:firstLine="420" w:firstLineChars="200"/>
        <w:rPr>
          <w:rFonts w:hint="default" w:ascii="宋体" w:hAnsi="宋体" w:eastAsia="宋体" w:cs="宋体"/>
          <w:color w:val="auto"/>
          <w:szCs w:val="24"/>
          <w:highlight w:val="none"/>
        </w:rPr>
      </w:pPr>
    </w:p>
    <w:p w14:paraId="6A90935F">
      <w:pPr>
        <w:spacing w:line="360" w:lineRule="auto"/>
        <w:ind w:firstLine="420" w:firstLineChars="200"/>
        <w:rPr>
          <w:rFonts w:hint="default" w:ascii="宋体" w:hAnsi="宋体" w:eastAsia="宋体" w:cs="宋体"/>
          <w:color w:val="auto"/>
          <w:kern w:val="0"/>
          <w:szCs w:val="24"/>
          <w:highlight w:val="none"/>
        </w:rPr>
      </w:pPr>
      <w:r>
        <w:rPr>
          <w:rFonts w:ascii="宋体" w:hAnsi="宋体" w:eastAsia="宋体" w:cs="宋体"/>
          <w:color w:val="auto"/>
          <w:szCs w:val="24"/>
          <w:highlight w:val="none"/>
        </w:rPr>
        <w:t>投标人名称（电子签章）：</w:t>
      </w:r>
      <w:r>
        <w:rPr>
          <w:rFonts w:ascii="宋体" w:hAnsi="宋体" w:eastAsia="宋体" w:cs="宋体"/>
          <w:color w:val="auto"/>
          <w:kern w:val="0"/>
          <w:szCs w:val="24"/>
          <w:highlight w:val="none"/>
        </w:rPr>
        <w:t>__________________________________</w:t>
      </w:r>
    </w:p>
    <w:p w14:paraId="5C592F7D">
      <w:pPr>
        <w:spacing w:line="360" w:lineRule="auto"/>
        <w:ind w:firstLine="420" w:firstLineChars="200"/>
        <w:rPr>
          <w:rFonts w:hint="default" w:ascii="宋体" w:hAnsi="宋体" w:eastAsia="宋体" w:cs="宋体"/>
          <w:color w:val="auto"/>
          <w:szCs w:val="24"/>
          <w:highlight w:val="none"/>
        </w:rPr>
      </w:pPr>
      <w:r>
        <w:rPr>
          <w:rFonts w:ascii="宋体" w:hAnsi="宋体" w:eastAsia="宋体" w:cs="宋体"/>
          <w:color w:val="auto"/>
          <w:szCs w:val="24"/>
          <w:highlight w:val="none"/>
        </w:rPr>
        <w:t>日期：________年____月____日</w:t>
      </w:r>
    </w:p>
    <w:p w14:paraId="217C1E28">
      <w:pPr>
        <w:spacing w:line="360" w:lineRule="auto"/>
        <w:rPr>
          <w:rFonts w:hint="default" w:ascii="宋体" w:hAnsi="宋体" w:eastAsia="宋体" w:cs="宋体"/>
          <w:b/>
          <w:color w:val="auto"/>
          <w:kern w:val="0"/>
          <w:szCs w:val="24"/>
          <w:highlight w:val="none"/>
        </w:rPr>
      </w:pPr>
      <w:r>
        <w:rPr>
          <w:rFonts w:ascii="宋体" w:hAnsi="宋体" w:eastAsia="宋体" w:cs="宋体"/>
          <w:b/>
          <w:color w:val="auto"/>
          <w:kern w:val="0"/>
          <w:szCs w:val="24"/>
          <w:highlight w:val="none"/>
        </w:rPr>
        <w:t>编制说明：</w:t>
      </w:r>
      <w:r>
        <w:rPr>
          <w:rFonts w:ascii="宋体" w:hAnsi="宋体" w:eastAsia="宋体" w:cs="宋体"/>
          <w:b/>
          <w:color w:val="auto"/>
          <w:kern w:val="0"/>
          <w:szCs w:val="24"/>
          <w:highlight w:val="none"/>
          <w:u w:val="single"/>
        </w:rPr>
        <w:t>接受联合体投标的项目，投标供应商为联合体的，联合体各方均须提供本承诺函，否则投标无效。</w:t>
      </w:r>
    </w:p>
    <w:p w14:paraId="02ACFFC8">
      <w:pPr>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rPr>
        <w:br w:type="page"/>
      </w:r>
    </w:p>
    <w:p w14:paraId="5629F062">
      <w:pPr>
        <w:rPr>
          <w:rFonts w:hint="eastAsia" w:asciiTheme="minorEastAsia" w:hAnsiTheme="minorEastAsia" w:eastAsiaTheme="minorEastAsia" w:cstheme="minorEastAsia"/>
          <w:b/>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中小企业声明</w:t>
      </w:r>
      <w:r>
        <w:rPr>
          <w:rFonts w:hint="eastAsia" w:asciiTheme="minorEastAsia" w:hAnsiTheme="minorEastAsia" w:eastAsiaTheme="minorEastAsia" w:cstheme="minorEastAsia"/>
          <w:b/>
          <w:color w:val="auto"/>
          <w:sz w:val="24"/>
          <w:szCs w:val="24"/>
          <w:highlight w:val="none"/>
          <w:lang w:val="en-US" w:eastAsia="zh-CN"/>
        </w:rPr>
        <w:t>函格式：</w:t>
      </w:r>
    </w:p>
    <w:p w14:paraId="0558092E">
      <w:pPr>
        <w:spacing w:line="360" w:lineRule="auto"/>
        <w:jc w:val="center"/>
        <w:rPr>
          <w:rFonts w:hint="default"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中小企业声明函（服务、工程）（如是）</w:t>
      </w:r>
    </w:p>
    <w:p w14:paraId="1BF56F89">
      <w:pPr>
        <w:autoSpaceDE w:val="0"/>
        <w:autoSpaceDN w:val="0"/>
        <w:adjustRightInd w:val="0"/>
        <w:spacing w:line="360" w:lineRule="auto"/>
        <w:ind w:right="-54" w:firstLine="720" w:firstLineChars="300"/>
        <w:jc w:val="left"/>
        <w:textAlignment w:val="baseline"/>
        <w:rPr>
          <w:rFonts w:hint="default"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b/>
          <w:bCs/>
          <w:color w:val="auto"/>
          <w:kern w:val="0"/>
          <w:sz w:val="24"/>
          <w:szCs w:val="24"/>
          <w:highlight w:val="none"/>
          <w:u w:val="single"/>
          <w:lang w:eastAsia="zh-CN"/>
        </w:rPr>
        <w:t>浦江县公路与运输事业发展中心</w:t>
      </w:r>
      <w:r>
        <w:rPr>
          <w:rFonts w:hint="eastAsia" w:asciiTheme="minorEastAsia" w:hAnsiTheme="minorEastAsia" w:eastAsiaTheme="minorEastAsia" w:cstheme="minorEastAsia"/>
          <w:color w:val="auto"/>
          <w:kern w:val="0"/>
          <w:sz w:val="24"/>
          <w:szCs w:val="24"/>
          <w:highlight w:val="none"/>
          <w:u w:val="single"/>
        </w:rPr>
        <w:t>（单位名称）</w:t>
      </w:r>
      <w:r>
        <w:rPr>
          <w:rFonts w:hint="eastAsia" w:asciiTheme="minorEastAsia" w:hAnsiTheme="minorEastAsia" w:eastAsiaTheme="minorEastAsia" w:cstheme="minorEastAsia"/>
          <w:color w:val="auto"/>
          <w:kern w:val="0"/>
          <w:sz w:val="24"/>
          <w:szCs w:val="24"/>
          <w:highlight w:val="none"/>
        </w:rPr>
        <w:t>的</w:t>
      </w:r>
      <w:r>
        <w:rPr>
          <w:rFonts w:hint="eastAsia" w:asciiTheme="minorEastAsia" w:hAnsiTheme="minorEastAsia" w:eastAsiaTheme="minorEastAsia" w:cstheme="minorEastAsia"/>
          <w:b/>
          <w:bCs/>
          <w:color w:val="auto"/>
          <w:kern w:val="0"/>
          <w:sz w:val="24"/>
          <w:szCs w:val="24"/>
          <w:highlight w:val="none"/>
          <w:u w:val="single"/>
          <w:lang w:eastAsia="zh-CN"/>
        </w:rPr>
        <w:t>浦江县公路与运输事业发展中心非现场执法设备2025年运维项目(第二次）</w:t>
      </w:r>
      <w:r>
        <w:rPr>
          <w:rFonts w:hint="eastAsia" w:asciiTheme="minorEastAsia" w:hAnsiTheme="minorEastAsia" w:eastAsiaTheme="minorEastAsia" w:cstheme="minorEastAsia"/>
          <w:color w:val="auto"/>
          <w:kern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62CC55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1.</w:t>
      </w:r>
      <w:r>
        <w:rPr>
          <w:rFonts w:hint="eastAsia" w:asciiTheme="minorEastAsia" w:hAnsiTheme="minorEastAsia" w:eastAsiaTheme="minorEastAsia" w:cstheme="minorEastAsia"/>
          <w:color w:val="auto"/>
          <w:kern w:val="0"/>
          <w:sz w:val="24"/>
          <w:szCs w:val="24"/>
          <w:highlight w:val="none"/>
          <w:u w:val="single"/>
          <w:lang w:eastAsia="zh-CN"/>
        </w:rPr>
        <w:t xml:space="preserve"> 浦江县公路与运输事业发展中心非现场执法设备2025年运维项目(第二次）</w:t>
      </w:r>
      <w:r>
        <w:rPr>
          <w:rFonts w:hint="eastAsia" w:asciiTheme="minorEastAsia" w:hAnsiTheme="minorEastAsia" w:eastAsiaTheme="minorEastAsia" w:cstheme="minorEastAsia"/>
          <w:iCs/>
          <w:color w:val="auto"/>
          <w:w w:val="99"/>
          <w:sz w:val="24"/>
          <w:szCs w:val="24"/>
          <w:highlight w:val="none"/>
        </w:rPr>
        <w:t>，</w:t>
      </w:r>
      <w:r>
        <w:rPr>
          <w:rFonts w:hint="eastAsia" w:asciiTheme="minorEastAsia" w:hAnsiTheme="minorEastAsia" w:eastAsiaTheme="minorEastAsia" w:cstheme="minorEastAsia"/>
          <w:color w:val="auto"/>
          <w:kern w:val="0"/>
          <w:sz w:val="24"/>
          <w:szCs w:val="24"/>
          <w:highlight w:val="none"/>
        </w:rPr>
        <w:t>属于</w:t>
      </w:r>
      <w:r>
        <w:rPr>
          <w:rFonts w:hint="eastAsia" w:ascii="宋体" w:hAnsi="宋体" w:eastAsia="宋体" w:cs="宋体"/>
          <w:b/>
          <w:bCs/>
          <w:color w:val="auto"/>
          <w:kern w:val="2"/>
          <w:sz w:val="21"/>
          <w:szCs w:val="21"/>
          <w:highlight w:val="none"/>
          <w:u w:val="single"/>
          <w:lang w:val="en-US" w:eastAsia="zh-CN" w:bidi="ar-SA"/>
        </w:rPr>
        <w:t>（十二）软件和信息技术服务业</w:t>
      </w:r>
      <w:r>
        <w:rPr>
          <w:rFonts w:hint="eastAsia" w:asciiTheme="minorEastAsia" w:hAnsiTheme="minorEastAsia" w:eastAsiaTheme="minorEastAsia" w:cstheme="minorEastAsia"/>
          <w:color w:val="auto"/>
          <w:kern w:val="0"/>
          <w:sz w:val="24"/>
          <w:szCs w:val="24"/>
          <w:highlight w:val="none"/>
          <w:u w:val="single"/>
        </w:rPr>
        <w:t>（采购文件中明确的所属行业）</w:t>
      </w:r>
      <w:r>
        <w:rPr>
          <w:rFonts w:hint="eastAsia" w:asciiTheme="minorEastAsia" w:hAnsiTheme="minorEastAsia" w:eastAsiaTheme="minorEastAsia" w:cstheme="minorEastAsia"/>
          <w:iCs/>
          <w:color w:val="auto"/>
          <w:w w:val="99"/>
          <w:sz w:val="24"/>
          <w:szCs w:val="24"/>
          <w:highlight w:val="none"/>
        </w:rPr>
        <w:t>；</w:t>
      </w:r>
      <w:r>
        <w:rPr>
          <w:rFonts w:hint="eastAsia" w:asciiTheme="minorEastAsia" w:hAnsiTheme="minorEastAsia" w:eastAsiaTheme="minorEastAsia" w:cstheme="minorEastAsia"/>
          <w:color w:val="auto"/>
          <w:kern w:val="0"/>
          <w:sz w:val="24"/>
          <w:szCs w:val="24"/>
          <w:highlight w:val="none"/>
        </w:rPr>
        <w:t>承建（承接）企业为</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（企业名称）</w:t>
      </w:r>
      <w:r>
        <w:rPr>
          <w:rFonts w:hint="eastAsia" w:asciiTheme="minorEastAsia" w:hAnsiTheme="minorEastAsia" w:eastAsiaTheme="minorEastAsia" w:cstheme="minorEastAsia"/>
          <w:color w:val="auto"/>
          <w:kern w:val="0"/>
          <w:sz w:val="24"/>
          <w:szCs w:val="24"/>
          <w:highlight w:val="none"/>
        </w:rPr>
        <w:t>，从业人员</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人，营业收入为</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rPr>
        <w:tab/>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万元，</w:t>
      </w:r>
      <w:r>
        <w:rPr>
          <w:rFonts w:hint="eastAsia" w:asciiTheme="minorEastAsia" w:hAnsiTheme="minorEastAsia" w:eastAsiaTheme="minorEastAsia" w:cstheme="minorEastAsia"/>
          <w:iCs/>
          <w:color w:val="auto"/>
          <w:sz w:val="24"/>
          <w:szCs w:val="24"/>
          <w:highlight w:val="none"/>
        </w:rPr>
        <w:t>资产总额为</w:t>
      </w:r>
      <w:r>
        <w:rPr>
          <w:rFonts w:hint="eastAsia" w:asciiTheme="minorEastAsia" w:hAnsiTheme="minorEastAsia" w:eastAsiaTheme="minorEastAsia" w:cstheme="minorEastAsia"/>
          <w:iCs/>
          <w:color w:val="auto"/>
          <w:sz w:val="24"/>
          <w:szCs w:val="24"/>
          <w:highlight w:val="none"/>
          <w:u w:val="single"/>
        </w:rPr>
        <w:t xml:space="preserve"> </w:t>
      </w:r>
      <w:r>
        <w:rPr>
          <w:rFonts w:hint="eastAsia" w:asciiTheme="minorEastAsia" w:hAnsiTheme="minorEastAsia" w:eastAsiaTheme="minorEastAsia" w:cstheme="minorEastAsia"/>
          <w:iCs/>
          <w:color w:val="auto"/>
          <w:sz w:val="24"/>
          <w:szCs w:val="24"/>
          <w:highlight w:val="none"/>
          <w:u w:val="single"/>
        </w:rPr>
        <w:tab/>
      </w:r>
      <w:r>
        <w:rPr>
          <w:rFonts w:hint="eastAsia" w:asciiTheme="minorEastAsia" w:hAnsiTheme="minorEastAsia" w:eastAsiaTheme="minorEastAsia" w:cstheme="minorEastAsia"/>
          <w:iCs/>
          <w:color w:val="auto"/>
          <w:sz w:val="24"/>
          <w:szCs w:val="24"/>
          <w:highlight w:val="none"/>
        </w:rPr>
        <w:t>万元</w:t>
      </w:r>
      <w:r>
        <w:rPr>
          <w:rFonts w:hint="eastAsia" w:asciiTheme="minorEastAsia" w:hAnsiTheme="minorEastAsia" w:eastAsiaTheme="minorEastAsia" w:cstheme="minorEastAsia"/>
          <w:color w:val="auto"/>
          <w:kern w:val="0"/>
          <w:sz w:val="24"/>
          <w:szCs w:val="24"/>
          <w:highlight w:val="none"/>
        </w:rPr>
        <w:t>，属于</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b/>
          <w:bCs/>
          <w:color w:val="auto"/>
          <w:kern w:val="0"/>
          <w:sz w:val="24"/>
          <w:szCs w:val="24"/>
          <w:highlight w:val="none"/>
          <w:u w:val="single"/>
          <w:lang w:val="en-US" w:eastAsia="zh-CN"/>
        </w:rPr>
        <w:t>企业</w:t>
      </w:r>
      <w:r>
        <w:rPr>
          <w:rFonts w:hint="eastAsia" w:asciiTheme="minorEastAsia" w:hAnsiTheme="minorEastAsia" w:eastAsiaTheme="minorEastAsia" w:cstheme="minorEastAsia"/>
          <w:color w:val="auto"/>
          <w:kern w:val="0"/>
          <w:sz w:val="24"/>
          <w:szCs w:val="24"/>
          <w:highlight w:val="none"/>
          <w:u w:val="none"/>
        </w:rPr>
        <w:t>（中型企业、小型企业、微型企业）</w:t>
      </w:r>
      <w:r>
        <w:rPr>
          <w:rFonts w:hint="eastAsia" w:asciiTheme="minorEastAsia" w:hAnsiTheme="minorEastAsia" w:eastAsiaTheme="minorEastAsia" w:cstheme="minorEastAsia"/>
          <w:color w:val="auto"/>
          <w:kern w:val="0"/>
          <w:sz w:val="24"/>
          <w:szCs w:val="24"/>
          <w:highlight w:val="none"/>
        </w:rPr>
        <w:t>；</w:t>
      </w:r>
    </w:p>
    <w:p w14:paraId="1F1B02EC">
      <w:pPr>
        <w:widowControl w:val="0"/>
        <w:autoSpaceDE w:val="0"/>
        <w:autoSpaceDN w:val="0"/>
        <w:adjustRightInd w:val="0"/>
        <w:spacing w:after="120" w:line="240" w:lineRule="auto"/>
        <w:ind w:left="0" w:leftChars="0" w:firstLine="560" w:firstLineChars="200"/>
        <w:jc w:val="both"/>
        <w:textAlignment w:val="baseline"/>
        <w:rPr>
          <w:rFonts w:hint="eastAsia" w:ascii="Times New Roman" w:hAnsi="Times New Roman" w:eastAsia="宋体" w:cs="Times New Roman"/>
          <w:color w:val="auto"/>
          <w:kern w:val="0"/>
          <w:sz w:val="28"/>
          <w:highlight w:val="none"/>
          <w:lang w:val="en-US" w:eastAsia="zh-CN" w:bidi="ar-SA"/>
        </w:rPr>
      </w:pPr>
      <w:r>
        <w:rPr>
          <w:rFonts w:hint="eastAsia" w:asciiTheme="minorEastAsia" w:hAnsiTheme="minorEastAsia" w:eastAsiaTheme="minorEastAsia" w:cstheme="minorEastAsia"/>
          <w:iCs/>
          <w:color w:val="auto"/>
          <w:kern w:val="0"/>
          <w:sz w:val="28"/>
          <w:szCs w:val="24"/>
          <w:highlight w:val="none"/>
          <w:lang w:val="en-US" w:eastAsia="zh-CN" w:bidi="ar-SA"/>
        </w:rPr>
        <w:t>……</w:t>
      </w:r>
    </w:p>
    <w:p w14:paraId="5124129D">
      <w:pPr>
        <w:autoSpaceDE w:val="0"/>
        <w:autoSpaceDN w:val="0"/>
        <w:adjustRightInd w:val="0"/>
        <w:spacing w:before="108" w:line="360" w:lineRule="auto"/>
        <w:ind w:right="-54" w:firstLine="645"/>
        <w:jc w:val="left"/>
        <w:textAlignment w:val="baseline"/>
        <w:rPr>
          <w:rFonts w:hint="default"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以上企业，不属于大企业的分支机构，不存在控股股东为大企业的情形，也不存在与大企业的负责人为同一人的情形。</w:t>
      </w:r>
    </w:p>
    <w:p w14:paraId="0B45B607">
      <w:pPr>
        <w:autoSpaceDE w:val="0"/>
        <w:autoSpaceDN w:val="0"/>
        <w:adjustRightInd w:val="0"/>
        <w:spacing w:line="360" w:lineRule="auto"/>
        <w:ind w:right="-54" w:firstLine="640"/>
        <w:jc w:val="left"/>
        <w:textAlignment w:val="baseline"/>
        <w:rPr>
          <w:rFonts w:hint="default"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本企业对上述声明内容的真实性负责。如有虚假，将依法承担相应责任。</w:t>
      </w:r>
    </w:p>
    <w:p w14:paraId="6499062F">
      <w:pPr>
        <w:autoSpaceDE w:val="0"/>
        <w:autoSpaceDN w:val="0"/>
        <w:adjustRightInd w:val="0"/>
        <w:spacing w:line="360" w:lineRule="auto"/>
        <w:ind w:left="3200" w:firstLine="720"/>
        <w:jc w:val="left"/>
        <w:rPr>
          <w:rFonts w:hint="default" w:asciiTheme="minorEastAsia" w:hAnsiTheme="minorEastAsia" w:eastAsiaTheme="minorEastAsia" w:cstheme="minorEastAsia"/>
          <w:color w:val="auto"/>
          <w:kern w:val="0"/>
          <w:sz w:val="24"/>
          <w:szCs w:val="24"/>
          <w:highlight w:val="none"/>
        </w:rPr>
      </w:pPr>
    </w:p>
    <w:p w14:paraId="4ADD393E">
      <w:pPr>
        <w:autoSpaceDE w:val="0"/>
        <w:autoSpaceDN w:val="0"/>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投标人名称（电子签章）：</w:t>
      </w:r>
    </w:p>
    <w:p w14:paraId="52B10D49">
      <w:pPr>
        <w:autoSpaceDE w:val="0"/>
        <w:autoSpaceDN w:val="0"/>
        <w:adjustRightInd w:val="0"/>
        <w:spacing w:line="360" w:lineRule="auto"/>
        <w:ind w:firstLine="480" w:firstLineChars="200"/>
        <w:jc w:val="left"/>
        <w:rPr>
          <w:rFonts w:hint="default"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7EFFD928">
      <w:pPr>
        <w:keepNext w:val="0"/>
        <w:keepLines w:val="0"/>
        <w:widowControl w:val="0"/>
        <w:suppressLineNumbers w:val="0"/>
        <w:spacing w:before="0" w:beforeAutospacing="0" w:after="0" w:afterAutospacing="0" w:line="240" w:lineRule="auto"/>
        <w:ind w:right="0"/>
        <w:jc w:val="both"/>
        <w:rPr>
          <w:rFonts w:hint="eastAsia" w:ascii="宋体" w:hAnsi="宋体" w:eastAsia="宋体" w:cs="宋体"/>
          <w:b/>
          <w:bCs/>
          <w:color w:val="auto"/>
          <w:kern w:val="2"/>
          <w:sz w:val="21"/>
          <w:szCs w:val="21"/>
          <w:highlight w:val="none"/>
          <w:lang w:val="zh-TW" w:eastAsia="zh-TW" w:bidi="zh-TW"/>
        </w:rPr>
      </w:pPr>
    </w:p>
    <w:p w14:paraId="0E55FC54">
      <w:pPr>
        <w:keepNext w:val="0"/>
        <w:keepLines w:val="0"/>
        <w:widowControl w:val="0"/>
        <w:suppressLineNumbers w:val="0"/>
        <w:spacing w:before="0" w:beforeAutospacing="0" w:after="0" w:afterAutospacing="0" w:line="240" w:lineRule="auto"/>
        <w:ind w:right="0"/>
        <w:jc w:val="both"/>
        <w:rPr>
          <w:rFonts w:hint="eastAsia" w:ascii="宋体" w:hAnsi="宋体" w:eastAsia="宋体" w:cs="宋体"/>
          <w:b w:val="0"/>
          <w:bCs w:val="0"/>
          <w:color w:val="auto"/>
          <w:kern w:val="2"/>
          <w:sz w:val="21"/>
          <w:szCs w:val="21"/>
          <w:highlight w:val="none"/>
          <w:lang w:val="zh-TW" w:eastAsia="zh-TW" w:bidi="zh-TW"/>
        </w:rPr>
      </w:pPr>
      <w:r>
        <w:rPr>
          <w:rFonts w:hint="eastAsia" w:ascii="宋体" w:hAnsi="宋体" w:eastAsia="宋体" w:cs="宋体"/>
          <w:b/>
          <w:bCs/>
          <w:color w:val="auto"/>
          <w:kern w:val="2"/>
          <w:sz w:val="21"/>
          <w:szCs w:val="21"/>
          <w:highlight w:val="none"/>
          <w:lang w:val="zh-TW" w:eastAsia="zh-TW" w:bidi="zh-TW"/>
        </w:rPr>
        <w:t>填写要求：</w:t>
      </w:r>
      <w:r>
        <w:rPr>
          <w:rFonts w:hint="eastAsia" w:ascii="宋体" w:hAnsi="宋体" w:eastAsia="宋体" w:cs="宋体"/>
          <w:b w:val="0"/>
          <w:bCs w:val="0"/>
          <w:color w:val="auto"/>
          <w:kern w:val="2"/>
          <w:sz w:val="21"/>
          <w:szCs w:val="21"/>
          <w:highlight w:val="none"/>
          <w:lang w:val="zh-TW" w:eastAsia="zh-TW" w:bidi="zh-TW"/>
        </w:rPr>
        <w:t>① “采购文件中明确的所属行业”依据</w:t>
      </w:r>
      <w:r>
        <w:rPr>
          <w:rFonts w:hint="eastAsia" w:ascii="宋体" w:hAnsi="宋体" w:eastAsia="宋体" w:cs="宋体"/>
          <w:b w:val="0"/>
          <w:bCs w:val="0"/>
          <w:color w:val="auto"/>
          <w:kern w:val="2"/>
          <w:sz w:val="21"/>
          <w:szCs w:val="21"/>
          <w:highlight w:val="none"/>
          <w:lang w:val="zh-TW" w:eastAsia="zh-CN" w:bidi="zh-TW"/>
        </w:rPr>
        <w:t>采购</w:t>
      </w:r>
      <w:r>
        <w:rPr>
          <w:rFonts w:hint="eastAsia" w:ascii="宋体" w:hAnsi="宋体" w:eastAsia="宋体" w:cs="宋体"/>
          <w:b w:val="0"/>
          <w:bCs w:val="0"/>
          <w:color w:val="auto"/>
          <w:kern w:val="2"/>
          <w:sz w:val="21"/>
          <w:szCs w:val="21"/>
          <w:highlight w:val="none"/>
          <w:lang w:val="zh-TW" w:eastAsia="zh-TW" w:bidi="zh-TW"/>
        </w:rPr>
        <w:t>文件</w:t>
      </w:r>
      <w:r>
        <w:rPr>
          <w:rFonts w:hint="eastAsia" w:ascii="宋体" w:hAnsi="宋体" w:eastAsia="宋体" w:cs="宋体"/>
          <w:b w:val="0"/>
          <w:bCs w:val="0"/>
          <w:color w:val="auto"/>
          <w:kern w:val="2"/>
          <w:sz w:val="21"/>
          <w:szCs w:val="21"/>
          <w:highlight w:val="none"/>
          <w:lang w:val="zh-TW" w:eastAsia="zh-CN" w:bidi="zh-TW"/>
        </w:rPr>
        <w:t>资格要求中</w:t>
      </w:r>
      <w:r>
        <w:rPr>
          <w:rFonts w:hint="eastAsia" w:ascii="宋体" w:hAnsi="宋体" w:eastAsia="宋体" w:cs="宋体"/>
          <w:b w:val="0"/>
          <w:bCs w:val="0"/>
          <w:color w:val="auto"/>
          <w:kern w:val="2"/>
          <w:sz w:val="21"/>
          <w:szCs w:val="21"/>
          <w:highlight w:val="none"/>
          <w:lang w:val="zh-TW" w:eastAsia="zh-TW" w:bidi="zh-TW"/>
        </w:rPr>
        <w:t>“本项目明确的所属行业类别”填写，</w:t>
      </w:r>
      <w:r>
        <w:rPr>
          <w:rFonts w:hint="eastAsia" w:ascii="宋体" w:hAnsi="宋体" w:eastAsia="宋体" w:cs="宋体"/>
          <w:b/>
          <w:bCs/>
          <w:color w:val="auto"/>
          <w:kern w:val="2"/>
          <w:sz w:val="21"/>
          <w:szCs w:val="21"/>
          <w:highlight w:val="none"/>
          <w:lang w:val="zh-TW" w:eastAsia="zh-TW" w:bidi="zh-TW"/>
        </w:rPr>
        <w:t>不得缺漏</w:t>
      </w:r>
      <w:r>
        <w:rPr>
          <w:rFonts w:hint="eastAsia" w:ascii="宋体" w:hAnsi="宋体" w:eastAsia="宋体" w:cs="宋体"/>
          <w:b w:val="0"/>
          <w:bCs w:val="0"/>
          <w:color w:val="auto"/>
          <w:kern w:val="2"/>
          <w:sz w:val="21"/>
          <w:szCs w:val="21"/>
          <w:highlight w:val="none"/>
          <w:lang w:val="zh-TW" w:eastAsia="zh-TW" w:bidi="zh-TW"/>
        </w:rPr>
        <w:t>；</w:t>
      </w:r>
    </w:p>
    <w:p w14:paraId="333119F1">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auto"/>
          <w:kern w:val="2"/>
          <w:sz w:val="21"/>
          <w:szCs w:val="21"/>
          <w:highlight w:val="none"/>
          <w:lang w:val="zh-TW" w:eastAsia="zh-TW" w:bidi="zh-TW"/>
        </w:rPr>
      </w:pPr>
      <w:r>
        <w:rPr>
          <w:rFonts w:hint="eastAsia" w:ascii="宋体" w:hAnsi="宋体" w:eastAsia="宋体" w:cs="宋体"/>
          <w:b w:val="0"/>
          <w:bCs w:val="0"/>
          <w:color w:val="auto"/>
          <w:kern w:val="2"/>
          <w:sz w:val="21"/>
          <w:szCs w:val="21"/>
          <w:highlight w:val="none"/>
          <w:lang w:val="zh-TW" w:eastAsia="zh-TW" w:bidi="zh-TW"/>
        </w:rPr>
        <w:t>②</w:t>
      </w:r>
      <w:r>
        <w:rPr>
          <w:rFonts w:hint="eastAsia" w:ascii="宋体" w:hAnsi="宋体" w:eastAsia="宋体" w:cs="宋体"/>
          <w:b/>
          <w:bCs/>
          <w:color w:val="auto"/>
          <w:kern w:val="2"/>
          <w:sz w:val="21"/>
          <w:szCs w:val="21"/>
          <w:highlight w:val="none"/>
          <w:lang w:val="zh-TW" w:eastAsia="zh-TW" w:bidi="zh-TW"/>
        </w:rPr>
        <w:t>从业人员、营业收入、资产总额填报上一年度数据，无上一年度数据的新成立企业可不填报</w:t>
      </w:r>
      <w:r>
        <w:rPr>
          <w:rFonts w:hint="eastAsia" w:ascii="宋体" w:hAnsi="宋体" w:eastAsia="宋体" w:cs="宋体"/>
          <w:b w:val="0"/>
          <w:bCs w:val="0"/>
          <w:color w:val="auto"/>
          <w:kern w:val="2"/>
          <w:sz w:val="21"/>
          <w:szCs w:val="21"/>
          <w:highlight w:val="none"/>
          <w:lang w:val="zh-TW" w:eastAsia="zh-TW" w:bidi="zh-TW"/>
        </w:rPr>
        <w:t>；</w:t>
      </w:r>
    </w:p>
    <w:p w14:paraId="3F8A6327">
      <w:pPr>
        <w:keepNext w:val="0"/>
        <w:keepLines w:val="0"/>
        <w:widowControl w:val="0"/>
        <w:suppressLineNumbers w:val="0"/>
        <w:spacing w:before="0" w:beforeAutospacing="0" w:after="0" w:afterAutospacing="0" w:line="240" w:lineRule="auto"/>
        <w:ind w:left="0" w:right="0" w:firstLine="420" w:firstLineChars="200"/>
        <w:jc w:val="both"/>
        <w:rPr>
          <w:rFonts w:hint="default" w:ascii="宋体" w:hAnsi="宋体" w:eastAsia="宋体" w:cs="宋体"/>
          <w:b w:val="0"/>
          <w:bCs w:val="0"/>
          <w:color w:val="auto"/>
          <w:kern w:val="2"/>
          <w:sz w:val="21"/>
          <w:szCs w:val="21"/>
          <w:highlight w:val="none"/>
          <w:lang w:val="en-US" w:eastAsia="zh-CN" w:bidi="zh-TW"/>
        </w:rPr>
      </w:pPr>
      <w:r>
        <w:rPr>
          <w:rFonts w:hint="eastAsia" w:ascii="宋体" w:hAnsi="宋体" w:eastAsia="宋体" w:cs="宋体"/>
          <w:b w:val="0"/>
          <w:bCs w:val="0"/>
          <w:color w:val="auto"/>
          <w:kern w:val="2"/>
          <w:sz w:val="21"/>
          <w:szCs w:val="21"/>
          <w:highlight w:val="none"/>
          <w:lang w:val="zh-TW" w:eastAsia="zh-TW" w:bidi="zh-TW"/>
        </w:rPr>
        <w:t>③中型企业、小型企业、微型企业等3种企业类型，结合以上数据，依据《中小企业划型标准规定》（</w:t>
      </w:r>
      <w:r>
        <w:rPr>
          <w:rFonts w:hint="eastAsia" w:ascii="宋体" w:hAnsi="宋体" w:eastAsia="宋体" w:cs="宋体"/>
          <w:b/>
          <w:bCs/>
          <w:color w:val="auto"/>
          <w:kern w:val="2"/>
          <w:sz w:val="21"/>
          <w:szCs w:val="21"/>
          <w:highlight w:val="none"/>
          <w:lang w:val="zh-TW" w:eastAsia="zh-TW" w:bidi="zh-TW"/>
        </w:rPr>
        <w:t>工信部联企业〔2011〕300号</w:t>
      </w:r>
      <w:r>
        <w:rPr>
          <w:rFonts w:hint="eastAsia" w:ascii="宋体" w:hAnsi="宋体" w:eastAsia="宋体" w:cs="宋体"/>
          <w:b w:val="0"/>
          <w:bCs w:val="0"/>
          <w:color w:val="auto"/>
          <w:kern w:val="2"/>
          <w:sz w:val="21"/>
          <w:szCs w:val="21"/>
          <w:highlight w:val="none"/>
          <w:lang w:val="zh-TW" w:eastAsia="zh-CN" w:bidi="zh-TW"/>
        </w:rPr>
        <w:t>）</w:t>
      </w:r>
      <w:r>
        <w:rPr>
          <w:rFonts w:hint="eastAsia" w:ascii="宋体" w:hAnsi="宋体" w:eastAsia="宋体" w:cs="宋体"/>
          <w:b w:val="0"/>
          <w:bCs w:val="0"/>
          <w:color w:val="auto"/>
          <w:kern w:val="2"/>
          <w:sz w:val="21"/>
          <w:szCs w:val="21"/>
          <w:highlight w:val="none"/>
          <w:lang w:val="en-US" w:eastAsia="zh-CN" w:bidi="zh-TW"/>
        </w:rPr>
        <w:t>中的“</w:t>
      </w:r>
      <w:r>
        <w:rPr>
          <w:rFonts w:hint="eastAsia" w:ascii="宋体" w:hAnsi="宋体" w:eastAsia="宋体" w:cs="宋体"/>
          <w:b/>
          <w:bCs/>
          <w:color w:val="auto"/>
          <w:kern w:val="2"/>
          <w:sz w:val="21"/>
          <w:szCs w:val="21"/>
          <w:highlight w:val="none"/>
          <w:lang w:val="en-US" w:eastAsia="zh-CN" w:bidi="zh-TW"/>
        </w:rPr>
        <w:t>（十二）软件和信息技术服务业</w:t>
      </w:r>
      <w:r>
        <w:rPr>
          <w:rFonts w:hint="eastAsia" w:ascii="宋体" w:hAnsi="宋体" w:eastAsia="宋体" w:cs="宋体"/>
          <w:b w:val="0"/>
          <w:bCs w:val="0"/>
          <w:color w:val="auto"/>
          <w:kern w:val="2"/>
          <w:sz w:val="21"/>
          <w:szCs w:val="21"/>
          <w:highlight w:val="none"/>
          <w:lang w:val="en-US" w:eastAsia="zh-CN" w:bidi="zh-TW"/>
        </w:rPr>
        <w:t>。从业人员300人以下或营业收入10000万元以下的为中小微型企业。其中，从业人员100人及以上，且营业收入1000万元及以上的为</w:t>
      </w:r>
      <w:r>
        <w:rPr>
          <w:rFonts w:hint="eastAsia" w:ascii="宋体" w:hAnsi="宋体" w:eastAsia="宋体" w:cs="宋体"/>
          <w:b/>
          <w:bCs/>
          <w:color w:val="auto"/>
          <w:kern w:val="2"/>
          <w:sz w:val="21"/>
          <w:szCs w:val="21"/>
          <w:highlight w:val="none"/>
          <w:lang w:val="en-US" w:eastAsia="zh-CN" w:bidi="zh-TW"/>
        </w:rPr>
        <w:t>中型企业</w:t>
      </w:r>
      <w:r>
        <w:rPr>
          <w:rFonts w:hint="eastAsia" w:ascii="宋体" w:hAnsi="宋体" w:eastAsia="宋体" w:cs="宋体"/>
          <w:b w:val="0"/>
          <w:bCs w:val="0"/>
          <w:color w:val="auto"/>
          <w:kern w:val="2"/>
          <w:sz w:val="21"/>
          <w:szCs w:val="21"/>
          <w:highlight w:val="none"/>
          <w:lang w:val="en-US" w:eastAsia="zh-CN" w:bidi="zh-TW"/>
        </w:rPr>
        <w:t>；从业人员10人及以上，且营业收入50万元及以上的为</w:t>
      </w:r>
      <w:r>
        <w:rPr>
          <w:rFonts w:hint="eastAsia" w:ascii="宋体" w:hAnsi="宋体" w:eastAsia="宋体" w:cs="宋体"/>
          <w:b/>
          <w:bCs/>
          <w:color w:val="auto"/>
          <w:kern w:val="2"/>
          <w:sz w:val="21"/>
          <w:szCs w:val="21"/>
          <w:highlight w:val="none"/>
          <w:lang w:val="en-US" w:eastAsia="zh-CN" w:bidi="zh-TW"/>
        </w:rPr>
        <w:t>小型企业</w:t>
      </w:r>
      <w:r>
        <w:rPr>
          <w:rFonts w:hint="eastAsia" w:ascii="宋体" w:hAnsi="宋体" w:eastAsia="宋体" w:cs="宋体"/>
          <w:b w:val="0"/>
          <w:bCs w:val="0"/>
          <w:color w:val="auto"/>
          <w:kern w:val="2"/>
          <w:sz w:val="21"/>
          <w:szCs w:val="21"/>
          <w:highlight w:val="none"/>
          <w:lang w:val="en-US" w:eastAsia="zh-CN" w:bidi="zh-TW"/>
        </w:rPr>
        <w:t>；从业人员10人以下或营业收入50万元以下的为</w:t>
      </w:r>
      <w:r>
        <w:rPr>
          <w:rFonts w:hint="eastAsia" w:ascii="宋体" w:hAnsi="宋体" w:eastAsia="宋体" w:cs="宋体"/>
          <w:b/>
          <w:bCs/>
          <w:color w:val="auto"/>
          <w:kern w:val="2"/>
          <w:sz w:val="21"/>
          <w:szCs w:val="21"/>
          <w:highlight w:val="none"/>
          <w:lang w:val="en-US" w:eastAsia="zh-CN" w:bidi="zh-TW"/>
        </w:rPr>
        <w:t>微型企业</w:t>
      </w:r>
      <w:r>
        <w:rPr>
          <w:rFonts w:hint="eastAsia" w:ascii="宋体" w:hAnsi="宋体" w:eastAsia="宋体" w:cs="宋体"/>
          <w:b w:val="0"/>
          <w:bCs w:val="0"/>
          <w:color w:val="auto"/>
          <w:kern w:val="2"/>
          <w:sz w:val="21"/>
          <w:szCs w:val="21"/>
          <w:highlight w:val="none"/>
          <w:lang w:val="zh-TW" w:eastAsia="zh-CN" w:bidi="zh-TW"/>
        </w:rPr>
        <w:t>。</w:t>
      </w:r>
      <w:r>
        <w:rPr>
          <w:rFonts w:hint="eastAsia" w:ascii="宋体" w:hAnsi="宋体" w:eastAsia="宋体" w:cs="宋体"/>
          <w:b w:val="0"/>
          <w:bCs w:val="0"/>
          <w:color w:val="auto"/>
          <w:kern w:val="2"/>
          <w:sz w:val="21"/>
          <w:szCs w:val="21"/>
          <w:highlight w:val="none"/>
          <w:lang w:val="en-US" w:eastAsia="zh-CN" w:bidi="zh-TW"/>
        </w:rPr>
        <w:t>”确定；</w:t>
      </w:r>
    </w:p>
    <w:p w14:paraId="788A8690">
      <w:pPr>
        <w:adjustRightInd w:val="0"/>
        <w:snapToGrid w:val="0"/>
        <w:spacing w:line="240" w:lineRule="auto"/>
        <w:ind w:firstLine="420" w:firstLineChars="200"/>
        <w:rPr>
          <w:rFonts w:hint="default" w:ascii="宋体" w:hAnsi="宋体" w:eastAsia="宋体" w:cs="宋体"/>
          <w:color w:val="auto"/>
          <w:kern w:val="0"/>
          <w:sz w:val="21"/>
          <w:szCs w:val="21"/>
          <w:highlight w:val="none"/>
          <w:lang w:val="zh-CN"/>
        </w:rPr>
      </w:pPr>
      <w:r>
        <w:rPr>
          <w:rFonts w:hint="eastAsia" w:ascii="宋体" w:hAnsi="宋体" w:eastAsia="宋体" w:cs="宋体"/>
          <w:b w:val="0"/>
          <w:bCs w:val="0"/>
          <w:color w:val="auto"/>
          <w:kern w:val="2"/>
          <w:sz w:val="21"/>
          <w:szCs w:val="21"/>
          <w:highlight w:val="none"/>
          <w:lang w:val="zh-TW" w:eastAsia="zh-TW" w:bidi="zh-TW"/>
        </w:rPr>
        <w:t>④</w:t>
      </w:r>
      <w:r>
        <w:rPr>
          <w:rFonts w:hint="eastAsia" w:ascii="宋体" w:hAnsi="宋体" w:eastAsia="宋体" w:cs="宋体"/>
          <w:b w:val="0"/>
          <w:bCs w:val="0"/>
          <w:color w:val="auto"/>
          <w:kern w:val="2"/>
          <w:sz w:val="21"/>
          <w:szCs w:val="21"/>
          <w:highlight w:val="none"/>
          <w:lang w:val="zh-TW" w:eastAsia="zh-CN" w:bidi="zh-TW"/>
        </w:rPr>
        <w:t>供应商</w:t>
      </w:r>
      <w:r>
        <w:rPr>
          <w:rFonts w:hint="eastAsia" w:ascii="宋体" w:hAnsi="宋体" w:eastAsia="宋体" w:cs="宋体"/>
          <w:b w:val="0"/>
          <w:bCs w:val="0"/>
          <w:color w:val="auto"/>
          <w:kern w:val="2"/>
          <w:sz w:val="21"/>
          <w:szCs w:val="21"/>
          <w:highlight w:val="none"/>
          <w:lang w:val="zh-TW" w:eastAsia="zh-TW" w:bidi="zh-TW"/>
        </w:rPr>
        <w:t>提供的《中小企业声明函》与实际情况不符的或者未按以上要求填写的，不享受中小企业扶持政策。声明内容不实的，属于提供虚假材料谋取中标、成交的，依法承担法律责任。</w:t>
      </w:r>
    </w:p>
    <w:p w14:paraId="776ED344">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14:paraId="4B853FE3">
      <w:pPr>
        <w:rPr>
          <w:rFonts w:hint="default"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残疾人福利性单位声明函格式：</w:t>
      </w:r>
    </w:p>
    <w:p w14:paraId="0400EFA3">
      <w:pPr>
        <w:spacing w:line="240" w:lineRule="auto"/>
        <w:jc w:val="center"/>
        <w:rPr>
          <w:rFonts w:hint="default"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残疾人福利性单位声明函（如是）</w:t>
      </w:r>
    </w:p>
    <w:p w14:paraId="2BFACEAC">
      <w:pPr>
        <w:widowControl/>
        <w:spacing w:before="100" w:beforeAutospacing="1" w:after="100" w:afterAutospacing="1" w:line="480" w:lineRule="auto"/>
        <w:ind w:firstLine="360" w:firstLineChars="150"/>
        <w:jc w:val="left"/>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rPr>
        <w:t xml:space="preserve">      项目名称   </w:t>
      </w:r>
      <w:r>
        <w:rPr>
          <w:rFonts w:hint="eastAsia" w:asciiTheme="minorEastAsia" w:hAnsiTheme="minorEastAsia" w:eastAsiaTheme="minorEastAsia" w:cstheme="minorEastAsia"/>
          <w:color w:val="auto"/>
          <w:sz w:val="24"/>
          <w:szCs w:val="24"/>
          <w:highlight w:val="none"/>
        </w:rPr>
        <w:t>（项目编号）采购活动提供本单位制造的货物（由本单位承担工程/提供服务），或者提供其他残疾人福利性单位制造的货物（不包括使用非残疾人福利性单位注册商标的货物）。</w:t>
      </w:r>
    </w:p>
    <w:p w14:paraId="53259BC0">
      <w:pPr>
        <w:widowControl/>
        <w:spacing w:before="100" w:beforeAutospacing="1" w:after="100" w:afterAutospacing="1" w:line="480" w:lineRule="auto"/>
        <w:ind w:firstLine="360" w:firstLineChars="150"/>
        <w:jc w:val="left"/>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本单位对上述声明的真实性负责。如有虚假，将依法承担相应责任。</w:t>
      </w:r>
    </w:p>
    <w:p w14:paraId="562A1311">
      <w:pPr>
        <w:widowControl/>
        <w:spacing w:before="100" w:beforeAutospacing="1" w:after="100" w:afterAutospacing="1" w:line="480" w:lineRule="auto"/>
        <w:ind w:firstLine="240" w:firstLineChars="100"/>
        <w:jc w:val="left"/>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投标人名称（电子签章）： </w:t>
      </w:r>
    </w:p>
    <w:p w14:paraId="764ED21C">
      <w:pPr>
        <w:adjustRightInd w:val="0"/>
        <w:spacing w:line="360" w:lineRule="auto"/>
        <w:jc w:val="left"/>
        <w:rPr>
          <w:rFonts w:hint="default"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533BA5B7">
      <w:pPr>
        <w:pStyle w:val="2"/>
        <w:spacing w:line="360" w:lineRule="auto"/>
        <w:rPr>
          <w:rFonts w:asciiTheme="minorEastAsia" w:hAnsiTheme="minorEastAsia" w:eastAsiaTheme="minorEastAsia" w:cstheme="minorEastAsia"/>
          <w:color w:val="auto"/>
          <w:highlight w:val="none"/>
        </w:rPr>
      </w:pPr>
    </w:p>
    <w:p w14:paraId="17747A9D">
      <w:pPr>
        <w:pStyle w:val="2"/>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备注：（1）残疾人福利性单位说明材料：残疾人福利性单位声明函。（2）如提供其他残疾人福利性单位制造的货物，还须同时提供该企业的残疾人福利性单位声明函。</w:t>
      </w:r>
    </w:p>
    <w:p w14:paraId="6F14E36C">
      <w:pPr>
        <w:spacing w:line="360" w:lineRule="auto"/>
        <w:jc w:val="right"/>
        <w:rPr>
          <w:rFonts w:hint="default" w:asciiTheme="minorEastAsia" w:hAnsiTheme="minorEastAsia" w:eastAsiaTheme="minorEastAsia" w:cstheme="minorEastAsia"/>
          <w:color w:val="auto"/>
          <w:sz w:val="24"/>
          <w:szCs w:val="24"/>
          <w:highlight w:val="none"/>
        </w:rPr>
      </w:pPr>
    </w:p>
    <w:p w14:paraId="76E1771E">
      <w:pPr>
        <w:spacing w:line="360" w:lineRule="auto"/>
        <w:jc w:val="left"/>
        <w:rPr>
          <w:rFonts w:hint="default" w:asciiTheme="minorEastAsia" w:hAnsiTheme="minorEastAsia" w:eastAsiaTheme="minorEastAsia" w:cstheme="minorEastAsia"/>
          <w:b/>
          <w:bCs/>
          <w:color w:val="auto"/>
          <w:spacing w:val="-4"/>
          <w:sz w:val="24"/>
          <w:szCs w:val="24"/>
          <w:highlight w:val="none"/>
        </w:rPr>
      </w:pPr>
    </w:p>
    <w:p w14:paraId="09245786">
      <w:pPr>
        <w:spacing w:line="360" w:lineRule="auto"/>
        <w:jc w:val="left"/>
        <w:rPr>
          <w:rFonts w:hint="default" w:asciiTheme="minorEastAsia" w:hAnsiTheme="minorEastAsia" w:eastAsiaTheme="minorEastAsia" w:cstheme="minorEastAsia"/>
          <w:b/>
          <w:bCs/>
          <w:color w:val="auto"/>
          <w:spacing w:val="-4"/>
          <w:sz w:val="24"/>
          <w:szCs w:val="24"/>
          <w:highlight w:val="none"/>
        </w:rPr>
      </w:pPr>
    </w:p>
    <w:p w14:paraId="155D8B46">
      <w:pPr>
        <w:spacing w:line="360" w:lineRule="auto"/>
        <w:jc w:val="left"/>
        <w:rPr>
          <w:rFonts w:hint="default" w:asciiTheme="minorEastAsia" w:hAnsiTheme="minorEastAsia" w:eastAsiaTheme="minorEastAsia" w:cstheme="minorEastAsia"/>
          <w:b/>
          <w:bCs/>
          <w:color w:val="auto"/>
          <w:spacing w:val="-4"/>
          <w:sz w:val="24"/>
          <w:szCs w:val="24"/>
          <w:highlight w:val="none"/>
        </w:rPr>
      </w:pPr>
    </w:p>
    <w:p w14:paraId="0C623AB3">
      <w:pPr>
        <w:spacing w:line="240" w:lineRule="auto"/>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监狱企业声明文件：</w:t>
      </w:r>
    </w:p>
    <w:p w14:paraId="79659483">
      <w:pPr>
        <w:spacing w:line="360" w:lineRule="auto"/>
        <w:ind w:firstLine="2329" w:firstLineChars="10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pacing w:val="-4"/>
          <w:sz w:val="24"/>
          <w:szCs w:val="24"/>
          <w:highlight w:val="none"/>
        </w:rPr>
        <w:t>监狱企业声明文件</w:t>
      </w:r>
      <w:r>
        <w:rPr>
          <w:rFonts w:hint="eastAsia" w:asciiTheme="minorEastAsia" w:hAnsiTheme="minorEastAsia" w:eastAsiaTheme="minorEastAsia" w:cstheme="minorEastAsia"/>
          <w:color w:val="auto"/>
          <w:spacing w:val="-4"/>
          <w:sz w:val="24"/>
          <w:szCs w:val="24"/>
          <w:highlight w:val="none"/>
        </w:rPr>
        <w:t>(格式自拟）</w:t>
      </w:r>
      <w:r>
        <w:rPr>
          <w:rFonts w:hint="eastAsia" w:asciiTheme="minorEastAsia" w:hAnsiTheme="minorEastAsia" w:eastAsiaTheme="minorEastAsia" w:cstheme="minorEastAsia"/>
          <w:b/>
          <w:bCs/>
          <w:color w:val="auto"/>
          <w:spacing w:val="-4"/>
          <w:sz w:val="24"/>
          <w:szCs w:val="24"/>
          <w:highlight w:val="none"/>
          <w:lang w:eastAsia="zh-CN"/>
        </w:rPr>
        <w:t>（</w:t>
      </w:r>
      <w:r>
        <w:rPr>
          <w:rFonts w:hint="eastAsia" w:asciiTheme="minorEastAsia" w:hAnsiTheme="minorEastAsia" w:eastAsiaTheme="minorEastAsia" w:cstheme="minorEastAsia"/>
          <w:b/>
          <w:bCs/>
          <w:color w:val="auto"/>
          <w:spacing w:val="-4"/>
          <w:sz w:val="24"/>
          <w:szCs w:val="24"/>
          <w:highlight w:val="none"/>
          <w:lang w:val="en-US" w:eastAsia="zh-CN"/>
        </w:rPr>
        <w:t>如是</w:t>
      </w:r>
      <w:r>
        <w:rPr>
          <w:rFonts w:hint="eastAsia" w:asciiTheme="minorEastAsia" w:hAnsiTheme="minorEastAsia" w:eastAsiaTheme="minorEastAsia" w:cstheme="minorEastAsia"/>
          <w:b/>
          <w:bCs/>
          <w:color w:val="auto"/>
          <w:spacing w:val="-4"/>
          <w:sz w:val="24"/>
          <w:szCs w:val="24"/>
          <w:highlight w:val="none"/>
          <w:lang w:eastAsia="zh-CN"/>
        </w:rPr>
        <w:t>）</w:t>
      </w:r>
    </w:p>
    <w:p w14:paraId="56DBE1AB">
      <w:pPr>
        <w:snapToGrid w:val="0"/>
        <w:spacing w:before="50" w:afterLines="50" w:line="240" w:lineRule="auto"/>
        <w:jc w:val="left"/>
        <w:rPr>
          <w:rFonts w:hint="eastAsia" w:ascii="宋体" w:hAnsi="宋体" w:eastAsia="宋体" w:cs="宋体"/>
          <w:color w:val="auto"/>
          <w:kern w:val="0"/>
          <w:sz w:val="24"/>
          <w:szCs w:val="24"/>
          <w:highlight w:val="none"/>
          <w:lang w:val="zh-CN"/>
        </w:rPr>
      </w:pPr>
    </w:p>
    <w:p w14:paraId="72BC647E">
      <w:pP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br w:type="page"/>
      </w:r>
    </w:p>
    <w:p w14:paraId="6F79837F">
      <w:pPr>
        <w:spacing w:line="240" w:lineRule="auto"/>
        <w:outlineLvl w:val="1"/>
        <w:rPr>
          <w:rFonts w:hint="default" w:asciiTheme="minorEastAsia" w:hAnsiTheme="minorEastAsia" w:eastAsiaTheme="minorEastAsia" w:cstheme="minorEastAsia"/>
          <w:b/>
          <w:color w:val="auto"/>
          <w:sz w:val="28"/>
          <w:szCs w:val="28"/>
          <w:highlight w:val="none"/>
        </w:rPr>
      </w:pPr>
      <w:r>
        <w:rPr>
          <w:rFonts w:asciiTheme="minorEastAsia" w:hAnsiTheme="minorEastAsia" w:eastAsiaTheme="minorEastAsia" w:cstheme="minorEastAsia"/>
          <w:b/>
          <w:color w:val="auto"/>
          <w:sz w:val="28"/>
          <w:szCs w:val="28"/>
          <w:highlight w:val="none"/>
        </w:rPr>
        <w:t>二、商务技术文件封面格式</w:t>
      </w:r>
    </w:p>
    <w:p w14:paraId="385C1BEC">
      <w:pPr>
        <w:spacing w:line="240" w:lineRule="auto"/>
        <w:rPr>
          <w:rFonts w:hint="default" w:asciiTheme="minorEastAsia" w:hAnsiTheme="minorEastAsia" w:eastAsiaTheme="minorEastAsia" w:cstheme="minorEastAsia"/>
          <w:b/>
          <w:bCs/>
          <w:color w:val="auto"/>
          <w:sz w:val="40"/>
          <w:szCs w:val="40"/>
          <w:highlight w:val="none"/>
        </w:rPr>
      </w:pPr>
    </w:p>
    <w:p w14:paraId="36DB86DB">
      <w:pPr>
        <w:spacing w:line="240" w:lineRule="auto"/>
        <w:jc w:val="cente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40"/>
          <w:szCs w:val="40"/>
          <w:highlight w:val="none"/>
          <w:lang w:eastAsia="zh-CN"/>
        </w:rPr>
        <w:t>浦江县公路与运输事业发展中心非现场执法设备2025年运维项目(第二次）</w:t>
      </w:r>
    </w:p>
    <w:p w14:paraId="1E6EDFF8">
      <w:pPr>
        <w:spacing w:line="360" w:lineRule="auto"/>
        <w:jc w:val="center"/>
        <w:rPr>
          <w:rFonts w:hint="default" w:asciiTheme="minorEastAsia" w:hAnsiTheme="minorEastAsia" w:eastAsiaTheme="minorEastAsia" w:cstheme="minorEastAsia"/>
          <w:color w:val="auto"/>
          <w:spacing w:val="40"/>
          <w:w w:val="90"/>
          <w:sz w:val="96"/>
          <w:szCs w:val="96"/>
          <w:highlight w:val="none"/>
          <w:lang w:bidi="th-TH"/>
        </w:rPr>
      </w:pPr>
    </w:p>
    <w:p w14:paraId="2E406FE1">
      <w:pPr>
        <w:spacing w:line="360" w:lineRule="auto"/>
        <w:jc w:val="center"/>
        <w:rPr>
          <w:rFonts w:hint="default" w:asciiTheme="minorEastAsia" w:hAnsiTheme="minorEastAsia" w:eastAsiaTheme="minorEastAsia" w:cstheme="minorEastAsia"/>
          <w:color w:val="auto"/>
          <w:spacing w:val="40"/>
          <w:w w:val="90"/>
          <w:sz w:val="96"/>
          <w:szCs w:val="96"/>
          <w:highlight w:val="none"/>
          <w:lang w:bidi="th-TH"/>
        </w:rPr>
      </w:pPr>
      <w:r>
        <w:rPr>
          <w:rFonts w:asciiTheme="minorEastAsia" w:hAnsiTheme="minorEastAsia" w:eastAsiaTheme="minorEastAsia" w:cstheme="minorEastAsia"/>
          <w:color w:val="auto"/>
          <w:spacing w:val="40"/>
          <w:w w:val="90"/>
          <w:sz w:val="96"/>
          <w:szCs w:val="96"/>
          <w:highlight w:val="none"/>
          <w:lang w:bidi="th-TH"/>
        </w:rPr>
        <w:t>投 标 文 件</w:t>
      </w:r>
    </w:p>
    <w:p w14:paraId="17E12425">
      <w:pPr>
        <w:spacing w:line="240" w:lineRule="auto"/>
        <w:jc w:val="center"/>
        <w:rPr>
          <w:rFonts w:hint="default" w:asciiTheme="minorEastAsia" w:hAnsiTheme="minorEastAsia" w:eastAsiaTheme="minorEastAsia" w:cstheme="minorEastAsia"/>
          <w:b/>
          <w:bCs/>
          <w:color w:val="auto"/>
          <w:sz w:val="36"/>
          <w:szCs w:val="36"/>
          <w:highlight w:val="none"/>
        </w:rPr>
      </w:pPr>
      <w:r>
        <w:rPr>
          <w:rFonts w:asciiTheme="minorEastAsia" w:hAnsiTheme="minorEastAsia" w:eastAsiaTheme="minorEastAsia" w:cstheme="minorEastAsia"/>
          <w:b/>
          <w:bCs/>
          <w:color w:val="auto"/>
          <w:sz w:val="36"/>
          <w:szCs w:val="36"/>
          <w:highlight w:val="none"/>
        </w:rPr>
        <w:t>（商务技术文件）</w:t>
      </w:r>
    </w:p>
    <w:p w14:paraId="1175082F">
      <w:pPr>
        <w:spacing w:line="240" w:lineRule="auto"/>
        <w:jc w:val="center"/>
        <w:rPr>
          <w:rFonts w:hint="default" w:asciiTheme="minorEastAsia" w:hAnsiTheme="minorEastAsia" w:eastAsiaTheme="minorEastAsia" w:cstheme="minorEastAsia"/>
          <w:b/>
          <w:bCs/>
          <w:color w:val="auto"/>
          <w:sz w:val="28"/>
          <w:szCs w:val="28"/>
          <w:highlight w:val="none"/>
        </w:rPr>
      </w:pPr>
      <w:r>
        <w:rPr>
          <w:rFonts w:asciiTheme="minorEastAsia" w:hAnsiTheme="minorEastAsia" w:eastAsiaTheme="minorEastAsia" w:cstheme="minorEastAsia"/>
          <w:b/>
          <w:bCs/>
          <w:color w:val="auto"/>
          <w:sz w:val="28"/>
          <w:szCs w:val="28"/>
          <w:highlight w:val="none"/>
        </w:rPr>
        <w:t>项目编号：</w:t>
      </w:r>
    </w:p>
    <w:p w14:paraId="328D9EAB">
      <w:pPr>
        <w:spacing w:line="240" w:lineRule="auto"/>
        <w:jc w:val="center"/>
        <w:rPr>
          <w:rFonts w:hint="default" w:asciiTheme="minorEastAsia" w:hAnsiTheme="minorEastAsia" w:eastAsiaTheme="minorEastAsia" w:cstheme="minorEastAsia"/>
          <w:b/>
          <w:bCs/>
          <w:color w:val="auto"/>
          <w:sz w:val="28"/>
          <w:szCs w:val="28"/>
          <w:highlight w:val="none"/>
        </w:rPr>
      </w:pPr>
    </w:p>
    <w:p w14:paraId="28B7BFD3">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1BFB942E">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38865A18">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33F0B977">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2E70A283">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78B33614">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r>
        <w:rPr>
          <w:rFonts w:asciiTheme="minorEastAsia" w:hAnsiTheme="minorEastAsia" w:eastAsiaTheme="minorEastAsia" w:cstheme="minorEastAsia"/>
          <w:b/>
          <w:color w:val="auto"/>
          <w:sz w:val="32"/>
          <w:szCs w:val="32"/>
          <w:highlight w:val="none"/>
        </w:rPr>
        <w:t>投标人名称（电子签章）：</w:t>
      </w:r>
      <w:r>
        <w:rPr>
          <w:rFonts w:asciiTheme="minorEastAsia" w:hAnsiTheme="minorEastAsia" w:eastAsiaTheme="minorEastAsia" w:cstheme="minorEastAsia"/>
          <w:b/>
          <w:color w:val="auto"/>
          <w:sz w:val="32"/>
          <w:szCs w:val="32"/>
          <w:highlight w:val="none"/>
          <w:u w:val="single"/>
        </w:rPr>
        <w:t xml:space="preserve">                             </w:t>
      </w:r>
    </w:p>
    <w:p w14:paraId="00D05971">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33137E5F">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r>
        <w:rPr>
          <w:rFonts w:asciiTheme="minorEastAsia" w:hAnsiTheme="minorEastAsia" w:eastAsiaTheme="minorEastAsia" w:cstheme="minorEastAsia"/>
          <w:b/>
          <w:color w:val="auto"/>
          <w:sz w:val="32"/>
          <w:szCs w:val="32"/>
          <w:highlight w:val="none"/>
        </w:rPr>
        <w:t xml:space="preserve">法定代表人或授权代表(签字或盖章)： </w:t>
      </w:r>
      <w:r>
        <w:rPr>
          <w:rFonts w:asciiTheme="minorEastAsia" w:hAnsiTheme="minorEastAsia" w:eastAsiaTheme="minorEastAsia" w:cstheme="minorEastAsia"/>
          <w:b/>
          <w:color w:val="auto"/>
          <w:sz w:val="32"/>
          <w:szCs w:val="32"/>
          <w:highlight w:val="none"/>
          <w:u w:val="single"/>
        </w:rPr>
        <w:t xml:space="preserve">                  </w:t>
      </w:r>
    </w:p>
    <w:p w14:paraId="26936E77">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1E39EAC9">
      <w:pPr>
        <w:autoSpaceDE w:val="0"/>
        <w:autoSpaceDN w:val="0"/>
        <w:adjustRightInd w:val="0"/>
        <w:spacing w:line="360" w:lineRule="auto"/>
        <w:jc w:val="center"/>
        <w:rPr>
          <w:rFonts w:hint="default" w:ascii="宋体" w:hAnsi="宋体" w:eastAsia="宋体" w:cs="宋体"/>
          <w:b/>
          <w:snapToGrid w:val="0"/>
          <w:color w:val="auto"/>
          <w:kern w:val="0"/>
          <w:sz w:val="32"/>
          <w:szCs w:val="32"/>
          <w:highlight w:val="none"/>
        </w:rPr>
      </w:pPr>
      <w:r>
        <w:rPr>
          <w:rFonts w:asciiTheme="minorEastAsia" w:hAnsiTheme="minorEastAsia" w:eastAsiaTheme="minorEastAsia" w:cstheme="minorEastAsia"/>
          <w:b/>
          <w:color w:val="auto"/>
          <w:sz w:val="32"/>
          <w:szCs w:val="32"/>
          <w:highlight w:val="none"/>
        </w:rPr>
        <w:t>时间：    年   月   日</w:t>
      </w:r>
    </w:p>
    <w:p w14:paraId="572EF093">
      <w:pPr>
        <w:rPr>
          <w:rFonts w:hint="default" w:ascii="宋体" w:hAnsi="宋体" w:eastAsia="宋体" w:cs="宋体"/>
          <w:b/>
          <w:snapToGrid w:val="0"/>
          <w:color w:val="auto"/>
          <w:kern w:val="0"/>
          <w:sz w:val="32"/>
          <w:szCs w:val="32"/>
          <w:highlight w:val="none"/>
        </w:rPr>
      </w:pPr>
      <w:r>
        <w:rPr>
          <w:rFonts w:ascii="宋体" w:hAnsi="宋体" w:eastAsia="宋体" w:cs="宋体"/>
          <w:b/>
          <w:snapToGrid w:val="0"/>
          <w:color w:val="auto"/>
          <w:kern w:val="0"/>
          <w:sz w:val="32"/>
          <w:szCs w:val="32"/>
          <w:highlight w:val="none"/>
        </w:rPr>
        <w:br w:type="page"/>
      </w:r>
    </w:p>
    <w:p w14:paraId="13F48339">
      <w:pPr>
        <w:tabs>
          <w:tab w:val="left" w:pos="720"/>
        </w:tabs>
        <w:adjustRightInd w:val="0"/>
        <w:snapToGrid w:val="0"/>
        <w:spacing w:line="360" w:lineRule="auto"/>
        <w:ind w:left="420"/>
        <w:jc w:val="center"/>
        <w:rPr>
          <w:rFonts w:hint="default" w:ascii="宋体" w:hAnsi="宋体" w:eastAsia="宋体" w:cs="宋体"/>
          <w:b/>
          <w:snapToGrid w:val="0"/>
          <w:color w:val="auto"/>
          <w:kern w:val="0"/>
          <w:sz w:val="32"/>
          <w:szCs w:val="32"/>
          <w:highlight w:val="none"/>
        </w:rPr>
      </w:pPr>
      <w:r>
        <w:rPr>
          <w:rFonts w:ascii="宋体" w:hAnsi="宋体" w:eastAsia="宋体" w:cs="宋体"/>
          <w:b/>
          <w:snapToGrid w:val="0"/>
          <w:color w:val="auto"/>
          <w:kern w:val="0"/>
          <w:sz w:val="32"/>
          <w:szCs w:val="32"/>
          <w:highlight w:val="none"/>
        </w:rPr>
        <w:t>商务技术文件目录</w:t>
      </w:r>
    </w:p>
    <w:p w14:paraId="7F60ABA4">
      <w:pPr>
        <w:snapToGrid w:val="0"/>
        <w:spacing w:before="50" w:afterLines="50" w:line="240" w:lineRule="auto"/>
        <w:jc w:val="left"/>
        <w:rPr>
          <w:rFonts w:hint="default" w:ascii="宋体" w:hAnsi="宋体" w:eastAsia="宋体" w:cs="宋体"/>
          <w:color w:val="auto"/>
          <w:sz w:val="24"/>
          <w:szCs w:val="24"/>
          <w:highlight w:val="none"/>
        </w:rPr>
      </w:pPr>
    </w:p>
    <w:p w14:paraId="6D3109BB">
      <w:pPr>
        <w:snapToGrid w:val="0"/>
        <w:spacing w:line="360" w:lineRule="auto"/>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1.投标人基本情况表（格式见附件）———————页码</w:t>
      </w:r>
    </w:p>
    <w:p w14:paraId="013926D1">
      <w:pPr>
        <w:snapToGrid w:val="0"/>
        <w:spacing w:line="360" w:lineRule="auto"/>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2.法定代表人资格说明书和法定代表人授权委托书（格式见附件）—————页码</w:t>
      </w:r>
    </w:p>
    <w:p w14:paraId="698C20AF">
      <w:pPr>
        <w:snapToGrid w:val="0"/>
        <w:spacing w:line="360" w:lineRule="auto"/>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3.商务响应表（格式见附件）———————页码</w:t>
      </w:r>
    </w:p>
    <w:p w14:paraId="60B1C11C">
      <w:pPr>
        <w:snapToGrid w:val="0"/>
        <w:spacing w:line="360" w:lineRule="auto"/>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4.技术响应表（格式见附件）———————页码</w:t>
      </w:r>
    </w:p>
    <w:p w14:paraId="5DC203DC">
      <w:pPr>
        <w:snapToGrid w:val="0"/>
        <w:spacing w:line="360" w:lineRule="auto"/>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5.商务技术分自评表（格式见附件）———————页码</w:t>
      </w:r>
    </w:p>
    <w:p w14:paraId="39E295B4">
      <w:pPr>
        <w:spacing w:line="360" w:lineRule="auto"/>
        <w:ind w:firstLine="420" w:firstLineChars="175"/>
        <w:jc w:val="left"/>
        <w:rPr>
          <w:rFonts w:hint="eastAsia" w:asciiTheme="minorEastAsia" w:hAnsiTheme="minorEastAsia" w:eastAsiaTheme="minorEastAsia" w:cstheme="minorEastAsia"/>
          <w:color w:val="auto"/>
          <w:kern w:val="2"/>
          <w:sz w:val="24"/>
          <w:szCs w:val="24"/>
          <w:highlight w:val="none"/>
        </w:rPr>
      </w:pPr>
      <w:r>
        <w:rPr>
          <w:rFonts w:asciiTheme="minorEastAsia" w:hAnsiTheme="minorEastAsia" w:eastAsiaTheme="minorEastAsia" w:cstheme="minorEastAsia"/>
          <w:color w:val="auto"/>
          <w:sz w:val="24"/>
          <w:szCs w:val="24"/>
          <w:highlight w:val="none"/>
        </w:rPr>
        <w:t>5.1</w:t>
      </w:r>
      <w:r>
        <w:rPr>
          <w:rFonts w:hint="eastAsia" w:asciiTheme="minorEastAsia" w:hAnsiTheme="minorEastAsia" w:eastAsiaTheme="minorEastAsia" w:cstheme="minorEastAsia"/>
          <w:color w:val="auto"/>
          <w:kern w:val="2"/>
          <w:sz w:val="24"/>
          <w:szCs w:val="24"/>
          <w:highlight w:val="none"/>
        </w:rPr>
        <w:t>投标人综合实力</w:t>
      </w:r>
      <w:r>
        <w:rPr>
          <w:rFonts w:hint="eastAsia" w:asciiTheme="minorEastAsia" w:hAnsiTheme="minorEastAsia" w:eastAsiaTheme="minorEastAsia" w:cstheme="minorEastAsia"/>
          <w:color w:val="auto"/>
          <w:sz w:val="24"/>
          <w:szCs w:val="24"/>
          <w:highlight w:val="none"/>
        </w:rPr>
        <w:t>———————页码</w:t>
      </w:r>
    </w:p>
    <w:p w14:paraId="071D77B8">
      <w:pPr>
        <w:spacing w:line="360" w:lineRule="auto"/>
        <w:ind w:firstLine="420" w:firstLineChars="175"/>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5.2</w:t>
      </w:r>
      <w:r>
        <w:rPr>
          <w:rFonts w:hint="eastAsia" w:asciiTheme="minorEastAsia" w:hAnsiTheme="minorEastAsia" w:eastAsiaTheme="minorEastAsia" w:cstheme="minorEastAsia"/>
          <w:color w:val="auto"/>
          <w:sz w:val="24"/>
          <w:szCs w:val="24"/>
          <w:highlight w:val="none"/>
        </w:rPr>
        <w:t>业绩———————页码</w:t>
      </w:r>
    </w:p>
    <w:p w14:paraId="12CE55F2">
      <w:pPr>
        <w:spacing w:line="360" w:lineRule="auto"/>
        <w:ind w:firstLine="420" w:firstLineChars="175"/>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5.3</w:t>
      </w:r>
      <w:r>
        <w:rPr>
          <w:rFonts w:hint="eastAsia" w:asciiTheme="minorEastAsia" w:hAnsiTheme="minorEastAsia" w:eastAsiaTheme="minorEastAsia" w:cstheme="minorEastAsia"/>
          <w:color w:val="auto"/>
          <w:kern w:val="2"/>
          <w:sz w:val="24"/>
          <w:szCs w:val="24"/>
          <w:highlight w:val="none"/>
        </w:rPr>
        <w:t>人员配置</w:t>
      </w:r>
      <w:r>
        <w:rPr>
          <w:rFonts w:hint="eastAsia" w:asciiTheme="minorEastAsia" w:hAnsiTheme="minorEastAsia" w:eastAsiaTheme="minorEastAsia" w:cstheme="minorEastAsia"/>
          <w:color w:val="auto"/>
          <w:sz w:val="24"/>
          <w:szCs w:val="24"/>
          <w:highlight w:val="none"/>
        </w:rPr>
        <w:t>———————页码</w:t>
      </w:r>
    </w:p>
    <w:p w14:paraId="3D3826EB">
      <w:pPr>
        <w:spacing w:line="360" w:lineRule="auto"/>
        <w:ind w:firstLine="420" w:firstLineChars="175"/>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5.4</w:t>
      </w:r>
      <w:r>
        <w:rPr>
          <w:rFonts w:hint="eastAsia" w:asciiTheme="minorEastAsia" w:hAnsiTheme="minorEastAsia" w:eastAsiaTheme="minorEastAsia" w:cstheme="minorEastAsia"/>
          <w:color w:val="auto"/>
          <w:kern w:val="2"/>
          <w:sz w:val="24"/>
          <w:szCs w:val="24"/>
          <w:highlight w:val="none"/>
        </w:rPr>
        <w:t>维保服务能力</w:t>
      </w:r>
      <w:r>
        <w:rPr>
          <w:rFonts w:hint="eastAsia" w:asciiTheme="minorEastAsia" w:hAnsiTheme="minorEastAsia" w:eastAsiaTheme="minorEastAsia" w:cstheme="minorEastAsia"/>
          <w:color w:val="auto"/>
          <w:sz w:val="24"/>
          <w:szCs w:val="24"/>
          <w:highlight w:val="none"/>
          <w:lang w:val="en-US" w:eastAsia="zh-CN"/>
        </w:rPr>
        <w:t>———————页码</w:t>
      </w:r>
    </w:p>
    <w:p w14:paraId="034B791C">
      <w:pPr>
        <w:spacing w:line="360" w:lineRule="auto"/>
        <w:ind w:firstLine="420" w:firstLineChars="175"/>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5.5响应时间————————页码</w:t>
      </w:r>
    </w:p>
    <w:p w14:paraId="399CB75D">
      <w:pPr>
        <w:spacing w:line="360" w:lineRule="auto"/>
        <w:ind w:firstLine="420" w:firstLineChars="175"/>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5.6项目总体理解</w:t>
      </w:r>
      <w:r>
        <w:rPr>
          <w:rFonts w:hint="eastAsia" w:asciiTheme="minorEastAsia" w:hAnsiTheme="minorEastAsia" w:eastAsiaTheme="minorEastAsia" w:cstheme="minorEastAsia"/>
          <w:color w:val="auto"/>
          <w:sz w:val="24"/>
          <w:szCs w:val="24"/>
          <w:highlight w:val="none"/>
          <w:lang w:val="en-US" w:eastAsia="zh-CN"/>
        </w:rPr>
        <w:t>———————页码</w:t>
      </w:r>
    </w:p>
    <w:p w14:paraId="2462DCF5">
      <w:pPr>
        <w:spacing w:line="360" w:lineRule="auto"/>
        <w:ind w:firstLine="420" w:firstLineChars="175"/>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5.7</w:t>
      </w:r>
      <w:r>
        <w:rPr>
          <w:rFonts w:hint="eastAsia" w:asciiTheme="minorEastAsia" w:hAnsiTheme="minorEastAsia" w:eastAsiaTheme="minorEastAsia" w:cstheme="minorEastAsia"/>
          <w:color w:val="auto"/>
          <w:kern w:val="2"/>
          <w:sz w:val="24"/>
          <w:szCs w:val="24"/>
          <w:highlight w:val="none"/>
        </w:rPr>
        <w:t>维</w:t>
      </w:r>
      <w:r>
        <w:rPr>
          <w:rFonts w:hint="eastAsia" w:asciiTheme="minorEastAsia" w:hAnsiTheme="minorEastAsia" w:eastAsiaTheme="minorEastAsia" w:cstheme="minorEastAsia"/>
          <w:color w:val="auto"/>
          <w:kern w:val="2"/>
          <w:sz w:val="24"/>
          <w:szCs w:val="24"/>
          <w:highlight w:val="none"/>
          <w:lang w:val="en-US" w:eastAsia="zh-CN"/>
        </w:rPr>
        <w:t>护技术</w:t>
      </w:r>
      <w:r>
        <w:rPr>
          <w:rFonts w:hint="eastAsia" w:asciiTheme="minorEastAsia" w:hAnsiTheme="minorEastAsia" w:eastAsiaTheme="minorEastAsia" w:cstheme="minorEastAsia"/>
          <w:color w:val="auto"/>
          <w:kern w:val="2"/>
          <w:sz w:val="24"/>
          <w:szCs w:val="24"/>
          <w:highlight w:val="none"/>
        </w:rPr>
        <w:t>方案</w:t>
      </w:r>
      <w:r>
        <w:rPr>
          <w:rFonts w:hint="eastAsia" w:asciiTheme="minorEastAsia" w:hAnsiTheme="minorEastAsia" w:eastAsiaTheme="minorEastAsia" w:cstheme="minorEastAsia"/>
          <w:color w:val="auto"/>
          <w:sz w:val="24"/>
          <w:szCs w:val="24"/>
          <w:highlight w:val="none"/>
        </w:rPr>
        <w:t>———————页码</w:t>
      </w:r>
    </w:p>
    <w:p w14:paraId="70AB1887">
      <w:pPr>
        <w:spacing w:line="360" w:lineRule="auto"/>
        <w:ind w:firstLine="420" w:firstLineChars="175"/>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5.8</w:t>
      </w:r>
      <w:r>
        <w:rPr>
          <w:rFonts w:hint="eastAsia" w:asciiTheme="minorEastAsia" w:hAnsiTheme="minorEastAsia" w:eastAsiaTheme="minorEastAsia" w:cstheme="minorEastAsia"/>
          <w:color w:val="auto"/>
          <w:kern w:val="2"/>
          <w:sz w:val="24"/>
          <w:szCs w:val="24"/>
          <w:highlight w:val="none"/>
        </w:rPr>
        <w:t>项目保证措施</w:t>
      </w:r>
      <w:r>
        <w:rPr>
          <w:rFonts w:hint="eastAsia" w:asciiTheme="minorEastAsia" w:hAnsiTheme="minorEastAsia" w:eastAsiaTheme="minorEastAsia" w:cstheme="minorEastAsia"/>
          <w:color w:val="auto"/>
          <w:sz w:val="24"/>
          <w:szCs w:val="24"/>
          <w:highlight w:val="none"/>
        </w:rPr>
        <w:t>———————页码</w:t>
      </w:r>
    </w:p>
    <w:p w14:paraId="53545D34">
      <w:pPr>
        <w:spacing w:line="360" w:lineRule="auto"/>
        <w:ind w:firstLine="420" w:firstLineChars="175"/>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5.9</w:t>
      </w:r>
      <w:r>
        <w:rPr>
          <w:rFonts w:hint="eastAsia" w:asciiTheme="minorEastAsia" w:hAnsiTheme="minorEastAsia" w:eastAsiaTheme="minorEastAsia" w:cstheme="minorEastAsia"/>
          <w:color w:val="auto"/>
          <w:kern w:val="2"/>
          <w:sz w:val="24"/>
          <w:szCs w:val="24"/>
          <w:highlight w:val="none"/>
        </w:rPr>
        <w:t>应急方案</w:t>
      </w:r>
      <w:r>
        <w:rPr>
          <w:rFonts w:hint="eastAsia" w:asciiTheme="minorEastAsia" w:hAnsiTheme="minorEastAsia" w:eastAsiaTheme="minorEastAsia" w:cstheme="minorEastAsia"/>
          <w:color w:val="auto"/>
          <w:sz w:val="24"/>
          <w:szCs w:val="24"/>
          <w:highlight w:val="none"/>
        </w:rPr>
        <w:t>———————页码</w:t>
      </w:r>
    </w:p>
    <w:p w14:paraId="638E7E65">
      <w:pPr>
        <w:spacing w:line="360" w:lineRule="auto"/>
        <w:ind w:firstLine="420" w:firstLineChars="175"/>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5.10</w:t>
      </w:r>
      <w:r>
        <w:rPr>
          <w:rFonts w:hint="eastAsia" w:asciiTheme="minorEastAsia" w:hAnsiTheme="minorEastAsia" w:eastAsiaTheme="minorEastAsia" w:cstheme="minorEastAsia"/>
          <w:color w:val="auto"/>
          <w:kern w:val="2"/>
          <w:sz w:val="24"/>
          <w:szCs w:val="24"/>
          <w:highlight w:val="none"/>
        </w:rPr>
        <w:t>项目重点难点分析</w:t>
      </w:r>
      <w:r>
        <w:rPr>
          <w:rFonts w:hint="eastAsia" w:asciiTheme="minorEastAsia" w:hAnsiTheme="minorEastAsia" w:eastAsiaTheme="minorEastAsia" w:cstheme="minorEastAsia"/>
          <w:color w:val="auto"/>
          <w:sz w:val="24"/>
          <w:szCs w:val="24"/>
          <w:highlight w:val="none"/>
        </w:rPr>
        <w:t>———————页码</w:t>
      </w:r>
    </w:p>
    <w:p w14:paraId="3AC48228">
      <w:pPr>
        <w:pStyle w:val="28"/>
        <w:ind w:left="0" w:leftChars="0" w:firstLine="0" w:firstLineChars="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6.投标人需要说明的其他（对照相应项目评分标准，由投标人自行考虑）———————页码。</w:t>
      </w:r>
    </w:p>
    <w:p w14:paraId="7667BE80">
      <w:pPr>
        <w:spacing w:line="460" w:lineRule="exact"/>
        <w:rPr>
          <w:rFonts w:hint="default" w:ascii="宋体" w:hAnsi="宋体" w:eastAsia="宋体" w:cs="宋体"/>
          <w:b/>
          <w:color w:val="auto"/>
          <w:sz w:val="28"/>
          <w:szCs w:val="28"/>
          <w:highlight w:val="none"/>
        </w:rPr>
      </w:pPr>
      <w:r>
        <w:rPr>
          <w:rFonts w:ascii="宋体" w:hAnsi="宋体" w:eastAsia="宋体" w:cs="宋体"/>
          <w:b/>
          <w:color w:val="auto"/>
          <w:sz w:val="28"/>
          <w:szCs w:val="28"/>
          <w:highlight w:val="none"/>
        </w:rPr>
        <w:t>注：1.投标人根据商务技术分评分细则附“商务技术分自评表”【格式见附件】</w:t>
      </w:r>
    </w:p>
    <w:p w14:paraId="0AF7CC18">
      <w:pPr>
        <w:spacing w:line="460" w:lineRule="exact"/>
        <w:ind w:firstLine="562" w:firstLineChars="200"/>
        <w:rPr>
          <w:rFonts w:hint="default" w:ascii="宋体" w:hAnsi="宋体" w:eastAsia="宋体" w:cs="宋体"/>
          <w:b/>
          <w:color w:val="auto"/>
          <w:sz w:val="28"/>
          <w:szCs w:val="28"/>
          <w:highlight w:val="none"/>
        </w:rPr>
      </w:pPr>
      <w:r>
        <w:rPr>
          <w:rFonts w:ascii="宋体" w:hAnsi="宋体" w:eastAsia="宋体" w:cs="宋体"/>
          <w:b/>
          <w:color w:val="auto"/>
          <w:sz w:val="28"/>
          <w:szCs w:val="28"/>
          <w:highlight w:val="none"/>
        </w:rPr>
        <w:t>2.商务技术文件的文字部分及其他未提供格式部分由各投标人根据招标文件要求、评分标准要求自行设置。</w:t>
      </w:r>
    </w:p>
    <w:p w14:paraId="1533DA69">
      <w:pPr>
        <w:snapToGrid w:val="0"/>
        <w:spacing w:before="50" w:afterLines="50" w:line="360" w:lineRule="auto"/>
        <w:jc w:val="left"/>
        <w:rPr>
          <w:rFonts w:hint="default" w:ascii="宋体" w:hAnsi="宋体" w:eastAsia="宋体" w:cs="宋体"/>
          <w:b/>
          <w:color w:val="auto"/>
          <w:sz w:val="24"/>
          <w:szCs w:val="24"/>
          <w:highlight w:val="none"/>
        </w:rPr>
      </w:pPr>
      <w:bookmarkStart w:id="46" w:name="_Toc225223761"/>
      <w:bookmarkStart w:id="47" w:name="_Toc14746861"/>
      <w:bookmarkStart w:id="48" w:name="_Toc110393361"/>
      <w:bookmarkStart w:id="49" w:name="_Toc483379796"/>
      <w:bookmarkStart w:id="50" w:name="_Toc488936100"/>
      <w:bookmarkStart w:id="51" w:name="_Toc479927873"/>
    </w:p>
    <w:p w14:paraId="6312B343">
      <w:pPr>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rPr>
        <w:br w:type="page"/>
      </w:r>
    </w:p>
    <w:p w14:paraId="5F97BB63">
      <w:pPr>
        <w:snapToGrid w:val="0"/>
        <w:spacing w:before="50" w:afterLines="50" w:line="360" w:lineRule="auto"/>
        <w:jc w:val="left"/>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rPr>
        <w:t>1.投标人基本情况表格式：</w:t>
      </w:r>
    </w:p>
    <w:p w14:paraId="0E9CE839">
      <w:pPr>
        <w:snapToGrid w:val="0"/>
        <w:spacing w:beforeLines="50" w:after="50" w:line="240" w:lineRule="auto"/>
        <w:jc w:val="center"/>
        <w:rPr>
          <w:rFonts w:hint="default" w:ascii="宋体" w:hAnsi="宋体" w:eastAsia="宋体" w:cs="宋体"/>
          <w:b/>
          <w:bCs/>
          <w:color w:val="auto"/>
          <w:sz w:val="30"/>
          <w:szCs w:val="24"/>
          <w:highlight w:val="none"/>
        </w:rPr>
      </w:pPr>
      <w:r>
        <w:rPr>
          <w:rFonts w:ascii="宋体" w:hAnsi="宋体" w:eastAsia="宋体" w:cs="宋体"/>
          <w:b/>
          <w:bCs/>
          <w:color w:val="auto"/>
          <w:sz w:val="30"/>
          <w:szCs w:val="24"/>
          <w:highlight w:val="none"/>
        </w:rPr>
        <w:t>投标人基本情况表</w:t>
      </w:r>
      <w:bookmarkEnd w:id="46"/>
      <w:bookmarkEnd w:id="47"/>
      <w:bookmarkEnd w:id="48"/>
      <w:bookmarkEnd w:id="49"/>
      <w:bookmarkEnd w:id="50"/>
      <w:bookmarkEnd w:id="51"/>
    </w:p>
    <w:tbl>
      <w:tblPr>
        <w:tblStyle w:val="29"/>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3C7C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614BD196">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单位名称</w:t>
            </w:r>
          </w:p>
        </w:tc>
        <w:tc>
          <w:tcPr>
            <w:tcW w:w="2763" w:type="dxa"/>
            <w:gridSpan w:val="3"/>
            <w:vAlign w:val="center"/>
          </w:tcPr>
          <w:p w14:paraId="370EA367">
            <w:pPr>
              <w:spacing w:line="360" w:lineRule="auto"/>
              <w:jc w:val="center"/>
              <w:rPr>
                <w:rFonts w:hint="default" w:ascii="宋体" w:hAnsi="宋体" w:eastAsia="宋体" w:cs="宋体"/>
                <w:color w:val="auto"/>
                <w:sz w:val="24"/>
                <w:szCs w:val="24"/>
                <w:highlight w:val="none"/>
              </w:rPr>
            </w:pPr>
          </w:p>
        </w:tc>
        <w:tc>
          <w:tcPr>
            <w:tcW w:w="2368" w:type="dxa"/>
            <w:vAlign w:val="center"/>
          </w:tcPr>
          <w:p w14:paraId="7428401A">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组织机构代码</w:t>
            </w:r>
          </w:p>
        </w:tc>
        <w:tc>
          <w:tcPr>
            <w:tcW w:w="2322" w:type="dxa"/>
            <w:vAlign w:val="center"/>
          </w:tcPr>
          <w:p w14:paraId="63D5F295">
            <w:pPr>
              <w:spacing w:line="360" w:lineRule="auto"/>
              <w:jc w:val="center"/>
              <w:rPr>
                <w:rFonts w:hint="default" w:ascii="宋体" w:hAnsi="宋体" w:eastAsia="宋体" w:cs="宋体"/>
                <w:color w:val="auto"/>
                <w:sz w:val="24"/>
                <w:szCs w:val="24"/>
                <w:highlight w:val="none"/>
              </w:rPr>
            </w:pPr>
          </w:p>
        </w:tc>
      </w:tr>
      <w:tr w14:paraId="7704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7F886119">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注册地址</w:t>
            </w:r>
          </w:p>
        </w:tc>
        <w:tc>
          <w:tcPr>
            <w:tcW w:w="2763" w:type="dxa"/>
            <w:gridSpan w:val="3"/>
            <w:vAlign w:val="center"/>
          </w:tcPr>
          <w:p w14:paraId="494FD365">
            <w:pPr>
              <w:spacing w:line="360" w:lineRule="auto"/>
              <w:jc w:val="center"/>
              <w:rPr>
                <w:rFonts w:hint="default" w:ascii="宋体" w:hAnsi="宋体" w:eastAsia="宋体" w:cs="宋体"/>
                <w:color w:val="auto"/>
                <w:sz w:val="24"/>
                <w:szCs w:val="24"/>
                <w:highlight w:val="none"/>
              </w:rPr>
            </w:pPr>
          </w:p>
        </w:tc>
        <w:tc>
          <w:tcPr>
            <w:tcW w:w="2368" w:type="dxa"/>
            <w:vAlign w:val="center"/>
          </w:tcPr>
          <w:p w14:paraId="70051891">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注册登记号</w:t>
            </w:r>
          </w:p>
        </w:tc>
        <w:tc>
          <w:tcPr>
            <w:tcW w:w="2322" w:type="dxa"/>
            <w:vAlign w:val="center"/>
          </w:tcPr>
          <w:p w14:paraId="7C2423F4">
            <w:pPr>
              <w:spacing w:line="360" w:lineRule="auto"/>
              <w:jc w:val="center"/>
              <w:rPr>
                <w:rFonts w:hint="default" w:ascii="宋体" w:hAnsi="宋体" w:eastAsia="宋体" w:cs="宋体"/>
                <w:color w:val="auto"/>
                <w:sz w:val="24"/>
                <w:szCs w:val="24"/>
                <w:highlight w:val="none"/>
              </w:rPr>
            </w:pPr>
          </w:p>
        </w:tc>
      </w:tr>
      <w:tr w14:paraId="316D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23AE4EED">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经营地址</w:t>
            </w:r>
          </w:p>
        </w:tc>
        <w:tc>
          <w:tcPr>
            <w:tcW w:w="2763" w:type="dxa"/>
            <w:gridSpan w:val="3"/>
            <w:vAlign w:val="center"/>
          </w:tcPr>
          <w:p w14:paraId="11966358">
            <w:pPr>
              <w:spacing w:line="360" w:lineRule="auto"/>
              <w:jc w:val="center"/>
              <w:rPr>
                <w:rFonts w:hint="default" w:ascii="宋体" w:hAnsi="宋体" w:eastAsia="宋体" w:cs="宋体"/>
                <w:color w:val="auto"/>
                <w:sz w:val="24"/>
                <w:szCs w:val="24"/>
                <w:highlight w:val="none"/>
              </w:rPr>
            </w:pPr>
          </w:p>
        </w:tc>
        <w:tc>
          <w:tcPr>
            <w:tcW w:w="2368" w:type="dxa"/>
            <w:vAlign w:val="center"/>
          </w:tcPr>
          <w:p w14:paraId="6171352D">
            <w:pPr>
              <w:spacing w:line="360" w:lineRule="auto"/>
              <w:jc w:val="center"/>
              <w:rPr>
                <w:rFonts w:hint="default" w:ascii="宋体" w:hAnsi="宋体" w:eastAsia="宋体" w:cs="宋体"/>
                <w:color w:val="auto"/>
                <w:spacing w:val="30"/>
                <w:sz w:val="24"/>
                <w:szCs w:val="24"/>
                <w:highlight w:val="none"/>
              </w:rPr>
            </w:pPr>
            <w:r>
              <w:rPr>
                <w:rFonts w:ascii="宋体" w:hAnsi="宋体" w:eastAsia="宋体" w:cs="宋体"/>
                <w:color w:val="auto"/>
                <w:sz w:val="24"/>
                <w:szCs w:val="24"/>
                <w:highlight w:val="none"/>
              </w:rPr>
              <w:t>税务登记证号</w:t>
            </w:r>
          </w:p>
        </w:tc>
        <w:tc>
          <w:tcPr>
            <w:tcW w:w="2322" w:type="dxa"/>
            <w:vAlign w:val="center"/>
          </w:tcPr>
          <w:p w14:paraId="719A60A6">
            <w:pPr>
              <w:spacing w:line="360" w:lineRule="auto"/>
              <w:jc w:val="center"/>
              <w:rPr>
                <w:rFonts w:hint="default" w:ascii="宋体" w:hAnsi="宋体" w:eastAsia="宋体" w:cs="宋体"/>
                <w:color w:val="auto"/>
                <w:sz w:val="24"/>
                <w:szCs w:val="24"/>
                <w:highlight w:val="none"/>
              </w:rPr>
            </w:pPr>
          </w:p>
        </w:tc>
      </w:tr>
      <w:tr w14:paraId="1632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77B06D91">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单位性质</w:t>
            </w:r>
          </w:p>
        </w:tc>
        <w:tc>
          <w:tcPr>
            <w:tcW w:w="2763" w:type="dxa"/>
            <w:gridSpan w:val="3"/>
            <w:vAlign w:val="center"/>
          </w:tcPr>
          <w:p w14:paraId="7EF23BCC">
            <w:pPr>
              <w:spacing w:line="360" w:lineRule="auto"/>
              <w:ind w:left="2160" w:hanging="480"/>
              <w:jc w:val="center"/>
              <w:rPr>
                <w:rFonts w:hint="default" w:ascii="宋体" w:hAnsi="宋体" w:eastAsia="宋体" w:cs="宋体"/>
                <w:color w:val="auto"/>
                <w:sz w:val="24"/>
                <w:szCs w:val="24"/>
                <w:highlight w:val="none"/>
              </w:rPr>
            </w:pPr>
          </w:p>
        </w:tc>
        <w:tc>
          <w:tcPr>
            <w:tcW w:w="2368" w:type="dxa"/>
            <w:vAlign w:val="center"/>
          </w:tcPr>
          <w:p w14:paraId="6E7BCF5C">
            <w:pPr>
              <w:spacing w:line="360" w:lineRule="auto"/>
              <w:jc w:val="center"/>
              <w:rPr>
                <w:rFonts w:hint="default" w:ascii="宋体" w:hAnsi="宋体" w:eastAsia="宋体" w:cs="宋体"/>
                <w:color w:val="auto"/>
                <w:spacing w:val="34"/>
                <w:sz w:val="24"/>
                <w:szCs w:val="24"/>
                <w:highlight w:val="none"/>
              </w:rPr>
            </w:pPr>
            <w:r>
              <w:rPr>
                <w:rFonts w:ascii="宋体" w:hAnsi="宋体" w:eastAsia="宋体" w:cs="宋体"/>
                <w:color w:val="auto"/>
                <w:spacing w:val="34"/>
                <w:sz w:val="24"/>
                <w:szCs w:val="24"/>
                <w:highlight w:val="none"/>
              </w:rPr>
              <w:t>注册资本</w:t>
            </w:r>
          </w:p>
        </w:tc>
        <w:tc>
          <w:tcPr>
            <w:tcW w:w="2322" w:type="dxa"/>
            <w:vAlign w:val="center"/>
          </w:tcPr>
          <w:p w14:paraId="0F20344F">
            <w:pPr>
              <w:spacing w:line="360" w:lineRule="auto"/>
              <w:jc w:val="center"/>
              <w:rPr>
                <w:rFonts w:hint="default" w:ascii="宋体" w:hAnsi="宋体" w:eastAsia="宋体" w:cs="宋体"/>
                <w:color w:val="auto"/>
                <w:sz w:val="24"/>
                <w:szCs w:val="24"/>
                <w:highlight w:val="none"/>
              </w:rPr>
            </w:pPr>
          </w:p>
        </w:tc>
      </w:tr>
      <w:tr w14:paraId="3D3A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39F87816">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经营范围</w:t>
            </w:r>
          </w:p>
        </w:tc>
        <w:tc>
          <w:tcPr>
            <w:tcW w:w="2763" w:type="dxa"/>
            <w:gridSpan w:val="3"/>
            <w:vAlign w:val="center"/>
          </w:tcPr>
          <w:p w14:paraId="54E9BC3D">
            <w:pPr>
              <w:spacing w:line="360" w:lineRule="auto"/>
              <w:jc w:val="center"/>
              <w:rPr>
                <w:rFonts w:hint="default" w:ascii="宋体" w:hAnsi="宋体" w:eastAsia="宋体" w:cs="宋体"/>
                <w:color w:val="auto"/>
                <w:sz w:val="24"/>
                <w:szCs w:val="24"/>
                <w:highlight w:val="none"/>
              </w:rPr>
            </w:pPr>
          </w:p>
        </w:tc>
        <w:tc>
          <w:tcPr>
            <w:tcW w:w="2368" w:type="dxa"/>
            <w:vAlign w:val="center"/>
          </w:tcPr>
          <w:p w14:paraId="72AF3226">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营业期限</w:t>
            </w:r>
          </w:p>
        </w:tc>
        <w:tc>
          <w:tcPr>
            <w:tcW w:w="2322" w:type="dxa"/>
            <w:vAlign w:val="center"/>
          </w:tcPr>
          <w:p w14:paraId="04E9C441">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年 月-  年 月</w:t>
            </w:r>
          </w:p>
        </w:tc>
      </w:tr>
      <w:tr w14:paraId="493F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1DDE583B">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资质情况</w:t>
            </w:r>
          </w:p>
        </w:tc>
        <w:tc>
          <w:tcPr>
            <w:tcW w:w="7453" w:type="dxa"/>
            <w:gridSpan w:val="5"/>
            <w:vAlign w:val="center"/>
          </w:tcPr>
          <w:p w14:paraId="596EF25C">
            <w:pPr>
              <w:spacing w:line="360" w:lineRule="auto"/>
              <w:jc w:val="center"/>
              <w:rPr>
                <w:rFonts w:hint="default" w:ascii="宋体" w:hAnsi="宋体" w:eastAsia="宋体" w:cs="宋体"/>
                <w:color w:val="auto"/>
                <w:sz w:val="24"/>
                <w:szCs w:val="24"/>
                <w:highlight w:val="none"/>
              </w:rPr>
            </w:pPr>
          </w:p>
        </w:tc>
      </w:tr>
      <w:tr w14:paraId="13D0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189616C2">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员工数量</w:t>
            </w:r>
          </w:p>
        </w:tc>
        <w:tc>
          <w:tcPr>
            <w:tcW w:w="7453" w:type="dxa"/>
            <w:gridSpan w:val="5"/>
            <w:vAlign w:val="center"/>
          </w:tcPr>
          <w:p w14:paraId="38F84DE9">
            <w:pPr>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共</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人，其中，高级职称</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人，中级职称</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人</w:t>
            </w:r>
          </w:p>
        </w:tc>
      </w:tr>
      <w:tr w14:paraId="1637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2FFF2F7F">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联系电话</w:t>
            </w:r>
          </w:p>
        </w:tc>
        <w:tc>
          <w:tcPr>
            <w:tcW w:w="2763" w:type="dxa"/>
            <w:gridSpan w:val="3"/>
            <w:vAlign w:val="center"/>
          </w:tcPr>
          <w:p w14:paraId="18232D5C">
            <w:pPr>
              <w:spacing w:line="360" w:lineRule="auto"/>
              <w:jc w:val="center"/>
              <w:rPr>
                <w:rFonts w:hint="default" w:ascii="宋体" w:hAnsi="宋体" w:eastAsia="宋体" w:cs="宋体"/>
                <w:color w:val="auto"/>
                <w:sz w:val="24"/>
                <w:szCs w:val="24"/>
                <w:highlight w:val="none"/>
              </w:rPr>
            </w:pPr>
          </w:p>
        </w:tc>
        <w:tc>
          <w:tcPr>
            <w:tcW w:w="2368" w:type="dxa"/>
            <w:vAlign w:val="center"/>
          </w:tcPr>
          <w:p w14:paraId="509C5297">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传真</w:t>
            </w:r>
          </w:p>
        </w:tc>
        <w:tc>
          <w:tcPr>
            <w:tcW w:w="2322" w:type="dxa"/>
            <w:vAlign w:val="center"/>
          </w:tcPr>
          <w:p w14:paraId="5A62FFC5">
            <w:pPr>
              <w:spacing w:line="360" w:lineRule="auto"/>
              <w:jc w:val="center"/>
              <w:rPr>
                <w:rFonts w:hint="default" w:ascii="宋体" w:hAnsi="宋体" w:eastAsia="宋体" w:cs="宋体"/>
                <w:color w:val="auto"/>
                <w:sz w:val="24"/>
                <w:szCs w:val="24"/>
                <w:highlight w:val="none"/>
              </w:rPr>
            </w:pPr>
          </w:p>
        </w:tc>
      </w:tr>
      <w:tr w14:paraId="223F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vAlign w:val="center"/>
          </w:tcPr>
          <w:p w14:paraId="3443FF98">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主要业绩</w:t>
            </w:r>
          </w:p>
        </w:tc>
        <w:tc>
          <w:tcPr>
            <w:tcW w:w="7453" w:type="dxa"/>
            <w:gridSpan w:val="5"/>
            <w:vAlign w:val="center"/>
          </w:tcPr>
          <w:p w14:paraId="1B35C581">
            <w:pPr>
              <w:spacing w:line="360" w:lineRule="auto"/>
              <w:rPr>
                <w:rFonts w:hint="default" w:ascii="宋体" w:hAnsi="宋体" w:eastAsia="宋体" w:cs="宋体"/>
                <w:color w:val="auto"/>
                <w:sz w:val="24"/>
                <w:szCs w:val="24"/>
                <w:highlight w:val="none"/>
              </w:rPr>
            </w:pPr>
          </w:p>
          <w:p w14:paraId="6630978E">
            <w:pPr>
              <w:spacing w:line="360" w:lineRule="auto"/>
              <w:rPr>
                <w:rFonts w:hint="default" w:ascii="宋体" w:hAnsi="宋体" w:eastAsia="宋体" w:cs="宋体"/>
                <w:color w:val="auto"/>
                <w:sz w:val="24"/>
                <w:szCs w:val="24"/>
                <w:highlight w:val="none"/>
              </w:rPr>
            </w:pPr>
          </w:p>
        </w:tc>
      </w:tr>
      <w:tr w14:paraId="2B05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vAlign w:val="center"/>
          </w:tcPr>
          <w:p w14:paraId="3AD3F0B1">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法 定 代 表 人 基 本 情 况</w:t>
            </w:r>
          </w:p>
        </w:tc>
      </w:tr>
      <w:tr w14:paraId="6CEF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23E80435">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姓  名</w:t>
            </w:r>
          </w:p>
        </w:tc>
        <w:tc>
          <w:tcPr>
            <w:tcW w:w="2763" w:type="dxa"/>
            <w:gridSpan w:val="3"/>
            <w:vAlign w:val="center"/>
          </w:tcPr>
          <w:p w14:paraId="78F74A5A">
            <w:pPr>
              <w:spacing w:line="360" w:lineRule="auto"/>
              <w:jc w:val="center"/>
              <w:rPr>
                <w:rFonts w:hint="default" w:ascii="宋体" w:hAnsi="宋体" w:eastAsia="宋体" w:cs="宋体"/>
                <w:color w:val="auto"/>
                <w:sz w:val="24"/>
                <w:szCs w:val="24"/>
                <w:highlight w:val="none"/>
              </w:rPr>
            </w:pPr>
          </w:p>
        </w:tc>
        <w:tc>
          <w:tcPr>
            <w:tcW w:w="2368" w:type="dxa"/>
            <w:vAlign w:val="center"/>
          </w:tcPr>
          <w:p w14:paraId="287A2962">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身份证号码</w:t>
            </w:r>
          </w:p>
        </w:tc>
        <w:tc>
          <w:tcPr>
            <w:tcW w:w="2322" w:type="dxa"/>
            <w:vAlign w:val="center"/>
          </w:tcPr>
          <w:p w14:paraId="594B810C">
            <w:pPr>
              <w:spacing w:line="360" w:lineRule="auto"/>
              <w:jc w:val="center"/>
              <w:rPr>
                <w:rFonts w:hint="default" w:ascii="宋体" w:hAnsi="宋体" w:eastAsia="宋体" w:cs="宋体"/>
                <w:color w:val="auto"/>
                <w:sz w:val="24"/>
                <w:szCs w:val="24"/>
                <w:highlight w:val="none"/>
              </w:rPr>
            </w:pPr>
          </w:p>
        </w:tc>
      </w:tr>
      <w:tr w14:paraId="6C81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549DABE8">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职  务</w:t>
            </w:r>
          </w:p>
        </w:tc>
        <w:tc>
          <w:tcPr>
            <w:tcW w:w="923" w:type="dxa"/>
            <w:vAlign w:val="center"/>
          </w:tcPr>
          <w:p w14:paraId="2B86F14D">
            <w:pPr>
              <w:spacing w:line="360" w:lineRule="auto"/>
              <w:jc w:val="center"/>
              <w:rPr>
                <w:rFonts w:hint="default" w:ascii="宋体" w:hAnsi="宋体" w:eastAsia="宋体" w:cs="宋体"/>
                <w:color w:val="auto"/>
                <w:sz w:val="24"/>
                <w:szCs w:val="24"/>
                <w:highlight w:val="none"/>
              </w:rPr>
            </w:pPr>
          </w:p>
        </w:tc>
        <w:tc>
          <w:tcPr>
            <w:tcW w:w="1070" w:type="dxa"/>
            <w:vAlign w:val="center"/>
          </w:tcPr>
          <w:p w14:paraId="332781D7">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职   称</w:t>
            </w:r>
          </w:p>
        </w:tc>
        <w:tc>
          <w:tcPr>
            <w:tcW w:w="770" w:type="dxa"/>
            <w:vAlign w:val="center"/>
          </w:tcPr>
          <w:p w14:paraId="2EBB3592">
            <w:pPr>
              <w:spacing w:line="360" w:lineRule="auto"/>
              <w:jc w:val="center"/>
              <w:rPr>
                <w:rFonts w:hint="default" w:ascii="宋体" w:hAnsi="宋体" w:eastAsia="宋体" w:cs="宋体"/>
                <w:color w:val="auto"/>
                <w:sz w:val="24"/>
                <w:szCs w:val="24"/>
                <w:highlight w:val="none"/>
              </w:rPr>
            </w:pPr>
          </w:p>
        </w:tc>
        <w:tc>
          <w:tcPr>
            <w:tcW w:w="2368" w:type="dxa"/>
            <w:vAlign w:val="center"/>
          </w:tcPr>
          <w:p w14:paraId="1B56B15C">
            <w:pPr>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学    历</w:t>
            </w:r>
          </w:p>
        </w:tc>
        <w:tc>
          <w:tcPr>
            <w:tcW w:w="2322" w:type="dxa"/>
            <w:vAlign w:val="center"/>
          </w:tcPr>
          <w:p w14:paraId="470DA338">
            <w:pPr>
              <w:spacing w:line="360" w:lineRule="auto"/>
              <w:jc w:val="center"/>
              <w:rPr>
                <w:rFonts w:hint="default" w:ascii="宋体" w:hAnsi="宋体" w:eastAsia="宋体" w:cs="宋体"/>
                <w:color w:val="auto"/>
                <w:sz w:val="24"/>
                <w:szCs w:val="24"/>
                <w:highlight w:val="none"/>
              </w:rPr>
            </w:pPr>
          </w:p>
        </w:tc>
      </w:tr>
      <w:tr w14:paraId="1F6A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tcPr>
          <w:p w14:paraId="5473AE4A">
            <w:pPr>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备注:</w:t>
            </w:r>
          </w:p>
        </w:tc>
      </w:tr>
    </w:tbl>
    <w:p w14:paraId="776B2CBF">
      <w:pPr>
        <w:spacing w:line="360" w:lineRule="auto"/>
        <w:rPr>
          <w:rFonts w:hint="default" w:ascii="宋体" w:hAnsi="宋体" w:eastAsia="宋体" w:cs="宋体"/>
          <w:b/>
          <w:color w:val="auto"/>
          <w:sz w:val="24"/>
          <w:szCs w:val="24"/>
          <w:highlight w:val="none"/>
        </w:rPr>
      </w:pPr>
      <w:r>
        <w:rPr>
          <w:rFonts w:ascii="宋体" w:hAnsi="宋体" w:eastAsia="宋体" w:cs="宋体"/>
          <w:color w:val="auto"/>
          <w:szCs w:val="21"/>
          <w:highlight w:val="none"/>
        </w:rPr>
        <w:t xml:space="preserve"> </w:t>
      </w:r>
      <w:r>
        <w:rPr>
          <w:rFonts w:ascii="宋体" w:hAnsi="宋体" w:eastAsia="宋体" w:cs="宋体"/>
          <w:color w:val="auto"/>
          <w:sz w:val="24"/>
          <w:szCs w:val="24"/>
          <w:highlight w:val="none"/>
        </w:rPr>
        <w:t xml:space="preserve"> </w:t>
      </w:r>
      <w:r>
        <w:rPr>
          <w:rFonts w:ascii="宋体" w:hAnsi="宋体" w:eastAsia="宋体" w:cs="宋体"/>
          <w:b/>
          <w:color w:val="auto"/>
          <w:sz w:val="24"/>
          <w:szCs w:val="24"/>
          <w:highlight w:val="none"/>
        </w:rPr>
        <w:t>兹说明上述声明是真实、正确的，并提供了全部能提供的资料和数据，我们同意遵照贵方要求出示有关说明文件。</w:t>
      </w:r>
    </w:p>
    <w:p w14:paraId="489C12CB">
      <w:pPr>
        <w:spacing w:line="240" w:lineRule="auto"/>
        <w:rPr>
          <w:rFonts w:hint="default" w:ascii="宋体" w:hAnsi="宋体" w:eastAsia="宋体" w:cs="宋体"/>
          <w:b/>
          <w:color w:val="auto"/>
          <w:sz w:val="24"/>
          <w:szCs w:val="24"/>
          <w:highlight w:val="none"/>
        </w:rPr>
      </w:pPr>
    </w:p>
    <w:p w14:paraId="2A6915F1">
      <w:pPr>
        <w:spacing w:line="240" w:lineRule="auto"/>
        <w:rPr>
          <w:rFonts w:hint="default" w:ascii="宋体" w:hAnsi="宋体" w:eastAsia="宋体" w:cs="宋体"/>
          <w:b/>
          <w:color w:val="auto"/>
          <w:sz w:val="24"/>
          <w:szCs w:val="24"/>
          <w:highlight w:val="none"/>
        </w:rPr>
      </w:pPr>
      <w:r>
        <w:rPr>
          <w:rFonts w:ascii="宋体" w:hAnsi="宋体" w:eastAsia="宋体" w:cs="宋体"/>
          <w:color w:val="auto"/>
          <w:sz w:val="24"/>
          <w:szCs w:val="24"/>
          <w:highlight w:val="none"/>
        </w:rPr>
        <w:t>投标人名称（电子签章）：</w:t>
      </w:r>
      <w:r>
        <w:rPr>
          <w:rFonts w:ascii="宋体" w:hAnsi="宋体" w:eastAsia="宋体" w:cs="宋体"/>
          <w:color w:val="auto"/>
          <w:sz w:val="24"/>
          <w:szCs w:val="24"/>
          <w:highlight w:val="none"/>
          <w:u w:val="single"/>
        </w:rPr>
        <w:t xml:space="preserve">             </w:t>
      </w:r>
    </w:p>
    <w:p w14:paraId="3EB39ADF">
      <w:pPr>
        <w:spacing w:line="240" w:lineRule="auto"/>
        <w:rPr>
          <w:rFonts w:hint="default" w:ascii="宋体" w:hAnsi="宋体" w:eastAsia="宋体" w:cs="宋体"/>
          <w:b/>
          <w:color w:val="auto"/>
          <w:sz w:val="24"/>
          <w:szCs w:val="24"/>
          <w:highlight w:val="none"/>
        </w:rPr>
      </w:pPr>
      <w:r>
        <w:rPr>
          <w:rFonts w:ascii="宋体" w:hAnsi="宋体" w:eastAsia="宋体" w:cs="宋体"/>
          <w:bCs/>
          <w:color w:val="auto"/>
          <w:sz w:val="24"/>
          <w:szCs w:val="24"/>
          <w:highlight w:val="none"/>
        </w:rPr>
        <w:t xml:space="preserve">法定代表人或授权代表（签字或盖章）:___________ </w:t>
      </w:r>
      <w:r>
        <w:rPr>
          <w:rFonts w:ascii="宋体" w:hAnsi="宋体" w:eastAsia="宋体" w:cs="宋体"/>
          <w:b/>
          <w:color w:val="auto"/>
          <w:sz w:val="24"/>
          <w:szCs w:val="24"/>
          <w:highlight w:val="none"/>
        </w:rPr>
        <w:t xml:space="preserve">             </w:t>
      </w:r>
    </w:p>
    <w:p w14:paraId="4A34BE54">
      <w:pPr>
        <w:snapToGrid w:val="0"/>
        <w:spacing w:before="50" w:afterLines="50" w:line="360" w:lineRule="auto"/>
        <w:jc w:val="left"/>
        <w:rPr>
          <w:rFonts w:hint="default"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日期：</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年</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月</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日</w:t>
      </w:r>
    </w:p>
    <w:p w14:paraId="72291941">
      <w:pPr>
        <w:snapToGrid w:val="0"/>
        <w:spacing w:before="50" w:afterLines="50" w:line="360" w:lineRule="auto"/>
        <w:jc w:val="left"/>
        <w:rPr>
          <w:rFonts w:hint="default" w:ascii="宋体" w:hAnsi="宋体" w:eastAsia="宋体" w:cs="宋体"/>
          <w:b/>
          <w:color w:val="auto"/>
          <w:sz w:val="24"/>
          <w:szCs w:val="24"/>
          <w:highlight w:val="none"/>
        </w:rPr>
      </w:pPr>
    </w:p>
    <w:p w14:paraId="29AE5838">
      <w:pPr>
        <w:snapToGrid w:val="0"/>
        <w:spacing w:before="50" w:afterLines="50" w:line="360" w:lineRule="auto"/>
        <w:jc w:val="left"/>
        <w:rPr>
          <w:rFonts w:hint="default" w:ascii="宋体" w:hAnsi="宋体" w:eastAsia="宋体" w:cs="宋体"/>
          <w:b/>
          <w:bCs/>
          <w:snapToGrid w:val="0"/>
          <w:color w:val="auto"/>
          <w:kern w:val="0"/>
          <w:sz w:val="28"/>
          <w:szCs w:val="28"/>
          <w:highlight w:val="none"/>
        </w:rPr>
      </w:pPr>
      <w:r>
        <w:rPr>
          <w:rFonts w:ascii="宋体" w:hAnsi="宋体" w:eastAsia="宋体" w:cs="宋体"/>
          <w:b/>
          <w:color w:val="auto"/>
          <w:sz w:val="24"/>
          <w:szCs w:val="24"/>
          <w:highlight w:val="none"/>
        </w:rPr>
        <w:t>2.1法定代表人资格说明书格式：</w:t>
      </w:r>
    </w:p>
    <w:p w14:paraId="1D07B878">
      <w:pPr>
        <w:spacing w:line="240" w:lineRule="auto"/>
        <w:jc w:val="center"/>
        <w:rPr>
          <w:rFonts w:hint="default" w:ascii="宋体" w:hAnsi="宋体" w:eastAsia="宋体" w:cs="宋体"/>
          <w:b/>
          <w:bCs/>
          <w:snapToGrid w:val="0"/>
          <w:color w:val="auto"/>
          <w:kern w:val="0"/>
          <w:sz w:val="30"/>
          <w:szCs w:val="30"/>
          <w:highlight w:val="none"/>
        </w:rPr>
      </w:pPr>
      <w:r>
        <w:rPr>
          <w:rFonts w:ascii="宋体" w:hAnsi="宋体" w:eastAsia="宋体" w:cs="宋体"/>
          <w:b/>
          <w:bCs/>
          <w:snapToGrid w:val="0"/>
          <w:color w:val="auto"/>
          <w:kern w:val="0"/>
          <w:sz w:val="30"/>
          <w:szCs w:val="30"/>
          <w:highlight w:val="none"/>
        </w:rPr>
        <w:t>法定代表人资格说明书</w:t>
      </w:r>
    </w:p>
    <w:p w14:paraId="79801BC5">
      <w:pPr>
        <w:adjustRightInd w:val="0"/>
        <w:spacing w:line="600" w:lineRule="exact"/>
        <w:ind w:firstLine="490"/>
        <w:jc w:val="left"/>
        <w:rPr>
          <w:rFonts w:hint="default" w:ascii="宋体" w:hAnsi="宋体" w:eastAsia="宋体" w:cs="宋体"/>
          <w:b/>
          <w:bCs/>
          <w:snapToGrid w:val="0"/>
          <w:color w:val="auto"/>
          <w:kern w:val="0"/>
          <w:sz w:val="36"/>
          <w:highlight w:val="none"/>
        </w:rPr>
      </w:pPr>
    </w:p>
    <w:p w14:paraId="0FB6D0D3">
      <w:pPr>
        <w:adjustRightInd w:val="0"/>
        <w:spacing w:line="600" w:lineRule="exact"/>
        <w:ind w:firstLine="480" w:firstLineChars="200"/>
        <w:jc w:val="left"/>
        <w:rPr>
          <w:rFonts w:hint="default"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u w:val="single"/>
        </w:rPr>
        <w:t xml:space="preserve">                （姓名）</w:t>
      </w:r>
      <w:r>
        <w:rPr>
          <w:rFonts w:ascii="宋体" w:hAnsi="宋体" w:eastAsia="宋体" w:cs="宋体"/>
          <w:snapToGrid w:val="0"/>
          <w:color w:val="auto"/>
          <w:kern w:val="0"/>
          <w:sz w:val="24"/>
          <w:szCs w:val="24"/>
          <w:highlight w:val="none"/>
        </w:rPr>
        <w:t>系</w:t>
      </w:r>
      <w:r>
        <w:rPr>
          <w:rFonts w:ascii="宋体" w:hAnsi="宋体" w:eastAsia="宋体" w:cs="宋体"/>
          <w:snapToGrid w:val="0"/>
          <w:color w:val="auto"/>
          <w:kern w:val="0"/>
          <w:sz w:val="24"/>
          <w:szCs w:val="24"/>
          <w:highlight w:val="none"/>
          <w:u w:val="single"/>
        </w:rPr>
        <w:t xml:space="preserve">                （投标人名称）</w:t>
      </w:r>
      <w:r>
        <w:rPr>
          <w:rFonts w:ascii="宋体" w:hAnsi="宋体" w:eastAsia="宋体" w:cs="宋体"/>
          <w:snapToGrid w:val="0"/>
          <w:color w:val="auto"/>
          <w:kern w:val="0"/>
          <w:sz w:val="24"/>
          <w:szCs w:val="24"/>
          <w:highlight w:val="none"/>
        </w:rPr>
        <w:t>的法定代表人。身份证号：</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w:t>
      </w:r>
    </w:p>
    <w:p w14:paraId="62B983B9">
      <w:pPr>
        <w:adjustRightInd w:val="0"/>
        <w:spacing w:line="600" w:lineRule="exact"/>
        <w:ind w:firstLine="490"/>
        <w:jc w:val="left"/>
        <w:rPr>
          <w:rFonts w:hint="default"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特此说明</w:t>
      </w:r>
    </w:p>
    <w:p w14:paraId="7D1F30DA">
      <w:pPr>
        <w:adjustRightInd w:val="0"/>
        <w:spacing w:line="600" w:lineRule="exact"/>
        <w:ind w:firstLine="490"/>
        <w:jc w:val="left"/>
        <w:rPr>
          <w:rFonts w:hint="default" w:ascii="宋体" w:hAnsi="宋体" w:eastAsia="宋体" w:cs="宋体"/>
          <w:color w:val="auto"/>
          <w:sz w:val="24"/>
          <w:szCs w:val="24"/>
          <w:highlight w:val="none"/>
          <w:u w:val="single"/>
        </w:rPr>
      </w:pPr>
      <w:r>
        <w:rPr>
          <w:rFonts w:ascii="宋体" w:hAnsi="宋体" w:eastAsia="宋体" w:cs="宋体"/>
          <w:color w:val="auto"/>
          <w:sz w:val="24"/>
          <w:szCs w:val="24"/>
          <w:highlight w:val="none"/>
        </w:rPr>
        <w:t>投标人名称（电子签章）：</w:t>
      </w:r>
      <w:r>
        <w:rPr>
          <w:rFonts w:ascii="宋体" w:hAnsi="宋体" w:eastAsia="宋体" w:cs="宋体"/>
          <w:color w:val="auto"/>
          <w:sz w:val="24"/>
          <w:szCs w:val="24"/>
          <w:highlight w:val="none"/>
          <w:u w:val="single"/>
        </w:rPr>
        <w:t xml:space="preserve">              </w:t>
      </w:r>
    </w:p>
    <w:p w14:paraId="2A4EB92D">
      <w:pPr>
        <w:adjustRightInd w:val="0"/>
        <w:spacing w:line="600" w:lineRule="exact"/>
        <w:ind w:firstLine="490"/>
        <w:jc w:val="left"/>
        <w:rPr>
          <w:rFonts w:hint="default"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日期：</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年</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月</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日</w:t>
      </w:r>
    </w:p>
    <w:p w14:paraId="6392DBE9">
      <w:pPr>
        <w:adjustRightInd w:val="0"/>
        <w:spacing w:line="360" w:lineRule="auto"/>
        <w:rPr>
          <w:rFonts w:hint="default" w:ascii="宋体" w:hAnsi="宋体" w:eastAsia="宋体" w:cs="宋体"/>
          <w:snapToGrid w:val="0"/>
          <w:color w:val="auto"/>
          <w:kern w:val="0"/>
          <w:sz w:val="24"/>
          <w:szCs w:val="24"/>
          <w:highlight w:val="none"/>
        </w:rPr>
      </w:pPr>
    </w:p>
    <w:p w14:paraId="79F2018F">
      <w:pPr>
        <w:adjustRightInd w:val="0"/>
        <w:spacing w:line="360" w:lineRule="auto"/>
        <w:ind w:firstLine="482" w:firstLineChars="200"/>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rPr>
        <w:t>注：须附法定代表人身份证扫描件（正反面）</w:t>
      </w:r>
    </w:p>
    <w:p w14:paraId="58A893B5">
      <w:pPr>
        <w:adjustRightInd w:val="0"/>
        <w:spacing w:line="360" w:lineRule="auto"/>
        <w:rPr>
          <w:rFonts w:hint="default" w:ascii="宋体" w:hAnsi="宋体" w:eastAsia="宋体" w:cs="宋体"/>
          <w:snapToGrid w:val="0"/>
          <w:color w:val="auto"/>
          <w:kern w:val="0"/>
          <w:szCs w:val="21"/>
          <w:highlight w:val="none"/>
        </w:rPr>
      </w:pPr>
    </w:p>
    <w:p w14:paraId="4BE25709">
      <w:pPr>
        <w:snapToGrid w:val="0"/>
        <w:spacing w:beforeLines="50" w:after="50" w:line="240" w:lineRule="auto"/>
        <w:rPr>
          <w:rFonts w:hint="default" w:ascii="宋体" w:hAnsi="宋体" w:eastAsia="宋体" w:cs="宋体"/>
          <w:color w:val="auto"/>
          <w:sz w:val="24"/>
          <w:szCs w:val="24"/>
          <w:highlight w:val="none"/>
        </w:rPr>
      </w:pPr>
    </w:p>
    <w:p w14:paraId="690807E4">
      <w:pPr>
        <w:spacing w:line="240" w:lineRule="auto"/>
        <w:rPr>
          <w:rFonts w:hint="default" w:ascii="宋体" w:hAnsi="宋体" w:eastAsia="宋体" w:cs="宋体"/>
          <w:color w:val="auto"/>
          <w:sz w:val="24"/>
          <w:szCs w:val="24"/>
          <w:highlight w:val="none"/>
        </w:rPr>
      </w:pPr>
    </w:p>
    <w:p w14:paraId="40CF798F">
      <w:pPr>
        <w:spacing w:line="240" w:lineRule="auto"/>
        <w:ind w:firstLine="420"/>
        <w:rPr>
          <w:rFonts w:hint="default" w:ascii="宋体" w:hAnsi="宋体" w:eastAsia="宋体" w:cs="宋体"/>
          <w:color w:val="auto"/>
          <w:highlight w:val="none"/>
        </w:rPr>
      </w:pPr>
    </w:p>
    <w:p w14:paraId="0D8B0784">
      <w:pPr>
        <w:spacing w:line="240" w:lineRule="auto"/>
        <w:rPr>
          <w:rFonts w:hint="default" w:ascii="宋体" w:hAnsi="宋体" w:eastAsia="宋体" w:cs="宋体"/>
          <w:color w:val="auto"/>
          <w:sz w:val="24"/>
          <w:szCs w:val="24"/>
          <w:highlight w:val="none"/>
        </w:rPr>
      </w:pPr>
    </w:p>
    <w:p w14:paraId="3A1754AD">
      <w:pPr>
        <w:spacing w:line="240" w:lineRule="auto"/>
        <w:ind w:firstLine="420"/>
        <w:rPr>
          <w:rFonts w:hint="default" w:ascii="宋体" w:hAnsi="宋体" w:eastAsia="宋体" w:cs="宋体"/>
          <w:color w:val="auto"/>
          <w:sz w:val="24"/>
          <w:highlight w:val="none"/>
        </w:rPr>
      </w:pPr>
    </w:p>
    <w:p w14:paraId="6EBF2FFC">
      <w:pPr>
        <w:spacing w:line="200" w:lineRule="exact"/>
        <w:ind w:firstLine="301"/>
        <w:rPr>
          <w:rFonts w:hint="default" w:ascii="宋体" w:hAnsi="宋体" w:eastAsia="宋体" w:cs="宋体"/>
          <w:color w:val="auto"/>
          <w:spacing w:val="-4"/>
          <w:sz w:val="18"/>
          <w:highlight w:val="none"/>
        </w:rPr>
      </w:pPr>
    </w:p>
    <w:p w14:paraId="23C616AA">
      <w:pPr>
        <w:spacing w:line="240" w:lineRule="auto"/>
        <w:rPr>
          <w:rFonts w:hint="default" w:ascii="宋体" w:hAnsi="宋体" w:eastAsia="宋体" w:cs="宋体"/>
          <w:color w:val="auto"/>
          <w:sz w:val="24"/>
          <w:szCs w:val="24"/>
          <w:highlight w:val="none"/>
        </w:rPr>
      </w:pPr>
    </w:p>
    <w:p w14:paraId="0A724FBF">
      <w:pPr>
        <w:spacing w:line="240" w:lineRule="auto"/>
        <w:rPr>
          <w:rFonts w:hint="default" w:ascii="宋体" w:hAnsi="宋体" w:eastAsia="宋体" w:cs="宋体"/>
          <w:color w:val="auto"/>
          <w:sz w:val="24"/>
          <w:szCs w:val="24"/>
          <w:highlight w:val="none"/>
        </w:rPr>
      </w:pPr>
    </w:p>
    <w:p w14:paraId="03287BCB">
      <w:pPr>
        <w:spacing w:line="240" w:lineRule="auto"/>
        <w:rPr>
          <w:rFonts w:hint="default" w:ascii="宋体" w:hAnsi="宋体" w:eastAsia="宋体" w:cs="宋体"/>
          <w:color w:val="auto"/>
          <w:sz w:val="24"/>
          <w:szCs w:val="24"/>
          <w:highlight w:val="none"/>
        </w:rPr>
      </w:pPr>
    </w:p>
    <w:p w14:paraId="097CD1CA">
      <w:pPr>
        <w:spacing w:line="240" w:lineRule="auto"/>
        <w:rPr>
          <w:rFonts w:hint="default" w:ascii="宋体" w:hAnsi="宋体" w:eastAsia="宋体" w:cs="宋体"/>
          <w:color w:val="auto"/>
          <w:sz w:val="24"/>
          <w:szCs w:val="24"/>
          <w:highlight w:val="none"/>
        </w:rPr>
      </w:pPr>
    </w:p>
    <w:p w14:paraId="391FEF6E">
      <w:pPr>
        <w:spacing w:line="360" w:lineRule="auto"/>
        <w:jc w:val="center"/>
        <w:rPr>
          <w:rFonts w:hint="default" w:ascii="宋体" w:hAnsi="宋体" w:eastAsia="宋体" w:cs="宋体"/>
          <w:b/>
          <w:bCs/>
          <w:color w:val="auto"/>
          <w:sz w:val="30"/>
          <w:szCs w:val="30"/>
          <w:highlight w:val="none"/>
        </w:rPr>
      </w:pPr>
    </w:p>
    <w:p w14:paraId="2D07A6ED">
      <w:pPr>
        <w:spacing w:line="360" w:lineRule="auto"/>
        <w:jc w:val="center"/>
        <w:rPr>
          <w:rFonts w:hint="default" w:ascii="宋体" w:hAnsi="宋体" w:eastAsia="宋体" w:cs="宋体"/>
          <w:b/>
          <w:bCs/>
          <w:color w:val="auto"/>
          <w:sz w:val="30"/>
          <w:szCs w:val="30"/>
          <w:highlight w:val="none"/>
        </w:rPr>
      </w:pPr>
    </w:p>
    <w:p w14:paraId="4E1114CD">
      <w:pPr>
        <w:spacing w:line="360" w:lineRule="auto"/>
        <w:jc w:val="center"/>
        <w:rPr>
          <w:rFonts w:hint="default" w:ascii="宋体" w:hAnsi="宋体" w:eastAsia="宋体" w:cs="宋体"/>
          <w:b/>
          <w:bCs/>
          <w:color w:val="auto"/>
          <w:sz w:val="30"/>
          <w:szCs w:val="30"/>
          <w:highlight w:val="none"/>
        </w:rPr>
      </w:pPr>
    </w:p>
    <w:p w14:paraId="0C06ADF8">
      <w:pPr>
        <w:spacing w:line="360" w:lineRule="auto"/>
        <w:jc w:val="center"/>
        <w:rPr>
          <w:rFonts w:hint="default" w:ascii="宋体" w:hAnsi="宋体" w:eastAsia="宋体" w:cs="宋体"/>
          <w:b/>
          <w:bCs/>
          <w:color w:val="auto"/>
          <w:sz w:val="30"/>
          <w:szCs w:val="30"/>
          <w:highlight w:val="none"/>
        </w:rPr>
      </w:pPr>
    </w:p>
    <w:p w14:paraId="5D4E0CFC">
      <w:pPr>
        <w:spacing w:line="360" w:lineRule="auto"/>
        <w:rPr>
          <w:rFonts w:hint="default" w:ascii="宋体" w:hAnsi="宋体" w:eastAsia="宋体" w:cs="宋体"/>
          <w:b/>
          <w:bCs/>
          <w:color w:val="auto"/>
          <w:sz w:val="30"/>
          <w:szCs w:val="30"/>
          <w:highlight w:val="none"/>
        </w:rPr>
      </w:pPr>
    </w:p>
    <w:p w14:paraId="00B8AB4A">
      <w:pPr>
        <w:snapToGrid w:val="0"/>
        <w:spacing w:before="50" w:afterLines="50" w:line="360" w:lineRule="auto"/>
        <w:jc w:val="left"/>
        <w:rPr>
          <w:rFonts w:hint="default" w:ascii="宋体" w:hAnsi="宋体" w:eastAsia="宋体" w:cs="宋体"/>
          <w:b/>
          <w:color w:val="auto"/>
          <w:sz w:val="24"/>
          <w:szCs w:val="24"/>
          <w:highlight w:val="none"/>
        </w:rPr>
      </w:pPr>
    </w:p>
    <w:p w14:paraId="6642B450">
      <w:pPr>
        <w:snapToGrid w:val="0"/>
        <w:spacing w:before="50" w:afterLines="50" w:line="360" w:lineRule="auto"/>
        <w:jc w:val="left"/>
        <w:rPr>
          <w:rFonts w:hint="default" w:ascii="宋体" w:hAnsi="宋体" w:eastAsia="宋体" w:cs="宋体"/>
          <w:b/>
          <w:bCs/>
          <w:color w:val="auto"/>
          <w:sz w:val="30"/>
          <w:szCs w:val="30"/>
          <w:highlight w:val="none"/>
        </w:rPr>
      </w:pPr>
      <w:r>
        <w:rPr>
          <w:rFonts w:ascii="宋体" w:hAnsi="宋体" w:eastAsia="宋体" w:cs="宋体"/>
          <w:b/>
          <w:color w:val="auto"/>
          <w:sz w:val="24"/>
          <w:szCs w:val="24"/>
          <w:highlight w:val="none"/>
        </w:rPr>
        <w:t>2.2法定代表人授权委托书格式：</w:t>
      </w:r>
    </w:p>
    <w:p w14:paraId="6FA30FC1">
      <w:pPr>
        <w:spacing w:line="360" w:lineRule="auto"/>
        <w:jc w:val="center"/>
        <w:rPr>
          <w:rFonts w:hint="default" w:ascii="宋体" w:hAnsi="宋体" w:eastAsia="宋体" w:cs="宋体"/>
          <w:b/>
          <w:bCs/>
          <w:color w:val="auto"/>
          <w:sz w:val="30"/>
          <w:szCs w:val="30"/>
          <w:highlight w:val="none"/>
        </w:rPr>
      </w:pPr>
      <w:r>
        <w:rPr>
          <w:rFonts w:ascii="宋体" w:hAnsi="宋体" w:eastAsia="宋体" w:cs="宋体"/>
          <w:b/>
          <w:bCs/>
          <w:color w:val="auto"/>
          <w:sz w:val="30"/>
          <w:szCs w:val="30"/>
          <w:highlight w:val="none"/>
        </w:rPr>
        <w:t>法定代表人授权委托书</w:t>
      </w:r>
    </w:p>
    <w:p w14:paraId="3428102C">
      <w:pPr>
        <w:snapToGrid w:val="0"/>
        <w:spacing w:beforeLines="50" w:after="50"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（采购单位）：</w:t>
      </w:r>
    </w:p>
    <w:p w14:paraId="3B541521">
      <w:pPr>
        <w:snapToGrid w:val="0"/>
        <w:spacing w:beforeLines="50" w:after="50" w:line="360" w:lineRule="auto"/>
        <w:ind w:firstLine="720" w:firstLineChars="300"/>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我</w:t>
      </w:r>
      <w:r>
        <w:rPr>
          <w:rFonts w:ascii="宋体" w:hAnsi="宋体" w:eastAsia="宋体" w:cs="宋体"/>
          <w:color w:val="auto"/>
          <w:sz w:val="24"/>
          <w:szCs w:val="24"/>
          <w:highlight w:val="none"/>
          <w:u w:val="single"/>
        </w:rPr>
        <w:t xml:space="preserve">       （姓名）</w:t>
      </w:r>
      <w:r>
        <w:rPr>
          <w:rFonts w:ascii="宋体" w:hAnsi="宋体" w:eastAsia="宋体" w:cs="宋体"/>
          <w:color w:val="auto"/>
          <w:sz w:val="24"/>
          <w:szCs w:val="24"/>
          <w:highlight w:val="none"/>
        </w:rPr>
        <w:t>系</w:t>
      </w:r>
      <w:r>
        <w:rPr>
          <w:rFonts w:ascii="宋体" w:hAnsi="宋体" w:eastAsia="宋体" w:cs="宋体"/>
          <w:color w:val="auto"/>
          <w:sz w:val="24"/>
          <w:szCs w:val="24"/>
          <w:highlight w:val="none"/>
          <w:u w:val="single"/>
        </w:rPr>
        <w:t xml:space="preserve">         （投标人名称）</w:t>
      </w:r>
      <w:r>
        <w:rPr>
          <w:rFonts w:ascii="宋体" w:hAnsi="宋体" w:eastAsia="宋体" w:cs="宋体"/>
          <w:color w:val="auto"/>
          <w:sz w:val="24"/>
          <w:szCs w:val="24"/>
          <w:highlight w:val="none"/>
        </w:rPr>
        <w:t>的法定代表人，现授权委托本单位在职职工</w:t>
      </w:r>
      <w:r>
        <w:rPr>
          <w:rFonts w:ascii="宋体" w:hAnsi="宋体" w:eastAsia="宋体" w:cs="宋体"/>
          <w:color w:val="auto"/>
          <w:sz w:val="24"/>
          <w:szCs w:val="24"/>
          <w:highlight w:val="none"/>
          <w:u w:val="single"/>
        </w:rPr>
        <w:t xml:space="preserve">          （姓名）</w:t>
      </w:r>
      <w:r>
        <w:rPr>
          <w:rFonts w:ascii="宋体" w:hAnsi="宋体" w:eastAsia="宋体" w:cs="宋体"/>
          <w:color w:val="auto"/>
          <w:sz w:val="24"/>
          <w:szCs w:val="24"/>
          <w:highlight w:val="none"/>
        </w:rPr>
        <w:t>为授权代表，以我方的名义参加项目编号：</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项目名称</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项目的投标活动，并代表我方全权办理针对上述项目的投标、开标、评标、签约等具体事务和签署相关文件。我方对授权代表的签名事项负全部责任。</w:t>
      </w:r>
    </w:p>
    <w:p w14:paraId="145FDF98">
      <w:pPr>
        <w:snapToGrid w:val="0"/>
        <w:spacing w:beforeLines="50" w:after="50" w:line="360" w:lineRule="auto"/>
        <w:ind w:firstLine="480"/>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在撤销授权的书面通知以前，本授权书一直有效。授权代表在授权书有效期内签署的所有文件不因授权的撤销而失效。</w:t>
      </w:r>
    </w:p>
    <w:p w14:paraId="419459D1">
      <w:pPr>
        <w:snapToGrid w:val="0"/>
        <w:spacing w:beforeLines="50" w:after="50" w:line="360" w:lineRule="auto"/>
        <w:ind w:firstLine="480"/>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授权代表无转委托权，特此委托。</w:t>
      </w:r>
    </w:p>
    <w:p w14:paraId="3221C5EC">
      <w:pPr>
        <w:snapToGrid w:val="0"/>
        <w:spacing w:beforeLines="50" w:after="50" w:line="360" w:lineRule="auto"/>
        <w:rPr>
          <w:rFonts w:hint="default" w:ascii="宋体" w:hAnsi="宋体" w:eastAsia="宋体" w:cs="宋体"/>
          <w:color w:val="auto"/>
          <w:sz w:val="24"/>
          <w:szCs w:val="24"/>
          <w:highlight w:val="none"/>
        </w:rPr>
      </w:pPr>
    </w:p>
    <w:p w14:paraId="166B0215">
      <w:pPr>
        <w:snapToGrid w:val="0"/>
        <w:spacing w:beforeLines="50" w:after="50"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授权代表（签字或盖章）：</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职务：</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w:t>
      </w:r>
    </w:p>
    <w:p w14:paraId="21E87014">
      <w:pPr>
        <w:snapToGrid w:val="0"/>
        <w:spacing w:beforeLines="50" w:after="50"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授权代表身份证号码：</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w:t>
      </w:r>
    </w:p>
    <w:p w14:paraId="70904FCB">
      <w:pPr>
        <w:snapToGrid w:val="0"/>
        <w:spacing w:beforeLines="50" w:after="50"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法定代表人（签字或盖章）：</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职务：</w:t>
      </w:r>
      <w:r>
        <w:rPr>
          <w:rFonts w:ascii="宋体" w:hAnsi="宋体" w:eastAsia="宋体" w:cs="宋体"/>
          <w:color w:val="auto"/>
          <w:sz w:val="24"/>
          <w:szCs w:val="24"/>
          <w:highlight w:val="none"/>
          <w:u w:val="single"/>
        </w:rPr>
        <w:t xml:space="preserve">              </w:t>
      </w:r>
    </w:p>
    <w:p w14:paraId="094859F2">
      <w:pPr>
        <w:snapToGrid w:val="0"/>
        <w:spacing w:beforeLines="50" w:after="50"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法定代表人身份证号码：</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w:t>
      </w:r>
    </w:p>
    <w:p w14:paraId="0955AC79">
      <w:pPr>
        <w:snapToGrid w:val="0"/>
        <w:spacing w:beforeLines="50" w:after="50"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p>
    <w:p w14:paraId="3D02AF13">
      <w:pPr>
        <w:snapToGrid w:val="0"/>
        <w:spacing w:beforeLines="50" w:after="50" w:line="360" w:lineRule="auto"/>
        <w:ind w:firstLine="4920" w:firstLineChars="2050"/>
        <w:rPr>
          <w:rFonts w:hint="default" w:ascii="宋体" w:hAnsi="宋体" w:eastAsia="宋体" w:cs="宋体"/>
          <w:color w:val="auto"/>
          <w:sz w:val="24"/>
          <w:szCs w:val="24"/>
          <w:highlight w:val="none"/>
        </w:rPr>
      </w:pPr>
    </w:p>
    <w:p w14:paraId="727A4AB7">
      <w:pPr>
        <w:snapToGrid w:val="0"/>
        <w:spacing w:beforeLines="50" w:after="50"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投标人名称（电子签章）：</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w:t>
      </w:r>
    </w:p>
    <w:p w14:paraId="03606807">
      <w:pPr>
        <w:snapToGrid w:val="0"/>
        <w:spacing w:beforeLines="50" w:after="50" w:line="360" w:lineRule="auto"/>
        <w:rPr>
          <w:rFonts w:hint="default" w:ascii="宋体" w:hAnsi="宋体" w:eastAsia="宋体" w:cs="宋体"/>
          <w:color w:val="auto"/>
          <w:sz w:val="24"/>
          <w:szCs w:val="24"/>
          <w:highlight w:val="none"/>
          <w:u w:val="single"/>
        </w:rPr>
      </w:pPr>
      <w:r>
        <w:rPr>
          <w:rFonts w:ascii="宋体" w:hAnsi="宋体" w:eastAsia="宋体" w:cs="宋体"/>
          <w:snapToGrid w:val="0"/>
          <w:color w:val="auto"/>
          <w:kern w:val="0"/>
          <w:sz w:val="24"/>
          <w:szCs w:val="24"/>
          <w:highlight w:val="none"/>
        </w:rPr>
        <w:t>日期：</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年</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月</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日</w:t>
      </w:r>
    </w:p>
    <w:p w14:paraId="6C9633E1">
      <w:pPr>
        <w:spacing w:line="360" w:lineRule="auto"/>
        <w:rPr>
          <w:rFonts w:hint="default" w:ascii="宋体" w:hAnsi="宋体" w:eastAsia="宋体" w:cs="宋体"/>
          <w:color w:val="auto"/>
          <w:sz w:val="24"/>
          <w:szCs w:val="24"/>
          <w:highlight w:val="none"/>
        </w:rPr>
      </w:pPr>
    </w:p>
    <w:p w14:paraId="1EED33B5">
      <w:pPr>
        <w:spacing w:line="360" w:lineRule="auto"/>
        <w:jc w:val="center"/>
        <w:rPr>
          <w:rFonts w:hint="default" w:ascii="宋体" w:hAnsi="宋体" w:eastAsia="宋体" w:cs="宋体"/>
          <w:color w:val="auto"/>
          <w:sz w:val="24"/>
          <w:szCs w:val="24"/>
          <w:highlight w:val="none"/>
        </w:rPr>
      </w:pPr>
    </w:p>
    <w:p w14:paraId="007B2296">
      <w:pPr>
        <w:spacing w:line="360" w:lineRule="auto"/>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rPr>
        <w:t>注：1.须附授权代表身份证扫描件（正反面）</w:t>
      </w:r>
    </w:p>
    <w:p w14:paraId="4D9A2C06">
      <w:pPr>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rPr>
        <w:t>2.如法定代表人参加投标的，可不填写本表。</w:t>
      </w:r>
      <w:r>
        <w:rPr>
          <w:rFonts w:ascii="宋体" w:hAnsi="宋体" w:eastAsia="宋体" w:cs="宋体"/>
          <w:b/>
          <w:color w:val="auto"/>
          <w:sz w:val="24"/>
          <w:szCs w:val="24"/>
          <w:highlight w:val="none"/>
        </w:rPr>
        <w:br w:type="page"/>
      </w:r>
    </w:p>
    <w:p w14:paraId="7DD757CB">
      <w:pPr>
        <w:snapToGrid w:val="0"/>
        <w:spacing w:before="50" w:afterLines="50" w:line="360" w:lineRule="auto"/>
        <w:jc w:val="left"/>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rPr>
        <w:t>3.商务响应表格式：</w:t>
      </w:r>
    </w:p>
    <w:p w14:paraId="226155D7">
      <w:pPr>
        <w:spacing w:line="360" w:lineRule="auto"/>
        <w:jc w:val="center"/>
        <w:rPr>
          <w:rFonts w:hint="default" w:ascii="宋体" w:hAnsi="宋体" w:eastAsia="宋体" w:cs="宋体"/>
          <w:b/>
          <w:bCs/>
          <w:color w:val="auto"/>
          <w:sz w:val="30"/>
          <w:szCs w:val="30"/>
          <w:highlight w:val="none"/>
        </w:rPr>
      </w:pPr>
      <w:r>
        <w:rPr>
          <w:rFonts w:ascii="宋体" w:hAnsi="宋体" w:eastAsia="宋体" w:cs="宋体"/>
          <w:b/>
          <w:bCs/>
          <w:color w:val="auto"/>
          <w:sz w:val="30"/>
          <w:szCs w:val="30"/>
          <w:highlight w:val="none"/>
        </w:rPr>
        <w:t>商务响应表</w:t>
      </w:r>
    </w:p>
    <w:tbl>
      <w:tblPr>
        <w:tblStyle w:val="29"/>
        <w:tblW w:w="84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
        <w:gridCol w:w="2242"/>
        <w:gridCol w:w="1907"/>
        <w:gridCol w:w="1071"/>
        <w:gridCol w:w="2408"/>
      </w:tblGrid>
      <w:tr w14:paraId="7C7B5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70" w:type="dxa"/>
            <w:tcBorders>
              <w:top w:val="single" w:color="auto" w:sz="4" w:space="0"/>
              <w:left w:val="single" w:color="auto" w:sz="4" w:space="0"/>
              <w:bottom w:val="single" w:color="auto" w:sz="4" w:space="0"/>
              <w:right w:val="single" w:color="auto" w:sz="4" w:space="0"/>
            </w:tcBorders>
            <w:vAlign w:val="center"/>
          </w:tcPr>
          <w:p w14:paraId="2DBC3EE3">
            <w:pPr>
              <w:snapToGrid w:val="0"/>
              <w:spacing w:beforeLines="50" w:line="24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序号</w:t>
            </w:r>
          </w:p>
        </w:tc>
        <w:tc>
          <w:tcPr>
            <w:tcW w:w="2242" w:type="dxa"/>
            <w:tcBorders>
              <w:top w:val="single" w:color="auto" w:sz="4" w:space="0"/>
              <w:left w:val="single" w:color="auto" w:sz="4" w:space="0"/>
              <w:bottom w:val="single" w:color="auto" w:sz="4" w:space="0"/>
              <w:right w:val="single" w:color="auto" w:sz="4" w:space="0"/>
            </w:tcBorders>
            <w:vAlign w:val="center"/>
          </w:tcPr>
          <w:p w14:paraId="6161528B">
            <w:pPr>
              <w:snapToGrid w:val="0"/>
              <w:spacing w:beforeLines="50" w:line="24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项目</w:t>
            </w:r>
          </w:p>
        </w:tc>
        <w:tc>
          <w:tcPr>
            <w:tcW w:w="1907" w:type="dxa"/>
            <w:tcBorders>
              <w:top w:val="single" w:color="auto" w:sz="4" w:space="0"/>
              <w:left w:val="single" w:color="auto" w:sz="4" w:space="0"/>
              <w:bottom w:val="single" w:color="auto" w:sz="4" w:space="0"/>
              <w:right w:val="single" w:color="auto" w:sz="4" w:space="0"/>
            </w:tcBorders>
            <w:vAlign w:val="center"/>
          </w:tcPr>
          <w:p w14:paraId="0774A431">
            <w:pPr>
              <w:snapToGrid w:val="0"/>
              <w:spacing w:beforeLines="50" w:line="24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招标文件要求</w:t>
            </w:r>
          </w:p>
        </w:tc>
        <w:tc>
          <w:tcPr>
            <w:tcW w:w="1071" w:type="dxa"/>
            <w:tcBorders>
              <w:top w:val="single" w:color="auto" w:sz="4" w:space="0"/>
              <w:left w:val="single" w:color="auto" w:sz="4" w:space="0"/>
              <w:bottom w:val="single" w:color="auto" w:sz="4" w:space="0"/>
              <w:right w:val="single" w:color="auto" w:sz="4" w:space="0"/>
            </w:tcBorders>
            <w:vAlign w:val="center"/>
          </w:tcPr>
          <w:p w14:paraId="6315D62A">
            <w:pPr>
              <w:snapToGrid w:val="0"/>
              <w:spacing w:beforeLines="50" w:line="24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是否响应</w:t>
            </w:r>
          </w:p>
        </w:tc>
        <w:tc>
          <w:tcPr>
            <w:tcW w:w="2408" w:type="dxa"/>
            <w:tcBorders>
              <w:top w:val="single" w:color="auto" w:sz="4" w:space="0"/>
              <w:left w:val="single" w:color="auto" w:sz="4" w:space="0"/>
              <w:bottom w:val="single" w:color="auto" w:sz="4" w:space="0"/>
              <w:right w:val="single" w:color="auto" w:sz="4" w:space="0"/>
            </w:tcBorders>
            <w:vAlign w:val="center"/>
          </w:tcPr>
          <w:p w14:paraId="16A959B2">
            <w:pPr>
              <w:snapToGrid w:val="0"/>
              <w:spacing w:beforeLines="50" w:line="24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投标人的承诺或说明</w:t>
            </w:r>
          </w:p>
        </w:tc>
      </w:tr>
      <w:tr w14:paraId="35366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70" w:type="dxa"/>
            <w:tcBorders>
              <w:top w:val="single" w:color="auto" w:sz="4" w:space="0"/>
              <w:left w:val="single" w:color="auto" w:sz="4" w:space="0"/>
              <w:bottom w:val="single" w:color="auto" w:sz="4" w:space="0"/>
              <w:right w:val="single" w:color="auto" w:sz="4" w:space="0"/>
            </w:tcBorders>
            <w:vAlign w:val="center"/>
          </w:tcPr>
          <w:p w14:paraId="42CAC026">
            <w:pPr>
              <w:spacing w:line="240" w:lineRule="auto"/>
              <w:jc w:val="center"/>
              <w:rPr>
                <w:rFonts w:hint="default" w:ascii="宋体" w:hAnsi="宋体" w:eastAsia="宋体" w:cs="宋体"/>
                <w:color w:val="auto"/>
                <w:szCs w:val="21"/>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7A03C1FF">
            <w:pPr>
              <w:spacing w:line="240" w:lineRule="auto"/>
              <w:rPr>
                <w:rFonts w:hint="default" w:ascii="宋体" w:hAnsi="宋体" w:eastAsia="宋体" w:cs="宋体"/>
                <w:color w:val="auto"/>
                <w:szCs w:val="21"/>
                <w:highlight w:val="none"/>
              </w:rPr>
            </w:pPr>
          </w:p>
        </w:tc>
        <w:tc>
          <w:tcPr>
            <w:tcW w:w="1907" w:type="dxa"/>
            <w:tcBorders>
              <w:top w:val="single" w:color="auto" w:sz="4" w:space="0"/>
              <w:left w:val="single" w:color="auto" w:sz="4" w:space="0"/>
              <w:bottom w:val="single" w:color="auto" w:sz="4" w:space="0"/>
              <w:right w:val="single" w:color="auto" w:sz="4" w:space="0"/>
            </w:tcBorders>
          </w:tcPr>
          <w:p w14:paraId="47BB8108">
            <w:pPr>
              <w:snapToGrid w:val="0"/>
              <w:spacing w:beforeLines="50" w:line="240" w:lineRule="auto"/>
              <w:rPr>
                <w:rFonts w:hint="default" w:ascii="宋体" w:hAnsi="宋体" w:eastAsia="宋体" w:cs="宋体"/>
                <w:color w:val="auto"/>
                <w:sz w:val="24"/>
                <w:highlight w:val="none"/>
              </w:rPr>
            </w:pPr>
          </w:p>
        </w:tc>
        <w:tc>
          <w:tcPr>
            <w:tcW w:w="1071" w:type="dxa"/>
            <w:tcBorders>
              <w:top w:val="single" w:color="auto" w:sz="4" w:space="0"/>
              <w:left w:val="single" w:color="auto" w:sz="4" w:space="0"/>
              <w:bottom w:val="single" w:color="auto" w:sz="4" w:space="0"/>
              <w:right w:val="single" w:color="auto" w:sz="4" w:space="0"/>
            </w:tcBorders>
          </w:tcPr>
          <w:p w14:paraId="6B5F0918">
            <w:pPr>
              <w:snapToGrid w:val="0"/>
              <w:spacing w:beforeLines="50" w:line="240" w:lineRule="auto"/>
              <w:rPr>
                <w:rFonts w:hint="default" w:ascii="宋体" w:hAnsi="宋体" w:eastAsia="宋体" w:cs="宋体"/>
                <w:color w:val="auto"/>
                <w:sz w:val="24"/>
                <w:highlight w:val="none"/>
              </w:rPr>
            </w:pPr>
          </w:p>
        </w:tc>
        <w:tc>
          <w:tcPr>
            <w:tcW w:w="2408" w:type="dxa"/>
            <w:tcBorders>
              <w:top w:val="single" w:color="auto" w:sz="4" w:space="0"/>
              <w:left w:val="single" w:color="auto" w:sz="4" w:space="0"/>
              <w:bottom w:val="single" w:color="auto" w:sz="4" w:space="0"/>
              <w:right w:val="single" w:color="auto" w:sz="4" w:space="0"/>
            </w:tcBorders>
          </w:tcPr>
          <w:p w14:paraId="7DD415C4">
            <w:pPr>
              <w:snapToGrid w:val="0"/>
              <w:spacing w:beforeLines="50" w:line="240" w:lineRule="auto"/>
              <w:rPr>
                <w:rFonts w:hint="default" w:ascii="宋体" w:hAnsi="宋体" w:eastAsia="宋体" w:cs="宋体"/>
                <w:color w:val="auto"/>
                <w:sz w:val="24"/>
                <w:highlight w:val="none"/>
              </w:rPr>
            </w:pPr>
          </w:p>
        </w:tc>
      </w:tr>
      <w:tr w14:paraId="0E688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70" w:type="dxa"/>
            <w:tcBorders>
              <w:top w:val="single" w:color="auto" w:sz="4" w:space="0"/>
              <w:left w:val="single" w:color="auto" w:sz="4" w:space="0"/>
              <w:bottom w:val="single" w:color="auto" w:sz="4" w:space="0"/>
              <w:right w:val="single" w:color="auto" w:sz="4" w:space="0"/>
            </w:tcBorders>
            <w:vAlign w:val="center"/>
          </w:tcPr>
          <w:p w14:paraId="6CF5FF4F">
            <w:pPr>
              <w:spacing w:line="240" w:lineRule="auto"/>
              <w:jc w:val="center"/>
              <w:rPr>
                <w:rFonts w:hint="default" w:ascii="宋体" w:hAnsi="宋体" w:eastAsia="宋体" w:cs="宋体"/>
                <w:color w:val="auto"/>
                <w:szCs w:val="21"/>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29341350">
            <w:pPr>
              <w:spacing w:line="240" w:lineRule="auto"/>
              <w:rPr>
                <w:rFonts w:hint="default" w:ascii="宋体" w:hAnsi="宋体" w:eastAsia="宋体" w:cs="宋体"/>
                <w:color w:val="auto"/>
                <w:szCs w:val="21"/>
                <w:highlight w:val="none"/>
              </w:rPr>
            </w:pPr>
          </w:p>
        </w:tc>
        <w:tc>
          <w:tcPr>
            <w:tcW w:w="1907" w:type="dxa"/>
            <w:tcBorders>
              <w:top w:val="single" w:color="auto" w:sz="4" w:space="0"/>
              <w:left w:val="single" w:color="auto" w:sz="4" w:space="0"/>
              <w:bottom w:val="single" w:color="auto" w:sz="4" w:space="0"/>
              <w:right w:val="single" w:color="auto" w:sz="4" w:space="0"/>
            </w:tcBorders>
          </w:tcPr>
          <w:p w14:paraId="69EF82FA">
            <w:pPr>
              <w:snapToGrid w:val="0"/>
              <w:spacing w:beforeLines="50" w:line="240" w:lineRule="auto"/>
              <w:rPr>
                <w:rFonts w:hint="default" w:ascii="宋体" w:hAnsi="宋体" w:eastAsia="宋体" w:cs="宋体"/>
                <w:color w:val="auto"/>
                <w:sz w:val="24"/>
                <w:highlight w:val="none"/>
              </w:rPr>
            </w:pPr>
          </w:p>
        </w:tc>
        <w:tc>
          <w:tcPr>
            <w:tcW w:w="1071" w:type="dxa"/>
            <w:tcBorders>
              <w:top w:val="single" w:color="auto" w:sz="4" w:space="0"/>
              <w:left w:val="single" w:color="auto" w:sz="4" w:space="0"/>
              <w:bottom w:val="single" w:color="auto" w:sz="4" w:space="0"/>
              <w:right w:val="single" w:color="auto" w:sz="4" w:space="0"/>
            </w:tcBorders>
          </w:tcPr>
          <w:p w14:paraId="520E9C83">
            <w:pPr>
              <w:snapToGrid w:val="0"/>
              <w:spacing w:beforeLines="50" w:line="240" w:lineRule="auto"/>
              <w:ind w:left="43"/>
              <w:rPr>
                <w:rFonts w:hint="default" w:ascii="宋体" w:hAnsi="宋体" w:eastAsia="宋体" w:cs="宋体"/>
                <w:color w:val="auto"/>
                <w:sz w:val="24"/>
                <w:highlight w:val="none"/>
              </w:rPr>
            </w:pPr>
          </w:p>
        </w:tc>
        <w:tc>
          <w:tcPr>
            <w:tcW w:w="2408" w:type="dxa"/>
            <w:tcBorders>
              <w:top w:val="single" w:color="auto" w:sz="4" w:space="0"/>
              <w:left w:val="single" w:color="auto" w:sz="4" w:space="0"/>
              <w:bottom w:val="single" w:color="auto" w:sz="4" w:space="0"/>
              <w:right w:val="single" w:color="auto" w:sz="4" w:space="0"/>
            </w:tcBorders>
          </w:tcPr>
          <w:p w14:paraId="30613BED">
            <w:pPr>
              <w:snapToGrid w:val="0"/>
              <w:spacing w:beforeLines="50" w:line="240" w:lineRule="auto"/>
              <w:ind w:left="43"/>
              <w:rPr>
                <w:rFonts w:hint="default" w:ascii="宋体" w:hAnsi="宋体" w:eastAsia="宋体" w:cs="宋体"/>
                <w:color w:val="auto"/>
                <w:sz w:val="24"/>
                <w:highlight w:val="none"/>
              </w:rPr>
            </w:pPr>
          </w:p>
        </w:tc>
      </w:tr>
      <w:tr w14:paraId="20D85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70" w:type="dxa"/>
            <w:tcBorders>
              <w:top w:val="single" w:color="auto" w:sz="4" w:space="0"/>
              <w:left w:val="single" w:color="auto" w:sz="4" w:space="0"/>
              <w:bottom w:val="single" w:color="auto" w:sz="4" w:space="0"/>
              <w:right w:val="single" w:color="auto" w:sz="4" w:space="0"/>
            </w:tcBorders>
            <w:vAlign w:val="center"/>
          </w:tcPr>
          <w:p w14:paraId="1D7F76FC">
            <w:pPr>
              <w:spacing w:line="240" w:lineRule="auto"/>
              <w:jc w:val="center"/>
              <w:rPr>
                <w:rFonts w:hint="default" w:ascii="宋体" w:hAnsi="宋体" w:eastAsia="宋体" w:cs="宋体"/>
                <w:color w:val="auto"/>
                <w:szCs w:val="21"/>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07D62978">
            <w:pPr>
              <w:spacing w:line="240" w:lineRule="auto"/>
              <w:rPr>
                <w:rFonts w:hint="default" w:ascii="宋体" w:hAnsi="宋体" w:eastAsia="宋体" w:cs="宋体"/>
                <w:color w:val="auto"/>
                <w:szCs w:val="21"/>
                <w:highlight w:val="none"/>
              </w:rPr>
            </w:pPr>
          </w:p>
        </w:tc>
        <w:tc>
          <w:tcPr>
            <w:tcW w:w="1907" w:type="dxa"/>
            <w:tcBorders>
              <w:top w:val="single" w:color="auto" w:sz="4" w:space="0"/>
              <w:left w:val="single" w:color="auto" w:sz="4" w:space="0"/>
              <w:bottom w:val="single" w:color="auto" w:sz="4" w:space="0"/>
              <w:right w:val="single" w:color="auto" w:sz="4" w:space="0"/>
            </w:tcBorders>
          </w:tcPr>
          <w:p w14:paraId="60B72A35">
            <w:pPr>
              <w:snapToGrid w:val="0"/>
              <w:spacing w:beforeLines="50" w:line="240" w:lineRule="auto"/>
              <w:rPr>
                <w:rFonts w:hint="default" w:ascii="宋体" w:hAnsi="宋体" w:eastAsia="宋体" w:cs="宋体"/>
                <w:color w:val="auto"/>
                <w:sz w:val="24"/>
                <w:highlight w:val="none"/>
              </w:rPr>
            </w:pPr>
          </w:p>
        </w:tc>
        <w:tc>
          <w:tcPr>
            <w:tcW w:w="1071" w:type="dxa"/>
            <w:tcBorders>
              <w:top w:val="single" w:color="auto" w:sz="4" w:space="0"/>
              <w:left w:val="single" w:color="auto" w:sz="4" w:space="0"/>
              <w:bottom w:val="single" w:color="auto" w:sz="4" w:space="0"/>
              <w:right w:val="single" w:color="auto" w:sz="4" w:space="0"/>
            </w:tcBorders>
          </w:tcPr>
          <w:p w14:paraId="25BD1049">
            <w:pPr>
              <w:snapToGrid w:val="0"/>
              <w:spacing w:beforeLines="50" w:line="240" w:lineRule="auto"/>
              <w:rPr>
                <w:rFonts w:hint="default" w:ascii="宋体" w:hAnsi="宋体" w:eastAsia="宋体" w:cs="宋体"/>
                <w:color w:val="auto"/>
                <w:sz w:val="24"/>
                <w:highlight w:val="none"/>
              </w:rPr>
            </w:pPr>
          </w:p>
        </w:tc>
        <w:tc>
          <w:tcPr>
            <w:tcW w:w="2408" w:type="dxa"/>
            <w:tcBorders>
              <w:top w:val="single" w:color="auto" w:sz="4" w:space="0"/>
              <w:left w:val="single" w:color="auto" w:sz="4" w:space="0"/>
              <w:bottom w:val="single" w:color="auto" w:sz="4" w:space="0"/>
              <w:right w:val="single" w:color="auto" w:sz="4" w:space="0"/>
            </w:tcBorders>
          </w:tcPr>
          <w:p w14:paraId="2EC64F6B">
            <w:pPr>
              <w:snapToGrid w:val="0"/>
              <w:spacing w:beforeLines="50" w:line="240" w:lineRule="auto"/>
              <w:rPr>
                <w:rFonts w:hint="default" w:ascii="宋体" w:hAnsi="宋体" w:eastAsia="宋体" w:cs="宋体"/>
                <w:color w:val="auto"/>
                <w:sz w:val="24"/>
                <w:highlight w:val="none"/>
              </w:rPr>
            </w:pPr>
          </w:p>
        </w:tc>
      </w:tr>
      <w:tr w14:paraId="151E3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70" w:type="dxa"/>
            <w:tcBorders>
              <w:top w:val="single" w:color="auto" w:sz="4" w:space="0"/>
              <w:left w:val="single" w:color="auto" w:sz="4" w:space="0"/>
              <w:bottom w:val="single" w:color="auto" w:sz="4" w:space="0"/>
              <w:right w:val="single" w:color="auto" w:sz="4" w:space="0"/>
            </w:tcBorders>
            <w:vAlign w:val="center"/>
          </w:tcPr>
          <w:p w14:paraId="033D0E9D">
            <w:pPr>
              <w:spacing w:line="240" w:lineRule="auto"/>
              <w:jc w:val="center"/>
              <w:rPr>
                <w:rFonts w:hint="default" w:ascii="宋体" w:hAnsi="宋体" w:eastAsia="宋体" w:cs="宋体"/>
                <w:color w:val="auto"/>
                <w:szCs w:val="21"/>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7B505E6E">
            <w:pPr>
              <w:spacing w:line="240" w:lineRule="auto"/>
              <w:rPr>
                <w:rFonts w:hint="default" w:ascii="宋体" w:hAnsi="宋体" w:eastAsia="宋体" w:cs="宋体"/>
                <w:color w:val="auto"/>
                <w:szCs w:val="21"/>
                <w:highlight w:val="none"/>
              </w:rPr>
            </w:pPr>
          </w:p>
        </w:tc>
        <w:tc>
          <w:tcPr>
            <w:tcW w:w="1907" w:type="dxa"/>
            <w:tcBorders>
              <w:top w:val="single" w:color="auto" w:sz="4" w:space="0"/>
              <w:left w:val="single" w:color="auto" w:sz="4" w:space="0"/>
              <w:bottom w:val="single" w:color="auto" w:sz="4" w:space="0"/>
              <w:right w:val="single" w:color="auto" w:sz="4" w:space="0"/>
            </w:tcBorders>
          </w:tcPr>
          <w:p w14:paraId="7EF028D3">
            <w:pPr>
              <w:snapToGrid w:val="0"/>
              <w:spacing w:beforeLines="50" w:line="240" w:lineRule="auto"/>
              <w:rPr>
                <w:rFonts w:hint="default" w:ascii="宋体" w:hAnsi="宋体" w:eastAsia="宋体" w:cs="宋体"/>
                <w:color w:val="auto"/>
                <w:sz w:val="24"/>
                <w:highlight w:val="none"/>
              </w:rPr>
            </w:pPr>
          </w:p>
        </w:tc>
        <w:tc>
          <w:tcPr>
            <w:tcW w:w="1071" w:type="dxa"/>
            <w:tcBorders>
              <w:top w:val="single" w:color="auto" w:sz="4" w:space="0"/>
              <w:left w:val="single" w:color="auto" w:sz="4" w:space="0"/>
              <w:bottom w:val="single" w:color="auto" w:sz="4" w:space="0"/>
              <w:right w:val="single" w:color="auto" w:sz="4" w:space="0"/>
            </w:tcBorders>
          </w:tcPr>
          <w:p w14:paraId="37CA368B">
            <w:pPr>
              <w:snapToGrid w:val="0"/>
              <w:spacing w:beforeLines="50" w:line="240" w:lineRule="auto"/>
              <w:rPr>
                <w:rFonts w:hint="default" w:ascii="宋体" w:hAnsi="宋体" w:eastAsia="宋体" w:cs="宋体"/>
                <w:color w:val="auto"/>
                <w:sz w:val="24"/>
                <w:highlight w:val="none"/>
              </w:rPr>
            </w:pPr>
          </w:p>
        </w:tc>
        <w:tc>
          <w:tcPr>
            <w:tcW w:w="2408" w:type="dxa"/>
            <w:tcBorders>
              <w:top w:val="single" w:color="auto" w:sz="4" w:space="0"/>
              <w:left w:val="single" w:color="auto" w:sz="4" w:space="0"/>
              <w:bottom w:val="single" w:color="auto" w:sz="4" w:space="0"/>
              <w:right w:val="single" w:color="auto" w:sz="4" w:space="0"/>
            </w:tcBorders>
          </w:tcPr>
          <w:p w14:paraId="621CCB86">
            <w:pPr>
              <w:snapToGrid w:val="0"/>
              <w:spacing w:beforeLines="50" w:line="240" w:lineRule="auto"/>
              <w:rPr>
                <w:rFonts w:hint="default" w:ascii="宋体" w:hAnsi="宋体" w:eastAsia="宋体" w:cs="宋体"/>
                <w:color w:val="auto"/>
                <w:sz w:val="24"/>
                <w:highlight w:val="none"/>
              </w:rPr>
            </w:pPr>
          </w:p>
        </w:tc>
      </w:tr>
      <w:tr w14:paraId="3615A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70" w:type="dxa"/>
            <w:tcBorders>
              <w:top w:val="single" w:color="auto" w:sz="4" w:space="0"/>
              <w:left w:val="single" w:color="auto" w:sz="4" w:space="0"/>
              <w:bottom w:val="single" w:color="auto" w:sz="4" w:space="0"/>
              <w:right w:val="single" w:color="auto" w:sz="4" w:space="0"/>
            </w:tcBorders>
            <w:vAlign w:val="center"/>
          </w:tcPr>
          <w:p w14:paraId="68706BC9">
            <w:pPr>
              <w:spacing w:line="240" w:lineRule="auto"/>
              <w:jc w:val="center"/>
              <w:rPr>
                <w:rFonts w:hint="default" w:ascii="宋体" w:hAnsi="宋体" w:eastAsia="宋体" w:cs="宋体"/>
                <w:color w:val="auto"/>
                <w:szCs w:val="21"/>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1D6F63B7">
            <w:pPr>
              <w:spacing w:line="240" w:lineRule="auto"/>
              <w:rPr>
                <w:rFonts w:hint="default" w:ascii="宋体" w:hAnsi="宋体" w:eastAsia="宋体" w:cs="宋体"/>
                <w:color w:val="auto"/>
                <w:szCs w:val="21"/>
                <w:highlight w:val="none"/>
              </w:rPr>
            </w:pPr>
          </w:p>
        </w:tc>
        <w:tc>
          <w:tcPr>
            <w:tcW w:w="1907" w:type="dxa"/>
            <w:tcBorders>
              <w:top w:val="single" w:color="auto" w:sz="4" w:space="0"/>
              <w:left w:val="single" w:color="auto" w:sz="4" w:space="0"/>
              <w:bottom w:val="single" w:color="auto" w:sz="4" w:space="0"/>
              <w:right w:val="single" w:color="auto" w:sz="4" w:space="0"/>
            </w:tcBorders>
          </w:tcPr>
          <w:p w14:paraId="659DE617">
            <w:pPr>
              <w:snapToGrid w:val="0"/>
              <w:spacing w:beforeLines="50" w:line="240" w:lineRule="auto"/>
              <w:rPr>
                <w:rFonts w:hint="default" w:ascii="宋体" w:hAnsi="宋体" w:eastAsia="宋体" w:cs="宋体"/>
                <w:color w:val="auto"/>
                <w:sz w:val="24"/>
                <w:highlight w:val="none"/>
              </w:rPr>
            </w:pPr>
          </w:p>
        </w:tc>
        <w:tc>
          <w:tcPr>
            <w:tcW w:w="1071" w:type="dxa"/>
            <w:tcBorders>
              <w:top w:val="single" w:color="auto" w:sz="4" w:space="0"/>
              <w:left w:val="single" w:color="auto" w:sz="4" w:space="0"/>
              <w:bottom w:val="single" w:color="auto" w:sz="4" w:space="0"/>
              <w:right w:val="single" w:color="auto" w:sz="4" w:space="0"/>
            </w:tcBorders>
          </w:tcPr>
          <w:p w14:paraId="11486575">
            <w:pPr>
              <w:snapToGrid w:val="0"/>
              <w:spacing w:beforeLines="50" w:line="240" w:lineRule="auto"/>
              <w:rPr>
                <w:rFonts w:hint="default" w:ascii="宋体" w:hAnsi="宋体" w:eastAsia="宋体" w:cs="宋体"/>
                <w:color w:val="auto"/>
                <w:sz w:val="24"/>
                <w:highlight w:val="none"/>
              </w:rPr>
            </w:pPr>
          </w:p>
        </w:tc>
        <w:tc>
          <w:tcPr>
            <w:tcW w:w="2408" w:type="dxa"/>
            <w:tcBorders>
              <w:top w:val="single" w:color="auto" w:sz="4" w:space="0"/>
              <w:left w:val="single" w:color="auto" w:sz="4" w:space="0"/>
              <w:bottom w:val="single" w:color="auto" w:sz="4" w:space="0"/>
              <w:right w:val="single" w:color="auto" w:sz="4" w:space="0"/>
            </w:tcBorders>
          </w:tcPr>
          <w:p w14:paraId="47D99AD6">
            <w:pPr>
              <w:snapToGrid w:val="0"/>
              <w:spacing w:beforeLines="50" w:line="240" w:lineRule="auto"/>
              <w:rPr>
                <w:rFonts w:hint="default" w:ascii="宋体" w:hAnsi="宋体" w:eastAsia="宋体" w:cs="宋体"/>
                <w:color w:val="auto"/>
                <w:sz w:val="24"/>
                <w:highlight w:val="none"/>
              </w:rPr>
            </w:pPr>
          </w:p>
        </w:tc>
      </w:tr>
      <w:tr w14:paraId="3BED6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70" w:type="dxa"/>
            <w:tcBorders>
              <w:top w:val="single" w:color="auto" w:sz="4" w:space="0"/>
              <w:left w:val="single" w:color="auto" w:sz="4" w:space="0"/>
              <w:bottom w:val="single" w:color="auto" w:sz="4" w:space="0"/>
              <w:right w:val="single" w:color="auto" w:sz="4" w:space="0"/>
            </w:tcBorders>
            <w:vAlign w:val="center"/>
          </w:tcPr>
          <w:p w14:paraId="0C3430C4">
            <w:pPr>
              <w:spacing w:line="240" w:lineRule="auto"/>
              <w:jc w:val="center"/>
              <w:rPr>
                <w:rFonts w:hint="default" w:ascii="宋体" w:hAnsi="宋体" w:eastAsia="宋体" w:cs="宋体"/>
                <w:color w:val="auto"/>
                <w:sz w:val="24"/>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6E4A3806">
            <w:pPr>
              <w:spacing w:line="240" w:lineRule="auto"/>
              <w:rPr>
                <w:rFonts w:hint="default" w:ascii="宋体" w:hAnsi="宋体" w:eastAsia="宋体" w:cs="宋体"/>
                <w:color w:val="auto"/>
                <w:sz w:val="24"/>
                <w:szCs w:val="24"/>
                <w:highlight w:val="none"/>
              </w:rPr>
            </w:pPr>
          </w:p>
        </w:tc>
        <w:tc>
          <w:tcPr>
            <w:tcW w:w="1907" w:type="dxa"/>
            <w:tcBorders>
              <w:top w:val="single" w:color="auto" w:sz="4" w:space="0"/>
              <w:left w:val="single" w:color="auto" w:sz="4" w:space="0"/>
              <w:bottom w:val="single" w:color="auto" w:sz="4" w:space="0"/>
              <w:right w:val="single" w:color="auto" w:sz="4" w:space="0"/>
            </w:tcBorders>
          </w:tcPr>
          <w:p w14:paraId="09B6B2AF">
            <w:pPr>
              <w:snapToGrid w:val="0"/>
              <w:spacing w:beforeLines="50" w:line="240" w:lineRule="auto"/>
              <w:rPr>
                <w:rFonts w:hint="default" w:ascii="宋体" w:hAnsi="宋体" w:eastAsia="宋体" w:cs="宋体"/>
                <w:color w:val="auto"/>
                <w:sz w:val="24"/>
                <w:highlight w:val="none"/>
              </w:rPr>
            </w:pPr>
          </w:p>
        </w:tc>
        <w:tc>
          <w:tcPr>
            <w:tcW w:w="1071" w:type="dxa"/>
            <w:tcBorders>
              <w:top w:val="single" w:color="auto" w:sz="4" w:space="0"/>
              <w:left w:val="single" w:color="auto" w:sz="4" w:space="0"/>
              <w:bottom w:val="single" w:color="auto" w:sz="4" w:space="0"/>
              <w:right w:val="single" w:color="auto" w:sz="4" w:space="0"/>
            </w:tcBorders>
          </w:tcPr>
          <w:p w14:paraId="14119464">
            <w:pPr>
              <w:snapToGrid w:val="0"/>
              <w:spacing w:beforeLines="50" w:line="240" w:lineRule="auto"/>
              <w:rPr>
                <w:rFonts w:hint="default" w:ascii="宋体" w:hAnsi="宋体" w:eastAsia="宋体" w:cs="宋体"/>
                <w:color w:val="auto"/>
                <w:sz w:val="24"/>
                <w:highlight w:val="none"/>
              </w:rPr>
            </w:pPr>
          </w:p>
        </w:tc>
        <w:tc>
          <w:tcPr>
            <w:tcW w:w="2408" w:type="dxa"/>
            <w:tcBorders>
              <w:top w:val="single" w:color="auto" w:sz="4" w:space="0"/>
              <w:left w:val="single" w:color="auto" w:sz="4" w:space="0"/>
              <w:bottom w:val="single" w:color="auto" w:sz="4" w:space="0"/>
              <w:right w:val="single" w:color="auto" w:sz="4" w:space="0"/>
            </w:tcBorders>
          </w:tcPr>
          <w:p w14:paraId="02EDD229">
            <w:pPr>
              <w:snapToGrid w:val="0"/>
              <w:spacing w:beforeLines="50" w:line="240" w:lineRule="auto"/>
              <w:rPr>
                <w:rFonts w:hint="default" w:ascii="宋体" w:hAnsi="宋体" w:eastAsia="宋体" w:cs="宋体"/>
                <w:color w:val="auto"/>
                <w:sz w:val="24"/>
                <w:highlight w:val="none"/>
              </w:rPr>
            </w:pPr>
          </w:p>
        </w:tc>
      </w:tr>
      <w:tr w14:paraId="1DCA7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70" w:type="dxa"/>
            <w:tcBorders>
              <w:top w:val="single" w:color="auto" w:sz="4" w:space="0"/>
              <w:left w:val="single" w:color="auto" w:sz="4" w:space="0"/>
              <w:bottom w:val="single" w:color="auto" w:sz="4" w:space="0"/>
              <w:right w:val="single" w:color="auto" w:sz="4" w:space="0"/>
            </w:tcBorders>
            <w:vAlign w:val="center"/>
          </w:tcPr>
          <w:p w14:paraId="206F1417">
            <w:pPr>
              <w:spacing w:line="240" w:lineRule="auto"/>
              <w:jc w:val="center"/>
              <w:rPr>
                <w:rFonts w:hint="default" w:ascii="宋体" w:hAnsi="宋体" w:eastAsia="宋体" w:cs="宋体"/>
                <w:color w:val="auto"/>
                <w:sz w:val="24"/>
                <w:szCs w:val="24"/>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1666EE9F">
            <w:pPr>
              <w:spacing w:line="240" w:lineRule="auto"/>
              <w:rPr>
                <w:rFonts w:hint="default" w:ascii="宋体" w:hAnsi="宋体" w:eastAsia="宋体" w:cs="宋体"/>
                <w:color w:val="auto"/>
                <w:sz w:val="24"/>
                <w:szCs w:val="24"/>
                <w:highlight w:val="none"/>
              </w:rPr>
            </w:pPr>
          </w:p>
        </w:tc>
        <w:tc>
          <w:tcPr>
            <w:tcW w:w="1907" w:type="dxa"/>
            <w:tcBorders>
              <w:top w:val="single" w:color="auto" w:sz="4" w:space="0"/>
              <w:left w:val="single" w:color="auto" w:sz="4" w:space="0"/>
              <w:bottom w:val="single" w:color="auto" w:sz="4" w:space="0"/>
              <w:right w:val="single" w:color="auto" w:sz="4" w:space="0"/>
            </w:tcBorders>
          </w:tcPr>
          <w:p w14:paraId="3CFAD4B5">
            <w:pPr>
              <w:snapToGrid w:val="0"/>
              <w:spacing w:beforeLines="50" w:line="240" w:lineRule="auto"/>
              <w:rPr>
                <w:rFonts w:hint="default" w:ascii="宋体" w:hAnsi="宋体" w:eastAsia="宋体" w:cs="宋体"/>
                <w:color w:val="auto"/>
                <w:sz w:val="24"/>
                <w:highlight w:val="none"/>
              </w:rPr>
            </w:pPr>
          </w:p>
        </w:tc>
        <w:tc>
          <w:tcPr>
            <w:tcW w:w="1071" w:type="dxa"/>
            <w:tcBorders>
              <w:top w:val="single" w:color="auto" w:sz="4" w:space="0"/>
              <w:left w:val="single" w:color="auto" w:sz="4" w:space="0"/>
              <w:bottom w:val="single" w:color="auto" w:sz="4" w:space="0"/>
              <w:right w:val="single" w:color="auto" w:sz="4" w:space="0"/>
            </w:tcBorders>
          </w:tcPr>
          <w:p w14:paraId="1DAC5D10">
            <w:pPr>
              <w:snapToGrid w:val="0"/>
              <w:spacing w:beforeLines="50" w:line="240" w:lineRule="auto"/>
              <w:rPr>
                <w:rFonts w:hint="default" w:ascii="宋体" w:hAnsi="宋体" w:eastAsia="宋体" w:cs="宋体"/>
                <w:color w:val="auto"/>
                <w:sz w:val="24"/>
                <w:highlight w:val="none"/>
              </w:rPr>
            </w:pPr>
          </w:p>
        </w:tc>
        <w:tc>
          <w:tcPr>
            <w:tcW w:w="2408" w:type="dxa"/>
            <w:tcBorders>
              <w:top w:val="single" w:color="auto" w:sz="4" w:space="0"/>
              <w:left w:val="single" w:color="auto" w:sz="4" w:space="0"/>
              <w:bottom w:val="single" w:color="auto" w:sz="4" w:space="0"/>
              <w:right w:val="single" w:color="auto" w:sz="4" w:space="0"/>
            </w:tcBorders>
          </w:tcPr>
          <w:p w14:paraId="7D82FBE2">
            <w:pPr>
              <w:snapToGrid w:val="0"/>
              <w:spacing w:beforeLines="50" w:line="240" w:lineRule="auto"/>
              <w:rPr>
                <w:rFonts w:hint="default" w:ascii="宋体" w:hAnsi="宋体" w:eastAsia="宋体" w:cs="宋体"/>
                <w:color w:val="auto"/>
                <w:sz w:val="24"/>
                <w:highlight w:val="none"/>
              </w:rPr>
            </w:pPr>
          </w:p>
        </w:tc>
      </w:tr>
    </w:tbl>
    <w:p w14:paraId="6293F484">
      <w:pPr>
        <w:snapToGrid w:val="0"/>
        <w:spacing w:beforeLines="50" w:line="240" w:lineRule="auto"/>
        <w:rPr>
          <w:rFonts w:hint="default" w:ascii="宋体" w:hAnsi="宋体" w:eastAsia="宋体" w:cs="宋体"/>
          <w:color w:val="auto"/>
          <w:sz w:val="24"/>
          <w:highlight w:val="none"/>
        </w:rPr>
      </w:pPr>
      <w:r>
        <w:rPr>
          <w:rFonts w:ascii="宋体" w:hAnsi="宋体" w:eastAsia="宋体" w:cs="宋体"/>
          <w:color w:val="auto"/>
          <w:sz w:val="24"/>
          <w:highlight w:val="none"/>
        </w:rPr>
        <w:t>注：如不填写，采购人将视为 “无偏离”。</w:t>
      </w:r>
    </w:p>
    <w:p w14:paraId="06FA1C59">
      <w:pPr>
        <w:snapToGrid w:val="0"/>
        <w:spacing w:line="360" w:lineRule="auto"/>
        <w:ind w:firstLine="4478" w:firstLineChars="1866"/>
        <w:jc w:val="right"/>
        <w:rPr>
          <w:rFonts w:hint="default" w:ascii="宋体" w:hAnsi="宋体" w:eastAsia="宋体" w:cs="宋体"/>
          <w:snapToGrid w:val="0"/>
          <w:color w:val="auto"/>
          <w:sz w:val="24"/>
          <w:szCs w:val="24"/>
          <w:highlight w:val="none"/>
        </w:rPr>
      </w:pPr>
    </w:p>
    <w:p w14:paraId="214B069B">
      <w:pPr>
        <w:snapToGrid w:val="0"/>
        <w:spacing w:line="360" w:lineRule="auto"/>
        <w:rPr>
          <w:rFonts w:hint="default" w:ascii="宋体" w:hAnsi="宋体" w:eastAsia="宋体" w:cs="宋体"/>
          <w:snapToGrid w:val="0"/>
          <w:color w:val="auto"/>
          <w:sz w:val="24"/>
          <w:szCs w:val="24"/>
          <w:highlight w:val="none"/>
          <w:u w:val="single"/>
        </w:rPr>
      </w:pPr>
      <w:r>
        <w:rPr>
          <w:rFonts w:ascii="宋体" w:hAnsi="宋体" w:eastAsia="宋体" w:cs="宋体"/>
          <w:snapToGrid w:val="0"/>
          <w:color w:val="auto"/>
          <w:sz w:val="24"/>
          <w:szCs w:val="24"/>
          <w:highlight w:val="none"/>
        </w:rPr>
        <w:t>投标人名称（电子签章）：</w:t>
      </w:r>
      <w:r>
        <w:rPr>
          <w:rFonts w:ascii="宋体" w:hAnsi="宋体" w:eastAsia="宋体" w:cs="宋体"/>
          <w:snapToGrid w:val="0"/>
          <w:color w:val="auto"/>
          <w:sz w:val="24"/>
          <w:szCs w:val="24"/>
          <w:highlight w:val="none"/>
          <w:u w:val="single"/>
        </w:rPr>
        <w:t xml:space="preserve">                      </w:t>
      </w:r>
    </w:p>
    <w:p w14:paraId="408A7D48">
      <w:pPr>
        <w:snapToGrid w:val="0"/>
        <w:spacing w:line="360" w:lineRule="auto"/>
        <w:rPr>
          <w:rFonts w:hint="default" w:ascii="宋体" w:hAnsi="宋体" w:eastAsia="宋体" w:cs="宋体"/>
          <w:snapToGrid w:val="0"/>
          <w:color w:val="auto"/>
          <w:sz w:val="24"/>
          <w:szCs w:val="24"/>
          <w:highlight w:val="none"/>
          <w:u w:val="single"/>
        </w:rPr>
      </w:pPr>
      <w:r>
        <w:rPr>
          <w:rFonts w:ascii="宋体" w:hAnsi="宋体" w:eastAsia="宋体" w:cs="宋体"/>
          <w:snapToGrid w:val="0"/>
          <w:color w:val="auto"/>
          <w:sz w:val="24"/>
          <w:szCs w:val="24"/>
          <w:highlight w:val="none"/>
        </w:rPr>
        <w:t xml:space="preserve">法定代表人或授权代表（签字或盖章）:___________                                   </w:t>
      </w:r>
    </w:p>
    <w:p w14:paraId="06982CBC">
      <w:pPr>
        <w:adjustRightInd w:val="0"/>
        <w:spacing w:line="360" w:lineRule="auto"/>
        <w:jc w:val="left"/>
        <w:rPr>
          <w:rFonts w:hint="default"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日期：</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年</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月</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日</w:t>
      </w:r>
    </w:p>
    <w:p w14:paraId="2E184815">
      <w:pPr>
        <w:spacing w:line="240" w:lineRule="auto"/>
        <w:rPr>
          <w:rFonts w:hint="default" w:ascii="宋体" w:hAnsi="宋体" w:eastAsia="宋体" w:cs="宋体"/>
          <w:color w:val="auto"/>
          <w:sz w:val="32"/>
          <w:highlight w:val="none"/>
        </w:rPr>
      </w:pPr>
      <w:r>
        <w:rPr>
          <w:rFonts w:ascii="宋体" w:hAnsi="宋体" w:eastAsia="宋体" w:cs="宋体"/>
          <w:snapToGrid w:val="0"/>
          <w:color w:val="auto"/>
          <w:sz w:val="24"/>
          <w:szCs w:val="24"/>
          <w:highlight w:val="none"/>
        </w:rPr>
        <w:t xml:space="preserve">                                    </w:t>
      </w:r>
    </w:p>
    <w:p w14:paraId="41F35345">
      <w:pPr>
        <w:adjustRightInd w:val="0"/>
        <w:spacing w:line="318" w:lineRule="atLeast"/>
        <w:ind w:left="369" w:firstLine="369"/>
        <w:textAlignment w:val="baseline"/>
        <w:rPr>
          <w:rFonts w:hint="default" w:ascii="宋体" w:hAnsi="宋体" w:eastAsia="宋体" w:cs="宋体"/>
          <w:color w:val="auto"/>
          <w:sz w:val="32"/>
          <w:highlight w:val="none"/>
        </w:rPr>
      </w:pPr>
    </w:p>
    <w:p w14:paraId="0B909ECA">
      <w:pPr>
        <w:snapToGrid w:val="0"/>
        <w:spacing w:beforeLines="50" w:after="50" w:line="240" w:lineRule="auto"/>
        <w:rPr>
          <w:rFonts w:hint="default" w:ascii="宋体" w:hAnsi="宋体" w:eastAsia="宋体" w:cs="宋体"/>
          <w:b/>
          <w:color w:val="auto"/>
          <w:sz w:val="24"/>
          <w:szCs w:val="24"/>
          <w:highlight w:val="none"/>
        </w:rPr>
      </w:pPr>
    </w:p>
    <w:p w14:paraId="74E0E44F">
      <w:pPr>
        <w:snapToGrid w:val="0"/>
        <w:spacing w:beforeLines="50" w:after="50" w:line="240" w:lineRule="auto"/>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rPr>
        <w:t>4.技术响应表格式：</w:t>
      </w:r>
    </w:p>
    <w:p w14:paraId="69A43B5F">
      <w:pPr>
        <w:spacing w:line="360" w:lineRule="auto"/>
        <w:jc w:val="center"/>
        <w:rPr>
          <w:rFonts w:hint="default" w:ascii="宋体" w:hAnsi="宋体" w:eastAsia="宋体" w:cs="宋体"/>
          <w:color w:val="auto"/>
          <w:sz w:val="24"/>
          <w:highlight w:val="none"/>
        </w:rPr>
      </w:pPr>
      <w:r>
        <w:rPr>
          <w:rFonts w:ascii="宋体" w:hAnsi="宋体" w:eastAsia="宋体" w:cs="宋体"/>
          <w:b/>
          <w:bCs/>
          <w:color w:val="auto"/>
          <w:sz w:val="30"/>
          <w:szCs w:val="30"/>
          <w:highlight w:val="none"/>
        </w:rPr>
        <w:t xml:space="preserve"> 技术响应表</w:t>
      </w:r>
    </w:p>
    <w:tbl>
      <w:tblPr>
        <w:tblStyle w:val="29"/>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4197E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tcPr>
          <w:p w14:paraId="3A83955A">
            <w:pPr>
              <w:snapToGrid w:val="0"/>
              <w:spacing w:before="295" w:after="295" w:line="240" w:lineRule="auto"/>
              <w:jc w:val="center"/>
              <w:outlineLvl w:val="0"/>
              <w:rPr>
                <w:rFonts w:hint="default" w:ascii="宋体" w:hAnsi="宋体" w:eastAsia="宋体" w:cs="宋体"/>
                <w:color w:val="auto"/>
                <w:sz w:val="24"/>
                <w:szCs w:val="21"/>
                <w:highlight w:val="none"/>
              </w:rPr>
            </w:pPr>
            <w:r>
              <w:rPr>
                <w:rFonts w:ascii="宋体" w:hAnsi="宋体" w:eastAsia="宋体" w:cs="宋体"/>
                <w:color w:val="auto"/>
                <w:sz w:val="24"/>
                <w:szCs w:val="21"/>
                <w:highlight w:val="none"/>
              </w:rPr>
              <w:t>招标文件要求</w:t>
            </w:r>
          </w:p>
        </w:tc>
        <w:tc>
          <w:tcPr>
            <w:tcW w:w="3784" w:type="dxa"/>
            <w:gridSpan w:val="2"/>
            <w:tcBorders>
              <w:top w:val="single" w:color="auto" w:sz="4" w:space="0"/>
              <w:left w:val="single" w:color="auto" w:sz="4" w:space="0"/>
              <w:bottom w:val="single" w:color="auto" w:sz="4" w:space="0"/>
              <w:right w:val="single" w:color="auto" w:sz="4" w:space="0"/>
            </w:tcBorders>
          </w:tcPr>
          <w:p w14:paraId="025DFD74">
            <w:pPr>
              <w:snapToGrid w:val="0"/>
              <w:spacing w:before="295" w:after="295" w:line="240" w:lineRule="auto"/>
              <w:jc w:val="center"/>
              <w:outlineLvl w:val="0"/>
              <w:rPr>
                <w:rFonts w:hint="default" w:ascii="宋体" w:hAnsi="宋体" w:eastAsia="宋体" w:cs="宋体"/>
                <w:color w:val="auto"/>
                <w:sz w:val="24"/>
                <w:szCs w:val="21"/>
                <w:highlight w:val="none"/>
              </w:rPr>
            </w:pPr>
            <w:r>
              <w:rPr>
                <w:rFonts w:ascii="宋体" w:hAnsi="宋体" w:eastAsia="宋体" w:cs="宋体"/>
                <w:color w:val="auto"/>
                <w:sz w:val="24"/>
                <w:szCs w:val="21"/>
                <w:highlight w:val="none"/>
              </w:rPr>
              <w:t>投标文件响应</w:t>
            </w:r>
          </w:p>
        </w:tc>
        <w:tc>
          <w:tcPr>
            <w:tcW w:w="1436" w:type="dxa"/>
            <w:vMerge w:val="restart"/>
            <w:tcBorders>
              <w:top w:val="single" w:color="auto" w:sz="4" w:space="0"/>
              <w:left w:val="single" w:color="auto" w:sz="4" w:space="0"/>
              <w:bottom w:val="single" w:color="auto" w:sz="4" w:space="0"/>
              <w:right w:val="single" w:color="auto" w:sz="4" w:space="0"/>
            </w:tcBorders>
            <w:vAlign w:val="center"/>
          </w:tcPr>
          <w:p w14:paraId="035EE576">
            <w:pPr>
              <w:snapToGrid w:val="0"/>
              <w:spacing w:before="295" w:after="295" w:line="240" w:lineRule="auto"/>
              <w:jc w:val="center"/>
              <w:outlineLvl w:val="0"/>
              <w:rPr>
                <w:rFonts w:hint="default" w:ascii="宋体" w:hAnsi="宋体" w:eastAsia="宋体" w:cs="宋体"/>
                <w:color w:val="auto"/>
                <w:sz w:val="24"/>
                <w:szCs w:val="21"/>
                <w:highlight w:val="none"/>
              </w:rPr>
            </w:pPr>
            <w:r>
              <w:rPr>
                <w:rFonts w:ascii="宋体" w:hAnsi="宋体" w:eastAsia="宋体" w:cs="宋体"/>
                <w:color w:val="auto"/>
                <w:sz w:val="24"/>
                <w:szCs w:val="21"/>
                <w:highlight w:val="none"/>
              </w:rPr>
              <w:t>偏离情况</w:t>
            </w:r>
          </w:p>
        </w:tc>
      </w:tr>
      <w:tr w14:paraId="2900C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vAlign w:val="center"/>
          </w:tcPr>
          <w:p w14:paraId="312C3E7B">
            <w:pPr>
              <w:snapToGrid w:val="0"/>
              <w:spacing w:before="295" w:after="295" w:line="240" w:lineRule="auto"/>
              <w:ind w:firstLine="240" w:firstLineChars="100"/>
              <w:jc w:val="center"/>
              <w:outlineLvl w:val="0"/>
              <w:rPr>
                <w:rFonts w:hint="default" w:ascii="宋体" w:hAnsi="宋体" w:eastAsia="宋体" w:cs="宋体"/>
                <w:color w:val="auto"/>
                <w:sz w:val="24"/>
                <w:szCs w:val="21"/>
                <w:highlight w:val="none"/>
              </w:rPr>
            </w:pPr>
            <w:r>
              <w:rPr>
                <w:rFonts w:ascii="宋体" w:hAnsi="宋体" w:eastAsia="宋体" w:cs="宋体"/>
                <w:color w:val="auto"/>
                <w:sz w:val="24"/>
                <w:szCs w:val="21"/>
                <w:highlight w:val="none"/>
              </w:rPr>
              <w:t>项目</w:t>
            </w:r>
          </w:p>
        </w:tc>
        <w:tc>
          <w:tcPr>
            <w:tcW w:w="2160" w:type="dxa"/>
            <w:tcBorders>
              <w:top w:val="single" w:color="auto" w:sz="4" w:space="0"/>
              <w:left w:val="single" w:color="auto" w:sz="4" w:space="0"/>
              <w:bottom w:val="single" w:color="auto" w:sz="4" w:space="0"/>
              <w:right w:val="single" w:color="auto" w:sz="4" w:space="0"/>
            </w:tcBorders>
            <w:vAlign w:val="center"/>
          </w:tcPr>
          <w:p w14:paraId="0C47FB5C">
            <w:pPr>
              <w:snapToGrid w:val="0"/>
              <w:spacing w:before="295" w:after="295" w:line="240" w:lineRule="auto"/>
              <w:ind w:firstLine="240" w:firstLineChars="100"/>
              <w:jc w:val="center"/>
              <w:outlineLvl w:val="0"/>
              <w:rPr>
                <w:rFonts w:hint="default" w:ascii="宋体" w:hAnsi="宋体" w:eastAsia="宋体" w:cs="宋体"/>
                <w:color w:val="auto"/>
                <w:sz w:val="24"/>
                <w:szCs w:val="21"/>
                <w:highlight w:val="none"/>
              </w:rPr>
            </w:pPr>
            <w:r>
              <w:rPr>
                <w:rFonts w:ascii="宋体" w:hAnsi="宋体" w:eastAsia="宋体" w:cs="宋体"/>
                <w:color w:val="auto"/>
                <w:sz w:val="24"/>
                <w:szCs w:val="21"/>
                <w:highlight w:val="none"/>
              </w:rPr>
              <w:t>要求</w:t>
            </w:r>
          </w:p>
        </w:tc>
        <w:tc>
          <w:tcPr>
            <w:tcW w:w="1976" w:type="dxa"/>
            <w:tcBorders>
              <w:top w:val="single" w:color="auto" w:sz="4" w:space="0"/>
              <w:left w:val="single" w:color="auto" w:sz="4" w:space="0"/>
              <w:bottom w:val="single" w:color="auto" w:sz="4" w:space="0"/>
              <w:right w:val="single" w:color="auto" w:sz="4" w:space="0"/>
            </w:tcBorders>
            <w:vAlign w:val="center"/>
          </w:tcPr>
          <w:p w14:paraId="52F78BF9">
            <w:pPr>
              <w:snapToGrid w:val="0"/>
              <w:spacing w:before="295" w:after="295" w:line="240" w:lineRule="auto"/>
              <w:jc w:val="center"/>
              <w:outlineLvl w:val="0"/>
              <w:rPr>
                <w:rFonts w:hint="default" w:ascii="宋体" w:hAnsi="宋体" w:eastAsia="宋体" w:cs="宋体"/>
                <w:color w:val="auto"/>
                <w:sz w:val="24"/>
                <w:szCs w:val="21"/>
                <w:highlight w:val="none"/>
              </w:rPr>
            </w:pPr>
            <w:r>
              <w:rPr>
                <w:rFonts w:ascii="宋体" w:hAnsi="宋体" w:eastAsia="宋体" w:cs="宋体"/>
                <w:color w:val="auto"/>
                <w:sz w:val="24"/>
                <w:szCs w:val="21"/>
                <w:highlight w:val="none"/>
              </w:rPr>
              <w:t>项目</w:t>
            </w:r>
          </w:p>
        </w:tc>
        <w:tc>
          <w:tcPr>
            <w:tcW w:w="1808" w:type="dxa"/>
            <w:tcBorders>
              <w:top w:val="single" w:color="auto" w:sz="4" w:space="0"/>
              <w:left w:val="single" w:color="auto" w:sz="4" w:space="0"/>
              <w:bottom w:val="single" w:color="auto" w:sz="4" w:space="0"/>
              <w:right w:val="single" w:color="auto" w:sz="4" w:space="0"/>
            </w:tcBorders>
            <w:vAlign w:val="center"/>
          </w:tcPr>
          <w:p w14:paraId="4934EB86">
            <w:pPr>
              <w:snapToGrid w:val="0"/>
              <w:spacing w:before="295" w:after="295" w:line="240" w:lineRule="auto"/>
              <w:jc w:val="center"/>
              <w:outlineLvl w:val="0"/>
              <w:rPr>
                <w:rFonts w:hint="default" w:ascii="宋体" w:hAnsi="宋体" w:eastAsia="宋体" w:cs="宋体"/>
                <w:color w:val="auto"/>
                <w:sz w:val="24"/>
                <w:szCs w:val="21"/>
                <w:highlight w:val="none"/>
              </w:rPr>
            </w:pPr>
            <w:r>
              <w:rPr>
                <w:rFonts w:ascii="宋体" w:hAnsi="宋体" w:eastAsia="宋体" w:cs="宋体"/>
                <w:color w:val="auto"/>
                <w:szCs w:val="21"/>
                <w:highlight w:val="none"/>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vAlign w:val="center"/>
          </w:tcPr>
          <w:p w14:paraId="0CDCF51D">
            <w:pPr>
              <w:widowControl/>
              <w:spacing w:line="240" w:lineRule="auto"/>
              <w:jc w:val="left"/>
              <w:rPr>
                <w:rFonts w:hint="default" w:ascii="宋体" w:hAnsi="宋体" w:eastAsia="宋体" w:cs="宋体"/>
                <w:color w:val="auto"/>
                <w:sz w:val="24"/>
                <w:szCs w:val="21"/>
                <w:highlight w:val="none"/>
              </w:rPr>
            </w:pPr>
          </w:p>
        </w:tc>
      </w:tr>
      <w:tr w14:paraId="18FBB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0F2C1408">
            <w:pPr>
              <w:snapToGrid w:val="0"/>
              <w:spacing w:before="295" w:after="295" w:line="240" w:lineRule="auto"/>
              <w:outlineLvl w:val="0"/>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详见招标文件第三部分采购需求</w:t>
            </w:r>
          </w:p>
        </w:tc>
        <w:tc>
          <w:tcPr>
            <w:tcW w:w="2160" w:type="dxa"/>
            <w:tcBorders>
              <w:top w:val="single" w:color="auto" w:sz="4" w:space="0"/>
              <w:left w:val="single" w:color="auto" w:sz="4" w:space="0"/>
              <w:bottom w:val="single" w:color="auto" w:sz="4" w:space="0"/>
              <w:right w:val="single" w:color="auto" w:sz="4" w:space="0"/>
            </w:tcBorders>
            <w:vAlign w:val="center"/>
          </w:tcPr>
          <w:p w14:paraId="49E7A803">
            <w:pPr>
              <w:snapToGrid w:val="0"/>
              <w:spacing w:before="295" w:after="295" w:line="240" w:lineRule="auto"/>
              <w:outlineLvl w:val="0"/>
              <w:rPr>
                <w:rFonts w:hint="default" w:ascii="宋体" w:hAnsi="宋体" w:eastAsia="宋体" w:cs="宋体"/>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tcPr>
          <w:p w14:paraId="431D79FC">
            <w:pPr>
              <w:snapToGrid w:val="0"/>
              <w:spacing w:before="295" w:after="295" w:line="240" w:lineRule="auto"/>
              <w:outlineLvl w:val="0"/>
              <w:rPr>
                <w:rFonts w:hint="default" w:ascii="宋体" w:hAnsi="宋体" w:eastAsia="宋体" w:cs="宋体"/>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tcPr>
          <w:p w14:paraId="17F95E1B">
            <w:pPr>
              <w:snapToGrid w:val="0"/>
              <w:spacing w:before="295" w:after="295" w:line="240" w:lineRule="auto"/>
              <w:outlineLvl w:val="0"/>
              <w:rPr>
                <w:rFonts w:hint="default" w:ascii="宋体" w:hAnsi="宋体" w:eastAsia="宋体" w:cs="宋体"/>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tcPr>
          <w:p w14:paraId="4829521D">
            <w:pPr>
              <w:snapToGrid w:val="0"/>
              <w:spacing w:before="295" w:after="295" w:line="240" w:lineRule="auto"/>
              <w:outlineLvl w:val="0"/>
              <w:rPr>
                <w:rFonts w:hint="default" w:ascii="宋体" w:hAnsi="宋体" w:eastAsia="宋体" w:cs="宋体"/>
                <w:color w:val="auto"/>
                <w:sz w:val="24"/>
                <w:szCs w:val="24"/>
                <w:highlight w:val="none"/>
              </w:rPr>
            </w:pPr>
          </w:p>
        </w:tc>
      </w:tr>
      <w:tr w14:paraId="38F39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54CF1E79">
            <w:pPr>
              <w:widowControl/>
              <w:spacing w:line="240" w:lineRule="auto"/>
              <w:rPr>
                <w:rFonts w:hint="default" w:ascii="宋体" w:hAnsi="宋体" w:eastAsia="宋体" w:cs="宋体"/>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79FC5944">
            <w:pPr>
              <w:snapToGrid w:val="0"/>
              <w:spacing w:before="295" w:after="295" w:line="240" w:lineRule="auto"/>
              <w:outlineLvl w:val="0"/>
              <w:rPr>
                <w:rFonts w:hint="default" w:ascii="宋体" w:hAnsi="宋体" w:eastAsia="宋体" w:cs="宋体"/>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2482F585">
            <w:pPr>
              <w:snapToGrid w:val="0"/>
              <w:spacing w:before="295" w:after="295" w:line="240" w:lineRule="auto"/>
              <w:outlineLvl w:val="0"/>
              <w:rPr>
                <w:rFonts w:hint="default" w:ascii="宋体" w:hAnsi="宋体" w:eastAsia="宋体" w:cs="宋体"/>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75470C00">
            <w:pPr>
              <w:snapToGrid w:val="0"/>
              <w:spacing w:before="295" w:after="295" w:line="240" w:lineRule="auto"/>
              <w:outlineLvl w:val="0"/>
              <w:rPr>
                <w:rFonts w:hint="default" w:ascii="宋体" w:hAnsi="宋体" w:eastAsia="宋体" w:cs="宋体"/>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5E9612EA">
            <w:pPr>
              <w:snapToGrid w:val="0"/>
              <w:spacing w:before="295" w:after="295" w:line="240" w:lineRule="auto"/>
              <w:outlineLvl w:val="0"/>
              <w:rPr>
                <w:rFonts w:hint="default" w:ascii="宋体" w:hAnsi="宋体" w:eastAsia="宋体" w:cs="宋体"/>
                <w:color w:val="auto"/>
                <w:sz w:val="24"/>
                <w:szCs w:val="21"/>
                <w:highlight w:val="none"/>
              </w:rPr>
            </w:pPr>
          </w:p>
        </w:tc>
      </w:tr>
      <w:tr w14:paraId="6ADB3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0F57D543">
            <w:pPr>
              <w:widowControl/>
              <w:spacing w:line="240" w:lineRule="auto"/>
              <w:rPr>
                <w:rFonts w:hint="default" w:ascii="宋体" w:hAnsi="宋体" w:eastAsia="宋体" w:cs="宋体"/>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65E1E567">
            <w:pPr>
              <w:snapToGrid w:val="0"/>
              <w:spacing w:before="295" w:after="295" w:line="240" w:lineRule="auto"/>
              <w:rPr>
                <w:rFonts w:hint="default" w:ascii="宋体" w:hAnsi="宋体" w:eastAsia="宋体" w:cs="宋体"/>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736909B4">
            <w:pPr>
              <w:snapToGrid w:val="0"/>
              <w:spacing w:before="295" w:after="295" w:line="240" w:lineRule="auto"/>
              <w:rPr>
                <w:rFonts w:hint="default" w:ascii="宋体" w:hAnsi="宋体" w:eastAsia="宋体" w:cs="宋体"/>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1295BD90">
            <w:pPr>
              <w:snapToGrid w:val="0"/>
              <w:spacing w:before="295" w:after="295" w:line="240" w:lineRule="auto"/>
              <w:rPr>
                <w:rFonts w:hint="default" w:ascii="宋体" w:hAnsi="宋体" w:eastAsia="宋体" w:cs="宋体"/>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2E9CB065">
            <w:pPr>
              <w:snapToGrid w:val="0"/>
              <w:spacing w:before="295" w:after="295" w:line="240" w:lineRule="auto"/>
              <w:rPr>
                <w:rFonts w:hint="default" w:ascii="宋体" w:hAnsi="宋体" w:eastAsia="宋体" w:cs="宋体"/>
                <w:color w:val="auto"/>
                <w:sz w:val="24"/>
                <w:szCs w:val="21"/>
                <w:highlight w:val="none"/>
              </w:rPr>
            </w:pPr>
          </w:p>
        </w:tc>
      </w:tr>
      <w:tr w14:paraId="19163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0757D83C">
            <w:pPr>
              <w:widowControl/>
              <w:spacing w:line="240" w:lineRule="auto"/>
              <w:rPr>
                <w:rFonts w:hint="default" w:ascii="宋体" w:hAnsi="宋体" w:eastAsia="宋体" w:cs="宋体"/>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4C871613">
            <w:pPr>
              <w:snapToGrid w:val="0"/>
              <w:spacing w:before="295" w:after="295" w:line="240" w:lineRule="auto"/>
              <w:outlineLvl w:val="0"/>
              <w:rPr>
                <w:rFonts w:hint="default" w:ascii="宋体" w:hAnsi="宋体" w:eastAsia="宋体" w:cs="宋体"/>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2D5CF232">
            <w:pPr>
              <w:snapToGrid w:val="0"/>
              <w:spacing w:before="295" w:after="295" w:line="240" w:lineRule="auto"/>
              <w:outlineLvl w:val="0"/>
              <w:rPr>
                <w:rFonts w:hint="default" w:ascii="宋体" w:hAnsi="宋体" w:eastAsia="宋体" w:cs="宋体"/>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0C8D2FD2">
            <w:pPr>
              <w:snapToGrid w:val="0"/>
              <w:spacing w:before="295" w:after="295" w:line="240" w:lineRule="auto"/>
              <w:outlineLvl w:val="0"/>
              <w:rPr>
                <w:rFonts w:hint="default" w:ascii="宋体" w:hAnsi="宋体" w:eastAsia="宋体" w:cs="宋体"/>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1A5A8138">
            <w:pPr>
              <w:snapToGrid w:val="0"/>
              <w:spacing w:before="295" w:after="295" w:line="240" w:lineRule="auto"/>
              <w:outlineLvl w:val="0"/>
              <w:rPr>
                <w:rFonts w:hint="default" w:ascii="宋体" w:hAnsi="宋体" w:eastAsia="宋体" w:cs="宋体"/>
                <w:color w:val="auto"/>
                <w:sz w:val="24"/>
                <w:szCs w:val="21"/>
                <w:highlight w:val="none"/>
              </w:rPr>
            </w:pPr>
          </w:p>
        </w:tc>
      </w:tr>
      <w:tr w14:paraId="23729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0CCC9D11">
            <w:pPr>
              <w:snapToGrid w:val="0"/>
              <w:spacing w:before="295" w:after="295" w:line="240" w:lineRule="auto"/>
              <w:outlineLvl w:val="0"/>
              <w:rPr>
                <w:rFonts w:hint="default" w:ascii="宋体" w:hAnsi="宋体" w:eastAsia="宋体" w:cs="宋体"/>
                <w:color w:val="auto"/>
                <w:sz w:val="24"/>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59EF9450">
            <w:pPr>
              <w:snapToGrid w:val="0"/>
              <w:spacing w:before="295" w:after="295" w:line="240" w:lineRule="auto"/>
              <w:outlineLvl w:val="0"/>
              <w:rPr>
                <w:rFonts w:hint="default" w:ascii="宋体" w:hAnsi="宋体" w:eastAsia="宋体" w:cs="宋体"/>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350B465C">
            <w:pPr>
              <w:snapToGrid w:val="0"/>
              <w:spacing w:before="295" w:after="295" w:line="240" w:lineRule="auto"/>
              <w:outlineLvl w:val="0"/>
              <w:rPr>
                <w:rFonts w:hint="default" w:ascii="宋体" w:hAnsi="宋体" w:eastAsia="宋体" w:cs="宋体"/>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589E5BC9">
            <w:pPr>
              <w:snapToGrid w:val="0"/>
              <w:spacing w:before="295" w:after="295" w:line="240" w:lineRule="auto"/>
              <w:outlineLvl w:val="0"/>
              <w:rPr>
                <w:rFonts w:hint="default" w:ascii="宋体" w:hAnsi="宋体" w:eastAsia="宋体" w:cs="宋体"/>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1247EA39">
            <w:pPr>
              <w:snapToGrid w:val="0"/>
              <w:spacing w:before="295" w:after="295" w:line="240" w:lineRule="auto"/>
              <w:outlineLvl w:val="0"/>
              <w:rPr>
                <w:rFonts w:hint="default" w:ascii="宋体" w:hAnsi="宋体" w:eastAsia="宋体" w:cs="宋体"/>
                <w:color w:val="auto"/>
                <w:sz w:val="24"/>
                <w:szCs w:val="21"/>
                <w:highlight w:val="none"/>
              </w:rPr>
            </w:pPr>
          </w:p>
        </w:tc>
      </w:tr>
      <w:tr w14:paraId="3AB23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tcPr>
          <w:p w14:paraId="7A1EF01A">
            <w:pPr>
              <w:snapToGrid w:val="0"/>
              <w:spacing w:before="295" w:after="295" w:line="240" w:lineRule="auto"/>
              <w:outlineLvl w:val="0"/>
              <w:rPr>
                <w:rFonts w:hint="default" w:ascii="宋体" w:hAnsi="宋体" w:eastAsia="宋体" w:cs="宋体"/>
                <w:color w:val="auto"/>
                <w:sz w:val="24"/>
                <w:szCs w:val="21"/>
                <w:highlight w:val="none"/>
              </w:rPr>
            </w:pPr>
            <w:r>
              <w:rPr>
                <w:rFonts w:ascii="宋体" w:hAnsi="宋体" w:eastAsia="宋体" w:cs="宋体"/>
                <w:color w:val="auto"/>
                <w:sz w:val="24"/>
                <w:szCs w:val="21"/>
                <w:highlight w:val="none"/>
              </w:rPr>
              <w:t>......</w:t>
            </w:r>
          </w:p>
        </w:tc>
        <w:tc>
          <w:tcPr>
            <w:tcW w:w="2160" w:type="dxa"/>
            <w:tcBorders>
              <w:top w:val="single" w:color="auto" w:sz="4" w:space="0"/>
              <w:left w:val="single" w:color="auto" w:sz="4" w:space="0"/>
              <w:bottom w:val="single" w:color="auto" w:sz="4" w:space="0"/>
              <w:right w:val="single" w:color="auto" w:sz="4" w:space="0"/>
            </w:tcBorders>
          </w:tcPr>
          <w:p w14:paraId="715766A5">
            <w:pPr>
              <w:snapToGrid w:val="0"/>
              <w:spacing w:before="295" w:after="295" w:line="240" w:lineRule="auto"/>
              <w:outlineLvl w:val="0"/>
              <w:rPr>
                <w:rFonts w:hint="default" w:ascii="宋体" w:hAnsi="宋体" w:eastAsia="宋体" w:cs="宋体"/>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tcPr>
          <w:p w14:paraId="2C8B7F9D">
            <w:pPr>
              <w:snapToGrid w:val="0"/>
              <w:spacing w:before="295" w:after="295" w:line="240" w:lineRule="auto"/>
              <w:outlineLvl w:val="0"/>
              <w:rPr>
                <w:rFonts w:hint="default" w:ascii="宋体" w:hAnsi="宋体" w:eastAsia="宋体" w:cs="宋体"/>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tcPr>
          <w:p w14:paraId="2F88F586">
            <w:pPr>
              <w:snapToGrid w:val="0"/>
              <w:spacing w:before="295" w:after="295" w:line="240" w:lineRule="auto"/>
              <w:outlineLvl w:val="0"/>
              <w:rPr>
                <w:rFonts w:hint="default" w:ascii="宋体" w:hAnsi="宋体" w:eastAsia="宋体" w:cs="宋体"/>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tcPr>
          <w:p w14:paraId="5EA9F68F">
            <w:pPr>
              <w:snapToGrid w:val="0"/>
              <w:spacing w:before="295" w:after="295" w:line="240" w:lineRule="auto"/>
              <w:outlineLvl w:val="0"/>
              <w:rPr>
                <w:rFonts w:hint="default" w:ascii="宋体" w:hAnsi="宋体" w:eastAsia="宋体" w:cs="宋体"/>
                <w:color w:val="auto"/>
                <w:sz w:val="24"/>
                <w:szCs w:val="24"/>
                <w:highlight w:val="none"/>
              </w:rPr>
            </w:pPr>
          </w:p>
        </w:tc>
      </w:tr>
    </w:tbl>
    <w:p w14:paraId="66E930CF">
      <w:pPr>
        <w:snapToGrid w:val="0"/>
        <w:spacing w:before="50" w:after="50" w:line="360" w:lineRule="auto"/>
        <w:rPr>
          <w:rFonts w:hint="default" w:ascii="宋体" w:hAnsi="宋体" w:eastAsia="宋体" w:cs="宋体"/>
          <w:color w:val="auto"/>
          <w:sz w:val="24"/>
          <w:szCs w:val="24"/>
          <w:highlight w:val="none"/>
        </w:rPr>
      </w:pPr>
      <w:r>
        <w:rPr>
          <w:rFonts w:ascii="宋体" w:hAnsi="宋体" w:eastAsia="宋体" w:cs="宋体"/>
          <w:color w:val="auto"/>
          <w:szCs w:val="24"/>
          <w:highlight w:val="none"/>
        </w:rPr>
        <w:t>注：</w:t>
      </w:r>
      <w:r>
        <w:rPr>
          <w:rFonts w:ascii="宋体" w:hAnsi="宋体" w:eastAsia="宋体" w:cs="宋体"/>
          <w:color w:val="auto"/>
          <w:sz w:val="24"/>
          <w:szCs w:val="24"/>
          <w:highlight w:val="none"/>
        </w:rPr>
        <w:t>1.列明招标文件的产品设备要求与投标文件对应响应，并说明偏离状况；</w:t>
      </w:r>
    </w:p>
    <w:p w14:paraId="7B93E2E8">
      <w:pPr>
        <w:snapToGrid w:val="0"/>
        <w:spacing w:before="50" w:after="50" w:line="360" w:lineRule="auto"/>
        <w:ind w:left="210"/>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2.无偏离应在本表空白处醒目地注明“无偏离”的字样。</w:t>
      </w:r>
    </w:p>
    <w:p w14:paraId="6C4FD342">
      <w:pPr>
        <w:snapToGrid w:val="0"/>
        <w:spacing w:before="50" w:after="50" w:line="360" w:lineRule="auto"/>
        <w:ind w:left="210"/>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3.如不填写，采购人将视为 “无偏离”。</w:t>
      </w:r>
    </w:p>
    <w:p w14:paraId="5D642B54">
      <w:pPr>
        <w:snapToGrid w:val="0"/>
        <w:spacing w:line="360" w:lineRule="auto"/>
        <w:rPr>
          <w:rFonts w:hint="default" w:ascii="宋体" w:hAnsi="宋体" w:eastAsia="宋体" w:cs="宋体"/>
          <w:snapToGrid w:val="0"/>
          <w:color w:val="auto"/>
          <w:sz w:val="24"/>
          <w:szCs w:val="24"/>
          <w:highlight w:val="none"/>
          <w:u w:val="single"/>
        </w:rPr>
      </w:pPr>
      <w:r>
        <w:rPr>
          <w:rFonts w:ascii="宋体" w:hAnsi="宋体" w:eastAsia="宋体" w:cs="宋体"/>
          <w:snapToGrid w:val="0"/>
          <w:color w:val="auto"/>
          <w:sz w:val="24"/>
          <w:szCs w:val="24"/>
          <w:highlight w:val="none"/>
        </w:rPr>
        <w:t>投标人名称（电子签章）：</w:t>
      </w:r>
      <w:r>
        <w:rPr>
          <w:rFonts w:ascii="宋体" w:hAnsi="宋体" w:eastAsia="宋体" w:cs="宋体"/>
          <w:snapToGrid w:val="0"/>
          <w:color w:val="auto"/>
          <w:sz w:val="24"/>
          <w:szCs w:val="24"/>
          <w:highlight w:val="none"/>
          <w:u w:val="single"/>
        </w:rPr>
        <w:t xml:space="preserve">                      </w:t>
      </w:r>
    </w:p>
    <w:p w14:paraId="386D2C6F">
      <w:pPr>
        <w:snapToGrid w:val="0"/>
        <w:spacing w:line="360" w:lineRule="auto"/>
        <w:rPr>
          <w:rFonts w:hint="default" w:ascii="宋体" w:hAnsi="宋体" w:eastAsia="宋体" w:cs="宋体"/>
          <w:snapToGrid w:val="0"/>
          <w:color w:val="auto"/>
          <w:sz w:val="24"/>
          <w:szCs w:val="24"/>
          <w:highlight w:val="none"/>
          <w:u w:val="single"/>
        </w:rPr>
      </w:pPr>
      <w:r>
        <w:rPr>
          <w:rFonts w:ascii="宋体" w:hAnsi="宋体" w:eastAsia="宋体" w:cs="宋体"/>
          <w:snapToGrid w:val="0"/>
          <w:color w:val="auto"/>
          <w:sz w:val="24"/>
          <w:szCs w:val="24"/>
          <w:highlight w:val="none"/>
        </w:rPr>
        <w:t xml:space="preserve">法定代表人或授权代表（签字或盖章）:___________                                   </w:t>
      </w:r>
    </w:p>
    <w:p w14:paraId="1090CF75">
      <w:pPr>
        <w:adjustRightInd w:val="0"/>
        <w:spacing w:line="360" w:lineRule="auto"/>
        <w:jc w:val="left"/>
        <w:rPr>
          <w:rFonts w:hint="default"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日期：</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年</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月</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日</w:t>
      </w:r>
    </w:p>
    <w:p w14:paraId="111BD5E6">
      <w:pPr>
        <w:spacing w:line="360" w:lineRule="auto"/>
        <w:rPr>
          <w:rFonts w:hint="default" w:ascii="宋体" w:hAnsi="宋体" w:eastAsia="宋体" w:cs="宋体"/>
          <w:b/>
          <w:bCs/>
          <w:color w:val="auto"/>
          <w:kern w:val="0"/>
          <w:sz w:val="24"/>
          <w:szCs w:val="24"/>
          <w:highlight w:val="none"/>
        </w:rPr>
      </w:pPr>
    </w:p>
    <w:p w14:paraId="263A53AA">
      <w:pPr>
        <w:spacing w:line="360" w:lineRule="auto"/>
        <w:rPr>
          <w:rFonts w:hint="default" w:ascii="宋体" w:hAnsi="宋体" w:eastAsia="宋体" w:cs="宋体"/>
          <w:b/>
          <w:bCs/>
          <w:color w:val="auto"/>
          <w:kern w:val="0"/>
          <w:sz w:val="24"/>
          <w:szCs w:val="24"/>
          <w:highlight w:val="none"/>
        </w:rPr>
      </w:pPr>
    </w:p>
    <w:p w14:paraId="6C223531">
      <w:pPr>
        <w:snapToGrid w:val="0"/>
        <w:spacing w:before="50" w:afterLines="50" w:line="360" w:lineRule="auto"/>
        <w:jc w:val="left"/>
        <w:rPr>
          <w:rFonts w:hint="default" w:ascii="宋体" w:hAnsi="宋体" w:eastAsia="宋体" w:cs="宋体"/>
          <w:b/>
          <w:color w:val="auto"/>
          <w:sz w:val="24"/>
          <w:szCs w:val="24"/>
          <w:highlight w:val="none"/>
        </w:rPr>
      </w:pPr>
    </w:p>
    <w:p w14:paraId="2BC6C907">
      <w:pPr>
        <w:snapToGrid w:val="0"/>
        <w:spacing w:beforeLines="50" w:after="50" w:line="240" w:lineRule="auto"/>
        <w:rPr>
          <w:rFonts w:hint="default" w:asciiTheme="minorEastAsia" w:hAnsiTheme="minorEastAsia" w:eastAsiaTheme="minorEastAsia" w:cstheme="minorEastAsia"/>
          <w:b/>
          <w:color w:val="auto"/>
          <w:sz w:val="24"/>
          <w:szCs w:val="24"/>
          <w:highlight w:val="none"/>
        </w:rPr>
      </w:pPr>
      <w:r>
        <w:rPr>
          <w:rFonts w:ascii="宋体" w:hAnsi="宋体" w:eastAsia="宋体" w:cs="宋体"/>
          <w:b/>
          <w:color w:val="auto"/>
          <w:sz w:val="24"/>
          <w:szCs w:val="24"/>
          <w:highlight w:val="none"/>
        </w:rPr>
        <w:t>5.</w:t>
      </w:r>
      <w:r>
        <w:rPr>
          <w:rFonts w:asciiTheme="minorEastAsia" w:hAnsiTheme="minorEastAsia" w:eastAsiaTheme="minorEastAsia" w:cstheme="minorEastAsia"/>
          <w:b/>
          <w:color w:val="auto"/>
          <w:sz w:val="24"/>
          <w:szCs w:val="24"/>
          <w:highlight w:val="none"/>
        </w:rPr>
        <w:t>技术商务分自评表</w:t>
      </w:r>
    </w:p>
    <w:p w14:paraId="61C85274">
      <w:pPr>
        <w:spacing w:line="360" w:lineRule="auto"/>
        <w:jc w:val="center"/>
        <w:rPr>
          <w:rFonts w:hint="default" w:ascii="宋体" w:hAnsi="宋体" w:eastAsia="宋体" w:cs="宋体"/>
          <w:b/>
          <w:bCs/>
          <w:color w:val="auto"/>
          <w:sz w:val="30"/>
          <w:szCs w:val="30"/>
          <w:highlight w:val="none"/>
        </w:rPr>
      </w:pPr>
      <w:r>
        <w:rPr>
          <w:rFonts w:ascii="宋体" w:hAnsi="宋体" w:eastAsia="宋体" w:cs="宋体"/>
          <w:b/>
          <w:bCs/>
          <w:color w:val="auto"/>
          <w:sz w:val="30"/>
          <w:szCs w:val="30"/>
          <w:highlight w:val="none"/>
        </w:rPr>
        <w:t>商务技术分自评表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7A2A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center"/>
          </w:tcPr>
          <w:p w14:paraId="2DA594CA">
            <w:pPr>
              <w:snapToGrid w:val="0"/>
              <w:spacing w:line="240" w:lineRule="auto"/>
              <w:jc w:val="center"/>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序号</w:t>
            </w:r>
          </w:p>
        </w:tc>
        <w:tc>
          <w:tcPr>
            <w:tcW w:w="2064" w:type="dxa"/>
            <w:vAlign w:val="center"/>
          </w:tcPr>
          <w:p w14:paraId="72630FD1">
            <w:pPr>
              <w:snapToGrid w:val="0"/>
              <w:spacing w:line="240" w:lineRule="auto"/>
              <w:jc w:val="center"/>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评审项目</w:t>
            </w:r>
          </w:p>
        </w:tc>
        <w:tc>
          <w:tcPr>
            <w:tcW w:w="3668" w:type="dxa"/>
            <w:vAlign w:val="center"/>
          </w:tcPr>
          <w:p w14:paraId="4AD28F9B">
            <w:pPr>
              <w:snapToGrid w:val="0"/>
              <w:spacing w:line="240" w:lineRule="auto"/>
              <w:jc w:val="center"/>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评分内容</w:t>
            </w:r>
          </w:p>
        </w:tc>
        <w:tc>
          <w:tcPr>
            <w:tcW w:w="1481" w:type="dxa"/>
            <w:vAlign w:val="center"/>
          </w:tcPr>
          <w:p w14:paraId="5FEF0D08">
            <w:pPr>
              <w:snapToGrid w:val="0"/>
              <w:spacing w:line="240" w:lineRule="auto"/>
              <w:jc w:val="center"/>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自评</w:t>
            </w:r>
          </w:p>
          <w:p w14:paraId="09F22954">
            <w:pPr>
              <w:snapToGrid w:val="0"/>
              <w:spacing w:line="240" w:lineRule="auto"/>
              <w:jc w:val="center"/>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分值</w:t>
            </w:r>
          </w:p>
        </w:tc>
        <w:tc>
          <w:tcPr>
            <w:tcW w:w="1245" w:type="dxa"/>
            <w:vAlign w:val="center"/>
          </w:tcPr>
          <w:p w14:paraId="6BFF01C7">
            <w:pPr>
              <w:snapToGrid w:val="0"/>
              <w:spacing w:line="240" w:lineRule="auto"/>
              <w:jc w:val="center"/>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对应</w:t>
            </w:r>
          </w:p>
          <w:p w14:paraId="2B7A977E">
            <w:pPr>
              <w:snapToGrid w:val="0"/>
              <w:spacing w:line="240" w:lineRule="auto"/>
              <w:jc w:val="center"/>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页码</w:t>
            </w:r>
          </w:p>
        </w:tc>
      </w:tr>
      <w:tr w14:paraId="570C8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7E6C0CA">
            <w:pPr>
              <w:snapToGrid w:val="0"/>
              <w:spacing w:line="360" w:lineRule="auto"/>
              <w:jc w:val="center"/>
              <w:rPr>
                <w:rFonts w:hint="default" w:ascii="宋体" w:hAnsi="宋体" w:cs="Courier New"/>
                <w:color w:val="auto"/>
                <w:kern w:val="0"/>
                <w:sz w:val="24"/>
                <w:szCs w:val="24"/>
                <w:highlight w:val="none"/>
              </w:rPr>
            </w:pPr>
          </w:p>
        </w:tc>
        <w:tc>
          <w:tcPr>
            <w:tcW w:w="2064" w:type="dxa"/>
          </w:tcPr>
          <w:p w14:paraId="3601F4EC">
            <w:pPr>
              <w:snapToGrid w:val="0"/>
              <w:spacing w:line="360" w:lineRule="auto"/>
              <w:jc w:val="center"/>
              <w:rPr>
                <w:rFonts w:hint="default" w:ascii="宋体" w:hAnsi="宋体" w:cs="Courier New"/>
                <w:color w:val="auto"/>
                <w:kern w:val="0"/>
                <w:sz w:val="24"/>
                <w:szCs w:val="24"/>
                <w:highlight w:val="none"/>
              </w:rPr>
            </w:pPr>
          </w:p>
        </w:tc>
        <w:tc>
          <w:tcPr>
            <w:tcW w:w="3668" w:type="dxa"/>
          </w:tcPr>
          <w:p w14:paraId="5D1B039D">
            <w:pPr>
              <w:snapToGrid w:val="0"/>
              <w:spacing w:line="360" w:lineRule="auto"/>
              <w:jc w:val="center"/>
              <w:rPr>
                <w:rFonts w:hint="default" w:ascii="宋体" w:hAnsi="宋体" w:cs="Courier New"/>
                <w:color w:val="auto"/>
                <w:kern w:val="0"/>
                <w:sz w:val="24"/>
                <w:szCs w:val="24"/>
                <w:highlight w:val="none"/>
              </w:rPr>
            </w:pPr>
          </w:p>
        </w:tc>
        <w:tc>
          <w:tcPr>
            <w:tcW w:w="1481" w:type="dxa"/>
          </w:tcPr>
          <w:p w14:paraId="167B3D0B">
            <w:pPr>
              <w:snapToGrid w:val="0"/>
              <w:spacing w:line="360" w:lineRule="auto"/>
              <w:jc w:val="center"/>
              <w:rPr>
                <w:rFonts w:hint="default" w:ascii="宋体" w:hAnsi="宋体" w:cs="Courier New"/>
                <w:color w:val="auto"/>
                <w:kern w:val="0"/>
                <w:sz w:val="24"/>
                <w:szCs w:val="24"/>
                <w:highlight w:val="none"/>
              </w:rPr>
            </w:pPr>
          </w:p>
        </w:tc>
        <w:tc>
          <w:tcPr>
            <w:tcW w:w="1245" w:type="dxa"/>
          </w:tcPr>
          <w:p w14:paraId="46C0F039">
            <w:pPr>
              <w:snapToGrid w:val="0"/>
              <w:spacing w:line="360" w:lineRule="auto"/>
              <w:jc w:val="center"/>
              <w:rPr>
                <w:rFonts w:hint="default" w:ascii="宋体" w:hAnsi="宋体" w:cs="Courier New"/>
                <w:color w:val="auto"/>
                <w:kern w:val="0"/>
                <w:sz w:val="24"/>
                <w:szCs w:val="24"/>
                <w:highlight w:val="none"/>
              </w:rPr>
            </w:pPr>
          </w:p>
        </w:tc>
      </w:tr>
      <w:tr w14:paraId="49DE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919FA90">
            <w:pPr>
              <w:snapToGrid w:val="0"/>
              <w:spacing w:line="360" w:lineRule="auto"/>
              <w:jc w:val="center"/>
              <w:rPr>
                <w:rFonts w:hint="default" w:ascii="宋体" w:hAnsi="宋体" w:cs="Courier New"/>
                <w:color w:val="auto"/>
                <w:kern w:val="0"/>
                <w:sz w:val="24"/>
                <w:szCs w:val="24"/>
                <w:highlight w:val="none"/>
              </w:rPr>
            </w:pPr>
          </w:p>
        </w:tc>
        <w:tc>
          <w:tcPr>
            <w:tcW w:w="2064" w:type="dxa"/>
          </w:tcPr>
          <w:p w14:paraId="774C71A2">
            <w:pPr>
              <w:snapToGrid w:val="0"/>
              <w:spacing w:line="360" w:lineRule="auto"/>
              <w:jc w:val="center"/>
              <w:rPr>
                <w:rFonts w:hint="default" w:ascii="宋体" w:hAnsi="宋体" w:cs="Courier New"/>
                <w:color w:val="auto"/>
                <w:kern w:val="0"/>
                <w:sz w:val="24"/>
                <w:szCs w:val="24"/>
                <w:highlight w:val="none"/>
              </w:rPr>
            </w:pPr>
          </w:p>
        </w:tc>
        <w:tc>
          <w:tcPr>
            <w:tcW w:w="3668" w:type="dxa"/>
          </w:tcPr>
          <w:p w14:paraId="264DE235">
            <w:pPr>
              <w:snapToGrid w:val="0"/>
              <w:spacing w:line="360" w:lineRule="auto"/>
              <w:jc w:val="center"/>
              <w:rPr>
                <w:rFonts w:hint="default" w:ascii="宋体" w:hAnsi="宋体" w:cs="Courier New"/>
                <w:color w:val="auto"/>
                <w:kern w:val="0"/>
                <w:sz w:val="24"/>
                <w:szCs w:val="24"/>
                <w:highlight w:val="none"/>
              </w:rPr>
            </w:pPr>
          </w:p>
        </w:tc>
        <w:tc>
          <w:tcPr>
            <w:tcW w:w="1481" w:type="dxa"/>
          </w:tcPr>
          <w:p w14:paraId="2E1C7496">
            <w:pPr>
              <w:snapToGrid w:val="0"/>
              <w:spacing w:line="360" w:lineRule="auto"/>
              <w:jc w:val="center"/>
              <w:rPr>
                <w:rFonts w:hint="default" w:ascii="宋体" w:hAnsi="宋体" w:cs="Courier New"/>
                <w:color w:val="auto"/>
                <w:kern w:val="0"/>
                <w:sz w:val="24"/>
                <w:szCs w:val="24"/>
                <w:highlight w:val="none"/>
              </w:rPr>
            </w:pPr>
          </w:p>
        </w:tc>
        <w:tc>
          <w:tcPr>
            <w:tcW w:w="1245" w:type="dxa"/>
          </w:tcPr>
          <w:p w14:paraId="4CA55F8D">
            <w:pPr>
              <w:snapToGrid w:val="0"/>
              <w:spacing w:line="360" w:lineRule="auto"/>
              <w:jc w:val="center"/>
              <w:rPr>
                <w:rFonts w:hint="default" w:ascii="宋体" w:hAnsi="宋体" w:cs="Courier New"/>
                <w:color w:val="auto"/>
                <w:kern w:val="0"/>
                <w:sz w:val="24"/>
                <w:szCs w:val="24"/>
                <w:highlight w:val="none"/>
              </w:rPr>
            </w:pPr>
          </w:p>
        </w:tc>
      </w:tr>
      <w:tr w14:paraId="6F52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803126D">
            <w:pPr>
              <w:snapToGrid w:val="0"/>
              <w:spacing w:line="360" w:lineRule="auto"/>
              <w:jc w:val="center"/>
              <w:rPr>
                <w:rFonts w:hint="default" w:ascii="宋体" w:hAnsi="宋体" w:cs="Courier New"/>
                <w:color w:val="auto"/>
                <w:kern w:val="0"/>
                <w:sz w:val="24"/>
                <w:szCs w:val="24"/>
                <w:highlight w:val="none"/>
              </w:rPr>
            </w:pPr>
          </w:p>
        </w:tc>
        <w:tc>
          <w:tcPr>
            <w:tcW w:w="2064" w:type="dxa"/>
          </w:tcPr>
          <w:p w14:paraId="72EBF925">
            <w:pPr>
              <w:snapToGrid w:val="0"/>
              <w:spacing w:line="360" w:lineRule="auto"/>
              <w:jc w:val="center"/>
              <w:rPr>
                <w:rFonts w:hint="default" w:ascii="宋体" w:hAnsi="宋体" w:cs="Courier New"/>
                <w:color w:val="auto"/>
                <w:kern w:val="0"/>
                <w:sz w:val="24"/>
                <w:szCs w:val="24"/>
                <w:highlight w:val="none"/>
              </w:rPr>
            </w:pPr>
          </w:p>
        </w:tc>
        <w:tc>
          <w:tcPr>
            <w:tcW w:w="3668" w:type="dxa"/>
          </w:tcPr>
          <w:p w14:paraId="324D53E9">
            <w:pPr>
              <w:snapToGrid w:val="0"/>
              <w:spacing w:line="360" w:lineRule="auto"/>
              <w:jc w:val="center"/>
              <w:rPr>
                <w:rFonts w:hint="default" w:ascii="宋体" w:hAnsi="宋体" w:cs="Courier New"/>
                <w:color w:val="auto"/>
                <w:kern w:val="0"/>
                <w:sz w:val="24"/>
                <w:szCs w:val="24"/>
                <w:highlight w:val="none"/>
              </w:rPr>
            </w:pPr>
          </w:p>
        </w:tc>
        <w:tc>
          <w:tcPr>
            <w:tcW w:w="1481" w:type="dxa"/>
          </w:tcPr>
          <w:p w14:paraId="75D232E5">
            <w:pPr>
              <w:snapToGrid w:val="0"/>
              <w:spacing w:line="360" w:lineRule="auto"/>
              <w:jc w:val="center"/>
              <w:rPr>
                <w:rFonts w:hint="default" w:ascii="宋体" w:hAnsi="宋体" w:cs="Courier New"/>
                <w:color w:val="auto"/>
                <w:kern w:val="0"/>
                <w:sz w:val="24"/>
                <w:szCs w:val="24"/>
                <w:highlight w:val="none"/>
              </w:rPr>
            </w:pPr>
          </w:p>
        </w:tc>
        <w:tc>
          <w:tcPr>
            <w:tcW w:w="1245" w:type="dxa"/>
          </w:tcPr>
          <w:p w14:paraId="020E928C">
            <w:pPr>
              <w:snapToGrid w:val="0"/>
              <w:spacing w:line="360" w:lineRule="auto"/>
              <w:jc w:val="center"/>
              <w:rPr>
                <w:rFonts w:hint="default" w:ascii="宋体" w:hAnsi="宋体" w:cs="Courier New"/>
                <w:color w:val="auto"/>
                <w:kern w:val="0"/>
                <w:sz w:val="24"/>
                <w:szCs w:val="24"/>
                <w:highlight w:val="none"/>
              </w:rPr>
            </w:pPr>
          </w:p>
        </w:tc>
      </w:tr>
      <w:tr w14:paraId="5B50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92BD514">
            <w:pPr>
              <w:snapToGrid w:val="0"/>
              <w:spacing w:line="360" w:lineRule="auto"/>
              <w:jc w:val="center"/>
              <w:rPr>
                <w:rFonts w:hint="default" w:ascii="宋体" w:hAnsi="宋体" w:cs="Courier New"/>
                <w:color w:val="auto"/>
                <w:kern w:val="0"/>
                <w:sz w:val="24"/>
                <w:szCs w:val="24"/>
                <w:highlight w:val="none"/>
              </w:rPr>
            </w:pPr>
          </w:p>
        </w:tc>
        <w:tc>
          <w:tcPr>
            <w:tcW w:w="2064" w:type="dxa"/>
          </w:tcPr>
          <w:p w14:paraId="3B03D540">
            <w:pPr>
              <w:snapToGrid w:val="0"/>
              <w:spacing w:line="360" w:lineRule="auto"/>
              <w:jc w:val="center"/>
              <w:rPr>
                <w:rFonts w:hint="default" w:ascii="宋体" w:hAnsi="宋体" w:cs="Courier New"/>
                <w:color w:val="auto"/>
                <w:kern w:val="0"/>
                <w:sz w:val="24"/>
                <w:szCs w:val="24"/>
                <w:highlight w:val="none"/>
              </w:rPr>
            </w:pPr>
          </w:p>
        </w:tc>
        <w:tc>
          <w:tcPr>
            <w:tcW w:w="3668" w:type="dxa"/>
          </w:tcPr>
          <w:p w14:paraId="3BA8BCE9">
            <w:pPr>
              <w:snapToGrid w:val="0"/>
              <w:spacing w:line="360" w:lineRule="auto"/>
              <w:jc w:val="center"/>
              <w:rPr>
                <w:rFonts w:hint="default" w:ascii="宋体" w:hAnsi="宋体" w:cs="Courier New"/>
                <w:color w:val="auto"/>
                <w:kern w:val="0"/>
                <w:sz w:val="24"/>
                <w:szCs w:val="24"/>
                <w:highlight w:val="none"/>
              </w:rPr>
            </w:pPr>
          </w:p>
        </w:tc>
        <w:tc>
          <w:tcPr>
            <w:tcW w:w="1481" w:type="dxa"/>
          </w:tcPr>
          <w:p w14:paraId="44A18C9A">
            <w:pPr>
              <w:snapToGrid w:val="0"/>
              <w:spacing w:line="360" w:lineRule="auto"/>
              <w:jc w:val="center"/>
              <w:rPr>
                <w:rFonts w:hint="default" w:ascii="宋体" w:hAnsi="宋体" w:cs="Courier New"/>
                <w:color w:val="auto"/>
                <w:kern w:val="0"/>
                <w:sz w:val="24"/>
                <w:szCs w:val="24"/>
                <w:highlight w:val="none"/>
              </w:rPr>
            </w:pPr>
          </w:p>
        </w:tc>
        <w:tc>
          <w:tcPr>
            <w:tcW w:w="1245" w:type="dxa"/>
          </w:tcPr>
          <w:p w14:paraId="599F1C43">
            <w:pPr>
              <w:snapToGrid w:val="0"/>
              <w:spacing w:line="360" w:lineRule="auto"/>
              <w:jc w:val="center"/>
              <w:rPr>
                <w:rFonts w:hint="default" w:ascii="宋体" w:hAnsi="宋体" w:cs="Courier New"/>
                <w:color w:val="auto"/>
                <w:kern w:val="0"/>
                <w:sz w:val="24"/>
                <w:szCs w:val="24"/>
                <w:highlight w:val="none"/>
              </w:rPr>
            </w:pPr>
          </w:p>
        </w:tc>
      </w:tr>
      <w:tr w14:paraId="00CB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00C9500">
            <w:pPr>
              <w:snapToGrid w:val="0"/>
              <w:spacing w:line="360" w:lineRule="auto"/>
              <w:jc w:val="center"/>
              <w:rPr>
                <w:rFonts w:hint="default" w:ascii="宋体" w:hAnsi="宋体" w:cs="Courier New"/>
                <w:color w:val="auto"/>
                <w:kern w:val="0"/>
                <w:sz w:val="24"/>
                <w:szCs w:val="24"/>
                <w:highlight w:val="none"/>
              </w:rPr>
            </w:pPr>
          </w:p>
        </w:tc>
        <w:tc>
          <w:tcPr>
            <w:tcW w:w="2064" w:type="dxa"/>
          </w:tcPr>
          <w:p w14:paraId="0EDF5ABA">
            <w:pPr>
              <w:snapToGrid w:val="0"/>
              <w:spacing w:line="360" w:lineRule="auto"/>
              <w:jc w:val="center"/>
              <w:rPr>
                <w:rFonts w:hint="default" w:ascii="宋体" w:hAnsi="宋体" w:cs="Courier New"/>
                <w:color w:val="auto"/>
                <w:kern w:val="0"/>
                <w:sz w:val="24"/>
                <w:szCs w:val="24"/>
                <w:highlight w:val="none"/>
              </w:rPr>
            </w:pPr>
          </w:p>
        </w:tc>
        <w:tc>
          <w:tcPr>
            <w:tcW w:w="3668" w:type="dxa"/>
          </w:tcPr>
          <w:p w14:paraId="5BDC3147">
            <w:pPr>
              <w:snapToGrid w:val="0"/>
              <w:spacing w:line="360" w:lineRule="auto"/>
              <w:jc w:val="center"/>
              <w:rPr>
                <w:rFonts w:hint="default" w:ascii="宋体" w:hAnsi="宋体" w:cs="Courier New"/>
                <w:color w:val="auto"/>
                <w:kern w:val="0"/>
                <w:sz w:val="24"/>
                <w:szCs w:val="24"/>
                <w:highlight w:val="none"/>
              </w:rPr>
            </w:pPr>
          </w:p>
        </w:tc>
        <w:tc>
          <w:tcPr>
            <w:tcW w:w="1481" w:type="dxa"/>
          </w:tcPr>
          <w:p w14:paraId="0FF369FC">
            <w:pPr>
              <w:snapToGrid w:val="0"/>
              <w:spacing w:line="360" w:lineRule="auto"/>
              <w:jc w:val="center"/>
              <w:rPr>
                <w:rFonts w:hint="default" w:ascii="宋体" w:hAnsi="宋体" w:cs="Courier New"/>
                <w:color w:val="auto"/>
                <w:kern w:val="0"/>
                <w:sz w:val="24"/>
                <w:szCs w:val="24"/>
                <w:highlight w:val="none"/>
              </w:rPr>
            </w:pPr>
          </w:p>
        </w:tc>
        <w:tc>
          <w:tcPr>
            <w:tcW w:w="1245" w:type="dxa"/>
          </w:tcPr>
          <w:p w14:paraId="10D3FDB8">
            <w:pPr>
              <w:snapToGrid w:val="0"/>
              <w:spacing w:line="360" w:lineRule="auto"/>
              <w:jc w:val="center"/>
              <w:rPr>
                <w:rFonts w:hint="default" w:ascii="宋体" w:hAnsi="宋体" w:cs="Courier New"/>
                <w:color w:val="auto"/>
                <w:kern w:val="0"/>
                <w:sz w:val="24"/>
                <w:szCs w:val="24"/>
                <w:highlight w:val="none"/>
              </w:rPr>
            </w:pPr>
          </w:p>
        </w:tc>
      </w:tr>
      <w:tr w14:paraId="0F21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2A419CF">
            <w:pPr>
              <w:snapToGrid w:val="0"/>
              <w:spacing w:line="360" w:lineRule="auto"/>
              <w:jc w:val="center"/>
              <w:rPr>
                <w:rFonts w:hint="default" w:ascii="宋体" w:hAnsi="宋体" w:cs="Courier New"/>
                <w:color w:val="auto"/>
                <w:kern w:val="0"/>
                <w:sz w:val="24"/>
                <w:szCs w:val="24"/>
                <w:highlight w:val="none"/>
              </w:rPr>
            </w:pPr>
          </w:p>
        </w:tc>
        <w:tc>
          <w:tcPr>
            <w:tcW w:w="2064" w:type="dxa"/>
          </w:tcPr>
          <w:p w14:paraId="3F8F0D27">
            <w:pPr>
              <w:snapToGrid w:val="0"/>
              <w:spacing w:line="360" w:lineRule="auto"/>
              <w:jc w:val="center"/>
              <w:rPr>
                <w:rFonts w:hint="default" w:ascii="宋体" w:hAnsi="宋体" w:cs="Courier New"/>
                <w:color w:val="auto"/>
                <w:kern w:val="0"/>
                <w:sz w:val="24"/>
                <w:szCs w:val="24"/>
                <w:highlight w:val="none"/>
              </w:rPr>
            </w:pPr>
          </w:p>
        </w:tc>
        <w:tc>
          <w:tcPr>
            <w:tcW w:w="3668" w:type="dxa"/>
          </w:tcPr>
          <w:p w14:paraId="68D1D1E6">
            <w:pPr>
              <w:snapToGrid w:val="0"/>
              <w:spacing w:line="360" w:lineRule="auto"/>
              <w:jc w:val="center"/>
              <w:rPr>
                <w:rFonts w:hint="default" w:ascii="宋体" w:hAnsi="宋体" w:cs="Courier New"/>
                <w:color w:val="auto"/>
                <w:kern w:val="0"/>
                <w:sz w:val="24"/>
                <w:szCs w:val="24"/>
                <w:highlight w:val="none"/>
              </w:rPr>
            </w:pPr>
          </w:p>
        </w:tc>
        <w:tc>
          <w:tcPr>
            <w:tcW w:w="1481" w:type="dxa"/>
          </w:tcPr>
          <w:p w14:paraId="715D3806">
            <w:pPr>
              <w:snapToGrid w:val="0"/>
              <w:spacing w:line="360" w:lineRule="auto"/>
              <w:jc w:val="center"/>
              <w:rPr>
                <w:rFonts w:hint="default" w:ascii="宋体" w:hAnsi="宋体" w:cs="Courier New"/>
                <w:color w:val="auto"/>
                <w:kern w:val="0"/>
                <w:sz w:val="24"/>
                <w:szCs w:val="24"/>
                <w:highlight w:val="none"/>
              </w:rPr>
            </w:pPr>
          </w:p>
        </w:tc>
        <w:tc>
          <w:tcPr>
            <w:tcW w:w="1245" w:type="dxa"/>
          </w:tcPr>
          <w:p w14:paraId="3D57EA44">
            <w:pPr>
              <w:snapToGrid w:val="0"/>
              <w:spacing w:line="360" w:lineRule="auto"/>
              <w:jc w:val="center"/>
              <w:rPr>
                <w:rFonts w:hint="default" w:ascii="宋体" w:hAnsi="宋体" w:cs="Courier New"/>
                <w:color w:val="auto"/>
                <w:kern w:val="0"/>
                <w:sz w:val="24"/>
                <w:szCs w:val="24"/>
                <w:highlight w:val="none"/>
              </w:rPr>
            </w:pPr>
          </w:p>
        </w:tc>
      </w:tr>
      <w:tr w14:paraId="35A9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24F1058">
            <w:pPr>
              <w:snapToGrid w:val="0"/>
              <w:spacing w:line="360" w:lineRule="auto"/>
              <w:jc w:val="center"/>
              <w:rPr>
                <w:rFonts w:hint="default" w:ascii="宋体" w:hAnsi="宋体" w:cs="Courier New"/>
                <w:color w:val="auto"/>
                <w:kern w:val="0"/>
                <w:sz w:val="24"/>
                <w:szCs w:val="24"/>
                <w:highlight w:val="none"/>
              </w:rPr>
            </w:pPr>
          </w:p>
        </w:tc>
        <w:tc>
          <w:tcPr>
            <w:tcW w:w="2064" w:type="dxa"/>
          </w:tcPr>
          <w:p w14:paraId="00926E2E">
            <w:pPr>
              <w:snapToGrid w:val="0"/>
              <w:spacing w:line="360" w:lineRule="auto"/>
              <w:jc w:val="center"/>
              <w:rPr>
                <w:rFonts w:hint="default" w:ascii="宋体" w:hAnsi="宋体" w:cs="Courier New"/>
                <w:color w:val="auto"/>
                <w:kern w:val="0"/>
                <w:sz w:val="24"/>
                <w:szCs w:val="24"/>
                <w:highlight w:val="none"/>
              </w:rPr>
            </w:pPr>
          </w:p>
        </w:tc>
        <w:tc>
          <w:tcPr>
            <w:tcW w:w="3668" w:type="dxa"/>
          </w:tcPr>
          <w:p w14:paraId="5F3F29C3">
            <w:pPr>
              <w:snapToGrid w:val="0"/>
              <w:spacing w:line="360" w:lineRule="auto"/>
              <w:jc w:val="center"/>
              <w:rPr>
                <w:rFonts w:hint="default" w:ascii="宋体" w:hAnsi="宋体" w:cs="Courier New"/>
                <w:color w:val="auto"/>
                <w:kern w:val="0"/>
                <w:sz w:val="24"/>
                <w:szCs w:val="24"/>
                <w:highlight w:val="none"/>
              </w:rPr>
            </w:pPr>
          </w:p>
        </w:tc>
        <w:tc>
          <w:tcPr>
            <w:tcW w:w="1481" w:type="dxa"/>
          </w:tcPr>
          <w:p w14:paraId="5F9CEFF4">
            <w:pPr>
              <w:snapToGrid w:val="0"/>
              <w:spacing w:line="360" w:lineRule="auto"/>
              <w:jc w:val="center"/>
              <w:rPr>
                <w:rFonts w:hint="default" w:ascii="宋体" w:hAnsi="宋体" w:cs="Courier New"/>
                <w:color w:val="auto"/>
                <w:kern w:val="0"/>
                <w:sz w:val="24"/>
                <w:szCs w:val="24"/>
                <w:highlight w:val="none"/>
              </w:rPr>
            </w:pPr>
          </w:p>
        </w:tc>
        <w:tc>
          <w:tcPr>
            <w:tcW w:w="1245" w:type="dxa"/>
          </w:tcPr>
          <w:p w14:paraId="7C87DAA9">
            <w:pPr>
              <w:snapToGrid w:val="0"/>
              <w:spacing w:line="360" w:lineRule="auto"/>
              <w:jc w:val="center"/>
              <w:rPr>
                <w:rFonts w:hint="default" w:ascii="宋体" w:hAnsi="宋体" w:cs="Courier New"/>
                <w:color w:val="auto"/>
                <w:kern w:val="0"/>
                <w:sz w:val="24"/>
                <w:szCs w:val="24"/>
                <w:highlight w:val="none"/>
              </w:rPr>
            </w:pPr>
          </w:p>
        </w:tc>
      </w:tr>
      <w:tr w14:paraId="48A3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AF8DB32">
            <w:pPr>
              <w:snapToGrid w:val="0"/>
              <w:spacing w:line="360" w:lineRule="auto"/>
              <w:jc w:val="center"/>
              <w:rPr>
                <w:rFonts w:hint="default" w:ascii="宋体" w:hAnsi="宋体" w:cs="Courier New"/>
                <w:color w:val="auto"/>
                <w:kern w:val="0"/>
                <w:sz w:val="24"/>
                <w:szCs w:val="24"/>
                <w:highlight w:val="none"/>
              </w:rPr>
            </w:pPr>
          </w:p>
        </w:tc>
        <w:tc>
          <w:tcPr>
            <w:tcW w:w="2064" w:type="dxa"/>
          </w:tcPr>
          <w:p w14:paraId="596F72BA">
            <w:pPr>
              <w:snapToGrid w:val="0"/>
              <w:spacing w:line="360" w:lineRule="auto"/>
              <w:jc w:val="center"/>
              <w:rPr>
                <w:rFonts w:hint="default" w:ascii="宋体" w:hAnsi="宋体" w:cs="Courier New"/>
                <w:color w:val="auto"/>
                <w:kern w:val="0"/>
                <w:sz w:val="24"/>
                <w:szCs w:val="24"/>
                <w:highlight w:val="none"/>
              </w:rPr>
            </w:pPr>
          </w:p>
        </w:tc>
        <w:tc>
          <w:tcPr>
            <w:tcW w:w="3668" w:type="dxa"/>
          </w:tcPr>
          <w:p w14:paraId="6DDC5000">
            <w:pPr>
              <w:snapToGrid w:val="0"/>
              <w:spacing w:line="360" w:lineRule="auto"/>
              <w:jc w:val="center"/>
              <w:rPr>
                <w:rFonts w:hint="default" w:ascii="宋体" w:hAnsi="宋体" w:cs="Courier New"/>
                <w:color w:val="auto"/>
                <w:kern w:val="0"/>
                <w:sz w:val="24"/>
                <w:szCs w:val="24"/>
                <w:highlight w:val="none"/>
              </w:rPr>
            </w:pPr>
          </w:p>
        </w:tc>
        <w:tc>
          <w:tcPr>
            <w:tcW w:w="1481" w:type="dxa"/>
          </w:tcPr>
          <w:p w14:paraId="0B84C18B">
            <w:pPr>
              <w:snapToGrid w:val="0"/>
              <w:spacing w:line="360" w:lineRule="auto"/>
              <w:jc w:val="center"/>
              <w:rPr>
                <w:rFonts w:hint="default" w:ascii="宋体" w:hAnsi="宋体" w:cs="Courier New"/>
                <w:color w:val="auto"/>
                <w:kern w:val="0"/>
                <w:sz w:val="24"/>
                <w:szCs w:val="24"/>
                <w:highlight w:val="none"/>
              </w:rPr>
            </w:pPr>
          </w:p>
        </w:tc>
        <w:tc>
          <w:tcPr>
            <w:tcW w:w="1245" w:type="dxa"/>
          </w:tcPr>
          <w:p w14:paraId="55E9A24C">
            <w:pPr>
              <w:snapToGrid w:val="0"/>
              <w:spacing w:line="360" w:lineRule="auto"/>
              <w:jc w:val="center"/>
              <w:rPr>
                <w:rFonts w:hint="default" w:ascii="宋体" w:hAnsi="宋体" w:cs="Courier New"/>
                <w:color w:val="auto"/>
                <w:kern w:val="0"/>
                <w:sz w:val="24"/>
                <w:szCs w:val="24"/>
                <w:highlight w:val="none"/>
              </w:rPr>
            </w:pPr>
          </w:p>
        </w:tc>
      </w:tr>
      <w:tr w14:paraId="61B8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97E7FE9">
            <w:pPr>
              <w:snapToGrid w:val="0"/>
              <w:spacing w:line="360" w:lineRule="auto"/>
              <w:jc w:val="center"/>
              <w:rPr>
                <w:rFonts w:hint="default" w:ascii="宋体" w:hAnsi="宋体" w:cs="Courier New"/>
                <w:color w:val="auto"/>
                <w:kern w:val="0"/>
                <w:sz w:val="24"/>
                <w:szCs w:val="24"/>
                <w:highlight w:val="none"/>
              </w:rPr>
            </w:pPr>
          </w:p>
        </w:tc>
        <w:tc>
          <w:tcPr>
            <w:tcW w:w="2064" w:type="dxa"/>
          </w:tcPr>
          <w:p w14:paraId="10EA09EB">
            <w:pPr>
              <w:snapToGrid w:val="0"/>
              <w:spacing w:line="360" w:lineRule="auto"/>
              <w:jc w:val="center"/>
              <w:rPr>
                <w:rFonts w:hint="default" w:ascii="宋体" w:hAnsi="宋体" w:cs="Courier New"/>
                <w:color w:val="auto"/>
                <w:kern w:val="0"/>
                <w:sz w:val="24"/>
                <w:szCs w:val="24"/>
                <w:highlight w:val="none"/>
              </w:rPr>
            </w:pPr>
          </w:p>
        </w:tc>
        <w:tc>
          <w:tcPr>
            <w:tcW w:w="3668" w:type="dxa"/>
          </w:tcPr>
          <w:p w14:paraId="7916EAD7">
            <w:pPr>
              <w:snapToGrid w:val="0"/>
              <w:spacing w:line="360" w:lineRule="auto"/>
              <w:jc w:val="center"/>
              <w:rPr>
                <w:rFonts w:hint="default" w:ascii="宋体" w:hAnsi="宋体" w:cs="Courier New"/>
                <w:color w:val="auto"/>
                <w:kern w:val="0"/>
                <w:sz w:val="24"/>
                <w:szCs w:val="24"/>
                <w:highlight w:val="none"/>
              </w:rPr>
            </w:pPr>
          </w:p>
        </w:tc>
        <w:tc>
          <w:tcPr>
            <w:tcW w:w="1481" w:type="dxa"/>
          </w:tcPr>
          <w:p w14:paraId="688534F8">
            <w:pPr>
              <w:snapToGrid w:val="0"/>
              <w:spacing w:line="360" w:lineRule="auto"/>
              <w:jc w:val="center"/>
              <w:rPr>
                <w:rFonts w:hint="default" w:ascii="宋体" w:hAnsi="宋体" w:cs="Courier New"/>
                <w:color w:val="auto"/>
                <w:kern w:val="0"/>
                <w:sz w:val="24"/>
                <w:szCs w:val="24"/>
                <w:highlight w:val="none"/>
              </w:rPr>
            </w:pPr>
          </w:p>
        </w:tc>
        <w:tc>
          <w:tcPr>
            <w:tcW w:w="1245" w:type="dxa"/>
          </w:tcPr>
          <w:p w14:paraId="7115BBAD">
            <w:pPr>
              <w:snapToGrid w:val="0"/>
              <w:spacing w:line="360" w:lineRule="auto"/>
              <w:jc w:val="center"/>
              <w:rPr>
                <w:rFonts w:hint="default" w:ascii="宋体" w:hAnsi="宋体" w:cs="Courier New"/>
                <w:color w:val="auto"/>
                <w:kern w:val="0"/>
                <w:sz w:val="24"/>
                <w:szCs w:val="24"/>
                <w:highlight w:val="none"/>
              </w:rPr>
            </w:pPr>
          </w:p>
        </w:tc>
      </w:tr>
      <w:tr w14:paraId="5F35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0AC4C74">
            <w:pPr>
              <w:snapToGrid w:val="0"/>
              <w:spacing w:line="360" w:lineRule="auto"/>
              <w:jc w:val="center"/>
              <w:rPr>
                <w:rFonts w:hint="default" w:ascii="宋体" w:hAnsi="宋体" w:cs="Courier New"/>
                <w:color w:val="auto"/>
                <w:kern w:val="0"/>
                <w:sz w:val="24"/>
                <w:szCs w:val="24"/>
                <w:highlight w:val="none"/>
              </w:rPr>
            </w:pPr>
          </w:p>
        </w:tc>
        <w:tc>
          <w:tcPr>
            <w:tcW w:w="2064" w:type="dxa"/>
          </w:tcPr>
          <w:p w14:paraId="0F3F64A4">
            <w:pPr>
              <w:snapToGrid w:val="0"/>
              <w:spacing w:line="360" w:lineRule="auto"/>
              <w:jc w:val="center"/>
              <w:rPr>
                <w:rFonts w:hint="default" w:ascii="宋体" w:hAnsi="宋体" w:cs="Courier New"/>
                <w:color w:val="auto"/>
                <w:kern w:val="0"/>
                <w:sz w:val="24"/>
                <w:szCs w:val="24"/>
                <w:highlight w:val="none"/>
              </w:rPr>
            </w:pPr>
          </w:p>
        </w:tc>
        <w:tc>
          <w:tcPr>
            <w:tcW w:w="3668" w:type="dxa"/>
          </w:tcPr>
          <w:p w14:paraId="2CEAD577">
            <w:pPr>
              <w:snapToGrid w:val="0"/>
              <w:spacing w:line="360" w:lineRule="auto"/>
              <w:jc w:val="center"/>
              <w:rPr>
                <w:rFonts w:hint="default" w:ascii="宋体" w:hAnsi="宋体" w:cs="Courier New"/>
                <w:color w:val="auto"/>
                <w:kern w:val="0"/>
                <w:sz w:val="24"/>
                <w:szCs w:val="24"/>
                <w:highlight w:val="none"/>
              </w:rPr>
            </w:pPr>
          </w:p>
        </w:tc>
        <w:tc>
          <w:tcPr>
            <w:tcW w:w="1481" w:type="dxa"/>
          </w:tcPr>
          <w:p w14:paraId="17E5A0B3">
            <w:pPr>
              <w:snapToGrid w:val="0"/>
              <w:spacing w:line="360" w:lineRule="auto"/>
              <w:jc w:val="center"/>
              <w:rPr>
                <w:rFonts w:hint="default" w:ascii="宋体" w:hAnsi="宋体" w:cs="Courier New"/>
                <w:color w:val="auto"/>
                <w:kern w:val="0"/>
                <w:sz w:val="24"/>
                <w:szCs w:val="24"/>
                <w:highlight w:val="none"/>
              </w:rPr>
            </w:pPr>
          </w:p>
        </w:tc>
        <w:tc>
          <w:tcPr>
            <w:tcW w:w="1245" w:type="dxa"/>
          </w:tcPr>
          <w:p w14:paraId="5B60A160">
            <w:pPr>
              <w:snapToGrid w:val="0"/>
              <w:spacing w:line="360" w:lineRule="auto"/>
              <w:jc w:val="center"/>
              <w:rPr>
                <w:rFonts w:hint="default" w:ascii="宋体" w:hAnsi="宋体" w:cs="Courier New"/>
                <w:color w:val="auto"/>
                <w:kern w:val="0"/>
                <w:sz w:val="24"/>
                <w:szCs w:val="24"/>
                <w:highlight w:val="none"/>
              </w:rPr>
            </w:pPr>
          </w:p>
        </w:tc>
      </w:tr>
      <w:tr w14:paraId="6C03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30FFCA6">
            <w:pPr>
              <w:snapToGrid w:val="0"/>
              <w:spacing w:line="360" w:lineRule="auto"/>
              <w:jc w:val="center"/>
              <w:rPr>
                <w:rFonts w:hint="default" w:ascii="宋体" w:hAnsi="宋体" w:cs="Courier New"/>
                <w:color w:val="auto"/>
                <w:kern w:val="0"/>
                <w:sz w:val="24"/>
                <w:szCs w:val="24"/>
                <w:highlight w:val="none"/>
              </w:rPr>
            </w:pPr>
          </w:p>
        </w:tc>
        <w:tc>
          <w:tcPr>
            <w:tcW w:w="2064" w:type="dxa"/>
          </w:tcPr>
          <w:p w14:paraId="02B8C2F8">
            <w:pPr>
              <w:snapToGrid w:val="0"/>
              <w:spacing w:line="360" w:lineRule="auto"/>
              <w:jc w:val="center"/>
              <w:rPr>
                <w:rFonts w:hint="default" w:ascii="宋体" w:hAnsi="宋体" w:cs="Courier New"/>
                <w:color w:val="auto"/>
                <w:kern w:val="0"/>
                <w:sz w:val="24"/>
                <w:szCs w:val="24"/>
                <w:highlight w:val="none"/>
              </w:rPr>
            </w:pPr>
          </w:p>
        </w:tc>
        <w:tc>
          <w:tcPr>
            <w:tcW w:w="3668" w:type="dxa"/>
          </w:tcPr>
          <w:p w14:paraId="236441B9">
            <w:pPr>
              <w:snapToGrid w:val="0"/>
              <w:spacing w:line="360" w:lineRule="auto"/>
              <w:jc w:val="center"/>
              <w:rPr>
                <w:rFonts w:hint="default" w:ascii="宋体" w:hAnsi="宋体" w:cs="Courier New"/>
                <w:color w:val="auto"/>
                <w:kern w:val="0"/>
                <w:sz w:val="24"/>
                <w:szCs w:val="24"/>
                <w:highlight w:val="none"/>
              </w:rPr>
            </w:pPr>
          </w:p>
        </w:tc>
        <w:tc>
          <w:tcPr>
            <w:tcW w:w="1481" w:type="dxa"/>
          </w:tcPr>
          <w:p w14:paraId="7474A78E">
            <w:pPr>
              <w:snapToGrid w:val="0"/>
              <w:spacing w:line="360" w:lineRule="auto"/>
              <w:jc w:val="center"/>
              <w:rPr>
                <w:rFonts w:hint="default" w:ascii="宋体" w:hAnsi="宋体" w:cs="Courier New"/>
                <w:color w:val="auto"/>
                <w:kern w:val="0"/>
                <w:sz w:val="24"/>
                <w:szCs w:val="24"/>
                <w:highlight w:val="none"/>
              </w:rPr>
            </w:pPr>
          </w:p>
        </w:tc>
        <w:tc>
          <w:tcPr>
            <w:tcW w:w="1245" w:type="dxa"/>
          </w:tcPr>
          <w:p w14:paraId="273217F4">
            <w:pPr>
              <w:snapToGrid w:val="0"/>
              <w:spacing w:line="360" w:lineRule="auto"/>
              <w:jc w:val="center"/>
              <w:rPr>
                <w:rFonts w:hint="default" w:ascii="宋体" w:hAnsi="宋体" w:cs="Courier New"/>
                <w:color w:val="auto"/>
                <w:kern w:val="0"/>
                <w:sz w:val="24"/>
                <w:szCs w:val="24"/>
                <w:highlight w:val="none"/>
              </w:rPr>
            </w:pPr>
          </w:p>
        </w:tc>
      </w:tr>
      <w:tr w14:paraId="25B2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8A64B26">
            <w:pPr>
              <w:snapToGrid w:val="0"/>
              <w:spacing w:line="360" w:lineRule="auto"/>
              <w:jc w:val="center"/>
              <w:rPr>
                <w:rFonts w:hint="default" w:ascii="宋体" w:hAnsi="宋体" w:cs="Courier New"/>
                <w:color w:val="auto"/>
                <w:kern w:val="0"/>
                <w:sz w:val="24"/>
                <w:szCs w:val="24"/>
                <w:highlight w:val="none"/>
              </w:rPr>
            </w:pPr>
          </w:p>
        </w:tc>
        <w:tc>
          <w:tcPr>
            <w:tcW w:w="2064" w:type="dxa"/>
          </w:tcPr>
          <w:p w14:paraId="331FB7A6">
            <w:pPr>
              <w:snapToGrid w:val="0"/>
              <w:spacing w:line="360" w:lineRule="auto"/>
              <w:jc w:val="center"/>
              <w:rPr>
                <w:rFonts w:hint="default" w:ascii="宋体" w:hAnsi="宋体" w:cs="Courier New"/>
                <w:color w:val="auto"/>
                <w:kern w:val="0"/>
                <w:sz w:val="24"/>
                <w:szCs w:val="24"/>
                <w:highlight w:val="none"/>
              </w:rPr>
            </w:pPr>
          </w:p>
        </w:tc>
        <w:tc>
          <w:tcPr>
            <w:tcW w:w="3668" w:type="dxa"/>
          </w:tcPr>
          <w:p w14:paraId="78AC2AE5">
            <w:pPr>
              <w:snapToGrid w:val="0"/>
              <w:spacing w:line="360" w:lineRule="auto"/>
              <w:jc w:val="center"/>
              <w:rPr>
                <w:rFonts w:hint="default" w:ascii="宋体" w:hAnsi="宋体" w:cs="Courier New"/>
                <w:color w:val="auto"/>
                <w:kern w:val="0"/>
                <w:sz w:val="24"/>
                <w:szCs w:val="24"/>
                <w:highlight w:val="none"/>
              </w:rPr>
            </w:pPr>
          </w:p>
        </w:tc>
        <w:tc>
          <w:tcPr>
            <w:tcW w:w="1481" w:type="dxa"/>
          </w:tcPr>
          <w:p w14:paraId="5B430899">
            <w:pPr>
              <w:snapToGrid w:val="0"/>
              <w:spacing w:line="360" w:lineRule="auto"/>
              <w:jc w:val="center"/>
              <w:rPr>
                <w:rFonts w:hint="default" w:ascii="宋体" w:hAnsi="宋体" w:cs="Courier New"/>
                <w:color w:val="auto"/>
                <w:kern w:val="0"/>
                <w:sz w:val="24"/>
                <w:szCs w:val="24"/>
                <w:highlight w:val="none"/>
              </w:rPr>
            </w:pPr>
          </w:p>
        </w:tc>
        <w:tc>
          <w:tcPr>
            <w:tcW w:w="1245" w:type="dxa"/>
          </w:tcPr>
          <w:p w14:paraId="359D32FC">
            <w:pPr>
              <w:snapToGrid w:val="0"/>
              <w:spacing w:line="360" w:lineRule="auto"/>
              <w:jc w:val="center"/>
              <w:rPr>
                <w:rFonts w:hint="default" w:ascii="宋体" w:hAnsi="宋体" w:cs="Courier New"/>
                <w:color w:val="auto"/>
                <w:kern w:val="0"/>
                <w:sz w:val="24"/>
                <w:szCs w:val="24"/>
                <w:highlight w:val="none"/>
              </w:rPr>
            </w:pPr>
          </w:p>
        </w:tc>
      </w:tr>
      <w:tr w14:paraId="0445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70CE463">
            <w:pPr>
              <w:snapToGrid w:val="0"/>
              <w:spacing w:line="360" w:lineRule="auto"/>
              <w:jc w:val="center"/>
              <w:rPr>
                <w:rFonts w:hint="default" w:ascii="宋体" w:hAnsi="宋体" w:cs="Courier New"/>
                <w:color w:val="auto"/>
                <w:kern w:val="0"/>
                <w:sz w:val="24"/>
                <w:szCs w:val="24"/>
                <w:highlight w:val="none"/>
              </w:rPr>
            </w:pPr>
          </w:p>
        </w:tc>
        <w:tc>
          <w:tcPr>
            <w:tcW w:w="2064" w:type="dxa"/>
          </w:tcPr>
          <w:p w14:paraId="4D74B0F1">
            <w:pPr>
              <w:snapToGrid w:val="0"/>
              <w:spacing w:line="360" w:lineRule="auto"/>
              <w:jc w:val="center"/>
              <w:rPr>
                <w:rFonts w:hint="default" w:ascii="宋体" w:hAnsi="宋体" w:cs="Courier New"/>
                <w:color w:val="auto"/>
                <w:kern w:val="0"/>
                <w:sz w:val="24"/>
                <w:szCs w:val="24"/>
                <w:highlight w:val="none"/>
              </w:rPr>
            </w:pPr>
          </w:p>
        </w:tc>
        <w:tc>
          <w:tcPr>
            <w:tcW w:w="3668" w:type="dxa"/>
          </w:tcPr>
          <w:p w14:paraId="6FA3BD48">
            <w:pPr>
              <w:snapToGrid w:val="0"/>
              <w:spacing w:line="360" w:lineRule="auto"/>
              <w:jc w:val="center"/>
              <w:rPr>
                <w:rFonts w:hint="default" w:ascii="宋体" w:hAnsi="宋体" w:cs="Courier New"/>
                <w:color w:val="auto"/>
                <w:kern w:val="0"/>
                <w:sz w:val="24"/>
                <w:szCs w:val="24"/>
                <w:highlight w:val="none"/>
              </w:rPr>
            </w:pPr>
          </w:p>
        </w:tc>
        <w:tc>
          <w:tcPr>
            <w:tcW w:w="1481" w:type="dxa"/>
          </w:tcPr>
          <w:p w14:paraId="5421E751">
            <w:pPr>
              <w:snapToGrid w:val="0"/>
              <w:spacing w:line="360" w:lineRule="auto"/>
              <w:jc w:val="center"/>
              <w:rPr>
                <w:rFonts w:hint="default" w:ascii="宋体" w:hAnsi="宋体" w:cs="Courier New"/>
                <w:color w:val="auto"/>
                <w:kern w:val="0"/>
                <w:sz w:val="24"/>
                <w:szCs w:val="24"/>
                <w:highlight w:val="none"/>
              </w:rPr>
            </w:pPr>
          </w:p>
        </w:tc>
        <w:tc>
          <w:tcPr>
            <w:tcW w:w="1245" w:type="dxa"/>
          </w:tcPr>
          <w:p w14:paraId="1CD1DADC">
            <w:pPr>
              <w:snapToGrid w:val="0"/>
              <w:spacing w:line="360" w:lineRule="auto"/>
              <w:jc w:val="center"/>
              <w:rPr>
                <w:rFonts w:hint="default" w:ascii="宋体" w:hAnsi="宋体" w:cs="Courier New"/>
                <w:color w:val="auto"/>
                <w:kern w:val="0"/>
                <w:sz w:val="24"/>
                <w:szCs w:val="24"/>
                <w:highlight w:val="none"/>
              </w:rPr>
            </w:pPr>
          </w:p>
        </w:tc>
      </w:tr>
      <w:tr w14:paraId="51FE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6730DB2">
            <w:pPr>
              <w:snapToGrid w:val="0"/>
              <w:spacing w:line="360" w:lineRule="auto"/>
              <w:jc w:val="center"/>
              <w:rPr>
                <w:rFonts w:hint="default" w:ascii="宋体" w:hAnsi="宋体" w:cs="Courier New"/>
                <w:color w:val="auto"/>
                <w:kern w:val="0"/>
                <w:sz w:val="24"/>
                <w:szCs w:val="24"/>
                <w:highlight w:val="none"/>
              </w:rPr>
            </w:pPr>
          </w:p>
        </w:tc>
        <w:tc>
          <w:tcPr>
            <w:tcW w:w="2064" w:type="dxa"/>
          </w:tcPr>
          <w:p w14:paraId="77BF4D72">
            <w:pPr>
              <w:snapToGrid w:val="0"/>
              <w:spacing w:line="360" w:lineRule="auto"/>
              <w:jc w:val="center"/>
              <w:rPr>
                <w:rFonts w:hint="default" w:ascii="宋体" w:hAnsi="宋体" w:cs="Courier New"/>
                <w:color w:val="auto"/>
                <w:kern w:val="0"/>
                <w:sz w:val="24"/>
                <w:szCs w:val="24"/>
                <w:highlight w:val="none"/>
              </w:rPr>
            </w:pPr>
          </w:p>
        </w:tc>
        <w:tc>
          <w:tcPr>
            <w:tcW w:w="3668" w:type="dxa"/>
          </w:tcPr>
          <w:p w14:paraId="78CAFAF4">
            <w:pPr>
              <w:snapToGrid w:val="0"/>
              <w:spacing w:line="360" w:lineRule="auto"/>
              <w:jc w:val="center"/>
              <w:rPr>
                <w:rFonts w:hint="default" w:ascii="宋体" w:hAnsi="宋体" w:cs="Courier New"/>
                <w:color w:val="auto"/>
                <w:kern w:val="0"/>
                <w:sz w:val="24"/>
                <w:szCs w:val="24"/>
                <w:highlight w:val="none"/>
              </w:rPr>
            </w:pPr>
          </w:p>
        </w:tc>
        <w:tc>
          <w:tcPr>
            <w:tcW w:w="1481" w:type="dxa"/>
          </w:tcPr>
          <w:p w14:paraId="771C678F">
            <w:pPr>
              <w:snapToGrid w:val="0"/>
              <w:spacing w:line="360" w:lineRule="auto"/>
              <w:jc w:val="center"/>
              <w:rPr>
                <w:rFonts w:hint="default" w:ascii="宋体" w:hAnsi="宋体" w:cs="Courier New"/>
                <w:color w:val="auto"/>
                <w:kern w:val="0"/>
                <w:sz w:val="24"/>
                <w:szCs w:val="24"/>
                <w:highlight w:val="none"/>
              </w:rPr>
            </w:pPr>
          </w:p>
        </w:tc>
        <w:tc>
          <w:tcPr>
            <w:tcW w:w="1245" w:type="dxa"/>
          </w:tcPr>
          <w:p w14:paraId="275226FB">
            <w:pPr>
              <w:snapToGrid w:val="0"/>
              <w:spacing w:line="360" w:lineRule="auto"/>
              <w:jc w:val="center"/>
              <w:rPr>
                <w:rFonts w:hint="default" w:ascii="宋体" w:hAnsi="宋体" w:cs="Courier New"/>
                <w:color w:val="auto"/>
                <w:kern w:val="0"/>
                <w:sz w:val="24"/>
                <w:szCs w:val="24"/>
                <w:highlight w:val="none"/>
              </w:rPr>
            </w:pPr>
          </w:p>
        </w:tc>
      </w:tr>
      <w:tr w14:paraId="7E68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A93A335">
            <w:pPr>
              <w:snapToGrid w:val="0"/>
              <w:spacing w:line="360" w:lineRule="auto"/>
              <w:jc w:val="center"/>
              <w:rPr>
                <w:rFonts w:hint="default" w:ascii="宋体" w:hAnsi="宋体" w:cs="Courier New"/>
                <w:color w:val="auto"/>
                <w:kern w:val="0"/>
                <w:sz w:val="24"/>
                <w:szCs w:val="24"/>
                <w:highlight w:val="none"/>
              </w:rPr>
            </w:pPr>
          </w:p>
        </w:tc>
        <w:tc>
          <w:tcPr>
            <w:tcW w:w="2064" w:type="dxa"/>
          </w:tcPr>
          <w:p w14:paraId="4A4308EA">
            <w:pPr>
              <w:snapToGrid w:val="0"/>
              <w:spacing w:line="360" w:lineRule="auto"/>
              <w:jc w:val="center"/>
              <w:rPr>
                <w:rFonts w:hint="default" w:ascii="宋体" w:hAnsi="宋体" w:cs="Courier New"/>
                <w:color w:val="auto"/>
                <w:kern w:val="0"/>
                <w:sz w:val="24"/>
                <w:szCs w:val="24"/>
                <w:highlight w:val="none"/>
              </w:rPr>
            </w:pPr>
          </w:p>
        </w:tc>
        <w:tc>
          <w:tcPr>
            <w:tcW w:w="3668" w:type="dxa"/>
          </w:tcPr>
          <w:p w14:paraId="48DCB20D">
            <w:pPr>
              <w:snapToGrid w:val="0"/>
              <w:spacing w:line="360" w:lineRule="auto"/>
              <w:jc w:val="center"/>
              <w:rPr>
                <w:rFonts w:hint="default" w:ascii="宋体" w:hAnsi="宋体" w:cs="Courier New"/>
                <w:color w:val="auto"/>
                <w:kern w:val="0"/>
                <w:sz w:val="24"/>
                <w:szCs w:val="24"/>
                <w:highlight w:val="none"/>
              </w:rPr>
            </w:pPr>
          </w:p>
        </w:tc>
        <w:tc>
          <w:tcPr>
            <w:tcW w:w="1481" w:type="dxa"/>
          </w:tcPr>
          <w:p w14:paraId="7B9FD8BD">
            <w:pPr>
              <w:snapToGrid w:val="0"/>
              <w:spacing w:line="360" w:lineRule="auto"/>
              <w:jc w:val="center"/>
              <w:rPr>
                <w:rFonts w:hint="default" w:ascii="宋体" w:hAnsi="宋体" w:cs="Courier New"/>
                <w:color w:val="auto"/>
                <w:kern w:val="0"/>
                <w:sz w:val="24"/>
                <w:szCs w:val="24"/>
                <w:highlight w:val="none"/>
              </w:rPr>
            </w:pPr>
          </w:p>
        </w:tc>
        <w:tc>
          <w:tcPr>
            <w:tcW w:w="1245" w:type="dxa"/>
          </w:tcPr>
          <w:p w14:paraId="276A0C3E">
            <w:pPr>
              <w:snapToGrid w:val="0"/>
              <w:spacing w:line="360" w:lineRule="auto"/>
              <w:jc w:val="center"/>
              <w:rPr>
                <w:rFonts w:hint="default" w:ascii="宋体" w:hAnsi="宋体" w:cs="Courier New"/>
                <w:color w:val="auto"/>
                <w:kern w:val="0"/>
                <w:sz w:val="24"/>
                <w:szCs w:val="24"/>
                <w:highlight w:val="none"/>
              </w:rPr>
            </w:pPr>
          </w:p>
        </w:tc>
      </w:tr>
      <w:tr w14:paraId="4376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5F2176B">
            <w:pPr>
              <w:snapToGrid w:val="0"/>
              <w:spacing w:line="360" w:lineRule="auto"/>
              <w:jc w:val="center"/>
              <w:rPr>
                <w:rFonts w:hint="default" w:ascii="宋体" w:hAnsi="宋体" w:cs="Courier New"/>
                <w:color w:val="auto"/>
                <w:kern w:val="0"/>
                <w:sz w:val="24"/>
                <w:szCs w:val="24"/>
                <w:highlight w:val="none"/>
              </w:rPr>
            </w:pPr>
          </w:p>
        </w:tc>
        <w:tc>
          <w:tcPr>
            <w:tcW w:w="2064" w:type="dxa"/>
          </w:tcPr>
          <w:p w14:paraId="052A0BF9">
            <w:pPr>
              <w:snapToGrid w:val="0"/>
              <w:spacing w:line="360" w:lineRule="auto"/>
              <w:jc w:val="center"/>
              <w:rPr>
                <w:rFonts w:hint="default" w:ascii="宋体" w:hAnsi="宋体" w:cs="Courier New"/>
                <w:color w:val="auto"/>
                <w:kern w:val="0"/>
                <w:sz w:val="24"/>
                <w:szCs w:val="24"/>
                <w:highlight w:val="none"/>
              </w:rPr>
            </w:pPr>
          </w:p>
        </w:tc>
        <w:tc>
          <w:tcPr>
            <w:tcW w:w="3668" w:type="dxa"/>
          </w:tcPr>
          <w:p w14:paraId="471F9DCF">
            <w:pPr>
              <w:snapToGrid w:val="0"/>
              <w:spacing w:line="360" w:lineRule="auto"/>
              <w:jc w:val="center"/>
              <w:rPr>
                <w:rFonts w:hint="default" w:ascii="宋体" w:hAnsi="宋体" w:cs="Courier New"/>
                <w:color w:val="auto"/>
                <w:kern w:val="0"/>
                <w:sz w:val="24"/>
                <w:szCs w:val="24"/>
                <w:highlight w:val="none"/>
              </w:rPr>
            </w:pPr>
          </w:p>
        </w:tc>
        <w:tc>
          <w:tcPr>
            <w:tcW w:w="1481" w:type="dxa"/>
          </w:tcPr>
          <w:p w14:paraId="1EA4BD83">
            <w:pPr>
              <w:snapToGrid w:val="0"/>
              <w:spacing w:line="360" w:lineRule="auto"/>
              <w:jc w:val="center"/>
              <w:rPr>
                <w:rFonts w:hint="default" w:ascii="宋体" w:hAnsi="宋体" w:cs="Courier New"/>
                <w:color w:val="auto"/>
                <w:kern w:val="0"/>
                <w:sz w:val="24"/>
                <w:szCs w:val="24"/>
                <w:highlight w:val="none"/>
              </w:rPr>
            </w:pPr>
          </w:p>
        </w:tc>
        <w:tc>
          <w:tcPr>
            <w:tcW w:w="1245" w:type="dxa"/>
          </w:tcPr>
          <w:p w14:paraId="0585ACC3">
            <w:pPr>
              <w:snapToGrid w:val="0"/>
              <w:spacing w:line="360" w:lineRule="auto"/>
              <w:jc w:val="center"/>
              <w:rPr>
                <w:rFonts w:hint="default" w:ascii="宋体" w:hAnsi="宋体" w:cs="Courier New"/>
                <w:color w:val="auto"/>
                <w:kern w:val="0"/>
                <w:sz w:val="24"/>
                <w:szCs w:val="24"/>
                <w:highlight w:val="none"/>
              </w:rPr>
            </w:pPr>
          </w:p>
        </w:tc>
      </w:tr>
      <w:tr w14:paraId="01F2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BEF2C10">
            <w:pPr>
              <w:snapToGrid w:val="0"/>
              <w:spacing w:line="360" w:lineRule="auto"/>
              <w:jc w:val="center"/>
              <w:rPr>
                <w:rFonts w:hint="default" w:ascii="宋体" w:hAnsi="宋体" w:cs="Courier New"/>
                <w:color w:val="auto"/>
                <w:kern w:val="0"/>
                <w:sz w:val="24"/>
                <w:szCs w:val="24"/>
                <w:highlight w:val="none"/>
              </w:rPr>
            </w:pPr>
          </w:p>
        </w:tc>
        <w:tc>
          <w:tcPr>
            <w:tcW w:w="2064" w:type="dxa"/>
          </w:tcPr>
          <w:p w14:paraId="722DEDEA">
            <w:pPr>
              <w:snapToGrid w:val="0"/>
              <w:spacing w:line="360" w:lineRule="auto"/>
              <w:jc w:val="center"/>
              <w:rPr>
                <w:rFonts w:hint="default" w:ascii="宋体" w:hAnsi="宋体" w:cs="Courier New"/>
                <w:color w:val="auto"/>
                <w:kern w:val="0"/>
                <w:sz w:val="24"/>
                <w:szCs w:val="24"/>
                <w:highlight w:val="none"/>
              </w:rPr>
            </w:pPr>
          </w:p>
        </w:tc>
        <w:tc>
          <w:tcPr>
            <w:tcW w:w="3668" w:type="dxa"/>
          </w:tcPr>
          <w:p w14:paraId="7B1FA2DD">
            <w:pPr>
              <w:snapToGrid w:val="0"/>
              <w:spacing w:line="360" w:lineRule="auto"/>
              <w:jc w:val="center"/>
              <w:rPr>
                <w:rFonts w:hint="default" w:ascii="宋体" w:hAnsi="宋体" w:cs="Courier New"/>
                <w:color w:val="auto"/>
                <w:kern w:val="0"/>
                <w:sz w:val="24"/>
                <w:szCs w:val="24"/>
                <w:highlight w:val="none"/>
              </w:rPr>
            </w:pPr>
          </w:p>
        </w:tc>
        <w:tc>
          <w:tcPr>
            <w:tcW w:w="1481" w:type="dxa"/>
          </w:tcPr>
          <w:p w14:paraId="190A6BD6">
            <w:pPr>
              <w:snapToGrid w:val="0"/>
              <w:spacing w:line="360" w:lineRule="auto"/>
              <w:jc w:val="center"/>
              <w:rPr>
                <w:rFonts w:hint="default" w:ascii="宋体" w:hAnsi="宋体" w:cs="Courier New"/>
                <w:color w:val="auto"/>
                <w:kern w:val="0"/>
                <w:sz w:val="24"/>
                <w:szCs w:val="24"/>
                <w:highlight w:val="none"/>
              </w:rPr>
            </w:pPr>
          </w:p>
        </w:tc>
        <w:tc>
          <w:tcPr>
            <w:tcW w:w="1245" w:type="dxa"/>
          </w:tcPr>
          <w:p w14:paraId="6C8B50E8">
            <w:pPr>
              <w:snapToGrid w:val="0"/>
              <w:spacing w:line="360" w:lineRule="auto"/>
              <w:jc w:val="center"/>
              <w:rPr>
                <w:rFonts w:hint="default" w:ascii="宋体" w:hAnsi="宋体" w:cs="Courier New"/>
                <w:color w:val="auto"/>
                <w:kern w:val="0"/>
                <w:sz w:val="24"/>
                <w:szCs w:val="24"/>
                <w:highlight w:val="none"/>
              </w:rPr>
            </w:pPr>
          </w:p>
        </w:tc>
      </w:tr>
      <w:tr w14:paraId="7890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tcPr>
          <w:p w14:paraId="6C8B1B0B">
            <w:pPr>
              <w:snapToGrid w:val="0"/>
              <w:spacing w:line="360" w:lineRule="auto"/>
              <w:jc w:val="center"/>
              <w:rPr>
                <w:rFonts w:hint="default" w:ascii="宋体" w:hAnsi="宋体" w:cs="Courier New"/>
                <w:color w:val="auto"/>
                <w:kern w:val="0"/>
                <w:sz w:val="24"/>
                <w:szCs w:val="24"/>
                <w:highlight w:val="none"/>
              </w:rPr>
            </w:pPr>
          </w:p>
        </w:tc>
        <w:tc>
          <w:tcPr>
            <w:tcW w:w="2064" w:type="dxa"/>
          </w:tcPr>
          <w:p w14:paraId="06E80AF3">
            <w:pPr>
              <w:snapToGrid w:val="0"/>
              <w:spacing w:line="360" w:lineRule="auto"/>
              <w:jc w:val="center"/>
              <w:rPr>
                <w:rFonts w:hint="default" w:ascii="宋体" w:hAnsi="宋体" w:cs="Courier New"/>
                <w:color w:val="auto"/>
                <w:kern w:val="0"/>
                <w:sz w:val="24"/>
                <w:szCs w:val="24"/>
                <w:highlight w:val="none"/>
              </w:rPr>
            </w:pPr>
          </w:p>
        </w:tc>
        <w:tc>
          <w:tcPr>
            <w:tcW w:w="3668" w:type="dxa"/>
          </w:tcPr>
          <w:p w14:paraId="45806045">
            <w:pPr>
              <w:snapToGrid w:val="0"/>
              <w:spacing w:line="360" w:lineRule="auto"/>
              <w:jc w:val="center"/>
              <w:rPr>
                <w:rFonts w:hint="default" w:ascii="宋体" w:hAnsi="宋体" w:cs="Courier New"/>
                <w:color w:val="auto"/>
                <w:kern w:val="0"/>
                <w:sz w:val="24"/>
                <w:szCs w:val="24"/>
                <w:highlight w:val="none"/>
              </w:rPr>
            </w:pPr>
          </w:p>
        </w:tc>
        <w:tc>
          <w:tcPr>
            <w:tcW w:w="1481" w:type="dxa"/>
          </w:tcPr>
          <w:p w14:paraId="354F55FF">
            <w:pPr>
              <w:snapToGrid w:val="0"/>
              <w:spacing w:line="360" w:lineRule="auto"/>
              <w:jc w:val="center"/>
              <w:rPr>
                <w:rFonts w:hint="default" w:ascii="宋体" w:hAnsi="宋体" w:cs="Courier New"/>
                <w:color w:val="auto"/>
                <w:kern w:val="0"/>
                <w:sz w:val="24"/>
                <w:szCs w:val="24"/>
                <w:highlight w:val="none"/>
              </w:rPr>
            </w:pPr>
          </w:p>
        </w:tc>
        <w:tc>
          <w:tcPr>
            <w:tcW w:w="1245" w:type="dxa"/>
          </w:tcPr>
          <w:p w14:paraId="7634CDAB">
            <w:pPr>
              <w:snapToGrid w:val="0"/>
              <w:spacing w:line="360" w:lineRule="auto"/>
              <w:jc w:val="center"/>
              <w:rPr>
                <w:rFonts w:hint="default" w:ascii="宋体" w:hAnsi="宋体" w:cs="Courier New"/>
                <w:color w:val="auto"/>
                <w:kern w:val="0"/>
                <w:sz w:val="24"/>
                <w:szCs w:val="24"/>
                <w:highlight w:val="none"/>
              </w:rPr>
            </w:pPr>
          </w:p>
        </w:tc>
      </w:tr>
    </w:tbl>
    <w:p w14:paraId="6674E1E3">
      <w:pPr>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rPr>
        <w:br w:type="page"/>
      </w:r>
    </w:p>
    <w:p w14:paraId="457B8CDF">
      <w:pPr>
        <w:snapToGrid w:val="0"/>
        <w:spacing w:beforeLines="50" w:after="50" w:line="240" w:lineRule="auto"/>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rPr>
        <w:t>6.1投标单位项目负责人简历、专业职称、业绩表（格式）（如有）</w:t>
      </w:r>
    </w:p>
    <w:p w14:paraId="1C2A7D9F">
      <w:pPr>
        <w:spacing w:line="360" w:lineRule="auto"/>
        <w:jc w:val="center"/>
        <w:rPr>
          <w:rFonts w:hint="default" w:ascii="宋体" w:hAnsi="宋体" w:eastAsia="宋体" w:cs="宋体"/>
          <w:color w:val="auto"/>
          <w:szCs w:val="21"/>
          <w:highlight w:val="none"/>
        </w:rPr>
      </w:pPr>
      <w:r>
        <w:rPr>
          <w:rFonts w:ascii="宋体" w:hAnsi="宋体" w:eastAsia="宋体" w:cs="宋体"/>
          <w:b/>
          <w:bCs/>
          <w:color w:val="auto"/>
          <w:sz w:val="30"/>
          <w:szCs w:val="30"/>
          <w:highlight w:val="none"/>
        </w:rPr>
        <w:t>项目负责人简历表</w:t>
      </w:r>
    </w:p>
    <w:tbl>
      <w:tblPr>
        <w:tblStyle w:val="29"/>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4A5B06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36775137">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姓名</w:t>
            </w:r>
          </w:p>
        </w:tc>
        <w:tc>
          <w:tcPr>
            <w:tcW w:w="1267" w:type="dxa"/>
            <w:vAlign w:val="center"/>
          </w:tcPr>
          <w:p w14:paraId="1F20791E">
            <w:pPr>
              <w:spacing w:line="360" w:lineRule="auto"/>
              <w:jc w:val="center"/>
              <w:rPr>
                <w:rFonts w:hint="default" w:ascii="宋体" w:hAnsi="宋体" w:eastAsia="宋体" w:cs="宋体"/>
                <w:color w:val="auto"/>
                <w:szCs w:val="21"/>
                <w:highlight w:val="none"/>
              </w:rPr>
            </w:pPr>
          </w:p>
        </w:tc>
        <w:tc>
          <w:tcPr>
            <w:tcW w:w="1563" w:type="dxa"/>
            <w:gridSpan w:val="2"/>
            <w:vAlign w:val="center"/>
          </w:tcPr>
          <w:p w14:paraId="66F83D51">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性别</w:t>
            </w:r>
          </w:p>
        </w:tc>
        <w:tc>
          <w:tcPr>
            <w:tcW w:w="1293" w:type="dxa"/>
            <w:gridSpan w:val="2"/>
            <w:vAlign w:val="center"/>
          </w:tcPr>
          <w:p w14:paraId="1B05D711">
            <w:pPr>
              <w:spacing w:line="360" w:lineRule="auto"/>
              <w:jc w:val="center"/>
              <w:rPr>
                <w:rFonts w:hint="default" w:ascii="宋体" w:hAnsi="宋体" w:eastAsia="宋体" w:cs="宋体"/>
                <w:color w:val="auto"/>
                <w:szCs w:val="21"/>
                <w:highlight w:val="none"/>
              </w:rPr>
            </w:pPr>
          </w:p>
        </w:tc>
        <w:tc>
          <w:tcPr>
            <w:tcW w:w="1038" w:type="dxa"/>
            <w:vAlign w:val="center"/>
          </w:tcPr>
          <w:p w14:paraId="4D7AF81D">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年龄</w:t>
            </w:r>
          </w:p>
        </w:tc>
        <w:tc>
          <w:tcPr>
            <w:tcW w:w="1927" w:type="dxa"/>
            <w:vAlign w:val="center"/>
          </w:tcPr>
          <w:p w14:paraId="0814057F">
            <w:pPr>
              <w:spacing w:line="360" w:lineRule="auto"/>
              <w:jc w:val="center"/>
              <w:rPr>
                <w:rFonts w:hint="default" w:ascii="宋体" w:hAnsi="宋体" w:eastAsia="宋体" w:cs="宋体"/>
                <w:color w:val="auto"/>
                <w:szCs w:val="21"/>
                <w:highlight w:val="none"/>
              </w:rPr>
            </w:pPr>
          </w:p>
        </w:tc>
      </w:tr>
      <w:tr w14:paraId="56228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5330D607">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职务</w:t>
            </w:r>
          </w:p>
        </w:tc>
        <w:tc>
          <w:tcPr>
            <w:tcW w:w="1267" w:type="dxa"/>
            <w:vAlign w:val="center"/>
          </w:tcPr>
          <w:p w14:paraId="7F5211CC">
            <w:pPr>
              <w:spacing w:line="360" w:lineRule="auto"/>
              <w:jc w:val="center"/>
              <w:rPr>
                <w:rFonts w:hint="default" w:ascii="宋体" w:hAnsi="宋体" w:eastAsia="宋体" w:cs="宋体"/>
                <w:color w:val="auto"/>
                <w:szCs w:val="21"/>
                <w:highlight w:val="none"/>
              </w:rPr>
            </w:pPr>
          </w:p>
        </w:tc>
        <w:tc>
          <w:tcPr>
            <w:tcW w:w="1563" w:type="dxa"/>
            <w:gridSpan w:val="2"/>
            <w:vAlign w:val="center"/>
          </w:tcPr>
          <w:p w14:paraId="590EEA79">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拟担任本</w:t>
            </w:r>
          </w:p>
          <w:p w14:paraId="5845936A">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项目职务</w:t>
            </w:r>
          </w:p>
        </w:tc>
        <w:tc>
          <w:tcPr>
            <w:tcW w:w="1293" w:type="dxa"/>
            <w:gridSpan w:val="2"/>
            <w:vAlign w:val="center"/>
          </w:tcPr>
          <w:p w14:paraId="27B8F52F">
            <w:pPr>
              <w:spacing w:line="360" w:lineRule="auto"/>
              <w:jc w:val="center"/>
              <w:rPr>
                <w:rFonts w:hint="default" w:ascii="宋体" w:hAnsi="宋体" w:eastAsia="宋体" w:cs="宋体"/>
                <w:color w:val="auto"/>
                <w:szCs w:val="21"/>
                <w:highlight w:val="none"/>
              </w:rPr>
            </w:pPr>
          </w:p>
        </w:tc>
        <w:tc>
          <w:tcPr>
            <w:tcW w:w="1038" w:type="dxa"/>
            <w:vAlign w:val="center"/>
          </w:tcPr>
          <w:p w14:paraId="653C7A10">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学历</w:t>
            </w:r>
          </w:p>
        </w:tc>
        <w:tc>
          <w:tcPr>
            <w:tcW w:w="1927" w:type="dxa"/>
            <w:vAlign w:val="center"/>
          </w:tcPr>
          <w:p w14:paraId="10CAF6CE">
            <w:pPr>
              <w:spacing w:line="360" w:lineRule="auto"/>
              <w:jc w:val="center"/>
              <w:rPr>
                <w:rFonts w:hint="default" w:ascii="宋体" w:hAnsi="宋体" w:eastAsia="宋体" w:cs="宋体"/>
                <w:color w:val="auto"/>
                <w:szCs w:val="21"/>
                <w:highlight w:val="none"/>
              </w:rPr>
            </w:pPr>
          </w:p>
        </w:tc>
      </w:tr>
      <w:tr w14:paraId="47E08B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35D6E1E3">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参加工作时间</w:t>
            </w:r>
          </w:p>
        </w:tc>
        <w:tc>
          <w:tcPr>
            <w:tcW w:w="1267" w:type="dxa"/>
            <w:vAlign w:val="center"/>
          </w:tcPr>
          <w:p w14:paraId="454ACC3F">
            <w:pPr>
              <w:spacing w:line="360" w:lineRule="auto"/>
              <w:jc w:val="center"/>
              <w:rPr>
                <w:rFonts w:hint="default" w:ascii="宋体" w:hAnsi="宋体" w:eastAsia="宋体" w:cs="宋体"/>
                <w:color w:val="auto"/>
                <w:szCs w:val="21"/>
                <w:highlight w:val="none"/>
              </w:rPr>
            </w:pPr>
          </w:p>
        </w:tc>
        <w:tc>
          <w:tcPr>
            <w:tcW w:w="3894" w:type="dxa"/>
            <w:gridSpan w:val="5"/>
            <w:vAlign w:val="center"/>
          </w:tcPr>
          <w:p w14:paraId="532C3150">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从事项目负责人</w:t>
            </w:r>
          </w:p>
          <w:p w14:paraId="48C3557E">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 xml:space="preserve">年限    </w:t>
            </w:r>
          </w:p>
        </w:tc>
        <w:tc>
          <w:tcPr>
            <w:tcW w:w="1927" w:type="dxa"/>
            <w:vAlign w:val="center"/>
          </w:tcPr>
          <w:p w14:paraId="3AD22BCA">
            <w:pPr>
              <w:widowControl/>
              <w:spacing w:line="240" w:lineRule="auto"/>
              <w:jc w:val="left"/>
              <w:rPr>
                <w:rFonts w:hint="default" w:ascii="宋体" w:hAnsi="宋体" w:eastAsia="宋体" w:cs="宋体"/>
                <w:color w:val="auto"/>
                <w:szCs w:val="21"/>
                <w:highlight w:val="none"/>
              </w:rPr>
            </w:pPr>
          </w:p>
          <w:p w14:paraId="3F3F36FD">
            <w:pPr>
              <w:spacing w:line="360" w:lineRule="auto"/>
              <w:jc w:val="center"/>
              <w:rPr>
                <w:rFonts w:hint="default" w:ascii="宋体" w:hAnsi="宋体" w:eastAsia="宋体" w:cs="宋体"/>
                <w:color w:val="auto"/>
                <w:szCs w:val="21"/>
                <w:highlight w:val="none"/>
              </w:rPr>
            </w:pPr>
          </w:p>
        </w:tc>
      </w:tr>
      <w:tr w14:paraId="59057E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7217745F">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职称</w:t>
            </w:r>
          </w:p>
        </w:tc>
        <w:tc>
          <w:tcPr>
            <w:tcW w:w="7088" w:type="dxa"/>
            <w:gridSpan w:val="7"/>
            <w:vAlign w:val="center"/>
          </w:tcPr>
          <w:p w14:paraId="27824143">
            <w:pPr>
              <w:spacing w:line="360" w:lineRule="auto"/>
              <w:jc w:val="center"/>
              <w:rPr>
                <w:rFonts w:hint="default" w:ascii="宋体" w:hAnsi="宋体" w:eastAsia="宋体" w:cs="宋体"/>
                <w:color w:val="auto"/>
                <w:szCs w:val="21"/>
                <w:highlight w:val="none"/>
              </w:rPr>
            </w:pPr>
          </w:p>
        </w:tc>
      </w:tr>
      <w:tr w14:paraId="6B0793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vAlign w:val="center"/>
          </w:tcPr>
          <w:p w14:paraId="65208A43">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已 完 成 项 目 情 况</w:t>
            </w:r>
          </w:p>
        </w:tc>
      </w:tr>
      <w:tr w14:paraId="50BE11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1A072D67">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项目名称</w:t>
            </w:r>
          </w:p>
        </w:tc>
        <w:tc>
          <w:tcPr>
            <w:tcW w:w="1423" w:type="dxa"/>
            <w:gridSpan w:val="2"/>
            <w:vAlign w:val="center"/>
          </w:tcPr>
          <w:p w14:paraId="7CB6CBD9">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规模</w:t>
            </w:r>
          </w:p>
        </w:tc>
        <w:tc>
          <w:tcPr>
            <w:tcW w:w="1586" w:type="dxa"/>
            <w:gridSpan w:val="2"/>
            <w:vAlign w:val="center"/>
          </w:tcPr>
          <w:p w14:paraId="1471DC49">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开始完成日期</w:t>
            </w:r>
          </w:p>
        </w:tc>
        <w:tc>
          <w:tcPr>
            <w:tcW w:w="2152" w:type="dxa"/>
            <w:gridSpan w:val="2"/>
            <w:vAlign w:val="center"/>
          </w:tcPr>
          <w:p w14:paraId="16C3F64A">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负担的技术</w:t>
            </w:r>
          </w:p>
          <w:p w14:paraId="394DC132">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职务</w:t>
            </w:r>
          </w:p>
        </w:tc>
        <w:tc>
          <w:tcPr>
            <w:tcW w:w="1927" w:type="dxa"/>
            <w:vAlign w:val="center"/>
          </w:tcPr>
          <w:p w14:paraId="472F067C">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获奖情况</w:t>
            </w:r>
          </w:p>
        </w:tc>
      </w:tr>
      <w:tr w14:paraId="6C2CB8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42F716E4">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 xml:space="preserve">       </w:t>
            </w:r>
          </w:p>
        </w:tc>
        <w:tc>
          <w:tcPr>
            <w:tcW w:w="1423" w:type="dxa"/>
            <w:gridSpan w:val="2"/>
            <w:vAlign w:val="center"/>
          </w:tcPr>
          <w:p w14:paraId="08092161">
            <w:pPr>
              <w:spacing w:line="360" w:lineRule="auto"/>
              <w:jc w:val="center"/>
              <w:rPr>
                <w:rFonts w:hint="default" w:ascii="宋体" w:hAnsi="宋体" w:eastAsia="宋体" w:cs="宋体"/>
                <w:color w:val="auto"/>
                <w:szCs w:val="21"/>
                <w:highlight w:val="none"/>
              </w:rPr>
            </w:pPr>
          </w:p>
        </w:tc>
        <w:tc>
          <w:tcPr>
            <w:tcW w:w="1586" w:type="dxa"/>
            <w:gridSpan w:val="2"/>
            <w:vAlign w:val="center"/>
          </w:tcPr>
          <w:p w14:paraId="49095BB1">
            <w:pPr>
              <w:spacing w:line="360" w:lineRule="auto"/>
              <w:jc w:val="center"/>
              <w:rPr>
                <w:rFonts w:hint="default" w:ascii="宋体" w:hAnsi="宋体" w:eastAsia="宋体" w:cs="宋体"/>
                <w:color w:val="auto"/>
                <w:szCs w:val="21"/>
                <w:highlight w:val="none"/>
              </w:rPr>
            </w:pPr>
          </w:p>
        </w:tc>
        <w:tc>
          <w:tcPr>
            <w:tcW w:w="2152" w:type="dxa"/>
            <w:gridSpan w:val="2"/>
            <w:vAlign w:val="center"/>
          </w:tcPr>
          <w:p w14:paraId="655F7208">
            <w:pPr>
              <w:spacing w:line="360" w:lineRule="auto"/>
              <w:jc w:val="center"/>
              <w:rPr>
                <w:rFonts w:hint="default" w:ascii="宋体" w:hAnsi="宋体" w:eastAsia="宋体" w:cs="宋体"/>
                <w:color w:val="auto"/>
                <w:szCs w:val="21"/>
                <w:highlight w:val="none"/>
              </w:rPr>
            </w:pPr>
          </w:p>
        </w:tc>
        <w:tc>
          <w:tcPr>
            <w:tcW w:w="1927" w:type="dxa"/>
            <w:vAlign w:val="center"/>
          </w:tcPr>
          <w:p w14:paraId="3C61BD68">
            <w:pPr>
              <w:spacing w:line="360" w:lineRule="auto"/>
              <w:jc w:val="center"/>
              <w:rPr>
                <w:rFonts w:hint="default" w:ascii="宋体" w:hAnsi="宋体" w:eastAsia="宋体" w:cs="宋体"/>
                <w:color w:val="auto"/>
                <w:szCs w:val="21"/>
                <w:highlight w:val="none"/>
              </w:rPr>
            </w:pPr>
          </w:p>
        </w:tc>
      </w:tr>
      <w:tr w14:paraId="72CE1B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631BA1BF">
            <w:pPr>
              <w:spacing w:line="360" w:lineRule="auto"/>
              <w:jc w:val="center"/>
              <w:rPr>
                <w:rFonts w:hint="default" w:ascii="宋体" w:hAnsi="宋体" w:eastAsia="宋体" w:cs="宋体"/>
                <w:color w:val="auto"/>
                <w:szCs w:val="21"/>
                <w:highlight w:val="none"/>
              </w:rPr>
            </w:pPr>
          </w:p>
        </w:tc>
        <w:tc>
          <w:tcPr>
            <w:tcW w:w="1423" w:type="dxa"/>
            <w:gridSpan w:val="2"/>
            <w:vAlign w:val="center"/>
          </w:tcPr>
          <w:p w14:paraId="62B253CB">
            <w:pPr>
              <w:spacing w:line="360" w:lineRule="auto"/>
              <w:jc w:val="center"/>
              <w:rPr>
                <w:rFonts w:hint="default" w:ascii="宋体" w:hAnsi="宋体" w:eastAsia="宋体" w:cs="宋体"/>
                <w:color w:val="auto"/>
                <w:szCs w:val="21"/>
                <w:highlight w:val="none"/>
              </w:rPr>
            </w:pPr>
          </w:p>
        </w:tc>
        <w:tc>
          <w:tcPr>
            <w:tcW w:w="1586" w:type="dxa"/>
            <w:gridSpan w:val="2"/>
            <w:vAlign w:val="center"/>
          </w:tcPr>
          <w:p w14:paraId="53870398">
            <w:pPr>
              <w:spacing w:line="360" w:lineRule="auto"/>
              <w:jc w:val="center"/>
              <w:rPr>
                <w:rFonts w:hint="default" w:ascii="宋体" w:hAnsi="宋体" w:eastAsia="宋体" w:cs="宋体"/>
                <w:color w:val="auto"/>
                <w:szCs w:val="21"/>
                <w:highlight w:val="none"/>
              </w:rPr>
            </w:pPr>
          </w:p>
        </w:tc>
        <w:tc>
          <w:tcPr>
            <w:tcW w:w="2152" w:type="dxa"/>
            <w:gridSpan w:val="2"/>
            <w:vAlign w:val="center"/>
          </w:tcPr>
          <w:p w14:paraId="3152F22B">
            <w:pPr>
              <w:spacing w:line="360" w:lineRule="auto"/>
              <w:jc w:val="center"/>
              <w:rPr>
                <w:rFonts w:hint="default" w:ascii="宋体" w:hAnsi="宋体" w:eastAsia="宋体" w:cs="宋体"/>
                <w:color w:val="auto"/>
                <w:szCs w:val="21"/>
                <w:highlight w:val="none"/>
              </w:rPr>
            </w:pPr>
          </w:p>
        </w:tc>
        <w:tc>
          <w:tcPr>
            <w:tcW w:w="1927" w:type="dxa"/>
            <w:vAlign w:val="center"/>
          </w:tcPr>
          <w:p w14:paraId="7BD839B1">
            <w:pPr>
              <w:spacing w:line="360" w:lineRule="auto"/>
              <w:jc w:val="center"/>
              <w:rPr>
                <w:rFonts w:hint="default" w:ascii="宋体" w:hAnsi="宋体" w:eastAsia="宋体" w:cs="宋体"/>
                <w:color w:val="auto"/>
                <w:szCs w:val="21"/>
                <w:highlight w:val="none"/>
              </w:rPr>
            </w:pPr>
          </w:p>
        </w:tc>
      </w:tr>
      <w:tr w14:paraId="2511F5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2F770975">
            <w:pPr>
              <w:spacing w:line="360" w:lineRule="auto"/>
              <w:jc w:val="center"/>
              <w:rPr>
                <w:rFonts w:hint="default" w:ascii="宋体" w:hAnsi="宋体" w:eastAsia="宋体" w:cs="宋体"/>
                <w:color w:val="auto"/>
                <w:szCs w:val="21"/>
                <w:highlight w:val="none"/>
              </w:rPr>
            </w:pPr>
          </w:p>
        </w:tc>
        <w:tc>
          <w:tcPr>
            <w:tcW w:w="1423" w:type="dxa"/>
            <w:gridSpan w:val="2"/>
            <w:vAlign w:val="center"/>
          </w:tcPr>
          <w:p w14:paraId="13FE988A">
            <w:pPr>
              <w:spacing w:line="360" w:lineRule="auto"/>
              <w:jc w:val="center"/>
              <w:rPr>
                <w:rFonts w:hint="default" w:ascii="宋体" w:hAnsi="宋体" w:eastAsia="宋体" w:cs="宋体"/>
                <w:color w:val="auto"/>
                <w:szCs w:val="21"/>
                <w:highlight w:val="none"/>
              </w:rPr>
            </w:pPr>
          </w:p>
        </w:tc>
        <w:tc>
          <w:tcPr>
            <w:tcW w:w="1586" w:type="dxa"/>
            <w:gridSpan w:val="2"/>
            <w:vAlign w:val="center"/>
          </w:tcPr>
          <w:p w14:paraId="4571B61E">
            <w:pPr>
              <w:spacing w:line="360" w:lineRule="auto"/>
              <w:jc w:val="center"/>
              <w:rPr>
                <w:rFonts w:hint="default" w:ascii="宋体" w:hAnsi="宋体" w:eastAsia="宋体" w:cs="宋体"/>
                <w:color w:val="auto"/>
                <w:szCs w:val="21"/>
                <w:highlight w:val="none"/>
              </w:rPr>
            </w:pPr>
          </w:p>
        </w:tc>
        <w:tc>
          <w:tcPr>
            <w:tcW w:w="2152" w:type="dxa"/>
            <w:gridSpan w:val="2"/>
            <w:vAlign w:val="center"/>
          </w:tcPr>
          <w:p w14:paraId="33EB2267">
            <w:pPr>
              <w:spacing w:line="360" w:lineRule="auto"/>
              <w:jc w:val="center"/>
              <w:rPr>
                <w:rFonts w:hint="default" w:ascii="宋体" w:hAnsi="宋体" w:eastAsia="宋体" w:cs="宋体"/>
                <w:color w:val="auto"/>
                <w:szCs w:val="21"/>
                <w:highlight w:val="none"/>
              </w:rPr>
            </w:pPr>
          </w:p>
        </w:tc>
        <w:tc>
          <w:tcPr>
            <w:tcW w:w="1927" w:type="dxa"/>
            <w:vAlign w:val="center"/>
          </w:tcPr>
          <w:p w14:paraId="26BC9847">
            <w:pPr>
              <w:spacing w:line="360" w:lineRule="auto"/>
              <w:jc w:val="center"/>
              <w:rPr>
                <w:rFonts w:hint="default" w:ascii="宋体" w:hAnsi="宋体" w:eastAsia="宋体" w:cs="宋体"/>
                <w:color w:val="auto"/>
                <w:szCs w:val="21"/>
                <w:highlight w:val="none"/>
              </w:rPr>
            </w:pPr>
          </w:p>
        </w:tc>
      </w:tr>
      <w:tr w14:paraId="14E91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6D055958">
            <w:pPr>
              <w:spacing w:line="360" w:lineRule="auto"/>
              <w:jc w:val="center"/>
              <w:rPr>
                <w:rFonts w:hint="default" w:ascii="宋体" w:hAnsi="宋体" w:eastAsia="宋体" w:cs="宋体"/>
                <w:color w:val="auto"/>
                <w:szCs w:val="21"/>
                <w:highlight w:val="none"/>
              </w:rPr>
            </w:pPr>
          </w:p>
        </w:tc>
        <w:tc>
          <w:tcPr>
            <w:tcW w:w="1423" w:type="dxa"/>
            <w:gridSpan w:val="2"/>
            <w:vAlign w:val="center"/>
          </w:tcPr>
          <w:p w14:paraId="7B3A7B86">
            <w:pPr>
              <w:spacing w:line="360" w:lineRule="auto"/>
              <w:jc w:val="center"/>
              <w:rPr>
                <w:rFonts w:hint="default" w:ascii="宋体" w:hAnsi="宋体" w:eastAsia="宋体" w:cs="宋体"/>
                <w:color w:val="auto"/>
                <w:szCs w:val="21"/>
                <w:highlight w:val="none"/>
              </w:rPr>
            </w:pPr>
          </w:p>
        </w:tc>
        <w:tc>
          <w:tcPr>
            <w:tcW w:w="1586" w:type="dxa"/>
            <w:gridSpan w:val="2"/>
            <w:vAlign w:val="center"/>
          </w:tcPr>
          <w:p w14:paraId="0D85144B">
            <w:pPr>
              <w:spacing w:line="360" w:lineRule="auto"/>
              <w:jc w:val="center"/>
              <w:rPr>
                <w:rFonts w:hint="default" w:ascii="宋体" w:hAnsi="宋体" w:eastAsia="宋体" w:cs="宋体"/>
                <w:color w:val="auto"/>
                <w:szCs w:val="21"/>
                <w:highlight w:val="none"/>
              </w:rPr>
            </w:pPr>
          </w:p>
        </w:tc>
        <w:tc>
          <w:tcPr>
            <w:tcW w:w="2152" w:type="dxa"/>
            <w:gridSpan w:val="2"/>
            <w:vAlign w:val="center"/>
          </w:tcPr>
          <w:p w14:paraId="5C4B74C5">
            <w:pPr>
              <w:spacing w:line="360" w:lineRule="auto"/>
              <w:jc w:val="center"/>
              <w:rPr>
                <w:rFonts w:hint="default" w:ascii="宋体" w:hAnsi="宋体" w:eastAsia="宋体" w:cs="宋体"/>
                <w:color w:val="auto"/>
                <w:szCs w:val="21"/>
                <w:highlight w:val="none"/>
              </w:rPr>
            </w:pPr>
          </w:p>
        </w:tc>
        <w:tc>
          <w:tcPr>
            <w:tcW w:w="1927" w:type="dxa"/>
            <w:vAlign w:val="center"/>
          </w:tcPr>
          <w:p w14:paraId="215A7E60">
            <w:pPr>
              <w:spacing w:line="360" w:lineRule="auto"/>
              <w:jc w:val="center"/>
              <w:rPr>
                <w:rFonts w:hint="default" w:ascii="宋体" w:hAnsi="宋体" w:eastAsia="宋体" w:cs="宋体"/>
                <w:color w:val="auto"/>
                <w:szCs w:val="21"/>
                <w:highlight w:val="none"/>
              </w:rPr>
            </w:pPr>
          </w:p>
        </w:tc>
      </w:tr>
      <w:tr w14:paraId="5E975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23753C40">
            <w:pPr>
              <w:spacing w:line="360" w:lineRule="auto"/>
              <w:jc w:val="center"/>
              <w:rPr>
                <w:rFonts w:hint="default" w:ascii="宋体" w:hAnsi="宋体" w:eastAsia="宋体" w:cs="宋体"/>
                <w:color w:val="auto"/>
                <w:szCs w:val="21"/>
                <w:highlight w:val="none"/>
              </w:rPr>
            </w:pPr>
          </w:p>
        </w:tc>
        <w:tc>
          <w:tcPr>
            <w:tcW w:w="1423" w:type="dxa"/>
            <w:gridSpan w:val="2"/>
            <w:vAlign w:val="center"/>
          </w:tcPr>
          <w:p w14:paraId="7C0D02DA">
            <w:pPr>
              <w:spacing w:line="360" w:lineRule="auto"/>
              <w:jc w:val="center"/>
              <w:rPr>
                <w:rFonts w:hint="default" w:ascii="宋体" w:hAnsi="宋体" w:eastAsia="宋体" w:cs="宋体"/>
                <w:color w:val="auto"/>
                <w:szCs w:val="21"/>
                <w:highlight w:val="none"/>
              </w:rPr>
            </w:pPr>
          </w:p>
        </w:tc>
        <w:tc>
          <w:tcPr>
            <w:tcW w:w="1586" w:type="dxa"/>
            <w:gridSpan w:val="2"/>
            <w:vAlign w:val="center"/>
          </w:tcPr>
          <w:p w14:paraId="6825440A">
            <w:pPr>
              <w:spacing w:line="360" w:lineRule="auto"/>
              <w:jc w:val="center"/>
              <w:rPr>
                <w:rFonts w:hint="default" w:ascii="宋体" w:hAnsi="宋体" w:eastAsia="宋体" w:cs="宋体"/>
                <w:color w:val="auto"/>
                <w:szCs w:val="21"/>
                <w:highlight w:val="none"/>
              </w:rPr>
            </w:pPr>
          </w:p>
        </w:tc>
        <w:tc>
          <w:tcPr>
            <w:tcW w:w="2152" w:type="dxa"/>
            <w:gridSpan w:val="2"/>
            <w:vAlign w:val="center"/>
          </w:tcPr>
          <w:p w14:paraId="2B6EEFBA">
            <w:pPr>
              <w:spacing w:line="360" w:lineRule="auto"/>
              <w:jc w:val="center"/>
              <w:rPr>
                <w:rFonts w:hint="default" w:ascii="宋体" w:hAnsi="宋体" w:eastAsia="宋体" w:cs="宋体"/>
                <w:color w:val="auto"/>
                <w:szCs w:val="21"/>
                <w:highlight w:val="none"/>
              </w:rPr>
            </w:pPr>
          </w:p>
        </w:tc>
        <w:tc>
          <w:tcPr>
            <w:tcW w:w="1927" w:type="dxa"/>
            <w:vAlign w:val="center"/>
          </w:tcPr>
          <w:p w14:paraId="56C86757">
            <w:pPr>
              <w:spacing w:line="360" w:lineRule="auto"/>
              <w:jc w:val="center"/>
              <w:rPr>
                <w:rFonts w:hint="default" w:ascii="宋体" w:hAnsi="宋体" w:eastAsia="宋体" w:cs="宋体"/>
                <w:color w:val="auto"/>
                <w:szCs w:val="21"/>
                <w:highlight w:val="none"/>
              </w:rPr>
            </w:pPr>
          </w:p>
        </w:tc>
      </w:tr>
    </w:tbl>
    <w:p w14:paraId="669F26AF">
      <w:pPr>
        <w:snapToGrid w:val="0"/>
        <w:spacing w:before="50" w:afterLines="50" w:line="240" w:lineRule="auto"/>
        <w:jc w:val="left"/>
        <w:rPr>
          <w:rFonts w:hint="default" w:ascii="宋体" w:hAnsi="宋体" w:eastAsia="宋体" w:cs="宋体"/>
          <w:snapToGrid w:val="0"/>
          <w:color w:val="auto"/>
          <w:sz w:val="24"/>
          <w:szCs w:val="24"/>
          <w:highlight w:val="none"/>
        </w:rPr>
      </w:pPr>
      <w:r>
        <w:rPr>
          <w:rFonts w:ascii="宋体" w:hAnsi="宋体" w:eastAsia="宋体" w:cs="宋体"/>
          <w:snapToGrid w:val="0"/>
          <w:color w:val="auto"/>
          <w:sz w:val="24"/>
          <w:szCs w:val="24"/>
          <w:highlight w:val="none"/>
        </w:rPr>
        <w:t>注：1.项目负责人应附身份证、职称证书、执业资格证书等复印件或扫描件（具体按评标办法提供）。</w:t>
      </w:r>
    </w:p>
    <w:p w14:paraId="16C4BDC6">
      <w:pPr>
        <w:snapToGrid w:val="0"/>
        <w:spacing w:before="50" w:afterLines="50" w:line="240" w:lineRule="auto"/>
        <w:ind w:firstLine="480" w:firstLineChars="200"/>
        <w:jc w:val="lef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2.在填写时，如本表格不适合投标单位的实际情况，可根据本表格式按评标办法要求自行划表填写并提供相关资料。</w:t>
      </w:r>
    </w:p>
    <w:p w14:paraId="6633DF23">
      <w:pPr>
        <w:spacing w:line="360" w:lineRule="auto"/>
        <w:rPr>
          <w:rFonts w:hint="default" w:ascii="宋体" w:hAnsi="宋体" w:eastAsia="宋体" w:cs="宋体"/>
          <w:color w:val="auto"/>
          <w:spacing w:val="20"/>
          <w:sz w:val="24"/>
          <w:szCs w:val="24"/>
          <w:highlight w:val="none"/>
          <w:u w:val="single"/>
        </w:rPr>
      </w:pPr>
      <w:r>
        <w:rPr>
          <w:rFonts w:ascii="宋体" w:hAnsi="宋体" w:eastAsia="宋体" w:cs="宋体"/>
          <w:color w:val="auto"/>
          <w:sz w:val="24"/>
          <w:szCs w:val="24"/>
          <w:highlight w:val="none"/>
        </w:rPr>
        <w:t>投标人名称（电子签章）</w:t>
      </w:r>
      <w:r>
        <w:rPr>
          <w:rFonts w:ascii="宋体" w:hAnsi="宋体" w:eastAsia="宋体" w:cs="宋体"/>
          <w:color w:val="auto"/>
          <w:spacing w:val="20"/>
          <w:sz w:val="24"/>
          <w:szCs w:val="24"/>
          <w:highlight w:val="none"/>
        </w:rPr>
        <w:t>：</w:t>
      </w:r>
      <w:r>
        <w:rPr>
          <w:rFonts w:ascii="宋体" w:hAnsi="宋体" w:eastAsia="宋体" w:cs="宋体"/>
          <w:color w:val="auto"/>
          <w:spacing w:val="20"/>
          <w:sz w:val="24"/>
          <w:szCs w:val="24"/>
          <w:highlight w:val="none"/>
          <w:u w:val="single"/>
        </w:rPr>
        <w:t xml:space="preserve">            </w:t>
      </w:r>
    </w:p>
    <w:p w14:paraId="4645090B">
      <w:pPr>
        <w:spacing w:line="360" w:lineRule="auto"/>
        <w:rPr>
          <w:rFonts w:hint="default" w:ascii="宋体" w:hAnsi="宋体" w:eastAsia="宋体" w:cs="宋体"/>
          <w:color w:val="auto"/>
          <w:spacing w:val="20"/>
          <w:sz w:val="24"/>
          <w:szCs w:val="24"/>
          <w:highlight w:val="none"/>
        </w:rPr>
      </w:pPr>
      <w:r>
        <w:rPr>
          <w:rFonts w:ascii="宋体" w:hAnsi="宋体" w:eastAsia="宋体" w:cs="宋体"/>
          <w:color w:val="auto"/>
          <w:sz w:val="24"/>
          <w:szCs w:val="24"/>
          <w:highlight w:val="none"/>
        </w:rPr>
        <w:t>法定代表人或授权代表（签字或盖章）</w:t>
      </w:r>
      <w:r>
        <w:rPr>
          <w:rFonts w:ascii="宋体" w:hAnsi="宋体" w:eastAsia="宋体" w:cs="宋体"/>
          <w:color w:val="auto"/>
          <w:spacing w:val="20"/>
          <w:sz w:val="24"/>
          <w:szCs w:val="24"/>
          <w:highlight w:val="none"/>
        </w:rPr>
        <w:t>：</w:t>
      </w:r>
      <w:r>
        <w:rPr>
          <w:rFonts w:ascii="宋体" w:hAnsi="宋体" w:eastAsia="宋体" w:cs="宋体"/>
          <w:color w:val="auto"/>
          <w:spacing w:val="20"/>
          <w:sz w:val="24"/>
          <w:szCs w:val="24"/>
          <w:highlight w:val="none"/>
          <w:u w:val="single"/>
        </w:rPr>
        <w:t xml:space="preserve">            </w:t>
      </w:r>
    </w:p>
    <w:p w14:paraId="3853F890">
      <w:pPr>
        <w:adjustRightInd w:val="0"/>
        <w:spacing w:line="360" w:lineRule="auto"/>
        <w:jc w:val="left"/>
        <w:rPr>
          <w:rFonts w:hint="default"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日期：</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年</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月</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日</w:t>
      </w:r>
    </w:p>
    <w:p w14:paraId="75CC3549">
      <w:pPr>
        <w:snapToGrid w:val="0"/>
        <w:spacing w:line="360" w:lineRule="auto"/>
        <w:ind w:firstLine="413" w:firstLineChars="197"/>
        <w:rPr>
          <w:rFonts w:hint="default" w:ascii="宋体" w:hAnsi="宋体" w:eastAsia="宋体" w:cs="宋体"/>
          <w:snapToGrid w:val="0"/>
          <w:color w:val="auto"/>
          <w:szCs w:val="21"/>
          <w:highlight w:val="none"/>
        </w:rPr>
      </w:pPr>
    </w:p>
    <w:p w14:paraId="3DC240C9">
      <w:pPr>
        <w:spacing w:line="240" w:lineRule="auto"/>
        <w:ind w:right="-567"/>
        <w:jc w:val="left"/>
        <w:rPr>
          <w:rFonts w:hint="default" w:ascii="宋体" w:hAnsi="宋体" w:eastAsia="宋体" w:cs="宋体"/>
          <w:color w:val="auto"/>
          <w:szCs w:val="24"/>
          <w:highlight w:val="none"/>
        </w:rPr>
      </w:pPr>
    </w:p>
    <w:p w14:paraId="2794AE6D">
      <w:pPr>
        <w:spacing w:line="240" w:lineRule="auto"/>
        <w:ind w:right="-567"/>
        <w:jc w:val="left"/>
        <w:rPr>
          <w:rFonts w:hint="default" w:ascii="宋体" w:hAnsi="宋体" w:eastAsia="宋体" w:cs="宋体"/>
          <w:b/>
          <w:color w:val="auto"/>
          <w:sz w:val="24"/>
          <w:szCs w:val="24"/>
          <w:highlight w:val="none"/>
        </w:rPr>
      </w:pPr>
      <w:bookmarkStart w:id="52" w:name="_Toc18715"/>
    </w:p>
    <w:p w14:paraId="7494B84B">
      <w:pPr>
        <w:spacing w:line="240" w:lineRule="auto"/>
        <w:ind w:right="-567"/>
        <w:jc w:val="left"/>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rPr>
        <w:t>6.2项目实施人员一览表格式</w:t>
      </w:r>
      <w:bookmarkEnd w:id="52"/>
      <w:r>
        <w:rPr>
          <w:rFonts w:ascii="宋体" w:hAnsi="宋体" w:eastAsia="宋体" w:cs="宋体"/>
          <w:b/>
          <w:color w:val="auto"/>
          <w:sz w:val="24"/>
          <w:szCs w:val="24"/>
          <w:highlight w:val="none"/>
        </w:rPr>
        <w:t>（如有）</w:t>
      </w:r>
    </w:p>
    <w:p w14:paraId="2DA08F17">
      <w:pPr>
        <w:spacing w:line="360" w:lineRule="auto"/>
        <w:jc w:val="center"/>
        <w:rPr>
          <w:rFonts w:hint="default" w:ascii="宋体" w:hAnsi="宋体" w:eastAsia="宋体" w:cs="宋体"/>
          <w:b/>
          <w:bCs/>
          <w:color w:val="auto"/>
          <w:sz w:val="30"/>
          <w:szCs w:val="30"/>
          <w:highlight w:val="none"/>
        </w:rPr>
      </w:pPr>
      <w:r>
        <w:rPr>
          <w:rFonts w:ascii="宋体" w:hAnsi="宋体" w:eastAsia="宋体" w:cs="宋体"/>
          <w:b/>
          <w:bCs/>
          <w:color w:val="auto"/>
          <w:sz w:val="30"/>
          <w:szCs w:val="30"/>
          <w:highlight w:val="none"/>
        </w:rPr>
        <w:t>项目实施人员（主要从业人员及其技术资格）一览表</w:t>
      </w:r>
    </w:p>
    <w:p w14:paraId="5094D4BE">
      <w:pPr>
        <w:tabs>
          <w:tab w:val="right" w:pos="8847"/>
        </w:tabs>
        <w:spacing w:line="360" w:lineRule="auto"/>
        <w:rPr>
          <w:rFonts w:hint="default" w:ascii="宋体" w:hAnsi="宋体" w:eastAsia="宋体" w:cs="宋体"/>
          <w:color w:val="auto"/>
          <w:spacing w:val="-4"/>
          <w:sz w:val="24"/>
          <w:szCs w:val="24"/>
          <w:highlight w:val="none"/>
          <w:u w:val="single"/>
        </w:rPr>
      </w:pPr>
      <w:r>
        <w:rPr>
          <w:rFonts w:ascii="宋体" w:hAnsi="宋体" w:eastAsia="宋体" w:cs="宋体"/>
          <w:color w:val="auto"/>
          <w:spacing w:val="-4"/>
          <w:sz w:val="24"/>
          <w:szCs w:val="24"/>
          <w:highlight w:val="none"/>
        </w:rPr>
        <w:t>项目名称：</w:t>
      </w:r>
      <w:r>
        <w:rPr>
          <w:rFonts w:ascii="宋体" w:hAnsi="宋体" w:eastAsia="宋体" w:cs="宋体"/>
          <w:color w:val="auto"/>
          <w:spacing w:val="-4"/>
          <w:sz w:val="24"/>
          <w:szCs w:val="24"/>
          <w:highlight w:val="none"/>
          <w:u w:val="single"/>
        </w:rPr>
        <w:t xml:space="preserve">                                   </w:t>
      </w:r>
      <w:r>
        <w:rPr>
          <w:rFonts w:ascii="宋体" w:hAnsi="宋体" w:eastAsia="宋体" w:cs="宋体"/>
          <w:color w:val="auto"/>
          <w:spacing w:val="-4"/>
          <w:sz w:val="24"/>
          <w:szCs w:val="24"/>
          <w:highlight w:val="none"/>
        </w:rPr>
        <w:t>项目编号：</w:t>
      </w:r>
      <w:r>
        <w:rPr>
          <w:rFonts w:ascii="宋体" w:hAnsi="宋体" w:eastAsia="宋体" w:cs="宋体"/>
          <w:color w:val="auto"/>
          <w:spacing w:val="-4"/>
          <w:sz w:val="24"/>
          <w:szCs w:val="24"/>
          <w:highlight w:val="none"/>
          <w:u w:val="single"/>
        </w:rPr>
        <w:t xml:space="preserve">                </w:t>
      </w:r>
    </w:p>
    <w:p w14:paraId="242A4BF3">
      <w:pPr>
        <w:spacing w:line="240" w:lineRule="auto"/>
        <w:ind w:firstLine="241"/>
        <w:rPr>
          <w:rFonts w:hint="default" w:ascii="宋体" w:hAnsi="宋体" w:eastAsia="宋体" w:cs="宋体"/>
          <w:b/>
          <w:color w:val="auto"/>
          <w:sz w:val="24"/>
          <w:szCs w:val="24"/>
          <w:highlight w:val="none"/>
        </w:rPr>
      </w:pPr>
    </w:p>
    <w:tbl>
      <w:tblPr>
        <w:tblStyle w:val="29"/>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1D46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vAlign w:val="center"/>
          </w:tcPr>
          <w:p w14:paraId="5EF789B9">
            <w:pPr>
              <w:spacing w:line="240" w:lineRule="auto"/>
              <w:ind w:firstLine="240"/>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拟在本项目担任的职务(岗位)</w:t>
            </w:r>
          </w:p>
        </w:tc>
        <w:tc>
          <w:tcPr>
            <w:tcW w:w="709" w:type="dxa"/>
            <w:vMerge w:val="restart"/>
            <w:vAlign w:val="center"/>
          </w:tcPr>
          <w:p w14:paraId="740DBF1A">
            <w:pPr>
              <w:spacing w:line="24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姓名</w:t>
            </w:r>
          </w:p>
        </w:tc>
        <w:tc>
          <w:tcPr>
            <w:tcW w:w="710" w:type="dxa"/>
            <w:vMerge w:val="restart"/>
            <w:vAlign w:val="center"/>
          </w:tcPr>
          <w:p w14:paraId="38C5DC0D">
            <w:pPr>
              <w:spacing w:line="24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技术职称</w:t>
            </w:r>
          </w:p>
        </w:tc>
        <w:tc>
          <w:tcPr>
            <w:tcW w:w="5405" w:type="dxa"/>
            <w:gridSpan w:val="5"/>
            <w:vAlign w:val="center"/>
          </w:tcPr>
          <w:p w14:paraId="3852CF74">
            <w:pPr>
              <w:spacing w:line="240" w:lineRule="auto"/>
              <w:ind w:firstLine="240"/>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执业或职业资格证件</w:t>
            </w:r>
          </w:p>
        </w:tc>
        <w:tc>
          <w:tcPr>
            <w:tcW w:w="1070" w:type="dxa"/>
            <w:vMerge w:val="restart"/>
            <w:vAlign w:val="center"/>
          </w:tcPr>
          <w:p w14:paraId="30C51FD5">
            <w:pPr>
              <w:spacing w:line="240" w:lineRule="auto"/>
              <w:ind w:firstLine="240"/>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备注</w:t>
            </w:r>
          </w:p>
        </w:tc>
      </w:tr>
      <w:tr w14:paraId="26BB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vAlign w:val="center"/>
          </w:tcPr>
          <w:p w14:paraId="604CE6FA">
            <w:pPr>
              <w:spacing w:line="240" w:lineRule="auto"/>
              <w:ind w:firstLine="240"/>
              <w:rPr>
                <w:rFonts w:hint="default" w:ascii="宋体" w:hAnsi="宋体" w:eastAsia="宋体" w:cs="宋体"/>
                <w:color w:val="auto"/>
                <w:sz w:val="24"/>
                <w:szCs w:val="24"/>
                <w:highlight w:val="none"/>
              </w:rPr>
            </w:pPr>
          </w:p>
        </w:tc>
        <w:tc>
          <w:tcPr>
            <w:tcW w:w="709" w:type="dxa"/>
            <w:vMerge w:val="continue"/>
            <w:vAlign w:val="center"/>
          </w:tcPr>
          <w:p w14:paraId="07CC2229">
            <w:pPr>
              <w:spacing w:line="240" w:lineRule="auto"/>
              <w:ind w:firstLine="240"/>
              <w:rPr>
                <w:rFonts w:hint="default" w:ascii="宋体" w:hAnsi="宋体" w:eastAsia="宋体" w:cs="宋体"/>
                <w:color w:val="auto"/>
                <w:sz w:val="24"/>
                <w:szCs w:val="24"/>
                <w:highlight w:val="none"/>
              </w:rPr>
            </w:pPr>
          </w:p>
        </w:tc>
        <w:tc>
          <w:tcPr>
            <w:tcW w:w="710" w:type="dxa"/>
            <w:vMerge w:val="continue"/>
            <w:vAlign w:val="center"/>
          </w:tcPr>
          <w:p w14:paraId="3C7FC794">
            <w:pPr>
              <w:spacing w:line="240" w:lineRule="auto"/>
              <w:ind w:firstLine="240"/>
              <w:rPr>
                <w:rFonts w:hint="default" w:ascii="宋体" w:hAnsi="宋体" w:eastAsia="宋体" w:cs="宋体"/>
                <w:color w:val="auto"/>
                <w:sz w:val="24"/>
                <w:szCs w:val="24"/>
                <w:highlight w:val="none"/>
              </w:rPr>
            </w:pPr>
          </w:p>
        </w:tc>
        <w:tc>
          <w:tcPr>
            <w:tcW w:w="1136" w:type="dxa"/>
            <w:vAlign w:val="center"/>
          </w:tcPr>
          <w:p w14:paraId="5B95BE61">
            <w:pPr>
              <w:spacing w:line="24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证书名称</w:t>
            </w:r>
          </w:p>
        </w:tc>
        <w:tc>
          <w:tcPr>
            <w:tcW w:w="852" w:type="dxa"/>
            <w:vAlign w:val="center"/>
          </w:tcPr>
          <w:p w14:paraId="1422B2A5">
            <w:pPr>
              <w:spacing w:line="24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级别</w:t>
            </w:r>
          </w:p>
        </w:tc>
        <w:tc>
          <w:tcPr>
            <w:tcW w:w="1083" w:type="dxa"/>
            <w:vAlign w:val="center"/>
          </w:tcPr>
          <w:p w14:paraId="7DEB1AAD">
            <w:pPr>
              <w:spacing w:line="240" w:lineRule="auto"/>
              <w:ind w:firstLine="240"/>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证号</w:t>
            </w:r>
          </w:p>
        </w:tc>
        <w:tc>
          <w:tcPr>
            <w:tcW w:w="1004" w:type="dxa"/>
            <w:vAlign w:val="center"/>
          </w:tcPr>
          <w:p w14:paraId="3C4E6523">
            <w:pPr>
              <w:spacing w:line="240" w:lineRule="auto"/>
              <w:ind w:firstLine="240"/>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专业</w:t>
            </w:r>
          </w:p>
        </w:tc>
        <w:tc>
          <w:tcPr>
            <w:tcW w:w="1330" w:type="dxa"/>
            <w:vAlign w:val="center"/>
          </w:tcPr>
          <w:p w14:paraId="391CB83A">
            <w:pPr>
              <w:spacing w:line="240" w:lineRule="auto"/>
              <w:ind w:firstLine="240"/>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工作年限</w:t>
            </w:r>
          </w:p>
        </w:tc>
        <w:tc>
          <w:tcPr>
            <w:tcW w:w="1070" w:type="dxa"/>
            <w:vMerge w:val="continue"/>
            <w:vAlign w:val="center"/>
          </w:tcPr>
          <w:p w14:paraId="48BC5095">
            <w:pPr>
              <w:spacing w:line="240" w:lineRule="auto"/>
              <w:ind w:firstLine="240"/>
              <w:rPr>
                <w:rFonts w:hint="default" w:ascii="宋体" w:hAnsi="宋体" w:eastAsia="宋体" w:cs="宋体"/>
                <w:color w:val="auto"/>
                <w:sz w:val="24"/>
                <w:szCs w:val="24"/>
                <w:highlight w:val="none"/>
              </w:rPr>
            </w:pPr>
          </w:p>
        </w:tc>
      </w:tr>
      <w:tr w14:paraId="2C76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vAlign w:val="center"/>
          </w:tcPr>
          <w:p w14:paraId="20704C3F">
            <w:pPr>
              <w:spacing w:line="240" w:lineRule="auto"/>
              <w:ind w:firstLine="241"/>
              <w:jc w:val="center"/>
              <w:rPr>
                <w:rFonts w:hint="default" w:ascii="宋体" w:hAnsi="宋体" w:eastAsia="宋体" w:cs="宋体"/>
                <w:b/>
                <w:color w:val="auto"/>
                <w:sz w:val="24"/>
                <w:szCs w:val="24"/>
                <w:highlight w:val="none"/>
              </w:rPr>
            </w:pPr>
          </w:p>
        </w:tc>
      </w:tr>
      <w:tr w14:paraId="1D3A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vAlign w:val="center"/>
          </w:tcPr>
          <w:p w14:paraId="133B013D">
            <w:pPr>
              <w:spacing w:line="240" w:lineRule="auto"/>
              <w:ind w:firstLine="241"/>
              <w:jc w:val="center"/>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rPr>
              <w:t>专业技术人员</w:t>
            </w:r>
          </w:p>
        </w:tc>
      </w:tr>
      <w:tr w14:paraId="05BA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vAlign w:val="center"/>
          </w:tcPr>
          <w:p w14:paraId="6C28A591">
            <w:pPr>
              <w:spacing w:line="240" w:lineRule="auto"/>
              <w:ind w:firstLine="240"/>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…专业负责人</w:t>
            </w:r>
          </w:p>
        </w:tc>
        <w:tc>
          <w:tcPr>
            <w:tcW w:w="709" w:type="dxa"/>
            <w:vAlign w:val="center"/>
          </w:tcPr>
          <w:p w14:paraId="437BE730">
            <w:pPr>
              <w:spacing w:line="240" w:lineRule="auto"/>
              <w:ind w:firstLine="240"/>
              <w:jc w:val="center"/>
              <w:rPr>
                <w:rFonts w:hint="default" w:ascii="宋体" w:hAnsi="宋体" w:eastAsia="宋体" w:cs="宋体"/>
                <w:color w:val="auto"/>
                <w:sz w:val="24"/>
                <w:szCs w:val="24"/>
                <w:highlight w:val="none"/>
              </w:rPr>
            </w:pPr>
          </w:p>
        </w:tc>
        <w:tc>
          <w:tcPr>
            <w:tcW w:w="710" w:type="dxa"/>
            <w:vAlign w:val="center"/>
          </w:tcPr>
          <w:p w14:paraId="71716B7A">
            <w:pPr>
              <w:spacing w:line="240" w:lineRule="auto"/>
              <w:ind w:firstLine="240"/>
              <w:jc w:val="center"/>
              <w:rPr>
                <w:rFonts w:hint="default" w:ascii="宋体" w:hAnsi="宋体" w:eastAsia="宋体" w:cs="宋体"/>
                <w:color w:val="auto"/>
                <w:sz w:val="24"/>
                <w:szCs w:val="24"/>
                <w:highlight w:val="none"/>
              </w:rPr>
            </w:pPr>
          </w:p>
        </w:tc>
        <w:tc>
          <w:tcPr>
            <w:tcW w:w="1136" w:type="dxa"/>
            <w:vAlign w:val="center"/>
          </w:tcPr>
          <w:p w14:paraId="61088823">
            <w:pPr>
              <w:spacing w:line="240" w:lineRule="auto"/>
              <w:ind w:firstLine="240"/>
              <w:jc w:val="center"/>
              <w:rPr>
                <w:rFonts w:hint="default" w:ascii="宋体" w:hAnsi="宋体" w:eastAsia="宋体" w:cs="宋体"/>
                <w:color w:val="auto"/>
                <w:sz w:val="24"/>
                <w:szCs w:val="24"/>
                <w:highlight w:val="none"/>
              </w:rPr>
            </w:pPr>
          </w:p>
        </w:tc>
        <w:tc>
          <w:tcPr>
            <w:tcW w:w="852" w:type="dxa"/>
            <w:vAlign w:val="center"/>
          </w:tcPr>
          <w:p w14:paraId="19F12B03">
            <w:pPr>
              <w:spacing w:line="240" w:lineRule="auto"/>
              <w:ind w:firstLine="240"/>
              <w:jc w:val="center"/>
              <w:rPr>
                <w:rFonts w:hint="default" w:ascii="宋体" w:hAnsi="宋体" w:eastAsia="宋体" w:cs="宋体"/>
                <w:color w:val="auto"/>
                <w:sz w:val="24"/>
                <w:szCs w:val="24"/>
                <w:highlight w:val="none"/>
              </w:rPr>
            </w:pPr>
          </w:p>
        </w:tc>
        <w:tc>
          <w:tcPr>
            <w:tcW w:w="1083" w:type="dxa"/>
            <w:vAlign w:val="center"/>
          </w:tcPr>
          <w:p w14:paraId="41272EEF">
            <w:pPr>
              <w:spacing w:line="240" w:lineRule="auto"/>
              <w:ind w:firstLine="240"/>
              <w:jc w:val="center"/>
              <w:rPr>
                <w:rFonts w:hint="default" w:ascii="宋体" w:hAnsi="宋体" w:eastAsia="宋体" w:cs="宋体"/>
                <w:color w:val="auto"/>
                <w:sz w:val="24"/>
                <w:szCs w:val="24"/>
                <w:highlight w:val="none"/>
              </w:rPr>
            </w:pPr>
          </w:p>
        </w:tc>
        <w:tc>
          <w:tcPr>
            <w:tcW w:w="1004" w:type="dxa"/>
            <w:vAlign w:val="center"/>
          </w:tcPr>
          <w:p w14:paraId="40020A4D">
            <w:pPr>
              <w:spacing w:line="240" w:lineRule="auto"/>
              <w:ind w:firstLine="240"/>
              <w:jc w:val="center"/>
              <w:rPr>
                <w:rFonts w:hint="default" w:ascii="宋体" w:hAnsi="宋体" w:eastAsia="宋体" w:cs="宋体"/>
                <w:color w:val="auto"/>
                <w:sz w:val="24"/>
                <w:szCs w:val="24"/>
                <w:highlight w:val="none"/>
              </w:rPr>
            </w:pPr>
          </w:p>
        </w:tc>
        <w:tc>
          <w:tcPr>
            <w:tcW w:w="1330" w:type="dxa"/>
            <w:vAlign w:val="center"/>
          </w:tcPr>
          <w:p w14:paraId="31C9440D">
            <w:pPr>
              <w:spacing w:line="240" w:lineRule="auto"/>
              <w:ind w:firstLine="240"/>
              <w:jc w:val="center"/>
              <w:rPr>
                <w:rFonts w:hint="default" w:ascii="宋体" w:hAnsi="宋体" w:eastAsia="宋体" w:cs="宋体"/>
                <w:color w:val="auto"/>
                <w:sz w:val="24"/>
                <w:szCs w:val="24"/>
                <w:highlight w:val="none"/>
              </w:rPr>
            </w:pPr>
          </w:p>
        </w:tc>
        <w:tc>
          <w:tcPr>
            <w:tcW w:w="1070" w:type="dxa"/>
            <w:vAlign w:val="center"/>
          </w:tcPr>
          <w:p w14:paraId="2BDEC04C">
            <w:pPr>
              <w:spacing w:line="240" w:lineRule="auto"/>
              <w:ind w:firstLine="240"/>
              <w:jc w:val="center"/>
              <w:rPr>
                <w:rFonts w:hint="default" w:ascii="宋体" w:hAnsi="宋体" w:eastAsia="宋体" w:cs="宋体"/>
                <w:color w:val="auto"/>
                <w:sz w:val="24"/>
                <w:szCs w:val="24"/>
                <w:highlight w:val="none"/>
              </w:rPr>
            </w:pPr>
          </w:p>
        </w:tc>
      </w:tr>
      <w:tr w14:paraId="750F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vAlign w:val="center"/>
          </w:tcPr>
          <w:p w14:paraId="58F70702">
            <w:pPr>
              <w:spacing w:line="240" w:lineRule="auto"/>
              <w:ind w:firstLine="240"/>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…专业负责人</w:t>
            </w:r>
          </w:p>
        </w:tc>
        <w:tc>
          <w:tcPr>
            <w:tcW w:w="709" w:type="dxa"/>
            <w:vAlign w:val="center"/>
          </w:tcPr>
          <w:p w14:paraId="56052AD0">
            <w:pPr>
              <w:spacing w:line="240" w:lineRule="auto"/>
              <w:ind w:firstLine="240"/>
              <w:jc w:val="center"/>
              <w:rPr>
                <w:rFonts w:hint="default" w:ascii="宋体" w:hAnsi="宋体" w:eastAsia="宋体" w:cs="宋体"/>
                <w:color w:val="auto"/>
                <w:sz w:val="24"/>
                <w:szCs w:val="24"/>
                <w:highlight w:val="none"/>
              </w:rPr>
            </w:pPr>
          </w:p>
        </w:tc>
        <w:tc>
          <w:tcPr>
            <w:tcW w:w="710" w:type="dxa"/>
            <w:vAlign w:val="center"/>
          </w:tcPr>
          <w:p w14:paraId="7391396C">
            <w:pPr>
              <w:spacing w:line="240" w:lineRule="auto"/>
              <w:ind w:firstLine="240"/>
              <w:jc w:val="center"/>
              <w:rPr>
                <w:rFonts w:hint="default" w:ascii="宋体" w:hAnsi="宋体" w:eastAsia="宋体" w:cs="宋体"/>
                <w:color w:val="auto"/>
                <w:sz w:val="24"/>
                <w:szCs w:val="24"/>
                <w:highlight w:val="none"/>
              </w:rPr>
            </w:pPr>
          </w:p>
        </w:tc>
        <w:tc>
          <w:tcPr>
            <w:tcW w:w="1136" w:type="dxa"/>
            <w:vAlign w:val="center"/>
          </w:tcPr>
          <w:p w14:paraId="56073890">
            <w:pPr>
              <w:spacing w:line="240" w:lineRule="auto"/>
              <w:ind w:firstLine="240"/>
              <w:jc w:val="center"/>
              <w:rPr>
                <w:rFonts w:hint="default" w:ascii="宋体" w:hAnsi="宋体" w:eastAsia="宋体" w:cs="宋体"/>
                <w:color w:val="auto"/>
                <w:sz w:val="24"/>
                <w:szCs w:val="24"/>
                <w:highlight w:val="none"/>
              </w:rPr>
            </w:pPr>
          </w:p>
        </w:tc>
        <w:tc>
          <w:tcPr>
            <w:tcW w:w="852" w:type="dxa"/>
            <w:vAlign w:val="center"/>
          </w:tcPr>
          <w:p w14:paraId="28BEFF89">
            <w:pPr>
              <w:spacing w:line="240" w:lineRule="auto"/>
              <w:ind w:firstLine="240"/>
              <w:jc w:val="center"/>
              <w:rPr>
                <w:rFonts w:hint="default" w:ascii="宋体" w:hAnsi="宋体" w:eastAsia="宋体" w:cs="宋体"/>
                <w:color w:val="auto"/>
                <w:sz w:val="24"/>
                <w:szCs w:val="24"/>
                <w:highlight w:val="none"/>
              </w:rPr>
            </w:pPr>
          </w:p>
        </w:tc>
        <w:tc>
          <w:tcPr>
            <w:tcW w:w="1083" w:type="dxa"/>
            <w:vAlign w:val="center"/>
          </w:tcPr>
          <w:p w14:paraId="1C27E693">
            <w:pPr>
              <w:spacing w:line="240" w:lineRule="auto"/>
              <w:ind w:firstLine="240"/>
              <w:jc w:val="center"/>
              <w:rPr>
                <w:rFonts w:hint="default" w:ascii="宋体" w:hAnsi="宋体" w:eastAsia="宋体" w:cs="宋体"/>
                <w:color w:val="auto"/>
                <w:sz w:val="24"/>
                <w:szCs w:val="24"/>
                <w:highlight w:val="none"/>
              </w:rPr>
            </w:pPr>
          </w:p>
        </w:tc>
        <w:tc>
          <w:tcPr>
            <w:tcW w:w="1004" w:type="dxa"/>
            <w:vAlign w:val="center"/>
          </w:tcPr>
          <w:p w14:paraId="6AC86D27">
            <w:pPr>
              <w:spacing w:line="240" w:lineRule="auto"/>
              <w:ind w:firstLine="240"/>
              <w:jc w:val="center"/>
              <w:rPr>
                <w:rFonts w:hint="default" w:ascii="宋体" w:hAnsi="宋体" w:eastAsia="宋体" w:cs="宋体"/>
                <w:color w:val="auto"/>
                <w:sz w:val="24"/>
                <w:szCs w:val="24"/>
                <w:highlight w:val="none"/>
              </w:rPr>
            </w:pPr>
          </w:p>
        </w:tc>
        <w:tc>
          <w:tcPr>
            <w:tcW w:w="1330" w:type="dxa"/>
            <w:vAlign w:val="center"/>
          </w:tcPr>
          <w:p w14:paraId="24FC904A">
            <w:pPr>
              <w:spacing w:line="240" w:lineRule="auto"/>
              <w:ind w:firstLine="240"/>
              <w:jc w:val="center"/>
              <w:rPr>
                <w:rFonts w:hint="default" w:ascii="宋体" w:hAnsi="宋体" w:eastAsia="宋体" w:cs="宋体"/>
                <w:color w:val="auto"/>
                <w:sz w:val="24"/>
                <w:szCs w:val="24"/>
                <w:highlight w:val="none"/>
              </w:rPr>
            </w:pPr>
          </w:p>
        </w:tc>
        <w:tc>
          <w:tcPr>
            <w:tcW w:w="1070" w:type="dxa"/>
            <w:vAlign w:val="center"/>
          </w:tcPr>
          <w:p w14:paraId="7384C5EC">
            <w:pPr>
              <w:spacing w:line="240" w:lineRule="auto"/>
              <w:ind w:firstLine="240"/>
              <w:jc w:val="center"/>
              <w:rPr>
                <w:rFonts w:hint="default" w:ascii="宋体" w:hAnsi="宋体" w:eastAsia="宋体" w:cs="宋体"/>
                <w:color w:val="auto"/>
                <w:sz w:val="24"/>
                <w:szCs w:val="24"/>
                <w:highlight w:val="none"/>
              </w:rPr>
            </w:pPr>
          </w:p>
        </w:tc>
      </w:tr>
      <w:tr w14:paraId="022B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5EB73E20">
            <w:pPr>
              <w:spacing w:line="240" w:lineRule="auto"/>
              <w:ind w:firstLine="240"/>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709" w:type="dxa"/>
            <w:vAlign w:val="center"/>
          </w:tcPr>
          <w:p w14:paraId="014F70E1">
            <w:pPr>
              <w:spacing w:line="240" w:lineRule="auto"/>
              <w:ind w:firstLine="240"/>
              <w:jc w:val="center"/>
              <w:rPr>
                <w:rFonts w:hint="default" w:ascii="宋体" w:hAnsi="宋体" w:eastAsia="宋体" w:cs="宋体"/>
                <w:color w:val="auto"/>
                <w:sz w:val="24"/>
                <w:szCs w:val="24"/>
                <w:highlight w:val="none"/>
              </w:rPr>
            </w:pPr>
          </w:p>
        </w:tc>
        <w:tc>
          <w:tcPr>
            <w:tcW w:w="710" w:type="dxa"/>
            <w:vAlign w:val="center"/>
          </w:tcPr>
          <w:p w14:paraId="2F923554">
            <w:pPr>
              <w:spacing w:line="240" w:lineRule="auto"/>
              <w:ind w:firstLine="240"/>
              <w:jc w:val="center"/>
              <w:rPr>
                <w:rFonts w:hint="default" w:ascii="宋体" w:hAnsi="宋体" w:eastAsia="宋体" w:cs="宋体"/>
                <w:color w:val="auto"/>
                <w:sz w:val="24"/>
                <w:szCs w:val="24"/>
                <w:highlight w:val="none"/>
              </w:rPr>
            </w:pPr>
          </w:p>
        </w:tc>
        <w:tc>
          <w:tcPr>
            <w:tcW w:w="1136" w:type="dxa"/>
            <w:vAlign w:val="center"/>
          </w:tcPr>
          <w:p w14:paraId="2A7D8B6B">
            <w:pPr>
              <w:spacing w:line="240" w:lineRule="auto"/>
              <w:ind w:firstLine="240"/>
              <w:jc w:val="center"/>
              <w:rPr>
                <w:rFonts w:hint="default" w:ascii="宋体" w:hAnsi="宋体" w:eastAsia="宋体" w:cs="宋体"/>
                <w:color w:val="auto"/>
                <w:sz w:val="24"/>
                <w:szCs w:val="24"/>
                <w:highlight w:val="none"/>
              </w:rPr>
            </w:pPr>
          </w:p>
        </w:tc>
        <w:tc>
          <w:tcPr>
            <w:tcW w:w="852" w:type="dxa"/>
            <w:vAlign w:val="center"/>
          </w:tcPr>
          <w:p w14:paraId="6850DB37">
            <w:pPr>
              <w:spacing w:line="240" w:lineRule="auto"/>
              <w:ind w:firstLine="240"/>
              <w:jc w:val="center"/>
              <w:rPr>
                <w:rFonts w:hint="default" w:ascii="宋体" w:hAnsi="宋体" w:eastAsia="宋体" w:cs="宋体"/>
                <w:color w:val="auto"/>
                <w:sz w:val="24"/>
                <w:szCs w:val="24"/>
                <w:highlight w:val="none"/>
              </w:rPr>
            </w:pPr>
          </w:p>
        </w:tc>
        <w:tc>
          <w:tcPr>
            <w:tcW w:w="1083" w:type="dxa"/>
            <w:vAlign w:val="center"/>
          </w:tcPr>
          <w:p w14:paraId="338CB572">
            <w:pPr>
              <w:spacing w:line="240" w:lineRule="auto"/>
              <w:ind w:firstLine="240"/>
              <w:jc w:val="center"/>
              <w:rPr>
                <w:rFonts w:hint="default" w:ascii="宋体" w:hAnsi="宋体" w:eastAsia="宋体" w:cs="宋体"/>
                <w:color w:val="auto"/>
                <w:sz w:val="24"/>
                <w:szCs w:val="24"/>
                <w:highlight w:val="none"/>
              </w:rPr>
            </w:pPr>
          </w:p>
        </w:tc>
        <w:tc>
          <w:tcPr>
            <w:tcW w:w="1004" w:type="dxa"/>
            <w:vAlign w:val="center"/>
          </w:tcPr>
          <w:p w14:paraId="6D6D0871">
            <w:pPr>
              <w:spacing w:line="240" w:lineRule="auto"/>
              <w:ind w:firstLine="240"/>
              <w:jc w:val="center"/>
              <w:rPr>
                <w:rFonts w:hint="default" w:ascii="宋体" w:hAnsi="宋体" w:eastAsia="宋体" w:cs="宋体"/>
                <w:color w:val="auto"/>
                <w:sz w:val="24"/>
                <w:szCs w:val="24"/>
                <w:highlight w:val="none"/>
              </w:rPr>
            </w:pPr>
          </w:p>
        </w:tc>
        <w:tc>
          <w:tcPr>
            <w:tcW w:w="1330" w:type="dxa"/>
            <w:vAlign w:val="center"/>
          </w:tcPr>
          <w:p w14:paraId="21CF122E">
            <w:pPr>
              <w:spacing w:line="240" w:lineRule="auto"/>
              <w:ind w:firstLine="240"/>
              <w:jc w:val="center"/>
              <w:rPr>
                <w:rFonts w:hint="default" w:ascii="宋体" w:hAnsi="宋体" w:eastAsia="宋体" w:cs="宋体"/>
                <w:color w:val="auto"/>
                <w:sz w:val="24"/>
                <w:szCs w:val="24"/>
                <w:highlight w:val="none"/>
              </w:rPr>
            </w:pPr>
          </w:p>
        </w:tc>
        <w:tc>
          <w:tcPr>
            <w:tcW w:w="1070" w:type="dxa"/>
            <w:vAlign w:val="center"/>
          </w:tcPr>
          <w:p w14:paraId="432F538D">
            <w:pPr>
              <w:spacing w:line="240" w:lineRule="auto"/>
              <w:ind w:firstLine="240"/>
              <w:jc w:val="center"/>
              <w:rPr>
                <w:rFonts w:hint="default" w:ascii="宋体" w:hAnsi="宋体" w:eastAsia="宋体" w:cs="宋体"/>
                <w:color w:val="auto"/>
                <w:sz w:val="24"/>
                <w:szCs w:val="24"/>
                <w:highlight w:val="none"/>
              </w:rPr>
            </w:pPr>
          </w:p>
        </w:tc>
      </w:tr>
      <w:tr w14:paraId="6F13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4B200983">
            <w:pPr>
              <w:spacing w:line="240" w:lineRule="auto"/>
              <w:ind w:firstLine="240"/>
              <w:jc w:val="center"/>
              <w:rPr>
                <w:rFonts w:hint="default" w:ascii="宋体" w:hAnsi="宋体" w:eastAsia="宋体" w:cs="宋体"/>
                <w:color w:val="auto"/>
                <w:sz w:val="24"/>
                <w:szCs w:val="24"/>
                <w:highlight w:val="none"/>
              </w:rPr>
            </w:pPr>
          </w:p>
        </w:tc>
        <w:tc>
          <w:tcPr>
            <w:tcW w:w="709" w:type="dxa"/>
            <w:vAlign w:val="center"/>
          </w:tcPr>
          <w:p w14:paraId="046DA979">
            <w:pPr>
              <w:spacing w:line="240" w:lineRule="auto"/>
              <w:ind w:firstLine="240"/>
              <w:jc w:val="center"/>
              <w:rPr>
                <w:rFonts w:hint="default" w:ascii="宋体" w:hAnsi="宋体" w:eastAsia="宋体" w:cs="宋体"/>
                <w:color w:val="auto"/>
                <w:sz w:val="24"/>
                <w:szCs w:val="24"/>
                <w:highlight w:val="none"/>
              </w:rPr>
            </w:pPr>
          </w:p>
        </w:tc>
        <w:tc>
          <w:tcPr>
            <w:tcW w:w="710" w:type="dxa"/>
            <w:vAlign w:val="center"/>
          </w:tcPr>
          <w:p w14:paraId="21286FD4">
            <w:pPr>
              <w:spacing w:line="240" w:lineRule="auto"/>
              <w:ind w:firstLine="240"/>
              <w:jc w:val="center"/>
              <w:rPr>
                <w:rFonts w:hint="default" w:ascii="宋体" w:hAnsi="宋体" w:eastAsia="宋体" w:cs="宋体"/>
                <w:color w:val="auto"/>
                <w:sz w:val="24"/>
                <w:szCs w:val="24"/>
                <w:highlight w:val="none"/>
              </w:rPr>
            </w:pPr>
          </w:p>
        </w:tc>
        <w:tc>
          <w:tcPr>
            <w:tcW w:w="1136" w:type="dxa"/>
            <w:vAlign w:val="center"/>
          </w:tcPr>
          <w:p w14:paraId="2BAC18C8">
            <w:pPr>
              <w:spacing w:line="240" w:lineRule="auto"/>
              <w:ind w:firstLine="240"/>
              <w:jc w:val="center"/>
              <w:rPr>
                <w:rFonts w:hint="default" w:ascii="宋体" w:hAnsi="宋体" w:eastAsia="宋体" w:cs="宋体"/>
                <w:color w:val="auto"/>
                <w:sz w:val="24"/>
                <w:szCs w:val="24"/>
                <w:highlight w:val="none"/>
              </w:rPr>
            </w:pPr>
          </w:p>
        </w:tc>
        <w:tc>
          <w:tcPr>
            <w:tcW w:w="852" w:type="dxa"/>
            <w:vAlign w:val="center"/>
          </w:tcPr>
          <w:p w14:paraId="7A9B0D69">
            <w:pPr>
              <w:spacing w:line="240" w:lineRule="auto"/>
              <w:ind w:firstLine="240"/>
              <w:jc w:val="center"/>
              <w:rPr>
                <w:rFonts w:hint="default" w:ascii="宋体" w:hAnsi="宋体" w:eastAsia="宋体" w:cs="宋体"/>
                <w:color w:val="auto"/>
                <w:sz w:val="24"/>
                <w:szCs w:val="24"/>
                <w:highlight w:val="none"/>
              </w:rPr>
            </w:pPr>
          </w:p>
        </w:tc>
        <w:tc>
          <w:tcPr>
            <w:tcW w:w="1083" w:type="dxa"/>
            <w:vAlign w:val="center"/>
          </w:tcPr>
          <w:p w14:paraId="038BEB4E">
            <w:pPr>
              <w:spacing w:line="240" w:lineRule="auto"/>
              <w:ind w:firstLine="240"/>
              <w:jc w:val="center"/>
              <w:rPr>
                <w:rFonts w:hint="default" w:ascii="宋体" w:hAnsi="宋体" w:eastAsia="宋体" w:cs="宋体"/>
                <w:color w:val="auto"/>
                <w:sz w:val="24"/>
                <w:szCs w:val="24"/>
                <w:highlight w:val="none"/>
              </w:rPr>
            </w:pPr>
          </w:p>
        </w:tc>
        <w:tc>
          <w:tcPr>
            <w:tcW w:w="1004" w:type="dxa"/>
            <w:vAlign w:val="center"/>
          </w:tcPr>
          <w:p w14:paraId="2D5BAE20">
            <w:pPr>
              <w:spacing w:line="240" w:lineRule="auto"/>
              <w:ind w:firstLine="240"/>
              <w:jc w:val="center"/>
              <w:rPr>
                <w:rFonts w:hint="default" w:ascii="宋体" w:hAnsi="宋体" w:eastAsia="宋体" w:cs="宋体"/>
                <w:color w:val="auto"/>
                <w:sz w:val="24"/>
                <w:szCs w:val="24"/>
                <w:highlight w:val="none"/>
              </w:rPr>
            </w:pPr>
          </w:p>
        </w:tc>
        <w:tc>
          <w:tcPr>
            <w:tcW w:w="1330" w:type="dxa"/>
            <w:vAlign w:val="center"/>
          </w:tcPr>
          <w:p w14:paraId="4D01CB2E">
            <w:pPr>
              <w:spacing w:line="240" w:lineRule="auto"/>
              <w:ind w:firstLine="240"/>
              <w:jc w:val="center"/>
              <w:rPr>
                <w:rFonts w:hint="default" w:ascii="宋体" w:hAnsi="宋体" w:eastAsia="宋体" w:cs="宋体"/>
                <w:color w:val="auto"/>
                <w:sz w:val="24"/>
                <w:szCs w:val="24"/>
                <w:highlight w:val="none"/>
              </w:rPr>
            </w:pPr>
          </w:p>
        </w:tc>
        <w:tc>
          <w:tcPr>
            <w:tcW w:w="1070" w:type="dxa"/>
            <w:vAlign w:val="center"/>
          </w:tcPr>
          <w:p w14:paraId="554D6E8D">
            <w:pPr>
              <w:spacing w:line="240" w:lineRule="auto"/>
              <w:ind w:firstLine="240"/>
              <w:jc w:val="center"/>
              <w:rPr>
                <w:rFonts w:hint="default" w:ascii="宋体" w:hAnsi="宋体" w:eastAsia="宋体" w:cs="宋体"/>
                <w:color w:val="auto"/>
                <w:sz w:val="24"/>
                <w:szCs w:val="24"/>
                <w:highlight w:val="none"/>
              </w:rPr>
            </w:pPr>
          </w:p>
        </w:tc>
      </w:tr>
      <w:tr w14:paraId="359E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1E347E93">
            <w:pPr>
              <w:spacing w:line="240" w:lineRule="auto"/>
              <w:ind w:firstLine="240"/>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技术人员</w:t>
            </w:r>
          </w:p>
        </w:tc>
        <w:tc>
          <w:tcPr>
            <w:tcW w:w="709" w:type="dxa"/>
            <w:vAlign w:val="center"/>
          </w:tcPr>
          <w:p w14:paraId="014DA4DA">
            <w:pPr>
              <w:spacing w:line="240" w:lineRule="auto"/>
              <w:ind w:firstLine="240"/>
              <w:jc w:val="center"/>
              <w:rPr>
                <w:rFonts w:hint="default" w:ascii="宋体" w:hAnsi="宋体" w:eastAsia="宋体" w:cs="宋体"/>
                <w:color w:val="auto"/>
                <w:sz w:val="24"/>
                <w:szCs w:val="24"/>
                <w:highlight w:val="none"/>
              </w:rPr>
            </w:pPr>
          </w:p>
        </w:tc>
        <w:tc>
          <w:tcPr>
            <w:tcW w:w="710" w:type="dxa"/>
            <w:vAlign w:val="center"/>
          </w:tcPr>
          <w:p w14:paraId="2C2A5C24">
            <w:pPr>
              <w:spacing w:line="240" w:lineRule="auto"/>
              <w:ind w:firstLine="240"/>
              <w:jc w:val="center"/>
              <w:rPr>
                <w:rFonts w:hint="default" w:ascii="宋体" w:hAnsi="宋体" w:eastAsia="宋体" w:cs="宋体"/>
                <w:color w:val="auto"/>
                <w:sz w:val="24"/>
                <w:szCs w:val="24"/>
                <w:highlight w:val="none"/>
              </w:rPr>
            </w:pPr>
          </w:p>
        </w:tc>
        <w:tc>
          <w:tcPr>
            <w:tcW w:w="1136" w:type="dxa"/>
            <w:vAlign w:val="center"/>
          </w:tcPr>
          <w:p w14:paraId="35A1DED9">
            <w:pPr>
              <w:spacing w:line="240" w:lineRule="auto"/>
              <w:ind w:firstLine="240"/>
              <w:jc w:val="center"/>
              <w:rPr>
                <w:rFonts w:hint="default" w:ascii="宋体" w:hAnsi="宋体" w:eastAsia="宋体" w:cs="宋体"/>
                <w:color w:val="auto"/>
                <w:sz w:val="24"/>
                <w:szCs w:val="24"/>
                <w:highlight w:val="none"/>
              </w:rPr>
            </w:pPr>
          </w:p>
        </w:tc>
        <w:tc>
          <w:tcPr>
            <w:tcW w:w="852" w:type="dxa"/>
            <w:vAlign w:val="center"/>
          </w:tcPr>
          <w:p w14:paraId="392EFF7F">
            <w:pPr>
              <w:spacing w:line="240" w:lineRule="auto"/>
              <w:ind w:firstLine="240"/>
              <w:jc w:val="center"/>
              <w:rPr>
                <w:rFonts w:hint="default" w:ascii="宋体" w:hAnsi="宋体" w:eastAsia="宋体" w:cs="宋体"/>
                <w:color w:val="auto"/>
                <w:sz w:val="24"/>
                <w:szCs w:val="24"/>
                <w:highlight w:val="none"/>
              </w:rPr>
            </w:pPr>
          </w:p>
        </w:tc>
        <w:tc>
          <w:tcPr>
            <w:tcW w:w="1083" w:type="dxa"/>
            <w:vAlign w:val="center"/>
          </w:tcPr>
          <w:p w14:paraId="5F137BC9">
            <w:pPr>
              <w:spacing w:line="240" w:lineRule="auto"/>
              <w:ind w:firstLine="240"/>
              <w:jc w:val="center"/>
              <w:rPr>
                <w:rFonts w:hint="default" w:ascii="宋体" w:hAnsi="宋体" w:eastAsia="宋体" w:cs="宋体"/>
                <w:color w:val="auto"/>
                <w:sz w:val="24"/>
                <w:szCs w:val="24"/>
                <w:highlight w:val="none"/>
              </w:rPr>
            </w:pPr>
          </w:p>
        </w:tc>
        <w:tc>
          <w:tcPr>
            <w:tcW w:w="1004" w:type="dxa"/>
            <w:vAlign w:val="center"/>
          </w:tcPr>
          <w:p w14:paraId="113DD586">
            <w:pPr>
              <w:spacing w:line="240" w:lineRule="auto"/>
              <w:ind w:firstLine="240"/>
              <w:jc w:val="center"/>
              <w:rPr>
                <w:rFonts w:hint="default" w:ascii="宋体" w:hAnsi="宋体" w:eastAsia="宋体" w:cs="宋体"/>
                <w:color w:val="auto"/>
                <w:sz w:val="24"/>
                <w:szCs w:val="24"/>
                <w:highlight w:val="none"/>
              </w:rPr>
            </w:pPr>
          </w:p>
        </w:tc>
        <w:tc>
          <w:tcPr>
            <w:tcW w:w="1330" w:type="dxa"/>
            <w:vAlign w:val="center"/>
          </w:tcPr>
          <w:p w14:paraId="1D10EFF7">
            <w:pPr>
              <w:spacing w:line="240" w:lineRule="auto"/>
              <w:ind w:firstLine="240"/>
              <w:jc w:val="center"/>
              <w:rPr>
                <w:rFonts w:hint="default" w:ascii="宋体" w:hAnsi="宋体" w:eastAsia="宋体" w:cs="宋体"/>
                <w:color w:val="auto"/>
                <w:sz w:val="24"/>
                <w:szCs w:val="24"/>
                <w:highlight w:val="none"/>
              </w:rPr>
            </w:pPr>
          </w:p>
        </w:tc>
        <w:tc>
          <w:tcPr>
            <w:tcW w:w="1070" w:type="dxa"/>
            <w:vAlign w:val="center"/>
          </w:tcPr>
          <w:p w14:paraId="1E734A49">
            <w:pPr>
              <w:spacing w:line="240" w:lineRule="auto"/>
              <w:ind w:firstLine="240"/>
              <w:jc w:val="center"/>
              <w:rPr>
                <w:rFonts w:hint="default" w:ascii="宋体" w:hAnsi="宋体" w:eastAsia="宋体" w:cs="宋体"/>
                <w:color w:val="auto"/>
                <w:sz w:val="24"/>
                <w:szCs w:val="24"/>
                <w:highlight w:val="none"/>
              </w:rPr>
            </w:pPr>
          </w:p>
        </w:tc>
      </w:tr>
      <w:tr w14:paraId="601A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7F914458">
            <w:pPr>
              <w:spacing w:line="240" w:lineRule="auto"/>
              <w:ind w:firstLine="240"/>
              <w:jc w:val="center"/>
              <w:rPr>
                <w:rFonts w:hint="default" w:ascii="宋体" w:hAnsi="宋体" w:eastAsia="宋体" w:cs="宋体"/>
                <w:color w:val="auto"/>
                <w:sz w:val="24"/>
                <w:szCs w:val="24"/>
                <w:highlight w:val="none"/>
              </w:rPr>
            </w:pPr>
          </w:p>
        </w:tc>
        <w:tc>
          <w:tcPr>
            <w:tcW w:w="709" w:type="dxa"/>
            <w:vAlign w:val="center"/>
          </w:tcPr>
          <w:p w14:paraId="7E506B18">
            <w:pPr>
              <w:spacing w:line="240" w:lineRule="auto"/>
              <w:ind w:firstLine="240"/>
              <w:jc w:val="center"/>
              <w:rPr>
                <w:rFonts w:hint="default" w:ascii="宋体" w:hAnsi="宋体" w:eastAsia="宋体" w:cs="宋体"/>
                <w:color w:val="auto"/>
                <w:sz w:val="24"/>
                <w:szCs w:val="24"/>
                <w:highlight w:val="none"/>
              </w:rPr>
            </w:pPr>
          </w:p>
        </w:tc>
        <w:tc>
          <w:tcPr>
            <w:tcW w:w="710" w:type="dxa"/>
            <w:vAlign w:val="center"/>
          </w:tcPr>
          <w:p w14:paraId="6535BEFE">
            <w:pPr>
              <w:spacing w:line="240" w:lineRule="auto"/>
              <w:ind w:firstLine="240"/>
              <w:jc w:val="center"/>
              <w:rPr>
                <w:rFonts w:hint="default" w:ascii="宋体" w:hAnsi="宋体" w:eastAsia="宋体" w:cs="宋体"/>
                <w:color w:val="auto"/>
                <w:sz w:val="24"/>
                <w:szCs w:val="24"/>
                <w:highlight w:val="none"/>
              </w:rPr>
            </w:pPr>
          </w:p>
        </w:tc>
        <w:tc>
          <w:tcPr>
            <w:tcW w:w="1136" w:type="dxa"/>
            <w:vAlign w:val="center"/>
          </w:tcPr>
          <w:p w14:paraId="29136EC6">
            <w:pPr>
              <w:spacing w:line="240" w:lineRule="auto"/>
              <w:ind w:firstLine="240"/>
              <w:jc w:val="center"/>
              <w:rPr>
                <w:rFonts w:hint="default" w:ascii="宋体" w:hAnsi="宋体" w:eastAsia="宋体" w:cs="宋体"/>
                <w:color w:val="auto"/>
                <w:sz w:val="24"/>
                <w:szCs w:val="24"/>
                <w:highlight w:val="none"/>
              </w:rPr>
            </w:pPr>
          </w:p>
        </w:tc>
        <w:tc>
          <w:tcPr>
            <w:tcW w:w="852" w:type="dxa"/>
            <w:vAlign w:val="center"/>
          </w:tcPr>
          <w:p w14:paraId="39C51A37">
            <w:pPr>
              <w:spacing w:line="240" w:lineRule="auto"/>
              <w:ind w:firstLine="240"/>
              <w:jc w:val="center"/>
              <w:rPr>
                <w:rFonts w:hint="default" w:ascii="宋体" w:hAnsi="宋体" w:eastAsia="宋体" w:cs="宋体"/>
                <w:color w:val="auto"/>
                <w:sz w:val="24"/>
                <w:szCs w:val="24"/>
                <w:highlight w:val="none"/>
              </w:rPr>
            </w:pPr>
          </w:p>
        </w:tc>
        <w:tc>
          <w:tcPr>
            <w:tcW w:w="1083" w:type="dxa"/>
            <w:vAlign w:val="center"/>
          </w:tcPr>
          <w:p w14:paraId="476F4922">
            <w:pPr>
              <w:spacing w:line="240" w:lineRule="auto"/>
              <w:ind w:firstLine="240"/>
              <w:jc w:val="center"/>
              <w:rPr>
                <w:rFonts w:hint="default" w:ascii="宋体" w:hAnsi="宋体" w:eastAsia="宋体" w:cs="宋体"/>
                <w:color w:val="auto"/>
                <w:sz w:val="24"/>
                <w:szCs w:val="24"/>
                <w:highlight w:val="none"/>
              </w:rPr>
            </w:pPr>
          </w:p>
        </w:tc>
        <w:tc>
          <w:tcPr>
            <w:tcW w:w="1004" w:type="dxa"/>
            <w:vAlign w:val="center"/>
          </w:tcPr>
          <w:p w14:paraId="30BA79B7">
            <w:pPr>
              <w:spacing w:line="240" w:lineRule="auto"/>
              <w:ind w:firstLine="240"/>
              <w:jc w:val="center"/>
              <w:rPr>
                <w:rFonts w:hint="default" w:ascii="宋体" w:hAnsi="宋体" w:eastAsia="宋体" w:cs="宋体"/>
                <w:color w:val="auto"/>
                <w:sz w:val="24"/>
                <w:szCs w:val="24"/>
                <w:highlight w:val="none"/>
              </w:rPr>
            </w:pPr>
          </w:p>
        </w:tc>
        <w:tc>
          <w:tcPr>
            <w:tcW w:w="1330" w:type="dxa"/>
            <w:vAlign w:val="center"/>
          </w:tcPr>
          <w:p w14:paraId="2BE2B767">
            <w:pPr>
              <w:spacing w:line="240" w:lineRule="auto"/>
              <w:ind w:firstLine="240"/>
              <w:jc w:val="center"/>
              <w:rPr>
                <w:rFonts w:hint="default" w:ascii="宋体" w:hAnsi="宋体" w:eastAsia="宋体" w:cs="宋体"/>
                <w:color w:val="auto"/>
                <w:sz w:val="24"/>
                <w:szCs w:val="24"/>
                <w:highlight w:val="none"/>
              </w:rPr>
            </w:pPr>
          </w:p>
        </w:tc>
        <w:tc>
          <w:tcPr>
            <w:tcW w:w="1070" w:type="dxa"/>
            <w:vAlign w:val="center"/>
          </w:tcPr>
          <w:p w14:paraId="699BD2C3">
            <w:pPr>
              <w:spacing w:line="240" w:lineRule="auto"/>
              <w:ind w:firstLine="240"/>
              <w:jc w:val="center"/>
              <w:rPr>
                <w:rFonts w:hint="default" w:ascii="宋体" w:hAnsi="宋体" w:eastAsia="宋体" w:cs="宋体"/>
                <w:color w:val="auto"/>
                <w:sz w:val="24"/>
                <w:szCs w:val="24"/>
                <w:highlight w:val="none"/>
              </w:rPr>
            </w:pPr>
          </w:p>
        </w:tc>
      </w:tr>
      <w:tr w14:paraId="154E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25DC6039">
            <w:pPr>
              <w:spacing w:line="240" w:lineRule="auto"/>
              <w:ind w:firstLine="240"/>
              <w:jc w:val="center"/>
              <w:rPr>
                <w:rFonts w:hint="default" w:ascii="宋体" w:hAnsi="宋体" w:eastAsia="宋体" w:cs="宋体"/>
                <w:color w:val="auto"/>
                <w:sz w:val="24"/>
                <w:szCs w:val="24"/>
                <w:highlight w:val="none"/>
              </w:rPr>
            </w:pPr>
          </w:p>
        </w:tc>
        <w:tc>
          <w:tcPr>
            <w:tcW w:w="709" w:type="dxa"/>
            <w:vAlign w:val="center"/>
          </w:tcPr>
          <w:p w14:paraId="5DAB75CC">
            <w:pPr>
              <w:spacing w:line="240" w:lineRule="auto"/>
              <w:ind w:firstLine="240"/>
              <w:jc w:val="center"/>
              <w:rPr>
                <w:rFonts w:hint="default" w:ascii="宋体" w:hAnsi="宋体" w:eastAsia="宋体" w:cs="宋体"/>
                <w:color w:val="auto"/>
                <w:sz w:val="24"/>
                <w:szCs w:val="24"/>
                <w:highlight w:val="none"/>
              </w:rPr>
            </w:pPr>
          </w:p>
        </w:tc>
        <w:tc>
          <w:tcPr>
            <w:tcW w:w="710" w:type="dxa"/>
            <w:vAlign w:val="center"/>
          </w:tcPr>
          <w:p w14:paraId="72707F13">
            <w:pPr>
              <w:spacing w:line="240" w:lineRule="auto"/>
              <w:ind w:firstLine="240"/>
              <w:jc w:val="center"/>
              <w:rPr>
                <w:rFonts w:hint="default" w:ascii="宋体" w:hAnsi="宋体" w:eastAsia="宋体" w:cs="宋体"/>
                <w:color w:val="auto"/>
                <w:sz w:val="24"/>
                <w:szCs w:val="24"/>
                <w:highlight w:val="none"/>
              </w:rPr>
            </w:pPr>
          </w:p>
        </w:tc>
        <w:tc>
          <w:tcPr>
            <w:tcW w:w="1136" w:type="dxa"/>
            <w:vAlign w:val="center"/>
          </w:tcPr>
          <w:p w14:paraId="23E05FA0">
            <w:pPr>
              <w:spacing w:line="240" w:lineRule="auto"/>
              <w:ind w:firstLine="240"/>
              <w:jc w:val="center"/>
              <w:rPr>
                <w:rFonts w:hint="default" w:ascii="宋体" w:hAnsi="宋体" w:eastAsia="宋体" w:cs="宋体"/>
                <w:color w:val="auto"/>
                <w:sz w:val="24"/>
                <w:szCs w:val="24"/>
                <w:highlight w:val="none"/>
              </w:rPr>
            </w:pPr>
          </w:p>
        </w:tc>
        <w:tc>
          <w:tcPr>
            <w:tcW w:w="852" w:type="dxa"/>
            <w:vAlign w:val="center"/>
          </w:tcPr>
          <w:p w14:paraId="78478245">
            <w:pPr>
              <w:spacing w:line="240" w:lineRule="auto"/>
              <w:ind w:firstLine="240"/>
              <w:jc w:val="center"/>
              <w:rPr>
                <w:rFonts w:hint="default" w:ascii="宋体" w:hAnsi="宋体" w:eastAsia="宋体" w:cs="宋体"/>
                <w:color w:val="auto"/>
                <w:sz w:val="24"/>
                <w:szCs w:val="24"/>
                <w:highlight w:val="none"/>
              </w:rPr>
            </w:pPr>
          </w:p>
        </w:tc>
        <w:tc>
          <w:tcPr>
            <w:tcW w:w="1083" w:type="dxa"/>
            <w:vAlign w:val="center"/>
          </w:tcPr>
          <w:p w14:paraId="19109539">
            <w:pPr>
              <w:spacing w:line="240" w:lineRule="auto"/>
              <w:ind w:firstLine="240"/>
              <w:jc w:val="center"/>
              <w:rPr>
                <w:rFonts w:hint="default" w:ascii="宋体" w:hAnsi="宋体" w:eastAsia="宋体" w:cs="宋体"/>
                <w:color w:val="auto"/>
                <w:sz w:val="24"/>
                <w:szCs w:val="24"/>
                <w:highlight w:val="none"/>
              </w:rPr>
            </w:pPr>
          </w:p>
        </w:tc>
        <w:tc>
          <w:tcPr>
            <w:tcW w:w="1004" w:type="dxa"/>
            <w:vAlign w:val="center"/>
          </w:tcPr>
          <w:p w14:paraId="606BAA78">
            <w:pPr>
              <w:spacing w:line="240" w:lineRule="auto"/>
              <w:ind w:firstLine="240"/>
              <w:jc w:val="center"/>
              <w:rPr>
                <w:rFonts w:hint="default" w:ascii="宋体" w:hAnsi="宋体" w:eastAsia="宋体" w:cs="宋体"/>
                <w:color w:val="auto"/>
                <w:sz w:val="24"/>
                <w:szCs w:val="24"/>
                <w:highlight w:val="none"/>
              </w:rPr>
            </w:pPr>
          </w:p>
        </w:tc>
        <w:tc>
          <w:tcPr>
            <w:tcW w:w="1330" w:type="dxa"/>
            <w:vAlign w:val="center"/>
          </w:tcPr>
          <w:p w14:paraId="6D1E19E6">
            <w:pPr>
              <w:spacing w:line="240" w:lineRule="auto"/>
              <w:ind w:firstLine="240"/>
              <w:jc w:val="center"/>
              <w:rPr>
                <w:rFonts w:hint="default" w:ascii="宋体" w:hAnsi="宋体" w:eastAsia="宋体" w:cs="宋体"/>
                <w:color w:val="auto"/>
                <w:sz w:val="24"/>
                <w:szCs w:val="24"/>
                <w:highlight w:val="none"/>
              </w:rPr>
            </w:pPr>
          </w:p>
        </w:tc>
        <w:tc>
          <w:tcPr>
            <w:tcW w:w="1070" w:type="dxa"/>
            <w:vAlign w:val="center"/>
          </w:tcPr>
          <w:p w14:paraId="6DD5B9FA">
            <w:pPr>
              <w:spacing w:line="240" w:lineRule="auto"/>
              <w:ind w:firstLine="240"/>
              <w:jc w:val="center"/>
              <w:rPr>
                <w:rFonts w:hint="default" w:ascii="宋体" w:hAnsi="宋体" w:eastAsia="宋体" w:cs="宋体"/>
                <w:color w:val="auto"/>
                <w:sz w:val="24"/>
                <w:szCs w:val="24"/>
                <w:highlight w:val="none"/>
              </w:rPr>
            </w:pPr>
          </w:p>
        </w:tc>
      </w:tr>
      <w:tr w14:paraId="313C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24ADDD68">
            <w:pPr>
              <w:spacing w:line="240" w:lineRule="auto"/>
              <w:ind w:firstLine="240"/>
              <w:jc w:val="center"/>
              <w:rPr>
                <w:rFonts w:hint="default" w:ascii="宋体" w:hAnsi="宋体" w:eastAsia="宋体" w:cs="宋体"/>
                <w:color w:val="auto"/>
                <w:sz w:val="24"/>
                <w:szCs w:val="24"/>
                <w:highlight w:val="none"/>
              </w:rPr>
            </w:pPr>
          </w:p>
        </w:tc>
        <w:tc>
          <w:tcPr>
            <w:tcW w:w="709" w:type="dxa"/>
            <w:vAlign w:val="center"/>
          </w:tcPr>
          <w:p w14:paraId="63CD2F1D">
            <w:pPr>
              <w:spacing w:line="240" w:lineRule="auto"/>
              <w:ind w:firstLine="240"/>
              <w:jc w:val="center"/>
              <w:rPr>
                <w:rFonts w:hint="default" w:ascii="宋体" w:hAnsi="宋体" w:eastAsia="宋体" w:cs="宋体"/>
                <w:color w:val="auto"/>
                <w:sz w:val="24"/>
                <w:szCs w:val="24"/>
                <w:highlight w:val="none"/>
              </w:rPr>
            </w:pPr>
          </w:p>
        </w:tc>
        <w:tc>
          <w:tcPr>
            <w:tcW w:w="710" w:type="dxa"/>
            <w:vAlign w:val="center"/>
          </w:tcPr>
          <w:p w14:paraId="662E1900">
            <w:pPr>
              <w:spacing w:line="240" w:lineRule="auto"/>
              <w:ind w:firstLine="240"/>
              <w:jc w:val="center"/>
              <w:rPr>
                <w:rFonts w:hint="default" w:ascii="宋体" w:hAnsi="宋体" w:eastAsia="宋体" w:cs="宋体"/>
                <w:color w:val="auto"/>
                <w:sz w:val="24"/>
                <w:szCs w:val="24"/>
                <w:highlight w:val="none"/>
              </w:rPr>
            </w:pPr>
          </w:p>
        </w:tc>
        <w:tc>
          <w:tcPr>
            <w:tcW w:w="1136" w:type="dxa"/>
            <w:vAlign w:val="center"/>
          </w:tcPr>
          <w:p w14:paraId="1FAC74CF">
            <w:pPr>
              <w:spacing w:line="240" w:lineRule="auto"/>
              <w:ind w:firstLine="240"/>
              <w:jc w:val="center"/>
              <w:rPr>
                <w:rFonts w:hint="default" w:ascii="宋体" w:hAnsi="宋体" w:eastAsia="宋体" w:cs="宋体"/>
                <w:color w:val="auto"/>
                <w:sz w:val="24"/>
                <w:szCs w:val="24"/>
                <w:highlight w:val="none"/>
              </w:rPr>
            </w:pPr>
          </w:p>
        </w:tc>
        <w:tc>
          <w:tcPr>
            <w:tcW w:w="852" w:type="dxa"/>
            <w:vAlign w:val="center"/>
          </w:tcPr>
          <w:p w14:paraId="24DE0183">
            <w:pPr>
              <w:spacing w:line="240" w:lineRule="auto"/>
              <w:ind w:firstLine="240"/>
              <w:jc w:val="center"/>
              <w:rPr>
                <w:rFonts w:hint="default" w:ascii="宋体" w:hAnsi="宋体" w:eastAsia="宋体" w:cs="宋体"/>
                <w:color w:val="auto"/>
                <w:sz w:val="24"/>
                <w:szCs w:val="24"/>
                <w:highlight w:val="none"/>
              </w:rPr>
            </w:pPr>
          </w:p>
        </w:tc>
        <w:tc>
          <w:tcPr>
            <w:tcW w:w="1083" w:type="dxa"/>
            <w:vAlign w:val="center"/>
          </w:tcPr>
          <w:p w14:paraId="0B8981D5">
            <w:pPr>
              <w:spacing w:line="240" w:lineRule="auto"/>
              <w:ind w:firstLine="240"/>
              <w:jc w:val="center"/>
              <w:rPr>
                <w:rFonts w:hint="default" w:ascii="宋体" w:hAnsi="宋体" w:eastAsia="宋体" w:cs="宋体"/>
                <w:color w:val="auto"/>
                <w:sz w:val="24"/>
                <w:szCs w:val="24"/>
                <w:highlight w:val="none"/>
              </w:rPr>
            </w:pPr>
          </w:p>
        </w:tc>
        <w:tc>
          <w:tcPr>
            <w:tcW w:w="1004" w:type="dxa"/>
            <w:vAlign w:val="center"/>
          </w:tcPr>
          <w:p w14:paraId="548F182E">
            <w:pPr>
              <w:spacing w:line="240" w:lineRule="auto"/>
              <w:ind w:firstLine="240"/>
              <w:jc w:val="center"/>
              <w:rPr>
                <w:rFonts w:hint="default" w:ascii="宋体" w:hAnsi="宋体" w:eastAsia="宋体" w:cs="宋体"/>
                <w:color w:val="auto"/>
                <w:sz w:val="24"/>
                <w:szCs w:val="24"/>
                <w:highlight w:val="none"/>
              </w:rPr>
            </w:pPr>
          </w:p>
        </w:tc>
        <w:tc>
          <w:tcPr>
            <w:tcW w:w="1330" w:type="dxa"/>
            <w:vAlign w:val="center"/>
          </w:tcPr>
          <w:p w14:paraId="13E74977">
            <w:pPr>
              <w:spacing w:line="240" w:lineRule="auto"/>
              <w:ind w:firstLine="240"/>
              <w:jc w:val="center"/>
              <w:rPr>
                <w:rFonts w:hint="default" w:ascii="宋体" w:hAnsi="宋体" w:eastAsia="宋体" w:cs="宋体"/>
                <w:color w:val="auto"/>
                <w:sz w:val="24"/>
                <w:szCs w:val="24"/>
                <w:highlight w:val="none"/>
              </w:rPr>
            </w:pPr>
          </w:p>
        </w:tc>
        <w:tc>
          <w:tcPr>
            <w:tcW w:w="1070" w:type="dxa"/>
            <w:vAlign w:val="center"/>
          </w:tcPr>
          <w:p w14:paraId="217F79F8">
            <w:pPr>
              <w:spacing w:line="240" w:lineRule="auto"/>
              <w:ind w:firstLine="240"/>
              <w:jc w:val="center"/>
              <w:rPr>
                <w:rFonts w:hint="default" w:ascii="宋体" w:hAnsi="宋体" w:eastAsia="宋体" w:cs="宋体"/>
                <w:color w:val="auto"/>
                <w:sz w:val="24"/>
                <w:szCs w:val="24"/>
                <w:highlight w:val="none"/>
              </w:rPr>
            </w:pPr>
          </w:p>
        </w:tc>
      </w:tr>
      <w:tr w14:paraId="1763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4150C736">
            <w:pPr>
              <w:spacing w:line="240" w:lineRule="auto"/>
              <w:ind w:firstLine="240"/>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709" w:type="dxa"/>
            <w:vAlign w:val="center"/>
          </w:tcPr>
          <w:p w14:paraId="35455055">
            <w:pPr>
              <w:spacing w:line="240" w:lineRule="auto"/>
              <w:ind w:firstLine="240"/>
              <w:jc w:val="center"/>
              <w:rPr>
                <w:rFonts w:hint="default" w:ascii="宋体" w:hAnsi="宋体" w:eastAsia="宋体" w:cs="宋体"/>
                <w:color w:val="auto"/>
                <w:sz w:val="24"/>
                <w:szCs w:val="24"/>
                <w:highlight w:val="none"/>
              </w:rPr>
            </w:pPr>
          </w:p>
        </w:tc>
        <w:tc>
          <w:tcPr>
            <w:tcW w:w="710" w:type="dxa"/>
            <w:vAlign w:val="center"/>
          </w:tcPr>
          <w:p w14:paraId="36C64FE1">
            <w:pPr>
              <w:spacing w:line="240" w:lineRule="auto"/>
              <w:ind w:firstLine="240"/>
              <w:jc w:val="center"/>
              <w:rPr>
                <w:rFonts w:hint="default" w:ascii="宋体" w:hAnsi="宋体" w:eastAsia="宋体" w:cs="宋体"/>
                <w:color w:val="auto"/>
                <w:sz w:val="24"/>
                <w:szCs w:val="24"/>
                <w:highlight w:val="none"/>
              </w:rPr>
            </w:pPr>
          </w:p>
        </w:tc>
        <w:tc>
          <w:tcPr>
            <w:tcW w:w="1136" w:type="dxa"/>
            <w:vAlign w:val="center"/>
          </w:tcPr>
          <w:p w14:paraId="2BA7E706">
            <w:pPr>
              <w:spacing w:line="240" w:lineRule="auto"/>
              <w:ind w:firstLine="240"/>
              <w:jc w:val="center"/>
              <w:rPr>
                <w:rFonts w:hint="default" w:ascii="宋体" w:hAnsi="宋体" w:eastAsia="宋体" w:cs="宋体"/>
                <w:color w:val="auto"/>
                <w:sz w:val="24"/>
                <w:szCs w:val="24"/>
                <w:highlight w:val="none"/>
              </w:rPr>
            </w:pPr>
          </w:p>
        </w:tc>
        <w:tc>
          <w:tcPr>
            <w:tcW w:w="852" w:type="dxa"/>
            <w:vAlign w:val="center"/>
          </w:tcPr>
          <w:p w14:paraId="55F1C6B6">
            <w:pPr>
              <w:spacing w:line="240" w:lineRule="auto"/>
              <w:ind w:firstLine="240"/>
              <w:jc w:val="center"/>
              <w:rPr>
                <w:rFonts w:hint="default" w:ascii="宋体" w:hAnsi="宋体" w:eastAsia="宋体" w:cs="宋体"/>
                <w:color w:val="auto"/>
                <w:sz w:val="24"/>
                <w:szCs w:val="24"/>
                <w:highlight w:val="none"/>
              </w:rPr>
            </w:pPr>
          </w:p>
        </w:tc>
        <w:tc>
          <w:tcPr>
            <w:tcW w:w="1083" w:type="dxa"/>
            <w:vAlign w:val="center"/>
          </w:tcPr>
          <w:p w14:paraId="7D9E661D">
            <w:pPr>
              <w:spacing w:line="240" w:lineRule="auto"/>
              <w:ind w:firstLine="240"/>
              <w:jc w:val="center"/>
              <w:rPr>
                <w:rFonts w:hint="default" w:ascii="宋体" w:hAnsi="宋体" w:eastAsia="宋体" w:cs="宋体"/>
                <w:color w:val="auto"/>
                <w:sz w:val="24"/>
                <w:szCs w:val="24"/>
                <w:highlight w:val="none"/>
              </w:rPr>
            </w:pPr>
          </w:p>
        </w:tc>
        <w:tc>
          <w:tcPr>
            <w:tcW w:w="1004" w:type="dxa"/>
            <w:vAlign w:val="center"/>
          </w:tcPr>
          <w:p w14:paraId="5937AAF0">
            <w:pPr>
              <w:spacing w:line="240" w:lineRule="auto"/>
              <w:ind w:firstLine="240"/>
              <w:jc w:val="center"/>
              <w:rPr>
                <w:rFonts w:hint="default" w:ascii="宋体" w:hAnsi="宋体" w:eastAsia="宋体" w:cs="宋体"/>
                <w:color w:val="auto"/>
                <w:sz w:val="24"/>
                <w:szCs w:val="24"/>
                <w:highlight w:val="none"/>
              </w:rPr>
            </w:pPr>
          </w:p>
        </w:tc>
        <w:tc>
          <w:tcPr>
            <w:tcW w:w="1330" w:type="dxa"/>
            <w:vAlign w:val="center"/>
          </w:tcPr>
          <w:p w14:paraId="4949A11D">
            <w:pPr>
              <w:spacing w:line="240" w:lineRule="auto"/>
              <w:ind w:firstLine="240"/>
              <w:jc w:val="center"/>
              <w:rPr>
                <w:rFonts w:hint="default" w:ascii="宋体" w:hAnsi="宋体" w:eastAsia="宋体" w:cs="宋体"/>
                <w:color w:val="auto"/>
                <w:sz w:val="24"/>
                <w:szCs w:val="24"/>
                <w:highlight w:val="none"/>
              </w:rPr>
            </w:pPr>
          </w:p>
        </w:tc>
        <w:tc>
          <w:tcPr>
            <w:tcW w:w="1070" w:type="dxa"/>
            <w:vAlign w:val="center"/>
          </w:tcPr>
          <w:p w14:paraId="15A5781E">
            <w:pPr>
              <w:spacing w:line="240" w:lineRule="auto"/>
              <w:ind w:firstLine="240"/>
              <w:jc w:val="center"/>
              <w:rPr>
                <w:rFonts w:hint="default" w:ascii="宋体" w:hAnsi="宋体" w:eastAsia="宋体" w:cs="宋体"/>
                <w:color w:val="auto"/>
                <w:sz w:val="24"/>
                <w:szCs w:val="24"/>
                <w:highlight w:val="none"/>
              </w:rPr>
            </w:pPr>
          </w:p>
        </w:tc>
      </w:tr>
      <w:tr w14:paraId="47F0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36F030E8">
            <w:pPr>
              <w:spacing w:line="240" w:lineRule="auto"/>
              <w:ind w:firstLine="240"/>
              <w:jc w:val="center"/>
              <w:rPr>
                <w:rFonts w:hint="default" w:ascii="宋体" w:hAnsi="宋体" w:eastAsia="宋体" w:cs="宋体"/>
                <w:color w:val="auto"/>
                <w:sz w:val="24"/>
                <w:szCs w:val="24"/>
                <w:highlight w:val="none"/>
              </w:rPr>
            </w:pPr>
          </w:p>
        </w:tc>
        <w:tc>
          <w:tcPr>
            <w:tcW w:w="709" w:type="dxa"/>
            <w:vAlign w:val="center"/>
          </w:tcPr>
          <w:p w14:paraId="3DF19552">
            <w:pPr>
              <w:spacing w:line="240" w:lineRule="auto"/>
              <w:ind w:firstLine="240"/>
              <w:jc w:val="center"/>
              <w:rPr>
                <w:rFonts w:hint="default" w:ascii="宋体" w:hAnsi="宋体" w:eastAsia="宋体" w:cs="宋体"/>
                <w:color w:val="auto"/>
                <w:sz w:val="24"/>
                <w:szCs w:val="24"/>
                <w:highlight w:val="none"/>
              </w:rPr>
            </w:pPr>
          </w:p>
        </w:tc>
        <w:tc>
          <w:tcPr>
            <w:tcW w:w="710" w:type="dxa"/>
            <w:vAlign w:val="center"/>
          </w:tcPr>
          <w:p w14:paraId="517E796B">
            <w:pPr>
              <w:spacing w:line="240" w:lineRule="auto"/>
              <w:ind w:firstLine="240"/>
              <w:jc w:val="center"/>
              <w:rPr>
                <w:rFonts w:hint="default" w:ascii="宋体" w:hAnsi="宋体" w:eastAsia="宋体" w:cs="宋体"/>
                <w:color w:val="auto"/>
                <w:sz w:val="24"/>
                <w:szCs w:val="24"/>
                <w:highlight w:val="none"/>
              </w:rPr>
            </w:pPr>
          </w:p>
        </w:tc>
        <w:tc>
          <w:tcPr>
            <w:tcW w:w="1136" w:type="dxa"/>
            <w:vAlign w:val="center"/>
          </w:tcPr>
          <w:p w14:paraId="1D0C7731">
            <w:pPr>
              <w:spacing w:line="240" w:lineRule="auto"/>
              <w:ind w:firstLine="240"/>
              <w:jc w:val="center"/>
              <w:rPr>
                <w:rFonts w:hint="default" w:ascii="宋体" w:hAnsi="宋体" w:eastAsia="宋体" w:cs="宋体"/>
                <w:color w:val="auto"/>
                <w:sz w:val="24"/>
                <w:szCs w:val="24"/>
                <w:highlight w:val="none"/>
              </w:rPr>
            </w:pPr>
          </w:p>
        </w:tc>
        <w:tc>
          <w:tcPr>
            <w:tcW w:w="852" w:type="dxa"/>
            <w:vAlign w:val="center"/>
          </w:tcPr>
          <w:p w14:paraId="7B47A6CE">
            <w:pPr>
              <w:spacing w:line="240" w:lineRule="auto"/>
              <w:ind w:firstLine="240"/>
              <w:jc w:val="center"/>
              <w:rPr>
                <w:rFonts w:hint="default" w:ascii="宋体" w:hAnsi="宋体" w:eastAsia="宋体" w:cs="宋体"/>
                <w:color w:val="auto"/>
                <w:sz w:val="24"/>
                <w:szCs w:val="24"/>
                <w:highlight w:val="none"/>
              </w:rPr>
            </w:pPr>
          </w:p>
        </w:tc>
        <w:tc>
          <w:tcPr>
            <w:tcW w:w="1083" w:type="dxa"/>
            <w:vAlign w:val="center"/>
          </w:tcPr>
          <w:p w14:paraId="25A6057E">
            <w:pPr>
              <w:spacing w:line="240" w:lineRule="auto"/>
              <w:ind w:firstLine="240"/>
              <w:jc w:val="center"/>
              <w:rPr>
                <w:rFonts w:hint="default" w:ascii="宋体" w:hAnsi="宋体" w:eastAsia="宋体" w:cs="宋体"/>
                <w:color w:val="auto"/>
                <w:sz w:val="24"/>
                <w:szCs w:val="24"/>
                <w:highlight w:val="none"/>
              </w:rPr>
            </w:pPr>
          </w:p>
        </w:tc>
        <w:tc>
          <w:tcPr>
            <w:tcW w:w="1004" w:type="dxa"/>
            <w:vAlign w:val="center"/>
          </w:tcPr>
          <w:p w14:paraId="12780C3C">
            <w:pPr>
              <w:spacing w:line="240" w:lineRule="auto"/>
              <w:ind w:firstLine="240"/>
              <w:jc w:val="center"/>
              <w:rPr>
                <w:rFonts w:hint="default" w:ascii="宋体" w:hAnsi="宋体" w:eastAsia="宋体" w:cs="宋体"/>
                <w:color w:val="auto"/>
                <w:sz w:val="24"/>
                <w:szCs w:val="24"/>
                <w:highlight w:val="none"/>
              </w:rPr>
            </w:pPr>
          </w:p>
        </w:tc>
        <w:tc>
          <w:tcPr>
            <w:tcW w:w="1330" w:type="dxa"/>
            <w:vAlign w:val="center"/>
          </w:tcPr>
          <w:p w14:paraId="08185DFF">
            <w:pPr>
              <w:spacing w:line="240" w:lineRule="auto"/>
              <w:ind w:firstLine="240"/>
              <w:jc w:val="center"/>
              <w:rPr>
                <w:rFonts w:hint="default" w:ascii="宋体" w:hAnsi="宋体" w:eastAsia="宋体" w:cs="宋体"/>
                <w:color w:val="auto"/>
                <w:sz w:val="24"/>
                <w:szCs w:val="24"/>
                <w:highlight w:val="none"/>
              </w:rPr>
            </w:pPr>
          </w:p>
        </w:tc>
        <w:tc>
          <w:tcPr>
            <w:tcW w:w="1070" w:type="dxa"/>
            <w:vAlign w:val="center"/>
          </w:tcPr>
          <w:p w14:paraId="4576E153">
            <w:pPr>
              <w:spacing w:line="240" w:lineRule="auto"/>
              <w:ind w:firstLine="240"/>
              <w:jc w:val="center"/>
              <w:rPr>
                <w:rFonts w:hint="default" w:ascii="宋体" w:hAnsi="宋体" w:eastAsia="宋体" w:cs="宋体"/>
                <w:color w:val="auto"/>
                <w:sz w:val="24"/>
                <w:szCs w:val="24"/>
                <w:highlight w:val="none"/>
              </w:rPr>
            </w:pPr>
          </w:p>
        </w:tc>
      </w:tr>
    </w:tbl>
    <w:p w14:paraId="40449869">
      <w:pPr>
        <w:snapToGrid w:val="0"/>
        <w:spacing w:before="50" w:afterLines="50" w:line="240" w:lineRule="auto"/>
        <w:jc w:val="lef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注：1.</w:t>
      </w:r>
      <w:r>
        <w:rPr>
          <w:rFonts w:ascii="宋体" w:hAnsi="宋体" w:eastAsia="宋体" w:cs="宋体"/>
          <w:snapToGrid w:val="0"/>
          <w:color w:val="auto"/>
          <w:sz w:val="24"/>
          <w:szCs w:val="24"/>
          <w:highlight w:val="none"/>
        </w:rPr>
        <w:t>项目组成人员应附职称证书、执业资格证书等复印件或扫描件（具体按评标办法提供）。</w:t>
      </w:r>
    </w:p>
    <w:p w14:paraId="7B8748B9">
      <w:pPr>
        <w:snapToGrid w:val="0"/>
        <w:spacing w:before="50" w:afterLines="50" w:line="240" w:lineRule="auto"/>
        <w:jc w:val="left"/>
        <w:rPr>
          <w:rFonts w:hint="default" w:ascii="宋体" w:hAnsi="宋体" w:eastAsia="宋体" w:cs="宋体"/>
          <w:color w:val="auto"/>
          <w:sz w:val="24"/>
          <w:highlight w:val="none"/>
        </w:rPr>
      </w:pPr>
      <w:r>
        <w:rPr>
          <w:rFonts w:ascii="宋体" w:hAnsi="宋体" w:eastAsia="宋体" w:cs="宋体"/>
          <w:color w:val="auto"/>
          <w:sz w:val="24"/>
          <w:szCs w:val="24"/>
          <w:highlight w:val="none"/>
        </w:rPr>
        <w:t>2.在填写时，如本表格不适合投标单位的实际情况，可根据本表格式按评标办法要求自行划表填写并提供相关资料。</w:t>
      </w:r>
    </w:p>
    <w:p w14:paraId="57A465A8">
      <w:pPr>
        <w:snapToGrid w:val="0"/>
        <w:spacing w:before="50" w:after="50" w:line="240" w:lineRule="auto"/>
        <w:rPr>
          <w:rFonts w:hint="default" w:ascii="宋体" w:hAnsi="宋体" w:eastAsia="宋体" w:cs="宋体"/>
          <w:color w:val="auto"/>
          <w:spacing w:val="20"/>
          <w:sz w:val="24"/>
          <w:highlight w:val="none"/>
          <w:u w:val="single"/>
        </w:rPr>
      </w:pPr>
    </w:p>
    <w:p w14:paraId="3113CEB0">
      <w:pPr>
        <w:spacing w:line="360" w:lineRule="auto"/>
        <w:rPr>
          <w:rFonts w:hint="default" w:ascii="宋体" w:hAnsi="宋体" w:eastAsia="宋体" w:cs="宋体"/>
          <w:color w:val="auto"/>
          <w:spacing w:val="20"/>
          <w:sz w:val="24"/>
          <w:szCs w:val="24"/>
          <w:highlight w:val="none"/>
          <w:u w:val="single"/>
        </w:rPr>
      </w:pPr>
      <w:r>
        <w:rPr>
          <w:rFonts w:ascii="宋体" w:hAnsi="宋体" w:eastAsia="宋体" w:cs="宋体"/>
          <w:color w:val="auto"/>
          <w:sz w:val="24"/>
          <w:szCs w:val="24"/>
          <w:highlight w:val="none"/>
        </w:rPr>
        <w:t>投标人名称（电子签章）</w:t>
      </w:r>
      <w:r>
        <w:rPr>
          <w:rFonts w:ascii="宋体" w:hAnsi="宋体" w:eastAsia="宋体" w:cs="宋体"/>
          <w:color w:val="auto"/>
          <w:spacing w:val="20"/>
          <w:sz w:val="24"/>
          <w:szCs w:val="24"/>
          <w:highlight w:val="none"/>
        </w:rPr>
        <w:t>：</w:t>
      </w:r>
      <w:r>
        <w:rPr>
          <w:rFonts w:ascii="宋体" w:hAnsi="宋体" w:eastAsia="宋体" w:cs="宋体"/>
          <w:color w:val="auto"/>
          <w:spacing w:val="20"/>
          <w:sz w:val="24"/>
          <w:szCs w:val="24"/>
          <w:highlight w:val="none"/>
          <w:u w:val="single"/>
        </w:rPr>
        <w:t xml:space="preserve">            </w:t>
      </w:r>
    </w:p>
    <w:p w14:paraId="40A72BDC">
      <w:pPr>
        <w:spacing w:line="360" w:lineRule="auto"/>
        <w:rPr>
          <w:rFonts w:hint="default" w:ascii="宋体" w:hAnsi="宋体" w:eastAsia="宋体" w:cs="宋体"/>
          <w:color w:val="auto"/>
          <w:spacing w:val="20"/>
          <w:sz w:val="24"/>
          <w:szCs w:val="24"/>
          <w:highlight w:val="none"/>
        </w:rPr>
      </w:pPr>
      <w:r>
        <w:rPr>
          <w:rFonts w:ascii="宋体" w:hAnsi="宋体" w:eastAsia="宋体" w:cs="宋体"/>
          <w:color w:val="auto"/>
          <w:sz w:val="24"/>
          <w:szCs w:val="24"/>
          <w:highlight w:val="none"/>
        </w:rPr>
        <w:t>法定代表人或授权代表（签字或盖章）</w:t>
      </w:r>
      <w:r>
        <w:rPr>
          <w:rFonts w:ascii="宋体" w:hAnsi="宋体" w:eastAsia="宋体" w:cs="宋体"/>
          <w:color w:val="auto"/>
          <w:spacing w:val="20"/>
          <w:sz w:val="24"/>
          <w:szCs w:val="24"/>
          <w:highlight w:val="none"/>
        </w:rPr>
        <w:t>：</w:t>
      </w:r>
      <w:r>
        <w:rPr>
          <w:rFonts w:ascii="宋体" w:hAnsi="宋体" w:eastAsia="宋体" w:cs="宋体"/>
          <w:color w:val="auto"/>
          <w:spacing w:val="20"/>
          <w:sz w:val="24"/>
          <w:szCs w:val="24"/>
          <w:highlight w:val="none"/>
          <w:u w:val="single"/>
        </w:rPr>
        <w:t xml:space="preserve">            </w:t>
      </w:r>
    </w:p>
    <w:p w14:paraId="7875C234">
      <w:pPr>
        <w:adjustRightInd w:val="0"/>
        <w:spacing w:line="360" w:lineRule="auto"/>
        <w:jc w:val="left"/>
        <w:rPr>
          <w:rFonts w:hint="default"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日期：</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年</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月</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日</w:t>
      </w:r>
    </w:p>
    <w:p w14:paraId="6E5CBAE6">
      <w:pPr>
        <w:adjustRightInd w:val="0"/>
        <w:spacing w:line="360" w:lineRule="auto"/>
        <w:jc w:val="left"/>
        <w:rPr>
          <w:rFonts w:hint="default" w:ascii="宋体" w:hAnsi="宋体" w:eastAsia="宋体" w:cs="宋体"/>
          <w:b/>
          <w:bCs/>
          <w:color w:val="auto"/>
          <w:sz w:val="24"/>
          <w:szCs w:val="24"/>
          <w:highlight w:val="none"/>
        </w:rPr>
      </w:pPr>
    </w:p>
    <w:p w14:paraId="3B993FCC">
      <w:pPr>
        <w:adjustRightInd w:val="0"/>
        <w:spacing w:line="360" w:lineRule="auto"/>
        <w:jc w:val="left"/>
        <w:rPr>
          <w:rFonts w:hint="default" w:ascii="宋体" w:hAnsi="宋体" w:eastAsia="宋体" w:cs="宋体"/>
          <w:color w:val="auto"/>
          <w:sz w:val="24"/>
          <w:szCs w:val="24"/>
          <w:highlight w:val="none"/>
        </w:rPr>
      </w:pPr>
      <w:r>
        <w:rPr>
          <w:rFonts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val="en-US" w:eastAsia="zh-CN"/>
        </w:rPr>
        <w:t>3</w:t>
      </w:r>
      <w:r>
        <w:rPr>
          <w:rFonts w:ascii="宋体" w:hAnsi="宋体" w:eastAsia="宋体" w:cs="宋体"/>
          <w:b/>
          <w:bCs/>
          <w:color w:val="auto"/>
          <w:sz w:val="24"/>
          <w:szCs w:val="24"/>
          <w:highlight w:val="none"/>
        </w:rPr>
        <w:t>投标人需要说明的其他文件和说明（格式自拟）(如有)</w:t>
      </w:r>
    </w:p>
    <w:p w14:paraId="3DD9A81F">
      <w:pPr>
        <w:spacing w:line="240" w:lineRule="auto"/>
        <w:outlineLvl w:val="1"/>
        <w:rPr>
          <w:rFonts w:hint="default" w:asciiTheme="minorEastAsia" w:hAnsiTheme="minorEastAsia" w:eastAsiaTheme="minorEastAsia" w:cstheme="minorEastAsia"/>
          <w:b/>
          <w:color w:val="auto"/>
          <w:sz w:val="28"/>
          <w:szCs w:val="28"/>
          <w:highlight w:val="none"/>
        </w:rPr>
      </w:pPr>
      <w:r>
        <w:rPr>
          <w:rFonts w:asciiTheme="minorEastAsia" w:hAnsiTheme="minorEastAsia" w:eastAsiaTheme="minorEastAsia" w:cstheme="minorEastAsia"/>
          <w:b/>
          <w:color w:val="auto"/>
          <w:sz w:val="28"/>
          <w:szCs w:val="28"/>
          <w:highlight w:val="none"/>
        </w:rPr>
        <w:t>三、报价文件封面格式</w:t>
      </w:r>
    </w:p>
    <w:p w14:paraId="195E946E">
      <w:pPr>
        <w:spacing w:line="240" w:lineRule="auto"/>
        <w:rPr>
          <w:rFonts w:hint="default" w:asciiTheme="minorEastAsia" w:hAnsiTheme="minorEastAsia" w:eastAsiaTheme="minorEastAsia" w:cstheme="minorEastAsia"/>
          <w:b/>
          <w:bCs/>
          <w:color w:val="auto"/>
          <w:sz w:val="40"/>
          <w:szCs w:val="40"/>
          <w:highlight w:val="none"/>
        </w:rPr>
      </w:pPr>
    </w:p>
    <w:p w14:paraId="12B7FB9E">
      <w:pPr>
        <w:spacing w:line="240" w:lineRule="auto"/>
        <w:jc w:val="center"/>
        <w:rPr>
          <w:rFonts w:hint="default" w:asciiTheme="minorEastAsia" w:hAnsiTheme="minorEastAsia" w:eastAsiaTheme="minorEastAsia" w:cstheme="minorEastAsia"/>
          <w:b/>
          <w:bCs/>
          <w:color w:val="auto"/>
          <w:sz w:val="40"/>
          <w:szCs w:val="40"/>
          <w:highlight w:val="none"/>
        </w:rPr>
      </w:pPr>
    </w:p>
    <w:p w14:paraId="20E0BBFB">
      <w:pPr>
        <w:spacing w:line="240" w:lineRule="auto"/>
        <w:jc w:val="cente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40"/>
          <w:szCs w:val="40"/>
          <w:highlight w:val="none"/>
          <w:lang w:eastAsia="zh-CN"/>
        </w:rPr>
        <w:t>浦江县公路与运输事业发展中心非现场执法设备2025年运维项目(第二次）</w:t>
      </w:r>
    </w:p>
    <w:p w14:paraId="4503BEB1">
      <w:pPr>
        <w:spacing w:line="360" w:lineRule="auto"/>
        <w:jc w:val="center"/>
        <w:rPr>
          <w:rFonts w:hint="default" w:asciiTheme="minorEastAsia" w:hAnsiTheme="minorEastAsia" w:eastAsiaTheme="minorEastAsia" w:cstheme="minorEastAsia"/>
          <w:color w:val="auto"/>
          <w:spacing w:val="40"/>
          <w:w w:val="90"/>
          <w:sz w:val="96"/>
          <w:szCs w:val="96"/>
          <w:highlight w:val="none"/>
          <w:lang w:bidi="th-TH"/>
        </w:rPr>
      </w:pPr>
    </w:p>
    <w:p w14:paraId="472A7F8F">
      <w:pPr>
        <w:spacing w:line="360" w:lineRule="auto"/>
        <w:jc w:val="center"/>
        <w:rPr>
          <w:rFonts w:hint="default" w:asciiTheme="minorEastAsia" w:hAnsiTheme="minorEastAsia" w:eastAsiaTheme="minorEastAsia" w:cstheme="minorEastAsia"/>
          <w:color w:val="auto"/>
          <w:spacing w:val="40"/>
          <w:w w:val="90"/>
          <w:sz w:val="96"/>
          <w:szCs w:val="96"/>
          <w:highlight w:val="none"/>
          <w:lang w:bidi="th-TH"/>
        </w:rPr>
      </w:pPr>
      <w:r>
        <w:rPr>
          <w:rFonts w:asciiTheme="minorEastAsia" w:hAnsiTheme="minorEastAsia" w:eastAsiaTheme="minorEastAsia" w:cstheme="minorEastAsia"/>
          <w:color w:val="auto"/>
          <w:spacing w:val="40"/>
          <w:w w:val="90"/>
          <w:sz w:val="96"/>
          <w:szCs w:val="96"/>
          <w:highlight w:val="none"/>
          <w:lang w:bidi="th-TH"/>
        </w:rPr>
        <w:t>投 标 文 件</w:t>
      </w:r>
    </w:p>
    <w:p w14:paraId="5086FB25">
      <w:pPr>
        <w:spacing w:line="240" w:lineRule="auto"/>
        <w:jc w:val="center"/>
        <w:rPr>
          <w:rFonts w:hint="default" w:asciiTheme="minorEastAsia" w:hAnsiTheme="minorEastAsia" w:eastAsiaTheme="minorEastAsia" w:cstheme="minorEastAsia"/>
          <w:b/>
          <w:bCs/>
          <w:color w:val="auto"/>
          <w:sz w:val="36"/>
          <w:szCs w:val="36"/>
          <w:highlight w:val="none"/>
        </w:rPr>
      </w:pPr>
      <w:r>
        <w:rPr>
          <w:rFonts w:asciiTheme="minorEastAsia" w:hAnsiTheme="minorEastAsia" w:eastAsiaTheme="minorEastAsia" w:cstheme="minorEastAsia"/>
          <w:b/>
          <w:bCs/>
          <w:color w:val="auto"/>
          <w:sz w:val="36"/>
          <w:szCs w:val="36"/>
          <w:highlight w:val="none"/>
        </w:rPr>
        <w:t>（报价文件）</w:t>
      </w:r>
    </w:p>
    <w:p w14:paraId="6830CDF5">
      <w:pPr>
        <w:spacing w:line="240" w:lineRule="auto"/>
        <w:jc w:val="center"/>
        <w:rPr>
          <w:rFonts w:hint="default" w:asciiTheme="minorEastAsia" w:hAnsiTheme="minorEastAsia" w:eastAsiaTheme="minorEastAsia" w:cstheme="minorEastAsia"/>
          <w:b/>
          <w:bCs/>
          <w:color w:val="auto"/>
          <w:sz w:val="28"/>
          <w:szCs w:val="28"/>
          <w:highlight w:val="none"/>
        </w:rPr>
      </w:pPr>
      <w:r>
        <w:rPr>
          <w:rFonts w:asciiTheme="minorEastAsia" w:hAnsiTheme="minorEastAsia" w:eastAsiaTheme="minorEastAsia" w:cstheme="minorEastAsia"/>
          <w:b/>
          <w:bCs/>
          <w:color w:val="auto"/>
          <w:sz w:val="28"/>
          <w:szCs w:val="28"/>
          <w:highlight w:val="none"/>
        </w:rPr>
        <w:t>项目编号：</w:t>
      </w:r>
    </w:p>
    <w:p w14:paraId="38B9A8D4">
      <w:pPr>
        <w:spacing w:line="240" w:lineRule="auto"/>
        <w:jc w:val="center"/>
        <w:rPr>
          <w:rFonts w:hint="default" w:asciiTheme="minorEastAsia" w:hAnsiTheme="minorEastAsia" w:eastAsiaTheme="minorEastAsia" w:cstheme="minorEastAsia"/>
          <w:b/>
          <w:bCs/>
          <w:color w:val="auto"/>
          <w:sz w:val="28"/>
          <w:szCs w:val="28"/>
          <w:highlight w:val="none"/>
        </w:rPr>
      </w:pPr>
    </w:p>
    <w:p w14:paraId="5A66C0CB">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01BF5A9A">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518258D3">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4EBBB275">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1B802E17">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r>
        <w:rPr>
          <w:rFonts w:asciiTheme="minorEastAsia" w:hAnsiTheme="minorEastAsia" w:eastAsiaTheme="minorEastAsia" w:cstheme="minorEastAsia"/>
          <w:b/>
          <w:color w:val="auto"/>
          <w:sz w:val="32"/>
          <w:szCs w:val="32"/>
          <w:highlight w:val="none"/>
        </w:rPr>
        <w:t>投标人名称（电子签章）：</w:t>
      </w:r>
      <w:r>
        <w:rPr>
          <w:rFonts w:asciiTheme="minorEastAsia" w:hAnsiTheme="minorEastAsia" w:eastAsiaTheme="minorEastAsia" w:cstheme="minorEastAsia"/>
          <w:b/>
          <w:color w:val="auto"/>
          <w:sz w:val="32"/>
          <w:szCs w:val="32"/>
          <w:highlight w:val="none"/>
          <w:u w:val="single"/>
        </w:rPr>
        <w:t xml:space="preserve">                             </w:t>
      </w:r>
    </w:p>
    <w:p w14:paraId="02FD59B6">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7D513DD1">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r>
        <w:rPr>
          <w:rFonts w:asciiTheme="minorEastAsia" w:hAnsiTheme="minorEastAsia" w:eastAsiaTheme="minorEastAsia" w:cstheme="minorEastAsia"/>
          <w:b/>
          <w:color w:val="auto"/>
          <w:sz w:val="32"/>
          <w:szCs w:val="32"/>
          <w:highlight w:val="none"/>
        </w:rPr>
        <w:t xml:space="preserve">法定代表人或授权代表(签字或盖章)： </w:t>
      </w:r>
      <w:r>
        <w:rPr>
          <w:rFonts w:asciiTheme="minorEastAsia" w:hAnsiTheme="minorEastAsia" w:eastAsiaTheme="minorEastAsia" w:cstheme="minorEastAsia"/>
          <w:b/>
          <w:color w:val="auto"/>
          <w:sz w:val="32"/>
          <w:szCs w:val="32"/>
          <w:highlight w:val="none"/>
          <w:u w:val="single"/>
        </w:rPr>
        <w:t xml:space="preserve">                  </w:t>
      </w:r>
    </w:p>
    <w:p w14:paraId="5E975E27">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20B987B9">
      <w:pPr>
        <w:autoSpaceDE w:val="0"/>
        <w:autoSpaceDN w:val="0"/>
        <w:adjustRightInd w:val="0"/>
        <w:spacing w:line="360" w:lineRule="auto"/>
        <w:jc w:val="center"/>
        <w:rPr>
          <w:rFonts w:hint="default" w:asciiTheme="minorEastAsia" w:hAnsiTheme="minorEastAsia" w:eastAsiaTheme="minorEastAsia" w:cstheme="minorEastAsia"/>
          <w:b/>
          <w:snapToGrid w:val="0"/>
          <w:color w:val="auto"/>
          <w:kern w:val="0"/>
          <w:sz w:val="32"/>
          <w:szCs w:val="32"/>
          <w:highlight w:val="none"/>
        </w:rPr>
      </w:pPr>
      <w:r>
        <w:rPr>
          <w:rFonts w:asciiTheme="minorEastAsia" w:hAnsiTheme="minorEastAsia" w:eastAsiaTheme="minorEastAsia" w:cstheme="minorEastAsia"/>
          <w:b/>
          <w:color w:val="auto"/>
          <w:sz w:val="32"/>
          <w:szCs w:val="32"/>
          <w:highlight w:val="none"/>
        </w:rPr>
        <w:t>时间：    年   月   日</w:t>
      </w:r>
    </w:p>
    <w:p w14:paraId="77ADCE2A">
      <w:pPr>
        <w:tabs>
          <w:tab w:val="left" w:pos="720"/>
        </w:tabs>
        <w:adjustRightInd w:val="0"/>
        <w:snapToGrid w:val="0"/>
        <w:spacing w:line="480" w:lineRule="auto"/>
        <w:ind w:left="420"/>
        <w:jc w:val="center"/>
        <w:rPr>
          <w:rFonts w:hint="default" w:asciiTheme="minorEastAsia" w:hAnsiTheme="minorEastAsia" w:eastAsiaTheme="minorEastAsia" w:cstheme="minorEastAsia"/>
          <w:b/>
          <w:snapToGrid w:val="0"/>
          <w:color w:val="auto"/>
          <w:kern w:val="0"/>
          <w:sz w:val="32"/>
          <w:szCs w:val="32"/>
          <w:highlight w:val="none"/>
        </w:rPr>
      </w:pPr>
    </w:p>
    <w:p w14:paraId="351EE5AE">
      <w:pPr>
        <w:tabs>
          <w:tab w:val="left" w:pos="720"/>
        </w:tabs>
        <w:adjustRightInd w:val="0"/>
        <w:snapToGrid w:val="0"/>
        <w:spacing w:line="480" w:lineRule="auto"/>
        <w:ind w:left="420"/>
        <w:jc w:val="center"/>
        <w:rPr>
          <w:rFonts w:hint="default" w:asciiTheme="minorEastAsia" w:hAnsiTheme="minorEastAsia" w:eastAsiaTheme="minorEastAsia" w:cstheme="minorEastAsia"/>
          <w:b/>
          <w:snapToGrid w:val="0"/>
          <w:color w:val="auto"/>
          <w:kern w:val="0"/>
          <w:sz w:val="32"/>
          <w:szCs w:val="32"/>
          <w:highlight w:val="none"/>
        </w:rPr>
      </w:pPr>
      <w:r>
        <w:rPr>
          <w:rFonts w:asciiTheme="minorEastAsia" w:hAnsiTheme="minorEastAsia" w:eastAsiaTheme="minorEastAsia" w:cstheme="minorEastAsia"/>
          <w:b/>
          <w:snapToGrid w:val="0"/>
          <w:color w:val="auto"/>
          <w:kern w:val="0"/>
          <w:sz w:val="32"/>
          <w:szCs w:val="32"/>
          <w:highlight w:val="none"/>
        </w:rPr>
        <w:t>报价文件目录</w:t>
      </w:r>
    </w:p>
    <w:p w14:paraId="39037321">
      <w:pPr>
        <w:snapToGrid w:val="0"/>
        <w:spacing w:line="48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1.投标函（格式见附件）———————页码 </w:t>
      </w:r>
    </w:p>
    <w:p w14:paraId="58E94AED">
      <w:pPr>
        <w:snapToGrid w:val="0"/>
        <w:spacing w:line="480" w:lineRule="auto"/>
        <w:ind w:firstLine="480" w:firstLineChars="200"/>
        <w:jc w:val="left"/>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2.开标一览表（格式见附件）———————页码</w:t>
      </w:r>
    </w:p>
    <w:p w14:paraId="282BF2DB">
      <w:pPr>
        <w:snapToGrid w:val="0"/>
        <w:spacing w:line="480" w:lineRule="auto"/>
        <w:ind w:firstLine="480" w:firstLineChars="200"/>
        <w:jc w:val="left"/>
        <w:rPr>
          <w:rFonts w:hint="default" w:eastAsiaTheme="minorEastAsia"/>
          <w:color w:val="auto"/>
          <w:lang w:val="en-US" w:eastAsia="zh-CN"/>
        </w:rPr>
      </w:pPr>
      <w:r>
        <w:rPr>
          <w:rFonts w:hint="eastAsia" w:asciiTheme="minorEastAsia" w:hAnsiTheme="minorEastAsia" w:eastAsiaTheme="minorEastAsia" w:cstheme="minorEastAsia"/>
          <w:color w:val="auto"/>
          <w:sz w:val="24"/>
          <w:szCs w:val="24"/>
          <w:highlight w:val="none"/>
          <w:lang w:val="en-US" w:eastAsia="zh-CN"/>
        </w:rPr>
        <w:t>3.投标报价明细表</w:t>
      </w:r>
      <w:r>
        <w:rPr>
          <w:rFonts w:asciiTheme="minorEastAsia" w:hAnsiTheme="minorEastAsia" w:eastAsiaTheme="minorEastAsia" w:cstheme="minorEastAsia"/>
          <w:color w:val="auto"/>
          <w:sz w:val="24"/>
          <w:szCs w:val="24"/>
          <w:highlight w:val="none"/>
        </w:rPr>
        <w:t>（格式见附件）———————页码</w:t>
      </w:r>
    </w:p>
    <w:p w14:paraId="59C3CCEB">
      <w:pPr>
        <w:snapToGrid w:val="0"/>
        <w:spacing w:line="48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asciiTheme="minorEastAsia" w:hAnsiTheme="minorEastAsia" w:eastAsiaTheme="minorEastAsia" w:cstheme="minorEastAsia"/>
          <w:color w:val="auto"/>
          <w:sz w:val="24"/>
          <w:szCs w:val="24"/>
          <w:highlight w:val="none"/>
        </w:rPr>
        <w:t>投标人针对报价需要说明的其他文件和说明（格式自拟）—————页码</w:t>
      </w:r>
    </w:p>
    <w:p w14:paraId="6BB8CC6F">
      <w:pPr>
        <w:snapToGrid w:val="0"/>
        <w:spacing w:line="480" w:lineRule="auto"/>
        <w:ind w:firstLine="480" w:firstLineChars="200"/>
        <w:jc w:val="left"/>
        <w:rPr>
          <w:rFonts w:hint="default" w:asciiTheme="minorEastAsia" w:hAnsiTheme="minorEastAsia" w:eastAsiaTheme="minorEastAsia" w:cstheme="minorEastAsia"/>
          <w:color w:val="auto"/>
          <w:sz w:val="24"/>
          <w:szCs w:val="24"/>
          <w:highlight w:val="none"/>
        </w:rPr>
      </w:pPr>
    </w:p>
    <w:p w14:paraId="11BB25A6">
      <w:pPr>
        <w:snapToGrid w:val="0"/>
        <w:spacing w:line="480" w:lineRule="auto"/>
        <w:ind w:firstLine="420" w:firstLineChars="200"/>
        <w:jc w:val="left"/>
        <w:rPr>
          <w:rFonts w:hint="default" w:ascii="Calibri" w:hAnsi="Calibri" w:eastAsiaTheme="minorEastAsia"/>
          <w:color w:val="auto"/>
          <w:szCs w:val="24"/>
          <w:highlight w:val="none"/>
        </w:rPr>
      </w:pPr>
    </w:p>
    <w:p w14:paraId="41B05514">
      <w:pPr>
        <w:pStyle w:val="28"/>
        <w:ind w:left="0" w:leftChars="0" w:firstLine="0" w:firstLineChars="0"/>
        <w:rPr>
          <w:rFonts w:hint="default" w:asciiTheme="minorEastAsia" w:hAnsiTheme="minorEastAsia" w:eastAsiaTheme="minorEastAsia" w:cstheme="minorEastAsia"/>
          <w:b/>
          <w:color w:val="auto"/>
          <w:kern w:val="2"/>
          <w:sz w:val="36"/>
          <w:highlight w:val="none"/>
        </w:rPr>
      </w:pPr>
    </w:p>
    <w:p w14:paraId="4BD5F6E9">
      <w:pPr>
        <w:pStyle w:val="28"/>
        <w:ind w:left="0" w:leftChars="0" w:firstLine="0" w:firstLineChars="0"/>
        <w:jc w:val="center"/>
        <w:rPr>
          <w:rFonts w:hint="default" w:asciiTheme="minorEastAsia" w:hAnsiTheme="minorEastAsia" w:eastAsiaTheme="minorEastAsia" w:cstheme="minorEastAsia"/>
          <w:b/>
          <w:color w:val="auto"/>
          <w:kern w:val="2"/>
          <w:sz w:val="36"/>
          <w:highlight w:val="none"/>
        </w:rPr>
      </w:pPr>
    </w:p>
    <w:p w14:paraId="72268436">
      <w:pPr>
        <w:snapToGrid w:val="0"/>
        <w:spacing w:before="50" w:afterLines="50" w:line="240" w:lineRule="auto"/>
        <w:jc w:val="left"/>
        <w:rPr>
          <w:rFonts w:hint="default" w:asciiTheme="minorEastAsia" w:hAnsiTheme="minorEastAsia" w:eastAsiaTheme="minorEastAsia" w:cstheme="minorEastAsia"/>
          <w:b/>
          <w:color w:val="auto"/>
          <w:sz w:val="24"/>
          <w:szCs w:val="24"/>
          <w:highlight w:val="none"/>
        </w:rPr>
      </w:pPr>
    </w:p>
    <w:p w14:paraId="6CF3AD56">
      <w:pPr>
        <w:snapToGrid w:val="0"/>
        <w:spacing w:before="50" w:afterLines="50" w:line="240" w:lineRule="auto"/>
        <w:jc w:val="left"/>
        <w:rPr>
          <w:rFonts w:hint="default" w:asciiTheme="minorEastAsia" w:hAnsiTheme="minorEastAsia" w:eastAsiaTheme="minorEastAsia" w:cstheme="minorEastAsia"/>
          <w:b/>
          <w:color w:val="auto"/>
          <w:sz w:val="24"/>
          <w:szCs w:val="24"/>
          <w:highlight w:val="none"/>
        </w:rPr>
      </w:pPr>
    </w:p>
    <w:p w14:paraId="465F6C41">
      <w:pPr>
        <w:snapToGrid w:val="0"/>
        <w:spacing w:before="50" w:afterLines="50" w:line="240" w:lineRule="auto"/>
        <w:jc w:val="left"/>
        <w:rPr>
          <w:rFonts w:hint="default" w:asciiTheme="minorEastAsia" w:hAnsiTheme="minorEastAsia" w:eastAsiaTheme="minorEastAsia" w:cstheme="minorEastAsia"/>
          <w:b/>
          <w:color w:val="auto"/>
          <w:sz w:val="24"/>
          <w:szCs w:val="24"/>
          <w:highlight w:val="none"/>
        </w:rPr>
      </w:pPr>
    </w:p>
    <w:p w14:paraId="0C1E0D62">
      <w:pPr>
        <w:snapToGrid w:val="0"/>
        <w:spacing w:before="50" w:afterLines="50" w:line="240" w:lineRule="auto"/>
        <w:jc w:val="left"/>
        <w:rPr>
          <w:rFonts w:hint="default" w:asciiTheme="minorEastAsia" w:hAnsiTheme="minorEastAsia" w:eastAsiaTheme="minorEastAsia" w:cstheme="minorEastAsia"/>
          <w:b/>
          <w:color w:val="auto"/>
          <w:sz w:val="24"/>
          <w:szCs w:val="24"/>
          <w:highlight w:val="none"/>
        </w:rPr>
      </w:pPr>
    </w:p>
    <w:p w14:paraId="38AD23DD">
      <w:pPr>
        <w:snapToGrid w:val="0"/>
        <w:spacing w:before="50" w:afterLines="50" w:line="240" w:lineRule="auto"/>
        <w:jc w:val="left"/>
        <w:rPr>
          <w:rFonts w:hint="default" w:asciiTheme="minorEastAsia" w:hAnsiTheme="minorEastAsia" w:eastAsiaTheme="minorEastAsia" w:cstheme="minorEastAsia"/>
          <w:b/>
          <w:color w:val="auto"/>
          <w:sz w:val="24"/>
          <w:szCs w:val="24"/>
          <w:highlight w:val="none"/>
        </w:rPr>
      </w:pPr>
    </w:p>
    <w:p w14:paraId="7FF03B6D">
      <w:pPr>
        <w:snapToGrid w:val="0"/>
        <w:spacing w:before="50" w:afterLines="50" w:line="240" w:lineRule="auto"/>
        <w:jc w:val="left"/>
        <w:rPr>
          <w:rFonts w:hint="default" w:asciiTheme="minorEastAsia" w:hAnsiTheme="minorEastAsia" w:eastAsiaTheme="minorEastAsia" w:cstheme="minorEastAsia"/>
          <w:b/>
          <w:color w:val="auto"/>
          <w:sz w:val="24"/>
          <w:szCs w:val="24"/>
          <w:highlight w:val="none"/>
        </w:rPr>
      </w:pPr>
    </w:p>
    <w:p w14:paraId="50555B2B">
      <w:pPr>
        <w:snapToGrid w:val="0"/>
        <w:spacing w:before="50" w:afterLines="50" w:line="240" w:lineRule="auto"/>
        <w:jc w:val="left"/>
        <w:rPr>
          <w:rFonts w:hint="default" w:asciiTheme="minorEastAsia" w:hAnsiTheme="minorEastAsia" w:eastAsiaTheme="minorEastAsia" w:cstheme="minorEastAsia"/>
          <w:b/>
          <w:color w:val="auto"/>
          <w:sz w:val="24"/>
          <w:szCs w:val="24"/>
          <w:highlight w:val="none"/>
        </w:rPr>
      </w:pPr>
    </w:p>
    <w:p w14:paraId="477724CA">
      <w:pPr>
        <w:snapToGrid w:val="0"/>
        <w:spacing w:before="50" w:afterLines="50" w:line="240" w:lineRule="auto"/>
        <w:jc w:val="left"/>
        <w:rPr>
          <w:rFonts w:hint="default" w:asciiTheme="minorEastAsia" w:hAnsiTheme="minorEastAsia" w:eastAsiaTheme="minorEastAsia" w:cstheme="minorEastAsia"/>
          <w:b/>
          <w:color w:val="auto"/>
          <w:sz w:val="24"/>
          <w:szCs w:val="24"/>
          <w:highlight w:val="none"/>
        </w:rPr>
      </w:pPr>
    </w:p>
    <w:p w14:paraId="32D1D9C0">
      <w:pPr>
        <w:snapToGrid w:val="0"/>
        <w:spacing w:before="50" w:afterLines="50" w:line="240" w:lineRule="auto"/>
        <w:jc w:val="left"/>
        <w:rPr>
          <w:rFonts w:hint="default" w:asciiTheme="minorEastAsia" w:hAnsiTheme="minorEastAsia" w:eastAsiaTheme="minorEastAsia" w:cstheme="minorEastAsia"/>
          <w:b/>
          <w:color w:val="auto"/>
          <w:sz w:val="24"/>
          <w:szCs w:val="24"/>
          <w:highlight w:val="none"/>
        </w:rPr>
      </w:pPr>
    </w:p>
    <w:p w14:paraId="134D82A4">
      <w:pPr>
        <w:snapToGrid w:val="0"/>
        <w:spacing w:before="50" w:afterLines="50" w:line="240" w:lineRule="auto"/>
        <w:jc w:val="left"/>
        <w:rPr>
          <w:rFonts w:hint="default" w:asciiTheme="minorEastAsia" w:hAnsiTheme="minorEastAsia" w:eastAsiaTheme="minorEastAsia" w:cstheme="minorEastAsia"/>
          <w:b/>
          <w:color w:val="auto"/>
          <w:sz w:val="24"/>
          <w:szCs w:val="24"/>
          <w:highlight w:val="none"/>
        </w:rPr>
      </w:pPr>
    </w:p>
    <w:p w14:paraId="044A4007">
      <w:pPr>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rPr>
        <w:br w:type="page"/>
      </w:r>
    </w:p>
    <w:p w14:paraId="5D9EEAB7">
      <w:pPr>
        <w:keepNext w:val="0"/>
        <w:keepLines w:val="0"/>
        <w:pageBreakBefore w:val="0"/>
        <w:widowControl w:val="0"/>
        <w:kinsoku/>
        <w:wordWrap/>
        <w:overflowPunct/>
        <w:topLinePunct w:val="0"/>
        <w:autoSpaceDE/>
        <w:autoSpaceDN/>
        <w:bidi w:val="0"/>
        <w:snapToGrid w:val="0"/>
        <w:spacing w:beforeLines="50" w:after="50" w:line="370" w:lineRule="exact"/>
        <w:textAlignment w:val="auto"/>
        <w:rPr>
          <w:rFonts w:hint="default" w:ascii="宋体" w:hAnsi="宋体" w:eastAsia="宋体" w:cs="宋体"/>
          <w:b/>
          <w:color w:val="auto"/>
          <w:sz w:val="24"/>
          <w:highlight w:val="none"/>
        </w:rPr>
      </w:pPr>
      <w:r>
        <w:rPr>
          <w:rFonts w:ascii="宋体" w:hAnsi="宋体" w:eastAsia="宋体" w:cs="宋体"/>
          <w:b/>
          <w:color w:val="auto"/>
          <w:sz w:val="24"/>
          <w:szCs w:val="24"/>
          <w:highlight w:val="none"/>
        </w:rPr>
        <w:t>投标函格式：</w:t>
      </w:r>
    </w:p>
    <w:p w14:paraId="656D846A">
      <w:pPr>
        <w:keepNext w:val="0"/>
        <w:keepLines w:val="0"/>
        <w:pageBreakBefore w:val="0"/>
        <w:widowControl w:val="0"/>
        <w:kinsoku/>
        <w:wordWrap/>
        <w:overflowPunct/>
        <w:topLinePunct w:val="0"/>
        <w:autoSpaceDE/>
        <w:autoSpaceDN/>
        <w:bidi w:val="0"/>
        <w:spacing w:line="370" w:lineRule="exact"/>
        <w:jc w:val="center"/>
        <w:textAlignment w:val="auto"/>
        <w:rPr>
          <w:rFonts w:hint="default" w:ascii="宋体" w:hAnsi="宋体" w:eastAsia="宋体" w:cs="宋体"/>
          <w:b/>
          <w:bCs/>
          <w:color w:val="auto"/>
          <w:sz w:val="30"/>
          <w:szCs w:val="30"/>
          <w:highlight w:val="none"/>
        </w:rPr>
      </w:pPr>
      <w:r>
        <w:rPr>
          <w:rFonts w:ascii="宋体" w:hAnsi="宋体" w:eastAsia="宋体" w:cs="宋体"/>
          <w:b/>
          <w:bCs/>
          <w:color w:val="auto"/>
          <w:sz w:val="30"/>
          <w:szCs w:val="30"/>
          <w:highlight w:val="none"/>
        </w:rPr>
        <w:t>投标函</w:t>
      </w:r>
    </w:p>
    <w:p w14:paraId="3A9F244B">
      <w:pPr>
        <w:keepNext w:val="0"/>
        <w:keepLines w:val="0"/>
        <w:pageBreakBefore w:val="0"/>
        <w:widowControl w:val="0"/>
        <w:kinsoku/>
        <w:wordWrap/>
        <w:overflowPunct/>
        <w:topLinePunct w:val="0"/>
        <w:autoSpaceDE/>
        <w:autoSpaceDN/>
        <w:bidi w:val="0"/>
        <w:spacing w:line="370" w:lineRule="exact"/>
        <w:textAlignment w:val="auto"/>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致：</w:t>
      </w:r>
      <w:r>
        <w:rPr>
          <w:rFonts w:hint="eastAsia" w:ascii="宋体" w:hAnsi="宋体" w:eastAsia="宋体" w:cs="宋体"/>
          <w:color w:val="auto"/>
          <w:spacing w:val="-4"/>
          <w:sz w:val="24"/>
          <w:szCs w:val="24"/>
          <w:highlight w:val="none"/>
          <w:u w:val="single"/>
          <w:lang w:eastAsia="zh-CN"/>
        </w:rPr>
        <w:t>浙江京承工程管理有限公司</w:t>
      </w:r>
      <w:r>
        <w:rPr>
          <w:rFonts w:ascii="宋体" w:hAnsi="宋体" w:eastAsia="宋体" w:cs="宋体"/>
          <w:color w:val="auto"/>
          <w:spacing w:val="-4"/>
          <w:sz w:val="24"/>
          <w:szCs w:val="24"/>
          <w:highlight w:val="none"/>
        </w:rPr>
        <w:t xml:space="preserve"> </w:t>
      </w:r>
    </w:p>
    <w:p w14:paraId="13CF1235">
      <w:pPr>
        <w:keepNext w:val="0"/>
        <w:keepLines w:val="0"/>
        <w:pageBreakBefore w:val="0"/>
        <w:widowControl w:val="0"/>
        <w:kinsoku/>
        <w:wordWrap/>
        <w:overflowPunct/>
        <w:topLinePunct w:val="0"/>
        <w:autoSpaceDE/>
        <w:autoSpaceDN/>
        <w:bidi w:val="0"/>
        <w:spacing w:line="370" w:lineRule="exact"/>
        <w:ind w:firstLine="464" w:firstLineChars="200"/>
        <w:textAlignment w:val="auto"/>
        <w:rPr>
          <w:rFonts w:hint="default" w:ascii="宋体" w:hAnsi="宋体" w:eastAsia="宋体" w:cs="宋体"/>
          <w:color w:val="auto"/>
          <w:spacing w:val="-4"/>
          <w:sz w:val="24"/>
          <w:szCs w:val="24"/>
          <w:highlight w:val="none"/>
          <w:u w:val="single"/>
        </w:rPr>
      </w:pPr>
      <w:r>
        <w:rPr>
          <w:rFonts w:ascii="宋体" w:hAnsi="宋体" w:eastAsia="宋体" w:cs="宋体"/>
          <w:color w:val="auto"/>
          <w:spacing w:val="-4"/>
          <w:sz w:val="24"/>
          <w:szCs w:val="24"/>
          <w:highlight w:val="none"/>
          <w:u w:val="single"/>
        </w:rPr>
        <w:t xml:space="preserve">              （供应商全称）      </w:t>
      </w:r>
      <w:r>
        <w:rPr>
          <w:rFonts w:ascii="宋体" w:hAnsi="宋体" w:eastAsia="宋体" w:cs="宋体"/>
          <w:color w:val="auto"/>
          <w:spacing w:val="-4"/>
          <w:sz w:val="24"/>
          <w:szCs w:val="24"/>
          <w:highlight w:val="none"/>
        </w:rPr>
        <w:t xml:space="preserve"> 授权</w:t>
      </w:r>
      <w:r>
        <w:rPr>
          <w:rFonts w:ascii="宋体" w:hAnsi="宋体" w:eastAsia="宋体" w:cs="宋体"/>
          <w:color w:val="auto"/>
          <w:spacing w:val="-4"/>
          <w:sz w:val="24"/>
          <w:szCs w:val="24"/>
          <w:highlight w:val="none"/>
          <w:u w:val="single"/>
        </w:rPr>
        <w:t xml:space="preserve"> （全权代表姓名、职务）      </w:t>
      </w:r>
      <w:r>
        <w:rPr>
          <w:rFonts w:ascii="宋体" w:hAnsi="宋体" w:eastAsia="宋体" w:cs="宋体"/>
          <w:color w:val="auto"/>
          <w:spacing w:val="-4"/>
          <w:sz w:val="24"/>
          <w:szCs w:val="24"/>
          <w:highlight w:val="none"/>
        </w:rPr>
        <w:t xml:space="preserve">为本公司合法代理人，参加贵方组织的 </w:t>
      </w:r>
      <w:r>
        <w:rPr>
          <w:rFonts w:ascii="宋体" w:hAnsi="宋体" w:eastAsia="宋体" w:cs="宋体"/>
          <w:color w:val="auto"/>
          <w:spacing w:val="-4"/>
          <w:sz w:val="24"/>
          <w:szCs w:val="24"/>
          <w:highlight w:val="none"/>
          <w:u w:val="single"/>
        </w:rPr>
        <w:t xml:space="preserve">         （招标编号、招标项目名称）  </w:t>
      </w:r>
      <w:r>
        <w:rPr>
          <w:rFonts w:ascii="宋体" w:hAnsi="宋体" w:eastAsia="宋体" w:cs="宋体"/>
          <w:color w:val="auto"/>
          <w:spacing w:val="-4"/>
          <w:sz w:val="24"/>
          <w:szCs w:val="24"/>
          <w:highlight w:val="none"/>
        </w:rPr>
        <w:t>招投标活动，代表本公司处理招投标活动中的一切事宜，在此：</w:t>
      </w:r>
    </w:p>
    <w:p w14:paraId="13290E61">
      <w:pPr>
        <w:keepNext w:val="0"/>
        <w:keepLines w:val="0"/>
        <w:pageBreakBefore w:val="0"/>
        <w:widowControl w:val="0"/>
        <w:numPr>
          <w:ilvl w:val="0"/>
          <w:numId w:val="5"/>
        </w:numPr>
        <w:tabs>
          <w:tab w:val="left" w:pos="426"/>
          <w:tab w:val="clear" w:pos="840"/>
        </w:tabs>
        <w:kinsoku/>
        <w:wordWrap/>
        <w:overflowPunct/>
        <w:topLinePunct w:val="0"/>
        <w:autoSpaceDE/>
        <w:autoSpaceDN/>
        <w:bidi w:val="0"/>
        <w:spacing w:line="370" w:lineRule="exact"/>
        <w:ind w:left="0" w:firstLine="464" w:firstLineChars="200"/>
        <w:textAlignment w:val="auto"/>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提供招标文件中规定的全部投标文件。</w:t>
      </w:r>
    </w:p>
    <w:p w14:paraId="69B2309F">
      <w:pPr>
        <w:keepNext w:val="0"/>
        <w:keepLines w:val="0"/>
        <w:pageBreakBefore w:val="0"/>
        <w:widowControl w:val="0"/>
        <w:numPr>
          <w:ilvl w:val="0"/>
          <w:numId w:val="5"/>
        </w:numPr>
        <w:tabs>
          <w:tab w:val="left" w:pos="426"/>
          <w:tab w:val="clear" w:pos="840"/>
        </w:tabs>
        <w:kinsoku/>
        <w:wordWrap/>
        <w:overflowPunct/>
        <w:topLinePunct w:val="0"/>
        <w:autoSpaceDE/>
        <w:autoSpaceDN/>
        <w:bidi w:val="0"/>
        <w:spacing w:line="370" w:lineRule="exact"/>
        <w:ind w:left="0" w:firstLine="464" w:firstLineChars="200"/>
        <w:textAlignment w:val="auto"/>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据此函，签字代表宣布并承诺如下：</w:t>
      </w:r>
    </w:p>
    <w:p w14:paraId="32DF95FE">
      <w:pPr>
        <w:keepNext w:val="0"/>
        <w:keepLines w:val="0"/>
        <w:pageBreakBefore w:val="0"/>
        <w:widowControl w:val="0"/>
        <w:numPr>
          <w:ilvl w:val="0"/>
          <w:numId w:val="0"/>
        </w:numPr>
        <w:kinsoku/>
        <w:wordWrap/>
        <w:overflowPunct/>
        <w:topLinePunct w:val="0"/>
        <w:autoSpaceDE/>
        <w:autoSpaceDN/>
        <w:bidi w:val="0"/>
        <w:spacing w:line="370" w:lineRule="exact"/>
        <w:ind w:firstLine="464" w:firstLineChars="200"/>
        <w:textAlignment w:val="auto"/>
        <w:rPr>
          <w:rFonts w:hint="default"/>
          <w:color w:val="auto"/>
          <w:highlight w:val="none"/>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lang w:eastAsia="zh-CN"/>
        </w:rPr>
        <w:t>）</w:t>
      </w:r>
      <w:r>
        <w:rPr>
          <w:rFonts w:ascii="宋体" w:hAnsi="宋体" w:eastAsia="宋体" w:cs="宋体"/>
          <w:color w:val="auto"/>
          <w:spacing w:val="-4"/>
          <w:sz w:val="24"/>
          <w:szCs w:val="24"/>
          <w:highlight w:val="none"/>
        </w:rPr>
        <w:t>投标产品的投标总价为《开标一览表》所列金额。</w:t>
      </w:r>
    </w:p>
    <w:p w14:paraId="3ADAD641">
      <w:pPr>
        <w:keepNext w:val="0"/>
        <w:keepLines w:val="0"/>
        <w:pageBreakBefore w:val="0"/>
        <w:widowControl w:val="0"/>
        <w:kinsoku/>
        <w:wordWrap/>
        <w:overflowPunct/>
        <w:topLinePunct w:val="0"/>
        <w:autoSpaceDE/>
        <w:autoSpaceDN/>
        <w:bidi w:val="0"/>
        <w:spacing w:line="370" w:lineRule="exact"/>
        <w:ind w:firstLine="464" w:firstLineChars="200"/>
        <w:textAlignment w:val="auto"/>
        <w:rPr>
          <w:rFonts w:hint="eastAsia" w:asciiTheme="minorEastAsia" w:hAnsiTheme="minorEastAsia" w:eastAsiaTheme="minorEastAsia" w:cstheme="minorEastAsia"/>
          <w:i w:val="0"/>
          <w:iCs w:val="0"/>
          <w:color w:val="auto"/>
          <w:kern w:val="2"/>
          <w:sz w:val="24"/>
          <w:szCs w:val="24"/>
          <w:highlight w:val="none"/>
          <w:vertAlign w:val="baseline"/>
          <w:lang w:val="en-US" w:eastAsia="zh-CN" w:bidi="ar-SA"/>
        </w:rPr>
      </w:pPr>
      <w:r>
        <w:rPr>
          <w:rFonts w:ascii="宋体" w:hAnsi="宋体" w:eastAsia="宋体" w:cs="宋体"/>
          <w:color w:val="auto"/>
          <w:spacing w:val="-4"/>
          <w:sz w:val="24"/>
          <w:szCs w:val="24"/>
          <w:highlight w:val="none"/>
        </w:rPr>
        <w:t>本报价已经包含了所供产品应纳的税金及招标文件规定的报价方式应包含的其他费用。本报价在投标有效期内固定不变，并在合同有效期内不受利率、物价、政策等波动的影响。</w:t>
      </w:r>
    </w:p>
    <w:p w14:paraId="3D5B021E">
      <w:pPr>
        <w:keepNext w:val="0"/>
        <w:keepLines w:val="0"/>
        <w:pageBreakBefore w:val="0"/>
        <w:widowControl w:val="0"/>
        <w:numPr>
          <w:ilvl w:val="0"/>
          <w:numId w:val="6"/>
        </w:numPr>
        <w:kinsoku/>
        <w:wordWrap/>
        <w:overflowPunct/>
        <w:topLinePunct w:val="0"/>
        <w:autoSpaceDE/>
        <w:autoSpaceDN/>
        <w:bidi w:val="0"/>
        <w:spacing w:line="370" w:lineRule="exact"/>
        <w:ind w:firstLine="464" w:firstLineChars="200"/>
        <w:textAlignment w:val="auto"/>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本投标自开标之日起</w:t>
      </w:r>
      <w:r>
        <w:rPr>
          <w:rFonts w:ascii="宋体" w:hAnsi="宋体" w:eastAsia="宋体" w:cs="宋体"/>
          <w:color w:val="auto"/>
          <w:spacing w:val="-4"/>
          <w:sz w:val="24"/>
          <w:szCs w:val="24"/>
          <w:highlight w:val="none"/>
          <w:u w:val="single"/>
        </w:rPr>
        <w:t xml:space="preserve">90 </w:t>
      </w:r>
      <w:r>
        <w:rPr>
          <w:rFonts w:ascii="宋体" w:hAnsi="宋体" w:eastAsia="宋体" w:cs="宋体"/>
          <w:color w:val="auto"/>
          <w:spacing w:val="-4"/>
          <w:sz w:val="24"/>
          <w:szCs w:val="24"/>
          <w:highlight w:val="none"/>
        </w:rPr>
        <w:t>天内有效。</w:t>
      </w:r>
    </w:p>
    <w:p w14:paraId="365A3240">
      <w:pPr>
        <w:keepNext w:val="0"/>
        <w:keepLines w:val="0"/>
        <w:pageBreakBefore w:val="0"/>
        <w:widowControl w:val="0"/>
        <w:numPr>
          <w:ilvl w:val="0"/>
          <w:numId w:val="6"/>
        </w:numPr>
        <w:kinsoku/>
        <w:wordWrap/>
        <w:overflowPunct/>
        <w:topLinePunct w:val="0"/>
        <w:autoSpaceDE/>
        <w:autoSpaceDN/>
        <w:bidi w:val="0"/>
        <w:spacing w:line="370" w:lineRule="exact"/>
        <w:ind w:firstLine="464" w:firstLineChars="200"/>
        <w:textAlignment w:val="auto"/>
        <w:rPr>
          <w:rFonts w:hint="default" w:ascii="宋体" w:hAnsi="宋体" w:eastAsia="宋体" w:cs="宋体"/>
          <w:color w:val="auto"/>
          <w:spacing w:val="-4"/>
          <w:sz w:val="24"/>
          <w:szCs w:val="24"/>
          <w:highlight w:val="none"/>
        </w:rPr>
      </w:pPr>
      <w:r>
        <w:rPr>
          <w:rFonts w:ascii="宋体" w:hAnsi="宋体" w:eastAsia="宋体" w:cs="宋体"/>
          <w:color w:val="auto"/>
          <w:spacing w:val="-4"/>
          <w:sz w:val="24"/>
          <w:highlight w:val="none"/>
        </w:rPr>
        <w:t>我方此次向贵方提供的项目名称为：</w:t>
      </w:r>
      <w:r>
        <w:rPr>
          <w:rFonts w:ascii="宋体" w:hAnsi="宋体" w:eastAsia="宋体" w:cs="宋体"/>
          <w:color w:val="auto"/>
          <w:spacing w:val="-4"/>
          <w:sz w:val="24"/>
          <w:highlight w:val="none"/>
          <w:u w:val="single"/>
        </w:rPr>
        <w:t xml:space="preserve">  </w:t>
      </w:r>
      <w:r>
        <w:rPr>
          <w:rFonts w:ascii="宋体" w:hAnsi="宋体" w:eastAsia="宋体" w:cs="宋体"/>
          <w:bCs/>
          <w:color w:val="auto"/>
          <w:spacing w:val="-4"/>
          <w:sz w:val="24"/>
          <w:highlight w:val="none"/>
          <w:u w:val="single"/>
        </w:rPr>
        <w:t xml:space="preserve">       </w:t>
      </w:r>
      <w:r>
        <w:rPr>
          <w:rFonts w:ascii="宋体" w:hAnsi="宋体" w:eastAsia="宋体" w:cs="宋体"/>
          <w:color w:val="auto"/>
          <w:spacing w:val="-4"/>
          <w:sz w:val="24"/>
          <w:highlight w:val="none"/>
          <w:u w:val="single"/>
        </w:rPr>
        <w:t xml:space="preserve">   </w:t>
      </w:r>
      <w:r>
        <w:rPr>
          <w:rFonts w:ascii="宋体" w:hAnsi="宋体" w:eastAsia="宋体" w:cs="宋体"/>
          <w:color w:val="auto"/>
          <w:spacing w:val="-4"/>
          <w:sz w:val="24"/>
          <w:highlight w:val="none"/>
        </w:rPr>
        <w:t>，该项目我方有能力完成。</w:t>
      </w:r>
    </w:p>
    <w:p w14:paraId="4589DFC7">
      <w:pPr>
        <w:keepNext w:val="0"/>
        <w:keepLines w:val="0"/>
        <w:pageBreakBefore w:val="0"/>
        <w:widowControl w:val="0"/>
        <w:kinsoku/>
        <w:wordWrap/>
        <w:overflowPunct/>
        <w:topLinePunct w:val="0"/>
        <w:autoSpaceDE/>
        <w:autoSpaceDN/>
        <w:bidi w:val="0"/>
        <w:spacing w:line="370" w:lineRule="exact"/>
        <w:ind w:firstLine="464" w:firstLineChars="200"/>
        <w:textAlignment w:val="auto"/>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（4） 我们已详细审查全部招标文件及有关的澄清、修改文件（若有的话），我们完全理解并同意放弃对这方面提出任何异议的权利。保证遵守招标文件有关条款规定。</w:t>
      </w:r>
    </w:p>
    <w:p w14:paraId="4652BF3D">
      <w:pPr>
        <w:keepNext w:val="0"/>
        <w:keepLines w:val="0"/>
        <w:pageBreakBefore w:val="0"/>
        <w:widowControl w:val="0"/>
        <w:kinsoku/>
        <w:wordWrap/>
        <w:overflowPunct/>
        <w:topLinePunct w:val="0"/>
        <w:autoSpaceDE/>
        <w:autoSpaceDN/>
        <w:bidi w:val="0"/>
        <w:spacing w:line="370" w:lineRule="exact"/>
        <w:ind w:firstLine="464" w:firstLineChars="200"/>
        <w:textAlignment w:val="auto"/>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（5） 保证在中标后忠实地执行与采购人所签署的合同，并承担合同规定的责任义务。保证在中标后按照招标文件的规定支付采购代理服务费。</w:t>
      </w:r>
    </w:p>
    <w:p w14:paraId="6E8E8795">
      <w:pPr>
        <w:keepNext w:val="0"/>
        <w:keepLines w:val="0"/>
        <w:pageBreakBefore w:val="0"/>
        <w:widowControl w:val="0"/>
        <w:kinsoku/>
        <w:wordWrap/>
        <w:overflowPunct/>
        <w:topLinePunct w:val="0"/>
        <w:autoSpaceDE/>
        <w:autoSpaceDN/>
        <w:bidi w:val="0"/>
        <w:spacing w:line="370" w:lineRule="exact"/>
        <w:ind w:firstLine="464" w:firstLineChars="200"/>
        <w:textAlignment w:val="auto"/>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（6） 承诺应贵方要求提供任何与该项目投标有关的数据、情况和技术资料。</w:t>
      </w:r>
    </w:p>
    <w:p w14:paraId="1AA75456">
      <w:pPr>
        <w:keepNext w:val="0"/>
        <w:keepLines w:val="0"/>
        <w:pageBreakBefore w:val="0"/>
        <w:widowControl w:val="0"/>
        <w:kinsoku/>
        <w:wordWrap/>
        <w:overflowPunct/>
        <w:topLinePunct w:val="0"/>
        <w:autoSpaceDE/>
        <w:autoSpaceDN/>
        <w:bidi w:val="0"/>
        <w:spacing w:line="370" w:lineRule="exact"/>
        <w:ind w:firstLine="464" w:firstLineChars="200"/>
        <w:textAlignment w:val="auto"/>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（7） 我们承诺，与为采购人采购本次招标的产品进行设计、编制规范和其他文件所委托的咨询公司或其附属机构无任何直接或间接的关联。</w:t>
      </w:r>
    </w:p>
    <w:p w14:paraId="7EA912BA">
      <w:pPr>
        <w:keepNext w:val="0"/>
        <w:keepLines w:val="0"/>
        <w:pageBreakBefore w:val="0"/>
        <w:widowControl w:val="0"/>
        <w:kinsoku/>
        <w:wordWrap/>
        <w:overflowPunct/>
        <w:topLinePunct w:val="0"/>
        <w:autoSpaceDE/>
        <w:autoSpaceDN/>
        <w:bidi w:val="0"/>
        <w:spacing w:line="370" w:lineRule="exact"/>
        <w:ind w:firstLine="464" w:firstLineChars="200"/>
        <w:textAlignment w:val="auto"/>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（8）</w:t>
      </w:r>
      <w:r>
        <w:rPr>
          <w:rFonts w:ascii="宋体" w:hAnsi="宋体" w:eastAsia="宋体" w:cs="宋体"/>
          <w:color w:val="auto"/>
          <w:spacing w:val="-4"/>
          <w:sz w:val="24"/>
          <w:highlight w:val="none"/>
        </w:rPr>
        <w:t>我方向贵方提交的所有投标文件、资料都是准确的和真实的。若未中标，我单位同意采购人免费采用我单位全部或部分方案。</w:t>
      </w:r>
    </w:p>
    <w:p w14:paraId="2671E481">
      <w:pPr>
        <w:keepNext w:val="0"/>
        <w:keepLines w:val="0"/>
        <w:pageBreakBefore w:val="0"/>
        <w:widowControl w:val="0"/>
        <w:kinsoku/>
        <w:wordWrap/>
        <w:overflowPunct/>
        <w:topLinePunct w:val="0"/>
        <w:autoSpaceDE/>
        <w:autoSpaceDN/>
        <w:bidi w:val="0"/>
        <w:adjustRightInd/>
        <w:snapToGrid/>
        <w:spacing w:line="370" w:lineRule="exact"/>
        <w:ind w:firstLine="464" w:firstLineChars="200"/>
        <w:textAlignment w:val="auto"/>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ascii="宋体" w:hAnsi="宋体" w:eastAsia="宋体" w:cs="宋体"/>
          <w:color w:val="auto"/>
          <w:spacing w:val="-4"/>
          <w:sz w:val="24"/>
          <w:highlight w:val="none"/>
        </w:rPr>
        <w:t>并在人员、设备、资金等方面具有相应的供货及安装能力</w:t>
      </w:r>
      <w:r>
        <w:rPr>
          <w:rFonts w:ascii="宋体" w:hAnsi="宋体" w:eastAsia="宋体" w:cs="宋体"/>
          <w:color w:val="auto"/>
          <w:spacing w:val="-4"/>
          <w:sz w:val="24"/>
          <w:szCs w:val="24"/>
          <w:highlight w:val="none"/>
        </w:rPr>
        <w:t>。我公司</w:t>
      </w:r>
      <w:r>
        <w:rPr>
          <w:rFonts w:ascii="宋体" w:hAnsi="宋体" w:eastAsia="宋体" w:cs="宋体"/>
          <w:color w:val="auto"/>
          <w:spacing w:val="-4"/>
          <w:sz w:val="24"/>
          <w:highlight w:val="none"/>
        </w:rPr>
        <w:t>未被列入失信被执行人名单、重大税收违法失信主体、政府采购严重违法失信行为记录名单。</w:t>
      </w:r>
    </w:p>
    <w:p w14:paraId="124AA09B">
      <w:pPr>
        <w:keepNext w:val="0"/>
        <w:keepLines w:val="0"/>
        <w:pageBreakBefore w:val="0"/>
        <w:widowControl w:val="0"/>
        <w:numPr>
          <w:ilvl w:val="0"/>
          <w:numId w:val="5"/>
        </w:numPr>
        <w:tabs>
          <w:tab w:val="left" w:pos="426"/>
          <w:tab w:val="clear" w:pos="840"/>
        </w:tabs>
        <w:kinsoku/>
        <w:wordWrap/>
        <w:overflowPunct/>
        <w:topLinePunct w:val="0"/>
        <w:autoSpaceDE/>
        <w:autoSpaceDN/>
        <w:bidi w:val="0"/>
        <w:spacing w:line="370" w:lineRule="exact"/>
        <w:ind w:left="0" w:firstLine="464" w:firstLineChars="200"/>
        <w:textAlignment w:val="auto"/>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与本投标有关的一切往来通信请寄：</w:t>
      </w:r>
    </w:p>
    <w:p w14:paraId="7466DFA7">
      <w:pPr>
        <w:keepNext w:val="0"/>
        <w:keepLines w:val="0"/>
        <w:pageBreakBefore w:val="0"/>
        <w:widowControl w:val="0"/>
        <w:kinsoku/>
        <w:wordWrap/>
        <w:overflowPunct/>
        <w:topLinePunct w:val="0"/>
        <w:autoSpaceDE/>
        <w:autoSpaceDN/>
        <w:bidi w:val="0"/>
        <w:snapToGrid w:val="0"/>
        <w:spacing w:line="370" w:lineRule="exact"/>
        <w:textAlignment w:val="auto"/>
        <w:rPr>
          <w:rFonts w:hint="default" w:ascii="宋体" w:hAnsi="宋体" w:eastAsia="宋体" w:cs="宋体"/>
          <w:color w:val="auto"/>
          <w:sz w:val="24"/>
          <w:highlight w:val="none"/>
        </w:rPr>
      </w:pPr>
      <w:r>
        <w:rPr>
          <w:rFonts w:ascii="宋体" w:hAnsi="宋体" w:eastAsia="宋体" w:cs="宋体"/>
          <w:color w:val="auto"/>
          <w:sz w:val="24"/>
          <w:szCs w:val="24"/>
          <w:highlight w:val="none"/>
        </w:rPr>
        <w:t>地址：</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邮编：__________   电话：______________</w:t>
      </w:r>
    </w:p>
    <w:p w14:paraId="67A265CB">
      <w:pPr>
        <w:keepNext w:val="0"/>
        <w:keepLines w:val="0"/>
        <w:pageBreakBefore w:val="0"/>
        <w:widowControl w:val="0"/>
        <w:kinsoku/>
        <w:wordWrap/>
        <w:overflowPunct/>
        <w:topLinePunct w:val="0"/>
        <w:autoSpaceDE/>
        <w:autoSpaceDN/>
        <w:bidi w:val="0"/>
        <w:snapToGrid w:val="0"/>
        <w:spacing w:line="370" w:lineRule="exact"/>
        <w:textAlignment w:val="auto"/>
        <w:rPr>
          <w:rFonts w:hint="default" w:ascii="宋体" w:hAnsi="宋体" w:eastAsia="宋体" w:cs="宋体"/>
          <w:color w:val="auto"/>
          <w:sz w:val="24"/>
          <w:highlight w:val="none"/>
        </w:rPr>
      </w:pPr>
      <w:r>
        <w:rPr>
          <w:rFonts w:ascii="宋体" w:hAnsi="宋体" w:eastAsia="宋体" w:cs="宋体"/>
          <w:color w:val="auto"/>
          <w:sz w:val="24"/>
          <w:szCs w:val="24"/>
          <w:highlight w:val="none"/>
        </w:rPr>
        <w:t>传真：________________  电子邮箱：________________</w:t>
      </w:r>
    </w:p>
    <w:p w14:paraId="541C1C4A">
      <w:pPr>
        <w:keepNext w:val="0"/>
        <w:keepLines w:val="0"/>
        <w:pageBreakBefore w:val="0"/>
        <w:widowControl w:val="0"/>
        <w:kinsoku/>
        <w:wordWrap/>
        <w:overflowPunct/>
        <w:topLinePunct w:val="0"/>
        <w:autoSpaceDE/>
        <w:autoSpaceDN/>
        <w:bidi w:val="0"/>
        <w:snapToGrid w:val="0"/>
        <w:spacing w:line="370" w:lineRule="exact"/>
        <w:textAlignment w:val="auto"/>
        <w:rPr>
          <w:rFonts w:hint="default" w:ascii="宋体" w:hAnsi="宋体" w:eastAsia="宋体" w:cs="宋体"/>
          <w:color w:val="auto"/>
          <w:sz w:val="24"/>
          <w:highlight w:val="none"/>
        </w:rPr>
      </w:pPr>
      <w:r>
        <w:rPr>
          <w:rFonts w:ascii="宋体" w:hAnsi="宋体" w:eastAsia="宋体" w:cs="宋体"/>
          <w:color w:val="auto"/>
          <w:sz w:val="24"/>
          <w:szCs w:val="24"/>
          <w:highlight w:val="none"/>
        </w:rPr>
        <w:t>投标人名称（电子签章）:___________________</w:t>
      </w:r>
    </w:p>
    <w:p w14:paraId="325214B0">
      <w:pPr>
        <w:keepNext w:val="0"/>
        <w:keepLines w:val="0"/>
        <w:pageBreakBefore w:val="0"/>
        <w:widowControl w:val="0"/>
        <w:kinsoku/>
        <w:wordWrap/>
        <w:overflowPunct/>
        <w:topLinePunct w:val="0"/>
        <w:autoSpaceDE/>
        <w:autoSpaceDN/>
        <w:bidi w:val="0"/>
        <w:snapToGrid w:val="0"/>
        <w:spacing w:line="370" w:lineRule="exact"/>
        <w:textAlignment w:val="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法定代表人（签字或盖章）:________________   </w:t>
      </w:r>
    </w:p>
    <w:p w14:paraId="2884BB31">
      <w:pPr>
        <w:keepNext w:val="0"/>
        <w:keepLines w:val="0"/>
        <w:pageBreakBefore w:val="0"/>
        <w:widowControl w:val="0"/>
        <w:kinsoku/>
        <w:wordWrap/>
        <w:overflowPunct/>
        <w:topLinePunct w:val="0"/>
        <w:autoSpaceDE/>
        <w:autoSpaceDN/>
        <w:bidi w:val="0"/>
        <w:adjustRightInd w:val="0"/>
        <w:spacing w:line="370" w:lineRule="exact"/>
        <w:jc w:val="left"/>
        <w:textAlignment w:val="auto"/>
        <w:rPr>
          <w:rFonts w:hint="default"/>
          <w:color w:val="auto"/>
          <w:highlight w:val="none"/>
        </w:rPr>
      </w:pPr>
      <w:r>
        <w:rPr>
          <w:rFonts w:ascii="宋体" w:hAnsi="宋体" w:eastAsia="宋体" w:cs="宋体"/>
          <w:snapToGrid w:val="0"/>
          <w:color w:val="auto"/>
          <w:kern w:val="0"/>
          <w:sz w:val="24"/>
          <w:szCs w:val="24"/>
          <w:highlight w:val="none"/>
        </w:rPr>
        <w:t>日期：</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年</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月</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日</w:t>
      </w:r>
    </w:p>
    <w:p w14:paraId="449C952D">
      <w:pPr>
        <w:rPr>
          <w:rFonts w:hint="default"/>
          <w:color w:val="auto"/>
          <w:highlight w:val="none"/>
        </w:rPr>
      </w:pPr>
    </w:p>
    <w:p w14:paraId="7BD451D4">
      <w:pPr>
        <w:spacing w:line="240" w:lineRule="auto"/>
        <w:ind w:right="-567"/>
        <w:jc w:val="left"/>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rPr>
        <w:t>开标一览表格式：</w:t>
      </w:r>
    </w:p>
    <w:p w14:paraId="5503C5AA">
      <w:pPr>
        <w:spacing w:line="360" w:lineRule="auto"/>
        <w:jc w:val="center"/>
        <w:rPr>
          <w:rFonts w:hint="default" w:ascii="宋体" w:hAnsi="宋体" w:eastAsia="宋体" w:cs="宋体"/>
          <w:b/>
          <w:bCs/>
          <w:color w:val="auto"/>
          <w:sz w:val="30"/>
          <w:szCs w:val="30"/>
          <w:highlight w:val="none"/>
        </w:rPr>
      </w:pPr>
      <w:r>
        <w:rPr>
          <w:rFonts w:ascii="宋体" w:hAnsi="宋体" w:eastAsia="宋体" w:cs="宋体"/>
          <w:b/>
          <w:bCs/>
          <w:color w:val="auto"/>
          <w:sz w:val="30"/>
          <w:szCs w:val="30"/>
          <w:highlight w:val="none"/>
        </w:rPr>
        <w:t>开标一览表</w:t>
      </w:r>
    </w:p>
    <w:p w14:paraId="441AC856">
      <w:pPr>
        <w:spacing w:line="200" w:lineRule="exact"/>
        <w:rPr>
          <w:rFonts w:hint="default" w:ascii="宋体" w:hAnsi="宋体" w:eastAsia="宋体" w:cs="宋体"/>
          <w:color w:val="auto"/>
          <w:spacing w:val="-4"/>
          <w:sz w:val="24"/>
          <w:szCs w:val="24"/>
          <w:highlight w:val="none"/>
        </w:rPr>
      </w:pPr>
    </w:p>
    <w:p w14:paraId="47F2B682">
      <w:pPr>
        <w:tabs>
          <w:tab w:val="right" w:pos="8847"/>
        </w:tabs>
        <w:spacing w:line="360" w:lineRule="auto"/>
        <w:rPr>
          <w:rFonts w:hint="default" w:ascii="宋体" w:hAnsi="宋体" w:eastAsia="宋体" w:cs="宋体"/>
          <w:color w:val="auto"/>
          <w:spacing w:val="-4"/>
          <w:sz w:val="24"/>
          <w:szCs w:val="24"/>
          <w:highlight w:val="none"/>
          <w:u w:val="single"/>
        </w:rPr>
      </w:pPr>
      <w:r>
        <w:rPr>
          <w:rFonts w:ascii="宋体" w:hAnsi="宋体" w:eastAsia="宋体" w:cs="宋体"/>
          <w:color w:val="auto"/>
          <w:spacing w:val="-4"/>
          <w:sz w:val="24"/>
          <w:szCs w:val="24"/>
          <w:highlight w:val="none"/>
        </w:rPr>
        <w:t>项目名称：</w:t>
      </w:r>
      <w:r>
        <w:rPr>
          <w:rFonts w:ascii="宋体" w:hAnsi="宋体" w:eastAsia="宋体" w:cs="宋体"/>
          <w:color w:val="auto"/>
          <w:spacing w:val="-4"/>
          <w:sz w:val="24"/>
          <w:szCs w:val="24"/>
          <w:highlight w:val="none"/>
          <w:u w:val="single"/>
        </w:rPr>
        <w:t xml:space="preserve">                             </w:t>
      </w:r>
      <w:r>
        <w:rPr>
          <w:rFonts w:ascii="宋体" w:hAnsi="宋体" w:eastAsia="宋体" w:cs="宋体"/>
          <w:color w:val="auto"/>
          <w:spacing w:val="-4"/>
          <w:sz w:val="24"/>
          <w:szCs w:val="24"/>
          <w:highlight w:val="none"/>
        </w:rPr>
        <w:t>项目编号：</w:t>
      </w:r>
      <w:r>
        <w:rPr>
          <w:rFonts w:ascii="宋体" w:hAnsi="宋体" w:eastAsia="宋体" w:cs="宋体"/>
          <w:color w:val="auto"/>
          <w:spacing w:val="-4"/>
          <w:sz w:val="24"/>
          <w:szCs w:val="24"/>
          <w:highlight w:val="none"/>
          <w:u w:val="single"/>
        </w:rPr>
        <w:t xml:space="preserve">                      </w:t>
      </w:r>
    </w:p>
    <w:tbl>
      <w:tblPr>
        <w:tblStyle w:val="29"/>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2074"/>
        <w:gridCol w:w="1065"/>
        <w:gridCol w:w="3321"/>
        <w:gridCol w:w="1482"/>
      </w:tblGrid>
      <w:tr w14:paraId="7C09C6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tcMar>
              <w:left w:w="0" w:type="dxa"/>
              <w:right w:w="0" w:type="dxa"/>
            </w:tcMar>
            <w:vAlign w:val="center"/>
          </w:tcPr>
          <w:p w14:paraId="35520717">
            <w:pPr>
              <w:spacing w:line="0" w:lineRule="atLeast"/>
              <w:jc w:val="center"/>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序号</w:t>
            </w:r>
          </w:p>
        </w:tc>
        <w:tc>
          <w:tcPr>
            <w:tcW w:w="2074" w:type="dxa"/>
            <w:tcBorders>
              <w:top w:val="single" w:color="auto" w:sz="4" w:space="0"/>
              <w:bottom w:val="single" w:color="auto" w:sz="4" w:space="0"/>
            </w:tcBorders>
            <w:tcMar>
              <w:left w:w="0" w:type="dxa"/>
              <w:right w:w="0" w:type="dxa"/>
            </w:tcMar>
            <w:vAlign w:val="center"/>
          </w:tcPr>
          <w:p w14:paraId="51D6EBB1">
            <w:pPr>
              <w:spacing w:line="0" w:lineRule="atLeast"/>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项目名称</w:t>
            </w:r>
          </w:p>
        </w:tc>
        <w:tc>
          <w:tcPr>
            <w:tcW w:w="1065" w:type="dxa"/>
            <w:tcBorders>
              <w:top w:val="single" w:color="auto" w:sz="4" w:space="0"/>
              <w:bottom w:val="single" w:color="auto" w:sz="4" w:space="0"/>
              <w:right w:val="single" w:color="auto" w:sz="4" w:space="0"/>
            </w:tcBorders>
            <w:tcMar>
              <w:left w:w="0" w:type="dxa"/>
              <w:right w:w="0" w:type="dxa"/>
            </w:tcMar>
            <w:vAlign w:val="center"/>
          </w:tcPr>
          <w:p w14:paraId="28EA6DC0">
            <w:pPr>
              <w:spacing w:line="24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数量</w:t>
            </w:r>
          </w:p>
        </w:tc>
        <w:tc>
          <w:tcPr>
            <w:tcW w:w="3321" w:type="dxa"/>
            <w:tcBorders>
              <w:top w:val="single" w:color="auto" w:sz="4" w:space="0"/>
              <w:left w:val="single" w:color="auto" w:sz="4" w:space="0"/>
              <w:bottom w:val="single" w:color="auto" w:sz="4" w:space="0"/>
            </w:tcBorders>
            <w:tcMar>
              <w:left w:w="0" w:type="dxa"/>
              <w:right w:w="0" w:type="dxa"/>
            </w:tcMar>
            <w:vAlign w:val="center"/>
          </w:tcPr>
          <w:p w14:paraId="518C23AA">
            <w:pPr>
              <w:snapToGrid w:val="0"/>
              <w:spacing w:before="50" w:after="50" w:line="24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投标价（人民币元）</w:t>
            </w:r>
          </w:p>
        </w:tc>
        <w:tc>
          <w:tcPr>
            <w:tcW w:w="1482" w:type="dxa"/>
            <w:tcBorders>
              <w:top w:val="single" w:color="auto" w:sz="4" w:space="0"/>
              <w:bottom w:val="single" w:color="auto" w:sz="4" w:space="0"/>
            </w:tcBorders>
            <w:tcMar>
              <w:left w:w="0" w:type="dxa"/>
              <w:right w:w="0" w:type="dxa"/>
            </w:tcMar>
            <w:vAlign w:val="center"/>
          </w:tcPr>
          <w:p w14:paraId="2F7B207C">
            <w:pPr>
              <w:snapToGrid w:val="0"/>
              <w:spacing w:before="50" w:after="50" w:line="240" w:lineRule="auto"/>
              <w:jc w:val="center"/>
              <w:rPr>
                <w:rFonts w:hint="default" w:ascii="宋体" w:hAnsi="宋体" w:eastAsia="宋体" w:cs="宋体"/>
                <w:color w:val="auto"/>
                <w:sz w:val="24"/>
                <w:szCs w:val="24"/>
                <w:highlight w:val="none"/>
              </w:rPr>
            </w:pPr>
            <w:r>
              <w:rPr>
                <w:rFonts w:ascii="宋体" w:hAnsi="宋体" w:eastAsia="宋体" w:cs="宋体"/>
                <w:bCs/>
                <w:color w:val="auto"/>
                <w:szCs w:val="30"/>
                <w:highlight w:val="none"/>
              </w:rPr>
              <w:t>备注</w:t>
            </w:r>
          </w:p>
        </w:tc>
      </w:tr>
      <w:tr w14:paraId="1CB32A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79D0D363">
            <w:pPr>
              <w:spacing w:line="0" w:lineRule="atLeast"/>
              <w:jc w:val="center"/>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1</w:t>
            </w:r>
          </w:p>
        </w:tc>
        <w:tc>
          <w:tcPr>
            <w:tcW w:w="2074" w:type="dxa"/>
            <w:tcBorders>
              <w:bottom w:val="single" w:color="auto" w:sz="4" w:space="0"/>
            </w:tcBorders>
            <w:tcMar>
              <w:left w:w="0" w:type="dxa"/>
              <w:right w:w="0" w:type="dxa"/>
            </w:tcMar>
            <w:vAlign w:val="center"/>
          </w:tcPr>
          <w:p w14:paraId="720F591A">
            <w:pPr>
              <w:spacing w:line="0" w:lineRule="atLeast"/>
              <w:jc w:val="center"/>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浦江县公路与运输事业发展中心非现场执法设备2025年运维项目(第二次）</w:t>
            </w:r>
          </w:p>
        </w:tc>
        <w:tc>
          <w:tcPr>
            <w:tcW w:w="1065" w:type="dxa"/>
            <w:tcBorders>
              <w:bottom w:val="single" w:color="auto" w:sz="4" w:space="0"/>
              <w:right w:val="single" w:color="auto" w:sz="4" w:space="0"/>
            </w:tcBorders>
            <w:tcMar>
              <w:left w:w="0" w:type="dxa"/>
              <w:right w:w="0" w:type="dxa"/>
            </w:tcMar>
            <w:vAlign w:val="center"/>
          </w:tcPr>
          <w:p w14:paraId="70920AC2">
            <w:pPr>
              <w:spacing w:line="0" w:lineRule="atLeast"/>
              <w:ind w:left="420"/>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1项</w:t>
            </w:r>
          </w:p>
        </w:tc>
        <w:tc>
          <w:tcPr>
            <w:tcW w:w="3321" w:type="dxa"/>
            <w:tcBorders>
              <w:left w:val="single" w:color="auto" w:sz="4" w:space="0"/>
              <w:bottom w:val="single" w:color="auto" w:sz="4" w:space="0"/>
            </w:tcBorders>
            <w:tcMar>
              <w:left w:w="0" w:type="dxa"/>
              <w:right w:w="0" w:type="dxa"/>
            </w:tcMar>
            <w:vAlign w:val="center"/>
          </w:tcPr>
          <w:p w14:paraId="6A5D9687">
            <w:pPr>
              <w:spacing w:line="0" w:lineRule="atLeast"/>
              <w:jc w:val="center"/>
              <w:rPr>
                <w:rFonts w:hint="default" w:ascii="宋体" w:hAnsi="宋体" w:eastAsia="宋体" w:cs="宋体"/>
                <w:color w:val="auto"/>
                <w:spacing w:val="-4"/>
                <w:sz w:val="24"/>
                <w:szCs w:val="24"/>
                <w:highlight w:val="none"/>
              </w:rPr>
            </w:pPr>
          </w:p>
        </w:tc>
        <w:tc>
          <w:tcPr>
            <w:tcW w:w="1482" w:type="dxa"/>
            <w:tcBorders>
              <w:bottom w:val="single" w:color="auto" w:sz="4" w:space="0"/>
            </w:tcBorders>
            <w:tcMar>
              <w:left w:w="0" w:type="dxa"/>
              <w:right w:w="0" w:type="dxa"/>
            </w:tcMar>
            <w:vAlign w:val="center"/>
          </w:tcPr>
          <w:p w14:paraId="6361600D">
            <w:pPr>
              <w:spacing w:line="0" w:lineRule="atLeast"/>
              <w:jc w:val="center"/>
              <w:rPr>
                <w:rFonts w:hint="default" w:ascii="宋体" w:hAnsi="宋体" w:eastAsia="宋体" w:cs="宋体"/>
                <w:color w:val="auto"/>
                <w:spacing w:val="-4"/>
                <w:sz w:val="24"/>
                <w:szCs w:val="24"/>
                <w:highlight w:val="none"/>
              </w:rPr>
            </w:pPr>
          </w:p>
        </w:tc>
      </w:tr>
      <w:tr w14:paraId="101B79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396CDD6F">
            <w:pPr>
              <w:spacing w:line="0" w:lineRule="atLeast"/>
              <w:jc w:val="center"/>
              <w:rPr>
                <w:rFonts w:hint="default" w:ascii="宋体" w:hAnsi="宋体" w:eastAsia="宋体" w:cs="宋体"/>
                <w:color w:val="auto"/>
                <w:spacing w:val="-4"/>
                <w:sz w:val="24"/>
                <w:szCs w:val="24"/>
                <w:highlight w:val="none"/>
              </w:rPr>
            </w:pPr>
          </w:p>
        </w:tc>
        <w:tc>
          <w:tcPr>
            <w:tcW w:w="2074" w:type="dxa"/>
            <w:tcBorders>
              <w:bottom w:val="single" w:color="auto" w:sz="4" w:space="0"/>
            </w:tcBorders>
            <w:tcMar>
              <w:left w:w="0" w:type="dxa"/>
              <w:right w:w="0" w:type="dxa"/>
            </w:tcMar>
            <w:vAlign w:val="center"/>
          </w:tcPr>
          <w:p w14:paraId="1E0916C4">
            <w:pPr>
              <w:spacing w:line="0" w:lineRule="atLeast"/>
              <w:jc w:val="center"/>
              <w:rPr>
                <w:rFonts w:hint="default" w:ascii="宋体" w:hAnsi="宋体" w:eastAsia="宋体" w:cs="宋体"/>
                <w:color w:val="auto"/>
                <w:spacing w:val="-4"/>
                <w:sz w:val="24"/>
                <w:szCs w:val="24"/>
                <w:highlight w:val="none"/>
              </w:rPr>
            </w:pPr>
          </w:p>
        </w:tc>
        <w:tc>
          <w:tcPr>
            <w:tcW w:w="1065" w:type="dxa"/>
            <w:tcBorders>
              <w:bottom w:val="single" w:color="auto" w:sz="4" w:space="0"/>
              <w:right w:val="single" w:color="auto" w:sz="4" w:space="0"/>
            </w:tcBorders>
            <w:tcMar>
              <w:left w:w="0" w:type="dxa"/>
              <w:right w:w="0" w:type="dxa"/>
            </w:tcMar>
            <w:vAlign w:val="center"/>
          </w:tcPr>
          <w:p w14:paraId="4AE490CF">
            <w:pPr>
              <w:spacing w:line="0" w:lineRule="atLeast"/>
              <w:ind w:left="420"/>
              <w:rPr>
                <w:rFonts w:hint="default" w:ascii="宋体" w:hAnsi="宋体" w:eastAsia="宋体" w:cs="宋体"/>
                <w:color w:val="auto"/>
                <w:spacing w:val="-4"/>
                <w:sz w:val="24"/>
                <w:szCs w:val="24"/>
                <w:highlight w:val="none"/>
              </w:rPr>
            </w:pPr>
          </w:p>
        </w:tc>
        <w:tc>
          <w:tcPr>
            <w:tcW w:w="3321" w:type="dxa"/>
            <w:tcBorders>
              <w:left w:val="single" w:color="auto" w:sz="4" w:space="0"/>
              <w:bottom w:val="single" w:color="auto" w:sz="4" w:space="0"/>
            </w:tcBorders>
            <w:tcMar>
              <w:left w:w="0" w:type="dxa"/>
              <w:right w:w="0" w:type="dxa"/>
            </w:tcMar>
            <w:vAlign w:val="center"/>
          </w:tcPr>
          <w:p w14:paraId="3737E203">
            <w:pPr>
              <w:spacing w:line="0" w:lineRule="atLeast"/>
              <w:jc w:val="center"/>
              <w:rPr>
                <w:rFonts w:hint="default" w:ascii="宋体" w:hAnsi="宋体" w:eastAsia="宋体" w:cs="宋体"/>
                <w:color w:val="auto"/>
                <w:spacing w:val="-4"/>
                <w:sz w:val="24"/>
                <w:szCs w:val="24"/>
                <w:highlight w:val="none"/>
              </w:rPr>
            </w:pPr>
          </w:p>
        </w:tc>
        <w:tc>
          <w:tcPr>
            <w:tcW w:w="1482" w:type="dxa"/>
            <w:tcBorders>
              <w:bottom w:val="single" w:color="auto" w:sz="4" w:space="0"/>
            </w:tcBorders>
            <w:tcMar>
              <w:left w:w="0" w:type="dxa"/>
              <w:right w:w="0" w:type="dxa"/>
            </w:tcMar>
            <w:vAlign w:val="center"/>
          </w:tcPr>
          <w:p w14:paraId="471D963B">
            <w:pPr>
              <w:spacing w:line="0" w:lineRule="atLeast"/>
              <w:jc w:val="center"/>
              <w:rPr>
                <w:rFonts w:hint="default" w:ascii="宋体" w:hAnsi="宋体" w:eastAsia="宋体" w:cs="宋体"/>
                <w:color w:val="auto"/>
                <w:spacing w:val="-4"/>
                <w:sz w:val="24"/>
                <w:szCs w:val="24"/>
                <w:highlight w:val="none"/>
              </w:rPr>
            </w:pPr>
          </w:p>
        </w:tc>
      </w:tr>
      <w:tr w14:paraId="0FF649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2EF8E7AD">
            <w:pPr>
              <w:spacing w:line="0" w:lineRule="atLeast"/>
              <w:jc w:val="center"/>
              <w:rPr>
                <w:rFonts w:hint="default" w:ascii="宋体" w:hAnsi="宋体" w:eastAsia="宋体" w:cs="宋体"/>
                <w:color w:val="auto"/>
                <w:spacing w:val="-4"/>
                <w:sz w:val="24"/>
                <w:szCs w:val="24"/>
                <w:highlight w:val="none"/>
              </w:rPr>
            </w:pPr>
          </w:p>
        </w:tc>
        <w:tc>
          <w:tcPr>
            <w:tcW w:w="2074" w:type="dxa"/>
            <w:tcBorders>
              <w:bottom w:val="single" w:color="auto" w:sz="4" w:space="0"/>
            </w:tcBorders>
            <w:tcMar>
              <w:left w:w="0" w:type="dxa"/>
              <w:right w:w="0" w:type="dxa"/>
            </w:tcMar>
            <w:vAlign w:val="center"/>
          </w:tcPr>
          <w:p w14:paraId="5D643B79">
            <w:pPr>
              <w:spacing w:line="0" w:lineRule="atLeast"/>
              <w:jc w:val="center"/>
              <w:rPr>
                <w:rFonts w:hint="default" w:ascii="宋体" w:hAnsi="宋体" w:eastAsia="宋体" w:cs="宋体"/>
                <w:color w:val="auto"/>
                <w:spacing w:val="-4"/>
                <w:sz w:val="24"/>
                <w:szCs w:val="24"/>
                <w:highlight w:val="none"/>
              </w:rPr>
            </w:pPr>
          </w:p>
        </w:tc>
        <w:tc>
          <w:tcPr>
            <w:tcW w:w="1065" w:type="dxa"/>
            <w:tcBorders>
              <w:bottom w:val="single" w:color="auto" w:sz="4" w:space="0"/>
              <w:right w:val="single" w:color="auto" w:sz="4" w:space="0"/>
            </w:tcBorders>
            <w:tcMar>
              <w:left w:w="0" w:type="dxa"/>
              <w:right w:w="0" w:type="dxa"/>
            </w:tcMar>
            <w:vAlign w:val="center"/>
          </w:tcPr>
          <w:p w14:paraId="09F6B254">
            <w:pPr>
              <w:spacing w:line="0" w:lineRule="atLeast"/>
              <w:ind w:left="420"/>
              <w:jc w:val="center"/>
              <w:rPr>
                <w:rFonts w:hint="default" w:ascii="宋体" w:hAnsi="宋体" w:eastAsia="宋体" w:cs="宋体"/>
                <w:color w:val="auto"/>
                <w:spacing w:val="-4"/>
                <w:sz w:val="24"/>
                <w:szCs w:val="24"/>
                <w:highlight w:val="none"/>
              </w:rPr>
            </w:pPr>
          </w:p>
        </w:tc>
        <w:tc>
          <w:tcPr>
            <w:tcW w:w="3321" w:type="dxa"/>
            <w:tcBorders>
              <w:left w:val="single" w:color="auto" w:sz="4" w:space="0"/>
              <w:bottom w:val="single" w:color="auto" w:sz="4" w:space="0"/>
            </w:tcBorders>
            <w:tcMar>
              <w:left w:w="0" w:type="dxa"/>
              <w:right w:w="0" w:type="dxa"/>
            </w:tcMar>
            <w:vAlign w:val="center"/>
          </w:tcPr>
          <w:p w14:paraId="305B8CCC">
            <w:pPr>
              <w:spacing w:line="0" w:lineRule="atLeast"/>
              <w:jc w:val="center"/>
              <w:rPr>
                <w:rFonts w:hint="default" w:ascii="宋体" w:hAnsi="宋体" w:eastAsia="宋体" w:cs="宋体"/>
                <w:color w:val="auto"/>
                <w:spacing w:val="-4"/>
                <w:sz w:val="24"/>
                <w:szCs w:val="24"/>
                <w:highlight w:val="none"/>
              </w:rPr>
            </w:pPr>
          </w:p>
        </w:tc>
        <w:tc>
          <w:tcPr>
            <w:tcW w:w="1482" w:type="dxa"/>
            <w:tcBorders>
              <w:bottom w:val="single" w:color="auto" w:sz="4" w:space="0"/>
            </w:tcBorders>
            <w:tcMar>
              <w:left w:w="0" w:type="dxa"/>
              <w:right w:w="0" w:type="dxa"/>
            </w:tcMar>
            <w:vAlign w:val="center"/>
          </w:tcPr>
          <w:p w14:paraId="3EBDB931">
            <w:pPr>
              <w:spacing w:line="0" w:lineRule="atLeast"/>
              <w:jc w:val="center"/>
              <w:rPr>
                <w:rFonts w:hint="default" w:ascii="宋体" w:hAnsi="宋体" w:eastAsia="宋体" w:cs="宋体"/>
                <w:color w:val="auto"/>
                <w:spacing w:val="-4"/>
                <w:sz w:val="24"/>
                <w:szCs w:val="24"/>
                <w:highlight w:val="none"/>
              </w:rPr>
            </w:pPr>
          </w:p>
        </w:tc>
      </w:tr>
      <w:tr w14:paraId="7E553D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266EEC91">
            <w:pPr>
              <w:spacing w:line="0" w:lineRule="atLeast"/>
              <w:jc w:val="center"/>
              <w:rPr>
                <w:rFonts w:hint="default" w:ascii="宋体" w:hAnsi="宋体" w:eastAsia="宋体" w:cs="宋体"/>
                <w:color w:val="auto"/>
                <w:spacing w:val="-4"/>
                <w:sz w:val="24"/>
                <w:szCs w:val="24"/>
                <w:highlight w:val="none"/>
              </w:rPr>
            </w:pPr>
          </w:p>
        </w:tc>
        <w:tc>
          <w:tcPr>
            <w:tcW w:w="2074" w:type="dxa"/>
            <w:tcBorders>
              <w:bottom w:val="single" w:color="auto" w:sz="4" w:space="0"/>
            </w:tcBorders>
            <w:tcMar>
              <w:left w:w="0" w:type="dxa"/>
              <w:right w:w="0" w:type="dxa"/>
            </w:tcMar>
            <w:vAlign w:val="center"/>
          </w:tcPr>
          <w:p w14:paraId="04BD3F90">
            <w:pPr>
              <w:spacing w:line="0" w:lineRule="atLeast"/>
              <w:jc w:val="center"/>
              <w:rPr>
                <w:rFonts w:hint="default" w:ascii="宋体" w:hAnsi="宋体" w:eastAsia="宋体" w:cs="宋体"/>
                <w:color w:val="auto"/>
                <w:spacing w:val="-4"/>
                <w:sz w:val="24"/>
                <w:szCs w:val="24"/>
                <w:highlight w:val="none"/>
              </w:rPr>
            </w:pPr>
          </w:p>
        </w:tc>
        <w:tc>
          <w:tcPr>
            <w:tcW w:w="1065" w:type="dxa"/>
            <w:tcBorders>
              <w:bottom w:val="single" w:color="auto" w:sz="4" w:space="0"/>
              <w:right w:val="single" w:color="auto" w:sz="4" w:space="0"/>
            </w:tcBorders>
            <w:tcMar>
              <w:left w:w="0" w:type="dxa"/>
              <w:right w:w="0" w:type="dxa"/>
            </w:tcMar>
            <w:vAlign w:val="center"/>
          </w:tcPr>
          <w:p w14:paraId="09D4FB1C">
            <w:pPr>
              <w:spacing w:line="0" w:lineRule="atLeast"/>
              <w:ind w:left="420"/>
              <w:jc w:val="center"/>
              <w:rPr>
                <w:rFonts w:hint="default" w:ascii="宋体" w:hAnsi="宋体" w:eastAsia="宋体" w:cs="宋体"/>
                <w:color w:val="auto"/>
                <w:spacing w:val="-4"/>
                <w:sz w:val="24"/>
                <w:szCs w:val="24"/>
                <w:highlight w:val="none"/>
              </w:rPr>
            </w:pPr>
          </w:p>
        </w:tc>
        <w:tc>
          <w:tcPr>
            <w:tcW w:w="3321" w:type="dxa"/>
            <w:tcBorders>
              <w:left w:val="single" w:color="auto" w:sz="4" w:space="0"/>
              <w:bottom w:val="single" w:color="auto" w:sz="4" w:space="0"/>
            </w:tcBorders>
            <w:tcMar>
              <w:left w:w="0" w:type="dxa"/>
              <w:right w:w="0" w:type="dxa"/>
            </w:tcMar>
            <w:vAlign w:val="center"/>
          </w:tcPr>
          <w:p w14:paraId="300FE2E2">
            <w:pPr>
              <w:spacing w:line="0" w:lineRule="atLeast"/>
              <w:jc w:val="center"/>
              <w:rPr>
                <w:rFonts w:hint="default" w:ascii="宋体" w:hAnsi="宋体" w:eastAsia="宋体" w:cs="宋体"/>
                <w:color w:val="auto"/>
                <w:spacing w:val="-4"/>
                <w:sz w:val="24"/>
                <w:szCs w:val="24"/>
                <w:highlight w:val="none"/>
              </w:rPr>
            </w:pPr>
          </w:p>
        </w:tc>
        <w:tc>
          <w:tcPr>
            <w:tcW w:w="1482" w:type="dxa"/>
            <w:tcBorders>
              <w:bottom w:val="single" w:color="auto" w:sz="4" w:space="0"/>
            </w:tcBorders>
            <w:tcMar>
              <w:left w:w="0" w:type="dxa"/>
              <w:right w:w="0" w:type="dxa"/>
            </w:tcMar>
            <w:vAlign w:val="center"/>
          </w:tcPr>
          <w:p w14:paraId="1D3331B9">
            <w:pPr>
              <w:spacing w:line="0" w:lineRule="atLeast"/>
              <w:jc w:val="center"/>
              <w:rPr>
                <w:rFonts w:hint="default" w:ascii="宋体" w:hAnsi="宋体" w:eastAsia="宋体" w:cs="宋体"/>
                <w:color w:val="auto"/>
                <w:spacing w:val="-4"/>
                <w:sz w:val="24"/>
                <w:szCs w:val="24"/>
                <w:highlight w:val="none"/>
              </w:rPr>
            </w:pPr>
          </w:p>
        </w:tc>
      </w:tr>
      <w:tr w14:paraId="05BE8E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36551659">
            <w:pPr>
              <w:spacing w:line="0" w:lineRule="atLeast"/>
              <w:jc w:val="center"/>
              <w:rPr>
                <w:rFonts w:hint="default" w:ascii="宋体" w:hAnsi="宋体" w:eastAsia="宋体" w:cs="宋体"/>
                <w:color w:val="auto"/>
                <w:spacing w:val="-4"/>
                <w:sz w:val="24"/>
                <w:szCs w:val="24"/>
                <w:highlight w:val="none"/>
              </w:rPr>
            </w:pPr>
          </w:p>
        </w:tc>
        <w:tc>
          <w:tcPr>
            <w:tcW w:w="2074" w:type="dxa"/>
            <w:tcBorders>
              <w:bottom w:val="single" w:color="auto" w:sz="4" w:space="0"/>
            </w:tcBorders>
            <w:tcMar>
              <w:left w:w="0" w:type="dxa"/>
              <w:right w:w="0" w:type="dxa"/>
            </w:tcMar>
            <w:vAlign w:val="center"/>
          </w:tcPr>
          <w:p w14:paraId="6878908A">
            <w:pPr>
              <w:spacing w:line="0" w:lineRule="atLeast"/>
              <w:jc w:val="center"/>
              <w:rPr>
                <w:rFonts w:hint="default" w:ascii="宋体" w:hAnsi="宋体" w:eastAsia="宋体" w:cs="宋体"/>
                <w:color w:val="auto"/>
                <w:spacing w:val="-4"/>
                <w:sz w:val="24"/>
                <w:szCs w:val="24"/>
                <w:highlight w:val="none"/>
              </w:rPr>
            </w:pPr>
          </w:p>
        </w:tc>
        <w:tc>
          <w:tcPr>
            <w:tcW w:w="1065" w:type="dxa"/>
            <w:tcBorders>
              <w:bottom w:val="single" w:color="auto" w:sz="4" w:space="0"/>
              <w:right w:val="single" w:color="auto" w:sz="4" w:space="0"/>
            </w:tcBorders>
            <w:tcMar>
              <w:left w:w="0" w:type="dxa"/>
              <w:right w:w="0" w:type="dxa"/>
            </w:tcMar>
            <w:vAlign w:val="center"/>
          </w:tcPr>
          <w:p w14:paraId="5FCF8488">
            <w:pPr>
              <w:spacing w:line="0" w:lineRule="atLeast"/>
              <w:ind w:left="420"/>
              <w:jc w:val="center"/>
              <w:rPr>
                <w:rFonts w:hint="default" w:ascii="宋体" w:hAnsi="宋体" w:eastAsia="宋体" w:cs="宋体"/>
                <w:color w:val="auto"/>
                <w:spacing w:val="-4"/>
                <w:sz w:val="24"/>
                <w:szCs w:val="24"/>
                <w:highlight w:val="none"/>
              </w:rPr>
            </w:pPr>
          </w:p>
        </w:tc>
        <w:tc>
          <w:tcPr>
            <w:tcW w:w="3321" w:type="dxa"/>
            <w:tcBorders>
              <w:left w:val="single" w:color="auto" w:sz="4" w:space="0"/>
              <w:bottom w:val="single" w:color="auto" w:sz="4" w:space="0"/>
            </w:tcBorders>
            <w:tcMar>
              <w:left w:w="0" w:type="dxa"/>
              <w:right w:w="0" w:type="dxa"/>
            </w:tcMar>
            <w:vAlign w:val="center"/>
          </w:tcPr>
          <w:p w14:paraId="2A1345F8">
            <w:pPr>
              <w:spacing w:line="0" w:lineRule="atLeast"/>
              <w:jc w:val="center"/>
              <w:rPr>
                <w:rFonts w:hint="default" w:ascii="宋体" w:hAnsi="宋体" w:eastAsia="宋体" w:cs="宋体"/>
                <w:color w:val="auto"/>
                <w:spacing w:val="-4"/>
                <w:sz w:val="24"/>
                <w:szCs w:val="24"/>
                <w:highlight w:val="none"/>
              </w:rPr>
            </w:pPr>
          </w:p>
        </w:tc>
        <w:tc>
          <w:tcPr>
            <w:tcW w:w="1482" w:type="dxa"/>
            <w:tcBorders>
              <w:bottom w:val="single" w:color="auto" w:sz="4" w:space="0"/>
            </w:tcBorders>
            <w:tcMar>
              <w:left w:w="0" w:type="dxa"/>
              <w:right w:w="0" w:type="dxa"/>
            </w:tcMar>
            <w:vAlign w:val="center"/>
          </w:tcPr>
          <w:p w14:paraId="2F7F3C04">
            <w:pPr>
              <w:spacing w:line="0" w:lineRule="atLeast"/>
              <w:jc w:val="center"/>
              <w:rPr>
                <w:rFonts w:hint="default" w:ascii="宋体" w:hAnsi="宋体" w:eastAsia="宋体" w:cs="宋体"/>
                <w:color w:val="auto"/>
                <w:spacing w:val="-4"/>
                <w:sz w:val="24"/>
                <w:szCs w:val="24"/>
                <w:highlight w:val="none"/>
              </w:rPr>
            </w:pPr>
          </w:p>
        </w:tc>
      </w:tr>
      <w:tr w14:paraId="0D0630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2CC6744E">
            <w:pPr>
              <w:spacing w:line="0" w:lineRule="atLeast"/>
              <w:jc w:val="center"/>
              <w:rPr>
                <w:rFonts w:hint="default" w:ascii="宋体" w:hAnsi="宋体" w:eastAsia="宋体" w:cs="宋体"/>
                <w:color w:val="auto"/>
                <w:spacing w:val="-4"/>
                <w:sz w:val="24"/>
                <w:szCs w:val="24"/>
                <w:highlight w:val="none"/>
              </w:rPr>
            </w:pPr>
          </w:p>
        </w:tc>
        <w:tc>
          <w:tcPr>
            <w:tcW w:w="2074" w:type="dxa"/>
            <w:tcBorders>
              <w:bottom w:val="single" w:color="auto" w:sz="4" w:space="0"/>
            </w:tcBorders>
            <w:tcMar>
              <w:left w:w="0" w:type="dxa"/>
              <w:right w:w="0" w:type="dxa"/>
            </w:tcMar>
            <w:vAlign w:val="center"/>
          </w:tcPr>
          <w:p w14:paraId="7EA942FA">
            <w:pPr>
              <w:spacing w:line="0" w:lineRule="atLeast"/>
              <w:jc w:val="center"/>
              <w:rPr>
                <w:rFonts w:hint="default" w:ascii="宋体" w:hAnsi="宋体" w:eastAsia="宋体" w:cs="宋体"/>
                <w:color w:val="auto"/>
                <w:spacing w:val="-4"/>
                <w:sz w:val="24"/>
                <w:szCs w:val="24"/>
                <w:highlight w:val="none"/>
              </w:rPr>
            </w:pPr>
          </w:p>
        </w:tc>
        <w:tc>
          <w:tcPr>
            <w:tcW w:w="1065" w:type="dxa"/>
            <w:tcBorders>
              <w:bottom w:val="single" w:color="auto" w:sz="4" w:space="0"/>
              <w:right w:val="single" w:color="auto" w:sz="4" w:space="0"/>
            </w:tcBorders>
            <w:tcMar>
              <w:left w:w="0" w:type="dxa"/>
              <w:right w:w="0" w:type="dxa"/>
            </w:tcMar>
            <w:vAlign w:val="center"/>
          </w:tcPr>
          <w:p w14:paraId="6393BE0A">
            <w:pPr>
              <w:spacing w:line="0" w:lineRule="atLeast"/>
              <w:ind w:left="420"/>
              <w:jc w:val="center"/>
              <w:rPr>
                <w:rFonts w:hint="default" w:ascii="宋体" w:hAnsi="宋体" w:eastAsia="宋体" w:cs="宋体"/>
                <w:color w:val="auto"/>
                <w:spacing w:val="-4"/>
                <w:sz w:val="24"/>
                <w:szCs w:val="24"/>
                <w:highlight w:val="none"/>
              </w:rPr>
            </w:pPr>
          </w:p>
        </w:tc>
        <w:tc>
          <w:tcPr>
            <w:tcW w:w="3321" w:type="dxa"/>
            <w:tcBorders>
              <w:left w:val="single" w:color="auto" w:sz="4" w:space="0"/>
              <w:bottom w:val="single" w:color="auto" w:sz="4" w:space="0"/>
            </w:tcBorders>
            <w:tcMar>
              <w:left w:w="0" w:type="dxa"/>
              <w:right w:w="0" w:type="dxa"/>
            </w:tcMar>
            <w:vAlign w:val="center"/>
          </w:tcPr>
          <w:p w14:paraId="11AB829A">
            <w:pPr>
              <w:spacing w:line="0" w:lineRule="atLeast"/>
              <w:jc w:val="center"/>
              <w:rPr>
                <w:rFonts w:hint="default" w:ascii="宋体" w:hAnsi="宋体" w:eastAsia="宋体" w:cs="宋体"/>
                <w:color w:val="auto"/>
                <w:spacing w:val="-4"/>
                <w:sz w:val="24"/>
                <w:szCs w:val="24"/>
                <w:highlight w:val="none"/>
              </w:rPr>
            </w:pPr>
          </w:p>
        </w:tc>
        <w:tc>
          <w:tcPr>
            <w:tcW w:w="1482" w:type="dxa"/>
            <w:tcBorders>
              <w:bottom w:val="single" w:color="auto" w:sz="4" w:space="0"/>
            </w:tcBorders>
            <w:tcMar>
              <w:left w:w="0" w:type="dxa"/>
              <w:right w:w="0" w:type="dxa"/>
            </w:tcMar>
            <w:vAlign w:val="center"/>
          </w:tcPr>
          <w:p w14:paraId="0BFF6D26">
            <w:pPr>
              <w:spacing w:line="0" w:lineRule="atLeast"/>
              <w:jc w:val="center"/>
              <w:rPr>
                <w:rFonts w:hint="default" w:ascii="宋体" w:hAnsi="宋体" w:eastAsia="宋体" w:cs="宋体"/>
                <w:color w:val="auto"/>
                <w:spacing w:val="-4"/>
                <w:sz w:val="24"/>
                <w:szCs w:val="24"/>
                <w:highlight w:val="none"/>
              </w:rPr>
            </w:pPr>
          </w:p>
        </w:tc>
      </w:tr>
      <w:tr w14:paraId="5E1281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59" w:hRule="atLeast"/>
        </w:trPr>
        <w:tc>
          <w:tcPr>
            <w:tcW w:w="2647" w:type="dxa"/>
            <w:gridSpan w:val="2"/>
            <w:tcBorders>
              <w:top w:val="single" w:color="auto" w:sz="4" w:space="0"/>
              <w:right w:val="single" w:color="auto" w:sz="2" w:space="0"/>
            </w:tcBorders>
            <w:tcMar>
              <w:left w:w="0" w:type="dxa"/>
              <w:right w:w="0" w:type="dxa"/>
            </w:tcMar>
            <w:vAlign w:val="center"/>
          </w:tcPr>
          <w:p w14:paraId="66F6CB09">
            <w:pPr>
              <w:spacing w:line="0" w:lineRule="atLeast"/>
              <w:jc w:val="center"/>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投标价合计</w:t>
            </w:r>
          </w:p>
        </w:tc>
        <w:tc>
          <w:tcPr>
            <w:tcW w:w="5868" w:type="dxa"/>
            <w:gridSpan w:val="3"/>
            <w:tcBorders>
              <w:top w:val="single" w:color="auto" w:sz="4" w:space="0"/>
              <w:left w:val="single" w:color="auto" w:sz="2" w:space="0"/>
              <w:bottom w:val="single" w:color="auto" w:sz="4" w:space="0"/>
            </w:tcBorders>
            <w:vAlign w:val="center"/>
          </w:tcPr>
          <w:p w14:paraId="56E58ED7">
            <w:pPr>
              <w:spacing w:line="0" w:lineRule="atLeast"/>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大写：</w:t>
            </w:r>
            <w:r>
              <w:rPr>
                <w:rFonts w:ascii="宋体" w:hAnsi="宋体" w:eastAsia="宋体" w:cs="宋体"/>
                <w:color w:val="auto"/>
                <w:spacing w:val="-4"/>
                <w:sz w:val="24"/>
                <w:szCs w:val="24"/>
                <w:highlight w:val="none"/>
                <w:u w:val="single"/>
              </w:rPr>
              <w:t xml:space="preserve">           </w:t>
            </w:r>
            <w:r>
              <w:rPr>
                <w:rFonts w:ascii="宋体" w:hAnsi="宋体" w:eastAsia="宋体" w:cs="宋体"/>
                <w:color w:val="auto"/>
                <w:spacing w:val="-4"/>
                <w:sz w:val="24"/>
                <w:szCs w:val="24"/>
                <w:highlight w:val="none"/>
              </w:rPr>
              <w:t>元（小写）：</w:t>
            </w:r>
            <w:r>
              <w:rPr>
                <w:rFonts w:ascii="宋体" w:hAnsi="宋体" w:eastAsia="宋体" w:cs="宋体"/>
                <w:color w:val="auto"/>
                <w:spacing w:val="-4"/>
                <w:sz w:val="24"/>
                <w:szCs w:val="24"/>
                <w:highlight w:val="none"/>
                <w:u w:val="single"/>
              </w:rPr>
              <w:t xml:space="preserve">           </w:t>
            </w:r>
            <w:r>
              <w:rPr>
                <w:rFonts w:ascii="宋体" w:hAnsi="宋体" w:eastAsia="宋体" w:cs="宋体"/>
                <w:color w:val="auto"/>
                <w:spacing w:val="-4"/>
                <w:sz w:val="24"/>
                <w:szCs w:val="24"/>
                <w:highlight w:val="none"/>
              </w:rPr>
              <w:t>元</w:t>
            </w:r>
          </w:p>
        </w:tc>
      </w:tr>
      <w:tr w14:paraId="5CFC48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573" w:type="dxa"/>
            <w:tcBorders>
              <w:top w:val="single" w:color="auto" w:sz="4" w:space="0"/>
            </w:tcBorders>
            <w:tcMar>
              <w:left w:w="0" w:type="dxa"/>
              <w:right w:w="0" w:type="dxa"/>
            </w:tcMar>
            <w:vAlign w:val="center"/>
          </w:tcPr>
          <w:p w14:paraId="3023AD06">
            <w:pPr>
              <w:spacing w:line="0" w:lineRule="atLeast"/>
              <w:jc w:val="center"/>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投标声明</w:t>
            </w:r>
          </w:p>
        </w:tc>
        <w:tc>
          <w:tcPr>
            <w:tcW w:w="7942" w:type="dxa"/>
            <w:gridSpan w:val="4"/>
            <w:tcBorders>
              <w:top w:val="single" w:color="auto" w:sz="4" w:space="0"/>
            </w:tcBorders>
            <w:tcMar>
              <w:left w:w="0" w:type="dxa"/>
              <w:right w:w="0" w:type="dxa"/>
            </w:tcMar>
            <w:vAlign w:val="center"/>
          </w:tcPr>
          <w:p w14:paraId="2B5BC5BD">
            <w:pPr>
              <w:widowControl/>
              <w:spacing w:line="0" w:lineRule="atLeast"/>
              <w:ind w:left="103" w:right="100"/>
              <w:rPr>
                <w:rFonts w:hint="default" w:ascii="宋体" w:hAnsi="宋体" w:eastAsia="宋体" w:cs="宋体"/>
                <w:color w:val="auto"/>
                <w:sz w:val="24"/>
                <w:szCs w:val="24"/>
                <w:highlight w:val="none"/>
              </w:rPr>
            </w:pPr>
          </w:p>
        </w:tc>
      </w:tr>
    </w:tbl>
    <w:p w14:paraId="35D6C3E2">
      <w:pPr>
        <w:spacing w:line="240" w:lineRule="auto"/>
        <w:rPr>
          <w:rFonts w:hint="default" w:ascii="宋体" w:hAnsi="宋体" w:eastAsia="宋体" w:cs="宋体"/>
          <w:color w:val="auto"/>
          <w:sz w:val="24"/>
          <w:szCs w:val="24"/>
          <w:highlight w:val="none"/>
        </w:rPr>
      </w:pPr>
    </w:p>
    <w:p w14:paraId="0FA46972">
      <w:pPr>
        <w:snapToGrid w:val="0"/>
        <w:spacing w:before="50" w:after="50" w:line="320" w:lineRule="exact"/>
        <w:jc w:val="left"/>
        <w:rPr>
          <w:rFonts w:hint="default" w:asciiTheme="minorEastAsia" w:hAnsiTheme="minorEastAsia" w:eastAsiaTheme="minorEastAsia" w:cstheme="minorEastAsia"/>
          <w:color w:val="auto"/>
          <w:sz w:val="24"/>
          <w:szCs w:val="24"/>
          <w:highlight w:val="none"/>
        </w:rPr>
      </w:pPr>
      <w:r>
        <w:rPr>
          <w:rFonts w:ascii="宋体" w:hAnsi="宋体" w:eastAsia="宋体" w:cs="宋体"/>
          <w:color w:val="auto"/>
          <w:sz w:val="24"/>
          <w:szCs w:val="24"/>
          <w:highlight w:val="none"/>
        </w:rPr>
        <w:t>注：</w:t>
      </w:r>
      <w:r>
        <w:rPr>
          <w:rFonts w:asciiTheme="minorEastAsia" w:hAnsiTheme="minorEastAsia" w:eastAsiaTheme="minorEastAsia" w:cstheme="minorEastAsia"/>
          <w:color w:val="auto"/>
          <w:sz w:val="24"/>
          <w:szCs w:val="24"/>
          <w:highlight w:val="none"/>
        </w:rPr>
        <w:t>1.报价一经涂改，应在涂改处加盖单位公章或者由法定代表人或授权代表签字或盖章，否则其投标作无效标处理。</w:t>
      </w:r>
    </w:p>
    <w:p w14:paraId="7282114F">
      <w:pPr>
        <w:spacing w:before="100" w:after="100" w:line="240" w:lineRule="auto"/>
        <w:ind w:firstLine="480" w:firstLineChars="200"/>
        <w:jc w:val="left"/>
        <w:rPr>
          <w:rFonts w:hint="default" w:ascii="宋体" w:hAnsi="宋体" w:eastAsia="宋体" w:cs="宋体"/>
          <w:color w:val="auto"/>
          <w:sz w:val="24"/>
          <w:szCs w:val="24"/>
          <w:highlight w:val="none"/>
          <w:lang w:val="en-US" w:eastAsia="zh-CN"/>
        </w:rPr>
      </w:pPr>
      <w:r>
        <w:rPr>
          <w:rFonts w:asciiTheme="minorEastAsia" w:hAnsiTheme="minorEastAsia" w:eastAsiaTheme="minorEastAsia" w:cstheme="minorEastAsia"/>
          <w:color w:val="auto"/>
          <w:sz w:val="24"/>
          <w:szCs w:val="24"/>
          <w:highlight w:val="none"/>
        </w:rPr>
        <w:t>2.投标费用包括</w:t>
      </w:r>
      <w:r>
        <w:rPr>
          <w:rFonts w:hint="eastAsia" w:asciiTheme="minorEastAsia" w:hAnsiTheme="minorEastAsia" w:eastAsiaTheme="minorEastAsia" w:cstheme="minorEastAsia"/>
          <w:color w:val="auto"/>
          <w:sz w:val="24"/>
          <w:szCs w:val="24"/>
          <w:highlight w:val="none"/>
          <w:lang w:val="en-US" w:eastAsia="zh-CN"/>
        </w:rPr>
        <w:t>人工费、日常维护费、调试费、培训费、</w:t>
      </w:r>
      <w:r>
        <w:rPr>
          <w:rFonts w:hint="eastAsia" w:asciiTheme="minorEastAsia" w:hAnsiTheme="minorEastAsia" w:eastAsiaTheme="minorEastAsia" w:cstheme="minorEastAsia"/>
          <w:color w:val="auto"/>
          <w:sz w:val="24"/>
          <w:szCs w:val="24"/>
          <w:highlight w:val="none"/>
          <w:lang w:eastAsia="zh-CN"/>
        </w:rPr>
        <w:t>技术</w:t>
      </w:r>
      <w:r>
        <w:rPr>
          <w:rFonts w:hint="eastAsia" w:asciiTheme="minorEastAsia" w:hAnsiTheme="minorEastAsia" w:eastAsiaTheme="minorEastAsia" w:cstheme="minorEastAsia"/>
          <w:color w:val="auto"/>
          <w:sz w:val="24"/>
          <w:szCs w:val="24"/>
          <w:highlight w:val="none"/>
          <w:lang w:val="en-US" w:eastAsia="zh-CN"/>
        </w:rPr>
        <w:t>服务费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保修期内维护费、</w:t>
      </w:r>
      <w:r>
        <w:rPr>
          <w:rFonts w:hint="eastAsia" w:asciiTheme="minorEastAsia" w:hAnsiTheme="minorEastAsia" w:eastAsiaTheme="minorEastAsia" w:cstheme="minorEastAsia"/>
          <w:color w:val="auto"/>
          <w:sz w:val="24"/>
          <w:szCs w:val="24"/>
          <w:highlight w:val="none"/>
          <w:lang w:eastAsia="zh-CN"/>
        </w:rPr>
        <w:t>招标代理费、</w:t>
      </w:r>
      <w:r>
        <w:rPr>
          <w:rFonts w:hint="eastAsia" w:asciiTheme="minorEastAsia" w:hAnsiTheme="minorEastAsia" w:eastAsiaTheme="minorEastAsia" w:cstheme="minorEastAsia"/>
          <w:color w:val="auto"/>
          <w:sz w:val="24"/>
          <w:szCs w:val="24"/>
          <w:highlight w:val="none"/>
          <w:lang w:val="en-US" w:eastAsia="zh-CN"/>
        </w:rPr>
        <w:t>提供相关资料、验收费用、管理费、利润、风险费、</w:t>
      </w:r>
      <w:r>
        <w:rPr>
          <w:rFonts w:hint="eastAsia" w:asciiTheme="minorEastAsia" w:hAnsiTheme="minorEastAsia" w:eastAsiaTheme="minorEastAsia" w:cstheme="minorEastAsia"/>
          <w:color w:val="auto"/>
          <w:sz w:val="24"/>
          <w:szCs w:val="24"/>
          <w:highlight w:val="none"/>
          <w:lang w:eastAsia="zh-CN"/>
        </w:rPr>
        <w:t>保险、税金</w:t>
      </w:r>
      <w:r>
        <w:rPr>
          <w:rFonts w:asciiTheme="minorEastAsia" w:hAnsiTheme="minorEastAsia" w:eastAsiaTheme="minorEastAsia" w:cstheme="minorEastAsia"/>
          <w:color w:val="auto"/>
          <w:sz w:val="24"/>
          <w:szCs w:val="24"/>
          <w:highlight w:val="none"/>
        </w:rPr>
        <w:t>等完成招标内容及要求所提供的服务过程中涉及的一切费用。</w:t>
      </w:r>
    </w:p>
    <w:p w14:paraId="5F83B323">
      <w:pPr>
        <w:spacing w:line="360" w:lineRule="auto"/>
        <w:rPr>
          <w:rFonts w:hint="default" w:ascii="宋体" w:hAnsi="宋体" w:eastAsia="宋体" w:cs="宋体"/>
          <w:color w:val="auto"/>
          <w:spacing w:val="20"/>
          <w:sz w:val="24"/>
          <w:szCs w:val="24"/>
          <w:highlight w:val="none"/>
          <w:u w:val="single"/>
        </w:rPr>
      </w:pPr>
      <w:r>
        <w:rPr>
          <w:rFonts w:ascii="宋体" w:hAnsi="宋体" w:eastAsia="宋体" w:cs="宋体"/>
          <w:color w:val="auto"/>
          <w:sz w:val="24"/>
          <w:szCs w:val="24"/>
          <w:highlight w:val="none"/>
        </w:rPr>
        <w:t>投标人名称（电子签章）</w:t>
      </w:r>
      <w:r>
        <w:rPr>
          <w:rFonts w:ascii="宋体" w:hAnsi="宋体" w:eastAsia="宋体" w:cs="宋体"/>
          <w:color w:val="auto"/>
          <w:spacing w:val="20"/>
          <w:sz w:val="24"/>
          <w:szCs w:val="24"/>
          <w:highlight w:val="none"/>
        </w:rPr>
        <w:t>：</w:t>
      </w:r>
      <w:r>
        <w:rPr>
          <w:rFonts w:ascii="宋体" w:hAnsi="宋体" w:eastAsia="宋体" w:cs="宋体"/>
          <w:color w:val="auto"/>
          <w:spacing w:val="20"/>
          <w:sz w:val="24"/>
          <w:szCs w:val="24"/>
          <w:highlight w:val="none"/>
          <w:u w:val="single"/>
        </w:rPr>
        <w:t xml:space="preserve">            </w:t>
      </w:r>
    </w:p>
    <w:p w14:paraId="4FA437F3">
      <w:pPr>
        <w:spacing w:line="360" w:lineRule="auto"/>
        <w:rPr>
          <w:rFonts w:hint="default" w:ascii="宋体" w:hAnsi="宋体" w:eastAsia="宋体" w:cs="宋体"/>
          <w:color w:val="auto"/>
          <w:spacing w:val="20"/>
          <w:sz w:val="24"/>
          <w:szCs w:val="24"/>
          <w:highlight w:val="none"/>
        </w:rPr>
      </w:pPr>
      <w:r>
        <w:rPr>
          <w:rFonts w:ascii="宋体" w:hAnsi="宋体" w:eastAsia="宋体" w:cs="宋体"/>
          <w:color w:val="auto"/>
          <w:sz w:val="24"/>
          <w:szCs w:val="24"/>
          <w:highlight w:val="none"/>
        </w:rPr>
        <w:t>法定代表人或授权代表（签字或盖章）</w:t>
      </w:r>
      <w:r>
        <w:rPr>
          <w:rFonts w:ascii="宋体" w:hAnsi="宋体" w:eastAsia="宋体" w:cs="宋体"/>
          <w:color w:val="auto"/>
          <w:spacing w:val="20"/>
          <w:sz w:val="24"/>
          <w:szCs w:val="24"/>
          <w:highlight w:val="none"/>
        </w:rPr>
        <w:t>：</w:t>
      </w:r>
      <w:r>
        <w:rPr>
          <w:rFonts w:ascii="宋体" w:hAnsi="宋体" w:eastAsia="宋体" w:cs="宋体"/>
          <w:color w:val="auto"/>
          <w:spacing w:val="20"/>
          <w:sz w:val="24"/>
          <w:szCs w:val="24"/>
          <w:highlight w:val="none"/>
          <w:u w:val="single"/>
        </w:rPr>
        <w:t xml:space="preserve">            </w:t>
      </w:r>
    </w:p>
    <w:p w14:paraId="4396DEFA">
      <w:pPr>
        <w:adjustRightInd w:val="0"/>
        <w:spacing w:line="360" w:lineRule="auto"/>
        <w:jc w:val="left"/>
        <w:rPr>
          <w:rFonts w:hint="default" w:ascii="宋体" w:hAnsi="宋体" w:cs="宋体"/>
          <w:bCs/>
          <w:color w:val="auto"/>
          <w:sz w:val="24"/>
          <w:highlight w:val="none"/>
        </w:rPr>
        <w:sectPr>
          <w:headerReference r:id="rId7" w:type="default"/>
          <w:footerReference r:id="rId8" w:type="default"/>
          <w:pgSz w:w="11905" w:h="16838"/>
          <w:pgMar w:top="1440" w:right="1482" w:bottom="1440" w:left="1803" w:header="850" w:footer="992" w:gutter="0"/>
          <w:pgNumType w:fmt="decimal"/>
          <w:cols w:space="0" w:num="1"/>
          <w:docGrid w:type="lines" w:linePitch="319" w:charSpace="0"/>
        </w:sectPr>
      </w:pPr>
      <w:r>
        <w:rPr>
          <w:rFonts w:ascii="宋体" w:hAnsi="宋体" w:eastAsia="宋体" w:cs="宋体"/>
          <w:snapToGrid w:val="0"/>
          <w:color w:val="auto"/>
          <w:kern w:val="0"/>
          <w:sz w:val="24"/>
          <w:szCs w:val="24"/>
          <w:highlight w:val="none"/>
        </w:rPr>
        <w:t>日期：</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年</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月</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日</w:t>
      </w:r>
    </w:p>
    <w:p w14:paraId="27105467">
      <w:pPr>
        <w:spacing w:line="46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投标报价明细表</w:t>
      </w:r>
    </w:p>
    <w:p w14:paraId="5AC1782B">
      <w:pPr>
        <w:rPr>
          <w:rFonts w:hint="eastAsia" w:ascii="宋体" w:hAnsi="宋体" w:cs="宋体"/>
          <w:b/>
          <w:bCs/>
          <w:color w:val="auto"/>
          <w:szCs w:val="28"/>
          <w:highlight w:val="none"/>
        </w:rPr>
      </w:pPr>
    </w:p>
    <w:p w14:paraId="7AAEAB47">
      <w:pPr>
        <w:tabs>
          <w:tab w:val="right" w:pos="8847"/>
        </w:tabs>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sz w:val="24"/>
          <w:szCs w:val="24"/>
          <w:highlight w:val="none"/>
        </w:rPr>
        <w:t>项目名称：</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rPr>
        <w:t>项目编号：</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highlight w:val="none"/>
        </w:rPr>
        <w:t xml:space="preserve">  </w:t>
      </w:r>
    </w:p>
    <w:tbl>
      <w:tblPr>
        <w:tblStyle w:val="2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871"/>
        <w:gridCol w:w="1560"/>
        <w:gridCol w:w="1665"/>
        <w:gridCol w:w="1560"/>
        <w:gridCol w:w="1148"/>
      </w:tblGrid>
      <w:tr w14:paraId="521C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dxa"/>
            <w:noWrap w:val="0"/>
            <w:vAlign w:val="center"/>
          </w:tcPr>
          <w:p w14:paraId="348D28BF">
            <w:pPr>
              <w:widowControl/>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序号</w:t>
            </w:r>
          </w:p>
        </w:tc>
        <w:tc>
          <w:tcPr>
            <w:tcW w:w="2871" w:type="dxa"/>
            <w:noWrap w:val="0"/>
            <w:vAlign w:val="center"/>
          </w:tcPr>
          <w:p w14:paraId="48EAB7AD">
            <w:pPr>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名称及服务</w:t>
            </w:r>
          </w:p>
        </w:tc>
        <w:tc>
          <w:tcPr>
            <w:tcW w:w="1560" w:type="dxa"/>
            <w:noWrap w:val="0"/>
            <w:vAlign w:val="center"/>
          </w:tcPr>
          <w:p w14:paraId="31715B15">
            <w:pPr>
              <w:widowControl/>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数量</w:t>
            </w:r>
          </w:p>
          <w:p w14:paraId="75811B66">
            <w:pPr>
              <w:widowControl/>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（单位）</w:t>
            </w:r>
          </w:p>
        </w:tc>
        <w:tc>
          <w:tcPr>
            <w:tcW w:w="1665" w:type="dxa"/>
            <w:noWrap w:val="0"/>
            <w:vAlign w:val="center"/>
          </w:tcPr>
          <w:p w14:paraId="6D37D372">
            <w:pPr>
              <w:widowControl/>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投标单价（元）</w:t>
            </w:r>
          </w:p>
        </w:tc>
        <w:tc>
          <w:tcPr>
            <w:tcW w:w="1560" w:type="dxa"/>
            <w:noWrap w:val="0"/>
            <w:vAlign w:val="center"/>
          </w:tcPr>
          <w:p w14:paraId="7D236153">
            <w:pPr>
              <w:widowControl/>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合计</w:t>
            </w:r>
          </w:p>
          <w:p w14:paraId="35422E5B">
            <w:pPr>
              <w:widowControl/>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（元）</w:t>
            </w:r>
          </w:p>
        </w:tc>
        <w:tc>
          <w:tcPr>
            <w:tcW w:w="1148" w:type="dxa"/>
            <w:noWrap w:val="0"/>
            <w:vAlign w:val="center"/>
          </w:tcPr>
          <w:p w14:paraId="453A0ED9">
            <w:pPr>
              <w:widowControl/>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备注</w:t>
            </w:r>
          </w:p>
        </w:tc>
      </w:tr>
      <w:tr w14:paraId="1EC2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6" w:type="dxa"/>
            <w:gridSpan w:val="6"/>
            <w:noWrap w:val="0"/>
            <w:vAlign w:val="center"/>
          </w:tcPr>
          <w:p w14:paraId="7BD2C96A">
            <w:pPr>
              <w:widowControl/>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bCs/>
                <w:color w:val="auto"/>
                <w:kern w:val="0"/>
                <w:szCs w:val="21"/>
                <w:highlight w:val="none"/>
                <w:lang w:val="en-US" w:eastAsia="zh-CN"/>
              </w:rPr>
              <w:t>1.1</w:t>
            </w:r>
            <w:r>
              <w:rPr>
                <w:rFonts w:hint="eastAsia" w:asciiTheme="minorEastAsia" w:hAnsiTheme="minorEastAsia" w:eastAsiaTheme="minorEastAsia" w:cstheme="minorEastAsia"/>
                <w:b/>
                <w:bCs/>
                <w:color w:val="auto"/>
                <w:kern w:val="2"/>
                <w:sz w:val="21"/>
                <w:szCs w:val="21"/>
                <w:highlight w:val="none"/>
              </w:rPr>
              <w:t>设备维护</w:t>
            </w:r>
          </w:p>
        </w:tc>
      </w:tr>
      <w:tr w14:paraId="70AA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dxa"/>
            <w:noWrap w:val="0"/>
            <w:vAlign w:val="center"/>
          </w:tcPr>
          <w:p w14:paraId="1823FCAA">
            <w:pPr>
              <w:keepNext w:val="0"/>
              <w:keepLines w:val="0"/>
              <w:widowControl/>
              <w:suppressLineNumbers w:val="0"/>
              <w:spacing w:before="0" w:beforeAutospacing="0" w:after="0" w:afterAutospacing="0" w:line="288" w:lineRule="auto"/>
              <w:ind w:left="0" w:leftChars="0" w:right="0" w:rightChars="0"/>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1</w:t>
            </w:r>
          </w:p>
        </w:tc>
        <w:tc>
          <w:tcPr>
            <w:tcW w:w="2871" w:type="dxa"/>
            <w:noWrap w:val="0"/>
            <w:vAlign w:val="center"/>
          </w:tcPr>
          <w:p w14:paraId="78609742">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原：</w:t>
            </w:r>
            <w:r>
              <w:rPr>
                <w:rFonts w:hint="eastAsia" w:asciiTheme="minorEastAsia" w:hAnsiTheme="minorEastAsia" w:eastAsiaTheme="minorEastAsia" w:cstheme="minorEastAsia"/>
                <w:color w:val="auto"/>
                <w:kern w:val="2"/>
                <w:sz w:val="21"/>
                <w:szCs w:val="21"/>
                <w:highlight w:val="none"/>
              </w:rPr>
              <w:t>X820浦义线8K+150</w:t>
            </w:r>
          </w:p>
          <w:p w14:paraId="6BB3E4B0">
            <w:pPr>
              <w:keepNext w:val="0"/>
              <w:keepLines w:val="0"/>
              <w:widowControl/>
              <w:suppressLineNumbers w:val="0"/>
              <w:spacing w:before="0" w:beforeAutospacing="0" w:after="0" w:afterAutospacing="0" w:line="288" w:lineRule="auto"/>
              <w:ind w:left="0" w:leftChars="0" w:right="0" w:rightChars="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现：S219临苍线K139+215</w:t>
            </w:r>
          </w:p>
        </w:tc>
        <w:tc>
          <w:tcPr>
            <w:tcW w:w="1560" w:type="dxa"/>
            <w:noWrap w:val="0"/>
            <w:vAlign w:val="center"/>
          </w:tcPr>
          <w:p w14:paraId="581D271A">
            <w:pPr>
              <w:keepNext w:val="0"/>
              <w:keepLines w:val="0"/>
              <w:widowControl/>
              <w:suppressLineNumbers w:val="0"/>
              <w:spacing w:before="0" w:beforeAutospacing="0" w:after="0" w:afterAutospacing="0" w:line="288" w:lineRule="auto"/>
              <w:ind w:left="0" w:leftChars="0" w:right="0"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3</w:t>
            </w:r>
            <w:r>
              <w:rPr>
                <w:rFonts w:hint="eastAsia" w:asciiTheme="minorEastAsia" w:hAnsiTheme="minorEastAsia" w:eastAsiaTheme="minorEastAsia" w:cstheme="minorEastAsia"/>
                <w:color w:val="auto"/>
                <w:kern w:val="2"/>
                <w:sz w:val="21"/>
                <w:szCs w:val="21"/>
                <w:highlight w:val="none"/>
                <w:lang w:eastAsia="zh-CN"/>
              </w:rPr>
              <w:t>车道</w:t>
            </w:r>
            <w:r>
              <w:rPr>
                <w:rFonts w:hint="eastAsia" w:asciiTheme="minorEastAsia" w:hAnsiTheme="minorEastAsia" w:eastAsiaTheme="minorEastAsia" w:cstheme="minorEastAsia"/>
                <w:color w:val="auto"/>
                <w:kern w:val="2"/>
                <w:sz w:val="21"/>
                <w:szCs w:val="21"/>
                <w:highlight w:val="none"/>
                <w:lang w:val="en-US" w:eastAsia="zh-CN"/>
              </w:rPr>
              <w:t>/年</w:t>
            </w:r>
          </w:p>
        </w:tc>
        <w:tc>
          <w:tcPr>
            <w:tcW w:w="1665" w:type="dxa"/>
            <w:noWrap w:val="0"/>
            <w:vAlign w:val="center"/>
          </w:tcPr>
          <w:p w14:paraId="133FEE72">
            <w:pPr>
              <w:jc w:val="center"/>
              <w:rPr>
                <w:rFonts w:hint="eastAsia" w:asciiTheme="minorEastAsia" w:hAnsiTheme="minorEastAsia" w:eastAsiaTheme="minorEastAsia" w:cstheme="minorEastAsia"/>
                <w:color w:val="auto"/>
                <w:szCs w:val="21"/>
                <w:highlight w:val="none"/>
              </w:rPr>
            </w:pPr>
          </w:p>
        </w:tc>
        <w:tc>
          <w:tcPr>
            <w:tcW w:w="1560" w:type="dxa"/>
            <w:noWrap w:val="0"/>
            <w:vAlign w:val="center"/>
          </w:tcPr>
          <w:p w14:paraId="36E3F553">
            <w:pPr>
              <w:jc w:val="center"/>
              <w:rPr>
                <w:rFonts w:hint="eastAsia" w:asciiTheme="minorEastAsia" w:hAnsiTheme="minorEastAsia" w:eastAsiaTheme="minorEastAsia" w:cstheme="minorEastAsia"/>
                <w:color w:val="auto"/>
                <w:szCs w:val="21"/>
                <w:highlight w:val="none"/>
              </w:rPr>
            </w:pPr>
          </w:p>
        </w:tc>
        <w:tc>
          <w:tcPr>
            <w:tcW w:w="1148" w:type="dxa"/>
            <w:noWrap w:val="0"/>
            <w:vAlign w:val="center"/>
          </w:tcPr>
          <w:p w14:paraId="0FBD0E85">
            <w:pPr>
              <w:widowControl/>
              <w:spacing w:line="480" w:lineRule="exact"/>
              <w:jc w:val="center"/>
              <w:textAlignment w:val="center"/>
              <w:rPr>
                <w:rFonts w:hint="eastAsia" w:asciiTheme="minorEastAsia" w:hAnsiTheme="minorEastAsia" w:eastAsiaTheme="minorEastAsia" w:cstheme="minorEastAsia"/>
                <w:color w:val="auto"/>
                <w:kern w:val="0"/>
                <w:szCs w:val="21"/>
                <w:highlight w:val="none"/>
              </w:rPr>
            </w:pPr>
          </w:p>
        </w:tc>
      </w:tr>
      <w:tr w14:paraId="4DA9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dxa"/>
            <w:noWrap w:val="0"/>
            <w:vAlign w:val="center"/>
          </w:tcPr>
          <w:p w14:paraId="2E700747">
            <w:pPr>
              <w:keepNext w:val="0"/>
              <w:keepLines w:val="0"/>
              <w:widowControl/>
              <w:suppressLineNumbers w:val="0"/>
              <w:spacing w:before="0" w:beforeAutospacing="0" w:after="0" w:afterAutospacing="0" w:line="288" w:lineRule="auto"/>
              <w:ind w:left="0" w:leftChars="0" w:right="0" w:rightChars="0"/>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2"/>
                <w:sz w:val="21"/>
                <w:szCs w:val="21"/>
                <w:highlight w:val="none"/>
              </w:rPr>
              <w:t>2</w:t>
            </w:r>
          </w:p>
        </w:tc>
        <w:tc>
          <w:tcPr>
            <w:tcW w:w="2871" w:type="dxa"/>
            <w:noWrap w:val="0"/>
            <w:vAlign w:val="center"/>
          </w:tcPr>
          <w:p w14:paraId="25D23F57">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原：</w:t>
            </w:r>
            <w:r>
              <w:rPr>
                <w:rFonts w:hint="eastAsia" w:asciiTheme="minorEastAsia" w:hAnsiTheme="minorEastAsia" w:eastAsiaTheme="minorEastAsia" w:cstheme="minorEastAsia"/>
                <w:color w:val="auto"/>
                <w:kern w:val="2"/>
                <w:sz w:val="21"/>
                <w:szCs w:val="21"/>
                <w:highlight w:val="none"/>
              </w:rPr>
              <w:t>X812城大线1K+000</w:t>
            </w:r>
          </w:p>
          <w:p w14:paraId="1589FFFB">
            <w:pPr>
              <w:keepNext w:val="0"/>
              <w:keepLines w:val="0"/>
              <w:widowControl/>
              <w:suppressLineNumbers w:val="0"/>
              <w:spacing w:before="0" w:beforeAutospacing="0" w:after="0" w:afterAutospacing="0" w:line="288" w:lineRule="auto"/>
              <w:ind w:left="0" w:leftChars="0" w:right="0" w:rightChars="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现：S218安龙线K198+200</w:t>
            </w:r>
          </w:p>
        </w:tc>
        <w:tc>
          <w:tcPr>
            <w:tcW w:w="1560" w:type="dxa"/>
            <w:noWrap w:val="0"/>
            <w:vAlign w:val="center"/>
          </w:tcPr>
          <w:p w14:paraId="5E105917">
            <w:pPr>
              <w:keepNext w:val="0"/>
              <w:keepLines w:val="0"/>
              <w:widowControl/>
              <w:suppressLineNumbers w:val="0"/>
              <w:spacing w:before="0" w:beforeAutospacing="0" w:after="0" w:afterAutospacing="0" w:line="288"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2</w:t>
            </w:r>
            <w:r>
              <w:rPr>
                <w:rFonts w:hint="eastAsia" w:asciiTheme="minorEastAsia" w:hAnsiTheme="minorEastAsia" w:eastAsiaTheme="minorEastAsia" w:cstheme="minorEastAsia"/>
                <w:color w:val="auto"/>
                <w:kern w:val="2"/>
                <w:sz w:val="21"/>
                <w:szCs w:val="21"/>
                <w:highlight w:val="none"/>
                <w:lang w:eastAsia="zh-CN"/>
              </w:rPr>
              <w:t>车道</w:t>
            </w:r>
            <w:r>
              <w:rPr>
                <w:rFonts w:hint="eastAsia" w:asciiTheme="minorEastAsia" w:hAnsiTheme="minorEastAsia" w:eastAsiaTheme="minorEastAsia" w:cstheme="minorEastAsia"/>
                <w:color w:val="auto"/>
                <w:kern w:val="2"/>
                <w:sz w:val="21"/>
                <w:szCs w:val="21"/>
                <w:highlight w:val="none"/>
                <w:lang w:val="en-US" w:eastAsia="zh-CN"/>
              </w:rPr>
              <w:t>/年</w:t>
            </w:r>
          </w:p>
        </w:tc>
        <w:tc>
          <w:tcPr>
            <w:tcW w:w="1665" w:type="dxa"/>
            <w:noWrap w:val="0"/>
            <w:vAlign w:val="center"/>
          </w:tcPr>
          <w:p w14:paraId="4BDCFCDB">
            <w:pPr>
              <w:jc w:val="center"/>
              <w:rPr>
                <w:rFonts w:hint="eastAsia" w:asciiTheme="minorEastAsia" w:hAnsiTheme="minorEastAsia" w:eastAsiaTheme="minorEastAsia" w:cstheme="minorEastAsia"/>
                <w:color w:val="auto"/>
                <w:szCs w:val="21"/>
                <w:highlight w:val="none"/>
              </w:rPr>
            </w:pPr>
          </w:p>
        </w:tc>
        <w:tc>
          <w:tcPr>
            <w:tcW w:w="1560" w:type="dxa"/>
            <w:noWrap w:val="0"/>
            <w:vAlign w:val="center"/>
          </w:tcPr>
          <w:p w14:paraId="56B44C6E">
            <w:pPr>
              <w:jc w:val="center"/>
              <w:rPr>
                <w:rFonts w:hint="eastAsia" w:asciiTheme="minorEastAsia" w:hAnsiTheme="minorEastAsia" w:eastAsiaTheme="minorEastAsia" w:cstheme="minorEastAsia"/>
                <w:color w:val="auto"/>
                <w:szCs w:val="21"/>
                <w:highlight w:val="none"/>
              </w:rPr>
            </w:pPr>
          </w:p>
        </w:tc>
        <w:tc>
          <w:tcPr>
            <w:tcW w:w="1148" w:type="dxa"/>
            <w:noWrap w:val="0"/>
            <w:vAlign w:val="center"/>
          </w:tcPr>
          <w:p w14:paraId="307B3B36">
            <w:pPr>
              <w:widowControl/>
              <w:jc w:val="center"/>
              <w:rPr>
                <w:rFonts w:hint="eastAsia" w:asciiTheme="minorEastAsia" w:hAnsiTheme="minorEastAsia" w:eastAsiaTheme="minorEastAsia" w:cstheme="minorEastAsia"/>
                <w:color w:val="auto"/>
                <w:kern w:val="0"/>
                <w:szCs w:val="21"/>
                <w:highlight w:val="none"/>
              </w:rPr>
            </w:pPr>
          </w:p>
        </w:tc>
      </w:tr>
      <w:tr w14:paraId="2A331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dxa"/>
            <w:noWrap w:val="0"/>
            <w:vAlign w:val="center"/>
          </w:tcPr>
          <w:p w14:paraId="4B7CFF72">
            <w:pPr>
              <w:keepNext w:val="0"/>
              <w:keepLines w:val="0"/>
              <w:widowControl/>
              <w:suppressLineNumbers w:val="0"/>
              <w:spacing w:before="0" w:beforeAutospacing="0" w:after="0" w:afterAutospacing="0" w:line="288" w:lineRule="auto"/>
              <w:ind w:left="0" w:leftChars="0" w:right="0" w:rightChars="0"/>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2"/>
                <w:sz w:val="21"/>
                <w:szCs w:val="21"/>
                <w:highlight w:val="none"/>
              </w:rPr>
              <w:t>3</w:t>
            </w:r>
          </w:p>
        </w:tc>
        <w:tc>
          <w:tcPr>
            <w:tcW w:w="2871" w:type="dxa"/>
            <w:noWrap w:val="0"/>
            <w:vAlign w:val="center"/>
          </w:tcPr>
          <w:p w14:paraId="47A0A5CA">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原：</w:t>
            </w:r>
            <w:r>
              <w:rPr>
                <w:rFonts w:hint="eastAsia" w:asciiTheme="minorEastAsia" w:hAnsiTheme="minorEastAsia" w:eastAsiaTheme="minorEastAsia" w:cstheme="minorEastAsia"/>
                <w:color w:val="auto"/>
                <w:kern w:val="2"/>
                <w:sz w:val="21"/>
                <w:szCs w:val="21"/>
                <w:highlight w:val="none"/>
              </w:rPr>
              <w:t>S210桐义线76K+470</w:t>
            </w:r>
          </w:p>
          <w:p w14:paraId="2045720E">
            <w:pPr>
              <w:keepNext w:val="0"/>
              <w:keepLines w:val="0"/>
              <w:widowControl/>
              <w:suppressLineNumbers w:val="0"/>
              <w:spacing w:before="0" w:beforeAutospacing="0" w:after="0" w:afterAutospacing="0" w:line="288" w:lineRule="auto"/>
              <w:ind w:left="0" w:leftChars="0" w:right="0" w:rightChars="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现：S218安龙线K235+700）</w:t>
            </w:r>
          </w:p>
        </w:tc>
        <w:tc>
          <w:tcPr>
            <w:tcW w:w="1560" w:type="dxa"/>
            <w:noWrap w:val="0"/>
            <w:vAlign w:val="center"/>
          </w:tcPr>
          <w:p w14:paraId="6DF4FC60">
            <w:pPr>
              <w:keepNext w:val="0"/>
              <w:keepLines w:val="0"/>
              <w:widowControl/>
              <w:suppressLineNumbers w:val="0"/>
              <w:spacing w:before="0" w:beforeAutospacing="0" w:after="0" w:afterAutospacing="0" w:line="288"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2</w:t>
            </w:r>
            <w:r>
              <w:rPr>
                <w:rFonts w:hint="eastAsia" w:asciiTheme="minorEastAsia" w:hAnsiTheme="minorEastAsia" w:eastAsiaTheme="minorEastAsia" w:cstheme="minorEastAsia"/>
                <w:color w:val="auto"/>
                <w:kern w:val="2"/>
                <w:sz w:val="21"/>
                <w:szCs w:val="21"/>
                <w:highlight w:val="none"/>
                <w:lang w:eastAsia="zh-CN"/>
              </w:rPr>
              <w:t>车道</w:t>
            </w:r>
            <w:r>
              <w:rPr>
                <w:rFonts w:hint="eastAsia" w:asciiTheme="minorEastAsia" w:hAnsiTheme="minorEastAsia" w:eastAsiaTheme="minorEastAsia" w:cstheme="minorEastAsia"/>
                <w:color w:val="auto"/>
                <w:kern w:val="2"/>
                <w:sz w:val="21"/>
                <w:szCs w:val="21"/>
                <w:highlight w:val="none"/>
                <w:lang w:val="en-US" w:eastAsia="zh-CN"/>
              </w:rPr>
              <w:t>/年</w:t>
            </w:r>
          </w:p>
        </w:tc>
        <w:tc>
          <w:tcPr>
            <w:tcW w:w="1665" w:type="dxa"/>
            <w:noWrap w:val="0"/>
            <w:vAlign w:val="center"/>
          </w:tcPr>
          <w:p w14:paraId="0428F2FA">
            <w:pPr>
              <w:jc w:val="center"/>
              <w:rPr>
                <w:rFonts w:hint="eastAsia" w:asciiTheme="minorEastAsia" w:hAnsiTheme="minorEastAsia" w:eastAsiaTheme="minorEastAsia" w:cstheme="minorEastAsia"/>
                <w:color w:val="auto"/>
                <w:szCs w:val="21"/>
                <w:highlight w:val="none"/>
              </w:rPr>
            </w:pPr>
          </w:p>
        </w:tc>
        <w:tc>
          <w:tcPr>
            <w:tcW w:w="1560" w:type="dxa"/>
            <w:noWrap w:val="0"/>
            <w:vAlign w:val="center"/>
          </w:tcPr>
          <w:p w14:paraId="3ED67114">
            <w:pPr>
              <w:jc w:val="center"/>
              <w:rPr>
                <w:rFonts w:hint="eastAsia" w:asciiTheme="minorEastAsia" w:hAnsiTheme="minorEastAsia" w:eastAsiaTheme="minorEastAsia" w:cstheme="minorEastAsia"/>
                <w:color w:val="auto"/>
                <w:szCs w:val="21"/>
                <w:highlight w:val="none"/>
              </w:rPr>
            </w:pPr>
          </w:p>
        </w:tc>
        <w:tc>
          <w:tcPr>
            <w:tcW w:w="1148" w:type="dxa"/>
            <w:noWrap w:val="0"/>
            <w:vAlign w:val="center"/>
          </w:tcPr>
          <w:p w14:paraId="311D6EAC">
            <w:pPr>
              <w:widowControl/>
              <w:jc w:val="center"/>
              <w:rPr>
                <w:rFonts w:hint="eastAsia" w:asciiTheme="minorEastAsia" w:hAnsiTheme="minorEastAsia" w:eastAsiaTheme="minorEastAsia" w:cstheme="minorEastAsia"/>
                <w:color w:val="auto"/>
                <w:kern w:val="0"/>
                <w:szCs w:val="21"/>
                <w:highlight w:val="none"/>
              </w:rPr>
            </w:pPr>
          </w:p>
        </w:tc>
      </w:tr>
      <w:tr w14:paraId="3A4D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dxa"/>
            <w:noWrap w:val="0"/>
            <w:vAlign w:val="center"/>
          </w:tcPr>
          <w:p w14:paraId="1FD4336C">
            <w:pPr>
              <w:keepNext w:val="0"/>
              <w:keepLines w:val="0"/>
              <w:widowControl/>
              <w:suppressLineNumbers w:val="0"/>
              <w:spacing w:before="0" w:beforeAutospacing="0" w:after="0" w:afterAutospacing="0" w:line="288" w:lineRule="auto"/>
              <w:ind w:left="0" w:leftChars="0" w:right="0" w:rightChars="0"/>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2"/>
                <w:sz w:val="21"/>
                <w:szCs w:val="21"/>
                <w:highlight w:val="none"/>
              </w:rPr>
              <w:t>4</w:t>
            </w:r>
          </w:p>
        </w:tc>
        <w:tc>
          <w:tcPr>
            <w:tcW w:w="2871" w:type="dxa"/>
            <w:noWrap w:val="0"/>
            <w:vAlign w:val="center"/>
          </w:tcPr>
          <w:p w14:paraId="3DC51523">
            <w:pPr>
              <w:keepNext w:val="0"/>
              <w:keepLines w:val="0"/>
              <w:widowControl/>
              <w:suppressLineNumbers w:val="0"/>
              <w:spacing w:before="0" w:beforeAutospacing="0" w:after="0" w:afterAutospacing="0" w:line="288" w:lineRule="auto"/>
              <w:ind w:left="0" w:leftChars="0" w:right="0" w:rightChars="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原：</w:t>
            </w:r>
            <w:r>
              <w:rPr>
                <w:rFonts w:hint="eastAsia" w:asciiTheme="minorEastAsia" w:hAnsiTheme="minorEastAsia" w:eastAsiaTheme="minorEastAsia" w:cstheme="minorEastAsia"/>
                <w:color w:val="auto"/>
                <w:kern w:val="2"/>
                <w:sz w:val="21"/>
                <w:szCs w:val="21"/>
                <w:highlight w:val="none"/>
              </w:rPr>
              <w:t>X801浦横线10K+760</w:t>
            </w:r>
          </w:p>
        </w:tc>
        <w:tc>
          <w:tcPr>
            <w:tcW w:w="1560" w:type="dxa"/>
            <w:noWrap w:val="0"/>
            <w:vAlign w:val="center"/>
          </w:tcPr>
          <w:p w14:paraId="374DDB45">
            <w:pPr>
              <w:keepNext w:val="0"/>
              <w:keepLines w:val="0"/>
              <w:widowControl/>
              <w:suppressLineNumbers w:val="0"/>
              <w:spacing w:before="0" w:beforeAutospacing="0" w:after="0" w:afterAutospacing="0" w:line="288"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2</w:t>
            </w:r>
            <w:r>
              <w:rPr>
                <w:rFonts w:hint="eastAsia" w:asciiTheme="minorEastAsia" w:hAnsiTheme="minorEastAsia" w:eastAsiaTheme="minorEastAsia" w:cstheme="minorEastAsia"/>
                <w:color w:val="auto"/>
                <w:kern w:val="2"/>
                <w:sz w:val="21"/>
                <w:szCs w:val="21"/>
                <w:highlight w:val="none"/>
                <w:lang w:eastAsia="zh-CN"/>
              </w:rPr>
              <w:t>车道</w:t>
            </w:r>
            <w:r>
              <w:rPr>
                <w:rFonts w:hint="eastAsia" w:asciiTheme="minorEastAsia" w:hAnsiTheme="minorEastAsia" w:eastAsiaTheme="minorEastAsia" w:cstheme="minorEastAsia"/>
                <w:color w:val="auto"/>
                <w:kern w:val="2"/>
                <w:sz w:val="21"/>
                <w:szCs w:val="21"/>
                <w:highlight w:val="none"/>
                <w:lang w:val="en-US" w:eastAsia="zh-CN"/>
              </w:rPr>
              <w:t>/年</w:t>
            </w:r>
          </w:p>
        </w:tc>
        <w:tc>
          <w:tcPr>
            <w:tcW w:w="1665" w:type="dxa"/>
            <w:noWrap w:val="0"/>
            <w:vAlign w:val="center"/>
          </w:tcPr>
          <w:p w14:paraId="5F7F7703">
            <w:pPr>
              <w:jc w:val="center"/>
              <w:rPr>
                <w:rFonts w:hint="eastAsia" w:asciiTheme="minorEastAsia" w:hAnsiTheme="minorEastAsia" w:eastAsiaTheme="minorEastAsia" w:cstheme="minorEastAsia"/>
                <w:b/>
                <w:color w:val="auto"/>
                <w:szCs w:val="21"/>
                <w:highlight w:val="none"/>
              </w:rPr>
            </w:pPr>
          </w:p>
        </w:tc>
        <w:tc>
          <w:tcPr>
            <w:tcW w:w="1560" w:type="dxa"/>
            <w:noWrap w:val="0"/>
            <w:vAlign w:val="center"/>
          </w:tcPr>
          <w:p w14:paraId="36F516F4">
            <w:pPr>
              <w:jc w:val="center"/>
              <w:rPr>
                <w:rFonts w:hint="eastAsia" w:asciiTheme="minorEastAsia" w:hAnsiTheme="minorEastAsia" w:eastAsiaTheme="minorEastAsia" w:cstheme="minorEastAsia"/>
                <w:b/>
                <w:color w:val="auto"/>
                <w:szCs w:val="21"/>
                <w:highlight w:val="none"/>
              </w:rPr>
            </w:pPr>
          </w:p>
        </w:tc>
        <w:tc>
          <w:tcPr>
            <w:tcW w:w="1148" w:type="dxa"/>
            <w:noWrap w:val="0"/>
            <w:vAlign w:val="center"/>
          </w:tcPr>
          <w:p w14:paraId="196F91D8">
            <w:pPr>
              <w:widowControl/>
              <w:jc w:val="center"/>
              <w:rPr>
                <w:rFonts w:hint="eastAsia" w:asciiTheme="minorEastAsia" w:hAnsiTheme="minorEastAsia" w:eastAsiaTheme="minorEastAsia" w:cstheme="minorEastAsia"/>
                <w:b/>
                <w:color w:val="auto"/>
                <w:kern w:val="0"/>
                <w:szCs w:val="21"/>
                <w:highlight w:val="none"/>
              </w:rPr>
            </w:pPr>
          </w:p>
        </w:tc>
      </w:tr>
      <w:tr w14:paraId="2C3D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dxa"/>
            <w:noWrap w:val="0"/>
            <w:vAlign w:val="center"/>
          </w:tcPr>
          <w:p w14:paraId="0000DC2A">
            <w:pPr>
              <w:keepNext w:val="0"/>
              <w:keepLines w:val="0"/>
              <w:widowControl/>
              <w:suppressLineNumbers w:val="0"/>
              <w:spacing w:before="0" w:beforeAutospacing="0" w:after="0" w:afterAutospacing="0" w:line="288" w:lineRule="auto"/>
              <w:ind w:left="0" w:leftChars="0" w:right="0" w:rightChars="0"/>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2"/>
                <w:sz w:val="21"/>
                <w:szCs w:val="21"/>
                <w:highlight w:val="none"/>
              </w:rPr>
              <w:t>5</w:t>
            </w:r>
          </w:p>
        </w:tc>
        <w:tc>
          <w:tcPr>
            <w:tcW w:w="2871" w:type="dxa"/>
            <w:noWrap w:val="0"/>
            <w:vAlign w:val="center"/>
          </w:tcPr>
          <w:p w14:paraId="78F00F92">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原：</w:t>
            </w:r>
            <w:r>
              <w:rPr>
                <w:rFonts w:hint="eastAsia" w:asciiTheme="minorEastAsia" w:hAnsiTheme="minorEastAsia" w:eastAsiaTheme="minorEastAsia" w:cstheme="minorEastAsia"/>
                <w:color w:val="auto"/>
                <w:kern w:val="2"/>
                <w:sz w:val="21"/>
                <w:szCs w:val="21"/>
                <w:highlight w:val="none"/>
              </w:rPr>
              <w:t>S210桐义线42K+540</w:t>
            </w:r>
          </w:p>
          <w:p w14:paraId="0A41B448">
            <w:pPr>
              <w:keepNext w:val="0"/>
              <w:keepLines w:val="0"/>
              <w:widowControl/>
              <w:suppressLineNumbers w:val="0"/>
              <w:spacing w:before="0" w:beforeAutospacing="0" w:after="0" w:afterAutospacing="0" w:line="288" w:lineRule="auto"/>
              <w:ind w:left="0" w:leftChars="0" w:right="0" w:rightChars="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现：S219临苍线K105+330</w:t>
            </w:r>
          </w:p>
        </w:tc>
        <w:tc>
          <w:tcPr>
            <w:tcW w:w="1560" w:type="dxa"/>
            <w:noWrap w:val="0"/>
            <w:vAlign w:val="center"/>
          </w:tcPr>
          <w:p w14:paraId="061E0F93">
            <w:pPr>
              <w:keepNext w:val="0"/>
              <w:keepLines w:val="0"/>
              <w:widowControl/>
              <w:suppressLineNumbers w:val="0"/>
              <w:spacing w:before="0" w:beforeAutospacing="0" w:after="0" w:afterAutospacing="0" w:line="288"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2</w:t>
            </w:r>
            <w:r>
              <w:rPr>
                <w:rFonts w:hint="eastAsia" w:asciiTheme="minorEastAsia" w:hAnsiTheme="minorEastAsia" w:eastAsiaTheme="minorEastAsia" w:cstheme="minorEastAsia"/>
                <w:color w:val="auto"/>
                <w:kern w:val="2"/>
                <w:sz w:val="21"/>
                <w:szCs w:val="21"/>
                <w:highlight w:val="none"/>
                <w:lang w:eastAsia="zh-CN"/>
              </w:rPr>
              <w:t>车道</w:t>
            </w:r>
            <w:r>
              <w:rPr>
                <w:rFonts w:hint="eastAsia" w:asciiTheme="minorEastAsia" w:hAnsiTheme="minorEastAsia" w:eastAsiaTheme="minorEastAsia" w:cstheme="minorEastAsia"/>
                <w:color w:val="auto"/>
                <w:kern w:val="2"/>
                <w:sz w:val="21"/>
                <w:szCs w:val="21"/>
                <w:highlight w:val="none"/>
                <w:lang w:val="en-US" w:eastAsia="zh-CN"/>
              </w:rPr>
              <w:t>/年</w:t>
            </w:r>
          </w:p>
        </w:tc>
        <w:tc>
          <w:tcPr>
            <w:tcW w:w="1665" w:type="dxa"/>
            <w:noWrap w:val="0"/>
            <w:vAlign w:val="center"/>
          </w:tcPr>
          <w:p w14:paraId="6FDC411C">
            <w:pPr>
              <w:jc w:val="center"/>
              <w:rPr>
                <w:rFonts w:hint="eastAsia" w:asciiTheme="minorEastAsia" w:hAnsiTheme="minorEastAsia" w:eastAsiaTheme="minorEastAsia" w:cstheme="minorEastAsia"/>
                <w:color w:val="auto"/>
                <w:szCs w:val="21"/>
                <w:highlight w:val="none"/>
              </w:rPr>
            </w:pPr>
          </w:p>
        </w:tc>
        <w:tc>
          <w:tcPr>
            <w:tcW w:w="1560" w:type="dxa"/>
            <w:noWrap w:val="0"/>
            <w:vAlign w:val="center"/>
          </w:tcPr>
          <w:p w14:paraId="49A91A67">
            <w:pPr>
              <w:jc w:val="center"/>
              <w:rPr>
                <w:rFonts w:hint="eastAsia" w:asciiTheme="minorEastAsia" w:hAnsiTheme="minorEastAsia" w:eastAsiaTheme="minorEastAsia" w:cstheme="minorEastAsia"/>
                <w:color w:val="auto"/>
                <w:szCs w:val="21"/>
                <w:highlight w:val="none"/>
              </w:rPr>
            </w:pPr>
          </w:p>
        </w:tc>
        <w:tc>
          <w:tcPr>
            <w:tcW w:w="1148" w:type="dxa"/>
            <w:noWrap w:val="0"/>
            <w:vAlign w:val="center"/>
          </w:tcPr>
          <w:p w14:paraId="3324A146">
            <w:pPr>
              <w:widowControl/>
              <w:jc w:val="center"/>
              <w:rPr>
                <w:rFonts w:hint="eastAsia" w:asciiTheme="minorEastAsia" w:hAnsiTheme="minorEastAsia" w:eastAsiaTheme="minorEastAsia" w:cstheme="minorEastAsia"/>
                <w:color w:val="auto"/>
                <w:kern w:val="0"/>
                <w:szCs w:val="21"/>
                <w:highlight w:val="none"/>
              </w:rPr>
            </w:pPr>
          </w:p>
        </w:tc>
      </w:tr>
      <w:tr w14:paraId="4DED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dxa"/>
            <w:noWrap w:val="0"/>
            <w:vAlign w:val="center"/>
          </w:tcPr>
          <w:p w14:paraId="2DA1E00D">
            <w:pPr>
              <w:keepNext w:val="0"/>
              <w:keepLines w:val="0"/>
              <w:widowControl/>
              <w:suppressLineNumbers w:val="0"/>
              <w:spacing w:before="0" w:beforeAutospacing="0" w:after="0" w:afterAutospacing="0" w:line="288" w:lineRule="auto"/>
              <w:ind w:left="0" w:leftChars="0" w:right="0" w:rightChars="0"/>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2"/>
                <w:sz w:val="21"/>
                <w:szCs w:val="21"/>
                <w:highlight w:val="none"/>
              </w:rPr>
              <w:t>6</w:t>
            </w:r>
          </w:p>
        </w:tc>
        <w:tc>
          <w:tcPr>
            <w:tcW w:w="2871" w:type="dxa"/>
            <w:noWrap w:val="0"/>
            <w:vAlign w:val="center"/>
          </w:tcPr>
          <w:p w14:paraId="0BB60413">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原：</w:t>
            </w:r>
            <w:r>
              <w:rPr>
                <w:rFonts w:hint="eastAsia" w:asciiTheme="minorEastAsia" w:hAnsiTheme="minorEastAsia" w:eastAsiaTheme="minorEastAsia" w:cstheme="minorEastAsia"/>
                <w:color w:val="auto"/>
                <w:kern w:val="2"/>
                <w:sz w:val="21"/>
                <w:szCs w:val="21"/>
                <w:highlight w:val="none"/>
              </w:rPr>
              <w:t>S210桐义线50K+700</w:t>
            </w:r>
          </w:p>
          <w:p w14:paraId="5D29AEBE">
            <w:pPr>
              <w:keepNext w:val="0"/>
              <w:keepLines w:val="0"/>
              <w:widowControl/>
              <w:suppressLineNumbers w:val="0"/>
              <w:spacing w:before="0" w:beforeAutospacing="0" w:after="0" w:afterAutospacing="0" w:line="288" w:lineRule="auto"/>
              <w:ind w:left="0" w:leftChars="0" w:right="0" w:rightChars="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现：S219临苍线K113+400</w:t>
            </w:r>
          </w:p>
        </w:tc>
        <w:tc>
          <w:tcPr>
            <w:tcW w:w="1560" w:type="dxa"/>
            <w:noWrap w:val="0"/>
            <w:vAlign w:val="center"/>
          </w:tcPr>
          <w:p w14:paraId="444F8899">
            <w:pPr>
              <w:keepNext w:val="0"/>
              <w:keepLines w:val="0"/>
              <w:widowControl/>
              <w:suppressLineNumbers w:val="0"/>
              <w:spacing w:before="0" w:beforeAutospacing="0" w:after="0" w:afterAutospacing="0" w:line="288"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2</w:t>
            </w:r>
            <w:r>
              <w:rPr>
                <w:rFonts w:hint="eastAsia" w:asciiTheme="minorEastAsia" w:hAnsiTheme="minorEastAsia" w:eastAsiaTheme="minorEastAsia" w:cstheme="minorEastAsia"/>
                <w:color w:val="auto"/>
                <w:kern w:val="2"/>
                <w:sz w:val="21"/>
                <w:szCs w:val="21"/>
                <w:highlight w:val="none"/>
                <w:lang w:eastAsia="zh-CN"/>
              </w:rPr>
              <w:t>车道</w:t>
            </w:r>
            <w:r>
              <w:rPr>
                <w:rFonts w:hint="eastAsia" w:asciiTheme="minorEastAsia" w:hAnsiTheme="minorEastAsia" w:eastAsiaTheme="minorEastAsia" w:cstheme="minorEastAsia"/>
                <w:color w:val="auto"/>
                <w:kern w:val="2"/>
                <w:sz w:val="21"/>
                <w:szCs w:val="21"/>
                <w:highlight w:val="none"/>
                <w:lang w:val="en-US" w:eastAsia="zh-CN"/>
              </w:rPr>
              <w:t>/年</w:t>
            </w:r>
          </w:p>
        </w:tc>
        <w:tc>
          <w:tcPr>
            <w:tcW w:w="1665" w:type="dxa"/>
            <w:noWrap w:val="0"/>
            <w:vAlign w:val="center"/>
          </w:tcPr>
          <w:p w14:paraId="0810EBFB">
            <w:pPr>
              <w:jc w:val="center"/>
              <w:rPr>
                <w:rFonts w:hint="eastAsia" w:asciiTheme="minorEastAsia" w:hAnsiTheme="minorEastAsia" w:eastAsiaTheme="minorEastAsia" w:cstheme="minorEastAsia"/>
                <w:color w:val="auto"/>
                <w:szCs w:val="21"/>
                <w:highlight w:val="none"/>
              </w:rPr>
            </w:pPr>
          </w:p>
        </w:tc>
        <w:tc>
          <w:tcPr>
            <w:tcW w:w="1560" w:type="dxa"/>
            <w:noWrap w:val="0"/>
            <w:vAlign w:val="center"/>
          </w:tcPr>
          <w:p w14:paraId="4F193426">
            <w:pPr>
              <w:jc w:val="center"/>
              <w:rPr>
                <w:rFonts w:hint="eastAsia" w:asciiTheme="minorEastAsia" w:hAnsiTheme="minorEastAsia" w:eastAsiaTheme="minorEastAsia" w:cstheme="minorEastAsia"/>
                <w:color w:val="auto"/>
                <w:szCs w:val="21"/>
                <w:highlight w:val="none"/>
              </w:rPr>
            </w:pPr>
          </w:p>
        </w:tc>
        <w:tc>
          <w:tcPr>
            <w:tcW w:w="1148" w:type="dxa"/>
            <w:noWrap w:val="0"/>
            <w:vAlign w:val="center"/>
          </w:tcPr>
          <w:p w14:paraId="377D3309">
            <w:pPr>
              <w:widowControl/>
              <w:jc w:val="center"/>
              <w:rPr>
                <w:rFonts w:hint="eastAsia" w:asciiTheme="minorEastAsia" w:hAnsiTheme="minorEastAsia" w:eastAsiaTheme="minorEastAsia" w:cstheme="minorEastAsia"/>
                <w:color w:val="auto"/>
                <w:kern w:val="0"/>
                <w:szCs w:val="21"/>
                <w:highlight w:val="none"/>
              </w:rPr>
            </w:pPr>
          </w:p>
        </w:tc>
      </w:tr>
      <w:tr w14:paraId="1783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dxa"/>
            <w:noWrap w:val="0"/>
            <w:vAlign w:val="center"/>
          </w:tcPr>
          <w:p w14:paraId="390650F7">
            <w:pPr>
              <w:keepNext w:val="0"/>
              <w:keepLines w:val="0"/>
              <w:widowControl/>
              <w:suppressLineNumbers w:val="0"/>
              <w:spacing w:before="0" w:beforeAutospacing="0" w:after="0" w:afterAutospacing="0" w:line="288" w:lineRule="auto"/>
              <w:ind w:left="0" w:leftChars="0" w:right="0" w:rightChars="0"/>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2"/>
                <w:sz w:val="21"/>
                <w:szCs w:val="21"/>
                <w:highlight w:val="none"/>
              </w:rPr>
              <w:t>7</w:t>
            </w:r>
          </w:p>
        </w:tc>
        <w:tc>
          <w:tcPr>
            <w:tcW w:w="2871" w:type="dxa"/>
            <w:noWrap w:val="0"/>
            <w:vAlign w:val="center"/>
          </w:tcPr>
          <w:p w14:paraId="3E7292FF">
            <w:pPr>
              <w:keepNext w:val="0"/>
              <w:keepLines w:val="0"/>
              <w:widowControl/>
              <w:suppressLineNumbers w:val="0"/>
              <w:spacing w:before="0" w:beforeAutospacing="0" w:after="0" w:afterAutospacing="0" w:line="288" w:lineRule="auto"/>
              <w:ind w:left="0"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原：</w:t>
            </w:r>
            <w:r>
              <w:rPr>
                <w:rFonts w:hint="eastAsia" w:asciiTheme="minorEastAsia" w:hAnsiTheme="minorEastAsia" w:eastAsiaTheme="minorEastAsia" w:cstheme="minorEastAsia"/>
                <w:color w:val="auto"/>
                <w:kern w:val="2"/>
                <w:sz w:val="21"/>
                <w:szCs w:val="21"/>
                <w:highlight w:val="none"/>
              </w:rPr>
              <w:t>S314浦兰线8K+300</w:t>
            </w:r>
          </w:p>
          <w:p w14:paraId="09D6FB81">
            <w:pPr>
              <w:keepNext w:val="0"/>
              <w:keepLines w:val="0"/>
              <w:widowControl/>
              <w:suppressLineNumbers w:val="0"/>
              <w:spacing w:before="0" w:beforeAutospacing="0" w:after="0" w:afterAutospacing="0" w:line="288" w:lineRule="auto"/>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现：G351台小线K275+680</w:t>
            </w:r>
          </w:p>
        </w:tc>
        <w:tc>
          <w:tcPr>
            <w:tcW w:w="1560" w:type="dxa"/>
            <w:noWrap w:val="0"/>
            <w:vAlign w:val="center"/>
          </w:tcPr>
          <w:p w14:paraId="556B27F2">
            <w:pPr>
              <w:keepNext w:val="0"/>
              <w:keepLines w:val="0"/>
              <w:widowControl/>
              <w:suppressLineNumbers w:val="0"/>
              <w:spacing w:before="0" w:beforeAutospacing="0" w:after="0" w:afterAutospacing="0" w:line="288"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2</w:t>
            </w:r>
            <w:r>
              <w:rPr>
                <w:rFonts w:hint="eastAsia" w:asciiTheme="minorEastAsia" w:hAnsiTheme="minorEastAsia" w:eastAsiaTheme="minorEastAsia" w:cstheme="minorEastAsia"/>
                <w:color w:val="auto"/>
                <w:kern w:val="2"/>
                <w:sz w:val="21"/>
                <w:szCs w:val="21"/>
                <w:highlight w:val="none"/>
                <w:lang w:eastAsia="zh-CN"/>
              </w:rPr>
              <w:t>车道</w:t>
            </w:r>
            <w:r>
              <w:rPr>
                <w:rFonts w:hint="eastAsia" w:asciiTheme="minorEastAsia" w:hAnsiTheme="minorEastAsia" w:eastAsiaTheme="minorEastAsia" w:cstheme="minorEastAsia"/>
                <w:color w:val="auto"/>
                <w:kern w:val="2"/>
                <w:sz w:val="21"/>
                <w:szCs w:val="21"/>
                <w:highlight w:val="none"/>
                <w:lang w:val="en-US" w:eastAsia="zh-CN"/>
              </w:rPr>
              <w:t>/年</w:t>
            </w:r>
          </w:p>
        </w:tc>
        <w:tc>
          <w:tcPr>
            <w:tcW w:w="1665" w:type="dxa"/>
            <w:noWrap w:val="0"/>
            <w:vAlign w:val="center"/>
          </w:tcPr>
          <w:p w14:paraId="324EEB2B">
            <w:pPr>
              <w:jc w:val="center"/>
              <w:rPr>
                <w:rFonts w:hint="eastAsia" w:asciiTheme="minorEastAsia" w:hAnsiTheme="minorEastAsia" w:eastAsiaTheme="minorEastAsia" w:cstheme="minorEastAsia"/>
                <w:color w:val="auto"/>
                <w:szCs w:val="21"/>
                <w:highlight w:val="none"/>
              </w:rPr>
            </w:pPr>
          </w:p>
        </w:tc>
        <w:tc>
          <w:tcPr>
            <w:tcW w:w="1560" w:type="dxa"/>
            <w:noWrap w:val="0"/>
            <w:vAlign w:val="center"/>
          </w:tcPr>
          <w:p w14:paraId="1245D085">
            <w:pPr>
              <w:jc w:val="center"/>
              <w:rPr>
                <w:rFonts w:hint="eastAsia" w:asciiTheme="minorEastAsia" w:hAnsiTheme="minorEastAsia" w:eastAsiaTheme="minorEastAsia" w:cstheme="minorEastAsia"/>
                <w:color w:val="auto"/>
                <w:szCs w:val="21"/>
                <w:highlight w:val="none"/>
              </w:rPr>
            </w:pPr>
          </w:p>
        </w:tc>
        <w:tc>
          <w:tcPr>
            <w:tcW w:w="1148" w:type="dxa"/>
            <w:noWrap w:val="0"/>
            <w:vAlign w:val="center"/>
          </w:tcPr>
          <w:p w14:paraId="5386971B">
            <w:pPr>
              <w:widowControl/>
              <w:jc w:val="center"/>
              <w:rPr>
                <w:rFonts w:hint="eastAsia" w:asciiTheme="minorEastAsia" w:hAnsiTheme="minorEastAsia" w:eastAsiaTheme="minorEastAsia" w:cstheme="minorEastAsia"/>
                <w:color w:val="auto"/>
                <w:kern w:val="0"/>
                <w:szCs w:val="21"/>
                <w:highlight w:val="none"/>
              </w:rPr>
            </w:pPr>
          </w:p>
        </w:tc>
      </w:tr>
      <w:tr w14:paraId="3F4C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dxa"/>
            <w:noWrap w:val="0"/>
            <w:vAlign w:val="center"/>
          </w:tcPr>
          <w:p w14:paraId="731B1158">
            <w:pPr>
              <w:keepNext w:val="0"/>
              <w:keepLines w:val="0"/>
              <w:widowControl/>
              <w:suppressLineNumbers w:val="0"/>
              <w:spacing w:before="0" w:beforeAutospacing="0" w:after="0" w:afterAutospacing="0" w:line="288" w:lineRule="auto"/>
              <w:ind w:left="0" w:leftChars="0" w:right="0" w:rightChars="0"/>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2"/>
                <w:sz w:val="21"/>
                <w:szCs w:val="21"/>
                <w:highlight w:val="none"/>
              </w:rPr>
              <w:t>8</w:t>
            </w:r>
          </w:p>
        </w:tc>
        <w:tc>
          <w:tcPr>
            <w:tcW w:w="2871" w:type="dxa"/>
            <w:noWrap w:val="0"/>
            <w:vAlign w:val="center"/>
          </w:tcPr>
          <w:p w14:paraId="49E8C2F2">
            <w:pPr>
              <w:keepNext w:val="0"/>
              <w:keepLines w:val="0"/>
              <w:widowControl/>
              <w:suppressLineNumbers w:val="0"/>
              <w:spacing w:before="0" w:beforeAutospacing="0" w:after="0" w:afterAutospacing="0" w:line="288" w:lineRule="auto"/>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原：</w:t>
            </w:r>
            <w:r>
              <w:rPr>
                <w:rFonts w:hint="eastAsia" w:asciiTheme="minorEastAsia" w:hAnsiTheme="minorEastAsia" w:eastAsiaTheme="minorEastAsia" w:cstheme="minorEastAsia"/>
                <w:color w:val="auto"/>
                <w:kern w:val="2"/>
                <w:sz w:val="21"/>
                <w:szCs w:val="21"/>
                <w:highlight w:val="none"/>
              </w:rPr>
              <w:t>G351台小线247K+100</w:t>
            </w:r>
          </w:p>
        </w:tc>
        <w:tc>
          <w:tcPr>
            <w:tcW w:w="1560" w:type="dxa"/>
            <w:noWrap w:val="0"/>
            <w:vAlign w:val="center"/>
          </w:tcPr>
          <w:p w14:paraId="1A7EBC7B">
            <w:pPr>
              <w:keepNext w:val="0"/>
              <w:keepLines w:val="0"/>
              <w:widowControl/>
              <w:suppressLineNumbers w:val="0"/>
              <w:spacing w:before="0" w:beforeAutospacing="0" w:after="0" w:afterAutospacing="0" w:line="288"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3</w:t>
            </w:r>
            <w:r>
              <w:rPr>
                <w:rFonts w:hint="eastAsia" w:asciiTheme="minorEastAsia" w:hAnsiTheme="minorEastAsia" w:eastAsiaTheme="minorEastAsia" w:cstheme="minorEastAsia"/>
                <w:color w:val="auto"/>
                <w:kern w:val="2"/>
                <w:sz w:val="21"/>
                <w:szCs w:val="21"/>
                <w:highlight w:val="none"/>
                <w:lang w:eastAsia="zh-CN"/>
              </w:rPr>
              <w:t>车道</w:t>
            </w:r>
            <w:r>
              <w:rPr>
                <w:rFonts w:hint="eastAsia" w:asciiTheme="minorEastAsia" w:hAnsiTheme="minorEastAsia" w:eastAsiaTheme="minorEastAsia" w:cstheme="minorEastAsia"/>
                <w:color w:val="auto"/>
                <w:kern w:val="2"/>
                <w:sz w:val="21"/>
                <w:szCs w:val="21"/>
                <w:highlight w:val="none"/>
                <w:lang w:val="en-US" w:eastAsia="zh-CN"/>
              </w:rPr>
              <w:t>/年</w:t>
            </w:r>
          </w:p>
        </w:tc>
        <w:tc>
          <w:tcPr>
            <w:tcW w:w="1665" w:type="dxa"/>
            <w:noWrap w:val="0"/>
            <w:vAlign w:val="center"/>
          </w:tcPr>
          <w:p w14:paraId="48AD023D">
            <w:pPr>
              <w:jc w:val="center"/>
              <w:rPr>
                <w:rFonts w:hint="eastAsia" w:asciiTheme="minorEastAsia" w:hAnsiTheme="minorEastAsia" w:eastAsiaTheme="minorEastAsia" w:cstheme="minorEastAsia"/>
                <w:color w:val="auto"/>
                <w:szCs w:val="21"/>
                <w:highlight w:val="none"/>
              </w:rPr>
            </w:pPr>
          </w:p>
        </w:tc>
        <w:tc>
          <w:tcPr>
            <w:tcW w:w="1560" w:type="dxa"/>
            <w:noWrap w:val="0"/>
            <w:vAlign w:val="center"/>
          </w:tcPr>
          <w:p w14:paraId="0C2E01C5">
            <w:pPr>
              <w:jc w:val="center"/>
              <w:rPr>
                <w:rFonts w:hint="eastAsia" w:asciiTheme="minorEastAsia" w:hAnsiTheme="minorEastAsia" w:eastAsiaTheme="minorEastAsia" w:cstheme="minorEastAsia"/>
                <w:color w:val="auto"/>
                <w:szCs w:val="21"/>
                <w:highlight w:val="none"/>
              </w:rPr>
            </w:pPr>
          </w:p>
        </w:tc>
        <w:tc>
          <w:tcPr>
            <w:tcW w:w="1148" w:type="dxa"/>
            <w:noWrap w:val="0"/>
            <w:vAlign w:val="center"/>
          </w:tcPr>
          <w:p w14:paraId="794A7607">
            <w:pPr>
              <w:widowControl/>
              <w:jc w:val="center"/>
              <w:rPr>
                <w:rFonts w:hint="eastAsia" w:asciiTheme="minorEastAsia" w:hAnsiTheme="minorEastAsia" w:eastAsiaTheme="minorEastAsia" w:cstheme="minorEastAsia"/>
                <w:color w:val="auto"/>
                <w:kern w:val="0"/>
                <w:szCs w:val="21"/>
                <w:highlight w:val="none"/>
              </w:rPr>
            </w:pPr>
          </w:p>
        </w:tc>
      </w:tr>
      <w:tr w14:paraId="6342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dxa"/>
            <w:noWrap w:val="0"/>
            <w:vAlign w:val="center"/>
          </w:tcPr>
          <w:p w14:paraId="421EECF1">
            <w:pPr>
              <w:widowControl/>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1.2</w:t>
            </w:r>
          </w:p>
        </w:tc>
        <w:tc>
          <w:tcPr>
            <w:tcW w:w="2871" w:type="dxa"/>
            <w:noWrap w:val="0"/>
            <w:vAlign w:val="center"/>
          </w:tcPr>
          <w:p w14:paraId="29A9763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lang w:bidi="ar"/>
              </w:rPr>
            </w:pPr>
            <w:r>
              <w:rPr>
                <w:rFonts w:hint="eastAsia" w:asciiTheme="minorEastAsia" w:hAnsiTheme="minorEastAsia" w:eastAsiaTheme="minorEastAsia" w:cstheme="minorEastAsia"/>
                <w:b/>
                <w:bCs/>
                <w:color w:val="auto"/>
                <w:kern w:val="2"/>
                <w:sz w:val="21"/>
                <w:szCs w:val="21"/>
                <w:highlight w:val="none"/>
              </w:rPr>
              <w:t>前置机对接服务</w:t>
            </w:r>
          </w:p>
        </w:tc>
        <w:tc>
          <w:tcPr>
            <w:tcW w:w="1560" w:type="dxa"/>
            <w:shd w:val="clear" w:color="auto" w:fill="FFFFFF" w:themeFill="background1"/>
            <w:noWrap w:val="0"/>
            <w:vAlign w:val="center"/>
          </w:tcPr>
          <w:p w14:paraId="57AA4C10">
            <w:pPr>
              <w:keepNext w:val="0"/>
              <w:keepLines w:val="0"/>
              <w:widowControl/>
              <w:suppressLineNumbers w:val="0"/>
              <w:spacing w:before="0" w:beforeAutospacing="0" w:after="0" w:afterAutospacing="0" w:line="288"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rPr>
              <w:t>8点位</w:t>
            </w:r>
          </w:p>
        </w:tc>
        <w:tc>
          <w:tcPr>
            <w:tcW w:w="1665" w:type="dxa"/>
            <w:shd w:val="clear" w:color="auto" w:fill="FFFFFF" w:themeFill="background1"/>
            <w:noWrap w:val="0"/>
            <w:vAlign w:val="center"/>
          </w:tcPr>
          <w:p w14:paraId="7C8DA89E">
            <w:pPr>
              <w:keepNext w:val="0"/>
              <w:keepLines w:val="0"/>
              <w:widowControl/>
              <w:suppressLineNumbers w:val="0"/>
              <w:spacing w:before="0" w:beforeAutospacing="0" w:after="0" w:afterAutospacing="0" w:line="288" w:lineRule="auto"/>
              <w:ind w:left="0" w:leftChars="0" w:right="0" w:rightChars="0"/>
              <w:jc w:val="both"/>
              <w:rPr>
                <w:rFonts w:hint="eastAsia" w:asciiTheme="minorEastAsia" w:hAnsiTheme="minorEastAsia" w:eastAsiaTheme="minorEastAsia" w:cstheme="minorEastAsia"/>
                <w:color w:val="auto"/>
                <w:kern w:val="2"/>
                <w:sz w:val="21"/>
                <w:szCs w:val="21"/>
                <w:highlight w:val="none"/>
                <w:lang w:val="en-US" w:eastAsia="zh-CN" w:bidi="ar-SA"/>
              </w:rPr>
            </w:pPr>
          </w:p>
        </w:tc>
        <w:tc>
          <w:tcPr>
            <w:tcW w:w="1560" w:type="dxa"/>
            <w:noWrap w:val="0"/>
            <w:vAlign w:val="center"/>
          </w:tcPr>
          <w:p w14:paraId="72CBAD29">
            <w:pPr>
              <w:jc w:val="center"/>
              <w:rPr>
                <w:rFonts w:hint="eastAsia" w:asciiTheme="minorEastAsia" w:hAnsiTheme="minorEastAsia" w:eastAsiaTheme="minorEastAsia" w:cstheme="minorEastAsia"/>
                <w:b/>
                <w:color w:val="auto"/>
                <w:szCs w:val="21"/>
                <w:highlight w:val="none"/>
              </w:rPr>
            </w:pPr>
          </w:p>
        </w:tc>
        <w:tc>
          <w:tcPr>
            <w:tcW w:w="1148" w:type="dxa"/>
            <w:noWrap w:val="0"/>
            <w:vAlign w:val="center"/>
          </w:tcPr>
          <w:p w14:paraId="65901CE1">
            <w:pPr>
              <w:widowControl/>
              <w:rPr>
                <w:rFonts w:hint="eastAsia" w:asciiTheme="minorEastAsia" w:hAnsiTheme="minorEastAsia" w:eastAsiaTheme="minorEastAsia" w:cstheme="minorEastAsia"/>
                <w:b/>
                <w:color w:val="auto"/>
                <w:kern w:val="0"/>
                <w:szCs w:val="21"/>
                <w:highlight w:val="none"/>
              </w:rPr>
            </w:pPr>
          </w:p>
        </w:tc>
      </w:tr>
      <w:tr w14:paraId="0002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dxa"/>
            <w:noWrap w:val="0"/>
            <w:vAlign w:val="center"/>
          </w:tcPr>
          <w:p w14:paraId="367E6FAB">
            <w:pPr>
              <w:widowControl/>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1.3</w:t>
            </w:r>
          </w:p>
        </w:tc>
        <w:tc>
          <w:tcPr>
            <w:tcW w:w="2871" w:type="dxa"/>
            <w:noWrap w:val="0"/>
            <w:vAlign w:val="center"/>
          </w:tcPr>
          <w:p w14:paraId="5650867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color w:val="auto"/>
                <w:kern w:val="2"/>
                <w:sz w:val="21"/>
                <w:szCs w:val="21"/>
                <w:highlight w:val="none"/>
              </w:rPr>
              <w:t>平台试算服务</w:t>
            </w:r>
          </w:p>
        </w:tc>
        <w:tc>
          <w:tcPr>
            <w:tcW w:w="1560" w:type="dxa"/>
            <w:noWrap w:val="0"/>
            <w:vAlign w:val="center"/>
          </w:tcPr>
          <w:p w14:paraId="409E7D45">
            <w:pPr>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10点位</w:t>
            </w:r>
          </w:p>
        </w:tc>
        <w:tc>
          <w:tcPr>
            <w:tcW w:w="1665" w:type="dxa"/>
            <w:noWrap w:val="0"/>
            <w:vAlign w:val="center"/>
          </w:tcPr>
          <w:p w14:paraId="34BE517D">
            <w:pPr>
              <w:jc w:val="center"/>
              <w:rPr>
                <w:rFonts w:hint="eastAsia" w:asciiTheme="minorEastAsia" w:hAnsiTheme="minorEastAsia" w:eastAsiaTheme="minorEastAsia" w:cstheme="minorEastAsia"/>
                <w:b/>
                <w:color w:val="auto"/>
                <w:szCs w:val="21"/>
                <w:highlight w:val="none"/>
              </w:rPr>
            </w:pPr>
          </w:p>
        </w:tc>
        <w:tc>
          <w:tcPr>
            <w:tcW w:w="1560" w:type="dxa"/>
            <w:noWrap w:val="0"/>
            <w:vAlign w:val="center"/>
          </w:tcPr>
          <w:p w14:paraId="2CFA740D">
            <w:pPr>
              <w:jc w:val="center"/>
              <w:rPr>
                <w:rFonts w:hint="eastAsia" w:asciiTheme="minorEastAsia" w:hAnsiTheme="minorEastAsia" w:eastAsiaTheme="minorEastAsia" w:cstheme="minorEastAsia"/>
                <w:b/>
                <w:color w:val="auto"/>
                <w:szCs w:val="21"/>
                <w:highlight w:val="none"/>
              </w:rPr>
            </w:pPr>
          </w:p>
        </w:tc>
        <w:tc>
          <w:tcPr>
            <w:tcW w:w="1148" w:type="dxa"/>
            <w:noWrap w:val="0"/>
            <w:vAlign w:val="center"/>
          </w:tcPr>
          <w:p w14:paraId="2B9BD461">
            <w:pPr>
              <w:widowControl/>
              <w:rPr>
                <w:rFonts w:hint="eastAsia" w:asciiTheme="minorEastAsia" w:hAnsiTheme="minorEastAsia" w:eastAsiaTheme="minorEastAsia" w:cstheme="minorEastAsia"/>
                <w:b/>
                <w:color w:val="auto"/>
                <w:kern w:val="0"/>
                <w:szCs w:val="21"/>
                <w:highlight w:val="none"/>
              </w:rPr>
            </w:pPr>
          </w:p>
        </w:tc>
      </w:tr>
      <w:tr w14:paraId="1F0E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dxa"/>
            <w:noWrap w:val="0"/>
            <w:vAlign w:val="center"/>
          </w:tcPr>
          <w:p w14:paraId="4EEAC5E1">
            <w:pPr>
              <w:widowControl/>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1.4</w:t>
            </w:r>
          </w:p>
        </w:tc>
        <w:tc>
          <w:tcPr>
            <w:tcW w:w="2871" w:type="dxa"/>
            <w:noWrap w:val="0"/>
            <w:vAlign w:val="center"/>
          </w:tcPr>
          <w:p w14:paraId="6A85AF0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color w:val="auto"/>
                <w:kern w:val="2"/>
                <w:sz w:val="21"/>
                <w:szCs w:val="21"/>
                <w:highlight w:val="none"/>
              </w:rPr>
              <w:t>称台及过车较准</w:t>
            </w:r>
          </w:p>
        </w:tc>
        <w:tc>
          <w:tcPr>
            <w:tcW w:w="1560" w:type="dxa"/>
            <w:noWrap w:val="0"/>
            <w:vAlign w:val="center"/>
          </w:tcPr>
          <w:p w14:paraId="75B193CC">
            <w:pPr>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24次</w:t>
            </w:r>
          </w:p>
        </w:tc>
        <w:tc>
          <w:tcPr>
            <w:tcW w:w="1665" w:type="dxa"/>
            <w:noWrap w:val="0"/>
            <w:vAlign w:val="center"/>
          </w:tcPr>
          <w:p w14:paraId="1E1C2684">
            <w:pPr>
              <w:jc w:val="center"/>
              <w:rPr>
                <w:rFonts w:hint="eastAsia" w:asciiTheme="minorEastAsia" w:hAnsiTheme="minorEastAsia" w:eastAsiaTheme="minorEastAsia" w:cstheme="minorEastAsia"/>
                <w:b/>
                <w:color w:val="auto"/>
                <w:szCs w:val="21"/>
                <w:highlight w:val="none"/>
              </w:rPr>
            </w:pPr>
          </w:p>
        </w:tc>
        <w:tc>
          <w:tcPr>
            <w:tcW w:w="1560" w:type="dxa"/>
            <w:noWrap w:val="0"/>
            <w:vAlign w:val="center"/>
          </w:tcPr>
          <w:p w14:paraId="52AFA42E">
            <w:pPr>
              <w:jc w:val="center"/>
              <w:rPr>
                <w:rFonts w:hint="eastAsia" w:asciiTheme="minorEastAsia" w:hAnsiTheme="minorEastAsia" w:eastAsiaTheme="minorEastAsia" w:cstheme="minorEastAsia"/>
                <w:b/>
                <w:color w:val="auto"/>
                <w:szCs w:val="21"/>
                <w:highlight w:val="none"/>
              </w:rPr>
            </w:pPr>
          </w:p>
        </w:tc>
        <w:tc>
          <w:tcPr>
            <w:tcW w:w="1148" w:type="dxa"/>
            <w:noWrap w:val="0"/>
            <w:vAlign w:val="center"/>
          </w:tcPr>
          <w:p w14:paraId="6FAA7C5F">
            <w:pPr>
              <w:widowControl/>
              <w:rPr>
                <w:rFonts w:hint="eastAsia" w:asciiTheme="minorEastAsia" w:hAnsiTheme="minorEastAsia" w:eastAsiaTheme="minorEastAsia" w:cstheme="minorEastAsia"/>
                <w:b/>
                <w:color w:val="auto"/>
                <w:kern w:val="0"/>
                <w:szCs w:val="21"/>
                <w:highlight w:val="none"/>
              </w:rPr>
            </w:pPr>
          </w:p>
        </w:tc>
      </w:tr>
      <w:tr w14:paraId="6C2B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dxa"/>
            <w:noWrap w:val="0"/>
            <w:vAlign w:val="center"/>
          </w:tcPr>
          <w:p w14:paraId="60715CF6">
            <w:pPr>
              <w:widowControl/>
              <w:jc w:val="center"/>
              <w:rPr>
                <w:rFonts w:hint="eastAsia" w:asciiTheme="minorEastAsia" w:hAnsiTheme="minorEastAsia" w:eastAsiaTheme="minorEastAsia" w:cstheme="minorEastAsia"/>
                <w:color w:val="auto"/>
                <w:kern w:val="0"/>
                <w:szCs w:val="21"/>
                <w:highlight w:val="none"/>
                <w:lang w:val="en-US" w:eastAsia="zh-CN"/>
              </w:rPr>
            </w:pPr>
          </w:p>
        </w:tc>
        <w:tc>
          <w:tcPr>
            <w:tcW w:w="2871" w:type="dxa"/>
            <w:noWrap w:val="0"/>
            <w:vAlign w:val="center"/>
          </w:tcPr>
          <w:p w14:paraId="5ADD2325">
            <w:pPr>
              <w:keepNext w:val="0"/>
              <w:keepLines w:val="0"/>
              <w:widowControl/>
              <w:suppressLineNumbers w:val="0"/>
              <w:jc w:val="center"/>
              <w:textAlignment w:val="center"/>
              <w:rPr>
                <w:rFonts w:hint="eastAsia" w:asciiTheme="minorEastAsia" w:hAnsiTheme="minorEastAsia" w:eastAsiaTheme="minorEastAsia" w:cstheme="minorEastAsia"/>
                <w:b/>
                <w:color w:val="auto"/>
                <w:kern w:val="2"/>
                <w:sz w:val="21"/>
                <w:szCs w:val="21"/>
                <w:highlight w:val="none"/>
                <w:lang w:val="en-US" w:eastAsia="zh-CN"/>
              </w:rPr>
            </w:pPr>
            <w:r>
              <w:rPr>
                <w:rFonts w:hint="eastAsia" w:asciiTheme="minorEastAsia" w:hAnsiTheme="minorEastAsia" w:eastAsiaTheme="minorEastAsia" w:cstheme="minorEastAsia"/>
                <w:b/>
                <w:color w:val="auto"/>
                <w:kern w:val="2"/>
                <w:sz w:val="21"/>
                <w:szCs w:val="21"/>
                <w:highlight w:val="none"/>
                <w:lang w:val="en-US" w:eastAsia="zh-CN"/>
              </w:rPr>
              <w:t>.......</w:t>
            </w:r>
          </w:p>
        </w:tc>
        <w:tc>
          <w:tcPr>
            <w:tcW w:w="1560" w:type="dxa"/>
            <w:noWrap w:val="0"/>
            <w:vAlign w:val="center"/>
          </w:tcPr>
          <w:p w14:paraId="3B469394">
            <w:pPr>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1665" w:type="dxa"/>
            <w:noWrap w:val="0"/>
            <w:vAlign w:val="center"/>
          </w:tcPr>
          <w:p w14:paraId="33CFAA4A">
            <w:pPr>
              <w:jc w:val="center"/>
              <w:rPr>
                <w:rFonts w:hint="eastAsia" w:asciiTheme="minorEastAsia" w:hAnsiTheme="minorEastAsia" w:eastAsiaTheme="minorEastAsia" w:cstheme="minorEastAsia"/>
                <w:b/>
                <w:color w:val="auto"/>
                <w:szCs w:val="21"/>
                <w:highlight w:val="none"/>
              </w:rPr>
            </w:pPr>
          </w:p>
        </w:tc>
        <w:tc>
          <w:tcPr>
            <w:tcW w:w="1560" w:type="dxa"/>
            <w:noWrap w:val="0"/>
            <w:vAlign w:val="center"/>
          </w:tcPr>
          <w:p w14:paraId="50D662A0">
            <w:pPr>
              <w:jc w:val="center"/>
              <w:rPr>
                <w:rFonts w:hint="eastAsia" w:asciiTheme="minorEastAsia" w:hAnsiTheme="minorEastAsia" w:eastAsiaTheme="minorEastAsia" w:cstheme="minorEastAsia"/>
                <w:b/>
                <w:color w:val="auto"/>
                <w:szCs w:val="21"/>
                <w:highlight w:val="none"/>
              </w:rPr>
            </w:pPr>
          </w:p>
        </w:tc>
        <w:tc>
          <w:tcPr>
            <w:tcW w:w="1148" w:type="dxa"/>
            <w:noWrap w:val="0"/>
            <w:vAlign w:val="center"/>
          </w:tcPr>
          <w:p w14:paraId="32CA1BB2">
            <w:pPr>
              <w:widowControl/>
              <w:rPr>
                <w:rFonts w:hint="eastAsia" w:asciiTheme="minorEastAsia" w:hAnsiTheme="minorEastAsia" w:eastAsiaTheme="minorEastAsia" w:cstheme="minorEastAsia"/>
                <w:b/>
                <w:color w:val="auto"/>
                <w:kern w:val="0"/>
                <w:szCs w:val="21"/>
                <w:highlight w:val="none"/>
              </w:rPr>
            </w:pPr>
          </w:p>
        </w:tc>
      </w:tr>
      <w:tr w14:paraId="7D8A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dxa"/>
            <w:noWrap w:val="0"/>
            <w:vAlign w:val="center"/>
          </w:tcPr>
          <w:p w14:paraId="1C96009B">
            <w:pPr>
              <w:widowControl/>
              <w:jc w:val="center"/>
              <w:rPr>
                <w:rFonts w:hint="eastAsia" w:asciiTheme="minorEastAsia" w:hAnsiTheme="minorEastAsia" w:eastAsiaTheme="minorEastAsia" w:cstheme="minorEastAsia"/>
                <w:color w:val="auto"/>
                <w:kern w:val="0"/>
                <w:szCs w:val="21"/>
                <w:highlight w:val="none"/>
              </w:rPr>
            </w:pPr>
          </w:p>
        </w:tc>
        <w:tc>
          <w:tcPr>
            <w:tcW w:w="2871" w:type="dxa"/>
            <w:noWrap w:val="0"/>
            <w:vAlign w:val="center"/>
          </w:tcPr>
          <w:p w14:paraId="450D758D">
            <w:pPr>
              <w:jc w:val="left"/>
              <w:rPr>
                <w:rFonts w:hint="eastAsia" w:asciiTheme="minorEastAsia" w:hAnsiTheme="minorEastAsia" w:eastAsiaTheme="minorEastAsia" w:cstheme="minorEastAsia"/>
                <w:b/>
                <w:color w:val="auto"/>
                <w:highlight w:val="none"/>
                <w:lang w:bidi="ar"/>
              </w:rPr>
            </w:pPr>
            <w:r>
              <w:rPr>
                <w:rFonts w:hint="eastAsia" w:asciiTheme="minorEastAsia" w:hAnsiTheme="minorEastAsia" w:eastAsiaTheme="minorEastAsia" w:cstheme="minorEastAsia"/>
                <w:b/>
                <w:color w:val="auto"/>
                <w:highlight w:val="none"/>
                <w:lang w:bidi="ar"/>
              </w:rPr>
              <w:t>投标价总计</w:t>
            </w:r>
          </w:p>
        </w:tc>
        <w:tc>
          <w:tcPr>
            <w:tcW w:w="5933" w:type="dxa"/>
            <w:gridSpan w:val="4"/>
            <w:noWrap w:val="0"/>
            <w:vAlign w:val="center"/>
          </w:tcPr>
          <w:p w14:paraId="1CFC9BA4">
            <w:pPr>
              <w:widowControl/>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大写</w:t>
            </w:r>
            <w:r>
              <w:rPr>
                <w:rFonts w:hint="eastAsia" w:asciiTheme="minorEastAsia" w:hAnsiTheme="minorEastAsia" w:eastAsiaTheme="minorEastAsia" w:cstheme="minorEastAsia"/>
                <w:b/>
                <w:color w:val="auto"/>
                <w:szCs w:val="21"/>
                <w:highlight w:val="none"/>
                <w:u w:val="single"/>
              </w:rPr>
              <w:t xml:space="preserve">                  </w:t>
            </w:r>
            <w:r>
              <w:rPr>
                <w:rFonts w:hint="eastAsia" w:asciiTheme="minorEastAsia" w:hAnsiTheme="minorEastAsia" w:eastAsiaTheme="minorEastAsia" w:cstheme="minorEastAsia"/>
                <w:b/>
                <w:color w:val="auto"/>
                <w:szCs w:val="21"/>
                <w:highlight w:val="none"/>
              </w:rPr>
              <w:t>元</w:t>
            </w:r>
          </w:p>
          <w:p w14:paraId="22583742">
            <w:pPr>
              <w:widowControl/>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szCs w:val="21"/>
                <w:highlight w:val="none"/>
              </w:rPr>
              <w:t>（小写）：</w:t>
            </w:r>
            <w:r>
              <w:rPr>
                <w:rFonts w:hint="eastAsia" w:asciiTheme="minorEastAsia" w:hAnsiTheme="minorEastAsia" w:eastAsiaTheme="minorEastAsia" w:cstheme="minorEastAsia"/>
                <w:b/>
                <w:color w:val="auto"/>
                <w:szCs w:val="21"/>
                <w:highlight w:val="none"/>
                <w:u w:val="single"/>
              </w:rPr>
              <w:t xml:space="preserve">                  </w:t>
            </w:r>
            <w:r>
              <w:rPr>
                <w:rFonts w:hint="eastAsia" w:asciiTheme="minorEastAsia" w:hAnsiTheme="minorEastAsia" w:eastAsiaTheme="minorEastAsia" w:cstheme="minorEastAsia"/>
                <w:b/>
                <w:color w:val="auto"/>
                <w:szCs w:val="21"/>
                <w:highlight w:val="none"/>
              </w:rPr>
              <w:t>元</w:t>
            </w:r>
          </w:p>
        </w:tc>
      </w:tr>
    </w:tbl>
    <w:p w14:paraId="74AA3DAC">
      <w:pPr>
        <w:spacing w:line="440" w:lineRule="exact"/>
        <w:ind w:firstLine="663" w:firstLineChars="3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b/>
          <w:color w:val="auto"/>
          <w:sz w:val="22"/>
          <w:highlight w:val="none"/>
        </w:rPr>
        <w:t>注：1、</w:t>
      </w:r>
      <w:r>
        <w:rPr>
          <w:rFonts w:hint="eastAsia" w:asciiTheme="minorEastAsia" w:hAnsiTheme="minorEastAsia" w:eastAsiaTheme="minorEastAsia" w:cstheme="minorEastAsia"/>
          <w:color w:val="auto"/>
          <w:sz w:val="22"/>
          <w:highlight w:val="none"/>
        </w:rPr>
        <w:t>投标人根据实际情况可在表中报价明细的基础上进行扩展。</w:t>
      </w:r>
    </w:p>
    <w:p w14:paraId="7F18C84D">
      <w:pPr>
        <w:spacing w:line="440" w:lineRule="exact"/>
        <w:ind w:firstLine="660" w:firstLineChars="300"/>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color w:val="auto"/>
          <w:sz w:val="22"/>
          <w:highlight w:val="none"/>
        </w:rPr>
        <w:t>2、上表 “</w:t>
      </w:r>
      <w:r>
        <w:rPr>
          <w:rFonts w:hint="eastAsia" w:asciiTheme="minorEastAsia" w:hAnsiTheme="minorEastAsia" w:eastAsiaTheme="minorEastAsia" w:cstheme="minorEastAsia"/>
          <w:color w:val="auto"/>
          <w:highlight w:val="none"/>
          <w:lang w:bidi="ar"/>
        </w:rPr>
        <w:t>投标价总计</w:t>
      </w:r>
      <w:r>
        <w:rPr>
          <w:rFonts w:hint="eastAsia" w:asciiTheme="minorEastAsia" w:hAnsiTheme="minorEastAsia" w:eastAsiaTheme="minorEastAsia" w:cstheme="minorEastAsia"/>
          <w:color w:val="auto"/>
          <w:sz w:val="22"/>
          <w:highlight w:val="none"/>
        </w:rPr>
        <w:t>”应与“开标一览表”中的总报价一致，如有矛盾，以“开标一览表”中的为准。</w:t>
      </w:r>
    </w:p>
    <w:p w14:paraId="486449C7">
      <w:pPr>
        <w:spacing w:line="440" w:lineRule="exact"/>
        <w:ind w:firstLine="660" w:firstLineChars="3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投标人名称（电子签章）：</w:t>
      </w:r>
    </w:p>
    <w:p w14:paraId="65D86E2A">
      <w:pPr>
        <w:spacing w:line="440" w:lineRule="exact"/>
        <w:ind w:firstLine="660" w:firstLineChars="3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法定代表人或授权代表（签字或盖章）：</w:t>
      </w:r>
    </w:p>
    <w:p w14:paraId="24059970">
      <w:pPr>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时间：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4A6670AE">
      <w:pPr>
        <w:snapToGrid w:val="0"/>
        <w:spacing w:before="50" w:after="120" w:afterLines="50" w:line="360" w:lineRule="auto"/>
        <w:jc w:val="left"/>
        <w:rPr>
          <w:rFonts w:hint="eastAsia" w:asciiTheme="minorEastAsia" w:hAnsiTheme="minorEastAsia" w:eastAsiaTheme="minorEastAsia" w:cstheme="minorEastAsia"/>
          <w:b/>
          <w:color w:val="auto"/>
          <w:sz w:val="24"/>
          <w:highlight w:val="none"/>
        </w:rPr>
      </w:pPr>
    </w:p>
    <w:p w14:paraId="66919E0E">
      <w:pPr>
        <w:snapToGrid w:val="0"/>
        <w:spacing w:before="50" w:after="120" w:afterLines="50" w:line="360" w:lineRule="auto"/>
        <w:jc w:val="left"/>
        <w:rPr>
          <w:rFonts w:hint="eastAsia" w:asciiTheme="minorEastAsia" w:hAnsiTheme="minorEastAsia" w:eastAsiaTheme="minorEastAsia" w:cstheme="minorEastAsia"/>
          <w:b/>
          <w:color w:val="auto"/>
          <w:sz w:val="24"/>
          <w:highlight w:val="none"/>
        </w:rPr>
      </w:pPr>
    </w:p>
    <w:p w14:paraId="53A95499">
      <w:pPr>
        <w:snapToGrid w:val="0"/>
        <w:spacing w:line="312" w:lineRule="auto"/>
        <w:ind w:firstLine="281" w:firstLineChars="100"/>
        <w:rPr>
          <w:rFonts w:hint="eastAsia" w:asciiTheme="minorEastAsia" w:hAnsiTheme="minorEastAsia" w:eastAsiaTheme="minorEastAsia" w:cstheme="minorEastAsia"/>
          <w:b/>
          <w:color w:val="auto"/>
          <w:spacing w:val="20"/>
          <w:sz w:val="24"/>
          <w:highlight w:val="none"/>
        </w:rPr>
      </w:pPr>
    </w:p>
    <w:p w14:paraId="4BC7A73D">
      <w:pPr>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b/>
          <w:color w:val="auto"/>
          <w:sz w:val="36"/>
          <w:highlight w:val="none"/>
        </w:rPr>
        <w:br w:type="page"/>
      </w:r>
    </w:p>
    <w:p w14:paraId="07D05797">
      <w:pPr>
        <w:jc w:val="center"/>
        <w:outlineLvl w:val="0"/>
        <w:rPr>
          <w:rFonts w:hint="default" w:asciiTheme="minorEastAsia" w:hAnsiTheme="minorEastAsia" w:eastAsiaTheme="minorEastAsia" w:cstheme="minorEastAsia"/>
          <w:b/>
          <w:color w:val="auto"/>
          <w:sz w:val="28"/>
          <w:szCs w:val="28"/>
          <w:highlight w:val="none"/>
        </w:rPr>
      </w:pPr>
      <w:r>
        <w:rPr>
          <w:rFonts w:asciiTheme="minorEastAsia" w:hAnsiTheme="minorEastAsia" w:eastAsiaTheme="minorEastAsia" w:cstheme="minorEastAsia"/>
          <w:b/>
          <w:color w:val="auto"/>
          <w:sz w:val="36"/>
          <w:highlight w:val="none"/>
        </w:rPr>
        <w:t>第七部分 其他</w:t>
      </w:r>
    </w:p>
    <w:p w14:paraId="01B0D331">
      <w:pPr>
        <w:pStyle w:val="55"/>
        <w:widowControl w:val="0"/>
        <w:snapToGrid w:val="0"/>
        <w:spacing w:afterLines="50" w:line="312" w:lineRule="auto"/>
        <w:jc w:val="center"/>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政府采购活动现场确认声明书</w:t>
      </w:r>
    </w:p>
    <w:p w14:paraId="3D229727">
      <w:pPr>
        <w:pStyle w:val="55"/>
        <w:widowControl w:val="0"/>
        <w:snapToGrid w:val="0"/>
        <w:spacing w:line="312" w:lineRule="auto"/>
        <w:jc w:val="both"/>
        <w:rPr>
          <w:rFonts w:hint="default"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u w:val="single"/>
          <w:lang w:eastAsia="zh-CN"/>
        </w:rPr>
        <w:t>浙江京承工程管理有限公司</w:t>
      </w:r>
      <w:r>
        <w:rPr>
          <w:rFonts w:asciiTheme="minorEastAsia" w:hAnsiTheme="minorEastAsia" w:eastAsiaTheme="minorEastAsia" w:cstheme="minorEastAsia"/>
          <w:color w:val="auto"/>
          <w:kern w:val="0"/>
          <w:sz w:val="24"/>
          <w:szCs w:val="24"/>
          <w:highlight w:val="none"/>
        </w:rPr>
        <w:t>（采购组织机构名称）：</w:t>
      </w:r>
    </w:p>
    <w:p w14:paraId="572B7A63">
      <w:pPr>
        <w:pStyle w:val="55"/>
        <w:widowControl w:val="0"/>
        <w:snapToGrid w:val="0"/>
        <w:spacing w:line="312" w:lineRule="auto"/>
        <w:ind w:firstLine="504" w:firstLineChars="200"/>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spacing w:val="6"/>
          <w:sz w:val="24"/>
          <w:szCs w:val="24"/>
          <w:highlight w:val="none"/>
        </w:rPr>
        <w:t>本人经由</w:t>
      </w:r>
      <w:r>
        <w:rPr>
          <w:rFonts w:asciiTheme="minorEastAsia" w:hAnsiTheme="minorEastAsia" w:eastAsiaTheme="minorEastAsia" w:cstheme="minorEastAsia"/>
          <w:color w:val="auto"/>
          <w:spacing w:val="6"/>
          <w:sz w:val="24"/>
          <w:szCs w:val="24"/>
          <w:highlight w:val="none"/>
          <w:u w:val="single"/>
        </w:rPr>
        <w:t xml:space="preserve">                        （单位）</w:t>
      </w:r>
      <w:r>
        <w:rPr>
          <w:rFonts w:asciiTheme="minorEastAsia" w:hAnsiTheme="minorEastAsia" w:eastAsiaTheme="minorEastAsia" w:cstheme="minorEastAsia"/>
          <w:color w:val="auto"/>
          <w:spacing w:val="6"/>
          <w:sz w:val="24"/>
          <w:szCs w:val="24"/>
          <w:highlight w:val="none"/>
        </w:rPr>
        <w:t>负责人</w:t>
      </w:r>
      <w:r>
        <w:rPr>
          <w:rFonts w:asciiTheme="minorEastAsia" w:hAnsiTheme="minorEastAsia" w:eastAsiaTheme="minorEastAsia" w:cstheme="minorEastAsia"/>
          <w:color w:val="auto"/>
          <w:spacing w:val="6"/>
          <w:sz w:val="24"/>
          <w:szCs w:val="24"/>
          <w:highlight w:val="none"/>
          <w:u w:val="single"/>
        </w:rPr>
        <w:t xml:space="preserve">        （姓名）</w:t>
      </w:r>
      <w:r>
        <w:rPr>
          <w:rFonts w:asciiTheme="minorEastAsia" w:hAnsiTheme="minorEastAsia" w:eastAsiaTheme="minorEastAsia" w:cstheme="minorEastAsia"/>
          <w:color w:val="auto"/>
          <w:spacing w:val="6"/>
          <w:sz w:val="24"/>
          <w:szCs w:val="24"/>
          <w:highlight w:val="none"/>
        </w:rPr>
        <w:t>合法授权参加</w:t>
      </w:r>
      <w:r>
        <w:rPr>
          <w:rFonts w:asciiTheme="minorEastAsia" w:hAnsiTheme="minorEastAsia" w:eastAsiaTheme="minorEastAsia" w:cstheme="minorEastAsia"/>
          <w:color w:val="auto"/>
          <w:spacing w:val="6"/>
          <w:sz w:val="24"/>
          <w:szCs w:val="24"/>
          <w:highlight w:val="none"/>
          <w:u w:val="single"/>
        </w:rPr>
        <w:t xml:space="preserve">                        </w:t>
      </w:r>
      <w:r>
        <w:rPr>
          <w:rFonts w:asciiTheme="minorEastAsia" w:hAnsiTheme="minorEastAsia" w:eastAsiaTheme="minorEastAsia" w:cstheme="minorEastAsia"/>
          <w:color w:val="auto"/>
          <w:spacing w:val="6"/>
          <w:sz w:val="24"/>
          <w:szCs w:val="24"/>
          <w:highlight w:val="none"/>
        </w:rPr>
        <w:t>政府采购项目（编号：</w:t>
      </w:r>
      <w:r>
        <w:rPr>
          <w:rFonts w:asciiTheme="minorEastAsia" w:hAnsiTheme="minorEastAsia" w:eastAsiaTheme="minorEastAsia" w:cstheme="minorEastAsia"/>
          <w:color w:val="auto"/>
          <w:spacing w:val="6"/>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）的</w:t>
      </w:r>
      <w:r>
        <w:rPr>
          <w:rFonts w:asciiTheme="minorEastAsia" w:hAnsiTheme="minorEastAsia" w:eastAsiaTheme="minorEastAsia" w:cstheme="minorEastAsia"/>
          <w:color w:val="auto"/>
          <w:spacing w:val="6"/>
          <w:sz w:val="24"/>
          <w:szCs w:val="24"/>
          <w:highlight w:val="none"/>
        </w:rPr>
        <w:t xml:space="preserve">政府采购活动，经与本单位法人代表（负责人）联系确认，现就有关公平竞争事项郑重声明如下： </w:t>
      </w:r>
    </w:p>
    <w:p w14:paraId="507A87A7">
      <w:pPr>
        <w:pStyle w:val="56"/>
        <w:widowControl/>
        <w:numPr>
          <w:ilvl w:val="0"/>
          <w:numId w:val="7"/>
        </w:numPr>
        <w:snapToGrid w:val="0"/>
        <w:spacing w:line="312" w:lineRule="auto"/>
        <w:ind w:firstLine="453" w:firstLineChars="189"/>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本单位与采购人之间 □不存在利害关系 □存在下列利害关系</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w:t>
      </w:r>
    </w:p>
    <w:p w14:paraId="59E3C00D">
      <w:pPr>
        <w:pStyle w:val="56"/>
        <w:widowControl/>
        <w:snapToGrid w:val="0"/>
        <w:spacing w:line="312" w:lineRule="auto"/>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A.投资关系    B.行政隶属关系    C.业务指导关系</w:t>
      </w:r>
    </w:p>
    <w:p w14:paraId="3E71462E">
      <w:pPr>
        <w:pStyle w:val="56"/>
        <w:widowControl/>
        <w:snapToGrid w:val="0"/>
        <w:spacing w:line="312" w:lineRule="auto"/>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D.其他可能</w:t>
      </w:r>
      <w:r>
        <w:rPr>
          <w:rFonts w:asciiTheme="minorEastAsia" w:hAnsiTheme="minorEastAsia" w:eastAsiaTheme="minorEastAsia" w:cstheme="minorEastAsia"/>
          <w:color w:val="auto"/>
          <w:sz w:val="24"/>
          <w:szCs w:val="24"/>
          <w:highlight w:val="none"/>
        </w:rPr>
        <w:t>影响采购公正的</w:t>
      </w:r>
      <w:r>
        <w:rPr>
          <w:rFonts w:asciiTheme="minorEastAsia" w:hAnsiTheme="minorEastAsia" w:eastAsiaTheme="minorEastAsia" w:cstheme="minorEastAsia"/>
          <w:color w:val="auto"/>
          <w:kern w:val="0"/>
          <w:sz w:val="24"/>
          <w:szCs w:val="24"/>
          <w:highlight w:val="none"/>
        </w:rPr>
        <w:t>利害关系</w:t>
      </w:r>
      <w:r>
        <w:rPr>
          <w:rFonts w:asciiTheme="minorEastAsia" w:hAnsiTheme="minorEastAsia" w:eastAsiaTheme="minorEastAsia" w:cstheme="minorEastAsia"/>
          <w:color w:val="auto"/>
          <w:kern w:val="0"/>
          <w:sz w:val="24"/>
          <w:szCs w:val="24"/>
          <w:highlight w:val="none"/>
          <w:u w:val="single"/>
        </w:rPr>
        <w:t xml:space="preserve">（如有，请如实说明）                 </w:t>
      </w:r>
      <w:r>
        <w:rPr>
          <w:rFonts w:asciiTheme="minorEastAsia" w:hAnsiTheme="minorEastAsia" w:eastAsiaTheme="minorEastAsia" w:cstheme="minorEastAsia"/>
          <w:color w:val="auto"/>
          <w:kern w:val="0"/>
          <w:sz w:val="24"/>
          <w:szCs w:val="24"/>
          <w:highlight w:val="none"/>
        </w:rPr>
        <w:t>。</w:t>
      </w:r>
    </w:p>
    <w:p w14:paraId="4D54CBEE">
      <w:pPr>
        <w:pStyle w:val="56"/>
        <w:widowControl/>
        <w:snapToGrid w:val="0"/>
        <w:spacing w:line="312" w:lineRule="auto"/>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spacing w:val="6"/>
          <w:sz w:val="24"/>
          <w:szCs w:val="24"/>
          <w:highlight w:val="none"/>
        </w:rPr>
        <w:t xml:space="preserve">  二、</w:t>
      </w:r>
      <w:r>
        <w:rPr>
          <w:rFonts w:asciiTheme="minorEastAsia" w:hAnsiTheme="minorEastAsia" w:eastAsiaTheme="minorEastAsia" w:cstheme="minorEastAsia"/>
          <w:color w:val="auto"/>
          <w:kern w:val="0"/>
          <w:sz w:val="24"/>
          <w:szCs w:val="24"/>
          <w:highlight w:val="none"/>
        </w:rPr>
        <w:t>现已清楚知道参加本项目采购活动的其他所有供应商名称，本单位 □与其他所有供应商之间均不存在利害关系 □与</w:t>
      </w:r>
      <w:r>
        <w:rPr>
          <w:rFonts w:asciiTheme="minorEastAsia" w:hAnsiTheme="minorEastAsia" w:eastAsiaTheme="minorEastAsia" w:cstheme="minorEastAsia"/>
          <w:color w:val="auto"/>
          <w:kern w:val="0"/>
          <w:sz w:val="24"/>
          <w:szCs w:val="24"/>
          <w:highlight w:val="none"/>
          <w:u w:val="single"/>
        </w:rPr>
        <w:t xml:space="preserve">           （供应商名称）</w:t>
      </w:r>
      <w:r>
        <w:rPr>
          <w:rFonts w:asciiTheme="minorEastAsia" w:hAnsiTheme="minorEastAsia" w:eastAsiaTheme="minorEastAsia" w:cstheme="minorEastAsia"/>
          <w:color w:val="auto"/>
          <w:kern w:val="0"/>
          <w:sz w:val="24"/>
          <w:szCs w:val="24"/>
          <w:highlight w:val="none"/>
        </w:rPr>
        <w:t>之间存在下列利害关系</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w:t>
      </w:r>
    </w:p>
    <w:p w14:paraId="3068F449">
      <w:pPr>
        <w:pStyle w:val="55"/>
        <w:widowControl w:val="0"/>
        <w:snapToGrid w:val="0"/>
        <w:spacing w:line="312" w:lineRule="auto"/>
        <w:jc w:val="both"/>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A.法定代表人或负责人或实际控制人是同一人</w:t>
      </w:r>
    </w:p>
    <w:p w14:paraId="077EDD51">
      <w:pPr>
        <w:pStyle w:val="55"/>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kern w:val="0"/>
          <w:sz w:val="24"/>
          <w:szCs w:val="24"/>
          <w:highlight w:val="none"/>
        </w:rPr>
        <w:t xml:space="preserve">  B.法定代表人或负责人或实际控制人是夫妻关系</w:t>
      </w:r>
    </w:p>
    <w:p w14:paraId="2AEC5188">
      <w:pPr>
        <w:pStyle w:val="55"/>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kern w:val="0"/>
          <w:sz w:val="24"/>
          <w:szCs w:val="24"/>
          <w:highlight w:val="none"/>
        </w:rPr>
        <w:t xml:space="preserve">  C.法定代表人或负责人或实际控制人是直系血亲关系</w:t>
      </w:r>
    </w:p>
    <w:p w14:paraId="6275266E">
      <w:pPr>
        <w:pStyle w:val="55"/>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kern w:val="0"/>
          <w:sz w:val="24"/>
          <w:szCs w:val="24"/>
          <w:highlight w:val="none"/>
        </w:rPr>
        <w:t xml:space="preserve">  D.法定代表人或负责人或实际控制人存在三代以内旁系血亲关系</w:t>
      </w:r>
    </w:p>
    <w:p w14:paraId="6CB769B3">
      <w:pPr>
        <w:pStyle w:val="55"/>
        <w:widowControl w:val="0"/>
        <w:snapToGrid w:val="0"/>
        <w:spacing w:line="312" w:lineRule="auto"/>
        <w:jc w:val="both"/>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E.法定代表人或负责人或实际控制人存在近姻亲关系</w:t>
      </w:r>
    </w:p>
    <w:p w14:paraId="44E3DB81">
      <w:pPr>
        <w:pStyle w:val="55"/>
        <w:widowControl w:val="0"/>
        <w:snapToGrid w:val="0"/>
        <w:spacing w:line="312" w:lineRule="auto"/>
        <w:jc w:val="both"/>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F.法定代表人或负责人或实际控制人存在股份控制或实际控制关系</w:t>
      </w:r>
    </w:p>
    <w:p w14:paraId="7F1820A2">
      <w:pPr>
        <w:pStyle w:val="55"/>
        <w:widowControl w:val="0"/>
        <w:snapToGrid w:val="0"/>
        <w:spacing w:line="312" w:lineRule="auto"/>
        <w:jc w:val="both"/>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G.存在共同直接或间接投资设立子公司、联营企业和合营企业情况</w:t>
      </w:r>
    </w:p>
    <w:p w14:paraId="59CC7CDA">
      <w:pPr>
        <w:pStyle w:val="55"/>
        <w:widowControl w:val="0"/>
        <w:snapToGrid w:val="0"/>
        <w:spacing w:line="312" w:lineRule="auto"/>
        <w:jc w:val="both"/>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kern w:val="0"/>
          <w:sz w:val="24"/>
          <w:szCs w:val="24"/>
          <w:highlight w:val="none"/>
        </w:rPr>
        <w:t xml:space="preserve">  H.存在分级代理或代销关系、同一生产制造商关系、</w:t>
      </w:r>
      <w:r>
        <w:rPr>
          <w:rFonts w:asciiTheme="minorEastAsia" w:hAnsiTheme="minorEastAsia" w:eastAsiaTheme="minorEastAsia" w:cstheme="minorEastAsia"/>
          <w:color w:val="auto"/>
          <w:sz w:val="24"/>
          <w:szCs w:val="24"/>
          <w:highlight w:val="none"/>
        </w:rPr>
        <w:t>管理关系、重要业务（占主营业务收入50%以上）或重要财务往来关系（如融资）等其他实质性控制关系</w:t>
      </w:r>
    </w:p>
    <w:p w14:paraId="529A9330">
      <w:pPr>
        <w:pStyle w:val="55"/>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sz w:val="24"/>
          <w:szCs w:val="24"/>
          <w:highlight w:val="none"/>
        </w:rPr>
        <w:t xml:space="preserve">  I</w:t>
      </w:r>
      <w:r>
        <w:rPr>
          <w:rFonts w:asciiTheme="minorEastAsia" w:hAnsiTheme="minorEastAsia" w:eastAsiaTheme="minorEastAsia" w:cstheme="minorEastAsia"/>
          <w:color w:val="auto"/>
          <w:kern w:val="0"/>
          <w:sz w:val="24"/>
          <w:szCs w:val="24"/>
          <w:highlight w:val="none"/>
        </w:rPr>
        <w:t>.</w:t>
      </w:r>
      <w:r>
        <w:rPr>
          <w:rFonts w:asciiTheme="minorEastAsia" w:hAnsiTheme="minorEastAsia" w:eastAsiaTheme="minorEastAsia" w:cstheme="minorEastAsia"/>
          <w:color w:val="auto"/>
          <w:sz w:val="24"/>
          <w:szCs w:val="24"/>
          <w:highlight w:val="none"/>
        </w:rPr>
        <w:t>其他利害关系情况</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w:t>
      </w:r>
    </w:p>
    <w:p w14:paraId="3DBB14A2">
      <w:pPr>
        <w:pStyle w:val="56"/>
        <w:widowControl/>
        <w:numPr>
          <w:ilvl w:val="0"/>
          <w:numId w:val="8"/>
        </w:numPr>
        <w:snapToGrid w:val="0"/>
        <w:spacing w:line="312" w:lineRule="auto"/>
        <w:ind w:firstLine="453" w:firstLineChars="189"/>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sz w:val="24"/>
          <w:szCs w:val="24"/>
          <w:highlight w:val="none"/>
        </w:rPr>
        <w:t>现已清楚知道并</w:t>
      </w:r>
      <w:r>
        <w:rPr>
          <w:rFonts w:asciiTheme="minorEastAsia" w:hAnsiTheme="minorEastAsia" w:eastAsiaTheme="minorEastAsia" w:cstheme="minorEastAsia"/>
          <w:color w:val="auto"/>
          <w:kern w:val="0"/>
          <w:sz w:val="24"/>
          <w:szCs w:val="24"/>
          <w:highlight w:val="none"/>
        </w:rPr>
        <w:t>严格遵守政府采购法律法规和现场纪律。</w:t>
      </w:r>
    </w:p>
    <w:p w14:paraId="73FBAD97">
      <w:pPr>
        <w:pStyle w:val="56"/>
        <w:widowControl/>
        <w:numPr>
          <w:ilvl w:val="0"/>
          <w:numId w:val="8"/>
        </w:numPr>
        <w:snapToGrid w:val="0"/>
        <w:spacing w:line="312" w:lineRule="auto"/>
        <w:ind w:firstLine="453" w:firstLineChars="189"/>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我发现</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供应商之间存在或可能存在上述第二条第</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项利害关系。</w:t>
      </w:r>
    </w:p>
    <w:p w14:paraId="17BD2619">
      <w:pPr>
        <w:pStyle w:val="55"/>
        <w:widowControl w:val="0"/>
        <w:snapToGrid w:val="0"/>
        <w:spacing w:line="312" w:lineRule="auto"/>
        <w:ind w:firstLine="480" w:firstLineChars="200"/>
        <w:jc w:val="both"/>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（供应商代表签名）：</w:t>
      </w:r>
    </w:p>
    <w:p w14:paraId="2A837FEE">
      <w:pPr>
        <w:pStyle w:val="55"/>
        <w:widowControl w:val="0"/>
        <w:snapToGrid w:val="0"/>
        <w:spacing w:line="312" w:lineRule="auto"/>
        <w:ind w:firstLine="480" w:firstLineChars="200"/>
        <w:jc w:val="righ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年   月   日</w:t>
      </w:r>
    </w:p>
    <w:p w14:paraId="22FA7AD9">
      <w:pPr>
        <w:autoSpaceDE w:val="0"/>
        <w:autoSpaceDN w:val="0"/>
        <w:snapToGrid w:val="0"/>
        <w:spacing w:line="360" w:lineRule="auto"/>
        <w:textAlignment w:val="bottom"/>
        <w:rPr>
          <w:rFonts w:hint="eastAsia" w:asciiTheme="minorEastAsia" w:hAnsiTheme="minorEastAsia" w:eastAsiaTheme="minorEastAsia" w:cstheme="minorEastAsia"/>
          <w:b/>
          <w:color w:val="auto"/>
          <w:spacing w:val="6"/>
          <w:sz w:val="21"/>
          <w:szCs w:val="21"/>
          <w:highlight w:val="none"/>
        </w:rPr>
      </w:pPr>
      <w:r>
        <w:rPr>
          <w:rFonts w:hint="eastAsia" w:asciiTheme="minorEastAsia" w:hAnsiTheme="minorEastAsia" w:eastAsiaTheme="minorEastAsia" w:cstheme="minorEastAsia"/>
          <w:b/>
          <w:bCs/>
          <w:color w:val="auto"/>
          <w:sz w:val="21"/>
          <w:szCs w:val="21"/>
          <w:highlight w:val="none"/>
        </w:rPr>
        <w:t>注：供应商名单公布后30分钟内，供应商通过邮件形式发送经授权代表签署的《政府采购活动现场确认声明书》（格式见附件）</w:t>
      </w:r>
      <w:r>
        <w:rPr>
          <w:rFonts w:hint="eastAsia" w:asciiTheme="minorEastAsia" w:hAnsiTheme="minorEastAsia" w:eastAsiaTheme="minorEastAsia" w:cstheme="minorEastAsia"/>
          <w:b/>
          <w:color w:val="auto"/>
          <w:sz w:val="21"/>
          <w:szCs w:val="21"/>
          <w:highlight w:val="none"/>
        </w:rPr>
        <w:t>，扫描件发至代理机构经办人邮箱</w:t>
      </w:r>
      <w:r>
        <w:rPr>
          <w:rFonts w:hint="eastAsia" w:asciiTheme="minorEastAsia" w:hAnsiTheme="minorEastAsia" w:eastAsiaTheme="minorEastAsia" w:cstheme="minorEastAsia"/>
          <w:b/>
          <w:color w:val="auto"/>
          <w:sz w:val="21"/>
          <w:szCs w:val="21"/>
          <w:highlight w:val="none"/>
        </w:rPr>
        <w:fldChar w:fldCharType="begin"/>
      </w:r>
      <w:r>
        <w:rPr>
          <w:rFonts w:hint="eastAsia" w:asciiTheme="minorEastAsia" w:hAnsiTheme="minorEastAsia" w:eastAsiaTheme="minorEastAsia" w:cstheme="minorEastAsia"/>
          <w:b/>
          <w:color w:val="auto"/>
          <w:sz w:val="21"/>
          <w:szCs w:val="21"/>
          <w:highlight w:val="none"/>
        </w:rPr>
        <w:instrText xml:space="preserve"> HYPERLINK "mailto:1963488340@qq.com" </w:instrText>
      </w:r>
      <w:r>
        <w:rPr>
          <w:rFonts w:hint="eastAsia" w:asciiTheme="minorEastAsia" w:hAnsiTheme="minorEastAsia" w:eastAsiaTheme="minorEastAsia" w:cstheme="minorEastAsia"/>
          <w:b/>
          <w:color w:val="auto"/>
          <w:sz w:val="21"/>
          <w:szCs w:val="21"/>
          <w:highlight w:val="none"/>
        </w:rPr>
        <w:fldChar w:fldCharType="separate"/>
      </w:r>
      <w:r>
        <w:rPr>
          <w:rFonts w:hint="eastAsia" w:asciiTheme="minorEastAsia" w:hAnsiTheme="minorEastAsia" w:eastAsiaTheme="minorEastAsia" w:cstheme="minorEastAsia"/>
          <w:b/>
          <w:color w:val="auto"/>
          <w:sz w:val="21"/>
          <w:szCs w:val="21"/>
          <w:highlight w:val="none"/>
        </w:rPr>
        <w:t>1963488340@qq.com</w:t>
      </w:r>
      <w:r>
        <w:rPr>
          <w:rFonts w:hint="eastAsia" w:asciiTheme="minorEastAsia" w:hAnsiTheme="minorEastAsia" w:eastAsiaTheme="minorEastAsia" w:cstheme="minorEastAsia"/>
          <w:b/>
          <w:color w:val="auto"/>
          <w:sz w:val="21"/>
          <w:szCs w:val="21"/>
          <w:highlight w:val="none"/>
        </w:rPr>
        <w:fldChar w:fldCharType="end"/>
      </w:r>
      <w:r>
        <w:rPr>
          <w:rFonts w:hint="eastAsia" w:asciiTheme="minorEastAsia" w:hAnsiTheme="minorEastAsia" w:eastAsiaTheme="minorEastAsia" w:cstheme="minorEastAsia"/>
          <w:b/>
          <w:color w:val="auto"/>
          <w:sz w:val="21"/>
          <w:szCs w:val="21"/>
          <w:highlight w:val="none"/>
        </w:rPr>
        <w:t>，联系人：陈女士，电话：13566959006。未按规定发送的，视为无异议，后果由投标人承担。</w:t>
      </w:r>
      <w:r>
        <w:rPr>
          <w:rFonts w:hint="eastAsia" w:asciiTheme="minorEastAsia" w:hAnsiTheme="minorEastAsia" w:eastAsiaTheme="minorEastAsia" w:cstheme="minorEastAsia"/>
          <w:b/>
          <w:color w:val="auto"/>
          <w:spacing w:val="6"/>
          <w:sz w:val="21"/>
          <w:szCs w:val="21"/>
          <w:highlight w:val="none"/>
        </w:rPr>
        <w:t xml:space="preserve"> </w:t>
      </w:r>
    </w:p>
    <w:p w14:paraId="51771DCB">
      <w:pPr>
        <w:pStyle w:val="55"/>
        <w:widowControl w:val="0"/>
        <w:snapToGrid w:val="0"/>
        <w:spacing w:line="312" w:lineRule="auto"/>
        <w:jc w:val="both"/>
        <w:rPr>
          <w:rFonts w:hint="default" w:asciiTheme="minorEastAsia" w:hAnsiTheme="minorEastAsia" w:eastAsiaTheme="minorEastAsia" w:cstheme="minorEastAsia"/>
          <w:b/>
          <w:bCs/>
          <w:color w:val="auto"/>
          <w:sz w:val="24"/>
          <w:szCs w:val="24"/>
          <w:highlight w:val="none"/>
        </w:rPr>
      </w:pPr>
    </w:p>
    <w:p w14:paraId="0CDA08C2">
      <w:pPr>
        <w:adjustRightInd w:val="0"/>
        <w:spacing w:line="360" w:lineRule="auto"/>
        <w:jc w:val="left"/>
        <w:rPr>
          <w:rFonts w:hint="default" w:asciiTheme="minorEastAsia" w:hAnsiTheme="minorEastAsia" w:eastAsiaTheme="minorEastAsia" w:cstheme="minorEastAsia"/>
          <w:b/>
          <w:color w:val="auto"/>
          <w:spacing w:val="6"/>
          <w:sz w:val="24"/>
          <w:szCs w:val="24"/>
          <w:highlight w:val="none"/>
        </w:rPr>
      </w:pPr>
      <w:r>
        <w:rPr>
          <w:rFonts w:asciiTheme="minorEastAsia" w:hAnsiTheme="minorEastAsia" w:eastAsiaTheme="minorEastAsia" w:cstheme="minorEastAsia"/>
          <w:b/>
          <w:color w:val="auto"/>
          <w:spacing w:val="6"/>
          <w:sz w:val="24"/>
          <w:szCs w:val="24"/>
          <w:highlight w:val="none"/>
        </w:rPr>
        <w:t>附件：质疑函范本及制作说明</w:t>
      </w:r>
    </w:p>
    <w:p w14:paraId="67EEDAAE">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r>
        <w:rPr>
          <w:rFonts w:asciiTheme="minorEastAsia" w:hAnsiTheme="minorEastAsia" w:eastAsiaTheme="minorEastAsia" w:cstheme="minorEastAsia"/>
          <w:b/>
          <w:color w:val="auto"/>
          <w:spacing w:val="6"/>
          <w:sz w:val="24"/>
          <w:szCs w:val="24"/>
          <w:highlight w:val="none"/>
        </w:rPr>
        <w:t>质疑函范本</w:t>
      </w:r>
    </w:p>
    <w:p w14:paraId="38BFEE9D">
      <w:pPr>
        <w:adjustRightInd w:val="0"/>
        <w:snapToGrid w:val="0"/>
        <w:spacing w:beforeLines="100" w:line="360" w:lineRule="auto"/>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一、质疑供应商基本信息</w:t>
      </w:r>
    </w:p>
    <w:p w14:paraId="0CD061BA">
      <w:pPr>
        <w:adjustRightInd w:val="0"/>
        <w:snapToGri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质疑供应商：</w:t>
      </w:r>
      <w:r>
        <w:rPr>
          <w:rFonts w:asciiTheme="minorEastAsia" w:hAnsiTheme="minorEastAsia" w:eastAsiaTheme="minorEastAsia" w:cstheme="minorEastAsia"/>
          <w:color w:val="auto"/>
          <w:sz w:val="24"/>
          <w:szCs w:val="24"/>
          <w:highlight w:val="none"/>
          <w:u w:val="dotted"/>
        </w:rPr>
        <w:t xml:space="preserve">                                        </w:t>
      </w:r>
    </w:p>
    <w:p w14:paraId="3E7115F9">
      <w:pPr>
        <w:adjustRightInd w:val="0"/>
        <w:snapToGri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地址：</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邮编：</w:t>
      </w:r>
      <w:r>
        <w:rPr>
          <w:rFonts w:asciiTheme="minorEastAsia" w:hAnsiTheme="minorEastAsia" w:eastAsiaTheme="minorEastAsia" w:cstheme="minorEastAsia"/>
          <w:color w:val="auto"/>
          <w:sz w:val="24"/>
          <w:szCs w:val="24"/>
          <w:highlight w:val="none"/>
          <w:u w:val="dotted"/>
        </w:rPr>
        <w:t xml:space="preserve">                                                   </w:t>
      </w:r>
    </w:p>
    <w:p w14:paraId="58961241">
      <w:pPr>
        <w:adjustRightInd w:val="0"/>
        <w:snapToGri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联系人：</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联系电话：</w:t>
      </w:r>
      <w:r>
        <w:rPr>
          <w:rFonts w:asciiTheme="minorEastAsia" w:hAnsiTheme="minorEastAsia" w:eastAsiaTheme="minorEastAsia" w:cstheme="minorEastAsia"/>
          <w:color w:val="auto"/>
          <w:sz w:val="24"/>
          <w:szCs w:val="24"/>
          <w:highlight w:val="none"/>
          <w:u w:val="dotted"/>
        </w:rPr>
        <w:t xml:space="preserve">                              </w:t>
      </w:r>
    </w:p>
    <w:p w14:paraId="3909462B">
      <w:pPr>
        <w:adjustRightInd w:val="0"/>
        <w:snapToGri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授权代表：</w:t>
      </w:r>
      <w:r>
        <w:rPr>
          <w:rFonts w:asciiTheme="minorEastAsia" w:hAnsiTheme="minorEastAsia" w:eastAsiaTheme="minorEastAsia" w:cstheme="minorEastAsia"/>
          <w:color w:val="auto"/>
          <w:sz w:val="24"/>
          <w:szCs w:val="24"/>
          <w:highlight w:val="none"/>
          <w:u w:val="dotted"/>
        </w:rPr>
        <w:t xml:space="preserve">                                          </w:t>
      </w:r>
    </w:p>
    <w:p w14:paraId="3AA1F81B">
      <w:pPr>
        <w:adjustRightInd w:val="0"/>
        <w:snapToGri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联系电话：</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 xml:space="preserve"> </w:t>
      </w:r>
    </w:p>
    <w:p w14:paraId="3C7DC271">
      <w:pPr>
        <w:adjustRightInd w:val="0"/>
        <w:snapToGri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地址： </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邮编：</w:t>
      </w:r>
      <w:r>
        <w:rPr>
          <w:rFonts w:asciiTheme="minorEastAsia" w:hAnsiTheme="minorEastAsia" w:eastAsiaTheme="minorEastAsia" w:cstheme="minorEastAsia"/>
          <w:color w:val="auto"/>
          <w:sz w:val="24"/>
          <w:szCs w:val="24"/>
          <w:highlight w:val="none"/>
          <w:u w:val="dotted"/>
        </w:rPr>
        <w:t xml:space="preserve">                                                </w:t>
      </w:r>
    </w:p>
    <w:p w14:paraId="29FCF94D">
      <w:pPr>
        <w:adjustRightInd w:val="0"/>
        <w:snapToGrid w:val="0"/>
        <w:spacing w:line="360" w:lineRule="auto"/>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二、质疑项目基本情况</w:t>
      </w:r>
    </w:p>
    <w:p w14:paraId="2476FF9C">
      <w:pPr>
        <w:adjustRightInd w:val="0"/>
        <w:snapToGri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质疑项目的名称：</w:t>
      </w:r>
      <w:r>
        <w:rPr>
          <w:rFonts w:asciiTheme="minorEastAsia" w:hAnsiTheme="minorEastAsia" w:eastAsiaTheme="minorEastAsia" w:cstheme="minorEastAsia"/>
          <w:color w:val="auto"/>
          <w:sz w:val="24"/>
          <w:szCs w:val="24"/>
          <w:highlight w:val="none"/>
          <w:u w:val="dotted"/>
        </w:rPr>
        <w:t xml:space="preserve">                                      </w:t>
      </w:r>
    </w:p>
    <w:p w14:paraId="10D2CA77">
      <w:pPr>
        <w:adjustRightInd w:val="0"/>
        <w:snapToGri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质疑项目的编号：</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包号：</w:t>
      </w:r>
      <w:r>
        <w:rPr>
          <w:rFonts w:asciiTheme="minorEastAsia" w:hAnsiTheme="minorEastAsia" w:eastAsiaTheme="minorEastAsia" w:cstheme="minorEastAsia"/>
          <w:color w:val="auto"/>
          <w:sz w:val="24"/>
          <w:szCs w:val="24"/>
          <w:highlight w:val="none"/>
          <w:u w:val="dotted"/>
        </w:rPr>
        <w:t xml:space="preserve">                 </w:t>
      </w:r>
    </w:p>
    <w:p w14:paraId="0C1E481F">
      <w:pPr>
        <w:adjustRightInd w:val="0"/>
        <w:snapToGri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采购人名称：</w:t>
      </w:r>
      <w:r>
        <w:rPr>
          <w:rFonts w:asciiTheme="minorEastAsia" w:hAnsiTheme="minorEastAsia" w:eastAsiaTheme="minorEastAsia" w:cstheme="minorEastAsia"/>
          <w:color w:val="auto"/>
          <w:sz w:val="24"/>
          <w:szCs w:val="24"/>
          <w:highlight w:val="none"/>
          <w:u w:val="dotted"/>
        </w:rPr>
        <w:t xml:space="preserve">                                         </w:t>
      </w:r>
    </w:p>
    <w:p w14:paraId="5225DEB8">
      <w:pPr>
        <w:adjustRightInd w:val="0"/>
        <w:snapToGri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采购文件获取日期：</w:t>
      </w:r>
      <w:r>
        <w:rPr>
          <w:rFonts w:asciiTheme="minorEastAsia" w:hAnsiTheme="minorEastAsia" w:eastAsiaTheme="minorEastAsia" w:cstheme="minorEastAsia"/>
          <w:color w:val="auto"/>
          <w:sz w:val="24"/>
          <w:szCs w:val="24"/>
          <w:highlight w:val="none"/>
          <w:u w:val="dotted"/>
        </w:rPr>
        <w:t xml:space="preserve">                                           </w:t>
      </w:r>
    </w:p>
    <w:p w14:paraId="5755AAF7">
      <w:pPr>
        <w:adjustRightInd w:val="0"/>
        <w:snapToGrid w:val="0"/>
        <w:spacing w:line="360" w:lineRule="auto"/>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三、质疑事项具体内容</w:t>
      </w:r>
    </w:p>
    <w:p w14:paraId="627D95C2">
      <w:pPr>
        <w:adjustRightInd w:val="0"/>
        <w:snapToGri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质疑事项1：</w:t>
      </w:r>
      <w:r>
        <w:rPr>
          <w:rFonts w:asciiTheme="minorEastAsia" w:hAnsiTheme="minorEastAsia" w:eastAsiaTheme="minorEastAsia" w:cstheme="minorEastAsia"/>
          <w:color w:val="auto"/>
          <w:sz w:val="24"/>
          <w:szCs w:val="24"/>
          <w:highlight w:val="none"/>
          <w:u w:val="dotted"/>
        </w:rPr>
        <w:t xml:space="preserve">                                         </w:t>
      </w:r>
    </w:p>
    <w:p w14:paraId="1A975436">
      <w:pPr>
        <w:adjustRightInd w:val="0"/>
        <w:snapToGri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事实依据：</w:t>
      </w:r>
      <w:r>
        <w:rPr>
          <w:rFonts w:asciiTheme="minorEastAsia" w:hAnsiTheme="minorEastAsia" w:eastAsiaTheme="minorEastAsia" w:cstheme="minorEastAsia"/>
          <w:color w:val="auto"/>
          <w:sz w:val="24"/>
          <w:szCs w:val="24"/>
          <w:highlight w:val="none"/>
          <w:u w:val="dotted"/>
        </w:rPr>
        <w:t xml:space="preserve">                                          </w:t>
      </w:r>
    </w:p>
    <w:p w14:paraId="3D9D0DC0">
      <w:pPr>
        <w:adjustRightInd w:val="0"/>
        <w:snapToGri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u w:val="dotted"/>
        </w:rPr>
        <w:t xml:space="preserve">                                                       </w:t>
      </w:r>
    </w:p>
    <w:p w14:paraId="72C39685">
      <w:pPr>
        <w:adjustRightInd w:val="0"/>
        <w:snapToGri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法律依据：</w:t>
      </w:r>
      <w:r>
        <w:rPr>
          <w:rFonts w:asciiTheme="minorEastAsia" w:hAnsiTheme="minorEastAsia" w:eastAsiaTheme="minorEastAsia" w:cstheme="minorEastAsia"/>
          <w:color w:val="auto"/>
          <w:sz w:val="24"/>
          <w:szCs w:val="24"/>
          <w:highlight w:val="none"/>
          <w:u w:val="dotted"/>
        </w:rPr>
        <w:t xml:space="preserve">                                          </w:t>
      </w:r>
    </w:p>
    <w:p w14:paraId="1653E552">
      <w:pPr>
        <w:adjustRightInd w:val="0"/>
        <w:snapToGri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u w:val="dotted"/>
        </w:rPr>
        <w:t xml:space="preserve">                                                     </w:t>
      </w:r>
    </w:p>
    <w:p w14:paraId="264AA2A0">
      <w:pPr>
        <w:adjustRightInd w:val="0"/>
        <w:snapToGri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质疑事项2</w:t>
      </w:r>
    </w:p>
    <w:p w14:paraId="50AF82DA">
      <w:pPr>
        <w:adjustRightInd w:val="0"/>
        <w:snapToGri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w:t>
      </w:r>
    </w:p>
    <w:p w14:paraId="5B400879">
      <w:pPr>
        <w:adjustRightInd w:val="0"/>
        <w:snapToGrid w:val="0"/>
        <w:spacing w:line="360" w:lineRule="auto"/>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四、与质疑事项相关的质疑请求</w:t>
      </w:r>
    </w:p>
    <w:p w14:paraId="411AAF9D">
      <w:pPr>
        <w:adjustRightInd w:val="0"/>
        <w:snapToGri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请求：</w:t>
      </w:r>
      <w:r>
        <w:rPr>
          <w:rFonts w:asciiTheme="minorEastAsia" w:hAnsiTheme="minorEastAsia" w:eastAsiaTheme="minorEastAsia" w:cstheme="minorEastAsia"/>
          <w:color w:val="auto"/>
          <w:sz w:val="24"/>
          <w:szCs w:val="24"/>
          <w:highlight w:val="none"/>
          <w:u w:val="dotted"/>
        </w:rPr>
        <w:t xml:space="preserve">                                               </w:t>
      </w:r>
    </w:p>
    <w:p w14:paraId="19843DBA">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签字(签章)：                   公章：                      </w:t>
      </w:r>
    </w:p>
    <w:p w14:paraId="58EDE3C7">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日期：    </w:t>
      </w:r>
    </w:p>
    <w:p w14:paraId="6C3407E2">
      <w:pPr>
        <w:adjustRightInd w:val="0"/>
        <w:spacing w:line="360" w:lineRule="auto"/>
        <w:jc w:val="center"/>
        <w:rPr>
          <w:rFonts w:hint="default" w:asciiTheme="minorEastAsia" w:hAnsiTheme="minorEastAsia" w:eastAsiaTheme="minorEastAsia" w:cstheme="minorEastAsia"/>
          <w:b/>
          <w:bCs/>
          <w:color w:val="auto"/>
          <w:sz w:val="24"/>
          <w:szCs w:val="24"/>
          <w:highlight w:val="none"/>
        </w:rPr>
      </w:pPr>
    </w:p>
    <w:p w14:paraId="4D9D612E">
      <w:pPr>
        <w:adjustRightInd w:val="0"/>
        <w:spacing w:line="360" w:lineRule="auto"/>
        <w:rPr>
          <w:rFonts w:hint="default" w:asciiTheme="minorEastAsia" w:hAnsiTheme="minorEastAsia" w:eastAsiaTheme="minorEastAsia" w:cstheme="minorEastAsia"/>
          <w:b/>
          <w:color w:val="auto"/>
          <w:sz w:val="24"/>
          <w:szCs w:val="24"/>
          <w:highlight w:val="none"/>
        </w:rPr>
      </w:pPr>
    </w:p>
    <w:p w14:paraId="70760E6E">
      <w:pPr>
        <w:adjustRightInd w:val="0"/>
        <w:spacing w:line="360" w:lineRule="auto"/>
        <w:rPr>
          <w:rFonts w:hint="default" w:asciiTheme="minorEastAsia" w:hAnsiTheme="minorEastAsia" w:eastAsiaTheme="minorEastAsia" w:cstheme="minorEastAsia"/>
          <w:b/>
          <w:color w:val="auto"/>
          <w:sz w:val="24"/>
          <w:szCs w:val="24"/>
          <w:highlight w:val="none"/>
        </w:rPr>
      </w:pPr>
    </w:p>
    <w:p w14:paraId="75BE8CA6">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质疑函制作说明：</w:t>
      </w:r>
    </w:p>
    <w:p w14:paraId="09D299FD">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1.供应商提出质疑时，应提交质疑函和必要的证明材料。</w:t>
      </w:r>
    </w:p>
    <w:p w14:paraId="5C431508">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2.质疑供应商若委托代理人进行质疑的，质疑函应按要求列明“授权代表”的有关内容，并在附件中提交由质疑</w:t>
      </w:r>
      <w:r>
        <w:rPr>
          <w:rFonts w:asciiTheme="minorEastAsia" w:hAnsiTheme="minorEastAsia" w:eastAsiaTheme="minorEastAsia" w:cstheme="minorEastAsia"/>
          <w:color w:val="auto"/>
          <w:kern w:val="0"/>
          <w:sz w:val="24"/>
          <w:szCs w:val="24"/>
          <w:highlight w:val="none"/>
        </w:rPr>
        <w:t>供应商签署的授权委托书。授权委托书应载明代理人的姓名或者名称、代理事项、具体权限、期限和相关事项。</w:t>
      </w:r>
    </w:p>
    <w:p w14:paraId="0A9B53E5">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3.质疑供应商若对项目的某一分包进行质疑，质疑函中应列明具体分包号。</w:t>
      </w:r>
    </w:p>
    <w:p w14:paraId="73BA6E10">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4.质疑函的质疑事项应具体、明确，并有必要的事实依据和法律依据。</w:t>
      </w:r>
    </w:p>
    <w:p w14:paraId="1737FB11">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5.质疑函的质疑请求应与质疑事项相关。</w:t>
      </w:r>
    </w:p>
    <w:p w14:paraId="7ED903E6">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26D9662B">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p>
    <w:p w14:paraId="5C4A305A">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52A47A12">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56C96981">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4344C67C">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46774632">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4356A360">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1B3C3BC3">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7FA54895">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5B06EC4D">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584C0D52">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63D9332D">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1C1E94E5">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2F477F9E">
      <w:pPr>
        <w:adjustRightInd w:val="0"/>
        <w:spacing w:line="360" w:lineRule="auto"/>
        <w:jc w:val="left"/>
        <w:rPr>
          <w:rFonts w:hint="default" w:asciiTheme="minorEastAsia" w:hAnsiTheme="minorEastAsia" w:eastAsiaTheme="minorEastAsia" w:cstheme="minorEastAsia"/>
          <w:b/>
          <w:color w:val="auto"/>
          <w:spacing w:val="6"/>
          <w:sz w:val="24"/>
          <w:szCs w:val="24"/>
          <w:highlight w:val="none"/>
        </w:rPr>
      </w:pPr>
    </w:p>
    <w:p w14:paraId="5BC67987">
      <w:pPr>
        <w:adjustRightInd w:val="0"/>
        <w:spacing w:line="360" w:lineRule="auto"/>
        <w:jc w:val="left"/>
        <w:rPr>
          <w:rFonts w:hint="default" w:asciiTheme="minorEastAsia" w:hAnsiTheme="minorEastAsia" w:eastAsiaTheme="minorEastAsia" w:cstheme="minorEastAsia"/>
          <w:b/>
          <w:color w:val="auto"/>
          <w:spacing w:val="6"/>
          <w:sz w:val="24"/>
          <w:szCs w:val="24"/>
          <w:highlight w:val="none"/>
        </w:rPr>
      </w:pPr>
    </w:p>
    <w:p w14:paraId="4D1BE9F5">
      <w:pPr>
        <w:adjustRightInd w:val="0"/>
        <w:spacing w:line="360" w:lineRule="auto"/>
        <w:jc w:val="left"/>
        <w:rPr>
          <w:rFonts w:hint="default" w:asciiTheme="minorEastAsia" w:hAnsiTheme="minorEastAsia" w:eastAsiaTheme="minorEastAsia" w:cstheme="minorEastAsia"/>
          <w:b/>
          <w:color w:val="auto"/>
          <w:spacing w:val="6"/>
          <w:sz w:val="24"/>
          <w:szCs w:val="24"/>
          <w:highlight w:val="none"/>
        </w:rPr>
      </w:pPr>
    </w:p>
    <w:p w14:paraId="25F4C463">
      <w:pPr>
        <w:adjustRightInd w:val="0"/>
        <w:spacing w:line="360" w:lineRule="auto"/>
        <w:jc w:val="left"/>
        <w:rPr>
          <w:rFonts w:hint="default" w:asciiTheme="minorEastAsia" w:hAnsiTheme="minorEastAsia" w:eastAsiaTheme="minorEastAsia" w:cstheme="minorEastAsia"/>
          <w:b/>
          <w:color w:val="auto"/>
          <w:spacing w:val="6"/>
          <w:sz w:val="24"/>
          <w:szCs w:val="24"/>
          <w:highlight w:val="none"/>
        </w:rPr>
      </w:pPr>
    </w:p>
    <w:p w14:paraId="122BF7C5">
      <w:pPr>
        <w:adjustRightInd w:val="0"/>
        <w:spacing w:line="360" w:lineRule="auto"/>
        <w:jc w:val="left"/>
        <w:rPr>
          <w:rFonts w:hint="default" w:asciiTheme="minorEastAsia" w:hAnsiTheme="minorEastAsia" w:eastAsiaTheme="minorEastAsia" w:cstheme="minorEastAsia"/>
          <w:b/>
          <w:color w:val="auto"/>
          <w:spacing w:val="6"/>
          <w:sz w:val="24"/>
          <w:szCs w:val="24"/>
          <w:highlight w:val="none"/>
        </w:rPr>
      </w:pPr>
    </w:p>
    <w:p w14:paraId="3C9C1210">
      <w:pPr>
        <w:adjustRightInd w:val="0"/>
        <w:spacing w:line="360" w:lineRule="auto"/>
        <w:jc w:val="left"/>
        <w:rPr>
          <w:rFonts w:hint="default" w:asciiTheme="minorEastAsia" w:hAnsiTheme="minorEastAsia" w:eastAsiaTheme="minorEastAsia" w:cstheme="minorEastAsia"/>
          <w:b/>
          <w:color w:val="auto"/>
          <w:spacing w:val="6"/>
          <w:sz w:val="24"/>
          <w:szCs w:val="24"/>
          <w:highlight w:val="none"/>
        </w:rPr>
      </w:pPr>
      <w:r>
        <w:rPr>
          <w:rFonts w:asciiTheme="minorEastAsia" w:hAnsiTheme="minorEastAsia" w:eastAsiaTheme="minorEastAsia" w:cstheme="minorEastAsia"/>
          <w:b/>
          <w:color w:val="auto"/>
          <w:spacing w:val="6"/>
          <w:sz w:val="24"/>
          <w:szCs w:val="24"/>
          <w:highlight w:val="none"/>
        </w:rPr>
        <w:t>附件：投诉书范本及制作说明</w:t>
      </w:r>
    </w:p>
    <w:p w14:paraId="026D0376">
      <w:pPr>
        <w:adjustRightInd w:val="0"/>
        <w:spacing w:line="360" w:lineRule="auto"/>
        <w:jc w:val="center"/>
        <w:rPr>
          <w:rFonts w:hint="default" w:asciiTheme="minorEastAsia" w:hAnsiTheme="minorEastAsia" w:eastAsiaTheme="minorEastAsia" w:cstheme="minorEastAsia"/>
          <w:b/>
          <w:color w:val="auto"/>
          <w:sz w:val="24"/>
          <w:szCs w:val="24"/>
          <w:highlight w:val="none"/>
        </w:rPr>
      </w:pPr>
    </w:p>
    <w:p w14:paraId="3E174640">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r>
        <w:rPr>
          <w:rFonts w:asciiTheme="minorEastAsia" w:hAnsiTheme="minorEastAsia" w:eastAsiaTheme="minorEastAsia" w:cstheme="minorEastAsia"/>
          <w:b/>
          <w:color w:val="auto"/>
          <w:spacing w:val="6"/>
          <w:sz w:val="24"/>
          <w:szCs w:val="24"/>
          <w:highlight w:val="none"/>
        </w:rPr>
        <w:t>投诉书范本</w:t>
      </w:r>
    </w:p>
    <w:p w14:paraId="62E9E01A">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一、投诉相关主体基本情况</w:t>
      </w:r>
    </w:p>
    <w:p w14:paraId="35C2A9FB">
      <w:pPr>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投诉人：</w:t>
      </w:r>
      <w:r>
        <w:rPr>
          <w:rFonts w:asciiTheme="minorEastAsia" w:hAnsiTheme="minorEastAsia" w:eastAsiaTheme="minorEastAsia" w:cstheme="minorEastAsia"/>
          <w:color w:val="auto"/>
          <w:sz w:val="24"/>
          <w:szCs w:val="24"/>
          <w:highlight w:val="none"/>
          <w:u w:val="dotted"/>
        </w:rPr>
        <w:t xml:space="preserve">                                               </w:t>
      </w:r>
    </w:p>
    <w:p w14:paraId="283596DC">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地     址：</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邮编：</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u w:val="single"/>
        </w:rPr>
        <w:t xml:space="preserve">   </w:t>
      </w:r>
    </w:p>
    <w:p w14:paraId="3BE65891">
      <w:pPr>
        <w:tabs>
          <w:tab w:val="left" w:pos="6510"/>
        </w:tabs>
        <w:adjustRightInd w:val="0"/>
        <w:spacing w:line="360" w:lineRule="auto"/>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法定代表人/主要负责人：</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 xml:space="preserve">  </w:t>
      </w:r>
    </w:p>
    <w:p w14:paraId="54AAD664">
      <w:pPr>
        <w:tabs>
          <w:tab w:val="left" w:pos="6510"/>
        </w:tabs>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联系电话：</w:t>
      </w:r>
      <w:r>
        <w:rPr>
          <w:rFonts w:asciiTheme="minorEastAsia" w:hAnsiTheme="minorEastAsia" w:eastAsiaTheme="minorEastAsia" w:cstheme="minorEastAsia"/>
          <w:color w:val="auto"/>
          <w:sz w:val="24"/>
          <w:szCs w:val="24"/>
          <w:highlight w:val="none"/>
          <w:u w:val="dotted"/>
        </w:rPr>
        <w:t xml:space="preserve">                                             </w:t>
      </w:r>
    </w:p>
    <w:p w14:paraId="5B292FB2">
      <w:pPr>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授权代表：</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联系电话</w:t>
      </w:r>
      <w:r>
        <w:rPr>
          <w:rFonts w:asciiTheme="minorEastAsia" w:hAnsiTheme="minorEastAsia" w:eastAsiaTheme="minorEastAsia" w:cstheme="minorEastAsia"/>
          <w:color w:val="auto"/>
          <w:sz w:val="24"/>
          <w:szCs w:val="24"/>
          <w:highlight w:val="none"/>
          <w:u w:val="dotted"/>
        </w:rPr>
        <w:t xml:space="preserve">：                  </w:t>
      </w:r>
    </w:p>
    <w:p w14:paraId="5B756A0E">
      <w:pPr>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地     址：</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邮编：</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u w:val="dotted"/>
        </w:rPr>
        <w:t xml:space="preserve">                   </w:t>
      </w:r>
    </w:p>
    <w:p w14:paraId="0566E0AF">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被投诉人1：</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u w:val="single"/>
        </w:rPr>
        <w:t xml:space="preserve">  </w:t>
      </w:r>
    </w:p>
    <w:p w14:paraId="5A4FB221">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地     址：</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邮编：</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u w:val="single"/>
        </w:rPr>
        <w:t xml:space="preserve"> </w:t>
      </w:r>
    </w:p>
    <w:p w14:paraId="0A3DBA83">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联系人：</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联系电话：</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u w:val="single"/>
        </w:rPr>
        <w:t xml:space="preserve"> </w:t>
      </w:r>
    </w:p>
    <w:p w14:paraId="1DB71FDB">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被投诉人2</w:t>
      </w:r>
    </w:p>
    <w:p w14:paraId="5D3D2084">
      <w:pPr>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w:t>
      </w:r>
    </w:p>
    <w:p w14:paraId="75B1423D">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相关供应商：</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u w:val="single"/>
        </w:rPr>
        <w:t xml:space="preserve">    </w:t>
      </w:r>
    </w:p>
    <w:p w14:paraId="02FE9FF7">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地     址：</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邮编：</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u w:val="single"/>
        </w:rPr>
        <w:t xml:space="preserve"> </w:t>
      </w:r>
    </w:p>
    <w:p w14:paraId="213023E9">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联系人：</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联系电话：</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u w:val="single"/>
        </w:rPr>
        <w:t xml:space="preserve">      </w:t>
      </w:r>
    </w:p>
    <w:p w14:paraId="4763F546">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二、投诉项目基本情况</w:t>
      </w:r>
    </w:p>
    <w:p w14:paraId="4D5963A2">
      <w:pPr>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采购项目名称：</w:t>
      </w:r>
      <w:r>
        <w:rPr>
          <w:rFonts w:asciiTheme="minorEastAsia" w:hAnsiTheme="minorEastAsia" w:eastAsiaTheme="minorEastAsia" w:cstheme="minorEastAsia"/>
          <w:color w:val="auto"/>
          <w:sz w:val="24"/>
          <w:szCs w:val="24"/>
          <w:highlight w:val="none"/>
          <w:u w:val="dotted"/>
        </w:rPr>
        <w:t xml:space="preserve">                                        </w:t>
      </w:r>
    </w:p>
    <w:p w14:paraId="64B55F62">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采购项目编号：</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包号：</w:t>
      </w:r>
      <w:r>
        <w:rPr>
          <w:rFonts w:asciiTheme="minorEastAsia" w:hAnsiTheme="minorEastAsia" w:eastAsiaTheme="minorEastAsia" w:cstheme="minorEastAsia"/>
          <w:color w:val="auto"/>
          <w:sz w:val="24"/>
          <w:szCs w:val="24"/>
          <w:highlight w:val="none"/>
          <w:u w:val="dotted"/>
        </w:rPr>
        <w:t xml:space="preserve">              </w:t>
      </w:r>
    </w:p>
    <w:p w14:paraId="0E981107">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采购人名称：</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u w:val="single"/>
        </w:rPr>
        <w:t xml:space="preserve">  </w:t>
      </w:r>
    </w:p>
    <w:p w14:paraId="533DFD17">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代理机构名称：</w:t>
      </w:r>
      <w:r>
        <w:rPr>
          <w:rFonts w:asciiTheme="minorEastAsia" w:hAnsiTheme="minorEastAsia" w:eastAsiaTheme="minorEastAsia" w:cstheme="minorEastAsia"/>
          <w:color w:val="auto"/>
          <w:sz w:val="24"/>
          <w:szCs w:val="24"/>
          <w:highlight w:val="none"/>
          <w:u w:val="dotted"/>
        </w:rPr>
        <w:t xml:space="preserve">                                         </w:t>
      </w:r>
    </w:p>
    <w:p w14:paraId="620798E2">
      <w:pPr>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采购文件公告:</w:t>
      </w:r>
      <w:r>
        <w:rPr>
          <w:rFonts w:asciiTheme="minorEastAsia" w:hAnsiTheme="minorEastAsia" w:eastAsiaTheme="minorEastAsia" w:cstheme="minorEastAsia"/>
          <w:color w:val="auto"/>
          <w:sz w:val="24"/>
          <w:szCs w:val="24"/>
          <w:highlight w:val="none"/>
          <w:u w:val="dotted"/>
        </w:rPr>
        <w:t xml:space="preserve">是/否 </w:t>
      </w:r>
      <w:r>
        <w:rPr>
          <w:rFonts w:asciiTheme="minorEastAsia" w:hAnsiTheme="minorEastAsia" w:eastAsiaTheme="minorEastAsia" w:cstheme="minorEastAsia"/>
          <w:color w:val="auto"/>
          <w:sz w:val="24"/>
          <w:szCs w:val="24"/>
          <w:highlight w:val="none"/>
        </w:rPr>
        <w:t>公告期限：</w:t>
      </w:r>
      <w:r>
        <w:rPr>
          <w:rFonts w:asciiTheme="minorEastAsia" w:hAnsiTheme="minorEastAsia" w:eastAsiaTheme="minorEastAsia" w:cstheme="minorEastAsia"/>
          <w:color w:val="auto"/>
          <w:sz w:val="24"/>
          <w:szCs w:val="24"/>
          <w:highlight w:val="none"/>
          <w:u w:val="dotted"/>
        </w:rPr>
        <w:t xml:space="preserve">                                 </w:t>
      </w:r>
    </w:p>
    <w:p w14:paraId="2B19C4D6">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采购结果公告:</w:t>
      </w:r>
      <w:r>
        <w:rPr>
          <w:rFonts w:asciiTheme="minorEastAsia" w:hAnsiTheme="minorEastAsia" w:eastAsiaTheme="minorEastAsia" w:cstheme="minorEastAsia"/>
          <w:color w:val="auto"/>
          <w:sz w:val="24"/>
          <w:szCs w:val="24"/>
          <w:highlight w:val="none"/>
          <w:u w:val="dotted"/>
        </w:rPr>
        <w:t xml:space="preserve">是/否 </w:t>
      </w:r>
      <w:r>
        <w:rPr>
          <w:rFonts w:asciiTheme="minorEastAsia" w:hAnsiTheme="minorEastAsia" w:eastAsiaTheme="minorEastAsia" w:cstheme="minorEastAsia"/>
          <w:color w:val="auto"/>
          <w:sz w:val="24"/>
          <w:szCs w:val="24"/>
          <w:highlight w:val="none"/>
        </w:rPr>
        <w:t>公告期限：</w:t>
      </w:r>
      <w:r>
        <w:rPr>
          <w:rFonts w:asciiTheme="minorEastAsia" w:hAnsiTheme="minorEastAsia" w:eastAsiaTheme="minorEastAsia" w:cstheme="minorEastAsia"/>
          <w:color w:val="auto"/>
          <w:sz w:val="24"/>
          <w:szCs w:val="24"/>
          <w:highlight w:val="none"/>
          <w:u w:val="dotted"/>
        </w:rPr>
        <w:t xml:space="preserve">                        </w:t>
      </w:r>
    </w:p>
    <w:p w14:paraId="274700C6">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三、质疑基本情况</w:t>
      </w:r>
    </w:p>
    <w:p w14:paraId="1A8EDCA3">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投诉人于</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年</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月</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日,向</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提出质疑，质疑事项为：</w:t>
      </w:r>
      <w:r>
        <w:rPr>
          <w:rFonts w:asciiTheme="minorEastAsia" w:hAnsiTheme="minorEastAsia" w:eastAsiaTheme="minorEastAsia" w:cstheme="minorEastAsia"/>
          <w:color w:val="auto"/>
          <w:sz w:val="24"/>
          <w:szCs w:val="24"/>
          <w:highlight w:val="none"/>
          <w:u w:val="dotted"/>
        </w:rPr>
        <w:t xml:space="preserve">                                </w:t>
      </w:r>
    </w:p>
    <w:p w14:paraId="3BD5F8D6">
      <w:pPr>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 xml:space="preserve">  </w:t>
      </w:r>
    </w:p>
    <w:p w14:paraId="152F9235">
      <w:pPr>
        <w:adjustRightInd w:val="0"/>
        <w:spacing w:line="360" w:lineRule="auto"/>
        <w:ind w:firstLine="360" w:firstLineChars="15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u w:val="dotted"/>
        </w:rPr>
        <w:t>采购人/代理机构</w:t>
      </w:r>
      <w:r>
        <w:rPr>
          <w:rFonts w:asciiTheme="minorEastAsia" w:hAnsiTheme="minorEastAsia" w:eastAsiaTheme="minorEastAsia" w:cstheme="minorEastAsia"/>
          <w:color w:val="auto"/>
          <w:sz w:val="24"/>
          <w:szCs w:val="24"/>
          <w:highlight w:val="none"/>
        </w:rPr>
        <w:t>于</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年</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月</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日,就质疑事项作出了答复/没有在法定期限内作出答复。</w:t>
      </w:r>
    </w:p>
    <w:p w14:paraId="303341D6">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四、投诉事项具体内容</w:t>
      </w:r>
    </w:p>
    <w:p w14:paraId="7F64A89C">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投诉事项 1：</w:t>
      </w:r>
      <w:r>
        <w:rPr>
          <w:rFonts w:asciiTheme="minorEastAsia" w:hAnsiTheme="minorEastAsia" w:eastAsiaTheme="minorEastAsia" w:cstheme="minorEastAsia"/>
          <w:color w:val="auto"/>
          <w:sz w:val="24"/>
          <w:szCs w:val="24"/>
          <w:highlight w:val="none"/>
          <w:u w:val="dotted"/>
        </w:rPr>
        <w:t xml:space="preserve">                                       </w:t>
      </w:r>
    </w:p>
    <w:p w14:paraId="3A1C8151">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事实依据：</w:t>
      </w:r>
      <w:r>
        <w:rPr>
          <w:rFonts w:asciiTheme="minorEastAsia" w:hAnsiTheme="minorEastAsia" w:eastAsiaTheme="minorEastAsia" w:cstheme="minorEastAsia"/>
          <w:color w:val="auto"/>
          <w:sz w:val="24"/>
          <w:szCs w:val="24"/>
          <w:highlight w:val="none"/>
          <w:u w:val="dotted"/>
        </w:rPr>
        <w:t xml:space="preserve">                                         </w:t>
      </w:r>
    </w:p>
    <w:p w14:paraId="35542496">
      <w:pPr>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u w:val="dotted"/>
        </w:rPr>
        <w:t xml:space="preserve">                                                      </w:t>
      </w:r>
    </w:p>
    <w:p w14:paraId="77746CA0">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法律依据：</w:t>
      </w:r>
      <w:r>
        <w:rPr>
          <w:rFonts w:asciiTheme="minorEastAsia" w:hAnsiTheme="minorEastAsia" w:eastAsiaTheme="minorEastAsia" w:cstheme="minorEastAsia"/>
          <w:color w:val="auto"/>
          <w:sz w:val="24"/>
          <w:szCs w:val="24"/>
          <w:highlight w:val="none"/>
          <w:u w:val="dotted"/>
        </w:rPr>
        <w:t xml:space="preserve">                                          </w:t>
      </w:r>
    </w:p>
    <w:p w14:paraId="60ABF0BF">
      <w:pPr>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u w:val="dotted"/>
        </w:rPr>
        <w:t xml:space="preserve">                                                      </w:t>
      </w:r>
    </w:p>
    <w:p w14:paraId="5291984E">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投诉事项2</w:t>
      </w:r>
    </w:p>
    <w:p w14:paraId="14333619">
      <w:pPr>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w:t>
      </w:r>
    </w:p>
    <w:p w14:paraId="23456A50">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五、与投诉事项相关的投诉请求</w:t>
      </w:r>
    </w:p>
    <w:p w14:paraId="523CE176">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请求：</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 xml:space="preserve"> </w:t>
      </w:r>
    </w:p>
    <w:p w14:paraId="58C4AA00">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 xml:space="preserve">                                                                                                    </w:t>
      </w:r>
    </w:p>
    <w:p w14:paraId="4C94F489">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签字(签章)：                   公章：                      </w:t>
      </w:r>
    </w:p>
    <w:p w14:paraId="41046B3B">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日期：    </w:t>
      </w:r>
    </w:p>
    <w:p w14:paraId="7E008A29">
      <w:pPr>
        <w:adjustRightInd w:val="0"/>
        <w:spacing w:line="360" w:lineRule="auto"/>
        <w:rPr>
          <w:rFonts w:hint="default" w:asciiTheme="minorEastAsia" w:hAnsiTheme="minorEastAsia" w:eastAsiaTheme="minorEastAsia" w:cstheme="minorEastAsia"/>
          <w:b/>
          <w:color w:val="auto"/>
          <w:sz w:val="24"/>
          <w:szCs w:val="24"/>
          <w:highlight w:val="none"/>
        </w:rPr>
      </w:pPr>
    </w:p>
    <w:p w14:paraId="080AEF50">
      <w:pPr>
        <w:adjustRightInd w:val="0"/>
        <w:spacing w:line="360" w:lineRule="auto"/>
        <w:rPr>
          <w:rFonts w:hint="default" w:asciiTheme="minorEastAsia" w:hAnsiTheme="minorEastAsia" w:eastAsiaTheme="minorEastAsia" w:cstheme="minorEastAsia"/>
          <w:b/>
          <w:color w:val="auto"/>
          <w:sz w:val="24"/>
          <w:szCs w:val="24"/>
          <w:highlight w:val="none"/>
        </w:rPr>
      </w:pPr>
    </w:p>
    <w:p w14:paraId="7479BF7C">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投诉书制作说明：</w:t>
      </w:r>
    </w:p>
    <w:p w14:paraId="2312276E">
      <w:pPr>
        <w:widowControl/>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sz w:val="24"/>
          <w:szCs w:val="24"/>
          <w:highlight w:val="none"/>
        </w:rPr>
        <w:t>1.投诉人提起投诉时，应当提交投诉书和必要的证明材料，并按照被投诉人和与投诉事项有关的供应商数量提供投诉书副本。</w:t>
      </w:r>
    </w:p>
    <w:p w14:paraId="41A78228">
      <w:pPr>
        <w:widowControl/>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sz w:val="24"/>
          <w:szCs w:val="24"/>
          <w:highlight w:val="none"/>
        </w:rPr>
        <w:t>2.投诉人若委托代理人进行投诉的，投诉书应按照要求列明“授权代表”的有关内容，并在附件中提交由</w:t>
      </w:r>
      <w:r>
        <w:rPr>
          <w:rFonts w:asciiTheme="minorEastAsia" w:hAnsiTheme="minorEastAsia" w:eastAsiaTheme="minorEastAsia" w:cstheme="minorEastAsia"/>
          <w:color w:val="auto"/>
          <w:kern w:val="0"/>
          <w:sz w:val="24"/>
          <w:szCs w:val="24"/>
          <w:highlight w:val="none"/>
        </w:rPr>
        <w:t>投诉人签署的授权委托书。授权委托书应当载明代理人的姓名或者名称、代理事项、具体权限、期限和相关事项。</w:t>
      </w:r>
    </w:p>
    <w:p w14:paraId="53832147">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3.投诉人若对项目的某一分包进行投诉，投诉书应列明具体分包号。</w:t>
      </w:r>
    </w:p>
    <w:p w14:paraId="19186EB5">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4.投诉书应简要列明质疑事项，质疑函、质疑答复等作为附件材料提供。</w:t>
      </w:r>
    </w:p>
    <w:p w14:paraId="1850DEE9">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5.投诉书的投诉事项应具体、明确，并有必要的事实依据和法律依据。</w:t>
      </w:r>
    </w:p>
    <w:p w14:paraId="6820BFD7">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6.投诉书的投诉请求应与投诉事项相关。</w:t>
      </w:r>
    </w:p>
    <w:p w14:paraId="7875B1EF">
      <w:pPr>
        <w:widowControl/>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66F37961">
      <w:pPr>
        <w:autoSpaceDE w:val="0"/>
        <w:autoSpaceDN w:val="0"/>
        <w:adjustRightInd w:val="0"/>
        <w:spacing w:line="240" w:lineRule="auto"/>
        <w:rPr>
          <w:rFonts w:hint="default" w:asciiTheme="minorEastAsia" w:hAnsiTheme="minorEastAsia" w:eastAsiaTheme="minorEastAsia" w:cstheme="minorEastAsia"/>
          <w:b/>
          <w:color w:val="auto"/>
          <w:spacing w:val="6"/>
          <w:sz w:val="24"/>
          <w:szCs w:val="24"/>
          <w:highlight w:val="none"/>
        </w:rPr>
      </w:pPr>
    </w:p>
    <w:p w14:paraId="52CE74B6">
      <w:pPr>
        <w:autoSpaceDE w:val="0"/>
        <w:autoSpaceDN w:val="0"/>
        <w:adjustRightInd w:val="0"/>
        <w:spacing w:line="240" w:lineRule="auto"/>
        <w:rPr>
          <w:rFonts w:hint="default" w:asciiTheme="minorEastAsia" w:hAnsiTheme="minorEastAsia" w:eastAsiaTheme="minorEastAsia" w:cstheme="minorEastAsia"/>
          <w:b/>
          <w:bCs/>
          <w:color w:val="auto"/>
          <w:sz w:val="24"/>
          <w:szCs w:val="24"/>
          <w:highlight w:val="none"/>
        </w:rPr>
      </w:pPr>
      <w:r>
        <w:rPr>
          <w:rFonts w:asciiTheme="minorEastAsia" w:hAnsiTheme="minorEastAsia" w:eastAsiaTheme="minorEastAsia" w:cstheme="minorEastAsia"/>
          <w:b/>
          <w:color w:val="auto"/>
          <w:spacing w:val="6"/>
          <w:sz w:val="24"/>
          <w:szCs w:val="24"/>
          <w:highlight w:val="none"/>
        </w:rPr>
        <w:t>附件：</w:t>
      </w:r>
      <w:r>
        <w:rPr>
          <w:rFonts w:asciiTheme="minorEastAsia" w:hAnsiTheme="minorEastAsia" w:eastAsiaTheme="minorEastAsia" w:cstheme="minorEastAsia"/>
          <w:b/>
          <w:bCs/>
          <w:color w:val="auto"/>
          <w:sz w:val="24"/>
          <w:szCs w:val="24"/>
          <w:highlight w:val="none"/>
        </w:rPr>
        <w:t>业务专用章使用说明函</w:t>
      </w:r>
    </w:p>
    <w:p w14:paraId="603FC356">
      <w:pPr>
        <w:adjustRightInd w:val="0"/>
        <w:spacing w:line="360" w:lineRule="auto"/>
        <w:rPr>
          <w:rFonts w:hint="default" w:asciiTheme="minorEastAsia" w:hAnsiTheme="minorEastAsia" w:eastAsiaTheme="minorEastAsia" w:cstheme="minorEastAsia"/>
          <w:color w:val="auto"/>
          <w:sz w:val="24"/>
          <w:szCs w:val="24"/>
          <w:highlight w:val="none"/>
          <w:u w:val="single"/>
        </w:rPr>
      </w:pPr>
    </w:p>
    <w:p w14:paraId="3A1765CF">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u w:val="single"/>
        </w:rPr>
        <w:t>（采购人）、（采购代理机构）</w:t>
      </w:r>
    </w:p>
    <w:p w14:paraId="1D800588">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kern w:val="0"/>
          <w:sz w:val="24"/>
          <w:szCs w:val="24"/>
          <w:highlight w:val="none"/>
          <w:lang w:val="zh-CN"/>
        </w:rPr>
        <w:t>我方</w:t>
      </w:r>
      <w:r>
        <w:rPr>
          <w:rFonts w:asciiTheme="minorEastAsia" w:hAnsiTheme="minorEastAsia" w:eastAsiaTheme="minorEastAsia" w:cstheme="minorEastAsia"/>
          <w:color w:val="auto"/>
          <w:kern w:val="0"/>
          <w:sz w:val="24"/>
          <w:szCs w:val="24"/>
          <w:highlight w:val="none"/>
          <w:u w:val="single"/>
          <w:lang w:val="zh-CN"/>
        </w:rPr>
        <w:t xml:space="preserve">                         </w:t>
      </w:r>
      <w:r>
        <w:rPr>
          <w:rFonts w:asciiTheme="minorEastAsia" w:hAnsiTheme="minorEastAsia" w:eastAsiaTheme="minorEastAsia" w:cstheme="minorEastAsia"/>
          <w:color w:val="auto"/>
          <w:sz w:val="24"/>
          <w:szCs w:val="24"/>
          <w:highlight w:val="none"/>
        </w:rPr>
        <w:t>(投标人全称)是中华人民共和国依法登记注册的合法企业，</w:t>
      </w:r>
      <w:r>
        <w:rPr>
          <w:rFonts w:asciiTheme="minorEastAsia" w:hAnsiTheme="minorEastAsia" w:eastAsiaTheme="minorEastAsia" w:cstheme="minorEastAsia"/>
          <w:bCs/>
          <w:color w:val="auto"/>
          <w:sz w:val="24"/>
          <w:szCs w:val="24"/>
          <w:highlight w:val="none"/>
        </w:rPr>
        <w:t>在参加</w:t>
      </w:r>
      <w:r>
        <w:rPr>
          <w:rFonts w:asciiTheme="minorEastAsia" w:hAnsiTheme="minorEastAsia" w:eastAsiaTheme="minorEastAsia" w:cstheme="minorEastAsia"/>
          <w:color w:val="auto"/>
          <w:sz w:val="24"/>
          <w:szCs w:val="24"/>
          <w:highlight w:val="none"/>
        </w:rPr>
        <w:t>你方组织的（项目名称）项目【招标编号：（采购编号）】</w:t>
      </w:r>
      <w:r>
        <w:rPr>
          <w:rFonts w:asciiTheme="minorEastAsia" w:hAnsiTheme="minorEastAsia" w:eastAsiaTheme="minorEastAsia" w:cstheme="minorEastAsia"/>
          <w:bCs/>
          <w:color w:val="auto"/>
          <w:sz w:val="24"/>
          <w:szCs w:val="24"/>
          <w:highlight w:val="none"/>
        </w:rPr>
        <w:t>投标活动中作如下说明：</w:t>
      </w:r>
      <w:r>
        <w:rPr>
          <w:rFonts w:asciiTheme="minorEastAsia" w:hAnsiTheme="minorEastAsia" w:eastAsiaTheme="minorEastAsia" w:cstheme="minorEastAsia"/>
          <w:color w:val="auto"/>
          <w:sz w:val="24"/>
          <w:szCs w:val="24"/>
          <w:highlight w:val="none"/>
        </w:rPr>
        <w:t xml:space="preserve">我方所使用的“XX专用章”与法定名称章具有同等的法律效力，对使用“XX专用章”的行为予以完全承认，并愿意承担相应责任。   </w:t>
      </w:r>
    </w:p>
    <w:p w14:paraId="7D1CF181">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特此说明。</w:t>
      </w:r>
    </w:p>
    <w:p w14:paraId="0B4B044F">
      <w:pPr>
        <w:adjustRightInd w:val="0"/>
        <w:spacing w:line="360" w:lineRule="auto"/>
        <w:ind w:firstLine="494"/>
        <w:rPr>
          <w:rFonts w:hint="default" w:asciiTheme="minorEastAsia" w:hAnsiTheme="minorEastAsia" w:eastAsiaTheme="minorEastAsia" w:cstheme="minorEastAsia"/>
          <w:color w:val="auto"/>
          <w:sz w:val="24"/>
          <w:szCs w:val="24"/>
          <w:highlight w:val="none"/>
        </w:rPr>
      </w:pPr>
    </w:p>
    <w:p w14:paraId="58E490C3">
      <w:pPr>
        <w:adjustRightInd w:val="0"/>
        <w:spacing w:line="360" w:lineRule="auto"/>
        <w:rPr>
          <w:rFonts w:hint="default" w:asciiTheme="minorEastAsia" w:hAnsiTheme="minorEastAsia" w:eastAsiaTheme="minorEastAsia" w:cstheme="minorEastAsia"/>
          <w:color w:val="auto"/>
          <w:sz w:val="24"/>
          <w:szCs w:val="24"/>
          <w:highlight w:val="none"/>
        </w:rPr>
      </w:pPr>
    </w:p>
    <w:p w14:paraId="2B309D26">
      <w:pPr>
        <w:adjustRightInd w:val="0"/>
        <w:spacing w:line="360" w:lineRule="auto"/>
        <w:ind w:firstLine="494"/>
        <w:rPr>
          <w:rFonts w:hint="default" w:asciiTheme="minorEastAsia" w:hAnsiTheme="minorEastAsia" w:eastAsiaTheme="minorEastAsia" w:cstheme="minorEastAsia"/>
          <w:color w:val="auto"/>
          <w:sz w:val="24"/>
          <w:szCs w:val="24"/>
          <w:highlight w:val="none"/>
        </w:rPr>
      </w:pPr>
    </w:p>
    <w:p w14:paraId="5B9E7E40">
      <w:pPr>
        <w:adjustRightInd w:val="0"/>
        <w:spacing w:line="360" w:lineRule="auto"/>
        <w:ind w:right="480" w:firstLine="4080" w:firstLineChars="17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投标单位（法定</w:t>
      </w:r>
      <w:r>
        <w:rPr>
          <w:rFonts w:hint="eastAsia" w:asciiTheme="minorEastAsia" w:hAnsiTheme="minorEastAsia" w:eastAsiaTheme="minorEastAsia" w:cstheme="minorEastAsia"/>
          <w:color w:val="auto"/>
          <w:sz w:val="24"/>
          <w:szCs w:val="24"/>
          <w:highlight w:val="none"/>
          <w:lang w:eastAsia="zh-CN"/>
        </w:rPr>
        <w:t>名称</w:t>
      </w:r>
      <w:r>
        <w:rPr>
          <w:rFonts w:asciiTheme="minorEastAsia" w:hAnsiTheme="minorEastAsia" w:eastAsiaTheme="minorEastAsia" w:cstheme="minorEastAsia"/>
          <w:color w:val="auto"/>
          <w:sz w:val="24"/>
          <w:szCs w:val="24"/>
          <w:highlight w:val="none"/>
        </w:rPr>
        <w:t>）：</w:t>
      </w:r>
    </w:p>
    <w:p w14:paraId="2F40224F">
      <w:pPr>
        <w:adjustRightInd w:val="0"/>
        <w:spacing w:line="240" w:lineRule="auto"/>
        <w:ind w:right="1440" w:firstLine="494"/>
        <w:jc w:val="center"/>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日期：       年     月     日</w:t>
      </w:r>
    </w:p>
    <w:p w14:paraId="434E270C">
      <w:pPr>
        <w:adjustRightInd w:val="0"/>
        <w:spacing w:line="24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
          <w:bCs/>
          <w:color w:val="auto"/>
          <w:sz w:val="24"/>
          <w:szCs w:val="24"/>
          <w:highlight w:val="none"/>
        </w:rPr>
        <w:t>附：</w:t>
      </w:r>
    </w:p>
    <w:p w14:paraId="12C4D24F">
      <w:pPr>
        <w:adjustRightInd w:val="0"/>
        <w:spacing w:line="360" w:lineRule="auto"/>
        <w:rPr>
          <w:rFonts w:hint="default" w:asciiTheme="minorEastAsia" w:hAnsiTheme="minorEastAsia" w:eastAsiaTheme="minorEastAsia" w:cstheme="minorEastAsia"/>
          <w:bCs/>
          <w:color w:val="auto"/>
          <w:sz w:val="24"/>
          <w:szCs w:val="24"/>
          <w:highlight w:val="none"/>
        </w:rPr>
      </w:pPr>
      <w:r>
        <w:rPr>
          <w:rFonts w:hint="default" w:asciiTheme="minorEastAsia" w:hAnsiTheme="minorEastAsia" w:eastAsiaTheme="minorEastAsia" w:cstheme="minorEastAsia"/>
          <w:b/>
          <w:bCs/>
          <w:color w:val="auto"/>
          <w:sz w:val="24"/>
          <w:szCs w:val="24"/>
          <w:highlight w:val="none"/>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LmFpYi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AuYWliLwIAAIIEAAAOAAAAAAAAAAEAIAAAACcBAABkcnMvZTJvRG9jLnht&#10;bFBLBQYAAAAABgAGAFkBAADIBQAAAAA=&#10;">
                <v:fill on="t" focussize="0,0"/>
                <v:stroke color="#000000" miterlimit="2" joinstyle="miter"/>
                <v:imagedata o:title=""/>
                <o:lock v:ext="edit" aspectratio="f"/>
              </v:rect>
            </w:pict>
          </mc:Fallback>
        </mc:AlternateContent>
      </w:r>
      <w:r>
        <w:rPr>
          <w:rFonts w:hint="default" w:asciiTheme="minorEastAsia" w:hAnsiTheme="minorEastAsia" w:eastAsiaTheme="minorEastAsia" w:cstheme="minorEastAsia"/>
          <w:b/>
          <w:bCs/>
          <w:color w:val="auto"/>
          <w:sz w:val="24"/>
          <w:szCs w:val="24"/>
          <w:highlight w:val="none"/>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GYAnZLwIAAIIEAAAOAAAAAAAAAAEAIAAAACcBAABkcnMvZTJvRG9jLnht&#10;bFBLBQYAAAAABgAGAFkBAADIBQAAAAA=&#10;">
                <v:fill on="t" focussize="0,0"/>
                <v:stroke color="#000000" miterlimit="2" joinstyle="miter"/>
                <v:imagedata o:title=""/>
                <o:lock v:ext="edit" aspectratio="f"/>
              </v:rect>
            </w:pict>
          </mc:Fallback>
        </mc:AlternateContent>
      </w:r>
      <w:r>
        <w:rPr>
          <w:rFonts w:asciiTheme="minorEastAsia" w:hAnsiTheme="minorEastAsia" w:eastAsiaTheme="minorEastAsia" w:cstheme="minorEastAsia"/>
          <w:color w:val="auto"/>
          <w:sz w:val="24"/>
          <w:szCs w:val="24"/>
          <w:highlight w:val="none"/>
        </w:rPr>
        <w:t>投标单位法定名称章（印模）                投标单位“XX专用章”（印模）</w:t>
      </w:r>
    </w:p>
    <w:p w14:paraId="72EEBCBB">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highlight w:val="none"/>
        </w:rPr>
      </w:pPr>
    </w:p>
    <w:p w14:paraId="194D8385">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highlight w:val="none"/>
        </w:rPr>
      </w:pPr>
    </w:p>
    <w:p w14:paraId="6B106DAF">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highlight w:val="none"/>
        </w:rPr>
      </w:pPr>
    </w:p>
    <w:p w14:paraId="21A42695">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highlight w:val="none"/>
        </w:rPr>
      </w:pPr>
    </w:p>
    <w:p w14:paraId="0FE5CF1C">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highlight w:val="none"/>
        </w:rPr>
      </w:pPr>
    </w:p>
    <w:p w14:paraId="320DFFF9">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highlight w:val="none"/>
        </w:rPr>
      </w:pPr>
    </w:p>
    <w:p w14:paraId="2BF974DC">
      <w:pPr>
        <w:autoSpaceDE w:val="0"/>
        <w:autoSpaceDN w:val="0"/>
        <w:adjustRightInd w:val="0"/>
        <w:spacing w:line="240" w:lineRule="auto"/>
        <w:jc w:val="center"/>
        <w:rPr>
          <w:rFonts w:hint="default" w:ascii="仿宋" w:hAnsi="仿宋" w:eastAsia="仿宋"/>
          <w:b/>
          <w:color w:val="auto"/>
          <w:spacing w:val="6"/>
          <w:sz w:val="32"/>
          <w:szCs w:val="32"/>
          <w:highlight w:val="none"/>
        </w:rPr>
      </w:pPr>
    </w:p>
    <w:p w14:paraId="2AA868AF">
      <w:pPr>
        <w:autoSpaceDE w:val="0"/>
        <w:autoSpaceDN w:val="0"/>
        <w:adjustRightInd w:val="0"/>
        <w:spacing w:line="240" w:lineRule="auto"/>
        <w:jc w:val="center"/>
        <w:rPr>
          <w:rFonts w:hint="default" w:ascii="仿宋" w:hAnsi="仿宋" w:eastAsia="仿宋"/>
          <w:b/>
          <w:color w:val="auto"/>
          <w:spacing w:val="6"/>
          <w:sz w:val="32"/>
          <w:szCs w:val="32"/>
          <w:highlight w:val="none"/>
        </w:rPr>
      </w:pPr>
    </w:p>
    <w:p w14:paraId="34E394A8">
      <w:pPr>
        <w:autoSpaceDE w:val="0"/>
        <w:autoSpaceDN w:val="0"/>
        <w:adjustRightInd w:val="0"/>
        <w:spacing w:line="240" w:lineRule="auto"/>
        <w:jc w:val="center"/>
        <w:rPr>
          <w:rFonts w:hint="default" w:ascii="仿宋" w:hAnsi="仿宋" w:eastAsia="仿宋"/>
          <w:b/>
          <w:color w:val="auto"/>
          <w:spacing w:val="6"/>
          <w:sz w:val="32"/>
          <w:szCs w:val="32"/>
          <w:highlight w:val="none"/>
        </w:rPr>
      </w:pPr>
    </w:p>
    <w:p w14:paraId="414336DA">
      <w:pPr>
        <w:autoSpaceDE w:val="0"/>
        <w:autoSpaceDN w:val="0"/>
        <w:adjustRightInd w:val="0"/>
        <w:spacing w:line="240" w:lineRule="auto"/>
        <w:jc w:val="center"/>
        <w:rPr>
          <w:rFonts w:hint="default" w:ascii="仿宋" w:hAnsi="仿宋" w:eastAsia="仿宋"/>
          <w:b/>
          <w:color w:val="auto"/>
          <w:spacing w:val="6"/>
          <w:sz w:val="32"/>
          <w:szCs w:val="32"/>
          <w:highlight w:val="none"/>
        </w:rPr>
      </w:pPr>
    </w:p>
    <w:p w14:paraId="7A09318C">
      <w:pPr>
        <w:rPr>
          <w:rFonts w:hint="default"/>
          <w:color w:val="auto"/>
          <w:highlight w:val="none"/>
        </w:rPr>
      </w:pPr>
      <w:r>
        <w:rPr>
          <w:rFonts w:hint="default"/>
          <w:color w:val="auto"/>
          <w:highlight w:val="none"/>
        </w:rPr>
        <w:br w:type="page"/>
      </w:r>
    </w:p>
    <w:p w14:paraId="2E4C5D92">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b/>
          <w:bCs/>
          <w:color w:val="auto"/>
          <w:kern w:val="0"/>
          <w:sz w:val="28"/>
          <w:szCs w:val="28"/>
          <w:highlight w:val="none"/>
        </w:rPr>
        <w:t>招标代理服务收费标准</w:t>
      </w:r>
      <w:r>
        <w:rPr>
          <w:rFonts w:hint="eastAsia" w:ascii="宋体" w:hAnsi="宋体" w:cs="宋体"/>
          <w:b/>
          <w:bCs/>
          <w:color w:val="auto"/>
          <w:kern w:val="0"/>
          <w:sz w:val="28"/>
          <w:szCs w:val="28"/>
          <w:highlight w:val="none"/>
          <w:lang w:eastAsia="zh-CN"/>
        </w:rPr>
        <w:t>（</w:t>
      </w:r>
      <w:r>
        <w:rPr>
          <w:rFonts w:hint="eastAsia" w:ascii="宋体" w:hAnsi="宋体" w:cs="宋体"/>
          <w:color w:val="auto"/>
          <w:kern w:val="0"/>
          <w:sz w:val="28"/>
          <w:szCs w:val="28"/>
          <w:highlight w:val="none"/>
        </w:rPr>
        <w:t xml:space="preserve"> </w:t>
      </w:r>
      <w:r>
        <w:rPr>
          <w:rFonts w:hint="eastAsia" w:ascii="宋体" w:hAnsi="宋体" w:cs="宋体"/>
          <w:b/>
          <w:bCs/>
          <w:color w:val="auto"/>
          <w:kern w:val="0"/>
          <w:sz w:val="28"/>
          <w:szCs w:val="28"/>
          <w:highlight w:val="none"/>
        </w:rPr>
        <w:t>费率</w:t>
      </w:r>
      <w:r>
        <w:rPr>
          <w:rFonts w:hint="eastAsia" w:ascii="宋体" w:hAnsi="宋体" w:cs="宋体"/>
          <w:b/>
          <w:bCs/>
          <w:color w:val="auto"/>
          <w:kern w:val="0"/>
          <w:sz w:val="28"/>
          <w:szCs w:val="28"/>
          <w:highlight w:val="none"/>
          <w:lang w:eastAsia="zh-CN"/>
        </w:rPr>
        <w:t>）</w:t>
      </w:r>
      <w:r>
        <w:rPr>
          <w:rFonts w:hint="eastAsia" w:ascii="宋体" w:hAnsi="宋体" w:cs="宋体"/>
          <w:color w:val="auto"/>
          <w:kern w:val="0"/>
          <w:sz w:val="28"/>
          <w:szCs w:val="28"/>
          <w:highlight w:val="none"/>
        </w:rPr>
        <w:t xml:space="preserve"> </w:t>
      </w:r>
    </w:p>
    <w:tbl>
      <w:tblPr>
        <w:tblStyle w:val="29"/>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950"/>
        <w:gridCol w:w="1134"/>
        <w:gridCol w:w="1134"/>
        <w:gridCol w:w="1118"/>
      </w:tblGrid>
      <w:tr w14:paraId="6AFD18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134222BA">
            <w:pPr>
              <w:widowControl/>
              <w:spacing w:before="100" w:beforeAutospacing="1" w:after="100" w:afterAutospacing="1" w:line="300" w:lineRule="atLeast"/>
              <w:jc w:val="center"/>
              <w:rPr>
                <w:rFonts w:hint="eastAsia" w:ascii="宋体" w:hAnsi="宋体" w:cs="宋体"/>
                <w:b/>
                <w:bCs/>
                <w:color w:val="auto"/>
                <w:kern w:val="0"/>
                <w:sz w:val="20"/>
                <w:highlight w:val="none"/>
              </w:rPr>
            </w:pPr>
            <w:r>
              <w:rPr>
                <w:rFonts w:hint="eastAsia" w:ascii="宋体" w:hAnsi="宋体" w:cs="宋体"/>
                <w:color w:val="auto"/>
                <w:kern w:val="0"/>
                <w:sz w:val="20"/>
                <w:szCs w:val="20"/>
                <w:highlight w:val="none"/>
              </w:rPr>
              <w:t xml:space="preserve">              </w:t>
            </w:r>
            <w:r>
              <w:rPr>
                <w:rFonts w:hint="eastAsia" w:ascii="宋体" w:hAnsi="宋体" w:cs="宋体"/>
                <w:b/>
                <w:bCs/>
                <w:color w:val="auto"/>
                <w:kern w:val="0"/>
                <w:sz w:val="20"/>
                <w:highlight w:val="none"/>
              </w:rPr>
              <w:t xml:space="preserve">服务类型     </w:t>
            </w:r>
          </w:p>
          <w:p w14:paraId="0C5EBE90">
            <w:pPr>
              <w:widowControl/>
              <w:spacing w:before="100" w:beforeAutospacing="1" w:after="100" w:afterAutospacing="1" w:line="300" w:lineRule="atLeast"/>
              <w:rPr>
                <w:rFonts w:ascii="宋体" w:hAnsi="宋体" w:cs="宋体"/>
                <w:color w:val="auto"/>
                <w:kern w:val="0"/>
                <w:sz w:val="24"/>
                <w:highlight w:val="none"/>
              </w:rPr>
            </w:pPr>
            <w:r>
              <w:rPr>
                <w:rFonts w:hint="eastAsia" w:ascii="宋体" w:hAnsi="宋体" w:cs="宋体"/>
                <w:b/>
                <w:bCs/>
                <w:color w:val="auto"/>
                <w:kern w:val="0"/>
                <w:sz w:val="20"/>
                <w:highlight w:val="none"/>
              </w:rPr>
              <w:t>中标金额（万元）</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2A13A41E">
            <w:pPr>
              <w:widowControl/>
              <w:spacing w:before="100" w:beforeAutospacing="1" w:after="100" w:afterAutospacing="1" w:line="300" w:lineRule="atLeast"/>
              <w:jc w:val="center"/>
              <w:rPr>
                <w:rFonts w:ascii="宋体" w:hAnsi="宋体" w:cs="宋体"/>
                <w:b/>
                <w:bCs/>
                <w:color w:val="auto"/>
                <w:kern w:val="0"/>
                <w:sz w:val="24"/>
                <w:highlight w:val="none"/>
              </w:rPr>
            </w:pPr>
            <w:r>
              <w:rPr>
                <w:rFonts w:hint="eastAsia" w:ascii="宋体" w:hAnsi="宋体" w:cs="宋体"/>
                <w:b/>
                <w:bCs/>
                <w:color w:val="auto"/>
                <w:kern w:val="0"/>
                <w:sz w:val="20"/>
                <w:highlight w:val="none"/>
              </w:rPr>
              <w:t>货物招标</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0C8E3864">
            <w:pPr>
              <w:widowControl/>
              <w:spacing w:before="100" w:beforeAutospacing="1" w:after="100" w:afterAutospacing="1" w:line="300" w:lineRule="atLeast"/>
              <w:jc w:val="center"/>
              <w:rPr>
                <w:rFonts w:ascii="宋体" w:hAnsi="宋体" w:cs="宋体"/>
                <w:b/>
                <w:color w:val="auto"/>
                <w:kern w:val="0"/>
                <w:sz w:val="24"/>
                <w:highlight w:val="none"/>
              </w:rPr>
            </w:pPr>
            <w:r>
              <w:rPr>
                <w:rFonts w:hint="eastAsia" w:ascii="宋体" w:hAnsi="宋体" w:cs="宋体"/>
                <w:b/>
                <w:bCs/>
                <w:color w:val="auto"/>
                <w:kern w:val="0"/>
                <w:sz w:val="20"/>
                <w:highlight w:val="none"/>
              </w:rPr>
              <w:t>服务招标</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2280B3CC">
            <w:pPr>
              <w:widowControl/>
              <w:spacing w:before="100" w:beforeAutospacing="1" w:after="100" w:afterAutospacing="1" w:line="300" w:lineRule="atLeast"/>
              <w:jc w:val="center"/>
              <w:rPr>
                <w:rFonts w:ascii="宋体" w:hAnsi="宋体" w:cs="宋体"/>
                <w:color w:val="auto"/>
                <w:kern w:val="0"/>
                <w:sz w:val="24"/>
                <w:highlight w:val="none"/>
              </w:rPr>
            </w:pPr>
            <w:r>
              <w:rPr>
                <w:rFonts w:hint="eastAsia" w:ascii="宋体" w:hAnsi="宋体" w:cs="宋体"/>
                <w:b/>
                <w:bCs/>
                <w:color w:val="auto"/>
                <w:kern w:val="0"/>
                <w:sz w:val="20"/>
                <w:highlight w:val="none"/>
              </w:rPr>
              <w:t>工程招标</w:t>
            </w:r>
          </w:p>
        </w:tc>
      </w:tr>
      <w:tr w14:paraId="69A8EB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095596A6">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100以下</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6329847E">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1.5％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594B6A4A">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1.5％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19A4A9EB">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1.0％</w:t>
            </w:r>
          </w:p>
        </w:tc>
      </w:tr>
      <w:tr w14:paraId="05137F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5A962F18">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100—500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70BC9888">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1.1％</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4E2422CD">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0.8％</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5DCE2174">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0.7％</w:t>
            </w:r>
          </w:p>
        </w:tc>
      </w:tr>
      <w:tr w14:paraId="4DB4B2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6D941D54">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500—1000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2D353AF3">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0.8％</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63C5E2C7">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0.45％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0FB86F56">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0.55％</w:t>
            </w:r>
          </w:p>
        </w:tc>
      </w:tr>
      <w:tr w14:paraId="7C39DC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79D83DED">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1000—5000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25616BC3">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09CA151E">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0.25％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2A18232D">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0.35％</w:t>
            </w:r>
          </w:p>
        </w:tc>
      </w:tr>
      <w:tr w14:paraId="039954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1174F18D">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5000—10000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5E604579">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0.25％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0FBD012B">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0.1％</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42A1D6AF">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0.2％</w:t>
            </w:r>
          </w:p>
        </w:tc>
      </w:tr>
      <w:tr w14:paraId="52E674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2E2F6DBB">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10000——100000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7087A382">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0.05％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42746C9C">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0.05％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76BDA84A">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0.05％</w:t>
            </w:r>
          </w:p>
        </w:tc>
      </w:tr>
      <w:tr w14:paraId="1EDB75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3D3AC484">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1000000以上</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48256263">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0.01％</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020D1D86">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0.01％</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31241F5B">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0.01％</w:t>
            </w:r>
          </w:p>
        </w:tc>
      </w:tr>
    </w:tbl>
    <w:p w14:paraId="4E695C27">
      <w:pPr>
        <w:widowControl/>
        <w:spacing w:line="432" w:lineRule="auto"/>
        <w:jc w:val="left"/>
        <w:rPr>
          <w:rFonts w:hint="eastAsia" w:ascii="宋体" w:hAnsi="宋体" w:cs="宋体"/>
          <w:color w:val="auto"/>
          <w:kern w:val="0"/>
          <w:sz w:val="20"/>
          <w:szCs w:val="20"/>
          <w:highlight w:val="none"/>
        </w:rPr>
      </w:pPr>
    </w:p>
    <w:p w14:paraId="6031958D">
      <w:pPr>
        <w:widowControl/>
        <w:spacing w:line="432" w:lineRule="auto"/>
        <w:jc w:val="left"/>
        <w:rPr>
          <w:rFonts w:hint="eastAsia" w:ascii="宋体" w:hAnsi="宋体" w:cs="宋体"/>
          <w:b/>
          <w:bCs/>
          <w:color w:val="auto"/>
          <w:kern w:val="0"/>
          <w:sz w:val="28"/>
          <w:szCs w:val="28"/>
          <w:highlight w:val="none"/>
        </w:rPr>
      </w:pPr>
      <w:r>
        <w:rPr>
          <w:rFonts w:hint="eastAsia" w:ascii="宋体" w:hAnsi="宋体" w:cs="宋体"/>
          <w:color w:val="auto"/>
          <w:kern w:val="0"/>
          <w:sz w:val="20"/>
          <w:szCs w:val="20"/>
          <w:highlight w:val="none"/>
        </w:rPr>
        <w:t>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招标代理服务收费按差额定率累进法计算。例如：某工程招标代理业务</w:t>
      </w:r>
      <w:r>
        <w:rPr>
          <w:rFonts w:hint="eastAsia" w:ascii="宋体" w:hAnsi="宋体" w:cs="宋体"/>
          <w:color w:val="auto"/>
          <w:kern w:val="0"/>
          <w:sz w:val="20"/>
          <w:szCs w:val="20"/>
          <w:highlight w:val="none"/>
          <w:lang w:val="en-US" w:eastAsia="zh-CN"/>
        </w:rPr>
        <w:t>预算</w:t>
      </w:r>
      <w:r>
        <w:rPr>
          <w:rFonts w:hint="eastAsia" w:ascii="宋体" w:hAnsi="宋体" w:cs="宋体"/>
          <w:color w:val="auto"/>
          <w:kern w:val="0"/>
          <w:sz w:val="20"/>
          <w:szCs w:val="20"/>
          <w:highlight w:val="none"/>
        </w:rPr>
        <w:t>金额为6000万元，计算招标代理服务费额如下：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100万元×1.0％＝1万元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（500－100）万元×0.7％＝2.8万元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（1000－500）万元×0.55％＝2.75万元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（5000－1000）万元×0.35％＝14万元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（6000－5000）万元×0.2％＝2万元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合计收费＝1＋2.8＋2.75＋14＋2＝22.55</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rPr>
        <w:t>万元</w:t>
      </w:r>
      <w:r>
        <w:rPr>
          <w:rFonts w:hint="eastAsia" w:ascii="宋体" w:hAnsi="宋体" w:cs="宋体"/>
          <w:color w:val="auto"/>
          <w:kern w:val="0"/>
          <w:sz w:val="20"/>
          <w:szCs w:val="20"/>
          <w:highlight w:val="none"/>
          <w:lang w:eastAsia="zh-CN"/>
        </w:rPr>
        <w:t>）</w:t>
      </w:r>
    </w:p>
    <w:p w14:paraId="028A8D0C">
      <w:pPr>
        <w:pStyle w:val="5"/>
        <w:rPr>
          <w:color w:val="auto"/>
          <w:highlight w:val="none"/>
        </w:rPr>
      </w:pPr>
    </w:p>
    <w:p w14:paraId="30ADA317">
      <w:pPr>
        <w:pStyle w:val="5"/>
        <w:rPr>
          <w:color w:val="auto"/>
          <w:szCs w:val="20"/>
          <w:highlight w:val="none"/>
        </w:rPr>
      </w:pPr>
    </w:p>
    <w:p w14:paraId="1286C162">
      <w:pPr>
        <w:autoSpaceDE w:val="0"/>
        <w:autoSpaceDN w:val="0"/>
        <w:adjustRightInd w:val="0"/>
        <w:spacing w:line="360" w:lineRule="auto"/>
        <w:rPr>
          <w:rFonts w:ascii="宋体" w:hAnsi="宋体" w:cs="宋体"/>
          <w:b/>
          <w:color w:val="auto"/>
          <w:spacing w:val="6"/>
          <w:sz w:val="24"/>
          <w:highlight w:val="none"/>
        </w:rPr>
      </w:pPr>
    </w:p>
    <w:p w14:paraId="20CBC434">
      <w:pPr>
        <w:pStyle w:val="35"/>
        <w:spacing w:before="120" w:line="360" w:lineRule="auto"/>
        <w:ind w:firstLine="0"/>
        <w:rPr>
          <w:rFonts w:hint="eastAsia" w:ascii="宋体" w:hAnsi="宋体" w:cs="宋体"/>
          <w:color w:val="auto"/>
          <w:highlight w:val="none"/>
        </w:rPr>
      </w:pPr>
    </w:p>
    <w:p w14:paraId="077BC286">
      <w:pPr>
        <w:pStyle w:val="28"/>
        <w:rPr>
          <w:rFonts w:hint="default"/>
          <w:color w:val="auto"/>
          <w:highlight w:val="none"/>
        </w:rPr>
      </w:pPr>
    </w:p>
    <w:sectPr>
      <w:headerReference r:id="rId9" w:type="default"/>
      <w:footerReference r:id="rId10" w:type="default"/>
      <w:pgSz w:w="11905" w:h="16838"/>
      <w:pgMar w:top="1440" w:right="1803" w:bottom="1440" w:left="1803" w:header="850" w:footer="992" w:gutter="0"/>
      <w:pgNumType w:fmt="decimal"/>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9D2D0">
    <w:pPr>
      <w:pStyle w:val="2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D4F32">
                          <w:pPr>
                            <w:pStyle w:val="2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9DD4F32">
                    <w:pPr>
                      <w:pStyle w:val="2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9DF4C">
    <w:pPr>
      <w:pStyle w:val="2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8D5F3">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EF8D5F3">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D2127">
    <w:pPr>
      <w:snapToGrid w:val="0"/>
      <w:spacing w:line="240" w:lineRule="auto"/>
      <w:jc w:val="center"/>
      <w:rPr>
        <w:rFonts w:hint="default" w:ascii="Calibri" w:hAnsi="Calibri" w:eastAsia="黑体"/>
        <w:snapToGrid w:val="0"/>
        <w:kern w:val="0"/>
        <w:sz w:val="18"/>
        <w:szCs w:val="18"/>
      </w:rPr>
    </w:pPr>
  </w:p>
  <w:p w14:paraId="7BF593E9">
    <w:pPr>
      <w:snapToGrid w:val="0"/>
      <w:spacing w:line="240" w:lineRule="auto"/>
      <w:jc w:val="center"/>
      <w:rPr>
        <w:rFonts w:hint="default" w:ascii="Calibri" w:hAnsi="Calibri" w:eastAsia="黑体"/>
        <w:snapToGrid w:val="0"/>
        <w:kern w:val="0"/>
        <w:sz w:val="18"/>
        <w:szCs w:val="18"/>
      </w:rPr>
    </w:pPr>
    <w:r>
      <w:rPr>
        <w:rFonts w:hint="default" w:ascii="Calibri" w:hAnsi="Calibri" w:eastAsia="黑体"/>
        <w:snapToGrid w:val="0"/>
        <w:kern w:val="0"/>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BB26B35">
                          <w:pPr>
                            <w:snapToGrid w:val="0"/>
                            <w:spacing w:line="240" w:lineRule="auto"/>
                            <w:jc w:val="center"/>
                            <w:rPr>
                              <w:rFonts w:hint="default" w:ascii="Calibri" w:hAnsi="Calibri" w:eastAsia="黑体"/>
                              <w:snapToGrid w:val="0"/>
                              <w:kern w:val="0"/>
                              <w:sz w:val="18"/>
                              <w:szCs w:val="18"/>
                            </w:rPr>
                          </w:pPr>
                          <w:r>
                            <w:rPr>
                              <w:rFonts w:ascii="Calibri" w:hAnsi="Calibri" w:eastAsia="黑体"/>
                              <w:snapToGrid w:val="0"/>
                              <w:kern w:val="0"/>
                              <w:sz w:val="18"/>
                              <w:szCs w:val="18"/>
                            </w:rPr>
                            <w:fldChar w:fldCharType="begin"/>
                          </w:r>
                          <w:r>
                            <w:rPr>
                              <w:rFonts w:ascii="Calibri" w:hAnsi="Calibri" w:eastAsia="黑体"/>
                              <w:snapToGrid w:val="0"/>
                              <w:kern w:val="0"/>
                              <w:sz w:val="18"/>
                              <w:szCs w:val="18"/>
                            </w:rPr>
                            <w:instrText xml:space="preserve"> PAGE  \* MERGEFORMAT </w:instrText>
                          </w:r>
                          <w:r>
                            <w:rPr>
                              <w:rFonts w:ascii="Calibri" w:hAnsi="Calibri" w:eastAsia="黑体"/>
                              <w:snapToGrid w:val="0"/>
                              <w:kern w:val="0"/>
                              <w:sz w:val="18"/>
                              <w:szCs w:val="18"/>
                            </w:rPr>
                            <w:fldChar w:fldCharType="separate"/>
                          </w:r>
                          <w:r>
                            <w:rPr>
                              <w:rFonts w:hint="default" w:ascii="Calibri" w:hAnsi="Calibri" w:eastAsia="黑体"/>
                              <w:snapToGrid w:val="0"/>
                              <w:kern w:val="0"/>
                              <w:sz w:val="18"/>
                              <w:szCs w:val="18"/>
                            </w:rPr>
                            <w:t>30</w:t>
                          </w:r>
                          <w:r>
                            <w:rPr>
                              <w:rFonts w:ascii="Calibri" w:hAnsi="Calibri" w:eastAsia="黑体"/>
                              <w:snapToGrid w:val="0"/>
                              <w:kern w:val="0"/>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KHk7unWAQAAswMAAA4AAAAAAAAAAQAg&#10;AAAAIgEAAGRycy9lMm9Eb2MueG1sUEsFBgAAAAAGAAYAWQEAAGoFAAAAAA==&#10;">
              <v:fill on="f" focussize="0,0"/>
              <v:stroke on="f" weight="1.25pt"/>
              <v:imagedata o:title=""/>
              <o:lock v:ext="edit" aspectratio="f"/>
              <v:textbox inset="0mm,0mm,0mm,0mm" style="mso-fit-shape-to-text:t;">
                <w:txbxContent>
                  <w:p w14:paraId="7BB26B35">
                    <w:pPr>
                      <w:snapToGrid w:val="0"/>
                      <w:spacing w:line="240" w:lineRule="auto"/>
                      <w:jc w:val="center"/>
                      <w:rPr>
                        <w:rFonts w:hint="default" w:ascii="Calibri" w:hAnsi="Calibri" w:eastAsia="黑体"/>
                        <w:snapToGrid w:val="0"/>
                        <w:kern w:val="0"/>
                        <w:sz w:val="18"/>
                        <w:szCs w:val="18"/>
                      </w:rPr>
                    </w:pPr>
                    <w:r>
                      <w:rPr>
                        <w:rFonts w:ascii="Calibri" w:hAnsi="Calibri" w:eastAsia="黑体"/>
                        <w:snapToGrid w:val="0"/>
                        <w:kern w:val="0"/>
                        <w:sz w:val="18"/>
                        <w:szCs w:val="18"/>
                      </w:rPr>
                      <w:fldChar w:fldCharType="begin"/>
                    </w:r>
                    <w:r>
                      <w:rPr>
                        <w:rFonts w:ascii="Calibri" w:hAnsi="Calibri" w:eastAsia="黑体"/>
                        <w:snapToGrid w:val="0"/>
                        <w:kern w:val="0"/>
                        <w:sz w:val="18"/>
                        <w:szCs w:val="18"/>
                      </w:rPr>
                      <w:instrText xml:space="preserve"> PAGE  \* MERGEFORMAT </w:instrText>
                    </w:r>
                    <w:r>
                      <w:rPr>
                        <w:rFonts w:ascii="Calibri" w:hAnsi="Calibri" w:eastAsia="黑体"/>
                        <w:snapToGrid w:val="0"/>
                        <w:kern w:val="0"/>
                        <w:sz w:val="18"/>
                        <w:szCs w:val="18"/>
                      </w:rPr>
                      <w:fldChar w:fldCharType="separate"/>
                    </w:r>
                    <w:r>
                      <w:rPr>
                        <w:rFonts w:hint="default" w:ascii="Calibri" w:hAnsi="Calibri" w:eastAsia="黑体"/>
                        <w:snapToGrid w:val="0"/>
                        <w:kern w:val="0"/>
                        <w:sz w:val="18"/>
                        <w:szCs w:val="18"/>
                      </w:rPr>
                      <w:t>30</w:t>
                    </w:r>
                    <w:r>
                      <w:rPr>
                        <w:rFonts w:ascii="Calibri" w:hAnsi="Calibri" w:eastAsia="黑体"/>
                        <w:snapToGrid w:val="0"/>
                        <w:kern w:val="0"/>
                        <w:sz w:val="18"/>
                        <w:szCs w:val="18"/>
                      </w:rPr>
                      <w:fldChar w:fldCharType="end"/>
                    </w:r>
                  </w:p>
                </w:txbxContent>
              </v:textbox>
            </v:shape>
          </w:pict>
        </mc:Fallback>
      </mc:AlternateContent>
    </w:r>
  </w:p>
  <w:p w14:paraId="6D1EC7B2">
    <w:pPr>
      <w:snapToGrid w:val="0"/>
      <w:spacing w:line="240" w:lineRule="auto"/>
      <w:jc w:val="left"/>
      <w:rPr>
        <w:rFonts w:hint="default" w:ascii="Calibri" w:hAnsi="Calibri" w:eastAsia="黑体"/>
        <w:snapToGrid w:val="0"/>
        <w:kern w:val="0"/>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EC2EF">
    <w:pPr>
      <w:pStyle w:val="20"/>
      <w:rPr>
        <w:rFonts w:hint="default"/>
      </w:rPr>
    </w:pPr>
    <w:r>
      <w:rPr>
        <w:rFonts w:hint="default"/>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C2A2B9">
                          <w:pPr>
                            <w:pStyle w:val="20"/>
                            <w:rPr>
                              <w:rFonts w:hint="default"/>
                            </w:rPr>
                          </w:pPr>
                          <w:r>
                            <w:fldChar w:fldCharType="begin"/>
                          </w:r>
                          <w:r>
                            <w:instrText xml:space="preserve"> PAGE  \* MERGEFORMAT </w:instrText>
                          </w:r>
                          <w:r>
                            <w:fldChar w:fldCharType="separate"/>
                          </w:r>
                          <w:r>
                            <w:rPr>
                              <w:rFonts w:hint="default"/>
                            </w:rP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02C2A2B9">
                    <w:pPr>
                      <w:pStyle w:val="20"/>
                      <w:rPr>
                        <w:rFonts w:hint="default"/>
                      </w:rPr>
                    </w:pPr>
                    <w:r>
                      <w:fldChar w:fldCharType="begin"/>
                    </w:r>
                    <w:r>
                      <w:instrText xml:space="preserve"> PAGE  \* MERGEFORMAT </w:instrText>
                    </w:r>
                    <w:r>
                      <w:fldChar w:fldCharType="separate"/>
                    </w:r>
                    <w:r>
                      <w:rPr>
                        <w:rFonts w:hint="default"/>
                      </w:rPr>
                      <w:t>76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8D0F1">
    <w:pPr>
      <w:spacing w:line="200" w:lineRule="exact"/>
      <w:rPr>
        <w:rFonts w:hint="default" w:ascii="Calibri" w:hAnsi="Calibri" w:eastAsia="宋体"/>
        <w:sz w:val="20"/>
      </w:rPr>
    </w:pPr>
    <w:r>
      <w:rPr>
        <w:rFonts w:hint="default" w:ascii="Calibri" w:hAnsi="Calibri" w:eastAsia="宋体"/>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14:paraId="08104E21">
                          <w:pPr>
                            <w:spacing w:line="240" w:lineRule="auto"/>
                            <w:rPr>
                              <w:rFonts w:hint="default" w:ascii="Calibri" w:hAnsi="Calibri" w:eastAsia="宋体"/>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PAXAdgAAAAKAQAADwAAAAAAAAABACAAAAAiAAAAZHJzL2Rvd25yZXYueG1sUEsBAhQA&#10;FAAAAAgAh07iQEEYCQy5AQAAgAMAAA4AAAAAAAAAAQAgAAAAJwEAAGRycy9lMm9Eb2MueG1sUEsF&#10;BgAAAAAGAAYAWQEAAFIFAAAAAA==&#10;">
              <v:fill on="f" focussize="0,0"/>
              <v:stroke on="f"/>
              <v:imagedata o:title=""/>
              <o:lock v:ext="edit" aspectratio="f"/>
              <v:textbox inset="0mm,0mm,0mm,0mm">
                <w:txbxContent>
                  <w:p w14:paraId="08104E21">
                    <w:pPr>
                      <w:spacing w:line="240" w:lineRule="auto"/>
                      <w:rPr>
                        <w:rFonts w:hint="default" w:ascii="Calibri" w:hAnsi="Calibri" w:eastAsia="宋体"/>
                        <w:szCs w:val="24"/>
                      </w:rPr>
                    </w:pPr>
                  </w:p>
                </w:txbxContent>
              </v:textbox>
            </v:shape>
          </w:pict>
        </mc:Fallback>
      </mc:AlternateContent>
    </w:r>
    <w:r>
      <w:rPr>
        <w:rFonts w:hint="default" w:ascii="Calibri" w:hAnsi="Calibri" w:eastAsia="宋体"/>
        <w:szCs w:val="24"/>
      </w:rPr>
      <mc:AlternateContent>
        <mc:Choice Requires="wps">
          <w:drawing>
            <wp:anchor distT="0" distB="0" distL="114300" distR="114300" simplePos="0" relativeHeight="251662336"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14:paraId="1188623C">
                          <w:pPr>
                            <w:spacing w:line="214" w:lineRule="exact"/>
                            <w:jc w:val="left"/>
                            <w:rPr>
                              <w:rFonts w:hint="default"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4144;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0OqF4vwEAAIADAAAOAAAAAAAAAAEAIAAAACgBAABkcnMvZTJvRG9j&#10;LnhtbFBLBQYAAAAABgAGAFkBAABZBQAAAAA=&#10;">
              <v:fill on="f" focussize="0,0"/>
              <v:stroke on="f"/>
              <v:imagedata o:title=""/>
              <o:lock v:ext="edit" aspectratio="f"/>
              <v:textbox inset="0mm,0mm,0mm,0mm">
                <w:txbxContent>
                  <w:p w14:paraId="1188623C">
                    <w:pPr>
                      <w:spacing w:line="214" w:lineRule="exact"/>
                      <w:jc w:val="left"/>
                      <w:rPr>
                        <w:rFonts w:hint="default" w:ascii="宋体" w:hAnsi="宋体" w:eastAsia="宋体" w:cs="宋体"/>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5E474">
    <w:pPr>
      <w:spacing w:line="200" w:lineRule="exact"/>
      <w:rPr>
        <w:rFonts w:hint="default" w:ascii="Calibri" w:hAnsi="Calibri" w:eastAsia="宋体"/>
        <w:sz w:val="20"/>
      </w:rPr>
    </w:pPr>
    <w:r>
      <w:rPr>
        <w:rFonts w:hint="default" w:ascii="Calibri" w:hAnsi="Calibri" w:eastAsia="宋体"/>
        <w:szCs w:val="24"/>
      </w:rPr>
      <mc:AlternateContent>
        <mc:Choice Requires="wps">
          <w:drawing>
            <wp:anchor distT="0" distB="0" distL="114300" distR="114300" simplePos="0" relativeHeight="251659264"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14:paraId="0A49033E">
                          <w:pPr>
                            <w:spacing w:line="240" w:lineRule="auto"/>
                            <w:rPr>
                              <w:rFonts w:hint="default" w:ascii="Calibri" w:hAnsi="Calibri" w:eastAsia="宋体"/>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7216;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PAXAdgAAAAKAQAADwAAAAAAAAABACAAAAAiAAAAZHJzL2Rvd25yZXYueG1sUEsBAhQA&#10;FAAAAAgAh07iQMgNLAq5AQAAgAMAAA4AAAAAAAAAAQAgAAAAJwEAAGRycy9lMm9Eb2MueG1sUEsF&#10;BgAAAAAGAAYAWQEAAFIFAAAAAA==&#10;">
              <v:fill on="f" focussize="0,0"/>
              <v:stroke on="f"/>
              <v:imagedata o:title=""/>
              <o:lock v:ext="edit" aspectratio="f"/>
              <v:textbox inset="0mm,0mm,0mm,0mm">
                <w:txbxContent>
                  <w:p w14:paraId="0A49033E">
                    <w:pPr>
                      <w:spacing w:line="240" w:lineRule="auto"/>
                      <w:rPr>
                        <w:rFonts w:hint="default" w:ascii="Calibri" w:hAnsi="Calibri" w:eastAsia="宋体"/>
                        <w:szCs w:val="24"/>
                      </w:rPr>
                    </w:pPr>
                  </w:p>
                </w:txbxContent>
              </v:textbox>
            </v:shape>
          </w:pict>
        </mc:Fallback>
      </mc:AlternateContent>
    </w:r>
    <w:r>
      <w:rPr>
        <w:rFonts w:hint="default" w:ascii="Calibri" w:hAnsi="Calibri" w:eastAsia="宋体"/>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14:paraId="644AC11C">
                          <w:pPr>
                            <w:spacing w:line="214" w:lineRule="exact"/>
                            <w:jc w:val="left"/>
                            <w:rPr>
                              <w:rFonts w:hint="default"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CR39svwEAAIADAAAOAAAAAAAAAAEAIAAAACgBAABkcnMvZTJvRG9j&#10;LnhtbFBLBQYAAAAABgAGAFkBAABZBQAAAAA=&#10;">
              <v:fill on="f" focussize="0,0"/>
              <v:stroke on="f"/>
              <v:imagedata o:title=""/>
              <o:lock v:ext="edit" aspectratio="f"/>
              <v:textbox inset="0mm,0mm,0mm,0mm">
                <w:txbxContent>
                  <w:p w14:paraId="644AC11C">
                    <w:pPr>
                      <w:spacing w:line="214" w:lineRule="exact"/>
                      <w:jc w:val="left"/>
                      <w:rPr>
                        <w:rFonts w:hint="default"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FC30A"/>
    <w:multiLevelType w:val="singleLevel"/>
    <w:tmpl w:val="BE8FC30A"/>
    <w:lvl w:ilvl="0" w:tentative="0">
      <w:start w:val="8"/>
      <w:numFmt w:val="decimal"/>
      <w:suff w:val="nothing"/>
      <w:lvlText w:val="%1、"/>
      <w:lvlJc w:val="left"/>
    </w:lvl>
  </w:abstractNum>
  <w:abstractNum w:abstractNumId="1">
    <w:nsid w:val="E03F5440"/>
    <w:multiLevelType w:val="singleLevel"/>
    <w:tmpl w:val="E03F5440"/>
    <w:lvl w:ilvl="0" w:tentative="0">
      <w:start w:val="1"/>
      <w:numFmt w:val="decimal"/>
      <w:suff w:val="nothing"/>
      <w:lvlText w:val="%1、"/>
      <w:lvlJc w:val="left"/>
    </w:lvl>
  </w:abstractNum>
  <w:abstractNum w:abstractNumId="2">
    <w:nsid w:val="41F1A91A"/>
    <w:multiLevelType w:val="singleLevel"/>
    <w:tmpl w:val="41F1A91A"/>
    <w:lvl w:ilvl="0" w:tentative="0">
      <w:start w:val="1"/>
      <w:numFmt w:val="chineseCounting"/>
      <w:suff w:val="nothing"/>
      <w:lvlText w:val="%1、"/>
      <w:lvlJc w:val="left"/>
      <w:rPr>
        <w:rFonts w:hint="eastAsia"/>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59AA2600"/>
    <w:multiLevelType w:val="singleLevel"/>
    <w:tmpl w:val="59AA2600"/>
    <w:lvl w:ilvl="0" w:tentative="0">
      <w:start w:val="2"/>
      <w:numFmt w:val="decimal"/>
      <w:suff w:val="space"/>
      <w:lvlText w:val="（%1）"/>
      <w:lvlJc w:val="left"/>
    </w:lvl>
  </w:abstractNum>
  <w:abstractNum w:abstractNumId="6">
    <w:nsid w:val="6158EC82"/>
    <w:multiLevelType w:val="singleLevel"/>
    <w:tmpl w:val="6158EC82"/>
    <w:lvl w:ilvl="0" w:tentative="0">
      <w:start w:val="1"/>
      <w:numFmt w:val="decimal"/>
      <w:suff w:val="nothing"/>
      <w:lvlText w:val="%1、"/>
      <w:lvlJc w:val="left"/>
    </w:lvl>
  </w:abstractNum>
  <w:abstractNum w:abstractNumId="7">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2"/>
  </w:num>
  <w:num w:numId="2">
    <w:abstractNumId w:val="1"/>
  </w:num>
  <w:num w:numId="3">
    <w:abstractNumId w:val="6"/>
  </w:num>
  <w:num w:numId="4">
    <w:abstractNumId w:val="0"/>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M2QyMDQyZmJiY2QzMGIxOTBiMTM2YWU0NWFlMWEifQ=="/>
  </w:docVars>
  <w:rsids>
    <w:rsidRoot w:val="00172A27"/>
    <w:rsid w:val="000E3650"/>
    <w:rsid w:val="00163B6B"/>
    <w:rsid w:val="00172A27"/>
    <w:rsid w:val="001E63EA"/>
    <w:rsid w:val="00363F05"/>
    <w:rsid w:val="003A7F4C"/>
    <w:rsid w:val="0040705E"/>
    <w:rsid w:val="0046519E"/>
    <w:rsid w:val="00597E0F"/>
    <w:rsid w:val="005D2592"/>
    <w:rsid w:val="00684655"/>
    <w:rsid w:val="006D5437"/>
    <w:rsid w:val="007731C9"/>
    <w:rsid w:val="00812ACE"/>
    <w:rsid w:val="008322BB"/>
    <w:rsid w:val="008D0E4D"/>
    <w:rsid w:val="009C4E76"/>
    <w:rsid w:val="00A364B9"/>
    <w:rsid w:val="00A65FA9"/>
    <w:rsid w:val="00AF20F8"/>
    <w:rsid w:val="00BC3A1F"/>
    <w:rsid w:val="00CC1BE7"/>
    <w:rsid w:val="00D16539"/>
    <w:rsid w:val="00DE6C76"/>
    <w:rsid w:val="00E631CF"/>
    <w:rsid w:val="00F042D7"/>
    <w:rsid w:val="00F57BA2"/>
    <w:rsid w:val="01082AF3"/>
    <w:rsid w:val="012445AC"/>
    <w:rsid w:val="01361273"/>
    <w:rsid w:val="01430838"/>
    <w:rsid w:val="01514167"/>
    <w:rsid w:val="015A0D9E"/>
    <w:rsid w:val="016D1EEA"/>
    <w:rsid w:val="01785B98"/>
    <w:rsid w:val="01880FF1"/>
    <w:rsid w:val="01942BBE"/>
    <w:rsid w:val="01A71FD9"/>
    <w:rsid w:val="01D84888"/>
    <w:rsid w:val="01EA356F"/>
    <w:rsid w:val="02102EE8"/>
    <w:rsid w:val="02123DB6"/>
    <w:rsid w:val="02131C1D"/>
    <w:rsid w:val="022F6B7C"/>
    <w:rsid w:val="025C1016"/>
    <w:rsid w:val="025C7C16"/>
    <w:rsid w:val="026566F3"/>
    <w:rsid w:val="026D4B89"/>
    <w:rsid w:val="02897931"/>
    <w:rsid w:val="028E3199"/>
    <w:rsid w:val="02A84987"/>
    <w:rsid w:val="02AD6C29"/>
    <w:rsid w:val="02B1757E"/>
    <w:rsid w:val="02B613AF"/>
    <w:rsid w:val="02BC113A"/>
    <w:rsid w:val="02C60B85"/>
    <w:rsid w:val="02DD18B6"/>
    <w:rsid w:val="02F523A5"/>
    <w:rsid w:val="02FF592B"/>
    <w:rsid w:val="030F42DA"/>
    <w:rsid w:val="03195159"/>
    <w:rsid w:val="035E700F"/>
    <w:rsid w:val="03687BD5"/>
    <w:rsid w:val="037C7C1A"/>
    <w:rsid w:val="03950013"/>
    <w:rsid w:val="039D55F6"/>
    <w:rsid w:val="03AE3AF3"/>
    <w:rsid w:val="03B31563"/>
    <w:rsid w:val="03DE2286"/>
    <w:rsid w:val="03E85D2E"/>
    <w:rsid w:val="03F2289B"/>
    <w:rsid w:val="03F86B1C"/>
    <w:rsid w:val="040A4AA1"/>
    <w:rsid w:val="041022F0"/>
    <w:rsid w:val="042F62B6"/>
    <w:rsid w:val="044A176C"/>
    <w:rsid w:val="04510922"/>
    <w:rsid w:val="0475494B"/>
    <w:rsid w:val="047E0AB9"/>
    <w:rsid w:val="047F15AB"/>
    <w:rsid w:val="048D685F"/>
    <w:rsid w:val="04906AFB"/>
    <w:rsid w:val="04B64387"/>
    <w:rsid w:val="04B84620"/>
    <w:rsid w:val="04C7090F"/>
    <w:rsid w:val="04D942E4"/>
    <w:rsid w:val="04ED6048"/>
    <w:rsid w:val="04F27A0F"/>
    <w:rsid w:val="05087233"/>
    <w:rsid w:val="050A6C0A"/>
    <w:rsid w:val="051777D5"/>
    <w:rsid w:val="05205135"/>
    <w:rsid w:val="052E6005"/>
    <w:rsid w:val="05501595"/>
    <w:rsid w:val="055965AA"/>
    <w:rsid w:val="055B3B66"/>
    <w:rsid w:val="056B3129"/>
    <w:rsid w:val="05CE609C"/>
    <w:rsid w:val="05E12225"/>
    <w:rsid w:val="05E53049"/>
    <w:rsid w:val="05F56F81"/>
    <w:rsid w:val="06045AA9"/>
    <w:rsid w:val="06071298"/>
    <w:rsid w:val="060E0422"/>
    <w:rsid w:val="06163B39"/>
    <w:rsid w:val="062B6229"/>
    <w:rsid w:val="0653338F"/>
    <w:rsid w:val="06581AF4"/>
    <w:rsid w:val="066C0621"/>
    <w:rsid w:val="0670519B"/>
    <w:rsid w:val="06A0349B"/>
    <w:rsid w:val="06B17CB4"/>
    <w:rsid w:val="06C02D18"/>
    <w:rsid w:val="06E46268"/>
    <w:rsid w:val="06F01445"/>
    <w:rsid w:val="07195727"/>
    <w:rsid w:val="071B2C2E"/>
    <w:rsid w:val="07283BBC"/>
    <w:rsid w:val="075D2619"/>
    <w:rsid w:val="07720751"/>
    <w:rsid w:val="077E558A"/>
    <w:rsid w:val="078742B3"/>
    <w:rsid w:val="07B87418"/>
    <w:rsid w:val="07D054B3"/>
    <w:rsid w:val="07D12C86"/>
    <w:rsid w:val="07F12200"/>
    <w:rsid w:val="0818456B"/>
    <w:rsid w:val="081A339A"/>
    <w:rsid w:val="08236132"/>
    <w:rsid w:val="08257C7A"/>
    <w:rsid w:val="08397703"/>
    <w:rsid w:val="083A05AF"/>
    <w:rsid w:val="0858227F"/>
    <w:rsid w:val="08716E9D"/>
    <w:rsid w:val="08A07BBF"/>
    <w:rsid w:val="08A8403D"/>
    <w:rsid w:val="08C571E9"/>
    <w:rsid w:val="08D65F4B"/>
    <w:rsid w:val="08D72CFC"/>
    <w:rsid w:val="08F13376"/>
    <w:rsid w:val="08F73F38"/>
    <w:rsid w:val="0903431A"/>
    <w:rsid w:val="09095327"/>
    <w:rsid w:val="090E6DE2"/>
    <w:rsid w:val="09137F54"/>
    <w:rsid w:val="091E1603"/>
    <w:rsid w:val="092D0DA0"/>
    <w:rsid w:val="09313208"/>
    <w:rsid w:val="093F50D4"/>
    <w:rsid w:val="09424953"/>
    <w:rsid w:val="095864E6"/>
    <w:rsid w:val="096C444A"/>
    <w:rsid w:val="096F4D95"/>
    <w:rsid w:val="097053A7"/>
    <w:rsid w:val="097438B8"/>
    <w:rsid w:val="098A005C"/>
    <w:rsid w:val="099A638F"/>
    <w:rsid w:val="09AC7F67"/>
    <w:rsid w:val="09B90AFC"/>
    <w:rsid w:val="09BB7E03"/>
    <w:rsid w:val="09D46402"/>
    <w:rsid w:val="09D662AB"/>
    <w:rsid w:val="09D75426"/>
    <w:rsid w:val="09DC2A3C"/>
    <w:rsid w:val="09DF48E1"/>
    <w:rsid w:val="09E43CE3"/>
    <w:rsid w:val="09E55D95"/>
    <w:rsid w:val="09EE4D5A"/>
    <w:rsid w:val="0A0B3CBF"/>
    <w:rsid w:val="0A330A9D"/>
    <w:rsid w:val="0A341AA6"/>
    <w:rsid w:val="0A474359"/>
    <w:rsid w:val="0A563076"/>
    <w:rsid w:val="0A6359E2"/>
    <w:rsid w:val="0A6A3006"/>
    <w:rsid w:val="0A6E6D86"/>
    <w:rsid w:val="0A764C3F"/>
    <w:rsid w:val="0A9D19EC"/>
    <w:rsid w:val="0ACA0AE6"/>
    <w:rsid w:val="0AD55D7C"/>
    <w:rsid w:val="0AD656DD"/>
    <w:rsid w:val="0AEE0C79"/>
    <w:rsid w:val="0B1A7D44"/>
    <w:rsid w:val="0B480257"/>
    <w:rsid w:val="0B4B7E79"/>
    <w:rsid w:val="0B5B6DBA"/>
    <w:rsid w:val="0B890A97"/>
    <w:rsid w:val="0BA26B01"/>
    <w:rsid w:val="0BBF2ED5"/>
    <w:rsid w:val="0BC646BC"/>
    <w:rsid w:val="0C05788D"/>
    <w:rsid w:val="0C2C70B6"/>
    <w:rsid w:val="0C2E7E48"/>
    <w:rsid w:val="0C353565"/>
    <w:rsid w:val="0C3865A9"/>
    <w:rsid w:val="0C401EB4"/>
    <w:rsid w:val="0C4921C5"/>
    <w:rsid w:val="0C5438B2"/>
    <w:rsid w:val="0C9016AD"/>
    <w:rsid w:val="0C9141AC"/>
    <w:rsid w:val="0C9559DF"/>
    <w:rsid w:val="0C9870EE"/>
    <w:rsid w:val="0CB101B0"/>
    <w:rsid w:val="0CC223BD"/>
    <w:rsid w:val="0CC30211"/>
    <w:rsid w:val="0CD619C5"/>
    <w:rsid w:val="0CF601FB"/>
    <w:rsid w:val="0CF76409"/>
    <w:rsid w:val="0D072B9A"/>
    <w:rsid w:val="0D11573C"/>
    <w:rsid w:val="0D4234FE"/>
    <w:rsid w:val="0D4340CA"/>
    <w:rsid w:val="0D584E13"/>
    <w:rsid w:val="0D6C6B30"/>
    <w:rsid w:val="0D703AF1"/>
    <w:rsid w:val="0D71793F"/>
    <w:rsid w:val="0D72292F"/>
    <w:rsid w:val="0D82097C"/>
    <w:rsid w:val="0D84798A"/>
    <w:rsid w:val="0D965A32"/>
    <w:rsid w:val="0D9F0112"/>
    <w:rsid w:val="0DAB4BFF"/>
    <w:rsid w:val="0DAF5EB9"/>
    <w:rsid w:val="0DB50B2F"/>
    <w:rsid w:val="0DC66F3D"/>
    <w:rsid w:val="0DF34C60"/>
    <w:rsid w:val="0E2D3866"/>
    <w:rsid w:val="0E43752E"/>
    <w:rsid w:val="0E4532A6"/>
    <w:rsid w:val="0E5F6E06"/>
    <w:rsid w:val="0E600B76"/>
    <w:rsid w:val="0E673936"/>
    <w:rsid w:val="0E68551B"/>
    <w:rsid w:val="0E735F69"/>
    <w:rsid w:val="0E7A4F47"/>
    <w:rsid w:val="0E7B0A75"/>
    <w:rsid w:val="0E82200E"/>
    <w:rsid w:val="0E87741A"/>
    <w:rsid w:val="0EA8219D"/>
    <w:rsid w:val="0EA93835"/>
    <w:rsid w:val="0EAA7883"/>
    <w:rsid w:val="0EAE0E4B"/>
    <w:rsid w:val="0EB13B2F"/>
    <w:rsid w:val="0EC33B21"/>
    <w:rsid w:val="0EC65296"/>
    <w:rsid w:val="0ED87C76"/>
    <w:rsid w:val="0EE37B71"/>
    <w:rsid w:val="0F073315"/>
    <w:rsid w:val="0F1658A5"/>
    <w:rsid w:val="0F2A57D8"/>
    <w:rsid w:val="0F2B55F6"/>
    <w:rsid w:val="0F466D20"/>
    <w:rsid w:val="0F4E1AD3"/>
    <w:rsid w:val="0F586415"/>
    <w:rsid w:val="0F592880"/>
    <w:rsid w:val="0F640839"/>
    <w:rsid w:val="0F692FC4"/>
    <w:rsid w:val="0F6E0FB8"/>
    <w:rsid w:val="0F975858"/>
    <w:rsid w:val="0FA17EB3"/>
    <w:rsid w:val="0FAB4A0B"/>
    <w:rsid w:val="0FBA110B"/>
    <w:rsid w:val="0FBA2B3E"/>
    <w:rsid w:val="0FD02393"/>
    <w:rsid w:val="0FDA69F6"/>
    <w:rsid w:val="0FEF171B"/>
    <w:rsid w:val="0FF43425"/>
    <w:rsid w:val="0FF85A5B"/>
    <w:rsid w:val="100B120E"/>
    <w:rsid w:val="102201FD"/>
    <w:rsid w:val="102E1B18"/>
    <w:rsid w:val="1037379A"/>
    <w:rsid w:val="10507CE0"/>
    <w:rsid w:val="105166CC"/>
    <w:rsid w:val="105B114E"/>
    <w:rsid w:val="105E0CDE"/>
    <w:rsid w:val="106054CF"/>
    <w:rsid w:val="10614099"/>
    <w:rsid w:val="10853AAC"/>
    <w:rsid w:val="10AE6453"/>
    <w:rsid w:val="10C009C2"/>
    <w:rsid w:val="10D662BF"/>
    <w:rsid w:val="10D80401"/>
    <w:rsid w:val="10E01064"/>
    <w:rsid w:val="10F13271"/>
    <w:rsid w:val="10FF4A5D"/>
    <w:rsid w:val="110C6F27"/>
    <w:rsid w:val="11286567"/>
    <w:rsid w:val="113C4F76"/>
    <w:rsid w:val="11596BB5"/>
    <w:rsid w:val="115A0EEE"/>
    <w:rsid w:val="116457F1"/>
    <w:rsid w:val="11845E93"/>
    <w:rsid w:val="11B60016"/>
    <w:rsid w:val="11DD7458"/>
    <w:rsid w:val="11E6308D"/>
    <w:rsid w:val="11EB328A"/>
    <w:rsid w:val="11F45033"/>
    <w:rsid w:val="12040312"/>
    <w:rsid w:val="120A31AF"/>
    <w:rsid w:val="12561D1D"/>
    <w:rsid w:val="125E0CD2"/>
    <w:rsid w:val="126E1828"/>
    <w:rsid w:val="127D203B"/>
    <w:rsid w:val="12887C05"/>
    <w:rsid w:val="128A21D8"/>
    <w:rsid w:val="128E58B4"/>
    <w:rsid w:val="12922832"/>
    <w:rsid w:val="12A0411B"/>
    <w:rsid w:val="12B3249A"/>
    <w:rsid w:val="12BB727E"/>
    <w:rsid w:val="12C308D1"/>
    <w:rsid w:val="12E90D0E"/>
    <w:rsid w:val="13023513"/>
    <w:rsid w:val="130B2642"/>
    <w:rsid w:val="13160D6D"/>
    <w:rsid w:val="132F1E2E"/>
    <w:rsid w:val="132F6F6F"/>
    <w:rsid w:val="13561816"/>
    <w:rsid w:val="1356385F"/>
    <w:rsid w:val="136D548D"/>
    <w:rsid w:val="13840327"/>
    <w:rsid w:val="13BE2E3E"/>
    <w:rsid w:val="13C73F1E"/>
    <w:rsid w:val="13D82E31"/>
    <w:rsid w:val="1407543A"/>
    <w:rsid w:val="140D0925"/>
    <w:rsid w:val="141430ED"/>
    <w:rsid w:val="14302302"/>
    <w:rsid w:val="143516C6"/>
    <w:rsid w:val="143F42F3"/>
    <w:rsid w:val="146D4FE5"/>
    <w:rsid w:val="14832432"/>
    <w:rsid w:val="149752D2"/>
    <w:rsid w:val="149955F1"/>
    <w:rsid w:val="14AE366D"/>
    <w:rsid w:val="14E378A9"/>
    <w:rsid w:val="14E9250C"/>
    <w:rsid w:val="14EF48EE"/>
    <w:rsid w:val="14F80D42"/>
    <w:rsid w:val="150B635E"/>
    <w:rsid w:val="150E4805"/>
    <w:rsid w:val="15226A72"/>
    <w:rsid w:val="15250B3A"/>
    <w:rsid w:val="1530670B"/>
    <w:rsid w:val="1549176A"/>
    <w:rsid w:val="1562473D"/>
    <w:rsid w:val="15741B4D"/>
    <w:rsid w:val="157C1295"/>
    <w:rsid w:val="1588590C"/>
    <w:rsid w:val="158B3283"/>
    <w:rsid w:val="15942741"/>
    <w:rsid w:val="15A5761C"/>
    <w:rsid w:val="15A9236C"/>
    <w:rsid w:val="15C41F6F"/>
    <w:rsid w:val="15D95805"/>
    <w:rsid w:val="15F11190"/>
    <w:rsid w:val="15F80BFE"/>
    <w:rsid w:val="15F85DE6"/>
    <w:rsid w:val="16341684"/>
    <w:rsid w:val="16394EC0"/>
    <w:rsid w:val="16421E79"/>
    <w:rsid w:val="1651030E"/>
    <w:rsid w:val="1659531E"/>
    <w:rsid w:val="166E0EC0"/>
    <w:rsid w:val="16997FD0"/>
    <w:rsid w:val="169F0158"/>
    <w:rsid w:val="16A10BCA"/>
    <w:rsid w:val="16C66BE6"/>
    <w:rsid w:val="16D43419"/>
    <w:rsid w:val="16D55CB8"/>
    <w:rsid w:val="16D9501B"/>
    <w:rsid w:val="16DE6045"/>
    <w:rsid w:val="16EF3DAF"/>
    <w:rsid w:val="17142A15"/>
    <w:rsid w:val="1725583B"/>
    <w:rsid w:val="1725731E"/>
    <w:rsid w:val="172600A9"/>
    <w:rsid w:val="17572B9C"/>
    <w:rsid w:val="178707C2"/>
    <w:rsid w:val="179100AB"/>
    <w:rsid w:val="17A5171C"/>
    <w:rsid w:val="17CB3934"/>
    <w:rsid w:val="17FE0021"/>
    <w:rsid w:val="17FF11E9"/>
    <w:rsid w:val="18005138"/>
    <w:rsid w:val="1825665B"/>
    <w:rsid w:val="1826220B"/>
    <w:rsid w:val="18281015"/>
    <w:rsid w:val="184E53D4"/>
    <w:rsid w:val="1854340F"/>
    <w:rsid w:val="185E46D9"/>
    <w:rsid w:val="186D426B"/>
    <w:rsid w:val="188906B7"/>
    <w:rsid w:val="189E637B"/>
    <w:rsid w:val="18BB651D"/>
    <w:rsid w:val="18C21C4F"/>
    <w:rsid w:val="18C43DCA"/>
    <w:rsid w:val="18DA370C"/>
    <w:rsid w:val="18E436BB"/>
    <w:rsid w:val="19002914"/>
    <w:rsid w:val="190E253D"/>
    <w:rsid w:val="191120AF"/>
    <w:rsid w:val="19181BDE"/>
    <w:rsid w:val="19433FC0"/>
    <w:rsid w:val="196103F9"/>
    <w:rsid w:val="196B14AE"/>
    <w:rsid w:val="19773162"/>
    <w:rsid w:val="19831126"/>
    <w:rsid w:val="198A5EC7"/>
    <w:rsid w:val="199D5AC2"/>
    <w:rsid w:val="19A1022E"/>
    <w:rsid w:val="19B22CDC"/>
    <w:rsid w:val="19BF1530"/>
    <w:rsid w:val="19DE3BFF"/>
    <w:rsid w:val="19F504BF"/>
    <w:rsid w:val="1A13499A"/>
    <w:rsid w:val="1A142343"/>
    <w:rsid w:val="1A1E357E"/>
    <w:rsid w:val="1A345F7C"/>
    <w:rsid w:val="1A413514"/>
    <w:rsid w:val="1A587BF3"/>
    <w:rsid w:val="1A6105AA"/>
    <w:rsid w:val="1A692698"/>
    <w:rsid w:val="1A6C20A0"/>
    <w:rsid w:val="1A6F6D3D"/>
    <w:rsid w:val="1A704F3C"/>
    <w:rsid w:val="1A751B8A"/>
    <w:rsid w:val="1A7728F4"/>
    <w:rsid w:val="1A8B7005"/>
    <w:rsid w:val="1AA10E99"/>
    <w:rsid w:val="1AA15212"/>
    <w:rsid w:val="1ABE7FFF"/>
    <w:rsid w:val="1AF65A73"/>
    <w:rsid w:val="1B15245C"/>
    <w:rsid w:val="1B1838EF"/>
    <w:rsid w:val="1B1A1616"/>
    <w:rsid w:val="1B3C1606"/>
    <w:rsid w:val="1B490BB9"/>
    <w:rsid w:val="1B742AD4"/>
    <w:rsid w:val="1B823818"/>
    <w:rsid w:val="1BA469DF"/>
    <w:rsid w:val="1BA64C58"/>
    <w:rsid w:val="1BA90A64"/>
    <w:rsid w:val="1BB21D96"/>
    <w:rsid w:val="1BBF5D08"/>
    <w:rsid w:val="1C177904"/>
    <w:rsid w:val="1C210057"/>
    <w:rsid w:val="1C35664D"/>
    <w:rsid w:val="1C59115B"/>
    <w:rsid w:val="1C613CCA"/>
    <w:rsid w:val="1C7134B8"/>
    <w:rsid w:val="1CB9400D"/>
    <w:rsid w:val="1CC1604E"/>
    <w:rsid w:val="1CC23D13"/>
    <w:rsid w:val="1CC47B7B"/>
    <w:rsid w:val="1CC62C82"/>
    <w:rsid w:val="1CC63804"/>
    <w:rsid w:val="1CCC4063"/>
    <w:rsid w:val="1CD67367"/>
    <w:rsid w:val="1CDA364E"/>
    <w:rsid w:val="1CFD2B24"/>
    <w:rsid w:val="1D344C11"/>
    <w:rsid w:val="1D4B1F5B"/>
    <w:rsid w:val="1D556F39"/>
    <w:rsid w:val="1D7414B2"/>
    <w:rsid w:val="1D862F93"/>
    <w:rsid w:val="1DA022A7"/>
    <w:rsid w:val="1DA653E3"/>
    <w:rsid w:val="1DA940DF"/>
    <w:rsid w:val="1DB964C8"/>
    <w:rsid w:val="1DBC13BC"/>
    <w:rsid w:val="1DF63C75"/>
    <w:rsid w:val="1DFF2E17"/>
    <w:rsid w:val="1E043956"/>
    <w:rsid w:val="1E0765B2"/>
    <w:rsid w:val="1E186026"/>
    <w:rsid w:val="1E384E6B"/>
    <w:rsid w:val="1E4E1D03"/>
    <w:rsid w:val="1E566E09"/>
    <w:rsid w:val="1E63672A"/>
    <w:rsid w:val="1E686B6B"/>
    <w:rsid w:val="1E6E4153"/>
    <w:rsid w:val="1E894AE9"/>
    <w:rsid w:val="1E9D3BAA"/>
    <w:rsid w:val="1EA266C0"/>
    <w:rsid w:val="1EA54146"/>
    <w:rsid w:val="1EBB6C6C"/>
    <w:rsid w:val="1EBD0C36"/>
    <w:rsid w:val="1EBF49AE"/>
    <w:rsid w:val="1EC00C2B"/>
    <w:rsid w:val="1ED90941"/>
    <w:rsid w:val="1EEA1E45"/>
    <w:rsid w:val="1EEE0DF0"/>
    <w:rsid w:val="1F005F4C"/>
    <w:rsid w:val="1F2E5C5F"/>
    <w:rsid w:val="1F324DD9"/>
    <w:rsid w:val="1F500200"/>
    <w:rsid w:val="1F501AAA"/>
    <w:rsid w:val="1F6115C2"/>
    <w:rsid w:val="1F7F413E"/>
    <w:rsid w:val="1F822D28"/>
    <w:rsid w:val="1F9279CD"/>
    <w:rsid w:val="1F9C1B32"/>
    <w:rsid w:val="1FB15D5B"/>
    <w:rsid w:val="1FB3239F"/>
    <w:rsid w:val="1FB335F7"/>
    <w:rsid w:val="1FBC7140"/>
    <w:rsid w:val="1FC97167"/>
    <w:rsid w:val="1FF7772D"/>
    <w:rsid w:val="20191E9C"/>
    <w:rsid w:val="201B64C7"/>
    <w:rsid w:val="201F2406"/>
    <w:rsid w:val="202B4E94"/>
    <w:rsid w:val="203171E6"/>
    <w:rsid w:val="20425953"/>
    <w:rsid w:val="204F69D2"/>
    <w:rsid w:val="206F660B"/>
    <w:rsid w:val="20843875"/>
    <w:rsid w:val="209F6845"/>
    <w:rsid w:val="20B50DA4"/>
    <w:rsid w:val="20B83463"/>
    <w:rsid w:val="20C1646C"/>
    <w:rsid w:val="20D10A28"/>
    <w:rsid w:val="20D22EE3"/>
    <w:rsid w:val="20D41D2C"/>
    <w:rsid w:val="210E0EEE"/>
    <w:rsid w:val="21215EAD"/>
    <w:rsid w:val="21502972"/>
    <w:rsid w:val="21537844"/>
    <w:rsid w:val="215C64E4"/>
    <w:rsid w:val="21613AFB"/>
    <w:rsid w:val="216C71C3"/>
    <w:rsid w:val="21723F5A"/>
    <w:rsid w:val="21846654"/>
    <w:rsid w:val="21934799"/>
    <w:rsid w:val="21F07646"/>
    <w:rsid w:val="22001928"/>
    <w:rsid w:val="220B7F0B"/>
    <w:rsid w:val="222F1EDF"/>
    <w:rsid w:val="2251345B"/>
    <w:rsid w:val="226745E1"/>
    <w:rsid w:val="226D3E54"/>
    <w:rsid w:val="2272003C"/>
    <w:rsid w:val="22827E15"/>
    <w:rsid w:val="22911EBD"/>
    <w:rsid w:val="22995516"/>
    <w:rsid w:val="229B49B6"/>
    <w:rsid w:val="22A47373"/>
    <w:rsid w:val="22AF0271"/>
    <w:rsid w:val="22CE1550"/>
    <w:rsid w:val="22DE333F"/>
    <w:rsid w:val="22DF57AC"/>
    <w:rsid w:val="22F83EE6"/>
    <w:rsid w:val="22F866E1"/>
    <w:rsid w:val="23264FFC"/>
    <w:rsid w:val="235A4CA6"/>
    <w:rsid w:val="235B27CC"/>
    <w:rsid w:val="235C7323"/>
    <w:rsid w:val="2361764F"/>
    <w:rsid w:val="23617BC7"/>
    <w:rsid w:val="23702888"/>
    <w:rsid w:val="239B0E1A"/>
    <w:rsid w:val="239E21FE"/>
    <w:rsid w:val="239F4DAE"/>
    <w:rsid w:val="23AC6A1A"/>
    <w:rsid w:val="23B20B88"/>
    <w:rsid w:val="23B343B6"/>
    <w:rsid w:val="23BF71FF"/>
    <w:rsid w:val="23C96B39"/>
    <w:rsid w:val="23DD1433"/>
    <w:rsid w:val="23ED7304"/>
    <w:rsid w:val="23F13FCE"/>
    <w:rsid w:val="23FA1357"/>
    <w:rsid w:val="23FF3EDE"/>
    <w:rsid w:val="242737E8"/>
    <w:rsid w:val="243C43AB"/>
    <w:rsid w:val="24724271"/>
    <w:rsid w:val="24747FE9"/>
    <w:rsid w:val="247E5533"/>
    <w:rsid w:val="248117F4"/>
    <w:rsid w:val="24875B37"/>
    <w:rsid w:val="2492046F"/>
    <w:rsid w:val="24C85C3F"/>
    <w:rsid w:val="24CB7AAA"/>
    <w:rsid w:val="24ED397B"/>
    <w:rsid w:val="25062104"/>
    <w:rsid w:val="251610A0"/>
    <w:rsid w:val="251D73FB"/>
    <w:rsid w:val="25292A9F"/>
    <w:rsid w:val="253F0DC9"/>
    <w:rsid w:val="2540611D"/>
    <w:rsid w:val="254F572A"/>
    <w:rsid w:val="255B0327"/>
    <w:rsid w:val="258C5790"/>
    <w:rsid w:val="25900E53"/>
    <w:rsid w:val="25AC730F"/>
    <w:rsid w:val="25DD55FB"/>
    <w:rsid w:val="25E635ED"/>
    <w:rsid w:val="25E76599"/>
    <w:rsid w:val="25EC5E97"/>
    <w:rsid w:val="25EE1820"/>
    <w:rsid w:val="25F25669"/>
    <w:rsid w:val="25F47331"/>
    <w:rsid w:val="26000FFC"/>
    <w:rsid w:val="26431A21"/>
    <w:rsid w:val="264B5B71"/>
    <w:rsid w:val="264C2EC3"/>
    <w:rsid w:val="265E688C"/>
    <w:rsid w:val="26602476"/>
    <w:rsid w:val="2674607E"/>
    <w:rsid w:val="26916114"/>
    <w:rsid w:val="26926505"/>
    <w:rsid w:val="26AB196E"/>
    <w:rsid w:val="26B261B0"/>
    <w:rsid w:val="26BE2A60"/>
    <w:rsid w:val="26C82FA1"/>
    <w:rsid w:val="26D926BA"/>
    <w:rsid w:val="26E057A9"/>
    <w:rsid w:val="27172430"/>
    <w:rsid w:val="271C0821"/>
    <w:rsid w:val="2724615F"/>
    <w:rsid w:val="27247AA4"/>
    <w:rsid w:val="273F1876"/>
    <w:rsid w:val="27463747"/>
    <w:rsid w:val="27531BDA"/>
    <w:rsid w:val="2769195B"/>
    <w:rsid w:val="276F4AA0"/>
    <w:rsid w:val="278301EA"/>
    <w:rsid w:val="27935043"/>
    <w:rsid w:val="27982240"/>
    <w:rsid w:val="279938C3"/>
    <w:rsid w:val="27AC5F0E"/>
    <w:rsid w:val="27B73209"/>
    <w:rsid w:val="27CC365C"/>
    <w:rsid w:val="280B7BC3"/>
    <w:rsid w:val="280E0EF6"/>
    <w:rsid w:val="282728B7"/>
    <w:rsid w:val="28486AB3"/>
    <w:rsid w:val="284D6D1F"/>
    <w:rsid w:val="28520641"/>
    <w:rsid w:val="28575CC3"/>
    <w:rsid w:val="28643ED1"/>
    <w:rsid w:val="286B1703"/>
    <w:rsid w:val="286C4031"/>
    <w:rsid w:val="287265EE"/>
    <w:rsid w:val="287A4CDA"/>
    <w:rsid w:val="28A37EB2"/>
    <w:rsid w:val="28B40580"/>
    <w:rsid w:val="28B76287"/>
    <w:rsid w:val="28BF5277"/>
    <w:rsid w:val="28CF69D6"/>
    <w:rsid w:val="28D2408A"/>
    <w:rsid w:val="28EF1E39"/>
    <w:rsid w:val="2909272D"/>
    <w:rsid w:val="290F02E0"/>
    <w:rsid w:val="29224DE0"/>
    <w:rsid w:val="292A6EC8"/>
    <w:rsid w:val="292D7947"/>
    <w:rsid w:val="293270B1"/>
    <w:rsid w:val="29453CC8"/>
    <w:rsid w:val="295411CF"/>
    <w:rsid w:val="29567CBD"/>
    <w:rsid w:val="296C4DB3"/>
    <w:rsid w:val="29712D49"/>
    <w:rsid w:val="2973261D"/>
    <w:rsid w:val="29736FE5"/>
    <w:rsid w:val="29766F66"/>
    <w:rsid w:val="298B3B0A"/>
    <w:rsid w:val="298D3A07"/>
    <w:rsid w:val="29954C89"/>
    <w:rsid w:val="29966735"/>
    <w:rsid w:val="29F37C02"/>
    <w:rsid w:val="29FA4177"/>
    <w:rsid w:val="2A056F23"/>
    <w:rsid w:val="2A0F7D89"/>
    <w:rsid w:val="2A3034C7"/>
    <w:rsid w:val="2A375D41"/>
    <w:rsid w:val="2A4163FA"/>
    <w:rsid w:val="2A5630ED"/>
    <w:rsid w:val="2A66642C"/>
    <w:rsid w:val="2A681556"/>
    <w:rsid w:val="2A7D5456"/>
    <w:rsid w:val="2A7F525C"/>
    <w:rsid w:val="2A881ACC"/>
    <w:rsid w:val="2A8D43DD"/>
    <w:rsid w:val="2A994305"/>
    <w:rsid w:val="2AA50EFC"/>
    <w:rsid w:val="2AB00919"/>
    <w:rsid w:val="2AC14717"/>
    <w:rsid w:val="2ACE3AF2"/>
    <w:rsid w:val="2ACF7D27"/>
    <w:rsid w:val="2AD23FB4"/>
    <w:rsid w:val="2AE02319"/>
    <w:rsid w:val="2AE6153A"/>
    <w:rsid w:val="2AE86AF0"/>
    <w:rsid w:val="2AE8729A"/>
    <w:rsid w:val="2AFE23BA"/>
    <w:rsid w:val="2B02634F"/>
    <w:rsid w:val="2B1004CE"/>
    <w:rsid w:val="2B166C16"/>
    <w:rsid w:val="2B3E4676"/>
    <w:rsid w:val="2B496BFF"/>
    <w:rsid w:val="2B6D6F98"/>
    <w:rsid w:val="2B770F05"/>
    <w:rsid w:val="2B795EE5"/>
    <w:rsid w:val="2B844FB6"/>
    <w:rsid w:val="2B865E5F"/>
    <w:rsid w:val="2B8A527B"/>
    <w:rsid w:val="2B8D6D49"/>
    <w:rsid w:val="2B9351F9"/>
    <w:rsid w:val="2BC73BAB"/>
    <w:rsid w:val="2BE6540C"/>
    <w:rsid w:val="2BFC07F2"/>
    <w:rsid w:val="2BFD474A"/>
    <w:rsid w:val="2C030E8A"/>
    <w:rsid w:val="2C0B7249"/>
    <w:rsid w:val="2C0F1FC2"/>
    <w:rsid w:val="2C231EC3"/>
    <w:rsid w:val="2C232F76"/>
    <w:rsid w:val="2C4B5AD3"/>
    <w:rsid w:val="2C704F25"/>
    <w:rsid w:val="2C844DC2"/>
    <w:rsid w:val="2C8763E0"/>
    <w:rsid w:val="2C941365"/>
    <w:rsid w:val="2C952E29"/>
    <w:rsid w:val="2C9A366D"/>
    <w:rsid w:val="2CB455DD"/>
    <w:rsid w:val="2CC46893"/>
    <w:rsid w:val="2CD535EF"/>
    <w:rsid w:val="2CD979CA"/>
    <w:rsid w:val="2CEC4B80"/>
    <w:rsid w:val="2CEC6B9E"/>
    <w:rsid w:val="2CFF2E26"/>
    <w:rsid w:val="2D252FE1"/>
    <w:rsid w:val="2D371BB4"/>
    <w:rsid w:val="2D3B6280"/>
    <w:rsid w:val="2D465E11"/>
    <w:rsid w:val="2D4B2224"/>
    <w:rsid w:val="2D4F7B80"/>
    <w:rsid w:val="2D536E7A"/>
    <w:rsid w:val="2D5C205E"/>
    <w:rsid w:val="2D6E4577"/>
    <w:rsid w:val="2D943597"/>
    <w:rsid w:val="2D957092"/>
    <w:rsid w:val="2DAD6525"/>
    <w:rsid w:val="2DB24CA7"/>
    <w:rsid w:val="2DB33930"/>
    <w:rsid w:val="2DD021FE"/>
    <w:rsid w:val="2DD815E9"/>
    <w:rsid w:val="2DE053A8"/>
    <w:rsid w:val="2DF33D2D"/>
    <w:rsid w:val="2DFA155E"/>
    <w:rsid w:val="2E007628"/>
    <w:rsid w:val="2E033D28"/>
    <w:rsid w:val="2E2760CC"/>
    <w:rsid w:val="2E364F28"/>
    <w:rsid w:val="2E4232D2"/>
    <w:rsid w:val="2E57104F"/>
    <w:rsid w:val="2E7110F5"/>
    <w:rsid w:val="2E7B0303"/>
    <w:rsid w:val="2E7E3F56"/>
    <w:rsid w:val="2E8D0030"/>
    <w:rsid w:val="2EA17C2D"/>
    <w:rsid w:val="2EA24D6B"/>
    <w:rsid w:val="2EF266D0"/>
    <w:rsid w:val="2EFF232D"/>
    <w:rsid w:val="2EFF5184"/>
    <w:rsid w:val="2F187F34"/>
    <w:rsid w:val="2F4C48DC"/>
    <w:rsid w:val="2F573D83"/>
    <w:rsid w:val="2F6762E4"/>
    <w:rsid w:val="2F6A2714"/>
    <w:rsid w:val="2F6B6425"/>
    <w:rsid w:val="2F776BDF"/>
    <w:rsid w:val="2F827A5E"/>
    <w:rsid w:val="2F87459D"/>
    <w:rsid w:val="2F8F5CD7"/>
    <w:rsid w:val="2FA322D7"/>
    <w:rsid w:val="2FB248B0"/>
    <w:rsid w:val="2FDC6A42"/>
    <w:rsid w:val="2FE204FD"/>
    <w:rsid w:val="300D27B6"/>
    <w:rsid w:val="30190DFD"/>
    <w:rsid w:val="301D32E3"/>
    <w:rsid w:val="30324007"/>
    <w:rsid w:val="303E7CF5"/>
    <w:rsid w:val="30410E15"/>
    <w:rsid w:val="30447C24"/>
    <w:rsid w:val="304B7410"/>
    <w:rsid w:val="30550CCF"/>
    <w:rsid w:val="30662713"/>
    <w:rsid w:val="3079289A"/>
    <w:rsid w:val="308A26A8"/>
    <w:rsid w:val="30C6397A"/>
    <w:rsid w:val="30DD5C2B"/>
    <w:rsid w:val="30F12943"/>
    <w:rsid w:val="30F30801"/>
    <w:rsid w:val="31034F0A"/>
    <w:rsid w:val="31305298"/>
    <w:rsid w:val="313141E1"/>
    <w:rsid w:val="31323BB1"/>
    <w:rsid w:val="314D5E4A"/>
    <w:rsid w:val="315947EF"/>
    <w:rsid w:val="316F5DC0"/>
    <w:rsid w:val="31853836"/>
    <w:rsid w:val="31A87BE9"/>
    <w:rsid w:val="31C20CCC"/>
    <w:rsid w:val="31D40319"/>
    <w:rsid w:val="31D433CA"/>
    <w:rsid w:val="31D963DD"/>
    <w:rsid w:val="32165AC4"/>
    <w:rsid w:val="321848A0"/>
    <w:rsid w:val="32364B30"/>
    <w:rsid w:val="323A1733"/>
    <w:rsid w:val="323D1A1A"/>
    <w:rsid w:val="325B0FA8"/>
    <w:rsid w:val="325C117B"/>
    <w:rsid w:val="32743D5D"/>
    <w:rsid w:val="32863051"/>
    <w:rsid w:val="329029CD"/>
    <w:rsid w:val="32A34F36"/>
    <w:rsid w:val="32AC7FC4"/>
    <w:rsid w:val="32FD2138"/>
    <w:rsid w:val="33076910"/>
    <w:rsid w:val="331D6C5F"/>
    <w:rsid w:val="332957FB"/>
    <w:rsid w:val="334A5539"/>
    <w:rsid w:val="334B2892"/>
    <w:rsid w:val="33550FE6"/>
    <w:rsid w:val="336851BD"/>
    <w:rsid w:val="336A2CE3"/>
    <w:rsid w:val="337B5F4E"/>
    <w:rsid w:val="33802E4E"/>
    <w:rsid w:val="33B91574"/>
    <w:rsid w:val="33CF2B46"/>
    <w:rsid w:val="33DB2E25"/>
    <w:rsid w:val="33E21A62"/>
    <w:rsid w:val="33E74334"/>
    <w:rsid w:val="33EA12CE"/>
    <w:rsid w:val="33FF008E"/>
    <w:rsid w:val="34076441"/>
    <w:rsid w:val="341416D0"/>
    <w:rsid w:val="34282029"/>
    <w:rsid w:val="343C51BE"/>
    <w:rsid w:val="34776C95"/>
    <w:rsid w:val="34815013"/>
    <w:rsid w:val="34916596"/>
    <w:rsid w:val="349974E7"/>
    <w:rsid w:val="34B74D4F"/>
    <w:rsid w:val="34C36335"/>
    <w:rsid w:val="34C42847"/>
    <w:rsid w:val="34D060A0"/>
    <w:rsid w:val="34E56493"/>
    <w:rsid w:val="34EB0CD0"/>
    <w:rsid w:val="34FC1B12"/>
    <w:rsid w:val="35112B4A"/>
    <w:rsid w:val="351B1DBB"/>
    <w:rsid w:val="352A29A2"/>
    <w:rsid w:val="352D112C"/>
    <w:rsid w:val="35375348"/>
    <w:rsid w:val="35425726"/>
    <w:rsid w:val="354457B6"/>
    <w:rsid w:val="3569556B"/>
    <w:rsid w:val="35750E4A"/>
    <w:rsid w:val="358374A1"/>
    <w:rsid w:val="359961F6"/>
    <w:rsid w:val="361D64B0"/>
    <w:rsid w:val="362F5873"/>
    <w:rsid w:val="36306787"/>
    <w:rsid w:val="36356EAC"/>
    <w:rsid w:val="36440597"/>
    <w:rsid w:val="36640C46"/>
    <w:rsid w:val="36743882"/>
    <w:rsid w:val="367C2037"/>
    <w:rsid w:val="36A83949"/>
    <w:rsid w:val="36BA5F52"/>
    <w:rsid w:val="36C97C9C"/>
    <w:rsid w:val="36D5119A"/>
    <w:rsid w:val="36DF321D"/>
    <w:rsid w:val="36F23C0E"/>
    <w:rsid w:val="37154D84"/>
    <w:rsid w:val="371F3EA6"/>
    <w:rsid w:val="37205944"/>
    <w:rsid w:val="374970B3"/>
    <w:rsid w:val="374E3303"/>
    <w:rsid w:val="375F68D7"/>
    <w:rsid w:val="376E4733"/>
    <w:rsid w:val="377E5277"/>
    <w:rsid w:val="378109BC"/>
    <w:rsid w:val="37823111"/>
    <w:rsid w:val="37A33F4B"/>
    <w:rsid w:val="37B26A07"/>
    <w:rsid w:val="37B3452D"/>
    <w:rsid w:val="37B565B2"/>
    <w:rsid w:val="37BC72FF"/>
    <w:rsid w:val="37C4673A"/>
    <w:rsid w:val="37D01583"/>
    <w:rsid w:val="37E3005B"/>
    <w:rsid w:val="37F45271"/>
    <w:rsid w:val="37F665FF"/>
    <w:rsid w:val="37F75AC9"/>
    <w:rsid w:val="37F9570C"/>
    <w:rsid w:val="380A3DA4"/>
    <w:rsid w:val="380F5C07"/>
    <w:rsid w:val="381908AE"/>
    <w:rsid w:val="38284F1B"/>
    <w:rsid w:val="384B0C09"/>
    <w:rsid w:val="384D15D5"/>
    <w:rsid w:val="38683569"/>
    <w:rsid w:val="3881462B"/>
    <w:rsid w:val="38A147D3"/>
    <w:rsid w:val="38A50319"/>
    <w:rsid w:val="38A9615A"/>
    <w:rsid w:val="38BE13DB"/>
    <w:rsid w:val="38CE21D3"/>
    <w:rsid w:val="39033292"/>
    <w:rsid w:val="39094D4C"/>
    <w:rsid w:val="390D31F4"/>
    <w:rsid w:val="390E4110"/>
    <w:rsid w:val="393F251C"/>
    <w:rsid w:val="39462E37"/>
    <w:rsid w:val="39475874"/>
    <w:rsid w:val="395F21EA"/>
    <w:rsid w:val="397C7AAC"/>
    <w:rsid w:val="397E0892"/>
    <w:rsid w:val="398432FC"/>
    <w:rsid w:val="39864E8B"/>
    <w:rsid w:val="399B6AA3"/>
    <w:rsid w:val="39A700C1"/>
    <w:rsid w:val="39A84565"/>
    <w:rsid w:val="39AE31FE"/>
    <w:rsid w:val="39CA6901"/>
    <w:rsid w:val="39ED3668"/>
    <w:rsid w:val="39F43911"/>
    <w:rsid w:val="3A037CC3"/>
    <w:rsid w:val="3A170D7D"/>
    <w:rsid w:val="3A1A5C49"/>
    <w:rsid w:val="3A30455A"/>
    <w:rsid w:val="3A476BFD"/>
    <w:rsid w:val="3A487A68"/>
    <w:rsid w:val="3A4A4988"/>
    <w:rsid w:val="3A4A561C"/>
    <w:rsid w:val="3A4D2A17"/>
    <w:rsid w:val="3A52002D"/>
    <w:rsid w:val="3A5244D1"/>
    <w:rsid w:val="3A6230F7"/>
    <w:rsid w:val="3A661D2A"/>
    <w:rsid w:val="3A6E574F"/>
    <w:rsid w:val="3A7F7E6E"/>
    <w:rsid w:val="3A8D5509"/>
    <w:rsid w:val="3A991D17"/>
    <w:rsid w:val="3AC8354D"/>
    <w:rsid w:val="3AD24D52"/>
    <w:rsid w:val="3AD24EC1"/>
    <w:rsid w:val="3AE13040"/>
    <w:rsid w:val="3AEC01F5"/>
    <w:rsid w:val="3AED3D86"/>
    <w:rsid w:val="3AF52133"/>
    <w:rsid w:val="3AFD788C"/>
    <w:rsid w:val="3B011F11"/>
    <w:rsid w:val="3B10440A"/>
    <w:rsid w:val="3B291BC2"/>
    <w:rsid w:val="3B3D4AAF"/>
    <w:rsid w:val="3B5D312D"/>
    <w:rsid w:val="3B8A5507"/>
    <w:rsid w:val="3BB9547E"/>
    <w:rsid w:val="3BC44C39"/>
    <w:rsid w:val="3BC45EB1"/>
    <w:rsid w:val="3BD50EBF"/>
    <w:rsid w:val="3BED45B1"/>
    <w:rsid w:val="3BF1535E"/>
    <w:rsid w:val="3BF717FB"/>
    <w:rsid w:val="3C097EF0"/>
    <w:rsid w:val="3C1B725D"/>
    <w:rsid w:val="3C3245BA"/>
    <w:rsid w:val="3C425581"/>
    <w:rsid w:val="3C4F10B4"/>
    <w:rsid w:val="3C5A3B8E"/>
    <w:rsid w:val="3C664263"/>
    <w:rsid w:val="3C6E476C"/>
    <w:rsid w:val="3C722D7D"/>
    <w:rsid w:val="3C7A5523"/>
    <w:rsid w:val="3CA37012"/>
    <w:rsid w:val="3CAA105B"/>
    <w:rsid w:val="3CAD762D"/>
    <w:rsid w:val="3CB21257"/>
    <w:rsid w:val="3CEA6B01"/>
    <w:rsid w:val="3D2271DC"/>
    <w:rsid w:val="3D316A52"/>
    <w:rsid w:val="3D40752D"/>
    <w:rsid w:val="3D516B7C"/>
    <w:rsid w:val="3D5C482A"/>
    <w:rsid w:val="3D6E4E53"/>
    <w:rsid w:val="3D7B0CAB"/>
    <w:rsid w:val="3D801355"/>
    <w:rsid w:val="3D924F47"/>
    <w:rsid w:val="3D933161"/>
    <w:rsid w:val="3D962A7D"/>
    <w:rsid w:val="3DA55215"/>
    <w:rsid w:val="3DAB2BED"/>
    <w:rsid w:val="3DBD6105"/>
    <w:rsid w:val="3DD60F75"/>
    <w:rsid w:val="3DF5624C"/>
    <w:rsid w:val="3E06185A"/>
    <w:rsid w:val="3E334A2F"/>
    <w:rsid w:val="3E572893"/>
    <w:rsid w:val="3E611186"/>
    <w:rsid w:val="3E7A2248"/>
    <w:rsid w:val="3E8B2FC1"/>
    <w:rsid w:val="3E9339D2"/>
    <w:rsid w:val="3E9924C6"/>
    <w:rsid w:val="3EB05C6A"/>
    <w:rsid w:val="3EB51D6D"/>
    <w:rsid w:val="3EBD60A8"/>
    <w:rsid w:val="3EDF6309"/>
    <w:rsid w:val="3EE57D41"/>
    <w:rsid w:val="3EF929E4"/>
    <w:rsid w:val="3EFE14D9"/>
    <w:rsid w:val="3F1D39BD"/>
    <w:rsid w:val="3F253F62"/>
    <w:rsid w:val="3F357796"/>
    <w:rsid w:val="3F3F3230"/>
    <w:rsid w:val="3F424B14"/>
    <w:rsid w:val="3F473ED8"/>
    <w:rsid w:val="3F5701CF"/>
    <w:rsid w:val="3F5D4622"/>
    <w:rsid w:val="3F887D8B"/>
    <w:rsid w:val="3FB96C6E"/>
    <w:rsid w:val="3FBA6DA0"/>
    <w:rsid w:val="3FE94852"/>
    <w:rsid w:val="3FEE25A6"/>
    <w:rsid w:val="3FF028AA"/>
    <w:rsid w:val="3FFA03CE"/>
    <w:rsid w:val="4004001B"/>
    <w:rsid w:val="401260B0"/>
    <w:rsid w:val="40175FA1"/>
    <w:rsid w:val="402E5A66"/>
    <w:rsid w:val="40324391"/>
    <w:rsid w:val="40354679"/>
    <w:rsid w:val="403D7CE3"/>
    <w:rsid w:val="404C3770"/>
    <w:rsid w:val="405C696C"/>
    <w:rsid w:val="407313D2"/>
    <w:rsid w:val="40926BB0"/>
    <w:rsid w:val="4094359A"/>
    <w:rsid w:val="40A86BF9"/>
    <w:rsid w:val="40B414F2"/>
    <w:rsid w:val="40CF687B"/>
    <w:rsid w:val="40F0234E"/>
    <w:rsid w:val="40F40090"/>
    <w:rsid w:val="40F46CAF"/>
    <w:rsid w:val="40FC5196"/>
    <w:rsid w:val="40FD625C"/>
    <w:rsid w:val="410544E3"/>
    <w:rsid w:val="41061B71"/>
    <w:rsid w:val="411249BA"/>
    <w:rsid w:val="41140064"/>
    <w:rsid w:val="412169AB"/>
    <w:rsid w:val="41263FC1"/>
    <w:rsid w:val="412759B9"/>
    <w:rsid w:val="412E5F0D"/>
    <w:rsid w:val="41380CFD"/>
    <w:rsid w:val="413B181B"/>
    <w:rsid w:val="41553397"/>
    <w:rsid w:val="416237F3"/>
    <w:rsid w:val="41645C03"/>
    <w:rsid w:val="41665ED0"/>
    <w:rsid w:val="41822C66"/>
    <w:rsid w:val="41A84C6F"/>
    <w:rsid w:val="41A96E8D"/>
    <w:rsid w:val="41E33AEE"/>
    <w:rsid w:val="41E9396D"/>
    <w:rsid w:val="41F610A8"/>
    <w:rsid w:val="41FD2F74"/>
    <w:rsid w:val="421C0F3D"/>
    <w:rsid w:val="42353D89"/>
    <w:rsid w:val="4244047B"/>
    <w:rsid w:val="426052B1"/>
    <w:rsid w:val="42630F38"/>
    <w:rsid w:val="42664FBD"/>
    <w:rsid w:val="42691573"/>
    <w:rsid w:val="427A042F"/>
    <w:rsid w:val="42862F6A"/>
    <w:rsid w:val="42A31D6D"/>
    <w:rsid w:val="42AC5787"/>
    <w:rsid w:val="42BA2DC1"/>
    <w:rsid w:val="42EC59A5"/>
    <w:rsid w:val="42ED4682"/>
    <w:rsid w:val="43234836"/>
    <w:rsid w:val="432758F1"/>
    <w:rsid w:val="43302443"/>
    <w:rsid w:val="436426E3"/>
    <w:rsid w:val="43C24AED"/>
    <w:rsid w:val="43D03D38"/>
    <w:rsid w:val="43D1290A"/>
    <w:rsid w:val="43EC20F7"/>
    <w:rsid w:val="43F839F3"/>
    <w:rsid w:val="43FE4D82"/>
    <w:rsid w:val="441445A5"/>
    <w:rsid w:val="441647C1"/>
    <w:rsid w:val="4435195C"/>
    <w:rsid w:val="44452965"/>
    <w:rsid w:val="44660A2F"/>
    <w:rsid w:val="44786980"/>
    <w:rsid w:val="44786B45"/>
    <w:rsid w:val="447B63D2"/>
    <w:rsid w:val="44852F74"/>
    <w:rsid w:val="44874D1E"/>
    <w:rsid w:val="449C4CC6"/>
    <w:rsid w:val="44AA6867"/>
    <w:rsid w:val="44B25CD2"/>
    <w:rsid w:val="44C06310"/>
    <w:rsid w:val="44CB1108"/>
    <w:rsid w:val="44CC6C2E"/>
    <w:rsid w:val="44CF2F53"/>
    <w:rsid w:val="44D24738"/>
    <w:rsid w:val="44F21868"/>
    <w:rsid w:val="44FA49EA"/>
    <w:rsid w:val="44FC1A13"/>
    <w:rsid w:val="450B59A8"/>
    <w:rsid w:val="451016B9"/>
    <w:rsid w:val="451A6BEA"/>
    <w:rsid w:val="45312839"/>
    <w:rsid w:val="453E6F8C"/>
    <w:rsid w:val="455235D7"/>
    <w:rsid w:val="455959FB"/>
    <w:rsid w:val="456A1CCE"/>
    <w:rsid w:val="456B06D8"/>
    <w:rsid w:val="45796DB6"/>
    <w:rsid w:val="457B2B2E"/>
    <w:rsid w:val="458A207C"/>
    <w:rsid w:val="459040FF"/>
    <w:rsid w:val="459C67FB"/>
    <w:rsid w:val="45A87FD5"/>
    <w:rsid w:val="45DE0C29"/>
    <w:rsid w:val="45FC6629"/>
    <w:rsid w:val="46003033"/>
    <w:rsid w:val="461D3BE5"/>
    <w:rsid w:val="462103E3"/>
    <w:rsid w:val="46234537"/>
    <w:rsid w:val="46265F14"/>
    <w:rsid w:val="465758BB"/>
    <w:rsid w:val="46665A96"/>
    <w:rsid w:val="4671647E"/>
    <w:rsid w:val="467375F3"/>
    <w:rsid w:val="467F1621"/>
    <w:rsid w:val="46826C09"/>
    <w:rsid w:val="46B80D3C"/>
    <w:rsid w:val="46C44060"/>
    <w:rsid w:val="46D77073"/>
    <w:rsid w:val="470613D7"/>
    <w:rsid w:val="470E57F6"/>
    <w:rsid w:val="47153CD5"/>
    <w:rsid w:val="4720040C"/>
    <w:rsid w:val="47482DC2"/>
    <w:rsid w:val="474F4272"/>
    <w:rsid w:val="47545CAC"/>
    <w:rsid w:val="475A6773"/>
    <w:rsid w:val="475B77EB"/>
    <w:rsid w:val="476B4E24"/>
    <w:rsid w:val="476D64A6"/>
    <w:rsid w:val="478B4B7E"/>
    <w:rsid w:val="47C87B80"/>
    <w:rsid w:val="47D76D09"/>
    <w:rsid w:val="47DB3D58"/>
    <w:rsid w:val="47E81FD1"/>
    <w:rsid w:val="480F4E7E"/>
    <w:rsid w:val="482524AE"/>
    <w:rsid w:val="482C7777"/>
    <w:rsid w:val="48343C94"/>
    <w:rsid w:val="483A1C23"/>
    <w:rsid w:val="484F2050"/>
    <w:rsid w:val="48627FD5"/>
    <w:rsid w:val="48731B3C"/>
    <w:rsid w:val="48741B2B"/>
    <w:rsid w:val="48755B39"/>
    <w:rsid w:val="48825F81"/>
    <w:rsid w:val="488B6D72"/>
    <w:rsid w:val="48961F9D"/>
    <w:rsid w:val="489B19E5"/>
    <w:rsid w:val="489E2F22"/>
    <w:rsid w:val="48A846FC"/>
    <w:rsid w:val="48AB50B7"/>
    <w:rsid w:val="48BB1493"/>
    <w:rsid w:val="48C31FC8"/>
    <w:rsid w:val="48F86243"/>
    <w:rsid w:val="48FC21D7"/>
    <w:rsid w:val="49113BBD"/>
    <w:rsid w:val="49246B66"/>
    <w:rsid w:val="492B6619"/>
    <w:rsid w:val="493B79D8"/>
    <w:rsid w:val="49465201"/>
    <w:rsid w:val="49484B80"/>
    <w:rsid w:val="4961203A"/>
    <w:rsid w:val="49824A97"/>
    <w:rsid w:val="498B70B7"/>
    <w:rsid w:val="49C063B1"/>
    <w:rsid w:val="49C0668E"/>
    <w:rsid w:val="49CB1BAA"/>
    <w:rsid w:val="49CC7E8E"/>
    <w:rsid w:val="49F920E0"/>
    <w:rsid w:val="4A18679F"/>
    <w:rsid w:val="4A1876CC"/>
    <w:rsid w:val="4A197060"/>
    <w:rsid w:val="4A3634C7"/>
    <w:rsid w:val="4A414B3D"/>
    <w:rsid w:val="4A481067"/>
    <w:rsid w:val="4A4B6D70"/>
    <w:rsid w:val="4A4C64BD"/>
    <w:rsid w:val="4A5761CF"/>
    <w:rsid w:val="4A5A03C7"/>
    <w:rsid w:val="4A70107D"/>
    <w:rsid w:val="4A7B2D08"/>
    <w:rsid w:val="4AB60164"/>
    <w:rsid w:val="4B0215FB"/>
    <w:rsid w:val="4B1169C5"/>
    <w:rsid w:val="4B2C6678"/>
    <w:rsid w:val="4B3C27E9"/>
    <w:rsid w:val="4B565749"/>
    <w:rsid w:val="4B635CBE"/>
    <w:rsid w:val="4B6B6E2B"/>
    <w:rsid w:val="4B766DE0"/>
    <w:rsid w:val="4B9F39CC"/>
    <w:rsid w:val="4BC304FC"/>
    <w:rsid w:val="4BE758CC"/>
    <w:rsid w:val="4BEC3790"/>
    <w:rsid w:val="4BFA4E11"/>
    <w:rsid w:val="4C1306DB"/>
    <w:rsid w:val="4C152E18"/>
    <w:rsid w:val="4C2415ED"/>
    <w:rsid w:val="4C3A5BAF"/>
    <w:rsid w:val="4C42744C"/>
    <w:rsid w:val="4C4422D2"/>
    <w:rsid w:val="4C4719BC"/>
    <w:rsid w:val="4C484FC2"/>
    <w:rsid w:val="4C4E2512"/>
    <w:rsid w:val="4C5766C7"/>
    <w:rsid w:val="4C6205A3"/>
    <w:rsid w:val="4C6216EC"/>
    <w:rsid w:val="4C802CF7"/>
    <w:rsid w:val="4CA82D6B"/>
    <w:rsid w:val="4CB56259"/>
    <w:rsid w:val="4CBD1C7E"/>
    <w:rsid w:val="4CD40D75"/>
    <w:rsid w:val="4CE379DE"/>
    <w:rsid w:val="4CFD68CF"/>
    <w:rsid w:val="4D243AAB"/>
    <w:rsid w:val="4D5C4B93"/>
    <w:rsid w:val="4D662A16"/>
    <w:rsid w:val="4D881597"/>
    <w:rsid w:val="4D9525E9"/>
    <w:rsid w:val="4DA102F4"/>
    <w:rsid w:val="4DA31884"/>
    <w:rsid w:val="4DA87383"/>
    <w:rsid w:val="4DB2238C"/>
    <w:rsid w:val="4DC13703"/>
    <w:rsid w:val="4DCD273D"/>
    <w:rsid w:val="4DDA223F"/>
    <w:rsid w:val="4E024055"/>
    <w:rsid w:val="4E2E5285"/>
    <w:rsid w:val="4E2F0C9B"/>
    <w:rsid w:val="4E2F6C77"/>
    <w:rsid w:val="4E305B24"/>
    <w:rsid w:val="4E3B2F81"/>
    <w:rsid w:val="4E4E40B7"/>
    <w:rsid w:val="4E5204F2"/>
    <w:rsid w:val="4E593A09"/>
    <w:rsid w:val="4E72332D"/>
    <w:rsid w:val="4E8052D4"/>
    <w:rsid w:val="4E8F13F8"/>
    <w:rsid w:val="4E965BF7"/>
    <w:rsid w:val="4E987F9B"/>
    <w:rsid w:val="4E9B3045"/>
    <w:rsid w:val="4E9D1D67"/>
    <w:rsid w:val="4EB522DE"/>
    <w:rsid w:val="4EBD2E1B"/>
    <w:rsid w:val="4EDB6F4B"/>
    <w:rsid w:val="4EE16A6B"/>
    <w:rsid w:val="4EE84846"/>
    <w:rsid w:val="4EFC3B00"/>
    <w:rsid w:val="4F02210F"/>
    <w:rsid w:val="4F1F7794"/>
    <w:rsid w:val="4F4C087D"/>
    <w:rsid w:val="4F6111B6"/>
    <w:rsid w:val="4F8C6490"/>
    <w:rsid w:val="4F9C2E07"/>
    <w:rsid w:val="4FA44C38"/>
    <w:rsid w:val="4FB57E2A"/>
    <w:rsid w:val="4FBD6AB8"/>
    <w:rsid w:val="4FBF3F5F"/>
    <w:rsid w:val="4FCA4635"/>
    <w:rsid w:val="4FD07F1A"/>
    <w:rsid w:val="4FD17AF1"/>
    <w:rsid w:val="4FE4651F"/>
    <w:rsid w:val="4FFB2993"/>
    <w:rsid w:val="50016325"/>
    <w:rsid w:val="501A0857"/>
    <w:rsid w:val="50242B38"/>
    <w:rsid w:val="50694456"/>
    <w:rsid w:val="507C1E50"/>
    <w:rsid w:val="508F30B2"/>
    <w:rsid w:val="509251CF"/>
    <w:rsid w:val="509905A9"/>
    <w:rsid w:val="509C58BA"/>
    <w:rsid w:val="50B05655"/>
    <w:rsid w:val="50B2693C"/>
    <w:rsid w:val="50C90FB4"/>
    <w:rsid w:val="50D1246C"/>
    <w:rsid w:val="50DB26D2"/>
    <w:rsid w:val="50DB3513"/>
    <w:rsid w:val="50E06695"/>
    <w:rsid w:val="50E84DEF"/>
    <w:rsid w:val="50EA0799"/>
    <w:rsid w:val="50EE296F"/>
    <w:rsid w:val="50EF3D02"/>
    <w:rsid w:val="50F11579"/>
    <w:rsid w:val="510305C7"/>
    <w:rsid w:val="51064A9D"/>
    <w:rsid w:val="51093629"/>
    <w:rsid w:val="511E04A3"/>
    <w:rsid w:val="51224A8E"/>
    <w:rsid w:val="512272B5"/>
    <w:rsid w:val="512923C1"/>
    <w:rsid w:val="513F7105"/>
    <w:rsid w:val="51547A9F"/>
    <w:rsid w:val="5155600C"/>
    <w:rsid w:val="51735001"/>
    <w:rsid w:val="518018D1"/>
    <w:rsid w:val="51C25640"/>
    <w:rsid w:val="51C712C4"/>
    <w:rsid w:val="524349D3"/>
    <w:rsid w:val="52464727"/>
    <w:rsid w:val="524E537D"/>
    <w:rsid w:val="52554706"/>
    <w:rsid w:val="525C35DE"/>
    <w:rsid w:val="52895D96"/>
    <w:rsid w:val="52AD009F"/>
    <w:rsid w:val="52B3755F"/>
    <w:rsid w:val="52B6757D"/>
    <w:rsid w:val="52C21FCC"/>
    <w:rsid w:val="52DF615E"/>
    <w:rsid w:val="530641D2"/>
    <w:rsid w:val="531719BC"/>
    <w:rsid w:val="531B1FA6"/>
    <w:rsid w:val="5345236F"/>
    <w:rsid w:val="534F73A8"/>
    <w:rsid w:val="53541376"/>
    <w:rsid w:val="536D6E1E"/>
    <w:rsid w:val="536F6BAF"/>
    <w:rsid w:val="5385101B"/>
    <w:rsid w:val="538A6ABE"/>
    <w:rsid w:val="538E1256"/>
    <w:rsid w:val="538F59F6"/>
    <w:rsid w:val="53913F8A"/>
    <w:rsid w:val="53B41778"/>
    <w:rsid w:val="53BB49B7"/>
    <w:rsid w:val="53BF0089"/>
    <w:rsid w:val="53C81568"/>
    <w:rsid w:val="53DC1821"/>
    <w:rsid w:val="54276266"/>
    <w:rsid w:val="543640C4"/>
    <w:rsid w:val="546F3CA6"/>
    <w:rsid w:val="54703A7A"/>
    <w:rsid w:val="54B75204"/>
    <w:rsid w:val="54C4758E"/>
    <w:rsid w:val="54C55580"/>
    <w:rsid w:val="5515460A"/>
    <w:rsid w:val="5515572F"/>
    <w:rsid w:val="55164621"/>
    <w:rsid w:val="55213C8D"/>
    <w:rsid w:val="55241393"/>
    <w:rsid w:val="552F4E07"/>
    <w:rsid w:val="554E4764"/>
    <w:rsid w:val="5557524A"/>
    <w:rsid w:val="556C30CA"/>
    <w:rsid w:val="55A35789"/>
    <w:rsid w:val="55BA1450"/>
    <w:rsid w:val="55BF0815"/>
    <w:rsid w:val="55C53951"/>
    <w:rsid w:val="55E22755"/>
    <w:rsid w:val="55F25FAC"/>
    <w:rsid w:val="55FA5DFE"/>
    <w:rsid w:val="55FF28BE"/>
    <w:rsid w:val="55FF3307"/>
    <w:rsid w:val="560223A7"/>
    <w:rsid w:val="5616253F"/>
    <w:rsid w:val="56170651"/>
    <w:rsid w:val="561A1EEF"/>
    <w:rsid w:val="561C1DF7"/>
    <w:rsid w:val="564E438D"/>
    <w:rsid w:val="56556786"/>
    <w:rsid w:val="565811D3"/>
    <w:rsid w:val="56682C5A"/>
    <w:rsid w:val="567551C0"/>
    <w:rsid w:val="56847368"/>
    <w:rsid w:val="5687373F"/>
    <w:rsid w:val="568774F1"/>
    <w:rsid w:val="569C7C87"/>
    <w:rsid w:val="56BC6B02"/>
    <w:rsid w:val="56C4574F"/>
    <w:rsid w:val="56C66B98"/>
    <w:rsid w:val="56E11ADD"/>
    <w:rsid w:val="56F4512E"/>
    <w:rsid w:val="56FE1C5E"/>
    <w:rsid w:val="57012DE8"/>
    <w:rsid w:val="570C5CDB"/>
    <w:rsid w:val="571903F8"/>
    <w:rsid w:val="57283CBF"/>
    <w:rsid w:val="573050F9"/>
    <w:rsid w:val="57405985"/>
    <w:rsid w:val="574951E0"/>
    <w:rsid w:val="574F43DF"/>
    <w:rsid w:val="575575BD"/>
    <w:rsid w:val="57794569"/>
    <w:rsid w:val="57821531"/>
    <w:rsid w:val="57A203EE"/>
    <w:rsid w:val="57AC301B"/>
    <w:rsid w:val="57AD2112"/>
    <w:rsid w:val="57BA03C5"/>
    <w:rsid w:val="57D9066D"/>
    <w:rsid w:val="57F54A39"/>
    <w:rsid w:val="58090325"/>
    <w:rsid w:val="580F2F48"/>
    <w:rsid w:val="5812683D"/>
    <w:rsid w:val="5817300F"/>
    <w:rsid w:val="58255BA9"/>
    <w:rsid w:val="58262487"/>
    <w:rsid w:val="58296419"/>
    <w:rsid w:val="58315236"/>
    <w:rsid w:val="584F474D"/>
    <w:rsid w:val="58557C07"/>
    <w:rsid w:val="587870E4"/>
    <w:rsid w:val="58885788"/>
    <w:rsid w:val="5897543F"/>
    <w:rsid w:val="58AA3909"/>
    <w:rsid w:val="58B02697"/>
    <w:rsid w:val="58B22DC4"/>
    <w:rsid w:val="58D50A2B"/>
    <w:rsid w:val="58DD0BA6"/>
    <w:rsid w:val="58E32361"/>
    <w:rsid w:val="58EE755E"/>
    <w:rsid w:val="590019FC"/>
    <w:rsid w:val="591303CD"/>
    <w:rsid w:val="59501A2B"/>
    <w:rsid w:val="59570D64"/>
    <w:rsid w:val="595B0E8F"/>
    <w:rsid w:val="59611BE3"/>
    <w:rsid w:val="59715A31"/>
    <w:rsid w:val="59747B49"/>
    <w:rsid w:val="597E09E7"/>
    <w:rsid w:val="598F44DD"/>
    <w:rsid w:val="59A165FF"/>
    <w:rsid w:val="59AA0A61"/>
    <w:rsid w:val="59B12845"/>
    <w:rsid w:val="59C357D7"/>
    <w:rsid w:val="59D66BCC"/>
    <w:rsid w:val="59E10F92"/>
    <w:rsid w:val="59E50301"/>
    <w:rsid w:val="5A016FC4"/>
    <w:rsid w:val="5A1D45B8"/>
    <w:rsid w:val="5A27087F"/>
    <w:rsid w:val="5A327F1A"/>
    <w:rsid w:val="5A5E0651"/>
    <w:rsid w:val="5A7E2423"/>
    <w:rsid w:val="5A83768C"/>
    <w:rsid w:val="5A852700"/>
    <w:rsid w:val="5AA1498D"/>
    <w:rsid w:val="5AA1673B"/>
    <w:rsid w:val="5AB741B0"/>
    <w:rsid w:val="5ACF67B4"/>
    <w:rsid w:val="5AD9394C"/>
    <w:rsid w:val="5AE94993"/>
    <w:rsid w:val="5AF13A4B"/>
    <w:rsid w:val="5B1135C8"/>
    <w:rsid w:val="5B1C04B7"/>
    <w:rsid w:val="5B2F7149"/>
    <w:rsid w:val="5B4812AC"/>
    <w:rsid w:val="5B585197"/>
    <w:rsid w:val="5B5A1BA6"/>
    <w:rsid w:val="5B5B350D"/>
    <w:rsid w:val="5B664CF3"/>
    <w:rsid w:val="5B6B0AF7"/>
    <w:rsid w:val="5B740B93"/>
    <w:rsid w:val="5B7420A1"/>
    <w:rsid w:val="5B7A0631"/>
    <w:rsid w:val="5B81536E"/>
    <w:rsid w:val="5B88386E"/>
    <w:rsid w:val="5B8F73A8"/>
    <w:rsid w:val="5B911696"/>
    <w:rsid w:val="5BC03985"/>
    <w:rsid w:val="5BC36B85"/>
    <w:rsid w:val="5BF22FC6"/>
    <w:rsid w:val="5BF3746A"/>
    <w:rsid w:val="5BFE6FAC"/>
    <w:rsid w:val="5C0056E3"/>
    <w:rsid w:val="5C007491"/>
    <w:rsid w:val="5C08561B"/>
    <w:rsid w:val="5C101EC9"/>
    <w:rsid w:val="5C4C00E1"/>
    <w:rsid w:val="5C582FA8"/>
    <w:rsid w:val="5C766189"/>
    <w:rsid w:val="5C8D24CD"/>
    <w:rsid w:val="5C910A31"/>
    <w:rsid w:val="5CA17479"/>
    <w:rsid w:val="5CA471A4"/>
    <w:rsid w:val="5CA6628A"/>
    <w:rsid w:val="5CAE2542"/>
    <w:rsid w:val="5CB62246"/>
    <w:rsid w:val="5CC826A5"/>
    <w:rsid w:val="5CC91F79"/>
    <w:rsid w:val="5CD512A6"/>
    <w:rsid w:val="5CEC51D4"/>
    <w:rsid w:val="5D375134"/>
    <w:rsid w:val="5D3970FE"/>
    <w:rsid w:val="5D3F6600"/>
    <w:rsid w:val="5D41047F"/>
    <w:rsid w:val="5D443CF5"/>
    <w:rsid w:val="5D472FB8"/>
    <w:rsid w:val="5D4B6E32"/>
    <w:rsid w:val="5D4C0510"/>
    <w:rsid w:val="5D501056"/>
    <w:rsid w:val="5D596097"/>
    <w:rsid w:val="5D7465B5"/>
    <w:rsid w:val="5D8E40C4"/>
    <w:rsid w:val="5DB2795F"/>
    <w:rsid w:val="5DCB63C7"/>
    <w:rsid w:val="5DDB6408"/>
    <w:rsid w:val="5DF84693"/>
    <w:rsid w:val="5E130BE2"/>
    <w:rsid w:val="5E1608F8"/>
    <w:rsid w:val="5E243CD2"/>
    <w:rsid w:val="5E2F671E"/>
    <w:rsid w:val="5E430C39"/>
    <w:rsid w:val="5E434E06"/>
    <w:rsid w:val="5E58443E"/>
    <w:rsid w:val="5E69549F"/>
    <w:rsid w:val="5E6D6BAB"/>
    <w:rsid w:val="5E8107C8"/>
    <w:rsid w:val="5E9465B6"/>
    <w:rsid w:val="5E961869"/>
    <w:rsid w:val="5EB246B7"/>
    <w:rsid w:val="5EB427B5"/>
    <w:rsid w:val="5ECC4572"/>
    <w:rsid w:val="5ECF75EF"/>
    <w:rsid w:val="5EDA046D"/>
    <w:rsid w:val="5EDA3EA1"/>
    <w:rsid w:val="5EDB41E5"/>
    <w:rsid w:val="5EFF7ED4"/>
    <w:rsid w:val="5F037C1C"/>
    <w:rsid w:val="5F093317"/>
    <w:rsid w:val="5F1917F3"/>
    <w:rsid w:val="5F1F40D2"/>
    <w:rsid w:val="5F24722A"/>
    <w:rsid w:val="5F2E0544"/>
    <w:rsid w:val="5F3D1841"/>
    <w:rsid w:val="5F4273E9"/>
    <w:rsid w:val="5F434264"/>
    <w:rsid w:val="5F521D57"/>
    <w:rsid w:val="5F5A55DE"/>
    <w:rsid w:val="5F697A43"/>
    <w:rsid w:val="5F8C6C68"/>
    <w:rsid w:val="5F9F5213"/>
    <w:rsid w:val="5FA623B0"/>
    <w:rsid w:val="5FA67330"/>
    <w:rsid w:val="5FA82319"/>
    <w:rsid w:val="5FC1077B"/>
    <w:rsid w:val="5FCE4366"/>
    <w:rsid w:val="5FEB22A1"/>
    <w:rsid w:val="5FF84D4A"/>
    <w:rsid w:val="5FFB68ED"/>
    <w:rsid w:val="601276EE"/>
    <w:rsid w:val="601C5F42"/>
    <w:rsid w:val="602D06DA"/>
    <w:rsid w:val="602D090F"/>
    <w:rsid w:val="6030753D"/>
    <w:rsid w:val="603A1091"/>
    <w:rsid w:val="60476435"/>
    <w:rsid w:val="6064638C"/>
    <w:rsid w:val="6067453E"/>
    <w:rsid w:val="606A44B9"/>
    <w:rsid w:val="606B444F"/>
    <w:rsid w:val="607E2FA7"/>
    <w:rsid w:val="607F676F"/>
    <w:rsid w:val="608E3487"/>
    <w:rsid w:val="60970446"/>
    <w:rsid w:val="60A52E03"/>
    <w:rsid w:val="60BF5B37"/>
    <w:rsid w:val="60D81297"/>
    <w:rsid w:val="61156629"/>
    <w:rsid w:val="611A52F4"/>
    <w:rsid w:val="613C71BD"/>
    <w:rsid w:val="613F0A5C"/>
    <w:rsid w:val="614D13CA"/>
    <w:rsid w:val="615654B0"/>
    <w:rsid w:val="6162474A"/>
    <w:rsid w:val="616B1851"/>
    <w:rsid w:val="616B7AA3"/>
    <w:rsid w:val="616E1375"/>
    <w:rsid w:val="61A057BF"/>
    <w:rsid w:val="61A145D6"/>
    <w:rsid w:val="61B52ACC"/>
    <w:rsid w:val="61C24881"/>
    <w:rsid w:val="61ED495B"/>
    <w:rsid w:val="61F76FEB"/>
    <w:rsid w:val="61F8640D"/>
    <w:rsid w:val="62145A44"/>
    <w:rsid w:val="62151C42"/>
    <w:rsid w:val="621A4F61"/>
    <w:rsid w:val="623A0982"/>
    <w:rsid w:val="623B106D"/>
    <w:rsid w:val="624F2F20"/>
    <w:rsid w:val="6260512D"/>
    <w:rsid w:val="62624A4B"/>
    <w:rsid w:val="626F6175"/>
    <w:rsid w:val="627D7A8D"/>
    <w:rsid w:val="62A4473C"/>
    <w:rsid w:val="62C16D24"/>
    <w:rsid w:val="62D84CC4"/>
    <w:rsid w:val="62F62774"/>
    <w:rsid w:val="630B072C"/>
    <w:rsid w:val="63114E07"/>
    <w:rsid w:val="63274C05"/>
    <w:rsid w:val="63292486"/>
    <w:rsid w:val="63311484"/>
    <w:rsid w:val="63391F7B"/>
    <w:rsid w:val="633A0B5B"/>
    <w:rsid w:val="6348499B"/>
    <w:rsid w:val="634A4FE8"/>
    <w:rsid w:val="635F7193"/>
    <w:rsid w:val="6379138E"/>
    <w:rsid w:val="6380280E"/>
    <w:rsid w:val="6388493C"/>
    <w:rsid w:val="63C055FB"/>
    <w:rsid w:val="63C37C63"/>
    <w:rsid w:val="63DF0B98"/>
    <w:rsid w:val="63F20007"/>
    <w:rsid w:val="63F778CD"/>
    <w:rsid w:val="63FF1FD4"/>
    <w:rsid w:val="64024326"/>
    <w:rsid w:val="64032214"/>
    <w:rsid w:val="64370763"/>
    <w:rsid w:val="645C1924"/>
    <w:rsid w:val="64690037"/>
    <w:rsid w:val="64735E58"/>
    <w:rsid w:val="64837DE0"/>
    <w:rsid w:val="64855782"/>
    <w:rsid w:val="648669A1"/>
    <w:rsid w:val="6489733D"/>
    <w:rsid w:val="64B259E8"/>
    <w:rsid w:val="64BF4A84"/>
    <w:rsid w:val="64E541B4"/>
    <w:rsid w:val="64E75692"/>
    <w:rsid w:val="64EB5133"/>
    <w:rsid w:val="65221862"/>
    <w:rsid w:val="652A48FD"/>
    <w:rsid w:val="65444892"/>
    <w:rsid w:val="6544669C"/>
    <w:rsid w:val="65456C72"/>
    <w:rsid w:val="654937DE"/>
    <w:rsid w:val="65542600"/>
    <w:rsid w:val="65575CDF"/>
    <w:rsid w:val="655C5B9D"/>
    <w:rsid w:val="656E5DB3"/>
    <w:rsid w:val="656F18FF"/>
    <w:rsid w:val="65724CC9"/>
    <w:rsid w:val="6575002E"/>
    <w:rsid w:val="65964ABA"/>
    <w:rsid w:val="65AD01C5"/>
    <w:rsid w:val="65AE148A"/>
    <w:rsid w:val="65B131D7"/>
    <w:rsid w:val="65D62F01"/>
    <w:rsid w:val="65DC04C1"/>
    <w:rsid w:val="65DC6A94"/>
    <w:rsid w:val="65EE2A50"/>
    <w:rsid w:val="66047037"/>
    <w:rsid w:val="660A654B"/>
    <w:rsid w:val="661F4B14"/>
    <w:rsid w:val="66375D0B"/>
    <w:rsid w:val="66810989"/>
    <w:rsid w:val="668C49AC"/>
    <w:rsid w:val="66A55805"/>
    <w:rsid w:val="66B5531C"/>
    <w:rsid w:val="66BD39E5"/>
    <w:rsid w:val="66C37A39"/>
    <w:rsid w:val="66D2724C"/>
    <w:rsid w:val="67235885"/>
    <w:rsid w:val="672F50CE"/>
    <w:rsid w:val="67354557"/>
    <w:rsid w:val="6736645D"/>
    <w:rsid w:val="673B1CC5"/>
    <w:rsid w:val="673F7201"/>
    <w:rsid w:val="673F7ABB"/>
    <w:rsid w:val="6749041C"/>
    <w:rsid w:val="674E74A1"/>
    <w:rsid w:val="67530DBD"/>
    <w:rsid w:val="675E3485"/>
    <w:rsid w:val="676528D8"/>
    <w:rsid w:val="67652BB1"/>
    <w:rsid w:val="676F11C1"/>
    <w:rsid w:val="67780C00"/>
    <w:rsid w:val="67874F0A"/>
    <w:rsid w:val="67876CB8"/>
    <w:rsid w:val="67C668F4"/>
    <w:rsid w:val="67CA4DF7"/>
    <w:rsid w:val="67D60F8B"/>
    <w:rsid w:val="67F26434"/>
    <w:rsid w:val="67F60DFC"/>
    <w:rsid w:val="67F85638"/>
    <w:rsid w:val="68120C78"/>
    <w:rsid w:val="6861654E"/>
    <w:rsid w:val="68634A40"/>
    <w:rsid w:val="687C2595"/>
    <w:rsid w:val="68924ABB"/>
    <w:rsid w:val="68A33FD5"/>
    <w:rsid w:val="68BF0103"/>
    <w:rsid w:val="68CA77A4"/>
    <w:rsid w:val="68EA606B"/>
    <w:rsid w:val="68F44821"/>
    <w:rsid w:val="69026F3E"/>
    <w:rsid w:val="690305C1"/>
    <w:rsid w:val="6917273A"/>
    <w:rsid w:val="693D1D24"/>
    <w:rsid w:val="69670B4F"/>
    <w:rsid w:val="697029F4"/>
    <w:rsid w:val="698D1E1C"/>
    <w:rsid w:val="699039B0"/>
    <w:rsid w:val="699C68A6"/>
    <w:rsid w:val="699F0AE7"/>
    <w:rsid w:val="69AE49D0"/>
    <w:rsid w:val="69EB4027"/>
    <w:rsid w:val="69F813EF"/>
    <w:rsid w:val="69FB04DB"/>
    <w:rsid w:val="69FC398E"/>
    <w:rsid w:val="6A1A019D"/>
    <w:rsid w:val="6A2124C5"/>
    <w:rsid w:val="6A427A57"/>
    <w:rsid w:val="6A4470E3"/>
    <w:rsid w:val="6A501EC1"/>
    <w:rsid w:val="6A777609"/>
    <w:rsid w:val="6A9A4F55"/>
    <w:rsid w:val="6AA04AF2"/>
    <w:rsid w:val="6AB36CBC"/>
    <w:rsid w:val="6AC15DFA"/>
    <w:rsid w:val="6ACA3A8C"/>
    <w:rsid w:val="6ADA17F5"/>
    <w:rsid w:val="6AE269FE"/>
    <w:rsid w:val="6AFE3056"/>
    <w:rsid w:val="6B104D22"/>
    <w:rsid w:val="6B1F4E4B"/>
    <w:rsid w:val="6B2D401B"/>
    <w:rsid w:val="6B352EE7"/>
    <w:rsid w:val="6B3727A3"/>
    <w:rsid w:val="6B780F23"/>
    <w:rsid w:val="6B897911"/>
    <w:rsid w:val="6B912876"/>
    <w:rsid w:val="6B980A64"/>
    <w:rsid w:val="6BAD6D33"/>
    <w:rsid w:val="6BB7225B"/>
    <w:rsid w:val="6BBB58D5"/>
    <w:rsid w:val="6BEF718A"/>
    <w:rsid w:val="6C15565F"/>
    <w:rsid w:val="6C1D4DD7"/>
    <w:rsid w:val="6C305B70"/>
    <w:rsid w:val="6C375952"/>
    <w:rsid w:val="6C53185F"/>
    <w:rsid w:val="6C641928"/>
    <w:rsid w:val="6C69493A"/>
    <w:rsid w:val="6C727F37"/>
    <w:rsid w:val="6C7C6837"/>
    <w:rsid w:val="6C8B0FF9"/>
    <w:rsid w:val="6CA03235"/>
    <w:rsid w:val="6CBA3000"/>
    <w:rsid w:val="6CBE6744"/>
    <w:rsid w:val="6CD97242"/>
    <w:rsid w:val="6CDD0F7C"/>
    <w:rsid w:val="6CE04A05"/>
    <w:rsid w:val="6CE43F9C"/>
    <w:rsid w:val="6CE4695B"/>
    <w:rsid w:val="6D0D7C60"/>
    <w:rsid w:val="6D14188E"/>
    <w:rsid w:val="6D18613F"/>
    <w:rsid w:val="6D4A0DDE"/>
    <w:rsid w:val="6D5B6C1D"/>
    <w:rsid w:val="6D601D5E"/>
    <w:rsid w:val="6D6072C7"/>
    <w:rsid w:val="6D716441"/>
    <w:rsid w:val="6DA23F0F"/>
    <w:rsid w:val="6DA5433C"/>
    <w:rsid w:val="6DC6542E"/>
    <w:rsid w:val="6DD35943"/>
    <w:rsid w:val="6DFD78E8"/>
    <w:rsid w:val="6E122C27"/>
    <w:rsid w:val="6E2718E3"/>
    <w:rsid w:val="6E455FE7"/>
    <w:rsid w:val="6E5378F4"/>
    <w:rsid w:val="6E5B5A29"/>
    <w:rsid w:val="6E69536A"/>
    <w:rsid w:val="6E6C09B6"/>
    <w:rsid w:val="6E7140BE"/>
    <w:rsid w:val="6E740E0F"/>
    <w:rsid w:val="6E7A7A9D"/>
    <w:rsid w:val="6E7D73B5"/>
    <w:rsid w:val="6E7E0E81"/>
    <w:rsid w:val="6E7F628C"/>
    <w:rsid w:val="6E8C3A21"/>
    <w:rsid w:val="6E9323E7"/>
    <w:rsid w:val="6EA75E92"/>
    <w:rsid w:val="6EA85905"/>
    <w:rsid w:val="6EAA61E1"/>
    <w:rsid w:val="6EB44436"/>
    <w:rsid w:val="6EDF755F"/>
    <w:rsid w:val="6EEE5000"/>
    <w:rsid w:val="6EEF7CDF"/>
    <w:rsid w:val="6EF015E7"/>
    <w:rsid w:val="6F007AA4"/>
    <w:rsid w:val="6F03093B"/>
    <w:rsid w:val="6F0F5F11"/>
    <w:rsid w:val="6F12155D"/>
    <w:rsid w:val="6F176BFE"/>
    <w:rsid w:val="6F1C6901"/>
    <w:rsid w:val="6F20011E"/>
    <w:rsid w:val="6F2A2368"/>
    <w:rsid w:val="6F314405"/>
    <w:rsid w:val="6F3527DB"/>
    <w:rsid w:val="6F391E65"/>
    <w:rsid w:val="6F524D03"/>
    <w:rsid w:val="6F8767EF"/>
    <w:rsid w:val="6F9D047A"/>
    <w:rsid w:val="6FA93A68"/>
    <w:rsid w:val="6FBB2BF0"/>
    <w:rsid w:val="6FDF1C82"/>
    <w:rsid w:val="6FE938A9"/>
    <w:rsid w:val="6FEF1D95"/>
    <w:rsid w:val="6FF44FCD"/>
    <w:rsid w:val="70111815"/>
    <w:rsid w:val="702E645E"/>
    <w:rsid w:val="70344158"/>
    <w:rsid w:val="7064228D"/>
    <w:rsid w:val="70652BEF"/>
    <w:rsid w:val="709D624E"/>
    <w:rsid w:val="70A408DB"/>
    <w:rsid w:val="70C66AA3"/>
    <w:rsid w:val="70E10D25"/>
    <w:rsid w:val="70F057A3"/>
    <w:rsid w:val="70F46326"/>
    <w:rsid w:val="71025602"/>
    <w:rsid w:val="711F4406"/>
    <w:rsid w:val="712832BA"/>
    <w:rsid w:val="71324139"/>
    <w:rsid w:val="71520DF7"/>
    <w:rsid w:val="71555D0B"/>
    <w:rsid w:val="716E13F7"/>
    <w:rsid w:val="71C02738"/>
    <w:rsid w:val="71DF5F0D"/>
    <w:rsid w:val="71EF3C6E"/>
    <w:rsid w:val="720A4EA2"/>
    <w:rsid w:val="720B597F"/>
    <w:rsid w:val="720F297F"/>
    <w:rsid w:val="72247F25"/>
    <w:rsid w:val="72563136"/>
    <w:rsid w:val="726063F0"/>
    <w:rsid w:val="726D53D3"/>
    <w:rsid w:val="72700ACA"/>
    <w:rsid w:val="72981F1F"/>
    <w:rsid w:val="729C3F60"/>
    <w:rsid w:val="72A1438D"/>
    <w:rsid w:val="72CB653C"/>
    <w:rsid w:val="72E176CB"/>
    <w:rsid w:val="72E47ECE"/>
    <w:rsid w:val="72F378F8"/>
    <w:rsid w:val="72FC50A0"/>
    <w:rsid w:val="731738CD"/>
    <w:rsid w:val="73666139"/>
    <w:rsid w:val="736E6783"/>
    <w:rsid w:val="73735EDF"/>
    <w:rsid w:val="73783F59"/>
    <w:rsid w:val="73830C7C"/>
    <w:rsid w:val="73B0352C"/>
    <w:rsid w:val="73DE2D36"/>
    <w:rsid w:val="73E334C8"/>
    <w:rsid w:val="73FC7FB0"/>
    <w:rsid w:val="74143FCA"/>
    <w:rsid w:val="742B29CC"/>
    <w:rsid w:val="743435AB"/>
    <w:rsid w:val="743466B9"/>
    <w:rsid w:val="74461E78"/>
    <w:rsid w:val="744877CF"/>
    <w:rsid w:val="74936C9D"/>
    <w:rsid w:val="74A72312"/>
    <w:rsid w:val="74C96B62"/>
    <w:rsid w:val="74CC0400"/>
    <w:rsid w:val="75091655"/>
    <w:rsid w:val="75182586"/>
    <w:rsid w:val="75194C26"/>
    <w:rsid w:val="751E2678"/>
    <w:rsid w:val="752E4C17"/>
    <w:rsid w:val="754A30C3"/>
    <w:rsid w:val="755D72B0"/>
    <w:rsid w:val="75632B54"/>
    <w:rsid w:val="756D573F"/>
    <w:rsid w:val="7582790C"/>
    <w:rsid w:val="75B3511C"/>
    <w:rsid w:val="75C11BD0"/>
    <w:rsid w:val="75C922CE"/>
    <w:rsid w:val="75D237F5"/>
    <w:rsid w:val="75D94B83"/>
    <w:rsid w:val="762C1090"/>
    <w:rsid w:val="76353458"/>
    <w:rsid w:val="763647A6"/>
    <w:rsid w:val="763D7808"/>
    <w:rsid w:val="76480CDA"/>
    <w:rsid w:val="764E1A90"/>
    <w:rsid w:val="76500BBB"/>
    <w:rsid w:val="76A553AD"/>
    <w:rsid w:val="76D277F3"/>
    <w:rsid w:val="76E539FB"/>
    <w:rsid w:val="76F86756"/>
    <w:rsid w:val="7719504D"/>
    <w:rsid w:val="7724681C"/>
    <w:rsid w:val="77266551"/>
    <w:rsid w:val="773F135E"/>
    <w:rsid w:val="774E6E46"/>
    <w:rsid w:val="775C510E"/>
    <w:rsid w:val="775D1479"/>
    <w:rsid w:val="77725599"/>
    <w:rsid w:val="777411EB"/>
    <w:rsid w:val="777C666B"/>
    <w:rsid w:val="77892265"/>
    <w:rsid w:val="77E401CF"/>
    <w:rsid w:val="77ED0DBA"/>
    <w:rsid w:val="77EF69C0"/>
    <w:rsid w:val="77F436E8"/>
    <w:rsid w:val="77F93E68"/>
    <w:rsid w:val="7814321C"/>
    <w:rsid w:val="78143B39"/>
    <w:rsid w:val="78174088"/>
    <w:rsid w:val="782115C4"/>
    <w:rsid w:val="78310847"/>
    <w:rsid w:val="783219DD"/>
    <w:rsid w:val="78341A4E"/>
    <w:rsid w:val="783A201E"/>
    <w:rsid w:val="784A33A1"/>
    <w:rsid w:val="787046EB"/>
    <w:rsid w:val="78793335"/>
    <w:rsid w:val="7883003B"/>
    <w:rsid w:val="789321A8"/>
    <w:rsid w:val="78BB133F"/>
    <w:rsid w:val="78CE2B00"/>
    <w:rsid w:val="78CF226D"/>
    <w:rsid w:val="78E90425"/>
    <w:rsid w:val="78EC32C9"/>
    <w:rsid w:val="78F14E59"/>
    <w:rsid w:val="78F15988"/>
    <w:rsid w:val="790E7239"/>
    <w:rsid w:val="791A5BDE"/>
    <w:rsid w:val="791A748A"/>
    <w:rsid w:val="79341CF9"/>
    <w:rsid w:val="793B7903"/>
    <w:rsid w:val="793E1B84"/>
    <w:rsid w:val="79517126"/>
    <w:rsid w:val="796E7171"/>
    <w:rsid w:val="797A0CA1"/>
    <w:rsid w:val="797F6A7B"/>
    <w:rsid w:val="79832B1E"/>
    <w:rsid w:val="79AE6327"/>
    <w:rsid w:val="79C21DD2"/>
    <w:rsid w:val="79D07C49"/>
    <w:rsid w:val="79E262EA"/>
    <w:rsid w:val="79FC3536"/>
    <w:rsid w:val="79FE3DE4"/>
    <w:rsid w:val="7A0F0131"/>
    <w:rsid w:val="7A130587"/>
    <w:rsid w:val="7A196609"/>
    <w:rsid w:val="7A2465E9"/>
    <w:rsid w:val="7A293A71"/>
    <w:rsid w:val="7A3C1B84"/>
    <w:rsid w:val="7A505630"/>
    <w:rsid w:val="7A6077F3"/>
    <w:rsid w:val="7A6631CB"/>
    <w:rsid w:val="7A6824A1"/>
    <w:rsid w:val="7A730369"/>
    <w:rsid w:val="7A7B26AD"/>
    <w:rsid w:val="7A8162C2"/>
    <w:rsid w:val="7A9E639B"/>
    <w:rsid w:val="7AB37ABD"/>
    <w:rsid w:val="7AC57DCC"/>
    <w:rsid w:val="7ACF6A42"/>
    <w:rsid w:val="7AD41DBD"/>
    <w:rsid w:val="7AE52A16"/>
    <w:rsid w:val="7AEA338E"/>
    <w:rsid w:val="7AF2415B"/>
    <w:rsid w:val="7AFE3D7E"/>
    <w:rsid w:val="7B097E4E"/>
    <w:rsid w:val="7B107771"/>
    <w:rsid w:val="7B4968BF"/>
    <w:rsid w:val="7B4B6523"/>
    <w:rsid w:val="7B547823"/>
    <w:rsid w:val="7B765E52"/>
    <w:rsid w:val="7B872BF5"/>
    <w:rsid w:val="7BB06386"/>
    <w:rsid w:val="7BC6441E"/>
    <w:rsid w:val="7BC76ADB"/>
    <w:rsid w:val="7BD43933"/>
    <w:rsid w:val="7BD55DED"/>
    <w:rsid w:val="7BDB672C"/>
    <w:rsid w:val="7BEB3862"/>
    <w:rsid w:val="7BF02C30"/>
    <w:rsid w:val="7BF840E6"/>
    <w:rsid w:val="7C1167C1"/>
    <w:rsid w:val="7C1456CD"/>
    <w:rsid w:val="7C276F98"/>
    <w:rsid w:val="7C2F7F12"/>
    <w:rsid w:val="7CC06F9B"/>
    <w:rsid w:val="7CFB7844"/>
    <w:rsid w:val="7D1E30DE"/>
    <w:rsid w:val="7D511DEB"/>
    <w:rsid w:val="7D5B3899"/>
    <w:rsid w:val="7D6877D9"/>
    <w:rsid w:val="7D77575B"/>
    <w:rsid w:val="7D890D90"/>
    <w:rsid w:val="7D893333"/>
    <w:rsid w:val="7D9074D5"/>
    <w:rsid w:val="7DC20ABD"/>
    <w:rsid w:val="7DD67717"/>
    <w:rsid w:val="7DE0456D"/>
    <w:rsid w:val="7DE55489"/>
    <w:rsid w:val="7DE63A1C"/>
    <w:rsid w:val="7E1852E5"/>
    <w:rsid w:val="7E362383"/>
    <w:rsid w:val="7E515F3B"/>
    <w:rsid w:val="7E7E136B"/>
    <w:rsid w:val="7E841262"/>
    <w:rsid w:val="7E847F59"/>
    <w:rsid w:val="7E8D04BA"/>
    <w:rsid w:val="7EA80825"/>
    <w:rsid w:val="7EB15FE9"/>
    <w:rsid w:val="7EBE700C"/>
    <w:rsid w:val="7ECD4B5B"/>
    <w:rsid w:val="7EF9333E"/>
    <w:rsid w:val="7F08297D"/>
    <w:rsid w:val="7F230A24"/>
    <w:rsid w:val="7F2350C1"/>
    <w:rsid w:val="7F2869A1"/>
    <w:rsid w:val="7F693119"/>
    <w:rsid w:val="7F7A5B94"/>
    <w:rsid w:val="7F9D4E73"/>
    <w:rsid w:val="7FA47B62"/>
    <w:rsid w:val="7FAD30ED"/>
    <w:rsid w:val="7FAE52D2"/>
    <w:rsid w:val="7FB5625E"/>
    <w:rsid w:val="7FB623D9"/>
    <w:rsid w:val="7FC77239"/>
    <w:rsid w:val="7FCA378E"/>
    <w:rsid w:val="7FCD43E2"/>
    <w:rsid w:val="7FD05249"/>
    <w:rsid w:val="7FD2167D"/>
    <w:rsid w:val="7FDC2AB3"/>
    <w:rsid w:val="7FF0381D"/>
    <w:rsid w:val="7FFB3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rFonts w:ascii="Calibri" w:hAnsi="Calibri" w:eastAsia="宋体"/>
      <w:b/>
      <w:bCs/>
      <w:kern w:val="44"/>
      <w:sz w:val="44"/>
      <w:szCs w:val="44"/>
    </w:rPr>
  </w:style>
  <w:style w:type="paragraph" w:styleId="5">
    <w:name w:val="heading 2"/>
    <w:basedOn w:val="1"/>
    <w:next w:val="1"/>
    <w:qFormat/>
    <w:uiPriority w:val="0"/>
    <w:pPr>
      <w:keepNext/>
      <w:keepLines/>
      <w:spacing w:line="413" w:lineRule="auto"/>
      <w:outlineLvl w:val="1"/>
    </w:pPr>
    <w:rPr>
      <w:rFonts w:ascii="Arial" w:hAnsi="Arial" w:eastAsia="黑体"/>
      <w:b/>
      <w:kern w:val="44"/>
      <w:sz w:val="28"/>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autoSpaceDE w:val="0"/>
      <w:autoSpaceDN w:val="0"/>
      <w:adjustRightInd w:val="0"/>
      <w:spacing w:before="280" w:after="290" w:line="376" w:lineRule="auto"/>
      <w:textAlignment w:val="baseline"/>
      <w:outlineLvl w:val="3"/>
    </w:pPr>
    <w:rPr>
      <w:rFonts w:ascii="Cambria" w:hAnsi="Cambria"/>
      <w:b/>
      <w:bCs/>
      <w:kern w:val="0"/>
      <w:sz w:val="28"/>
      <w:szCs w:val="28"/>
    </w:rPr>
  </w:style>
  <w:style w:type="paragraph" w:styleId="8">
    <w:name w:val="heading 5"/>
    <w:basedOn w:val="1"/>
    <w:next w:val="1"/>
    <w:unhideWhenUsed/>
    <w:qFormat/>
    <w:uiPriority w:val="0"/>
    <w:pPr>
      <w:keepNext/>
      <w:keepLines/>
      <w:widowControl/>
      <w:spacing w:before="280" w:after="290"/>
      <w:ind w:left="1008" w:hanging="1008"/>
      <w:textAlignment w:val="center"/>
      <w:outlineLvl w:val="4"/>
    </w:pPr>
    <w:rPr>
      <w:rFonts w:ascii="Times New Roman" w:hAnsi="Times New Roman"/>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9">
    <w:name w:val="Normal Indent"/>
    <w:basedOn w:val="1"/>
    <w:next w:val="10"/>
    <w:qFormat/>
    <w:uiPriority w:val="0"/>
    <w:pPr>
      <w:spacing w:line="460" w:lineRule="exact"/>
      <w:ind w:firstLine="420"/>
      <w:jc w:val="left"/>
    </w:pPr>
    <w:rPr>
      <w:rFonts w:ascii="Calibri" w:hAnsi="Calibri" w:eastAsia="宋体"/>
      <w:spacing w:val="10"/>
      <w:kern w:val="24"/>
      <w:sz w:val="24"/>
    </w:rPr>
  </w:style>
  <w:style w:type="paragraph" w:styleId="10">
    <w:name w:val="Body Text Indent"/>
    <w:basedOn w:val="1"/>
    <w:next w:val="9"/>
    <w:qFormat/>
    <w:uiPriority w:val="0"/>
    <w:pPr>
      <w:spacing w:line="480" w:lineRule="exact"/>
      <w:ind w:firstLine="480" w:firstLineChars="200"/>
    </w:pPr>
    <w:rPr>
      <w:rFonts w:ascii="宋体" w:hAnsi="宋体" w:eastAsia="仿宋_GB2312"/>
      <w:sz w:val="24"/>
    </w:rPr>
  </w:style>
  <w:style w:type="paragraph" w:styleId="11">
    <w:name w:val="annotation text"/>
    <w:basedOn w:val="1"/>
    <w:semiHidden/>
    <w:qFormat/>
    <w:uiPriority w:val="99"/>
    <w:pPr>
      <w:widowControl/>
      <w:spacing w:after="120" w:line="264" w:lineRule="auto"/>
      <w:jc w:val="left"/>
    </w:pPr>
    <w:rPr>
      <w:rFonts w:asciiTheme="minorHAnsi" w:hAnsiTheme="minorHAnsi" w:eastAsiaTheme="minorEastAsia"/>
      <w:kern w:val="0"/>
    </w:rPr>
  </w:style>
  <w:style w:type="paragraph" w:styleId="12">
    <w:name w:val="Body Text"/>
    <w:basedOn w:val="1"/>
    <w:next w:val="13"/>
    <w:qFormat/>
    <w:uiPriority w:val="0"/>
  </w:style>
  <w:style w:type="paragraph" w:styleId="13">
    <w:name w:val="Body Text First Indent"/>
    <w:basedOn w:val="12"/>
    <w:next w:val="1"/>
    <w:qFormat/>
    <w:uiPriority w:val="0"/>
    <w:pPr>
      <w:ind w:firstLine="420" w:firstLineChars="100"/>
    </w:pPr>
    <w:rPr>
      <w:rFonts w:ascii="Times New Roman" w:hAnsi="Times New Roman" w:eastAsia="宋体"/>
      <w:szCs w:val="24"/>
    </w:rPr>
  </w:style>
  <w:style w:type="paragraph" w:styleId="14">
    <w:name w:val="Block Text"/>
    <w:basedOn w:val="1"/>
    <w:qFormat/>
    <w:uiPriority w:val="0"/>
    <w:pPr>
      <w:framePr w:hSpace="180" w:wrap="around" w:vAnchor="text" w:hAnchor="text" w:y="1"/>
      <w:ind w:left="113" w:right="113"/>
      <w:jc w:val="center"/>
    </w:pPr>
    <w:rPr>
      <w:sz w:val="18"/>
    </w:rPr>
  </w:style>
  <w:style w:type="paragraph" w:styleId="15">
    <w:name w:val="Plain Text"/>
    <w:basedOn w:val="1"/>
    <w:qFormat/>
    <w:uiPriority w:val="0"/>
    <w:rPr>
      <w:rFonts w:ascii="宋体" w:hAnsi="Courier New" w:eastAsia="宋体"/>
    </w:rPr>
  </w:style>
  <w:style w:type="paragraph" w:styleId="16">
    <w:name w:val="Date"/>
    <w:basedOn w:val="1"/>
    <w:next w:val="1"/>
    <w:qFormat/>
    <w:uiPriority w:val="0"/>
    <w:pPr>
      <w:ind w:left="2500" w:leftChars="2500"/>
    </w:pPr>
    <w:rPr>
      <w:rFonts w:ascii="宋体" w:hAnsi="宋体"/>
      <w:sz w:val="24"/>
    </w:rPr>
  </w:style>
  <w:style w:type="paragraph" w:styleId="17">
    <w:name w:val="Body Text Indent 2"/>
    <w:basedOn w:val="1"/>
    <w:next w:val="18"/>
    <w:qFormat/>
    <w:uiPriority w:val="0"/>
    <w:pPr>
      <w:ind w:firstLine="560" w:firstLineChars="200"/>
    </w:pPr>
    <w:rPr>
      <w:rFonts w:ascii="Calibri" w:hAnsi="Calibri" w:eastAsia="宋体"/>
      <w:sz w:val="28"/>
      <w:szCs w:val="24"/>
    </w:rPr>
  </w:style>
  <w:style w:type="paragraph" w:styleId="18">
    <w:name w:val="toc 1"/>
    <w:basedOn w:val="1"/>
    <w:next w:val="1"/>
    <w:qFormat/>
    <w:uiPriority w:val="0"/>
    <w:rPr>
      <w:rFonts w:ascii="Times New Roman" w:hAnsi="Times New Roman" w:eastAsia="仿宋_GB2312"/>
      <w:sz w:val="24"/>
    </w:rPr>
  </w:style>
  <w:style w:type="paragraph" w:styleId="19">
    <w:name w:val="Balloon Text"/>
    <w:basedOn w:val="1"/>
    <w:link w:val="87"/>
    <w:qFormat/>
    <w:uiPriority w:val="0"/>
    <w:pPr>
      <w:spacing w:line="240" w:lineRule="auto"/>
    </w:pPr>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2">
    <w:name w:val="List"/>
    <w:basedOn w:val="1"/>
    <w:qFormat/>
    <w:uiPriority w:val="0"/>
    <w:pPr>
      <w:ind w:left="200" w:hanging="200" w:hangingChars="200"/>
    </w:pPr>
    <w:rPr>
      <w:sz w:val="28"/>
    </w:rPr>
  </w:style>
  <w:style w:type="paragraph" w:styleId="23">
    <w:name w:val="toc 6"/>
    <w:basedOn w:val="1"/>
    <w:next w:val="1"/>
    <w:unhideWhenUsed/>
    <w:qFormat/>
    <w:uiPriority w:val="39"/>
    <w:pPr>
      <w:ind w:left="2100" w:leftChars="1000"/>
    </w:pPr>
    <w:rPr>
      <w:rFonts w:ascii="Calibri" w:hAnsi="Calibri"/>
      <w:szCs w:val="22"/>
    </w:rPr>
  </w:style>
  <w:style w:type="paragraph" w:styleId="24">
    <w:name w:val="Body Text Indent 3"/>
    <w:link w:val="65"/>
    <w:qFormat/>
    <w:uiPriority w:val="0"/>
    <w:pPr>
      <w:widowControl w:val="0"/>
      <w:snapToGrid w:val="0"/>
      <w:ind w:firstLine="480" w:firstLineChars="200"/>
    </w:pPr>
    <w:rPr>
      <w:rFonts w:ascii="仿宋_GB2312" w:hAnsi="宋体" w:eastAsia="仿宋_GB2312" w:cs="Times New Roman"/>
      <w:color w:val="000000"/>
      <w:kern w:val="2"/>
      <w:sz w:val="24"/>
      <w:szCs w:val="24"/>
      <w:lang w:val="en-US" w:eastAsia="zh-CN" w:bidi="ar-SA"/>
    </w:rPr>
  </w:style>
  <w:style w:type="paragraph" w:styleId="25">
    <w:name w:val="table of figures"/>
    <w:basedOn w:val="1"/>
    <w:next w:val="1"/>
    <w:unhideWhenUsed/>
    <w:qFormat/>
    <w:uiPriority w:val="99"/>
    <w:pPr>
      <w:ind w:left="200" w:leftChars="200" w:hanging="200" w:hangingChars="200"/>
    </w:pPr>
  </w:style>
  <w:style w:type="paragraph" w:styleId="26">
    <w:name w:val="toc 2"/>
    <w:next w:val="1"/>
    <w:qFormat/>
    <w:uiPriority w:val="39"/>
    <w:pPr>
      <w:widowControl w:val="0"/>
      <w:tabs>
        <w:tab w:val="right" w:leader="dot" w:pos="9403"/>
      </w:tabs>
      <w:snapToGrid w:val="0"/>
      <w:spacing w:line="360" w:lineRule="auto"/>
      <w:ind w:firstLine="200" w:firstLineChars="200"/>
      <w:jc w:val="both"/>
    </w:pPr>
    <w:rPr>
      <w:rFonts w:ascii="Times New Roman" w:hAnsi="Times New Roman" w:eastAsia="宋体" w:cs="Times New Roman"/>
      <w:smallCaps/>
      <w:kern w:val="2"/>
      <w:sz w:val="21"/>
      <w:szCs w:val="24"/>
      <w:lang w:val="en-US" w:eastAsia="zh-CN" w:bidi="ar-SA"/>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8">
    <w:name w:val="Body Text First Indent 2"/>
    <w:basedOn w:val="10"/>
    <w:next w:val="1"/>
    <w:qFormat/>
    <w:uiPriority w:val="0"/>
    <w:pPr>
      <w:autoSpaceDE w:val="0"/>
      <w:autoSpaceDN w:val="0"/>
      <w:adjustRightInd w:val="0"/>
      <w:spacing w:after="120" w:line="240" w:lineRule="auto"/>
      <w:ind w:left="420" w:leftChars="200" w:firstLine="420"/>
      <w:textAlignment w:val="baseline"/>
    </w:pPr>
    <w:rPr>
      <w:rFonts w:ascii="Times New Roman" w:hAnsi="Times New Roman" w:eastAsia="宋体"/>
      <w:kern w:val="0"/>
      <w:sz w:val="28"/>
    </w:rPr>
  </w:style>
  <w:style w:type="table" w:styleId="30">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32">
    <w:name w:val="Strong"/>
    <w:basedOn w:val="31"/>
    <w:qFormat/>
    <w:uiPriority w:val="0"/>
    <w:rPr>
      <w:b/>
    </w:rPr>
  </w:style>
  <w:style w:type="character" w:styleId="33">
    <w:name w:val="page number"/>
    <w:qFormat/>
    <w:uiPriority w:val="0"/>
  </w:style>
  <w:style w:type="character" w:styleId="34">
    <w:name w:val="Hyperlink"/>
    <w:basedOn w:val="31"/>
    <w:qFormat/>
    <w:uiPriority w:val="0"/>
    <w:rPr>
      <w:color w:val="0000FF"/>
      <w:u w:val="single"/>
    </w:rPr>
  </w:style>
  <w:style w:type="paragraph" w:customStyle="1" w:styleId="35">
    <w:name w:val="章正文"/>
    <w:basedOn w:val="1"/>
    <w:qFormat/>
    <w:locked/>
    <w:uiPriority w:val="0"/>
    <w:pPr>
      <w:spacing w:beforeLines="50" w:after="120" w:line="300" w:lineRule="auto"/>
      <w:ind w:firstLine="480"/>
    </w:pPr>
    <w:rPr>
      <w:rFonts w:ascii="Helvetica" w:hAnsi="Helvetica"/>
      <w:kern w:val="0"/>
    </w:rPr>
  </w:style>
  <w:style w:type="paragraph" w:customStyle="1" w:styleId="3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7">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38">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39">
    <w:name w:val="正文缩进1"/>
    <w:basedOn w:val="1"/>
    <w:qFormat/>
    <w:uiPriority w:val="0"/>
    <w:pPr>
      <w:ind w:firstLine="420" w:firstLineChars="200"/>
    </w:pPr>
    <w:rPr>
      <w:rFonts w:ascii="Times New Roman"/>
      <w:szCs w:val="22"/>
    </w:rPr>
  </w:style>
  <w:style w:type="paragraph" w:customStyle="1" w:styleId="40">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41">
    <w:name w:val="样式 正文文本缩进 + 左  0 字符"/>
    <w:basedOn w:val="10"/>
    <w:qFormat/>
    <w:uiPriority w:val="0"/>
    <w:pPr>
      <w:ind w:firstLine="250" w:firstLineChars="250"/>
    </w:pPr>
    <w:rPr>
      <w:color w:val="000000"/>
    </w:rPr>
  </w:style>
  <w:style w:type="paragraph" w:customStyle="1" w:styleId="42">
    <w:name w:val="表格文字"/>
    <w:next w:val="12"/>
    <w:qFormat/>
    <w:uiPriority w:val="0"/>
    <w:pPr>
      <w:widowControl w:val="0"/>
      <w:spacing w:line="324" w:lineRule="auto"/>
      <w:jc w:val="both"/>
    </w:pPr>
    <w:rPr>
      <w:rFonts w:hint="eastAsia" w:ascii="Arial" w:hAnsi="Arial" w:eastAsia="宋体" w:cs="Times New Roman"/>
      <w:kern w:val="2"/>
      <w:sz w:val="21"/>
      <w:szCs w:val="21"/>
      <w:lang w:val="en-US" w:eastAsia="zh-CN" w:bidi="ar-SA"/>
    </w:rPr>
  </w:style>
  <w:style w:type="paragraph" w:customStyle="1" w:styleId="4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首行缩进"/>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customStyle="1" w:styleId="46">
    <w:name w:val="[Normal]"/>
    <w:qFormat/>
    <w:uiPriority w:val="0"/>
    <w:rPr>
      <w:rFonts w:ascii="宋体" w:hAnsi="宋体" w:eastAsia="宋体" w:cs="Times New Roman"/>
      <w:sz w:val="24"/>
      <w:szCs w:val="22"/>
      <w:lang w:val="zh-CN" w:eastAsia="zh-CN" w:bidi="ar-SA"/>
    </w:rPr>
  </w:style>
  <w:style w:type="paragraph" w:customStyle="1" w:styleId="47">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8">
    <w:name w:val="纯文本1"/>
    <w:basedOn w:val="49"/>
    <w:qFormat/>
    <w:uiPriority w:val="0"/>
    <w:pPr>
      <w:snapToGrid w:val="0"/>
      <w:jc w:val="left"/>
    </w:pPr>
    <w:rPr>
      <w:rFonts w:ascii="Century Gothic" w:hAnsi="楷体_GB2312" w:eastAsia="Century Gothic"/>
    </w:rPr>
  </w:style>
  <w:style w:type="paragraph" w:customStyle="1" w:styleId="49">
    <w:name w:val="正文1"/>
    <w:qFormat/>
    <w:uiPriority w:val="0"/>
    <w:pPr>
      <w:widowControl w:val="0"/>
      <w:jc w:val="both"/>
    </w:pPr>
    <w:rPr>
      <w:rFonts w:hint="eastAsia" w:ascii="等线" w:hAnsi="等线" w:eastAsia="等线" w:cs="Times New Roman"/>
      <w:kern w:val="2"/>
      <w:sz w:val="21"/>
      <w:lang w:val="en-US" w:eastAsia="zh-CN" w:bidi="ar-SA"/>
    </w:rPr>
  </w:style>
  <w:style w:type="paragraph" w:styleId="50">
    <w:name w:val="List Paragraph"/>
    <w:basedOn w:val="1"/>
    <w:qFormat/>
    <w:uiPriority w:val="34"/>
    <w:pPr>
      <w:ind w:firstLine="420" w:firstLineChars="200"/>
    </w:pPr>
    <w:rPr>
      <w:rFonts w:ascii="Calibri" w:hAnsi="Calibri" w:eastAsia="宋体"/>
      <w:szCs w:val="22"/>
    </w:rPr>
  </w:style>
  <w:style w:type="paragraph" w:customStyle="1" w:styleId="51">
    <w:name w:val="xl29"/>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52">
    <w:name w:val="列表 21"/>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53">
    <w:name w:val="默认段落字体 Para Char Char Char Char Char Char Char Char Char1 Char Char Char Char"/>
    <w:qFormat/>
    <w:uiPriority w:val="0"/>
    <w:pPr>
      <w:widowControl w:val="0"/>
      <w:jc w:val="both"/>
    </w:pPr>
    <w:rPr>
      <w:rFonts w:ascii="Tahoma" w:hAnsi="Tahoma" w:eastAsia="宋体" w:cs="Times New Roman"/>
      <w:kern w:val="2"/>
      <w:sz w:val="24"/>
      <w:lang w:val="en-US" w:eastAsia="zh-CN" w:bidi="ar-SA"/>
    </w:rPr>
  </w:style>
  <w:style w:type="paragraph" w:customStyle="1" w:styleId="54">
    <w:name w:val="正文1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55">
    <w:name w:val="纯文本2"/>
    <w:qFormat/>
    <w:uiPriority w:val="0"/>
    <w:rPr>
      <w:rFonts w:hint="eastAsia" w:ascii="宋体" w:hAnsi="Courier New" w:eastAsia="宋体" w:cs="Times New Roman"/>
      <w:kern w:val="2"/>
      <w:sz w:val="21"/>
      <w:szCs w:val="22"/>
      <w:lang w:val="en-US" w:eastAsia="zh-CN" w:bidi="ar-SA"/>
    </w:rPr>
  </w:style>
  <w:style w:type="paragraph" w:customStyle="1" w:styleId="56">
    <w:name w:val="正文3"/>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57">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58">
    <w:name w:val="正文2"/>
    <w:basedOn w:val="1"/>
    <w:qFormat/>
    <w:uiPriority w:val="0"/>
    <w:pPr>
      <w:spacing w:before="156" w:line="360" w:lineRule="auto"/>
      <w:ind w:firstLine="510" w:firstLineChars="200"/>
    </w:pPr>
    <w:rPr>
      <w:sz w:val="24"/>
    </w:rPr>
  </w:style>
  <w:style w:type="paragraph" w:customStyle="1" w:styleId="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0">
    <w:name w:val="列表段落1"/>
    <w:basedOn w:val="1"/>
    <w:qFormat/>
    <w:uiPriority w:val="99"/>
    <w:pPr>
      <w:ind w:firstLine="420" w:firstLineChars="200"/>
    </w:pPr>
    <w:rPr>
      <w:rFonts w:ascii="Calibri" w:hAnsi="Calibri"/>
      <w:szCs w:val="22"/>
    </w:rPr>
  </w:style>
  <w:style w:type="character" w:customStyle="1" w:styleId="61">
    <w:name w:val="font01"/>
    <w:basedOn w:val="31"/>
    <w:qFormat/>
    <w:uiPriority w:val="0"/>
    <w:rPr>
      <w:rFonts w:hint="eastAsia" w:ascii="宋体" w:hAnsi="宋体" w:eastAsia="宋体" w:cs="宋体"/>
      <w:color w:val="000000"/>
      <w:kern w:val="2"/>
      <w:sz w:val="24"/>
      <w:szCs w:val="24"/>
      <w:u w:val="none"/>
    </w:rPr>
  </w:style>
  <w:style w:type="paragraph" w:customStyle="1" w:styleId="62">
    <w:name w:val="*正文"/>
    <w:basedOn w:val="1"/>
    <w:qFormat/>
    <w:uiPriority w:val="0"/>
    <w:pPr>
      <w:spacing w:line="360" w:lineRule="auto"/>
      <w:ind w:firstLine="482" w:firstLineChars="200"/>
    </w:pPr>
    <w:rPr>
      <w:rFonts w:ascii="宋体" w:hAnsi="宋体"/>
      <w:kern w:val="0"/>
      <w:sz w:val="24"/>
    </w:rPr>
  </w:style>
  <w:style w:type="paragraph" w:customStyle="1" w:styleId="63">
    <w:name w:val="样式 (符号) 宋体"/>
    <w:basedOn w:val="1"/>
    <w:qFormat/>
    <w:uiPriority w:val="0"/>
    <w:pPr>
      <w:ind w:firstLine="420"/>
    </w:pPr>
    <w:rPr>
      <w:rFonts w:ascii="Times New Roman" w:hAnsi="Times New Roman" w:eastAsia="宋体"/>
      <w:color w:val="000000"/>
      <w:kern w:val="1"/>
    </w:rPr>
  </w:style>
  <w:style w:type="paragraph" w:customStyle="1" w:styleId="64">
    <w:name w:val="正文0"/>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character" w:customStyle="1" w:styleId="65">
    <w:name w:val="正文文本缩进 3 Char"/>
    <w:link w:val="24"/>
    <w:qFormat/>
    <w:uiPriority w:val="0"/>
    <w:rPr>
      <w:rFonts w:ascii="仿宋_GB2312" w:hAnsi="宋体" w:eastAsia="仿宋_GB2312" w:cs="Times New Roman"/>
      <w:color w:val="000000"/>
      <w:kern w:val="2"/>
      <w:sz w:val="24"/>
      <w:szCs w:val="24"/>
      <w:lang w:val="en-US" w:eastAsia="zh-CN" w:bidi="ar-SA"/>
    </w:rPr>
  </w:style>
  <w:style w:type="paragraph" w:customStyle="1" w:styleId="66">
    <w:name w:val="样式 表格正文 + 两端对齐"/>
    <w:basedOn w:val="1"/>
    <w:next w:val="54"/>
    <w:qFormat/>
    <w:uiPriority w:val="0"/>
    <w:pPr>
      <w:spacing w:line="300" w:lineRule="auto"/>
    </w:pPr>
    <w:rPr>
      <w:rFonts w:ascii="Times New Roman"/>
    </w:rPr>
  </w:style>
  <w:style w:type="paragraph" w:customStyle="1" w:styleId="67">
    <w:name w:val="p0"/>
    <w:basedOn w:val="1"/>
    <w:qFormat/>
    <w:uiPriority w:val="0"/>
    <w:pPr>
      <w:widowControl/>
      <w:ind w:left="108" w:right="108" w:firstLine="200"/>
    </w:pPr>
    <w:rPr>
      <w:rFonts w:eastAsia="微软雅黑"/>
      <w:kern w:val="0"/>
      <w:szCs w:val="21"/>
    </w:rPr>
  </w:style>
  <w:style w:type="character" w:customStyle="1" w:styleId="68">
    <w:name w:val="font31"/>
    <w:basedOn w:val="31"/>
    <w:qFormat/>
    <w:uiPriority w:val="0"/>
    <w:rPr>
      <w:rFonts w:hint="eastAsia" w:ascii="宋体" w:hAnsi="宋体" w:eastAsia="宋体" w:cs="宋体"/>
      <w:color w:val="000000"/>
      <w:sz w:val="21"/>
      <w:szCs w:val="21"/>
      <w:u w:val="none"/>
    </w:rPr>
  </w:style>
  <w:style w:type="table" w:customStyle="1" w:styleId="69">
    <w:name w:val="网格型1"/>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0">
    <w:name w:val="!正文"/>
    <w:basedOn w:val="1"/>
    <w:qFormat/>
    <w:uiPriority w:val="0"/>
    <w:pPr>
      <w:ind w:firstLine="200"/>
      <w:jc w:val="left"/>
    </w:pPr>
    <w:rPr>
      <w:szCs w:val="24"/>
    </w:rPr>
  </w:style>
  <w:style w:type="paragraph" w:customStyle="1" w:styleId="71">
    <w:name w:val="样式 正文缩进 + 首行缩进:  2 字符"/>
    <w:basedOn w:val="9"/>
    <w:qFormat/>
    <w:uiPriority w:val="0"/>
    <w:pPr>
      <w:ind w:firstLine="200"/>
    </w:pPr>
    <w:rPr>
      <w:rFonts w:ascii="Times New Roman" w:hAnsi="Times New Roman" w:cs="宋体"/>
      <w:sz w:val="28"/>
      <w:szCs w:val="24"/>
    </w:rPr>
  </w:style>
  <w:style w:type="paragraph" w:customStyle="1" w:styleId="72">
    <w:name w:val="标准正文"/>
    <w:basedOn w:val="1"/>
    <w:qFormat/>
    <w:uiPriority w:val="0"/>
    <w:pPr>
      <w:spacing w:line="360" w:lineRule="auto"/>
      <w:ind w:firstLine="480" w:firstLineChars="200"/>
    </w:pPr>
    <w:rPr>
      <w:rFonts w:ascii="宋体" w:hAnsi="Calibri" w:eastAsia="宋体" w:cs="宋体"/>
      <w:sz w:val="24"/>
    </w:rPr>
  </w:style>
  <w:style w:type="paragraph" w:customStyle="1" w:styleId="73">
    <w:name w:val="&quot;Table&quot;"/>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74">
    <w:name w:val="列出段落2"/>
    <w:basedOn w:val="1"/>
    <w:qFormat/>
    <w:uiPriority w:val="0"/>
    <w:pPr>
      <w:ind w:firstLine="420" w:firstLineChars="200"/>
    </w:pPr>
    <w:rPr>
      <w:szCs w:val="24"/>
    </w:rPr>
  </w:style>
  <w:style w:type="character" w:customStyle="1" w:styleId="75">
    <w:name w:val="font101"/>
    <w:basedOn w:val="31"/>
    <w:qFormat/>
    <w:uiPriority w:val="0"/>
    <w:rPr>
      <w:rFonts w:hint="eastAsia" w:ascii="宋体" w:hAnsi="宋体" w:eastAsia="宋体" w:cs="宋体"/>
      <w:color w:val="000000"/>
      <w:sz w:val="20"/>
      <w:szCs w:val="20"/>
      <w:u w:val="none"/>
    </w:rPr>
  </w:style>
  <w:style w:type="character" w:customStyle="1" w:styleId="76">
    <w:name w:val="font81"/>
    <w:basedOn w:val="31"/>
    <w:qFormat/>
    <w:uiPriority w:val="0"/>
    <w:rPr>
      <w:rFonts w:hint="default" w:ascii="Tahoma" w:hAnsi="Tahoma" w:eastAsia="Tahoma" w:cs="Tahoma"/>
      <w:color w:val="FF0000"/>
      <w:sz w:val="20"/>
      <w:szCs w:val="20"/>
      <w:u w:val="none"/>
    </w:rPr>
  </w:style>
  <w:style w:type="character" w:customStyle="1" w:styleId="77">
    <w:name w:val="font112"/>
    <w:basedOn w:val="31"/>
    <w:qFormat/>
    <w:uiPriority w:val="0"/>
    <w:rPr>
      <w:rFonts w:hint="eastAsia" w:ascii="宋体" w:hAnsi="宋体" w:eastAsia="宋体" w:cs="宋体"/>
      <w:color w:val="FF0000"/>
      <w:sz w:val="20"/>
      <w:szCs w:val="20"/>
      <w:u w:val="none"/>
    </w:rPr>
  </w:style>
  <w:style w:type="character" w:customStyle="1" w:styleId="78">
    <w:name w:val="font21"/>
    <w:basedOn w:val="31"/>
    <w:qFormat/>
    <w:uiPriority w:val="0"/>
    <w:rPr>
      <w:rFonts w:hint="default" w:ascii="Tahoma" w:hAnsi="Tahoma" w:eastAsia="Tahoma" w:cs="Tahoma"/>
      <w:color w:val="FF0000"/>
      <w:sz w:val="20"/>
      <w:szCs w:val="20"/>
      <w:u w:val="none"/>
    </w:rPr>
  </w:style>
  <w:style w:type="character" w:customStyle="1" w:styleId="79">
    <w:name w:val="font121"/>
    <w:basedOn w:val="31"/>
    <w:qFormat/>
    <w:uiPriority w:val="0"/>
    <w:rPr>
      <w:rFonts w:hint="eastAsia" w:ascii="宋体" w:hAnsi="宋体" w:eastAsia="宋体" w:cs="宋体"/>
      <w:color w:val="FF0000"/>
      <w:sz w:val="20"/>
      <w:szCs w:val="20"/>
      <w:u w:val="none"/>
    </w:rPr>
  </w:style>
  <w:style w:type="character" w:customStyle="1" w:styleId="80">
    <w:name w:val="font71"/>
    <w:basedOn w:val="31"/>
    <w:qFormat/>
    <w:uiPriority w:val="0"/>
    <w:rPr>
      <w:rFonts w:hint="default" w:ascii="Arial" w:hAnsi="Arial" w:cs="Arial"/>
      <w:color w:val="FF0000"/>
      <w:sz w:val="20"/>
      <w:szCs w:val="20"/>
      <w:u w:val="none"/>
    </w:rPr>
  </w:style>
  <w:style w:type="character" w:customStyle="1" w:styleId="81">
    <w:name w:val="font91"/>
    <w:basedOn w:val="31"/>
    <w:qFormat/>
    <w:uiPriority w:val="0"/>
    <w:rPr>
      <w:rFonts w:hint="default" w:ascii="Arial" w:hAnsi="Arial" w:cs="Arial"/>
      <w:color w:val="000000"/>
      <w:sz w:val="20"/>
      <w:szCs w:val="20"/>
      <w:u w:val="none"/>
    </w:rPr>
  </w:style>
  <w:style w:type="character" w:customStyle="1" w:styleId="82">
    <w:name w:val="font61"/>
    <w:basedOn w:val="31"/>
    <w:qFormat/>
    <w:uiPriority w:val="0"/>
    <w:rPr>
      <w:rFonts w:hint="default" w:ascii="Arial" w:hAnsi="Arial" w:cs="Arial"/>
      <w:color w:val="FF0000"/>
      <w:sz w:val="20"/>
      <w:szCs w:val="20"/>
      <w:u w:val="none"/>
    </w:rPr>
  </w:style>
  <w:style w:type="table" w:customStyle="1" w:styleId="83">
    <w:name w:val="Table Normal"/>
    <w:semiHidden/>
    <w:unhideWhenUsed/>
    <w:qFormat/>
    <w:uiPriority w:val="0"/>
    <w:tblPr>
      <w:tblCellMar>
        <w:top w:w="0" w:type="dxa"/>
        <w:left w:w="0" w:type="dxa"/>
        <w:bottom w:w="0" w:type="dxa"/>
        <w:right w:w="0" w:type="dxa"/>
      </w:tblCellMar>
    </w:tblPr>
  </w:style>
  <w:style w:type="paragraph" w:customStyle="1" w:styleId="84">
    <w:name w:val="样式1"/>
    <w:basedOn w:val="8"/>
    <w:qFormat/>
    <w:uiPriority w:val="0"/>
    <w:pPr>
      <w:snapToGrid w:val="0"/>
      <w:spacing w:before="0" w:after="0" w:line="240" w:lineRule="auto"/>
    </w:pPr>
    <w:rPr>
      <w:bCs w:val="0"/>
      <w:spacing w:val="20"/>
      <w:sz w:val="21"/>
      <w:szCs w:val="20"/>
    </w:rPr>
  </w:style>
  <w:style w:type="paragraph" w:customStyle="1" w:styleId="85">
    <w:name w:val="Table Paragraph"/>
    <w:basedOn w:val="1"/>
    <w:qFormat/>
    <w:uiPriority w:val="1"/>
    <w:rPr>
      <w:rFonts w:ascii="宋体" w:hAnsi="宋体" w:eastAsia="宋体" w:cs="宋体"/>
      <w:lang w:val="zh-CN" w:bidi="zh-CN"/>
    </w:rPr>
  </w:style>
  <w:style w:type="paragraph" w:customStyle="1" w:styleId="86">
    <w:name w:val="_Style 3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7">
    <w:name w:val="批注框文本 Char"/>
    <w:basedOn w:val="31"/>
    <w:link w:val="19"/>
    <w:qFormat/>
    <w:uiPriority w:val="0"/>
    <w:rPr>
      <w:rFonts w:ascii="等线" w:hAnsi="等线" w:eastAsia="等线"/>
      <w:kern w:val="2"/>
      <w:sz w:val="18"/>
      <w:szCs w:val="18"/>
    </w:rPr>
  </w:style>
  <w:style w:type="paragraph" w:customStyle="1" w:styleId="88">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9">
    <w:name w:val="Other|1"/>
    <w:basedOn w:val="1"/>
    <w:qFormat/>
    <w:uiPriority w:val="0"/>
    <w:pPr>
      <w:spacing w:line="480" w:lineRule="auto"/>
      <w:ind w:firstLine="400"/>
      <w:jc w:val="left"/>
    </w:pPr>
    <w:rPr>
      <w:rFonts w:ascii="宋体" w:hAnsi="宋体" w:eastAsia="宋体" w:cs="宋体"/>
      <w:sz w:val="20"/>
      <w:lang w:val="zh-TW" w:eastAsia="zh-TW" w:bidi="zh-TW"/>
    </w:rPr>
  </w:style>
  <w:style w:type="character" w:customStyle="1" w:styleId="90">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1">
    <w:name w:val="4"/>
    <w:basedOn w:val="1"/>
    <w:next w:val="15"/>
    <w:qFormat/>
    <w:uiPriority w:val="0"/>
    <w:pPr>
      <w:spacing w:line="520" w:lineRule="exact"/>
    </w:pPr>
    <w:rPr>
      <w:rFonts w:ascii="宋体" w:hAnsi="Courier New"/>
      <w:color w:val="auto"/>
      <w:kern w:val="2"/>
    </w:rPr>
  </w:style>
  <w:style w:type="paragraph" w:customStyle="1" w:styleId="92">
    <w:name w:val="列出段落1"/>
    <w:qFormat/>
    <w:uiPriority w:val="0"/>
    <w:pPr>
      <w:widowControl w:val="0"/>
      <w:ind w:firstLine="420"/>
      <w:jc w:val="both"/>
    </w:pPr>
    <w:rPr>
      <w:rFonts w:ascii="Times New Roman" w:hAnsi="Times New Roman"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104</Pages>
  <Words>38675</Words>
  <Characters>46030</Characters>
  <Lines>1</Lines>
  <Paragraphs>1</Paragraphs>
  <TotalTime>95</TotalTime>
  <ScaleCrop>false</ScaleCrop>
  <LinksUpToDate>false</LinksUpToDate>
  <CharactersWithSpaces>48648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cactus</dc:creator>
  <cp:lastModifiedBy>月亮</cp:lastModifiedBy>
  <cp:lastPrinted>2025-02-19T01:15:55Z</cp:lastPrinted>
  <dcterms:modified xsi:type="dcterms:W3CDTF">2025-02-19T01:57:32Z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1F10D919A19D4041B63F84B5B2EDACD6_13</vt:lpwstr>
  </property>
  <property fmtid="{D5CDD505-2E9C-101B-9397-08002B2CF9AE}" pid="4" name="KSOTemplateDocerSaveRecord">
    <vt:lpwstr>eyJoZGlkIjoiYTg5M2QyMDQyZmJiY2QzMGIxOTBiMTM2YWU0NWFlMWEiLCJ1c2VySWQiOiI3MTU2NjM2NjAifQ==</vt:lpwstr>
  </property>
</Properties>
</file>