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49F91">
      <w:pPr>
        <w:spacing w:line="240" w:lineRule="auto"/>
        <w:ind w:firstLine="0" w:firstLineChars="0"/>
        <w:jc w:val="center"/>
        <w:rPr>
          <w:rFonts w:hint="eastAsia" w:ascii="宋体" w:hAnsi="宋体" w:eastAsia="宋体" w:cs="宋体"/>
          <w:b/>
          <w:bCs/>
          <w:sz w:val="52"/>
          <w:szCs w:val="52"/>
          <w:highlight w:val="none"/>
          <w:lang w:val="zh-CN" w:eastAsia="zh-CN"/>
        </w:rPr>
      </w:pPr>
    </w:p>
    <w:p w14:paraId="06BB12B0">
      <w:pPr>
        <w:spacing w:line="240" w:lineRule="auto"/>
        <w:ind w:firstLine="0" w:firstLineChars="0"/>
        <w:jc w:val="center"/>
        <w:rPr>
          <w:rFonts w:hint="eastAsia" w:ascii="微软雅黑" w:hAnsi="微软雅黑" w:cs="微软雅黑"/>
          <w:bCs/>
          <w:color w:val="auto"/>
          <w:sz w:val="84"/>
          <w:szCs w:val="84"/>
          <w:highlight w:val="none"/>
        </w:rPr>
      </w:pPr>
      <w:r>
        <w:rPr>
          <w:rFonts w:hint="eastAsia" w:ascii="宋体" w:hAnsi="宋体" w:eastAsia="宋体" w:cs="宋体"/>
          <w:b/>
          <w:bCs/>
          <w:sz w:val="52"/>
          <w:szCs w:val="52"/>
          <w:highlight w:val="none"/>
          <w:lang w:val="zh-CN" w:eastAsia="zh-CN"/>
        </w:rPr>
        <w:t>2025年柯城区政策性农村住房保险及附加室内家财保险项目</w:t>
      </w:r>
      <w:bookmarkStart w:id="0" w:name="_Toc9735"/>
      <w:bookmarkStart w:id="1" w:name="_Toc7165"/>
      <w:bookmarkStart w:id="2" w:name="_Toc17210"/>
      <w:bookmarkStart w:id="3" w:name="_Toc6845"/>
      <w:r>
        <w:rPr>
          <w:rFonts w:hint="eastAsia" w:ascii="宋体" w:hAnsi="宋体" w:eastAsia="宋体" w:cs="宋体"/>
          <w:b/>
          <w:bCs/>
          <w:sz w:val="52"/>
          <w:szCs w:val="52"/>
          <w:highlight w:val="none"/>
          <w:lang w:val="zh-CN" w:eastAsia="zh-CN"/>
        </w:rPr>
        <w:t>公开招标采购文件</w:t>
      </w:r>
      <w:bookmarkEnd w:id="0"/>
      <w:bookmarkEnd w:id="1"/>
      <w:bookmarkEnd w:id="2"/>
      <w:bookmarkEnd w:id="3"/>
    </w:p>
    <w:p w14:paraId="4BCA323C">
      <w:pPr>
        <w:ind w:firstLine="0" w:firstLineChars="0"/>
        <w:jc w:val="center"/>
        <w:rPr>
          <w:rFonts w:hint="eastAsia"/>
          <w:b/>
          <w:color w:val="auto"/>
          <w:sz w:val="44"/>
          <w:szCs w:val="44"/>
          <w:highlight w:val="none"/>
        </w:rPr>
      </w:pPr>
    </w:p>
    <w:p w14:paraId="0A8C2451">
      <w:pPr>
        <w:ind w:firstLine="0" w:firstLineChars="0"/>
        <w:jc w:val="center"/>
        <w:rPr>
          <w:rFonts w:hint="eastAsia"/>
          <w:b/>
          <w:color w:val="auto"/>
          <w:sz w:val="44"/>
          <w:szCs w:val="44"/>
          <w:highlight w:val="none"/>
        </w:rPr>
      </w:pPr>
    </w:p>
    <w:p w14:paraId="26514C3C">
      <w:pPr>
        <w:pStyle w:val="6"/>
        <w:rPr>
          <w:rFonts w:hint="eastAsia"/>
        </w:rPr>
      </w:pPr>
    </w:p>
    <w:p w14:paraId="09F4F3FE">
      <w:pPr>
        <w:tabs>
          <w:tab w:val="center" w:pos="4620"/>
          <w:tab w:val="left" w:pos="6843"/>
        </w:tabs>
        <w:spacing w:line="240" w:lineRule="auto"/>
        <w:ind w:firstLine="0" w:firstLineChars="0"/>
        <w:jc w:val="center"/>
        <w:rPr>
          <w:rFonts w:hint="eastAsia" w:ascii="宋体" w:hAnsi="宋体" w:eastAsia="宋体" w:cs="宋体"/>
          <w:b/>
          <w:w w:val="85"/>
          <w:sz w:val="32"/>
          <w:szCs w:val="32"/>
          <w:highlight w:val="none"/>
          <w:lang w:eastAsia="zh-CN"/>
        </w:rPr>
      </w:pPr>
      <w:r>
        <w:rPr>
          <w:rFonts w:hint="eastAsia" w:ascii="宋体" w:hAnsi="宋体" w:eastAsia="宋体" w:cs="宋体"/>
          <w:b/>
          <w:w w:val="85"/>
          <w:sz w:val="32"/>
          <w:szCs w:val="32"/>
          <w:highlight w:val="none"/>
          <w:lang w:val="zh-CN"/>
        </w:rPr>
        <w:t>项目编号：</w:t>
      </w:r>
      <w:r>
        <w:rPr>
          <w:rFonts w:hint="eastAsia" w:ascii="宋体" w:hAnsi="宋体" w:eastAsia="宋体" w:cs="宋体"/>
          <w:b/>
          <w:w w:val="85"/>
          <w:sz w:val="32"/>
          <w:szCs w:val="32"/>
          <w:highlight w:val="none"/>
          <w:lang w:eastAsia="zh-CN"/>
        </w:rPr>
        <w:t>ZJJCCG2025-01</w:t>
      </w:r>
    </w:p>
    <w:p w14:paraId="22C74663">
      <w:pPr>
        <w:ind w:firstLine="480"/>
        <w:jc w:val="center"/>
        <w:rPr>
          <w:rFonts w:hint="eastAsia" w:ascii="微软雅黑" w:hAnsi="微软雅黑" w:cs="微软雅黑"/>
          <w:color w:val="auto"/>
          <w:szCs w:val="21"/>
          <w:highlight w:val="none"/>
        </w:rPr>
      </w:pPr>
    </w:p>
    <w:p w14:paraId="275CCAF3">
      <w:pPr>
        <w:jc w:val="center"/>
        <w:rPr>
          <w:rFonts w:hint="eastAsia" w:ascii="宋体" w:hAnsi="宋体" w:eastAsia="宋体" w:cs="宋体"/>
          <w:szCs w:val="21"/>
          <w:highlight w:val="none"/>
          <w:lang w:eastAsia="zh-CN"/>
        </w:rPr>
      </w:pPr>
      <w:r>
        <w:rPr>
          <w:rFonts w:hint="eastAsia" w:ascii="宋体" w:hAnsi="宋体" w:cs="宋体"/>
          <w:sz w:val="28"/>
          <w:szCs w:val="28"/>
          <w:highlight w:val="none"/>
          <w:lang w:eastAsia="zh-CN"/>
        </w:rPr>
        <w:t>（线上电子招投标）</w:t>
      </w:r>
    </w:p>
    <w:p w14:paraId="7FD879E8">
      <w:pPr>
        <w:pStyle w:val="26"/>
        <w:rPr>
          <w:color w:val="auto"/>
          <w:highlight w:val="none"/>
        </w:rPr>
      </w:pPr>
    </w:p>
    <w:p w14:paraId="29696435">
      <w:pPr>
        <w:pStyle w:val="26"/>
        <w:rPr>
          <w:color w:val="auto"/>
          <w:highlight w:val="none"/>
        </w:rPr>
      </w:pPr>
    </w:p>
    <w:p w14:paraId="38924615">
      <w:pPr>
        <w:pStyle w:val="26"/>
        <w:rPr>
          <w:color w:val="auto"/>
          <w:highlight w:val="none"/>
        </w:rPr>
      </w:pPr>
    </w:p>
    <w:p w14:paraId="1097F0D1">
      <w:pPr>
        <w:snapToGrid w:val="0"/>
        <w:spacing w:line="360" w:lineRule="auto"/>
        <w:ind w:firstLine="0" w:firstLineChars="0"/>
        <w:rPr>
          <w:rFonts w:hint="eastAsia" w:ascii="宋体" w:hAnsi="宋体" w:cs="宋体"/>
          <w:color w:val="auto"/>
          <w:sz w:val="32"/>
          <w:szCs w:val="32"/>
          <w:highlight w:val="none"/>
          <w:lang w:val="zh-CN"/>
        </w:rPr>
      </w:pPr>
    </w:p>
    <w:p w14:paraId="5577EFA9">
      <w:pPr>
        <w:ind w:left="0" w:leftChars="0" w:firstLine="0" w:firstLineChars="0"/>
        <w:rPr>
          <w:rFonts w:hint="eastAsia"/>
          <w:lang w:val="zh-CN"/>
        </w:rPr>
      </w:pPr>
    </w:p>
    <w:p w14:paraId="5BB5E806">
      <w:pPr>
        <w:pStyle w:val="26"/>
        <w:rPr>
          <w:color w:val="auto"/>
          <w:highlight w:val="none"/>
          <w:lang w:val="zh-CN"/>
        </w:rPr>
      </w:pPr>
    </w:p>
    <w:p w14:paraId="2C717804">
      <w:pPr>
        <w:pStyle w:val="26"/>
        <w:rPr>
          <w:color w:val="auto"/>
          <w:highlight w:val="none"/>
          <w:lang w:val="zh-CN"/>
        </w:rPr>
      </w:pPr>
    </w:p>
    <w:p w14:paraId="1D56BC3F">
      <w:pPr>
        <w:keepNext w:val="0"/>
        <w:keepLines w:val="0"/>
        <w:pageBreakBefore w:val="0"/>
        <w:widowControl w:val="0"/>
        <w:kinsoku/>
        <w:wordWrap/>
        <w:overflowPunct/>
        <w:topLinePunct w:val="0"/>
        <w:autoSpaceDE/>
        <w:autoSpaceDN/>
        <w:bidi w:val="0"/>
        <w:adjustRightInd/>
        <w:snapToGrid/>
        <w:spacing w:line="840" w:lineRule="exact"/>
        <w:ind w:left="0" w:leftChars="0" w:firstLine="0" w:firstLineChars="0"/>
        <w:jc w:val="both"/>
        <w:textAlignment w:val="auto"/>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采购人：</w:t>
      </w:r>
      <w:r>
        <w:rPr>
          <w:rFonts w:hint="eastAsia" w:ascii="宋体" w:hAnsi="宋体" w:eastAsia="宋体" w:cs="宋体"/>
          <w:b/>
          <w:sz w:val="32"/>
          <w:szCs w:val="32"/>
          <w:highlight w:val="none"/>
          <w:lang w:eastAsia="zh-CN"/>
        </w:rPr>
        <w:t>衢州市柯城区住房和城乡建设局</w:t>
      </w:r>
    </w:p>
    <w:p w14:paraId="549ED7D5">
      <w:pPr>
        <w:keepNext w:val="0"/>
        <w:keepLines w:val="0"/>
        <w:pageBreakBefore w:val="0"/>
        <w:widowControl w:val="0"/>
        <w:kinsoku/>
        <w:wordWrap/>
        <w:overflowPunct/>
        <w:topLinePunct w:val="0"/>
        <w:autoSpaceDE/>
        <w:autoSpaceDN/>
        <w:bidi w:val="0"/>
        <w:adjustRightInd/>
        <w:snapToGrid/>
        <w:spacing w:line="840" w:lineRule="exact"/>
        <w:ind w:left="0" w:leftChars="0" w:firstLine="0" w:firstLineChars="0"/>
        <w:jc w:val="both"/>
        <w:textAlignment w:val="auto"/>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采购代理机构：浙江佳诚工程咨询股份有限公司</w:t>
      </w:r>
    </w:p>
    <w:p w14:paraId="7ADC7511">
      <w:pPr>
        <w:spacing w:line="360" w:lineRule="auto"/>
        <w:ind w:firstLine="643"/>
        <w:jc w:val="center"/>
        <w:rPr>
          <w:rFonts w:hint="eastAsia" w:ascii="宋体" w:hAnsi="宋体" w:cs="宋体"/>
          <w:b/>
          <w:bCs/>
          <w:color w:val="auto"/>
          <w:sz w:val="32"/>
          <w:szCs w:val="32"/>
          <w:highlight w:val="none"/>
          <w:lang w:val="zh-CN"/>
        </w:rPr>
      </w:pPr>
    </w:p>
    <w:p w14:paraId="4B4E24A6">
      <w:pPr>
        <w:ind w:firstLine="2891" w:firstLineChars="900"/>
        <w:jc w:val="both"/>
        <w:rPr>
          <w:rFonts w:hint="eastAsia" w:ascii="宋体" w:hAnsi="宋体" w:cs="宋体"/>
          <w:b/>
          <w:sz w:val="32"/>
          <w:szCs w:val="32"/>
          <w:highlight w:val="none"/>
        </w:rPr>
      </w:pPr>
      <w:r>
        <w:rPr>
          <w:rFonts w:hint="eastAsia" w:ascii="宋体" w:hAnsi="宋体" w:cs="宋体"/>
          <w:b/>
          <w:sz w:val="32"/>
          <w:szCs w:val="32"/>
          <w:highlight w:val="none"/>
        </w:rPr>
        <w:t>二○二</w:t>
      </w:r>
      <w:r>
        <w:rPr>
          <w:rFonts w:hint="eastAsia" w:ascii="宋体" w:hAnsi="宋体" w:cs="宋体"/>
          <w:b/>
          <w:sz w:val="32"/>
          <w:szCs w:val="32"/>
          <w:highlight w:val="none"/>
          <w:lang w:eastAsia="zh-CN"/>
        </w:rPr>
        <w:t>五</w:t>
      </w:r>
      <w:r>
        <w:rPr>
          <w:rFonts w:hint="eastAsia" w:ascii="宋体" w:hAnsi="宋体" w:cs="宋体"/>
          <w:b/>
          <w:sz w:val="32"/>
          <w:szCs w:val="32"/>
          <w:highlight w:val="none"/>
        </w:rPr>
        <w:t>年</w:t>
      </w:r>
      <w:r>
        <w:rPr>
          <w:rFonts w:hint="eastAsia" w:ascii="宋体" w:hAnsi="宋体" w:cs="宋体"/>
          <w:b/>
          <w:sz w:val="32"/>
          <w:szCs w:val="32"/>
          <w:highlight w:val="none"/>
          <w:lang w:eastAsia="zh-CN"/>
        </w:rPr>
        <w:t>三</w:t>
      </w:r>
      <w:r>
        <w:rPr>
          <w:rFonts w:hint="eastAsia" w:ascii="宋体" w:hAnsi="宋体" w:cs="宋体"/>
          <w:b/>
          <w:sz w:val="32"/>
          <w:szCs w:val="32"/>
          <w:highlight w:val="none"/>
        </w:rPr>
        <w:t>月</w:t>
      </w:r>
    </w:p>
    <w:p w14:paraId="45EB0F3C">
      <w:pPr>
        <w:spacing w:line="480" w:lineRule="exact"/>
        <w:ind w:firstLine="0" w:firstLineChars="0"/>
        <w:jc w:val="center"/>
        <w:rPr>
          <w:rFonts w:hint="eastAsia" w:ascii="微软雅黑" w:hAnsi="微软雅黑" w:eastAsia="微软雅黑" w:cs="微软雅黑"/>
          <w:bCs/>
          <w:color w:val="auto"/>
          <w:sz w:val="44"/>
          <w:szCs w:val="4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850" w:footer="992" w:gutter="0"/>
          <w:cols w:space="720" w:num="1"/>
          <w:docGrid w:type="lines" w:linePitch="312" w:charSpace="0"/>
        </w:sectPr>
      </w:pPr>
    </w:p>
    <w:p w14:paraId="5AF1F331">
      <w:pPr>
        <w:spacing w:line="240" w:lineRule="auto"/>
        <w:ind w:firstLine="0" w:firstLineChars="0"/>
        <w:jc w:val="center"/>
        <w:rPr>
          <w:rFonts w:ascii="宋体" w:hAnsi="宋体"/>
          <w:b/>
          <w:bCs/>
          <w:color w:val="auto"/>
          <w:sz w:val="44"/>
          <w:szCs w:val="44"/>
          <w:highlight w:val="none"/>
        </w:rPr>
      </w:pPr>
      <w:bookmarkStart w:id="4" w:name="_Toc385234427"/>
      <w:bookmarkStart w:id="5" w:name="_Toc390250466"/>
      <w:bookmarkStart w:id="6" w:name="_Toc29731"/>
      <w:bookmarkStart w:id="7" w:name="_Toc820"/>
      <w:bookmarkStart w:id="8" w:name="_Toc20589"/>
      <w:bookmarkStart w:id="9" w:name="_Toc19180"/>
      <w:bookmarkStart w:id="10" w:name="_Toc21236"/>
      <w:bookmarkStart w:id="11" w:name="_Toc12667"/>
      <w:bookmarkStart w:id="12" w:name="_Toc661"/>
      <w:bookmarkStart w:id="13" w:name="_Toc14239"/>
      <w:bookmarkStart w:id="14" w:name="_Toc5764"/>
      <w:bookmarkStart w:id="15" w:name="_Toc391298954"/>
      <w:r>
        <w:rPr>
          <w:rFonts w:ascii="宋体" w:hAnsi="宋体"/>
          <w:b/>
          <w:bCs/>
          <w:color w:val="auto"/>
          <w:sz w:val="44"/>
          <w:szCs w:val="44"/>
          <w:highlight w:val="none"/>
        </w:rPr>
        <w:t>目录</w:t>
      </w:r>
    </w:p>
    <w:p w14:paraId="79AD46EF">
      <w:pPr>
        <w:pStyle w:val="25"/>
      </w:pPr>
    </w:p>
    <w:p w14:paraId="352D81F1">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Times New Roman"/>
          <w:b/>
          <w:bCs/>
          <w:color w:val="auto"/>
          <w:sz w:val="36"/>
          <w:szCs w:val="36"/>
          <w:highlight w:val="none"/>
        </w:rPr>
        <w:t>第一</w:t>
      </w:r>
      <w:r>
        <w:rPr>
          <w:rFonts w:hint="eastAsia" w:ascii="宋体" w:hAnsi="宋体" w:eastAsia="宋体" w:cs="Times New Roman"/>
          <w:b/>
          <w:bCs/>
          <w:color w:val="auto"/>
          <w:sz w:val="36"/>
          <w:szCs w:val="36"/>
          <w:highlight w:val="none"/>
          <w:lang w:eastAsia="zh-CN"/>
        </w:rPr>
        <w:t>章</w:t>
      </w:r>
      <w:r>
        <w:rPr>
          <w:rFonts w:hint="eastAsia" w:ascii="宋体" w:hAnsi="宋体" w:eastAsia="宋体" w:cs="Times New Roman"/>
          <w:b/>
          <w:bCs/>
          <w:color w:val="auto"/>
          <w:sz w:val="36"/>
          <w:szCs w:val="36"/>
          <w:highlight w:val="none"/>
        </w:rPr>
        <w:t xml:space="preserve">   </w:t>
      </w:r>
      <w:r>
        <w:rPr>
          <w:rFonts w:hint="eastAsia" w:ascii="宋体" w:hAnsi="宋体" w:eastAsia="宋体" w:cs="Times New Roman"/>
          <w:b/>
          <w:bCs/>
          <w:color w:val="auto"/>
          <w:sz w:val="36"/>
          <w:szCs w:val="36"/>
          <w:highlight w:val="none"/>
          <w:lang w:val="en-US" w:eastAsia="zh-CN"/>
        </w:rPr>
        <w:t xml:space="preserve">  </w:t>
      </w:r>
      <w:r>
        <w:rPr>
          <w:rFonts w:hint="eastAsia" w:ascii="宋体" w:hAnsi="宋体" w:eastAsia="宋体" w:cs="Times New Roman"/>
          <w:b/>
          <w:bCs/>
          <w:color w:val="auto"/>
          <w:sz w:val="36"/>
          <w:szCs w:val="36"/>
          <w:highlight w:val="none"/>
        </w:rPr>
        <w:t>招标公告</w:t>
      </w:r>
    </w:p>
    <w:p w14:paraId="5CDFA8A3">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第二</w:t>
      </w:r>
      <w:r>
        <w:rPr>
          <w:rFonts w:hint="eastAsia" w:ascii="宋体" w:hAnsi="宋体" w:eastAsia="宋体" w:cs="Times New Roman"/>
          <w:b/>
          <w:bCs/>
          <w:color w:val="auto"/>
          <w:sz w:val="36"/>
          <w:szCs w:val="36"/>
          <w:highlight w:val="none"/>
          <w:lang w:eastAsia="zh-CN"/>
        </w:rPr>
        <w:t>章</w:t>
      </w:r>
      <w:r>
        <w:rPr>
          <w:rFonts w:hint="eastAsia" w:ascii="宋体" w:hAnsi="宋体" w:eastAsia="宋体" w:cs="Times New Roman"/>
          <w:b/>
          <w:bCs/>
          <w:color w:val="auto"/>
          <w:sz w:val="36"/>
          <w:szCs w:val="36"/>
          <w:highlight w:val="none"/>
        </w:rPr>
        <w:t xml:space="preserve">   </w:t>
      </w:r>
      <w:r>
        <w:rPr>
          <w:rFonts w:hint="eastAsia" w:ascii="宋体" w:hAnsi="宋体" w:eastAsia="宋体" w:cs="Times New Roman"/>
          <w:b/>
          <w:bCs/>
          <w:color w:val="auto"/>
          <w:sz w:val="36"/>
          <w:szCs w:val="36"/>
          <w:highlight w:val="none"/>
          <w:lang w:val="en-US" w:eastAsia="zh-CN"/>
        </w:rPr>
        <w:t xml:space="preserve">  投标须知前附表及投标须知</w:t>
      </w:r>
    </w:p>
    <w:p w14:paraId="7A27501E">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第三</w:t>
      </w:r>
      <w:r>
        <w:rPr>
          <w:rFonts w:hint="eastAsia" w:ascii="宋体" w:hAnsi="宋体" w:eastAsia="宋体" w:cs="Times New Roman"/>
          <w:b/>
          <w:bCs/>
          <w:color w:val="auto"/>
          <w:sz w:val="36"/>
          <w:szCs w:val="36"/>
          <w:highlight w:val="none"/>
          <w:lang w:eastAsia="zh-CN"/>
        </w:rPr>
        <w:t>章</w:t>
      </w:r>
      <w:r>
        <w:rPr>
          <w:rFonts w:hint="eastAsia" w:ascii="宋体" w:hAnsi="宋体" w:eastAsia="宋体" w:cs="Times New Roman"/>
          <w:b/>
          <w:bCs/>
          <w:color w:val="auto"/>
          <w:sz w:val="36"/>
          <w:szCs w:val="36"/>
          <w:highlight w:val="none"/>
        </w:rPr>
        <w:t xml:space="preserve">   </w:t>
      </w:r>
      <w:r>
        <w:rPr>
          <w:rFonts w:hint="eastAsia" w:ascii="宋体" w:hAnsi="宋体" w:eastAsia="宋体" w:cs="Times New Roman"/>
          <w:b/>
          <w:bCs/>
          <w:color w:val="auto"/>
          <w:sz w:val="36"/>
          <w:szCs w:val="36"/>
          <w:highlight w:val="none"/>
          <w:lang w:val="en-US" w:eastAsia="zh-CN"/>
        </w:rPr>
        <w:t xml:space="preserve">  </w:t>
      </w:r>
      <w:r>
        <w:rPr>
          <w:rFonts w:hint="eastAsia" w:ascii="宋体" w:hAnsi="宋体" w:eastAsia="宋体" w:cs="Times New Roman"/>
          <w:b/>
          <w:bCs/>
          <w:color w:val="auto"/>
          <w:sz w:val="36"/>
          <w:szCs w:val="36"/>
          <w:highlight w:val="none"/>
        </w:rPr>
        <w:t>采购内容及要求</w:t>
      </w:r>
    </w:p>
    <w:p w14:paraId="6C1A0660">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第四</w:t>
      </w:r>
      <w:r>
        <w:rPr>
          <w:rFonts w:hint="eastAsia" w:ascii="宋体" w:hAnsi="宋体" w:eastAsia="宋体" w:cs="Times New Roman"/>
          <w:b/>
          <w:bCs/>
          <w:color w:val="auto"/>
          <w:sz w:val="36"/>
          <w:szCs w:val="36"/>
          <w:highlight w:val="none"/>
          <w:lang w:eastAsia="zh-CN"/>
        </w:rPr>
        <w:t>章</w:t>
      </w:r>
      <w:r>
        <w:rPr>
          <w:rFonts w:hint="eastAsia" w:ascii="宋体" w:hAnsi="宋体" w:eastAsia="宋体" w:cs="Times New Roman"/>
          <w:b/>
          <w:bCs/>
          <w:color w:val="auto"/>
          <w:sz w:val="36"/>
          <w:szCs w:val="36"/>
          <w:highlight w:val="none"/>
        </w:rPr>
        <w:t xml:space="preserve">   </w:t>
      </w:r>
      <w:r>
        <w:rPr>
          <w:rFonts w:hint="eastAsia" w:ascii="宋体" w:hAnsi="宋体" w:eastAsia="宋体" w:cs="Times New Roman"/>
          <w:b/>
          <w:bCs/>
          <w:color w:val="auto"/>
          <w:sz w:val="36"/>
          <w:szCs w:val="36"/>
          <w:highlight w:val="none"/>
          <w:lang w:val="en-US" w:eastAsia="zh-CN"/>
        </w:rPr>
        <w:t xml:space="preserve">  </w:t>
      </w:r>
      <w:r>
        <w:rPr>
          <w:rFonts w:hint="eastAsia" w:ascii="宋体" w:hAnsi="宋体" w:eastAsia="宋体" w:cs="Times New Roman"/>
          <w:b/>
          <w:bCs/>
          <w:color w:val="auto"/>
          <w:sz w:val="36"/>
          <w:szCs w:val="36"/>
          <w:highlight w:val="none"/>
        </w:rPr>
        <w:t>评标办法及开评标程序</w:t>
      </w:r>
    </w:p>
    <w:p w14:paraId="793D3ED6">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 xml:space="preserve">第五章   </w:t>
      </w:r>
      <w:r>
        <w:rPr>
          <w:rFonts w:hint="eastAsia" w:ascii="宋体" w:hAnsi="宋体" w:eastAsia="宋体" w:cs="Times New Roman"/>
          <w:b/>
          <w:bCs/>
          <w:color w:val="auto"/>
          <w:sz w:val="36"/>
          <w:szCs w:val="36"/>
          <w:highlight w:val="none"/>
          <w:lang w:val="en-US" w:eastAsia="zh-CN"/>
        </w:rPr>
        <w:t xml:space="preserve">  </w:t>
      </w:r>
      <w:r>
        <w:rPr>
          <w:rFonts w:hint="eastAsia" w:ascii="宋体" w:hAnsi="宋体" w:eastAsia="宋体" w:cs="Times New Roman"/>
          <w:b/>
          <w:bCs/>
          <w:color w:val="auto"/>
          <w:sz w:val="36"/>
          <w:szCs w:val="36"/>
          <w:highlight w:val="none"/>
        </w:rPr>
        <w:t>合同主要条款</w:t>
      </w:r>
    </w:p>
    <w:p w14:paraId="3D33B496">
      <w:pPr>
        <w:keepNext w:val="0"/>
        <w:keepLines w:val="0"/>
        <w:pageBreakBefore w:val="0"/>
        <w:widowControl w:val="0"/>
        <w:kinsoku/>
        <w:wordWrap/>
        <w:overflowPunct/>
        <w:topLinePunct w:val="0"/>
        <w:autoSpaceDE/>
        <w:autoSpaceDN/>
        <w:bidi w:val="0"/>
        <w:adjustRightInd/>
        <w:snapToGrid/>
        <w:spacing w:line="700" w:lineRule="exact"/>
        <w:ind w:firstLine="0" w:firstLineChars="0"/>
        <w:jc w:val="both"/>
        <w:textAlignment w:val="auto"/>
        <w:rPr>
          <w:rFonts w:hint="eastAsia" w:ascii="宋体" w:hAnsi="宋体" w:eastAsia="宋体" w:cs="Times New Roman"/>
          <w:b/>
          <w:bCs/>
          <w:color w:val="auto"/>
          <w:sz w:val="36"/>
          <w:szCs w:val="36"/>
          <w:highlight w:val="none"/>
        </w:rPr>
      </w:pPr>
      <w:r>
        <w:rPr>
          <w:rFonts w:hint="eastAsia" w:ascii="宋体" w:hAnsi="宋体" w:eastAsia="宋体" w:cs="Times New Roman"/>
          <w:b/>
          <w:bCs/>
          <w:color w:val="auto"/>
          <w:sz w:val="36"/>
          <w:szCs w:val="36"/>
          <w:highlight w:val="none"/>
        </w:rPr>
        <w:t xml:space="preserve">第六章   </w:t>
      </w:r>
      <w:r>
        <w:rPr>
          <w:rFonts w:hint="eastAsia" w:ascii="宋体" w:hAnsi="宋体" w:eastAsia="宋体" w:cs="Times New Roman"/>
          <w:b/>
          <w:bCs/>
          <w:color w:val="auto"/>
          <w:sz w:val="36"/>
          <w:szCs w:val="36"/>
          <w:highlight w:val="none"/>
          <w:lang w:val="en-US" w:eastAsia="zh-CN"/>
        </w:rPr>
        <w:t xml:space="preserve">  </w:t>
      </w:r>
      <w:r>
        <w:rPr>
          <w:rFonts w:hint="eastAsia" w:ascii="宋体" w:hAnsi="宋体" w:eastAsia="宋体" w:cs="Times New Roman"/>
          <w:b/>
          <w:bCs/>
          <w:color w:val="auto"/>
          <w:sz w:val="36"/>
          <w:szCs w:val="36"/>
          <w:highlight w:val="none"/>
        </w:rPr>
        <w:t>应提交的有关格式范例</w:t>
      </w:r>
    </w:p>
    <w:p w14:paraId="0D321A6D">
      <w:pPr>
        <w:pStyle w:val="13"/>
        <w:keepNext w:val="0"/>
        <w:keepLines w:val="0"/>
        <w:pageBreakBefore w:val="0"/>
        <w:widowControl w:val="0"/>
        <w:tabs>
          <w:tab w:val="right" w:leader="dot" w:pos="8300"/>
          <w:tab w:val="clear" w:pos="9628"/>
        </w:tabs>
        <w:kinsoku/>
        <w:wordWrap/>
        <w:overflowPunct/>
        <w:topLinePunct w:val="0"/>
        <w:autoSpaceDE/>
        <w:autoSpaceDN/>
        <w:bidi w:val="0"/>
        <w:adjustRightInd/>
        <w:snapToGrid/>
        <w:spacing w:line="700" w:lineRule="exact"/>
        <w:ind w:firstLine="562"/>
        <w:textAlignment w:val="auto"/>
        <w:rPr>
          <w:rFonts w:hint="eastAsia"/>
          <w:color w:val="auto"/>
          <w:sz w:val="24"/>
          <w:szCs w:val="24"/>
          <w:highlight w:val="none"/>
        </w:rPr>
      </w:pPr>
    </w:p>
    <w:p w14:paraId="0D96DF46">
      <w:pPr>
        <w:pStyle w:val="13"/>
        <w:keepNext w:val="0"/>
        <w:keepLines w:val="0"/>
        <w:pageBreakBefore w:val="0"/>
        <w:widowControl w:val="0"/>
        <w:tabs>
          <w:tab w:val="right" w:leader="dot" w:pos="8300"/>
          <w:tab w:val="clear" w:pos="9628"/>
        </w:tabs>
        <w:kinsoku/>
        <w:wordWrap/>
        <w:overflowPunct/>
        <w:topLinePunct w:val="0"/>
        <w:autoSpaceDE/>
        <w:autoSpaceDN/>
        <w:bidi w:val="0"/>
        <w:adjustRightInd/>
        <w:snapToGrid/>
        <w:spacing w:before="0" w:after="0" w:line="700" w:lineRule="exact"/>
        <w:ind w:firstLine="482"/>
        <w:textAlignment w:val="auto"/>
        <w:rPr>
          <w:rFonts w:hint="eastAsia"/>
          <w:color w:val="auto"/>
          <w:highlight w:val="none"/>
        </w:rPr>
        <w:sectPr>
          <w:headerReference r:id="rId11" w:type="default"/>
          <w:footerReference r:id="rId12" w:type="default"/>
          <w:pgSz w:w="11906" w:h="16838"/>
          <w:pgMar w:top="1440" w:right="1803" w:bottom="1440" w:left="1803" w:header="850" w:footer="992" w:gutter="0"/>
          <w:pgNumType w:start="1"/>
          <w:cols w:space="720" w:num="1"/>
          <w:docGrid w:type="lines" w:linePitch="312" w:charSpace="0"/>
        </w:sectPr>
      </w:pPr>
      <w:r>
        <w:rPr>
          <w:rFonts w:hint="eastAsia" w:ascii="宋体" w:hAnsi="宋体" w:eastAsia="宋体" w:cs="宋体"/>
          <w:color w:val="auto"/>
          <w:sz w:val="24"/>
          <w:szCs w:val="24"/>
          <w:highlight w:val="none"/>
        </w:rPr>
        <w:fldChar w:fldCharType="end"/>
      </w:r>
    </w:p>
    <w:p w14:paraId="00AA737D">
      <w:pPr>
        <w:pStyle w:val="4"/>
        <w:numPr>
          <w:ilvl w:val="0"/>
          <w:numId w:val="1"/>
        </w:numPr>
        <w:spacing w:before="312" w:after="312"/>
        <w:ind w:left="0"/>
        <w:rPr>
          <w:color w:val="auto"/>
          <w:highlight w:val="none"/>
        </w:rPr>
      </w:pPr>
      <w:r>
        <w:rPr>
          <w:rFonts w:hint="eastAsia"/>
          <w:color w:val="auto"/>
          <w:highlight w:val="none"/>
        </w:rPr>
        <w:t xml:space="preserve"> </w:t>
      </w:r>
      <w:bookmarkEnd w:id="4"/>
      <w:bookmarkEnd w:id="5"/>
      <w:bookmarkEnd w:id="6"/>
      <w:bookmarkEnd w:id="7"/>
      <w:bookmarkStart w:id="16" w:name="_Toc16632"/>
      <w:bookmarkStart w:id="17" w:name="_Toc9043"/>
      <w:r>
        <w:rPr>
          <w:rFonts w:hint="eastAsia"/>
          <w:color w:val="auto"/>
          <w:highlight w:val="none"/>
        </w:rPr>
        <w:t>招标公告</w:t>
      </w:r>
      <w:bookmarkEnd w:id="8"/>
      <w:bookmarkEnd w:id="9"/>
      <w:bookmarkEnd w:id="10"/>
      <w:bookmarkEnd w:id="11"/>
      <w:bookmarkEnd w:id="12"/>
      <w:bookmarkEnd w:id="13"/>
      <w:bookmarkEnd w:id="14"/>
      <w:bookmarkEnd w:id="16"/>
      <w:bookmarkEnd w:id="17"/>
      <w:bookmarkStart w:id="18" w:name="_Toc14611"/>
      <w:bookmarkStart w:id="19" w:name="_Toc22446"/>
      <w:bookmarkStart w:id="20" w:name="_Toc7621"/>
      <w:bookmarkStart w:id="21" w:name="_Toc30751"/>
      <w:bookmarkStart w:id="22" w:name="_Toc11127"/>
      <w:bookmarkStart w:id="23" w:name="_Toc11566"/>
      <w:bookmarkStart w:id="24" w:name="_Toc5781"/>
      <w:bookmarkStart w:id="25" w:name="_Toc16272"/>
      <w:bookmarkStart w:id="26" w:name="_Toc872"/>
    </w:p>
    <w:bookmarkEnd w:id="18"/>
    <w:bookmarkEnd w:id="19"/>
    <w:bookmarkEnd w:id="20"/>
    <w:bookmarkEnd w:id="21"/>
    <w:bookmarkEnd w:id="22"/>
    <w:bookmarkEnd w:id="23"/>
    <w:bookmarkEnd w:id="24"/>
    <w:bookmarkEnd w:id="25"/>
    <w:bookmarkEnd w:id="26"/>
    <w:p w14:paraId="05891EAE">
      <w:pPr>
        <w:pBdr>
          <w:top w:val="single" w:color="auto" w:sz="4" w:space="1"/>
          <w:left w:val="single" w:color="auto" w:sz="4" w:space="4"/>
          <w:bottom w:val="single" w:color="auto" w:sz="4" w:space="1"/>
          <w:right w:val="single" w:color="auto" w:sz="4" w:space="4"/>
        </w:pBdr>
        <w:spacing w:line="360" w:lineRule="auto"/>
        <w:ind w:firstLine="480"/>
        <w:jc w:val="left"/>
        <w:rPr>
          <w:rFonts w:hint="eastAsia" w:ascii="宋体" w:hAnsi="宋体" w:cs="宋体"/>
          <w:b/>
          <w:bCs/>
          <w:color w:val="auto"/>
          <w:highlight w:val="none"/>
        </w:rPr>
      </w:pPr>
      <w:bookmarkStart w:id="27" w:name="_Toc18814"/>
      <w:bookmarkStart w:id="28" w:name="_Toc8028"/>
      <w:bookmarkStart w:id="29" w:name="_Toc5940"/>
      <w:bookmarkStart w:id="30" w:name="_Toc16230"/>
      <w:bookmarkStart w:id="31" w:name="_Toc32021"/>
      <w:bookmarkStart w:id="32" w:name="_Toc23090"/>
      <w:bookmarkStart w:id="33" w:name="_Toc24829"/>
      <w:bookmarkStart w:id="34" w:name="_Toc26049"/>
      <w:bookmarkStart w:id="35" w:name="_Toc12646"/>
      <w:bookmarkStart w:id="36" w:name="_Toc16652"/>
      <w:r>
        <w:rPr>
          <w:rFonts w:hint="eastAsia" w:ascii="宋体" w:hAnsi="宋体" w:cs="宋体"/>
          <w:b/>
          <w:bCs/>
          <w:color w:val="auto"/>
          <w:highlight w:val="none"/>
        </w:rPr>
        <w:t>项目概况</w:t>
      </w:r>
    </w:p>
    <w:p w14:paraId="667EE0B2">
      <w:pPr>
        <w:pBdr>
          <w:top w:val="single" w:color="auto" w:sz="4" w:space="1"/>
          <w:left w:val="single" w:color="auto" w:sz="4" w:space="4"/>
          <w:bottom w:val="single" w:color="auto" w:sz="4" w:space="1"/>
          <w:right w:val="single" w:color="auto" w:sz="4" w:space="4"/>
        </w:pBdr>
        <w:spacing w:line="360" w:lineRule="auto"/>
        <w:ind w:firstLine="480"/>
        <w:jc w:val="left"/>
        <w:rPr>
          <w:rFonts w:hint="eastAsia" w:ascii="宋体" w:hAnsi="宋体" w:cs="宋体"/>
          <w:color w:val="auto"/>
          <w:highlight w:val="none"/>
        </w:rPr>
      </w:pPr>
      <w:r>
        <w:rPr>
          <w:rFonts w:hint="eastAsia" w:ascii="宋体" w:hAnsi="宋体" w:cs="宋体"/>
          <w:color w:val="auto"/>
          <w:highlight w:val="none"/>
          <w:u w:val="single"/>
          <w:lang w:eastAsia="zh-CN"/>
        </w:rPr>
        <w:t>2025年柯城区政策性农村住房保险及附加室内家财保险项目</w:t>
      </w:r>
      <w:r>
        <w:rPr>
          <w:rFonts w:hint="eastAsia" w:ascii="宋体" w:hAnsi="宋体" w:cs="宋体"/>
          <w:color w:val="auto"/>
          <w:highlight w:val="none"/>
        </w:rPr>
        <w:t>招标项目的潜在投标人应在</w:t>
      </w:r>
      <w:r>
        <w:rPr>
          <w:rFonts w:hint="eastAsia" w:ascii="宋体" w:hAnsi="宋体" w:cs="宋体"/>
          <w:color w:val="auto"/>
          <w:highlight w:val="none"/>
          <w:u w:val="single"/>
        </w:rPr>
        <w:t>政采云平台（http://zfcg.czt.zj.gov.cn）</w:t>
      </w:r>
      <w:r>
        <w:rPr>
          <w:rFonts w:hint="eastAsia" w:ascii="宋体" w:hAnsi="宋体" w:cs="宋体"/>
          <w:color w:val="auto"/>
          <w:highlight w:val="none"/>
        </w:rPr>
        <w:t>获取(下载）招标文件，并于</w:t>
      </w:r>
      <w:r>
        <w:rPr>
          <w:rFonts w:hint="eastAsia" w:ascii="宋体" w:hAnsi="宋体" w:cs="宋体"/>
          <w:color w:val="auto"/>
          <w:highlight w:val="none"/>
          <w:u w:val="single"/>
          <w:lang w:eastAsia="zh-CN"/>
        </w:rPr>
        <w:t>2025年</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lang w:eastAsia="zh-CN"/>
        </w:rPr>
        <w:t>月</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lang w:eastAsia="zh-CN"/>
        </w:rPr>
        <w:t>日</w:t>
      </w:r>
      <w:r>
        <w:rPr>
          <w:rFonts w:hint="eastAsia" w:ascii="宋体" w:hAnsi="宋体" w:cs="宋体"/>
          <w:color w:val="auto"/>
          <w:highlight w:val="none"/>
          <w:u w:val="single"/>
          <w:lang w:val="en-US" w:eastAsia="zh-CN"/>
        </w:rPr>
        <w:t>0</w:t>
      </w:r>
      <w:r>
        <w:rPr>
          <w:rFonts w:hint="eastAsia" w:ascii="宋体" w:hAnsi="宋体" w:cs="宋体"/>
          <w:color w:val="auto"/>
          <w:highlight w:val="none"/>
          <w:u w:val="single"/>
          <w:lang w:eastAsia="zh-CN"/>
        </w:rPr>
        <w:t>9:30时</w:t>
      </w:r>
      <w:r>
        <w:rPr>
          <w:rFonts w:hint="eastAsia" w:ascii="宋体" w:hAnsi="宋体" w:cs="宋体"/>
          <w:color w:val="auto"/>
          <w:highlight w:val="none"/>
        </w:rPr>
        <w:t>（北京时间）前递交（上传）投标文件。</w:t>
      </w:r>
    </w:p>
    <w:p w14:paraId="6D5A277A">
      <w:pPr>
        <w:spacing w:line="360" w:lineRule="auto"/>
        <w:ind w:firstLine="482"/>
        <w:outlineLvl w:val="1"/>
        <w:rPr>
          <w:rFonts w:hint="eastAsia" w:ascii="宋体" w:hAnsi="宋体" w:cs="宋体"/>
          <w:b/>
          <w:color w:val="auto"/>
          <w:kern w:val="0"/>
          <w:highlight w:val="none"/>
          <w:lang w:bidi="ar"/>
        </w:rPr>
      </w:pPr>
      <w:bookmarkStart w:id="37" w:name="_Toc15201"/>
      <w:bookmarkStart w:id="38" w:name="_Toc11912"/>
      <w:bookmarkStart w:id="39" w:name="_Toc21915"/>
      <w:bookmarkStart w:id="40" w:name="_Toc21336"/>
      <w:r>
        <w:rPr>
          <w:rFonts w:hint="eastAsia" w:ascii="宋体" w:hAnsi="宋体" w:cs="宋体"/>
          <w:b/>
          <w:color w:val="auto"/>
          <w:kern w:val="0"/>
          <w:highlight w:val="none"/>
          <w:lang w:bidi="ar"/>
        </w:rPr>
        <w:t>一、项目基本情况</w:t>
      </w:r>
      <w:bookmarkEnd w:id="37"/>
      <w:bookmarkEnd w:id="38"/>
    </w:p>
    <w:p w14:paraId="663F7E56">
      <w:pPr>
        <w:adjustRightInd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ZJJCCG2025-01</w:t>
      </w:r>
    </w:p>
    <w:p w14:paraId="602FD71E">
      <w:pPr>
        <w:adjustRightInd w:val="0"/>
        <w:snapToGrid w:val="0"/>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 xml:space="preserve">2025年柯城区政策性农村住房保险及附加室内家财保险项目 </w:t>
      </w:r>
    </w:p>
    <w:bookmarkEnd w:id="39"/>
    <w:bookmarkEnd w:id="40"/>
    <w:p w14:paraId="2086673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3.预算金额（最高限价）：</w:t>
      </w:r>
      <w:r>
        <w:rPr>
          <w:rFonts w:hint="eastAsia" w:ascii="宋体" w:hAnsi="宋体" w:cs="宋体"/>
          <w:color w:val="auto"/>
          <w:highlight w:val="none"/>
          <w:lang w:val="en-US" w:eastAsia="zh-CN"/>
        </w:rPr>
        <w:t>61.1154</w:t>
      </w:r>
      <w:r>
        <w:rPr>
          <w:rFonts w:hint="eastAsia" w:ascii="宋体" w:hAnsi="宋体" w:cs="宋体"/>
          <w:color w:val="auto"/>
          <w:highlight w:val="none"/>
        </w:rPr>
        <w:t>万元。</w:t>
      </w:r>
    </w:p>
    <w:p w14:paraId="2428191C">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4.采购需求：具体要求详见招标文件第三章。</w:t>
      </w:r>
    </w:p>
    <w:p w14:paraId="60490B9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5.合同履约期限：</w:t>
      </w:r>
      <w:r>
        <w:rPr>
          <w:rFonts w:hint="eastAsia" w:ascii="宋体" w:hAnsi="宋体" w:cs="宋体"/>
          <w:color w:val="auto"/>
          <w:highlight w:val="none"/>
          <w:lang w:val="en-US" w:eastAsia="zh-CN"/>
        </w:rPr>
        <w:t>一年（2025年1月1日至2025年12月31日）</w:t>
      </w:r>
      <w:r>
        <w:rPr>
          <w:rFonts w:hint="eastAsia" w:ascii="宋体" w:hAnsi="宋体" w:cs="宋体"/>
          <w:color w:val="auto"/>
          <w:highlight w:val="none"/>
        </w:rPr>
        <w:t>。</w:t>
      </w:r>
    </w:p>
    <w:p w14:paraId="302AB5C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6.本项目不接受联合体投标。</w:t>
      </w:r>
    </w:p>
    <w:p w14:paraId="27D48BB3">
      <w:pPr>
        <w:spacing w:line="360" w:lineRule="auto"/>
        <w:ind w:firstLine="482"/>
        <w:outlineLvl w:val="1"/>
        <w:rPr>
          <w:rFonts w:hint="eastAsia" w:ascii="宋体" w:hAnsi="宋体" w:cs="宋体"/>
          <w:b/>
          <w:color w:val="auto"/>
          <w:kern w:val="0"/>
          <w:highlight w:val="none"/>
          <w:lang w:bidi="ar"/>
        </w:rPr>
      </w:pPr>
      <w:bookmarkStart w:id="41" w:name="_Toc15420"/>
      <w:bookmarkStart w:id="42" w:name="_Toc18187"/>
      <w:r>
        <w:rPr>
          <w:rFonts w:hint="eastAsia" w:ascii="宋体" w:hAnsi="宋体" w:cs="宋体"/>
          <w:b/>
          <w:color w:val="auto"/>
          <w:kern w:val="0"/>
          <w:highlight w:val="none"/>
          <w:lang w:bidi="ar"/>
        </w:rPr>
        <w:t>二、申请人的资格要求：</w:t>
      </w:r>
      <w:bookmarkEnd w:id="41"/>
      <w:bookmarkEnd w:id="42"/>
    </w:p>
    <w:p w14:paraId="0519B97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322206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2.落实政府采购政策需满足的资格要求：无。</w:t>
      </w:r>
    </w:p>
    <w:p w14:paraId="0F3C8C4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本项目的特定资格要求：（1）投标人必须为经国家保险监督管理机构批准在中华人民共和国境内设立和营业的，并具有《保险许可证》；（2）若投标人无法人资格，须取得其总公司针对本项目的书面授权，且同一法人针对本项目的书面授权只能授予其所属的一个分（支）公司。</w:t>
      </w:r>
    </w:p>
    <w:p w14:paraId="13FD33EF">
      <w:pPr>
        <w:spacing w:line="360" w:lineRule="auto"/>
        <w:ind w:firstLine="482"/>
        <w:outlineLvl w:val="1"/>
        <w:rPr>
          <w:rFonts w:hint="eastAsia" w:ascii="宋体" w:hAnsi="宋体" w:cs="宋体"/>
          <w:b/>
          <w:color w:val="auto"/>
          <w:kern w:val="0"/>
          <w:highlight w:val="none"/>
          <w:lang w:bidi="ar"/>
        </w:rPr>
      </w:pPr>
      <w:bookmarkStart w:id="43" w:name="_Toc6535"/>
      <w:bookmarkStart w:id="44" w:name="_Toc17613"/>
      <w:r>
        <w:rPr>
          <w:rFonts w:hint="eastAsia" w:ascii="宋体" w:hAnsi="宋体" w:cs="宋体"/>
          <w:b/>
          <w:color w:val="auto"/>
          <w:kern w:val="0"/>
          <w:highlight w:val="none"/>
          <w:lang w:bidi="ar"/>
        </w:rPr>
        <w:t>三、获取（下载）采购文件</w:t>
      </w:r>
      <w:bookmarkEnd w:id="43"/>
      <w:bookmarkEnd w:id="44"/>
    </w:p>
    <w:p w14:paraId="10839667">
      <w:pPr>
        <w:spacing w:line="360" w:lineRule="auto"/>
        <w:ind w:firstLine="480"/>
        <w:rPr>
          <w:rFonts w:hint="eastAsia" w:ascii="宋体" w:hAnsi="宋体" w:cs="宋体"/>
          <w:color w:val="auto"/>
          <w:highlight w:val="none"/>
          <w:u w:val="single"/>
        </w:rPr>
      </w:pPr>
      <w:bookmarkStart w:id="45" w:name="_Toc18295"/>
      <w:bookmarkStart w:id="46" w:name="_Toc15512"/>
      <w:bookmarkStart w:id="47" w:name="_Toc6595"/>
      <w:bookmarkStart w:id="48" w:name="_Toc11740"/>
      <w:bookmarkStart w:id="49" w:name="_Toc12546"/>
      <w:bookmarkStart w:id="50" w:name="_Toc21002"/>
      <w:bookmarkStart w:id="51" w:name="_Toc18409"/>
      <w:bookmarkStart w:id="52" w:name="_Toc19200"/>
      <w:bookmarkStart w:id="53" w:name="_Toc27713"/>
      <w:bookmarkStart w:id="54" w:name="_Toc26754"/>
      <w:r>
        <w:rPr>
          <w:rFonts w:hint="eastAsia" w:ascii="宋体" w:hAnsi="宋体" w:cs="宋体"/>
          <w:color w:val="auto"/>
          <w:highlight w:val="none"/>
        </w:rPr>
        <w:t>1.时间：/至投标截止时间，每天上午00:00至12:00，下午12:00至23:59（北京时间，线上获取法定节假日均可，线下获取文件法定节假日除外）；</w:t>
      </w:r>
    </w:p>
    <w:p w14:paraId="3FCC640D">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rPr>
        <w:t>2.地点（网址）：浙江政府采购网（https://zfcg.czt.zj.gov.cn/）；</w:t>
      </w:r>
    </w:p>
    <w:p w14:paraId="0CB8D022">
      <w:pPr>
        <w:spacing w:line="360" w:lineRule="auto"/>
        <w:ind w:firstLine="480"/>
        <w:rPr>
          <w:rFonts w:hint="eastAsia" w:ascii="宋体" w:hAnsi="宋体" w:cs="宋体"/>
          <w:color w:val="auto"/>
          <w:highlight w:val="none"/>
          <w:u w:val="single"/>
        </w:rPr>
      </w:pPr>
      <w:r>
        <w:rPr>
          <w:rFonts w:hint="eastAsia" w:ascii="宋体" w:hAnsi="宋体" w:cs="宋体"/>
          <w:color w:val="auto"/>
          <w:highlight w:val="none"/>
        </w:rPr>
        <w:t>3.方式：在线获取（免费）。本项目不提供纸质版采购文件，潜在供应商可通过“政府采购云平台”在线获取；供应商只有在“政府采购云平台”完成获取采购文件申请并下载了采购文件后才视作依法获取采购文件（法律法规所指的供应商获取采购文件时间，以供应商完成获取采购文件申请后下载采购文件的时间为准）。通过本公告下方“游客，浏览采购文件”下载的采购文件仅供浏览。</w:t>
      </w:r>
    </w:p>
    <w:p w14:paraId="158088A2">
      <w:pPr>
        <w:spacing w:line="360" w:lineRule="auto"/>
        <w:ind w:firstLine="480"/>
        <w:rPr>
          <w:rFonts w:hint="eastAsia" w:ascii="宋体" w:hAnsi="宋体" w:cs="宋体"/>
          <w:color w:val="auto"/>
          <w:highlight w:val="none"/>
        </w:rPr>
      </w:pPr>
      <w:bookmarkStart w:id="55" w:name="_Toc35393801"/>
      <w:bookmarkStart w:id="56" w:name="_Toc35393632"/>
      <w:bookmarkStart w:id="57" w:name="_Toc21875"/>
      <w:bookmarkStart w:id="58" w:name="_Toc29940"/>
      <w:bookmarkStart w:id="59" w:name="_Toc4072"/>
      <w:bookmarkStart w:id="60" w:name="_Toc28359015"/>
      <w:bookmarkStart w:id="61" w:name="_Toc2729"/>
      <w:bookmarkStart w:id="62" w:name="_Toc28047"/>
      <w:bookmarkStart w:id="63" w:name="_Toc507"/>
      <w:bookmarkStart w:id="64" w:name="_Toc28359092"/>
      <w:bookmarkStart w:id="65" w:name="_Toc29351"/>
      <w:bookmarkStart w:id="66" w:name="_Toc6780"/>
      <w:r>
        <w:rPr>
          <w:rFonts w:hint="eastAsia" w:ascii="宋体" w:hAnsi="宋体" w:cs="宋体"/>
          <w:color w:val="auto"/>
          <w:highlight w:val="none"/>
        </w:rPr>
        <w:t>4.售价（元）：0元。</w:t>
      </w:r>
    </w:p>
    <w:p w14:paraId="002CE89A">
      <w:pPr>
        <w:spacing w:line="360" w:lineRule="auto"/>
        <w:ind w:firstLine="480"/>
        <w:rPr>
          <w:rFonts w:hint="eastAsia" w:ascii="宋体" w:hAnsi="宋体" w:cs="宋体"/>
          <w:color w:val="auto"/>
          <w:highlight w:val="none"/>
        </w:rPr>
      </w:pPr>
      <w:r>
        <w:rPr>
          <w:rFonts w:hint="eastAsia" w:ascii="宋体" w:hAnsi="宋体" w:cs="宋体"/>
          <w:color w:val="auto"/>
          <w:highlight w:val="none"/>
        </w:rPr>
        <w:t>5.供应商获取采购文件时须提交的文件资料：无；</w:t>
      </w:r>
    </w:p>
    <w:p w14:paraId="40CE0635">
      <w:pPr>
        <w:spacing w:line="360" w:lineRule="auto"/>
        <w:ind w:firstLine="480"/>
        <w:rPr>
          <w:rFonts w:hint="eastAsia" w:ascii="宋体" w:hAnsi="宋体" w:cs="宋体"/>
          <w:color w:val="auto"/>
          <w:highlight w:val="none"/>
        </w:rPr>
      </w:pPr>
      <w:r>
        <w:rPr>
          <w:rFonts w:hint="eastAsia" w:ascii="宋体" w:hAnsi="宋体" w:cs="宋体"/>
          <w:color w:val="auto"/>
          <w:highlight w:val="none"/>
        </w:rPr>
        <w:t>6.提示：采购公告附件内的采购文件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03C72CEF">
      <w:pPr>
        <w:spacing w:line="360" w:lineRule="auto"/>
        <w:ind w:firstLine="480"/>
        <w:rPr>
          <w:rFonts w:hint="eastAsia" w:ascii="宋体" w:hAnsi="宋体" w:cs="宋体"/>
          <w:color w:val="auto"/>
          <w:highlight w:val="none"/>
        </w:rPr>
      </w:pPr>
      <w:r>
        <w:rPr>
          <w:rFonts w:hint="eastAsia" w:ascii="宋体" w:hAnsi="宋体" w:cs="宋体"/>
          <w:color w:val="auto"/>
          <w:highlight w:val="none"/>
        </w:rPr>
        <w:t>注：请供应商按上述要求获取采购文件，如未在“政采云”系统内完成相关流程，引起的投标无效责任自负。</w:t>
      </w:r>
    </w:p>
    <w:bookmarkEnd w:id="55"/>
    <w:bookmarkEnd w:id="56"/>
    <w:bookmarkEnd w:id="57"/>
    <w:bookmarkEnd w:id="58"/>
    <w:bookmarkEnd w:id="59"/>
    <w:bookmarkEnd w:id="60"/>
    <w:bookmarkEnd w:id="61"/>
    <w:bookmarkEnd w:id="62"/>
    <w:bookmarkEnd w:id="63"/>
    <w:bookmarkEnd w:id="64"/>
    <w:bookmarkEnd w:id="65"/>
    <w:bookmarkEnd w:id="66"/>
    <w:p w14:paraId="6C12F00F">
      <w:pPr>
        <w:pStyle w:val="17"/>
        <w:shd w:val="clear" w:color="auto" w:fill="FFFFFF"/>
        <w:spacing w:before="0" w:beforeAutospacing="0" w:after="0" w:afterAutospacing="0" w:line="360" w:lineRule="auto"/>
        <w:ind w:firstLine="482"/>
        <w:outlineLvl w:val="1"/>
        <w:rPr>
          <w:rFonts w:hint="eastAsia" w:cs="宋体"/>
          <w:b/>
          <w:color w:val="auto"/>
          <w:szCs w:val="24"/>
          <w:highlight w:val="none"/>
          <w:lang w:bidi="ar"/>
        </w:rPr>
      </w:pPr>
      <w:bookmarkStart w:id="67" w:name="_Toc8964"/>
      <w:bookmarkStart w:id="68" w:name="_Toc21654"/>
      <w:r>
        <w:rPr>
          <w:rFonts w:hint="eastAsia" w:cs="宋体"/>
          <w:b/>
          <w:color w:val="auto"/>
          <w:szCs w:val="24"/>
          <w:highlight w:val="none"/>
          <w:lang w:bidi="ar"/>
        </w:rPr>
        <w:t>四、</w:t>
      </w:r>
      <w:bookmarkEnd w:id="45"/>
      <w:bookmarkEnd w:id="46"/>
      <w:bookmarkEnd w:id="47"/>
      <w:bookmarkEnd w:id="48"/>
      <w:bookmarkEnd w:id="49"/>
      <w:bookmarkEnd w:id="50"/>
      <w:bookmarkEnd w:id="51"/>
      <w:bookmarkEnd w:id="52"/>
      <w:bookmarkEnd w:id="53"/>
      <w:bookmarkEnd w:id="54"/>
      <w:r>
        <w:rPr>
          <w:rFonts w:hint="eastAsia" w:cs="宋体"/>
          <w:b/>
          <w:color w:val="auto"/>
          <w:szCs w:val="24"/>
          <w:highlight w:val="none"/>
          <w:lang w:bidi="ar"/>
        </w:rPr>
        <w:t>响应文件提交（上传）</w:t>
      </w:r>
      <w:bookmarkEnd w:id="67"/>
      <w:bookmarkEnd w:id="68"/>
    </w:p>
    <w:p w14:paraId="7EA3E542">
      <w:pPr>
        <w:pStyle w:val="17"/>
        <w:shd w:val="clear" w:color="auto" w:fill="FFFFFF"/>
        <w:spacing w:before="0" w:beforeAutospacing="0" w:after="0" w:afterAutospacing="0" w:line="360" w:lineRule="auto"/>
        <w:ind w:firstLine="480"/>
        <w:rPr>
          <w:rFonts w:hint="eastAsia" w:cs="宋体"/>
          <w:color w:val="000000" w:themeColor="text1"/>
          <w:szCs w:val="24"/>
          <w:highlight w:val="none"/>
          <w14:textFill>
            <w14:solidFill>
              <w14:schemeClr w14:val="tx1"/>
            </w14:solidFill>
          </w14:textFill>
        </w:rPr>
      </w:pPr>
      <w:bookmarkStart w:id="69" w:name="_Toc28034"/>
      <w:bookmarkStart w:id="70" w:name="_Toc9973"/>
      <w:bookmarkStart w:id="71" w:name="_Toc30529"/>
      <w:bookmarkStart w:id="72" w:name="_Toc23613"/>
      <w:bookmarkStart w:id="73" w:name="_Toc4020"/>
      <w:bookmarkStart w:id="74" w:name="_Toc17293"/>
      <w:bookmarkStart w:id="75" w:name="_Toc13692"/>
      <w:bookmarkStart w:id="76" w:name="_Toc3867"/>
      <w:bookmarkStart w:id="77" w:name="_Toc14644"/>
      <w:bookmarkStart w:id="78" w:name="_Toc9152"/>
      <w:r>
        <w:rPr>
          <w:rFonts w:hint="eastAsia" w:cs="宋体"/>
          <w:color w:val="000000" w:themeColor="text1"/>
          <w:szCs w:val="24"/>
          <w:highlight w:val="none"/>
          <w14:textFill>
            <w14:solidFill>
              <w14:schemeClr w14:val="tx1"/>
            </w14:solidFill>
          </w14:textFill>
        </w:rPr>
        <w:t>截止时间：2025年</w:t>
      </w:r>
      <w:r>
        <w:rPr>
          <w:rFonts w:hint="eastAsia" w:cs="宋体"/>
          <w:color w:val="000000" w:themeColor="text1"/>
          <w:szCs w:val="24"/>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15</w:t>
      </w:r>
      <w:r>
        <w:rPr>
          <w:rFonts w:hint="eastAsia" w:cs="宋体"/>
          <w:color w:val="000000" w:themeColor="text1"/>
          <w:highlight w:val="none"/>
          <w14:textFill>
            <w14:solidFill>
              <w14:schemeClr w14:val="tx1"/>
            </w14:solidFill>
          </w14:textFill>
        </w:rPr>
        <w:t>日</w:t>
      </w:r>
      <w:r>
        <w:rPr>
          <w:rFonts w:hint="eastAsia" w:cs="宋体"/>
          <w:color w:val="000000" w:themeColor="text1"/>
          <w:highlight w:val="none"/>
          <w:lang w:val="en-US" w:eastAsia="zh-CN"/>
          <w14:textFill>
            <w14:solidFill>
              <w14:schemeClr w14:val="tx1"/>
            </w14:solidFill>
          </w14:textFill>
        </w:rPr>
        <w:t>0</w:t>
      </w:r>
      <w:r>
        <w:rPr>
          <w:rFonts w:hint="eastAsia" w:cs="宋体"/>
          <w:color w:val="000000" w:themeColor="text1"/>
          <w:highlight w:val="none"/>
          <w14:textFill>
            <w14:solidFill>
              <w14:schemeClr w14:val="tx1"/>
            </w14:solidFill>
          </w14:textFill>
        </w:rPr>
        <w:t>9:30时</w:t>
      </w:r>
      <w:r>
        <w:rPr>
          <w:rFonts w:hint="eastAsia" w:cs="宋体"/>
          <w:color w:val="000000" w:themeColor="text1"/>
          <w:szCs w:val="24"/>
          <w:highlight w:val="none"/>
          <w14:textFill>
            <w14:solidFill>
              <w14:schemeClr w14:val="tx1"/>
            </w14:solidFill>
          </w14:textFill>
        </w:rPr>
        <w:t>（北京时间）</w:t>
      </w:r>
    </w:p>
    <w:p w14:paraId="5EE4F313">
      <w:pPr>
        <w:pStyle w:val="17"/>
        <w:shd w:val="clear" w:color="auto" w:fill="FFFFFF"/>
        <w:spacing w:before="0" w:beforeAutospacing="0" w:after="0" w:afterAutospacing="0" w:line="360" w:lineRule="auto"/>
        <w:ind w:firstLine="480"/>
        <w:rPr>
          <w:rFonts w:hint="eastAsia"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地点（网址）：响应文件通过“政府采购云平台（https://login.zcygov.cn/）”传输递交。</w:t>
      </w:r>
    </w:p>
    <w:p w14:paraId="793870F3">
      <w:pPr>
        <w:pStyle w:val="17"/>
        <w:shd w:val="clear" w:color="auto" w:fill="FFFFFF"/>
        <w:spacing w:before="0" w:beforeAutospacing="0" w:after="0" w:afterAutospacing="0" w:line="360" w:lineRule="auto"/>
        <w:ind w:firstLine="482"/>
        <w:outlineLvl w:val="1"/>
        <w:rPr>
          <w:rFonts w:hint="eastAsia" w:cs="宋体"/>
          <w:color w:val="000000" w:themeColor="text1"/>
          <w:szCs w:val="24"/>
          <w:highlight w:val="none"/>
          <w14:textFill>
            <w14:solidFill>
              <w14:schemeClr w14:val="tx1"/>
            </w14:solidFill>
          </w14:textFill>
        </w:rPr>
      </w:pPr>
      <w:bookmarkStart w:id="79" w:name="_Toc8099"/>
      <w:bookmarkStart w:id="80" w:name="_Toc11582"/>
      <w:r>
        <w:rPr>
          <w:rFonts w:hint="eastAsia" w:cs="宋体"/>
          <w:b/>
          <w:color w:val="000000" w:themeColor="text1"/>
          <w:szCs w:val="24"/>
          <w:highlight w:val="none"/>
          <w:lang w:bidi="ar"/>
          <w14:textFill>
            <w14:solidFill>
              <w14:schemeClr w14:val="tx1"/>
            </w14:solidFill>
          </w14:textFill>
        </w:rPr>
        <w:t>五、响应文件开启 </w:t>
      </w:r>
      <w:bookmarkEnd w:id="79"/>
      <w:bookmarkEnd w:id="80"/>
    </w:p>
    <w:p w14:paraId="6B81E2B8">
      <w:pPr>
        <w:pStyle w:val="2"/>
        <w:adjustRightInd w:val="0"/>
        <w:snapToGrid w:val="0"/>
        <w:spacing w:after="0" w:line="360" w:lineRule="auto"/>
        <w:ind w:firstLine="480"/>
        <w:rPr>
          <w:rFonts w:hint="eastAsia"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开启时间</w:t>
      </w:r>
      <w:r>
        <w:rPr>
          <w:rFonts w:hint="eastAsia" w:ascii="宋体" w:hAnsi="宋体" w:eastAsia="宋体" w:cs="宋体"/>
          <w:color w:val="000000" w:themeColor="text1"/>
          <w:kern w:val="0"/>
          <w:sz w:val="24"/>
          <w:highlight w:val="none"/>
          <w14:textFill>
            <w14:solidFill>
              <w14:schemeClr w14:val="tx1"/>
            </w14:solidFill>
          </w14:textFill>
        </w:rPr>
        <w:t>：2025年</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highlight w:val="none"/>
          <w14:textFill>
            <w14:solidFill>
              <w14:schemeClr w14:val="tx1"/>
            </w14:solidFill>
          </w14:textFill>
        </w:rPr>
        <w:t>日</w:t>
      </w:r>
      <w:r>
        <w:rPr>
          <w:rFonts w:hint="eastAsia" w:ascii="宋体" w:hAnsi="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14:textFill>
            <w14:solidFill>
              <w14:schemeClr w14:val="tx1"/>
            </w14:solidFill>
          </w14:textFill>
        </w:rPr>
        <w:t>9:30时</w:t>
      </w:r>
      <w:r>
        <w:rPr>
          <w:rFonts w:hint="eastAsia" w:ascii="宋体" w:hAnsi="宋体" w:cs="宋体"/>
          <w:color w:val="000000" w:themeColor="text1"/>
          <w:kern w:val="0"/>
          <w:sz w:val="24"/>
          <w:highlight w:val="none"/>
          <w14:textFill>
            <w14:solidFill>
              <w14:schemeClr w14:val="tx1"/>
            </w14:solidFill>
          </w14:textFill>
        </w:rPr>
        <w:t>（北京时间），</w:t>
      </w:r>
      <w:r>
        <w:rPr>
          <w:rFonts w:hint="eastAsia" w:ascii="宋体" w:hAnsi="宋体" w:cs="宋体"/>
          <w:color w:val="auto"/>
          <w:kern w:val="0"/>
          <w:sz w:val="24"/>
          <w:highlight w:val="none"/>
        </w:rPr>
        <w:t>投标文件开启时间到后30分钟内，供应商须登录“政采云”平台解密投标文件。</w:t>
      </w:r>
    </w:p>
    <w:p w14:paraId="624B5A6E">
      <w:pPr>
        <w:pStyle w:val="2"/>
        <w:adjustRightInd w:val="0"/>
        <w:snapToGrid w:val="0"/>
        <w:spacing w:after="0"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地点（网址）：衢州市衢江区东迹大道922号科教大厦19楼。</w:t>
      </w:r>
    </w:p>
    <w:p w14:paraId="220ACE6D">
      <w:pPr>
        <w:pStyle w:val="17"/>
        <w:shd w:val="clear" w:color="auto" w:fill="FFFFFF"/>
        <w:spacing w:before="0" w:beforeAutospacing="0" w:after="0" w:afterAutospacing="0" w:line="360" w:lineRule="auto"/>
        <w:ind w:firstLine="482"/>
        <w:outlineLvl w:val="1"/>
        <w:rPr>
          <w:rFonts w:hint="eastAsia" w:cs="宋体"/>
          <w:color w:val="auto"/>
          <w:szCs w:val="24"/>
          <w:highlight w:val="none"/>
        </w:rPr>
      </w:pPr>
      <w:bookmarkStart w:id="81" w:name="_Toc25006"/>
      <w:r>
        <w:rPr>
          <w:rFonts w:hint="eastAsia" w:cs="宋体"/>
          <w:b/>
          <w:bCs/>
          <w:color w:val="auto"/>
          <w:szCs w:val="24"/>
          <w:highlight w:val="none"/>
        </w:rPr>
        <w:t>六、公告期限</w:t>
      </w:r>
      <w:r>
        <w:rPr>
          <w:rFonts w:hint="eastAsia" w:cs="宋体"/>
          <w:color w:val="auto"/>
          <w:szCs w:val="24"/>
          <w:highlight w:val="none"/>
        </w:rPr>
        <w:t>:自本公告发布之日起5个工作日</w:t>
      </w:r>
      <w:bookmarkEnd w:id="69"/>
      <w:bookmarkEnd w:id="70"/>
      <w:bookmarkEnd w:id="71"/>
      <w:bookmarkEnd w:id="72"/>
      <w:bookmarkEnd w:id="73"/>
      <w:bookmarkEnd w:id="74"/>
      <w:bookmarkEnd w:id="75"/>
      <w:bookmarkEnd w:id="76"/>
      <w:bookmarkEnd w:id="77"/>
      <w:bookmarkEnd w:id="78"/>
      <w:bookmarkEnd w:id="81"/>
    </w:p>
    <w:p w14:paraId="4D906CA0">
      <w:pPr>
        <w:pStyle w:val="17"/>
        <w:shd w:val="clear" w:color="auto" w:fill="FFFFFF"/>
        <w:spacing w:before="0" w:beforeAutospacing="0" w:after="0" w:afterAutospacing="0" w:line="360" w:lineRule="auto"/>
        <w:ind w:firstLine="482"/>
        <w:outlineLvl w:val="1"/>
        <w:rPr>
          <w:rFonts w:hint="eastAsia" w:cs="宋体"/>
          <w:color w:val="auto"/>
          <w:szCs w:val="24"/>
          <w:highlight w:val="none"/>
        </w:rPr>
      </w:pPr>
      <w:bookmarkStart w:id="82" w:name="_Toc26392"/>
      <w:bookmarkStart w:id="83" w:name="_Toc29579"/>
      <w:bookmarkStart w:id="84" w:name="_Toc19466"/>
      <w:bookmarkStart w:id="85" w:name="_Toc2320"/>
      <w:bookmarkStart w:id="86" w:name="_Toc4496"/>
      <w:bookmarkStart w:id="87" w:name="_Toc14360"/>
      <w:bookmarkStart w:id="88" w:name="_Toc17879"/>
      <w:bookmarkStart w:id="89" w:name="_Toc12665"/>
      <w:bookmarkStart w:id="90" w:name="_Toc10941"/>
      <w:bookmarkStart w:id="91" w:name="_Toc30077"/>
      <w:bookmarkStart w:id="92" w:name="_Toc24571"/>
      <w:r>
        <w:rPr>
          <w:rFonts w:hint="eastAsia" w:cs="宋体"/>
          <w:b/>
          <w:bCs/>
          <w:color w:val="auto"/>
          <w:szCs w:val="24"/>
          <w:highlight w:val="none"/>
        </w:rPr>
        <w:t>七、投标保证金</w:t>
      </w:r>
      <w:r>
        <w:rPr>
          <w:rFonts w:hint="eastAsia" w:cs="宋体"/>
          <w:color w:val="auto"/>
          <w:szCs w:val="24"/>
          <w:highlight w:val="none"/>
        </w:rPr>
        <w:t>：本项目不需要投标保证金</w:t>
      </w:r>
      <w:bookmarkEnd w:id="82"/>
      <w:bookmarkEnd w:id="83"/>
      <w:bookmarkEnd w:id="84"/>
      <w:bookmarkEnd w:id="85"/>
      <w:bookmarkEnd w:id="86"/>
      <w:bookmarkEnd w:id="87"/>
      <w:bookmarkEnd w:id="88"/>
      <w:bookmarkEnd w:id="89"/>
      <w:bookmarkEnd w:id="90"/>
      <w:bookmarkEnd w:id="91"/>
      <w:bookmarkEnd w:id="92"/>
    </w:p>
    <w:p w14:paraId="7FDB661F">
      <w:pPr>
        <w:pStyle w:val="17"/>
        <w:shd w:val="clear" w:color="auto" w:fill="FFFFFF"/>
        <w:spacing w:before="0" w:beforeAutospacing="0" w:after="0" w:afterAutospacing="0" w:line="360" w:lineRule="auto"/>
        <w:ind w:firstLine="482"/>
        <w:outlineLvl w:val="1"/>
        <w:rPr>
          <w:rFonts w:hint="eastAsia" w:cs="宋体"/>
          <w:color w:val="auto"/>
          <w:szCs w:val="24"/>
          <w:highlight w:val="none"/>
        </w:rPr>
      </w:pPr>
      <w:bookmarkStart w:id="93" w:name="_Toc23410"/>
      <w:bookmarkStart w:id="94" w:name="_Toc16286"/>
      <w:bookmarkStart w:id="95" w:name="_Toc1447"/>
      <w:bookmarkStart w:id="96" w:name="_Toc31360"/>
      <w:bookmarkStart w:id="97" w:name="_Toc1983"/>
      <w:bookmarkStart w:id="98" w:name="_Toc11638"/>
      <w:bookmarkStart w:id="99" w:name="_Toc7903"/>
      <w:bookmarkStart w:id="100" w:name="_Toc4935"/>
      <w:bookmarkStart w:id="101" w:name="_Toc22564"/>
      <w:bookmarkStart w:id="102" w:name="_Toc21595"/>
      <w:bookmarkStart w:id="103" w:name="_Toc4982"/>
      <w:r>
        <w:rPr>
          <w:rFonts w:hint="eastAsia" w:cs="宋体"/>
          <w:b/>
          <w:bCs/>
          <w:color w:val="auto"/>
          <w:szCs w:val="24"/>
          <w:highlight w:val="none"/>
        </w:rPr>
        <w:t>八、在线投标响应（电子投标）说明</w:t>
      </w:r>
      <w:bookmarkEnd w:id="93"/>
      <w:bookmarkEnd w:id="94"/>
      <w:bookmarkEnd w:id="95"/>
      <w:bookmarkEnd w:id="96"/>
      <w:bookmarkEnd w:id="97"/>
      <w:bookmarkEnd w:id="98"/>
      <w:bookmarkEnd w:id="99"/>
      <w:bookmarkEnd w:id="100"/>
      <w:bookmarkEnd w:id="101"/>
      <w:bookmarkEnd w:id="102"/>
      <w:bookmarkEnd w:id="103"/>
    </w:p>
    <w:p w14:paraId="1A41DB9E">
      <w:pPr>
        <w:pStyle w:val="2"/>
        <w:adjustRightInd w:val="0"/>
        <w:snapToGrid w:val="0"/>
        <w:spacing w:after="0" w:line="360" w:lineRule="auto"/>
        <w:ind w:firstLine="480"/>
        <w:rPr>
          <w:rFonts w:hint="eastAsia" w:ascii="宋体" w:hAnsi="宋体" w:cs="宋体"/>
          <w:color w:val="auto"/>
          <w:kern w:val="0"/>
          <w:sz w:val="24"/>
          <w:highlight w:val="none"/>
        </w:rPr>
      </w:pPr>
      <w:bookmarkStart w:id="104" w:name="_Toc28591"/>
      <w:r>
        <w:rPr>
          <w:rFonts w:hint="eastAsia" w:ascii="宋体" w:hAnsi="宋体" w:cs="宋体"/>
          <w:color w:val="auto"/>
          <w:kern w:val="0"/>
          <w:sz w:val="24"/>
          <w:highlight w:val="none"/>
        </w:rPr>
        <w:t>1.本项目通过“政府采购云平台（https://login.zcygov.cn/）”实行在线投标响应（电子投标），供应商应先安装“政采云电子交易客户端”，政采云电子投标客户端下载地址（浙江省政府采购网-下载专区-电子交易客户端版块），通过“政采云电子交易客户端”编制并加密响应文件。供应商未按规定加密的响应文件，“政府采购云平台”将予以拒收。</w:t>
      </w:r>
    </w:p>
    <w:p w14:paraId="0FCE82ED">
      <w:pPr>
        <w:pStyle w:val="17"/>
        <w:widowControl w:val="0"/>
        <w:shd w:val="clear" w:color="auto" w:fill="FFFFFF"/>
        <w:spacing w:before="0" w:beforeAutospacing="0" w:after="0" w:afterAutospacing="0" w:line="360" w:lineRule="auto"/>
        <w:ind w:firstLine="480"/>
        <w:rPr>
          <w:rFonts w:hint="eastAsia" w:cs="宋体"/>
          <w:color w:val="auto"/>
          <w:szCs w:val="24"/>
          <w:highlight w:val="none"/>
        </w:rPr>
      </w:pPr>
      <w:r>
        <w:rPr>
          <w:rFonts w:hint="eastAsia" w:cs="宋体"/>
          <w:color w:val="auto"/>
          <w:szCs w:val="24"/>
          <w:highlight w:val="none"/>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95763。</w:t>
      </w:r>
    </w:p>
    <w:p w14:paraId="67CA5CD8">
      <w:pPr>
        <w:pStyle w:val="17"/>
        <w:widowControl w:val="0"/>
        <w:shd w:val="clear" w:color="auto" w:fill="FFFFFF"/>
        <w:spacing w:before="0" w:beforeAutospacing="0" w:after="0" w:afterAutospacing="0" w:line="360" w:lineRule="auto"/>
        <w:ind w:firstLine="480"/>
        <w:rPr>
          <w:rFonts w:hint="eastAsia" w:cs="宋体"/>
          <w:color w:val="auto"/>
          <w:szCs w:val="24"/>
          <w:highlight w:val="none"/>
        </w:rPr>
      </w:pPr>
      <w:r>
        <w:rPr>
          <w:rFonts w:hint="eastAsia" w:cs="宋体"/>
          <w:color w:val="auto"/>
          <w:szCs w:val="24"/>
          <w:highlight w:val="none"/>
        </w:rPr>
        <w:t>2.为确保网上操作合法、有效和安全，供应商应当在采购响应截止时间前完成在“政府采购云平台”的身份认证，确保在电子采购响应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cs="宋体"/>
          <w:color w:val="auto"/>
          <w:szCs w:val="24"/>
          <w:highlight w:val="none"/>
        </w:rPr>
        <w:t>CA驱动和申领流程</w:t>
      </w:r>
      <w:r>
        <w:rPr>
          <w:rFonts w:hint="eastAsia" w:cs="宋体"/>
          <w:color w:val="auto"/>
          <w:szCs w:val="24"/>
          <w:highlight w:val="none"/>
        </w:rPr>
        <w:fldChar w:fldCharType="end"/>
      </w:r>
      <w:r>
        <w:rPr>
          <w:rFonts w:hint="eastAsia" w:cs="宋体"/>
          <w:color w:val="auto"/>
          <w:szCs w:val="24"/>
          <w:highlight w:val="none"/>
        </w:rPr>
        <w:t>”进行查阅；供应商应在开标前完成CA数字证书办理。</w:t>
      </w:r>
    </w:p>
    <w:p w14:paraId="24CB1A73">
      <w:pPr>
        <w:pStyle w:val="17"/>
        <w:widowControl w:val="0"/>
        <w:shd w:val="clear" w:color="auto" w:fill="FFFFFF"/>
        <w:spacing w:before="0" w:beforeAutospacing="0" w:after="0" w:afterAutospacing="0" w:line="360" w:lineRule="auto"/>
        <w:ind w:firstLine="480"/>
        <w:rPr>
          <w:rFonts w:hint="eastAsia" w:cs="宋体"/>
          <w:color w:val="auto"/>
          <w:szCs w:val="24"/>
          <w:highlight w:val="none"/>
        </w:rPr>
      </w:pPr>
      <w:r>
        <w:rPr>
          <w:rFonts w:hint="eastAsia" w:cs="宋体"/>
          <w:color w:val="auto"/>
          <w:szCs w:val="24"/>
          <w:highlight w:val="none"/>
        </w:rPr>
        <w:t>3.供应商应当在采购响应截止时间前，将生成的“电子加密采购响应文件”上传递交至“政府采购云平台”。采购响应截止时间以后上传递交的采购响应文件将被“政府采购云平台”拒收。</w:t>
      </w:r>
    </w:p>
    <w:p w14:paraId="78905D44">
      <w:pPr>
        <w:pStyle w:val="17"/>
        <w:widowControl w:val="0"/>
        <w:shd w:val="clear" w:color="auto" w:fill="FFFFFF"/>
        <w:spacing w:before="0" w:beforeAutospacing="0" w:after="0" w:afterAutospacing="0" w:line="360" w:lineRule="auto"/>
        <w:ind w:firstLine="480"/>
        <w:rPr>
          <w:rFonts w:hint="eastAsia" w:cs="宋体"/>
          <w:color w:val="auto"/>
          <w:szCs w:val="24"/>
          <w:highlight w:val="none"/>
        </w:rPr>
      </w:pPr>
      <w:r>
        <w:rPr>
          <w:rFonts w:hint="eastAsia" w:cs="宋体"/>
          <w:color w:val="auto"/>
          <w:szCs w:val="24"/>
          <w:highlight w:val="none"/>
        </w:rPr>
        <w:t>4.供应商在“政府采购云平台”完成“电子加密采购响应文件”的上传递交后，还可以在投标截止时间将备份投标文件（经政采云电子交易客户端和CA驱动制作出的后缀名“.bfbs”的加密备份投标文件）发送至邮箱：</w:t>
      </w:r>
      <w:r>
        <w:rPr>
          <w:rFonts w:hint="eastAsia" w:cs="宋体"/>
          <w:color w:val="auto"/>
          <w:szCs w:val="24"/>
          <w:highlight w:val="none"/>
          <w:lang w:val="en-US" w:eastAsia="zh-CN"/>
        </w:rPr>
        <w:t>2572487608</w:t>
      </w:r>
      <w:r>
        <w:rPr>
          <w:rFonts w:hint="eastAsia" w:cs="宋体"/>
          <w:color w:val="auto"/>
          <w:szCs w:val="24"/>
          <w:highlight w:val="none"/>
        </w:rPr>
        <w:t>@qq.com，邮件内容写上单位名称，备份投标文件压缩加密（未加密造成泄密的由供应商自行</w:t>
      </w:r>
      <w:r>
        <w:rPr>
          <w:rFonts w:hint="eastAsia" w:cs="宋体"/>
          <w:color w:val="auto"/>
          <w:szCs w:val="24"/>
          <w:highlight w:val="none"/>
          <w:lang w:eastAsia="zh-CN"/>
        </w:rPr>
        <w:t>承担</w:t>
      </w:r>
      <w:r>
        <w:rPr>
          <w:rFonts w:hint="eastAsia" w:cs="宋体"/>
          <w:color w:val="auto"/>
          <w:szCs w:val="24"/>
          <w:highlight w:val="none"/>
        </w:rPr>
        <w:t>，建议密码由数字和字母组成且不低于8位数），逾期发送或发错后缀名的备份采购响应文件将视为无效；备份采购响应文件的提交不作强制要求，若因供应商未提供备份采购响应文件而造成投标无效等一切后果和风险由供应商自行承担；</w:t>
      </w:r>
    </w:p>
    <w:p w14:paraId="7773A4ED">
      <w:pPr>
        <w:pStyle w:val="17"/>
        <w:shd w:val="clear" w:color="auto" w:fill="FFFFFF"/>
        <w:spacing w:before="0" w:beforeAutospacing="0" w:after="0" w:afterAutospacing="0" w:line="360" w:lineRule="auto"/>
        <w:ind w:firstLine="480"/>
        <w:rPr>
          <w:rFonts w:hint="eastAsia" w:cs="宋体"/>
          <w:color w:val="auto"/>
          <w:szCs w:val="24"/>
          <w:highlight w:val="none"/>
        </w:rPr>
      </w:pPr>
      <w:r>
        <w:rPr>
          <w:rFonts w:hint="eastAsia" w:cs="宋体"/>
          <w:color w:val="auto"/>
          <w:szCs w:val="24"/>
          <w:highlight w:val="none"/>
        </w:rPr>
        <w:t>5.通过“政府采购云平台”上传递交的“电子加密采购响应文件”无法按时解密，供应商递交了备份采购响应文件的，以备份采购响应文件为依据，供应商确认“电子加密投标文件”在线解密失败后，将压缩加密的备份文件的解密密码在解密规定时间（响应截止时间后30分钟内）发送至上述邮箱内，未在规定时间内发送造成的响应无效或文件无效、解压失败由供应商自行</w:t>
      </w:r>
      <w:r>
        <w:rPr>
          <w:rFonts w:hint="eastAsia" w:cs="宋体"/>
          <w:color w:val="auto"/>
          <w:szCs w:val="24"/>
          <w:highlight w:val="none"/>
          <w:lang w:eastAsia="zh-CN"/>
        </w:rPr>
        <w:t>承担</w:t>
      </w:r>
      <w:r>
        <w:rPr>
          <w:rFonts w:hint="eastAsia" w:cs="宋体"/>
          <w:color w:val="auto"/>
          <w:szCs w:val="24"/>
          <w:highlight w:val="none"/>
        </w:rPr>
        <w:t>。通过“政府采购云平台”上传递交的“电子加密采购响应文件”已按时解密的，“备份采购响应文件”自动失效。采购响应供应商仅递交备份采购响应文件的，采购响应无效。</w:t>
      </w:r>
    </w:p>
    <w:p w14:paraId="220F9254">
      <w:pPr>
        <w:pStyle w:val="17"/>
        <w:shd w:val="clear" w:color="auto" w:fill="FFFFFF"/>
        <w:spacing w:before="0" w:beforeAutospacing="0" w:after="0" w:afterAutospacing="0" w:line="360" w:lineRule="auto"/>
        <w:ind w:firstLine="482"/>
        <w:outlineLvl w:val="1"/>
        <w:rPr>
          <w:rFonts w:hint="eastAsia" w:cs="宋体"/>
          <w:color w:val="auto"/>
          <w:szCs w:val="24"/>
          <w:highlight w:val="none"/>
        </w:rPr>
      </w:pPr>
      <w:bookmarkStart w:id="105" w:name="_Toc8354"/>
      <w:bookmarkStart w:id="106" w:name="_Toc9583"/>
      <w:bookmarkStart w:id="107" w:name="_Toc14155"/>
      <w:bookmarkStart w:id="108" w:name="_Toc9967"/>
      <w:bookmarkStart w:id="109" w:name="_Toc8386"/>
      <w:bookmarkStart w:id="110" w:name="_Toc4177"/>
      <w:bookmarkStart w:id="111" w:name="_Toc15383"/>
      <w:bookmarkStart w:id="112" w:name="_Toc10793"/>
      <w:bookmarkStart w:id="113" w:name="_Toc11659"/>
      <w:bookmarkStart w:id="114" w:name="_Toc770"/>
      <w:bookmarkStart w:id="115" w:name="_Toc21027"/>
      <w:bookmarkStart w:id="116" w:name="_Toc6697"/>
      <w:r>
        <w:rPr>
          <w:rFonts w:hint="eastAsia" w:cs="宋体"/>
          <w:b/>
          <w:bCs/>
          <w:color w:val="auto"/>
          <w:szCs w:val="24"/>
          <w:highlight w:val="none"/>
        </w:rPr>
        <w:t>九、其他补充事宜</w:t>
      </w:r>
      <w:bookmarkEnd w:id="105"/>
      <w:bookmarkEnd w:id="106"/>
      <w:bookmarkEnd w:id="107"/>
      <w:bookmarkEnd w:id="108"/>
      <w:bookmarkEnd w:id="109"/>
      <w:bookmarkEnd w:id="110"/>
      <w:bookmarkEnd w:id="111"/>
      <w:bookmarkEnd w:id="112"/>
      <w:bookmarkEnd w:id="113"/>
      <w:bookmarkEnd w:id="114"/>
      <w:bookmarkEnd w:id="115"/>
      <w:bookmarkEnd w:id="116"/>
    </w:p>
    <w:bookmarkEnd w:id="104"/>
    <w:p w14:paraId="436F44BB">
      <w:pPr>
        <w:pStyle w:val="17"/>
        <w:shd w:val="clear" w:color="auto" w:fill="FFFFFF"/>
        <w:spacing w:before="0" w:beforeAutospacing="0" w:after="0" w:afterAutospacing="0" w:line="360" w:lineRule="auto"/>
        <w:ind w:firstLine="480"/>
        <w:rPr>
          <w:rFonts w:hint="eastAsia" w:ascii="宋体" w:hAnsi="宋体" w:eastAsia="宋体" w:cs="宋体"/>
          <w:color w:val="auto"/>
          <w:szCs w:val="24"/>
          <w:highlight w:val="none"/>
          <w:lang w:val="en-US" w:eastAsia="zh-CN"/>
        </w:rPr>
      </w:pPr>
      <w:bookmarkStart w:id="117" w:name="_Toc14777"/>
      <w:bookmarkStart w:id="118" w:name="_Toc63"/>
      <w:bookmarkStart w:id="119" w:name="_Toc13879"/>
      <w:r>
        <w:rPr>
          <w:rFonts w:hint="eastAsia" w:ascii="宋体" w:hAnsi="宋体" w:eastAsia="宋体" w:cs="宋体"/>
          <w:color w:val="auto"/>
          <w:szCs w:val="24"/>
          <w:highlight w:val="none"/>
          <w:lang w:val="en-US" w:eastAsia="zh-CN"/>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133FCB5">
      <w:pPr>
        <w:pStyle w:val="17"/>
        <w:shd w:val="clear" w:color="auto" w:fill="FFFFFF"/>
        <w:spacing w:before="0" w:beforeAutospacing="0" w:after="0" w:afterAutospacing="0" w:line="36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B638D2">
      <w:pPr>
        <w:pStyle w:val="17"/>
        <w:shd w:val="clear" w:color="auto" w:fill="FFFFFF"/>
        <w:spacing w:before="0" w:beforeAutospacing="0" w:after="0" w:afterAutospacing="0" w:line="36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93B6D2">
      <w:pPr>
        <w:pStyle w:val="17"/>
        <w:shd w:val="clear" w:color="auto" w:fill="FFFFFF"/>
        <w:spacing w:before="0" w:beforeAutospacing="0" w:after="0" w:afterAutospacing="0" w:line="36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4.其他事项：</w:t>
      </w:r>
    </w:p>
    <w:p w14:paraId="49A608DF">
      <w:pPr>
        <w:pStyle w:val="17"/>
        <w:shd w:val="clear" w:color="auto" w:fill="FFFFFF"/>
        <w:spacing w:before="0" w:beforeAutospacing="0" w:after="0" w:afterAutospacing="0" w:line="360" w:lineRule="auto"/>
        <w:ind w:firstLine="480"/>
        <w:rPr>
          <w:rFonts w:hint="eastAsia" w:ascii="宋体" w:hAnsi="宋体" w:eastAsia="宋体" w:cs="宋体"/>
          <w:color w:val="auto"/>
          <w:kern w:val="0"/>
          <w:sz w:val="24"/>
          <w:szCs w:val="24"/>
          <w:highlight w:val="none"/>
          <w:lang w:val="en-US" w:eastAsia="zh-CN" w:bidi="ar-SA"/>
        </w:rPr>
      </w:pPr>
      <w:bookmarkStart w:id="120" w:name="OLE_LINK18"/>
      <w:r>
        <w:rPr>
          <w:rFonts w:hint="eastAsia" w:ascii="宋体" w:hAnsi="宋体" w:eastAsia="宋体" w:cs="宋体"/>
          <w:color w:val="auto"/>
          <w:szCs w:val="24"/>
          <w:highlight w:val="none"/>
          <w:lang w:val="en-US" w:eastAsia="zh-CN"/>
        </w:rPr>
        <w:t>企业信用融资及电子保函：投标人若有办理信用融资及电子保函意向的可登陆浙江政府采购网“浙江政采贷”（网址：https://jinrong.zcygov.cn，政府采购云平台金融服务中心）查看相关政策和服务方案，也可通过登录浙江政务网-“衢融通”平台-【采购质押融资申请】。</w:t>
      </w:r>
      <w:bookmarkEnd w:id="120"/>
    </w:p>
    <w:p w14:paraId="221880AC">
      <w:pPr>
        <w:pStyle w:val="17"/>
        <w:shd w:val="clear" w:color="auto" w:fill="FFFFFF"/>
        <w:spacing w:before="0" w:beforeAutospacing="0" w:after="0" w:afterAutospacing="0" w:line="360" w:lineRule="auto"/>
        <w:outlineLvl w:val="1"/>
        <w:rPr>
          <w:rFonts w:hint="eastAsia" w:cs="宋体"/>
          <w:b/>
          <w:bCs/>
          <w:color w:val="auto"/>
          <w:szCs w:val="24"/>
          <w:highlight w:val="none"/>
        </w:rPr>
      </w:pPr>
      <w:r>
        <w:rPr>
          <w:rFonts w:hint="eastAsia" w:cs="宋体"/>
          <w:b/>
          <w:bCs/>
          <w:color w:val="auto"/>
          <w:szCs w:val="24"/>
          <w:highlight w:val="none"/>
        </w:rPr>
        <w:t>十、</w:t>
      </w:r>
      <w:bookmarkEnd w:id="117"/>
      <w:r>
        <w:rPr>
          <w:rFonts w:hint="eastAsia" w:cs="宋体"/>
          <w:b/>
          <w:color w:val="auto"/>
          <w:szCs w:val="24"/>
          <w:highlight w:val="none"/>
          <w:lang w:bidi="ar"/>
        </w:rPr>
        <w:t>本次招标联系事项</w:t>
      </w:r>
      <w:bookmarkEnd w:id="118"/>
      <w:bookmarkEnd w:id="119"/>
      <w:r>
        <w:rPr>
          <w:rFonts w:hint="eastAsia" w:cs="宋体"/>
          <w:b/>
          <w:color w:val="auto"/>
          <w:szCs w:val="24"/>
          <w:highlight w:val="none"/>
          <w:lang w:bidi="ar"/>
        </w:rPr>
        <w:t xml:space="preserve"> </w:t>
      </w:r>
    </w:p>
    <w:p w14:paraId="3019EBDE">
      <w:pPr>
        <w:pStyle w:val="2"/>
        <w:adjustRightInd w:val="0"/>
        <w:snapToGrid w:val="0"/>
        <w:spacing w:after="0" w:line="360" w:lineRule="auto"/>
        <w:ind w:firstLine="480"/>
        <w:rPr>
          <w:rFonts w:hint="eastAsia" w:ascii="宋体" w:hAnsi="宋体" w:cs="宋体"/>
          <w:color w:val="000000" w:themeColor="text1"/>
          <w:kern w:val="0"/>
          <w:sz w:val="24"/>
          <w:highlight w:val="none"/>
          <w14:textFill>
            <w14:solidFill>
              <w14:schemeClr w14:val="tx1"/>
            </w14:solidFill>
          </w14:textFill>
        </w:rPr>
      </w:pPr>
      <w:bookmarkStart w:id="121" w:name="_Toc10417"/>
      <w:r>
        <w:rPr>
          <w:rFonts w:hint="eastAsia" w:ascii="宋体" w:hAnsi="宋体" w:cs="宋体"/>
          <w:color w:val="000000" w:themeColor="text1"/>
          <w:kern w:val="0"/>
          <w:sz w:val="24"/>
          <w:highlight w:val="none"/>
          <w14:textFill>
            <w14:solidFill>
              <w14:schemeClr w14:val="tx1"/>
            </w14:solidFill>
          </w14:textFill>
        </w:rPr>
        <w:t>1.采购人：</w:t>
      </w:r>
      <w:r>
        <w:rPr>
          <w:rFonts w:hint="eastAsia" w:ascii="宋体" w:hAnsi="宋体" w:cs="宋体"/>
          <w:color w:val="000000" w:themeColor="text1"/>
          <w:kern w:val="0"/>
          <w:sz w:val="24"/>
          <w:highlight w:val="none"/>
          <w:lang w:eastAsia="zh-CN"/>
          <w14:textFill>
            <w14:solidFill>
              <w14:schemeClr w14:val="tx1"/>
            </w14:solidFill>
          </w14:textFill>
        </w:rPr>
        <w:t xml:space="preserve">衢州市柯城区住房和城乡建设局    </w:t>
      </w:r>
      <w:r>
        <w:rPr>
          <w:rFonts w:hint="eastAsia" w:ascii="宋体" w:hAnsi="宋体" w:cs="宋体"/>
          <w:color w:val="000000" w:themeColor="text1"/>
          <w:kern w:val="0"/>
          <w:sz w:val="24"/>
          <w:highlight w:val="none"/>
          <w14:textFill>
            <w14:solidFill>
              <w14:schemeClr w14:val="tx1"/>
            </w14:solidFill>
          </w14:textFill>
        </w:rPr>
        <w:t xml:space="preserve"> </w:t>
      </w:r>
    </w:p>
    <w:p w14:paraId="7B0B7092">
      <w:pPr>
        <w:pStyle w:val="2"/>
        <w:adjustRightInd w:val="0"/>
        <w:snapToGrid w:val="0"/>
        <w:spacing w:after="0" w:line="360" w:lineRule="auto"/>
        <w:ind w:firstLine="480"/>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联系人</w:t>
      </w:r>
      <w:r>
        <w:rPr>
          <w:rFonts w:hint="eastAsia" w:ascii="宋体" w:hAnsi="宋体" w:cs="宋体"/>
          <w:color w:val="000000" w:themeColor="text1"/>
          <w:sz w:val="24"/>
          <w:highlight w:val="none"/>
          <w:lang w:bidi="ar"/>
          <w14:textFill>
            <w14:solidFill>
              <w14:schemeClr w14:val="tx1"/>
            </w14:solidFill>
          </w14:textFill>
        </w:rPr>
        <w:t>（询问）</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郑女士</w:t>
      </w:r>
    </w:p>
    <w:p w14:paraId="3C937CEC">
      <w:pPr>
        <w:pStyle w:val="2"/>
        <w:adjustRightInd w:val="0"/>
        <w:snapToGrid w:val="0"/>
        <w:spacing w:after="0" w:line="360" w:lineRule="auto"/>
        <w:ind w:firstLine="48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联系电话</w:t>
      </w:r>
      <w:r>
        <w:rPr>
          <w:rFonts w:hint="eastAsia" w:ascii="宋体" w:hAnsi="宋体" w:cs="宋体"/>
          <w:color w:val="000000" w:themeColor="text1"/>
          <w:sz w:val="24"/>
          <w:highlight w:val="none"/>
          <w:lang w:bidi="ar"/>
          <w14:textFill>
            <w14:solidFill>
              <w14:schemeClr w14:val="tx1"/>
            </w14:solidFill>
          </w14:textFill>
        </w:rPr>
        <w:t>（询问）</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0570-3031927</w:t>
      </w:r>
    </w:p>
    <w:p w14:paraId="7201DBC4">
      <w:pPr>
        <w:pStyle w:val="2"/>
        <w:adjustRightInd w:val="0"/>
        <w:snapToGrid w:val="0"/>
        <w:spacing w:after="0" w:line="360" w:lineRule="auto"/>
        <w:ind w:firstLine="480"/>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质疑联系人：</w:t>
      </w:r>
      <w:r>
        <w:rPr>
          <w:rFonts w:hint="eastAsia" w:ascii="宋体" w:hAnsi="宋体" w:cs="宋体"/>
          <w:color w:val="000000" w:themeColor="text1"/>
          <w:kern w:val="0"/>
          <w:sz w:val="24"/>
          <w:highlight w:val="none"/>
          <w:lang w:eastAsia="zh-CN"/>
          <w14:textFill>
            <w14:solidFill>
              <w14:schemeClr w14:val="tx1"/>
            </w14:solidFill>
          </w14:textFill>
        </w:rPr>
        <w:t>郑女士</w:t>
      </w:r>
    </w:p>
    <w:p w14:paraId="6D26760A">
      <w:pPr>
        <w:pStyle w:val="2"/>
        <w:adjustRightInd w:val="0"/>
        <w:snapToGrid w:val="0"/>
        <w:spacing w:after="0" w:line="360" w:lineRule="auto"/>
        <w:ind w:firstLine="480"/>
        <w:rPr>
          <w:rFonts w:hint="eastAsia" w:ascii="宋体" w:hAnsi="宋体" w:eastAsia="宋体" w:cs="宋体"/>
          <w:color w:val="000000" w:themeColor="text1"/>
          <w:sz w:val="24"/>
          <w:highlight w:val="none"/>
          <w:lang w:eastAsia="zh-CN" w:bidi="ar"/>
          <w14:textFill>
            <w14:solidFill>
              <w14:schemeClr w14:val="tx1"/>
            </w14:solidFill>
          </w14:textFill>
        </w:rPr>
      </w:pPr>
      <w:r>
        <w:rPr>
          <w:rFonts w:hint="eastAsia" w:ascii="宋体" w:hAnsi="宋体" w:cs="宋体"/>
          <w:color w:val="000000" w:themeColor="text1"/>
          <w:sz w:val="24"/>
          <w:highlight w:val="none"/>
          <w:lang w:bidi="ar"/>
          <w14:textFill>
            <w14:solidFill>
              <w14:schemeClr w14:val="tx1"/>
            </w14:solidFill>
          </w14:textFill>
        </w:rPr>
        <w:t>质疑联系方式：</w:t>
      </w:r>
      <w:r>
        <w:rPr>
          <w:rFonts w:hint="eastAsia" w:ascii="宋体" w:hAnsi="宋体" w:cs="宋体"/>
          <w:color w:val="000000" w:themeColor="text1"/>
          <w:kern w:val="0"/>
          <w:sz w:val="24"/>
          <w:highlight w:val="none"/>
          <w:lang w:val="en-US" w:eastAsia="zh-CN"/>
          <w14:textFill>
            <w14:solidFill>
              <w14:schemeClr w14:val="tx1"/>
            </w14:solidFill>
          </w14:textFill>
        </w:rPr>
        <w:t>0570-3031927</w:t>
      </w:r>
    </w:p>
    <w:p w14:paraId="5411CB39">
      <w:pPr>
        <w:pStyle w:val="2"/>
        <w:adjustRightInd w:val="0"/>
        <w:snapToGrid w:val="0"/>
        <w:spacing w:after="0"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址：衢州市柯城区浮石路188号</w:t>
      </w:r>
    </w:p>
    <w:p w14:paraId="0E7B1124">
      <w:pPr>
        <w:pStyle w:val="2"/>
        <w:adjustRightInd w:val="0"/>
        <w:snapToGrid w:val="0"/>
        <w:spacing w:after="0" w:line="360" w:lineRule="auto"/>
        <w:ind w:firstLine="48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2.采购代理机构名称：</w:t>
      </w:r>
      <w:bookmarkEnd w:id="121"/>
      <w:r>
        <w:rPr>
          <w:rFonts w:hint="eastAsia" w:ascii="宋体" w:hAnsi="宋体" w:cs="宋体"/>
          <w:color w:val="auto"/>
          <w:kern w:val="0"/>
          <w:sz w:val="24"/>
          <w:highlight w:val="none"/>
          <w:lang w:eastAsia="zh-CN"/>
        </w:rPr>
        <w:t>浙江佳诚工程咨询股份有限公司</w:t>
      </w:r>
    </w:p>
    <w:p w14:paraId="72C66203">
      <w:pPr>
        <w:pStyle w:val="2"/>
        <w:adjustRightInd w:val="0"/>
        <w:snapToGrid w:val="0"/>
        <w:spacing w:after="0" w:line="360" w:lineRule="auto"/>
        <w:ind w:firstLine="480"/>
        <w:rPr>
          <w:rFonts w:hint="eastAsia" w:ascii="宋体" w:hAnsi="宋体" w:cs="宋体"/>
          <w:color w:val="auto"/>
          <w:kern w:val="0"/>
          <w:sz w:val="24"/>
          <w:highlight w:val="none"/>
        </w:rPr>
      </w:pPr>
      <w:bookmarkStart w:id="122" w:name="_Toc12239"/>
      <w:r>
        <w:rPr>
          <w:rFonts w:hint="eastAsia" w:ascii="宋体" w:hAnsi="宋体" w:cs="宋体"/>
          <w:color w:val="auto"/>
          <w:kern w:val="0"/>
          <w:sz w:val="24"/>
          <w:highlight w:val="none"/>
        </w:rPr>
        <w:t>项目联系人（询问）：</w:t>
      </w:r>
      <w:bookmarkEnd w:id="122"/>
      <w:r>
        <w:rPr>
          <w:rFonts w:hint="eastAsia" w:ascii="宋体" w:hAnsi="宋体" w:cs="宋体"/>
          <w:color w:val="auto"/>
          <w:kern w:val="0"/>
          <w:sz w:val="24"/>
          <w:highlight w:val="none"/>
          <w:lang w:eastAsia="zh-CN"/>
        </w:rPr>
        <w:t>叶</w:t>
      </w:r>
      <w:r>
        <w:rPr>
          <w:rFonts w:hint="eastAsia" w:ascii="宋体" w:hAnsi="宋体" w:cs="宋体"/>
          <w:color w:val="auto"/>
          <w:kern w:val="0"/>
          <w:sz w:val="24"/>
          <w:highlight w:val="none"/>
        </w:rPr>
        <w:t>女士</w:t>
      </w:r>
    </w:p>
    <w:p w14:paraId="27DF0B4C">
      <w:pPr>
        <w:pStyle w:val="2"/>
        <w:adjustRightInd w:val="0"/>
        <w:snapToGrid w:val="0"/>
        <w:spacing w:after="0" w:line="360" w:lineRule="auto"/>
        <w:ind w:firstLine="480"/>
        <w:rPr>
          <w:rFonts w:hint="eastAsia" w:ascii="宋体" w:hAnsi="宋体" w:cs="宋体"/>
          <w:color w:val="auto"/>
          <w:kern w:val="0"/>
          <w:sz w:val="24"/>
          <w:highlight w:val="none"/>
        </w:rPr>
      </w:pPr>
      <w:bookmarkStart w:id="123" w:name="_Toc5850"/>
      <w:r>
        <w:rPr>
          <w:rFonts w:hint="eastAsia" w:ascii="宋体" w:hAnsi="宋体" w:cs="宋体"/>
          <w:color w:val="auto"/>
          <w:kern w:val="0"/>
          <w:sz w:val="24"/>
          <w:highlight w:val="none"/>
        </w:rPr>
        <w:t>项目联系方式（询问）：</w:t>
      </w:r>
      <w:bookmarkEnd w:id="123"/>
      <w:r>
        <w:rPr>
          <w:rFonts w:hint="eastAsia" w:ascii="宋体" w:hAnsi="宋体" w:cs="宋体"/>
          <w:color w:val="auto"/>
          <w:kern w:val="0"/>
          <w:sz w:val="24"/>
          <w:highlight w:val="none"/>
        </w:rPr>
        <w:t>0570-2885356、19858187091</w:t>
      </w:r>
    </w:p>
    <w:p w14:paraId="2AE5F992">
      <w:pPr>
        <w:pStyle w:val="2"/>
        <w:adjustRightInd w:val="0"/>
        <w:snapToGrid w:val="0"/>
        <w:spacing w:after="0" w:line="360" w:lineRule="auto"/>
        <w:ind w:firstLine="480"/>
        <w:rPr>
          <w:rFonts w:hint="eastAsia" w:ascii="宋体" w:hAnsi="宋体" w:cs="宋体"/>
          <w:color w:val="auto"/>
          <w:kern w:val="0"/>
          <w:sz w:val="24"/>
          <w:highlight w:val="none"/>
        </w:rPr>
      </w:pPr>
      <w:bookmarkStart w:id="124" w:name="_Toc9368"/>
      <w:bookmarkStart w:id="125" w:name="_Toc17206"/>
      <w:r>
        <w:rPr>
          <w:rFonts w:hint="eastAsia" w:ascii="宋体" w:hAnsi="宋体" w:cs="宋体"/>
          <w:color w:val="auto"/>
          <w:kern w:val="0"/>
          <w:sz w:val="24"/>
          <w:highlight w:val="none"/>
        </w:rPr>
        <w:t>质疑联系人：</w:t>
      </w:r>
      <w:bookmarkEnd w:id="124"/>
      <w:bookmarkEnd w:id="125"/>
      <w:r>
        <w:rPr>
          <w:rFonts w:hint="eastAsia" w:ascii="宋体" w:hAnsi="宋体" w:cs="宋体"/>
          <w:color w:val="auto"/>
          <w:kern w:val="0"/>
          <w:sz w:val="24"/>
          <w:highlight w:val="none"/>
          <w:lang w:eastAsia="zh-CN"/>
        </w:rPr>
        <w:t>祝</w:t>
      </w:r>
      <w:r>
        <w:rPr>
          <w:rFonts w:hint="eastAsia" w:ascii="宋体" w:hAnsi="宋体" w:cs="宋体"/>
          <w:color w:val="auto"/>
          <w:kern w:val="0"/>
          <w:sz w:val="24"/>
          <w:highlight w:val="none"/>
        </w:rPr>
        <w:t>先生</w:t>
      </w:r>
    </w:p>
    <w:p w14:paraId="15F19AE9">
      <w:pPr>
        <w:pStyle w:val="2"/>
        <w:adjustRightInd w:val="0"/>
        <w:snapToGrid w:val="0"/>
        <w:spacing w:after="0" w:line="360" w:lineRule="auto"/>
        <w:ind w:firstLine="480"/>
        <w:rPr>
          <w:rFonts w:hint="eastAsia" w:ascii="宋体" w:hAnsi="宋体" w:cs="宋体"/>
          <w:color w:val="auto"/>
          <w:kern w:val="0"/>
          <w:sz w:val="24"/>
          <w:highlight w:val="none"/>
        </w:rPr>
      </w:pPr>
      <w:bookmarkStart w:id="126" w:name="_Toc2104"/>
      <w:bookmarkStart w:id="127" w:name="_Toc21912"/>
      <w:r>
        <w:rPr>
          <w:rFonts w:hint="eastAsia" w:ascii="宋体" w:hAnsi="宋体" w:cs="宋体"/>
          <w:color w:val="auto"/>
          <w:kern w:val="0"/>
          <w:sz w:val="24"/>
          <w:highlight w:val="none"/>
        </w:rPr>
        <w:t>质疑联系方式：</w:t>
      </w:r>
      <w:bookmarkEnd w:id="126"/>
      <w:bookmarkEnd w:id="127"/>
      <w:r>
        <w:rPr>
          <w:rFonts w:hint="eastAsia" w:ascii="宋体" w:hAnsi="宋体" w:cs="宋体"/>
          <w:color w:val="auto"/>
          <w:kern w:val="0"/>
          <w:sz w:val="24"/>
          <w:highlight w:val="none"/>
        </w:rPr>
        <w:t xml:space="preserve">13567003837  </w:t>
      </w:r>
    </w:p>
    <w:p w14:paraId="635AF96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地 址：衢州市衢江区东迹大道922号科教大厦19楼</w:t>
      </w:r>
    </w:p>
    <w:p w14:paraId="41A0EAFC">
      <w:pPr>
        <w:pStyle w:val="2"/>
        <w:adjustRightInd w:val="0"/>
        <w:snapToGrid w:val="0"/>
        <w:spacing w:after="0" w:line="360" w:lineRule="auto"/>
        <w:ind w:firstLine="480"/>
        <w:rPr>
          <w:rFonts w:hint="eastAsia" w:ascii="宋体" w:hAnsi="宋体" w:cs="宋体"/>
          <w:color w:val="auto"/>
          <w:kern w:val="0"/>
          <w:sz w:val="24"/>
          <w:highlight w:val="none"/>
        </w:rPr>
      </w:pPr>
      <w:bookmarkStart w:id="128" w:name="_Toc24239"/>
      <w:r>
        <w:rPr>
          <w:rFonts w:hint="eastAsia" w:ascii="宋体" w:hAnsi="宋体" w:cs="宋体"/>
          <w:color w:val="auto"/>
          <w:kern w:val="0"/>
          <w:sz w:val="24"/>
          <w:highlight w:val="none"/>
        </w:rPr>
        <w:t>3.同级政府采购监督管理部门名称：</w:t>
      </w:r>
      <w:bookmarkEnd w:id="128"/>
      <w:r>
        <w:rPr>
          <w:rFonts w:hint="eastAsia" w:ascii="宋体" w:hAnsi="宋体" w:cs="宋体"/>
          <w:color w:val="auto"/>
          <w:kern w:val="0"/>
          <w:sz w:val="24"/>
          <w:highlight w:val="none"/>
        </w:rPr>
        <w:t>衢州市柯城区政府采购管理办公室</w:t>
      </w:r>
    </w:p>
    <w:p w14:paraId="4F4BF070">
      <w:pPr>
        <w:pStyle w:val="2"/>
        <w:adjustRightInd w:val="0"/>
        <w:snapToGrid w:val="0"/>
        <w:spacing w:after="0" w:line="360" w:lineRule="auto"/>
        <w:ind w:firstLine="480"/>
        <w:rPr>
          <w:rFonts w:hint="eastAsia" w:ascii="宋体" w:hAnsi="宋体" w:cs="宋体"/>
          <w:color w:val="auto"/>
          <w:kern w:val="0"/>
          <w:sz w:val="24"/>
          <w:highlight w:val="none"/>
        </w:rPr>
      </w:pPr>
      <w:bookmarkStart w:id="129" w:name="_Toc28195"/>
      <w:r>
        <w:rPr>
          <w:rFonts w:hint="eastAsia" w:ascii="宋体" w:hAnsi="宋体" w:cs="宋体"/>
          <w:color w:val="auto"/>
          <w:kern w:val="0"/>
          <w:sz w:val="24"/>
          <w:highlight w:val="none"/>
        </w:rPr>
        <w:t>联系人：</w:t>
      </w:r>
      <w:bookmarkEnd w:id="129"/>
      <w:r>
        <w:rPr>
          <w:rFonts w:hint="eastAsia" w:ascii="宋体" w:hAnsi="宋体" w:cs="宋体"/>
          <w:color w:val="auto"/>
          <w:kern w:val="0"/>
          <w:sz w:val="24"/>
          <w:highlight w:val="none"/>
        </w:rPr>
        <w:t>蒋先生</w:t>
      </w:r>
    </w:p>
    <w:p w14:paraId="0F643A37">
      <w:pPr>
        <w:pStyle w:val="2"/>
        <w:adjustRightInd w:val="0"/>
        <w:snapToGrid w:val="0"/>
        <w:spacing w:after="0" w:line="360" w:lineRule="auto"/>
        <w:ind w:firstLine="480"/>
        <w:rPr>
          <w:rFonts w:hint="eastAsia" w:ascii="宋体" w:hAnsi="宋体" w:cs="宋体"/>
          <w:color w:val="auto"/>
          <w:kern w:val="0"/>
          <w:sz w:val="24"/>
          <w:highlight w:val="none"/>
        </w:rPr>
      </w:pPr>
      <w:bookmarkStart w:id="130" w:name="_Toc25453"/>
      <w:r>
        <w:rPr>
          <w:rFonts w:hint="eastAsia" w:ascii="宋体" w:hAnsi="宋体" w:cs="宋体"/>
          <w:color w:val="auto"/>
          <w:kern w:val="0"/>
          <w:sz w:val="24"/>
          <w:highlight w:val="none"/>
        </w:rPr>
        <w:t>监督投诉电话：</w:t>
      </w:r>
      <w:bookmarkEnd w:id="130"/>
      <w:r>
        <w:rPr>
          <w:rFonts w:hint="eastAsia" w:ascii="宋体" w:hAnsi="宋体" w:cs="宋体"/>
          <w:color w:val="auto"/>
          <w:kern w:val="0"/>
          <w:sz w:val="24"/>
          <w:highlight w:val="none"/>
        </w:rPr>
        <w:t>0570-3020829</w:t>
      </w:r>
    </w:p>
    <w:p w14:paraId="381D7FBC">
      <w:pPr>
        <w:pStyle w:val="2"/>
        <w:adjustRightInd w:val="0"/>
        <w:snapToGrid w:val="0"/>
        <w:spacing w:after="0" w:line="360" w:lineRule="auto"/>
        <w:ind w:firstLine="480"/>
        <w:rPr>
          <w:rFonts w:hint="eastAsia" w:ascii="宋体" w:hAnsi="宋体" w:cs="宋体"/>
          <w:color w:val="auto"/>
          <w:kern w:val="0"/>
          <w:sz w:val="24"/>
          <w:highlight w:val="none"/>
        </w:rPr>
      </w:pPr>
      <w:bookmarkStart w:id="131" w:name="_Toc19792"/>
      <w:r>
        <w:rPr>
          <w:rFonts w:hint="eastAsia" w:ascii="宋体" w:hAnsi="宋体" w:cs="宋体"/>
          <w:color w:val="auto"/>
          <w:kern w:val="0"/>
          <w:sz w:val="24"/>
          <w:highlight w:val="none"/>
        </w:rPr>
        <w:t>地址：</w:t>
      </w:r>
      <w:bookmarkEnd w:id="131"/>
      <w:r>
        <w:rPr>
          <w:rFonts w:hint="eastAsia" w:ascii="宋体" w:hAnsi="宋体" w:cs="宋体"/>
          <w:color w:val="auto"/>
          <w:kern w:val="0"/>
          <w:sz w:val="24"/>
          <w:highlight w:val="none"/>
        </w:rPr>
        <w:t>荷三路行政中心9号楼308办公室</w:t>
      </w:r>
    </w:p>
    <w:p w14:paraId="6B786EC8">
      <w:pPr>
        <w:spacing w:line="360" w:lineRule="auto"/>
        <w:ind w:firstLine="480"/>
        <w:rPr>
          <w:rFonts w:hint="eastAsia" w:ascii="宋体" w:hAnsi="宋体" w:cs="宋体"/>
          <w:color w:val="auto"/>
          <w:highlight w:val="none"/>
        </w:rPr>
      </w:pPr>
      <w:bookmarkStart w:id="132" w:name="_Toc18618"/>
    </w:p>
    <w:p w14:paraId="33049F5D">
      <w:pPr>
        <w:spacing w:line="360" w:lineRule="auto"/>
        <w:ind w:firstLine="480"/>
        <w:rPr>
          <w:rFonts w:hint="eastAsia" w:ascii="宋体" w:hAnsi="宋体" w:cs="宋体"/>
          <w:color w:val="auto"/>
          <w:highlight w:val="none"/>
        </w:rPr>
      </w:pPr>
    </w:p>
    <w:p w14:paraId="391A91B3">
      <w:pPr>
        <w:spacing w:line="360" w:lineRule="auto"/>
        <w:ind w:firstLine="48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若对项目采购电子交易系统操作有疑问，可登录政府采购云平台（https://login.zcygov.cn/），点击右侧咨询小采，获取采小蜜智能服务管家帮助，或拨打政采云服务热线95763获取热线服务帮助。</w:t>
      </w:r>
    </w:p>
    <w:p w14:paraId="0DB59A73">
      <w:pPr>
        <w:spacing w:line="360" w:lineRule="auto"/>
        <w:ind w:firstLine="480"/>
        <w:rPr>
          <w:rFonts w:hint="eastAsia" w:ascii="宋体" w:hAnsi="宋体" w:cs="宋体"/>
          <w:color w:val="auto"/>
          <w:highlight w:val="none"/>
        </w:rPr>
      </w:pPr>
      <w:r>
        <w:rPr>
          <w:rFonts w:hint="eastAsia" w:ascii="宋体" w:hAnsi="宋体" w:cs="宋体"/>
          <w:color w:val="auto"/>
          <w:highlight w:val="none"/>
        </w:rPr>
        <w:t>CA问题联系电话（人工）：汇信CA 400-888-4636；天谷CA 400-087-8198。</w:t>
      </w:r>
    </w:p>
    <w:p w14:paraId="485C967E">
      <w:pPr>
        <w:tabs>
          <w:tab w:val="left" w:pos="480"/>
        </w:tabs>
        <w:spacing w:line="360" w:lineRule="auto"/>
        <w:ind w:firstLine="480"/>
        <w:rPr>
          <w:rFonts w:hint="eastAsia" w:ascii="宋体" w:hAnsi="宋体" w:cs="宋体"/>
          <w:color w:val="auto"/>
          <w:highlight w:val="none"/>
        </w:rPr>
        <w:sectPr>
          <w:footerReference r:id="rId13" w:type="default"/>
          <w:pgSz w:w="11906" w:h="16838"/>
          <w:pgMar w:top="1440" w:right="1803" w:bottom="1440" w:left="1803" w:header="850" w:footer="992" w:gutter="0"/>
          <w:cols w:space="720" w:num="1"/>
          <w:docGrid w:type="lines" w:linePitch="312" w:charSpace="0"/>
        </w:sectPr>
      </w:pPr>
    </w:p>
    <w:bookmarkEnd w:id="15"/>
    <w:bookmarkEnd w:id="27"/>
    <w:bookmarkEnd w:id="28"/>
    <w:bookmarkEnd w:id="29"/>
    <w:bookmarkEnd w:id="30"/>
    <w:bookmarkEnd w:id="31"/>
    <w:bookmarkEnd w:id="32"/>
    <w:bookmarkEnd w:id="33"/>
    <w:bookmarkEnd w:id="34"/>
    <w:bookmarkEnd w:id="35"/>
    <w:bookmarkEnd w:id="36"/>
    <w:bookmarkEnd w:id="132"/>
    <w:p w14:paraId="7A32C968">
      <w:pPr>
        <w:pStyle w:val="4"/>
        <w:numPr>
          <w:ilvl w:val="0"/>
          <w:numId w:val="1"/>
        </w:numPr>
        <w:spacing w:before="312" w:after="312"/>
        <w:ind w:left="0"/>
        <w:rPr>
          <w:color w:val="auto"/>
          <w:highlight w:val="none"/>
        </w:rPr>
      </w:pPr>
      <w:bookmarkStart w:id="133" w:name="_Toc18981"/>
      <w:r>
        <w:rPr>
          <w:rFonts w:hint="eastAsia"/>
          <w:color w:val="auto"/>
          <w:highlight w:val="none"/>
        </w:rPr>
        <w:t>投标须知前附表及投标须知</w:t>
      </w:r>
      <w:bookmarkEnd w:id="133"/>
    </w:p>
    <w:p w14:paraId="67996C63">
      <w:pPr>
        <w:pStyle w:val="5"/>
        <w:spacing w:before="156" w:after="156"/>
        <w:rPr>
          <w:rFonts w:hint="eastAsia" w:ascii="宋体" w:hAnsi="宋体" w:cs="宋体"/>
          <w:color w:val="auto"/>
          <w:sz w:val="24"/>
          <w:szCs w:val="24"/>
          <w:highlight w:val="none"/>
        </w:rPr>
      </w:pPr>
      <w:bookmarkStart w:id="134" w:name="_Toc25506"/>
      <w:bookmarkStart w:id="135" w:name="_Toc24701"/>
      <w:bookmarkStart w:id="136" w:name="_Toc26826"/>
      <w:bookmarkStart w:id="137" w:name="_Toc21678"/>
      <w:bookmarkStart w:id="138" w:name="_Toc16050"/>
      <w:bookmarkStart w:id="139" w:name="_Toc17588"/>
      <w:bookmarkStart w:id="140" w:name="_Toc16227"/>
      <w:bookmarkStart w:id="141" w:name="_Toc14813"/>
      <w:bookmarkStart w:id="142" w:name="_Toc22224"/>
      <w:bookmarkStart w:id="143" w:name="_Toc2093"/>
      <w:bookmarkStart w:id="144" w:name="_Toc19998"/>
      <w:bookmarkStart w:id="145" w:name="_Toc25611"/>
      <w:bookmarkStart w:id="146" w:name="_Toc6862"/>
      <w:r>
        <w:rPr>
          <w:rFonts w:hint="eastAsia" w:ascii="宋体" w:hAnsi="宋体" w:cs="宋体"/>
          <w:color w:val="auto"/>
          <w:sz w:val="24"/>
          <w:szCs w:val="24"/>
          <w:highlight w:val="none"/>
        </w:rPr>
        <w:t>供应商须知前附表</w:t>
      </w:r>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1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520"/>
        <w:gridCol w:w="6512"/>
      </w:tblGrid>
      <w:tr w14:paraId="0B5B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26" w:type="dxa"/>
            <w:tcBorders>
              <w:top w:val="single" w:color="auto" w:sz="4" w:space="0"/>
              <w:left w:val="single" w:color="auto" w:sz="4" w:space="0"/>
              <w:bottom w:val="single" w:color="auto" w:sz="4" w:space="0"/>
              <w:right w:val="single" w:color="auto" w:sz="4" w:space="0"/>
            </w:tcBorders>
            <w:vAlign w:val="center"/>
          </w:tcPr>
          <w:p w14:paraId="586C8BE8">
            <w:pPr>
              <w:pStyle w:val="10"/>
              <w:widowControl/>
              <w:snapToGrid w:val="0"/>
              <w:spacing w:line="240" w:lineRule="auto"/>
              <w:ind w:firstLine="0" w:firstLineChars="0"/>
              <w:jc w:val="center"/>
              <w:rPr>
                <w:rFonts w:hint="eastAsia" w:hAnsi="宋体" w:cs="宋体"/>
                <w:color w:val="auto"/>
                <w:szCs w:val="24"/>
                <w:highlight w:val="none"/>
              </w:rPr>
            </w:pPr>
            <w:bookmarkStart w:id="147" w:name="_Toc509927091"/>
            <w:bookmarkStart w:id="148" w:name="_Toc356371431"/>
            <w:bookmarkStart w:id="149" w:name="_Toc462076236"/>
            <w:bookmarkStart w:id="150" w:name="_Toc9470"/>
            <w:bookmarkStart w:id="151" w:name="_Toc1270"/>
            <w:bookmarkStart w:id="152" w:name="_Toc12517"/>
            <w:bookmarkStart w:id="153" w:name="_Toc1812"/>
            <w:bookmarkStart w:id="154" w:name="_Toc19698"/>
            <w:bookmarkStart w:id="155" w:name="_Toc18654"/>
            <w:bookmarkStart w:id="156" w:name="_Toc5635"/>
            <w:bookmarkStart w:id="157" w:name="_Toc6601"/>
            <w:r>
              <w:rPr>
                <w:rFonts w:hint="eastAsia" w:hAnsi="宋体" w:cs="宋体"/>
                <w:color w:val="auto"/>
                <w:szCs w:val="24"/>
                <w:highlight w:val="none"/>
              </w:rPr>
              <w:t>序号</w:t>
            </w:r>
          </w:p>
        </w:tc>
        <w:tc>
          <w:tcPr>
            <w:tcW w:w="1520" w:type="dxa"/>
            <w:tcBorders>
              <w:top w:val="single" w:color="auto" w:sz="4" w:space="0"/>
              <w:left w:val="single" w:color="auto" w:sz="4" w:space="0"/>
              <w:bottom w:val="single" w:color="auto" w:sz="4" w:space="0"/>
              <w:right w:val="single" w:color="auto" w:sz="4" w:space="0"/>
            </w:tcBorders>
            <w:vAlign w:val="center"/>
          </w:tcPr>
          <w:p w14:paraId="2054A6FA">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内容</w:t>
            </w:r>
          </w:p>
        </w:tc>
        <w:tc>
          <w:tcPr>
            <w:tcW w:w="6512" w:type="dxa"/>
            <w:tcBorders>
              <w:top w:val="single" w:color="auto" w:sz="4" w:space="0"/>
              <w:left w:val="single" w:color="auto" w:sz="4" w:space="0"/>
              <w:bottom w:val="single" w:color="auto" w:sz="4" w:space="0"/>
              <w:right w:val="single" w:color="auto" w:sz="4" w:space="0"/>
            </w:tcBorders>
            <w:vAlign w:val="center"/>
          </w:tcPr>
          <w:p w14:paraId="7EC2D34B">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说明与要求</w:t>
            </w:r>
          </w:p>
        </w:tc>
      </w:tr>
      <w:tr w14:paraId="2344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6" w:type="dxa"/>
            <w:tcBorders>
              <w:top w:val="single" w:color="auto" w:sz="4" w:space="0"/>
              <w:left w:val="single" w:color="auto" w:sz="4" w:space="0"/>
              <w:bottom w:val="single" w:color="auto" w:sz="4" w:space="0"/>
              <w:right w:val="single" w:color="auto" w:sz="4" w:space="0"/>
            </w:tcBorders>
            <w:vAlign w:val="center"/>
          </w:tcPr>
          <w:p w14:paraId="12A22715">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w:t>
            </w:r>
          </w:p>
        </w:tc>
        <w:tc>
          <w:tcPr>
            <w:tcW w:w="1520" w:type="dxa"/>
            <w:tcBorders>
              <w:top w:val="single" w:color="auto" w:sz="4" w:space="0"/>
              <w:left w:val="single" w:color="auto" w:sz="4" w:space="0"/>
              <w:bottom w:val="single" w:color="auto" w:sz="4" w:space="0"/>
              <w:right w:val="single" w:color="auto" w:sz="4" w:space="0"/>
            </w:tcBorders>
            <w:vAlign w:val="center"/>
          </w:tcPr>
          <w:p w14:paraId="3840E583">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采购人</w:t>
            </w:r>
          </w:p>
        </w:tc>
        <w:tc>
          <w:tcPr>
            <w:tcW w:w="6512" w:type="dxa"/>
            <w:tcBorders>
              <w:top w:val="single" w:color="auto" w:sz="4" w:space="0"/>
              <w:left w:val="single" w:color="auto" w:sz="4" w:space="0"/>
              <w:bottom w:val="single" w:color="auto" w:sz="4" w:space="0"/>
              <w:right w:val="single" w:color="auto" w:sz="4" w:space="0"/>
            </w:tcBorders>
            <w:vAlign w:val="center"/>
          </w:tcPr>
          <w:p w14:paraId="1ADD0C3A">
            <w:pPr>
              <w:pStyle w:val="10"/>
              <w:widowControl/>
              <w:snapToGrid w:val="0"/>
              <w:spacing w:line="240" w:lineRule="auto"/>
              <w:ind w:firstLine="0" w:firstLineChars="0"/>
              <w:rPr>
                <w:rFonts w:hint="eastAsia" w:hAnsi="宋体" w:cs="宋体"/>
                <w:color w:val="auto"/>
                <w:szCs w:val="24"/>
                <w:highlight w:val="none"/>
              </w:rPr>
            </w:pPr>
            <w:r>
              <w:rPr>
                <w:rFonts w:hint="eastAsia" w:hAnsi="宋体" w:cs="宋体"/>
                <w:color w:val="auto"/>
                <w:szCs w:val="24"/>
                <w:highlight w:val="none"/>
                <w:lang w:eastAsia="zh-CN"/>
              </w:rPr>
              <w:t xml:space="preserve">衢州市柯城区住房和城乡建设局    </w:t>
            </w:r>
            <w:r>
              <w:rPr>
                <w:rFonts w:hint="eastAsia" w:hAnsi="宋体" w:cs="宋体"/>
                <w:color w:val="auto"/>
                <w:szCs w:val="24"/>
                <w:highlight w:val="none"/>
              </w:rPr>
              <w:t xml:space="preserve"> </w:t>
            </w:r>
          </w:p>
        </w:tc>
      </w:tr>
      <w:tr w14:paraId="7A41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26" w:type="dxa"/>
            <w:tcBorders>
              <w:top w:val="single" w:color="auto" w:sz="4" w:space="0"/>
              <w:left w:val="single" w:color="auto" w:sz="4" w:space="0"/>
              <w:bottom w:val="single" w:color="auto" w:sz="4" w:space="0"/>
              <w:right w:val="single" w:color="auto" w:sz="4" w:space="0"/>
            </w:tcBorders>
            <w:vAlign w:val="center"/>
          </w:tcPr>
          <w:p w14:paraId="1F329F95">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w:t>
            </w:r>
          </w:p>
        </w:tc>
        <w:tc>
          <w:tcPr>
            <w:tcW w:w="1520" w:type="dxa"/>
            <w:tcBorders>
              <w:top w:val="single" w:color="auto" w:sz="4" w:space="0"/>
              <w:left w:val="single" w:color="auto" w:sz="4" w:space="0"/>
              <w:bottom w:val="single" w:color="auto" w:sz="4" w:space="0"/>
              <w:right w:val="single" w:color="auto" w:sz="4" w:space="0"/>
            </w:tcBorders>
            <w:vAlign w:val="center"/>
          </w:tcPr>
          <w:p w14:paraId="6E792172">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项目名称</w:t>
            </w:r>
          </w:p>
        </w:tc>
        <w:tc>
          <w:tcPr>
            <w:tcW w:w="6512" w:type="dxa"/>
            <w:tcBorders>
              <w:top w:val="single" w:color="auto" w:sz="4" w:space="0"/>
              <w:left w:val="single" w:color="auto" w:sz="4" w:space="0"/>
              <w:bottom w:val="single" w:color="auto" w:sz="4" w:space="0"/>
              <w:right w:val="single" w:color="auto" w:sz="4" w:space="0"/>
            </w:tcBorders>
            <w:vAlign w:val="center"/>
          </w:tcPr>
          <w:p w14:paraId="0A48A908">
            <w:pPr>
              <w:pStyle w:val="10"/>
              <w:widowControl/>
              <w:snapToGrid w:val="0"/>
              <w:spacing w:line="240" w:lineRule="auto"/>
              <w:ind w:firstLine="0" w:firstLineChars="0"/>
              <w:rPr>
                <w:rFonts w:hint="eastAsia" w:hAnsi="宋体" w:eastAsia="宋体" w:cs="宋体"/>
                <w:color w:val="auto"/>
                <w:szCs w:val="24"/>
                <w:highlight w:val="none"/>
                <w:lang w:eastAsia="zh-CN"/>
              </w:rPr>
            </w:pPr>
            <w:r>
              <w:rPr>
                <w:rFonts w:hint="eastAsia" w:hAnsi="宋体" w:cs="宋体"/>
                <w:color w:val="auto"/>
                <w:szCs w:val="24"/>
                <w:highlight w:val="none"/>
                <w:lang w:eastAsia="zh-CN"/>
              </w:rPr>
              <w:t xml:space="preserve">2025年柯城区政策性农村住房保险及附加室内家财保险项目 </w:t>
            </w:r>
          </w:p>
        </w:tc>
      </w:tr>
      <w:tr w14:paraId="11C7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6" w:type="dxa"/>
            <w:tcBorders>
              <w:top w:val="single" w:color="auto" w:sz="4" w:space="0"/>
              <w:left w:val="single" w:color="auto" w:sz="4" w:space="0"/>
              <w:bottom w:val="single" w:color="auto" w:sz="4" w:space="0"/>
              <w:right w:val="single" w:color="auto" w:sz="4" w:space="0"/>
            </w:tcBorders>
            <w:vAlign w:val="center"/>
          </w:tcPr>
          <w:p w14:paraId="38B337CD">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3</w:t>
            </w:r>
          </w:p>
        </w:tc>
        <w:tc>
          <w:tcPr>
            <w:tcW w:w="1520" w:type="dxa"/>
            <w:tcBorders>
              <w:top w:val="single" w:color="auto" w:sz="4" w:space="0"/>
              <w:left w:val="single" w:color="auto" w:sz="4" w:space="0"/>
              <w:bottom w:val="single" w:color="auto" w:sz="4" w:space="0"/>
              <w:right w:val="single" w:color="auto" w:sz="4" w:space="0"/>
            </w:tcBorders>
            <w:vAlign w:val="center"/>
          </w:tcPr>
          <w:p w14:paraId="41E6D051">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最高预算</w:t>
            </w:r>
          </w:p>
        </w:tc>
        <w:tc>
          <w:tcPr>
            <w:tcW w:w="6512" w:type="dxa"/>
            <w:tcBorders>
              <w:top w:val="single" w:color="auto" w:sz="4" w:space="0"/>
              <w:left w:val="single" w:color="auto" w:sz="4" w:space="0"/>
              <w:bottom w:val="single" w:color="auto" w:sz="4" w:space="0"/>
              <w:right w:val="single" w:color="auto" w:sz="4" w:space="0"/>
            </w:tcBorders>
            <w:vAlign w:val="center"/>
          </w:tcPr>
          <w:p w14:paraId="536F64FF">
            <w:pPr>
              <w:pStyle w:val="10"/>
              <w:widowControl/>
              <w:snapToGrid w:val="0"/>
              <w:spacing w:line="240" w:lineRule="auto"/>
              <w:ind w:left="0" w:leftChars="0" w:firstLine="0" w:firstLineChars="0"/>
              <w:rPr>
                <w:rFonts w:hint="eastAsia" w:hAnsi="宋体" w:cs="宋体"/>
                <w:color w:val="auto"/>
                <w:szCs w:val="24"/>
                <w:highlight w:val="none"/>
              </w:rPr>
            </w:pPr>
            <w:r>
              <w:rPr>
                <w:rFonts w:hint="eastAsia" w:hAnsi="宋体" w:cs="宋体"/>
                <w:color w:val="auto"/>
                <w:szCs w:val="24"/>
                <w:highlight w:val="none"/>
              </w:rPr>
              <w:t>61.1154万元</w:t>
            </w:r>
          </w:p>
        </w:tc>
      </w:tr>
      <w:tr w14:paraId="6B47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6" w:type="dxa"/>
            <w:tcBorders>
              <w:top w:val="single" w:color="auto" w:sz="4" w:space="0"/>
              <w:left w:val="single" w:color="auto" w:sz="4" w:space="0"/>
              <w:bottom w:val="single" w:color="auto" w:sz="4" w:space="0"/>
              <w:right w:val="single" w:color="auto" w:sz="4" w:space="0"/>
            </w:tcBorders>
            <w:vAlign w:val="center"/>
          </w:tcPr>
          <w:p w14:paraId="2DE30AF2">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4</w:t>
            </w:r>
          </w:p>
        </w:tc>
        <w:tc>
          <w:tcPr>
            <w:tcW w:w="1520" w:type="dxa"/>
            <w:tcBorders>
              <w:top w:val="single" w:color="auto" w:sz="4" w:space="0"/>
              <w:left w:val="single" w:color="auto" w:sz="4" w:space="0"/>
              <w:bottom w:val="single" w:color="auto" w:sz="4" w:space="0"/>
              <w:right w:val="single" w:color="auto" w:sz="4" w:space="0"/>
            </w:tcBorders>
            <w:vAlign w:val="center"/>
          </w:tcPr>
          <w:p w14:paraId="459FBBFD">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投标报价范围</w:t>
            </w:r>
          </w:p>
        </w:tc>
        <w:tc>
          <w:tcPr>
            <w:tcW w:w="6512" w:type="dxa"/>
            <w:tcBorders>
              <w:top w:val="single" w:color="auto" w:sz="4" w:space="0"/>
              <w:left w:val="single" w:color="auto" w:sz="4" w:space="0"/>
              <w:bottom w:val="single" w:color="auto" w:sz="4" w:space="0"/>
              <w:right w:val="single" w:color="auto" w:sz="4" w:space="0"/>
            </w:tcBorders>
            <w:vAlign w:val="center"/>
          </w:tcPr>
          <w:p w14:paraId="695D0066">
            <w:pPr>
              <w:pStyle w:val="10"/>
              <w:widowControl/>
              <w:snapToGrid w:val="0"/>
              <w:spacing w:line="240" w:lineRule="auto"/>
              <w:ind w:firstLine="0" w:firstLineChars="0"/>
              <w:jc w:val="left"/>
              <w:rPr>
                <w:rFonts w:hint="eastAsia" w:hAnsi="宋体" w:cs="宋体"/>
                <w:color w:val="auto"/>
                <w:szCs w:val="24"/>
                <w:highlight w:val="none"/>
                <w:lang w:val="zh-CN"/>
              </w:rPr>
            </w:pPr>
            <w:r>
              <w:rPr>
                <w:rFonts w:hint="eastAsia" w:hAnsi="宋体" w:cs="宋体"/>
                <w:color w:val="auto"/>
                <w:szCs w:val="24"/>
                <w:highlight w:val="none"/>
                <w:lang w:val="zh-CN"/>
              </w:rPr>
              <w:t>1.本项目应以人民币报价；</w:t>
            </w:r>
          </w:p>
          <w:p w14:paraId="7B3F560A">
            <w:pPr>
              <w:pStyle w:val="10"/>
              <w:widowControl/>
              <w:snapToGrid w:val="0"/>
              <w:spacing w:line="240" w:lineRule="auto"/>
              <w:ind w:firstLine="0" w:firstLineChars="0"/>
              <w:jc w:val="left"/>
              <w:rPr>
                <w:rFonts w:hint="eastAsia" w:hAnsi="宋体" w:cs="宋体"/>
                <w:color w:val="auto"/>
                <w:szCs w:val="24"/>
                <w:highlight w:val="none"/>
                <w:lang w:val="zh-CN"/>
              </w:rPr>
            </w:pPr>
            <w:r>
              <w:rPr>
                <w:rFonts w:hint="eastAsia" w:hAnsi="宋体" w:cs="宋体"/>
                <w:color w:val="auto"/>
                <w:szCs w:val="24"/>
                <w:highlight w:val="none"/>
                <w:lang w:val="zh-CN"/>
              </w:rPr>
              <w:t>2.不论投标结果如何，供应商均应自行承担所有与投标有关的全部费用。</w:t>
            </w:r>
          </w:p>
          <w:p w14:paraId="2044FEA2">
            <w:pPr>
              <w:pStyle w:val="10"/>
              <w:widowControl/>
              <w:snapToGrid w:val="0"/>
              <w:spacing w:line="240" w:lineRule="auto"/>
              <w:ind w:firstLine="0" w:firstLineChars="0"/>
              <w:jc w:val="left"/>
              <w:rPr>
                <w:rFonts w:hint="eastAsia" w:hAnsi="宋体" w:cs="宋体"/>
                <w:color w:val="auto"/>
                <w:szCs w:val="24"/>
                <w:highlight w:val="none"/>
              </w:rPr>
            </w:pPr>
            <w:r>
              <w:rPr>
                <w:rFonts w:hint="eastAsia" w:hAnsi="宋体" w:cs="宋体"/>
                <w:color w:val="auto"/>
                <w:szCs w:val="24"/>
                <w:highlight w:val="none"/>
              </w:rPr>
              <w:t>3.</w:t>
            </w:r>
            <w:r>
              <w:rPr>
                <w:rFonts w:hint="eastAsia" w:hAnsi="宋体" w:cs="宋体"/>
                <w:color w:val="auto"/>
                <w:szCs w:val="24"/>
                <w:highlight w:val="none"/>
                <w:lang w:val="zh-CN"/>
              </w:rPr>
              <w:t>本项目</w:t>
            </w:r>
            <w:r>
              <w:rPr>
                <w:rFonts w:hint="eastAsia" w:hAnsi="宋体" w:cs="宋体"/>
                <w:color w:val="auto"/>
                <w:szCs w:val="24"/>
                <w:highlight w:val="none"/>
              </w:rPr>
              <w:t>投标报价</w:t>
            </w:r>
            <w:r>
              <w:rPr>
                <w:rFonts w:hint="eastAsia" w:hAnsi="宋体" w:cs="宋体"/>
                <w:color w:val="auto"/>
                <w:szCs w:val="24"/>
                <w:highlight w:val="none"/>
                <w:lang w:val="zh-CN"/>
              </w:rPr>
              <w:t>为总价包干，报价含供应商完成本项目所需的全部费用，包括但不限于项目工作人员薪酬、办公费、</w:t>
            </w:r>
            <w:r>
              <w:rPr>
                <w:rFonts w:hint="eastAsia" w:hAnsi="宋体" w:cs="宋体"/>
                <w:color w:val="auto"/>
                <w:szCs w:val="24"/>
                <w:highlight w:val="none"/>
              </w:rPr>
              <w:t>材料费、</w:t>
            </w:r>
            <w:r>
              <w:rPr>
                <w:rFonts w:hint="eastAsia" w:hAnsi="宋体" w:cs="宋体"/>
                <w:color w:val="auto"/>
                <w:highlight w:val="none"/>
              </w:rPr>
              <w:t>培训辅导、全额含税发票、</w:t>
            </w:r>
            <w:r>
              <w:rPr>
                <w:rFonts w:hint="eastAsia" w:hAnsi="宋体" w:cs="宋体"/>
                <w:color w:val="auto"/>
                <w:szCs w:val="24"/>
                <w:highlight w:val="none"/>
                <w:lang w:val="zh-CN"/>
              </w:rPr>
              <w:t>劳保费、管理费、差旅费、利润、税金、后续服务、完成本项目的其它费用和政策性文件规定及合同包含的所有风险、责任等各项应有费用等所有费用。成交后不允许擅自改变采购内容、质量标准、完成时间等实质性条款。</w:t>
            </w:r>
          </w:p>
        </w:tc>
      </w:tr>
      <w:tr w14:paraId="62DE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26" w:type="dxa"/>
            <w:tcBorders>
              <w:top w:val="single" w:color="auto" w:sz="4" w:space="0"/>
              <w:left w:val="single" w:color="auto" w:sz="4" w:space="0"/>
              <w:bottom w:val="single" w:color="auto" w:sz="4" w:space="0"/>
              <w:right w:val="single" w:color="auto" w:sz="4" w:space="0"/>
            </w:tcBorders>
            <w:vAlign w:val="center"/>
          </w:tcPr>
          <w:p w14:paraId="05885F10">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5</w:t>
            </w:r>
          </w:p>
        </w:tc>
        <w:tc>
          <w:tcPr>
            <w:tcW w:w="1520" w:type="dxa"/>
            <w:tcBorders>
              <w:top w:val="single" w:color="auto" w:sz="4" w:space="0"/>
              <w:left w:val="single" w:color="auto" w:sz="4" w:space="0"/>
              <w:bottom w:val="single" w:color="auto" w:sz="4" w:space="0"/>
              <w:right w:val="single" w:color="auto" w:sz="4" w:space="0"/>
            </w:tcBorders>
            <w:vAlign w:val="center"/>
          </w:tcPr>
          <w:p w14:paraId="21D0DFE8">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合同履约期限</w:t>
            </w:r>
          </w:p>
        </w:tc>
        <w:tc>
          <w:tcPr>
            <w:tcW w:w="6512" w:type="dxa"/>
            <w:tcBorders>
              <w:top w:val="single" w:color="auto" w:sz="4" w:space="0"/>
              <w:left w:val="single" w:color="auto" w:sz="4" w:space="0"/>
              <w:bottom w:val="single" w:color="auto" w:sz="4" w:space="0"/>
              <w:right w:val="single" w:color="auto" w:sz="4" w:space="0"/>
            </w:tcBorders>
            <w:vAlign w:val="center"/>
          </w:tcPr>
          <w:p w14:paraId="593F7D2E">
            <w:pPr>
              <w:spacing w:line="240" w:lineRule="auto"/>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一年（2025年1月1日至2025年12月31日）</w:t>
            </w:r>
          </w:p>
        </w:tc>
      </w:tr>
      <w:tr w14:paraId="75E5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26" w:type="dxa"/>
            <w:tcBorders>
              <w:top w:val="single" w:color="auto" w:sz="4" w:space="0"/>
              <w:left w:val="single" w:color="auto" w:sz="4" w:space="0"/>
              <w:bottom w:val="single" w:color="auto" w:sz="4" w:space="0"/>
              <w:right w:val="single" w:color="auto" w:sz="4" w:space="0"/>
            </w:tcBorders>
            <w:vAlign w:val="center"/>
          </w:tcPr>
          <w:p w14:paraId="7B20B4E0">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6</w:t>
            </w:r>
          </w:p>
        </w:tc>
        <w:tc>
          <w:tcPr>
            <w:tcW w:w="1520" w:type="dxa"/>
            <w:tcBorders>
              <w:top w:val="single" w:color="auto" w:sz="4" w:space="0"/>
              <w:left w:val="single" w:color="auto" w:sz="4" w:space="0"/>
              <w:bottom w:val="single" w:color="auto" w:sz="4" w:space="0"/>
              <w:right w:val="single" w:color="auto" w:sz="4" w:space="0"/>
            </w:tcBorders>
            <w:vAlign w:val="center"/>
          </w:tcPr>
          <w:p w14:paraId="4A0C4A45">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投标有效期</w:t>
            </w:r>
          </w:p>
        </w:tc>
        <w:tc>
          <w:tcPr>
            <w:tcW w:w="6512" w:type="dxa"/>
            <w:tcBorders>
              <w:top w:val="single" w:color="auto" w:sz="4" w:space="0"/>
              <w:left w:val="single" w:color="auto" w:sz="4" w:space="0"/>
              <w:bottom w:val="single" w:color="auto" w:sz="4" w:space="0"/>
              <w:right w:val="single" w:color="auto" w:sz="4" w:space="0"/>
            </w:tcBorders>
            <w:vAlign w:val="center"/>
          </w:tcPr>
          <w:p w14:paraId="1E6F5B33">
            <w:pPr>
              <w:pStyle w:val="10"/>
              <w:widowControl/>
              <w:snapToGrid w:val="0"/>
              <w:spacing w:line="240" w:lineRule="auto"/>
              <w:ind w:firstLine="0" w:firstLineChars="0"/>
              <w:rPr>
                <w:rFonts w:hint="eastAsia" w:hAnsi="宋体" w:cs="宋体"/>
                <w:color w:val="auto"/>
                <w:szCs w:val="24"/>
                <w:highlight w:val="none"/>
              </w:rPr>
            </w:pPr>
            <w:r>
              <w:rPr>
                <w:rFonts w:hint="eastAsia" w:hAnsi="宋体" w:cs="宋体"/>
                <w:color w:val="auto"/>
                <w:szCs w:val="24"/>
                <w:highlight w:val="none"/>
              </w:rPr>
              <w:t>投标文件递交截止之日起90天</w:t>
            </w:r>
          </w:p>
        </w:tc>
      </w:tr>
      <w:tr w14:paraId="53C9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6" w:type="dxa"/>
            <w:tcBorders>
              <w:top w:val="single" w:color="auto" w:sz="4" w:space="0"/>
              <w:left w:val="single" w:color="auto" w:sz="4" w:space="0"/>
              <w:bottom w:val="single" w:color="auto" w:sz="4" w:space="0"/>
              <w:right w:val="single" w:color="auto" w:sz="4" w:space="0"/>
            </w:tcBorders>
            <w:vAlign w:val="center"/>
          </w:tcPr>
          <w:p w14:paraId="333C43ED">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7</w:t>
            </w:r>
          </w:p>
        </w:tc>
        <w:tc>
          <w:tcPr>
            <w:tcW w:w="1520" w:type="dxa"/>
            <w:tcBorders>
              <w:top w:val="single" w:color="auto" w:sz="4" w:space="0"/>
              <w:left w:val="single" w:color="auto" w:sz="4" w:space="0"/>
              <w:bottom w:val="single" w:color="auto" w:sz="4" w:space="0"/>
              <w:right w:val="single" w:color="auto" w:sz="4" w:space="0"/>
            </w:tcBorders>
            <w:vAlign w:val="center"/>
          </w:tcPr>
          <w:p w14:paraId="491A8D2D">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投标保证金</w:t>
            </w:r>
          </w:p>
        </w:tc>
        <w:tc>
          <w:tcPr>
            <w:tcW w:w="6512" w:type="dxa"/>
            <w:tcBorders>
              <w:top w:val="single" w:color="auto" w:sz="4" w:space="0"/>
              <w:left w:val="single" w:color="auto" w:sz="4" w:space="0"/>
              <w:bottom w:val="single" w:color="auto" w:sz="4" w:space="0"/>
              <w:right w:val="single" w:color="auto" w:sz="4" w:space="0"/>
            </w:tcBorders>
            <w:vAlign w:val="center"/>
          </w:tcPr>
          <w:p w14:paraId="7FED6549">
            <w:pPr>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本项目不收取投标保证金</w:t>
            </w:r>
          </w:p>
        </w:tc>
      </w:tr>
      <w:tr w14:paraId="5B27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26" w:type="dxa"/>
            <w:tcBorders>
              <w:top w:val="single" w:color="auto" w:sz="4" w:space="0"/>
              <w:left w:val="single" w:color="auto" w:sz="4" w:space="0"/>
              <w:bottom w:val="single" w:color="auto" w:sz="4" w:space="0"/>
              <w:right w:val="single" w:color="auto" w:sz="4" w:space="0"/>
            </w:tcBorders>
            <w:vAlign w:val="center"/>
          </w:tcPr>
          <w:p w14:paraId="0E3D9B31">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8</w:t>
            </w:r>
          </w:p>
        </w:tc>
        <w:tc>
          <w:tcPr>
            <w:tcW w:w="1520" w:type="dxa"/>
            <w:tcBorders>
              <w:top w:val="single" w:color="auto" w:sz="4" w:space="0"/>
              <w:left w:val="single" w:color="auto" w:sz="4" w:space="0"/>
              <w:bottom w:val="single" w:color="auto" w:sz="4" w:space="0"/>
              <w:right w:val="single" w:color="auto" w:sz="4" w:space="0"/>
            </w:tcBorders>
            <w:vAlign w:val="center"/>
          </w:tcPr>
          <w:p w14:paraId="49B6B176">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投标响应文件的编制</w:t>
            </w:r>
          </w:p>
        </w:tc>
        <w:tc>
          <w:tcPr>
            <w:tcW w:w="6512" w:type="dxa"/>
            <w:tcBorders>
              <w:top w:val="single" w:color="auto" w:sz="4" w:space="0"/>
              <w:left w:val="single" w:color="auto" w:sz="4" w:space="0"/>
              <w:bottom w:val="single" w:color="auto" w:sz="4" w:space="0"/>
              <w:right w:val="single" w:color="auto" w:sz="4" w:space="0"/>
            </w:tcBorders>
            <w:vAlign w:val="center"/>
          </w:tcPr>
          <w:p w14:paraId="3EAFBE42">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供应商应先安装“政采云电子交易客户端”，并按照本投标文件和“政府采购云平台”的要求，通过“政采云电子交易客户端”编制并加密投标响应文件。</w:t>
            </w:r>
          </w:p>
        </w:tc>
      </w:tr>
      <w:tr w14:paraId="68D1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26" w:type="dxa"/>
            <w:tcBorders>
              <w:top w:val="single" w:color="auto" w:sz="4" w:space="0"/>
              <w:left w:val="single" w:color="auto" w:sz="4" w:space="0"/>
              <w:bottom w:val="single" w:color="auto" w:sz="4" w:space="0"/>
              <w:right w:val="single" w:color="auto" w:sz="4" w:space="0"/>
            </w:tcBorders>
            <w:vAlign w:val="center"/>
          </w:tcPr>
          <w:p w14:paraId="4D908F13">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9</w:t>
            </w:r>
          </w:p>
        </w:tc>
        <w:tc>
          <w:tcPr>
            <w:tcW w:w="1520" w:type="dxa"/>
            <w:tcBorders>
              <w:top w:val="single" w:color="auto" w:sz="4" w:space="0"/>
              <w:left w:val="single" w:color="auto" w:sz="4" w:space="0"/>
              <w:bottom w:val="single" w:color="auto" w:sz="4" w:space="0"/>
              <w:right w:val="single" w:color="auto" w:sz="4" w:space="0"/>
            </w:tcBorders>
            <w:vAlign w:val="center"/>
          </w:tcPr>
          <w:p w14:paraId="69ACA925">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签字或盖章要求</w:t>
            </w:r>
          </w:p>
        </w:tc>
        <w:tc>
          <w:tcPr>
            <w:tcW w:w="6512" w:type="dxa"/>
            <w:tcBorders>
              <w:top w:val="single" w:color="auto" w:sz="4" w:space="0"/>
              <w:left w:val="single" w:color="auto" w:sz="4" w:space="0"/>
              <w:bottom w:val="single" w:color="auto" w:sz="4" w:space="0"/>
              <w:right w:val="single" w:color="auto" w:sz="4" w:space="0"/>
            </w:tcBorders>
            <w:vAlign w:val="center"/>
          </w:tcPr>
          <w:p w14:paraId="2F03004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电子签章。采购文件所指的加盖单位公章为电子签章。</w:t>
            </w:r>
          </w:p>
          <w:p w14:paraId="67CE4EB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投标响应文件须按采购文件格式要求，由供应商加盖单位公章和法定代表人（负责人）或其授权代表印章（或签字）。</w:t>
            </w:r>
          </w:p>
        </w:tc>
      </w:tr>
      <w:tr w14:paraId="71D4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vAlign w:val="center"/>
          </w:tcPr>
          <w:p w14:paraId="359C5510">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10</w:t>
            </w:r>
          </w:p>
        </w:tc>
        <w:tc>
          <w:tcPr>
            <w:tcW w:w="1520" w:type="dxa"/>
            <w:tcBorders>
              <w:top w:val="single" w:color="auto" w:sz="4" w:space="0"/>
              <w:left w:val="single" w:color="auto" w:sz="4" w:space="0"/>
              <w:bottom w:val="single" w:color="auto" w:sz="4" w:space="0"/>
              <w:right w:val="single" w:color="auto" w:sz="4" w:space="0"/>
            </w:tcBorders>
            <w:vAlign w:val="center"/>
          </w:tcPr>
          <w:p w14:paraId="369582C6">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投标响应文件的形式</w:t>
            </w:r>
          </w:p>
        </w:tc>
        <w:tc>
          <w:tcPr>
            <w:tcW w:w="6512" w:type="dxa"/>
            <w:tcBorders>
              <w:top w:val="single" w:color="auto" w:sz="4" w:space="0"/>
              <w:left w:val="single" w:color="auto" w:sz="4" w:space="0"/>
              <w:bottom w:val="single" w:color="auto" w:sz="4" w:space="0"/>
              <w:right w:val="single" w:color="auto" w:sz="4" w:space="0"/>
            </w:tcBorders>
            <w:vAlign w:val="center"/>
          </w:tcPr>
          <w:p w14:paraId="0F7F8785">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☑电子投标响应文件（包括“电子加密投标响应文件”和“备份投标响应文件”，在投标响应文件编制完成后同时生成）；</w:t>
            </w:r>
          </w:p>
          <w:p w14:paraId="5E6D839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（1）“电子加密投标响应文件”是指通过“政采云电子交易客户端”完成投标响应文件编制后生成并加密的数据电文形式的投标响应文件。</w:t>
            </w:r>
          </w:p>
          <w:p w14:paraId="14E6029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（2）“备份投标响应文件”是指与“电子加密投标响应文件”同时生成的数据电文形式的电子文件（备份标书），其他方式编制的备份投标响应文件视为无效备份投标响应文件。</w:t>
            </w:r>
          </w:p>
        </w:tc>
      </w:tr>
      <w:tr w14:paraId="2820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6" w:type="dxa"/>
            <w:tcBorders>
              <w:top w:val="single" w:color="auto" w:sz="4" w:space="0"/>
              <w:left w:val="single" w:color="auto" w:sz="4" w:space="0"/>
              <w:bottom w:val="single" w:color="auto" w:sz="4" w:space="0"/>
              <w:right w:val="single" w:color="auto" w:sz="4" w:space="0"/>
            </w:tcBorders>
            <w:vAlign w:val="center"/>
          </w:tcPr>
          <w:p w14:paraId="58CBC9F1">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11</w:t>
            </w:r>
          </w:p>
        </w:tc>
        <w:tc>
          <w:tcPr>
            <w:tcW w:w="1520" w:type="dxa"/>
            <w:tcBorders>
              <w:top w:val="single" w:color="auto" w:sz="4" w:space="0"/>
              <w:left w:val="single" w:color="auto" w:sz="4" w:space="0"/>
              <w:bottom w:val="single" w:color="auto" w:sz="4" w:space="0"/>
              <w:right w:val="single" w:color="auto" w:sz="4" w:space="0"/>
            </w:tcBorders>
            <w:vAlign w:val="center"/>
          </w:tcPr>
          <w:p w14:paraId="7D42F473">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投标响应文件份数</w:t>
            </w:r>
          </w:p>
        </w:tc>
        <w:tc>
          <w:tcPr>
            <w:tcW w:w="6512" w:type="dxa"/>
            <w:tcBorders>
              <w:top w:val="single" w:color="auto" w:sz="4" w:space="0"/>
              <w:left w:val="single" w:color="auto" w:sz="4" w:space="0"/>
              <w:bottom w:val="single" w:color="auto" w:sz="4" w:space="0"/>
              <w:right w:val="single" w:color="auto" w:sz="4" w:space="0"/>
            </w:tcBorders>
            <w:vAlign w:val="center"/>
          </w:tcPr>
          <w:p w14:paraId="341CF726">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（1）“电子加密投标响应文件”：在线上传递交、一份。（2）“备份投标响应文件”：在线发送邮箱，一份；</w:t>
            </w:r>
          </w:p>
        </w:tc>
      </w:tr>
      <w:tr w14:paraId="5AF2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726" w:type="dxa"/>
            <w:tcBorders>
              <w:top w:val="single" w:color="auto" w:sz="4" w:space="0"/>
              <w:left w:val="single" w:color="auto" w:sz="4" w:space="0"/>
              <w:bottom w:val="single" w:color="auto" w:sz="4" w:space="0"/>
              <w:right w:val="single" w:color="auto" w:sz="4" w:space="0"/>
            </w:tcBorders>
            <w:vAlign w:val="center"/>
          </w:tcPr>
          <w:p w14:paraId="5CD5845F">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12</w:t>
            </w:r>
          </w:p>
        </w:tc>
        <w:tc>
          <w:tcPr>
            <w:tcW w:w="1520" w:type="dxa"/>
            <w:tcBorders>
              <w:top w:val="single" w:color="auto" w:sz="4" w:space="0"/>
              <w:left w:val="single" w:color="auto" w:sz="4" w:space="0"/>
              <w:bottom w:val="single" w:color="auto" w:sz="4" w:space="0"/>
              <w:right w:val="single" w:color="auto" w:sz="4" w:space="0"/>
            </w:tcBorders>
            <w:vAlign w:val="center"/>
          </w:tcPr>
          <w:p w14:paraId="0DCDEAC0">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投标响应文件的上传和递交</w:t>
            </w:r>
          </w:p>
        </w:tc>
        <w:tc>
          <w:tcPr>
            <w:tcW w:w="6512" w:type="dxa"/>
            <w:tcBorders>
              <w:top w:val="single" w:color="auto" w:sz="4" w:space="0"/>
              <w:left w:val="single" w:color="auto" w:sz="4" w:space="0"/>
              <w:bottom w:val="single" w:color="auto" w:sz="4" w:space="0"/>
              <w:right w:val="single" w:color="auto" w:sz="4" w:space="0"/>
            </w:tcBorders>
            <w:vAlign w:val="center"/>
          </w:tcPr>
          <w:p w14:paraId="56755B6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（1）“电子加密投标响应文件”的上传、递交：</w:t>
            </w:r>
          </w:p>
          <w:p w14:paraId="2216FDE1">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a.供应商应在投标响应截止时间前将“电子加密投标响应文件”成功上传递交至“政府采购云平台”，否则投标响应无效。</w:t>
            </w:r>
          </w:p>
          <w:p w14:paraId="7571AD5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b.“电子加密投标响应文件”成功上传递交后，供应商可自行打印投标响应文件接收回执。</w:t>
            </w:r>
          </w:p>
          <w:p w14:paraId="07CBC955">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（2）“备份投标响应文件”的递交：</w:t>
            </w:r>
          </w:p>
          <w:p w14:paraId="43B3302D">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a.供应商可以在投标截止时间将备份投标文件（经政采云电子交易客户端和CA驱动制作出的后缀名“.bfbs”的加密备份投标文件）发送至邮箱：</w:t>
            </w:r>
            <w:r>
              <w:rPr>
                <w:rFonts w:hint="eastAsia" w:ascii="宋体" w:hAnsi="宋体" w:cs="宋体"/>
                <w:color w:val="auto"/>
                <w:highlight w:val="none"/>
                <w:lang w:val="en-US" w:eastAsia="zh-CN"/>
              </w:rPr>
              <w:t>2572487608</w:t>
            </w:r>
            <w:r>
              <w:rPr>
                <w:rFonts w:hint="eastAsia" w:ascii="宋体" w:hAnsi="宋体" w:cs="宋体"/>
                <w:color w:val="auto"/>
                <w:highlight w:val="none"/>
              </w:rPr>
              <w:t>@qq.com，邮件内容写上单位名称，备份投标文件压缩加密（未加密造成泄密的由供应商自行承当，建议密码由数字和字母组成且不低于8位数），逾期发送或发错后缀名的备份投标响应文件将视为无效；备份投标响应文件的提交不作强制要求，若因供应商未提供备份投标响应文件而造成投标无效等一切后果和风险由供应商自行承担；</w:t>
            </w:r>
          </w:p>
          <w:p w14:paraId="55B86E06">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b.通过“政府采购云平台”成功上传递交的“电子加密投标响应文件”已按时解密的，“备份投标响应文件”自动失效。投标截止时间前，供应商仅递交了“备份投标响应文件”而未将“电子加密投标响应文件”成功上传至“政府采购云平台”的，投标无效。</w:t>
            </w:r>
          </w:p>
        </w:tc>
      </w:tr>
      <w:tr w14:paraId="7407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26" w:type="dxa"/>
            <w:tcBorders>
              <w:top w:val="single" w:color="auto" w:sz="4" w:space="0"/>
              <w:left w:val="single" w:color="auto" w:sz="4" w:space="0"/>
              <w:bottom w:val="single" w:color="auto" w:sz="4" w:space="0"/>
              <w:right w:val="single" w:color="auto" w:sz="4" w:space="0"/>
            </w:tcBorders>
            <w:vAlign w:val="center"/>
          </w:tcPr>
          <w:p w14:paraId="6A202A32">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13</w:t>
            </w:r>
          </w:p>
        </w:tc>
        <w:tc>
          <w:tcPr>
            <w:tcW w:w="1520" w:type="dxa"/>
            <w:tcBorders>
              <w:top w:val="single" w:color="auto" w:sz="4" w:space="0"/>
              <w:left w:val="single" w:color="auto" w:sz="4" w:space="0"/>
              <w:bottom w:val="single" w:color="auto" w:sz="4" w:space="0"/>
              <w:right w:val="single" w:color="auto" w:sz="4" w:space="0"/>
            </w:tcBorders>
            <w:vAlign w:val="center"/>
          </w:tcPr>
          <w:p w14:paraId="563CAD48">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电子加密投标响应文件的解密和异常情况处理</w:t>
            </w:r>
          </w:p>
        </w:tc>
        <w:tc>
          <w:tcPr>
            <w:tcW w:w="6512" w:type="dxa"/>
            <w:tcBorders>
              <w:top w:val="single" w:color="auto" w:sz="4" w:space="0"/>
              <w:left w:val="single" w:color="auto" w:sz="4" w:space="0"/>
              <w:bottom w:val="single" w:color="auto" w:sz="4" w:space="0"/>
              <w:right w:val="single" w:color="auto" w:sz="4" w:space="0"/>
            </w:tcBorders>
            <w:vAlign w:val="center"/>
          </w:tcPr>
          <w:p w14:paraId="0B7A5A36">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（1）开标后，采购组织机构将向各供应商发出“电子加密投标响应文件”的解密通知，各供应商代表应当在接到解密通知后30分钟内自行完成“电子加密投标响应文件”的在线解密。</w:t>
            </w:r>
          </w:p>
          <w:p w14:paraId="2F8379EF">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通过“政府采购云平台”成功上传递交的“电子加密投标响应文件”无法按时解密，投标供应商如按规定递交了“备份投标响应文件”的，以“备份投标响应文件”为依据（由采购组织机构按“政府采购云平台”操作规范将“备份投标响应文件”上传至“政府采购云平台”，上传成功后，“电子加密投标响应文件”自动失效），供应商在解密规定时间（响应截止时间后30分钟内）将压缩加密的备份文件的解密密码发送至上述邮箱内，未在规定时间内发送造成的响应无效或文件无效、解压失败由供应商自行承当。</w:t>
            </w:r>
          </w:p>
          <w:p w14:paraId="72C80DDA">
            <w:pPr>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（3）投标响应截止时间前，投标响应供应商仅递交了“备份投标响应文件”而未将电子加密投标响应文件上传至“政府采购云平台”的，投标响应无效。</w:t>
            </w:r>
          </w:p>
        </w:tc>
      </w:tr>
      <w:tr w14:paraId="5429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26" w:type="dxa"/>
            <w:tcBorders>
              <w:top w:val="single" w:color="auto" w:sz="4" w:space="0"/>
              <w:left w:val="single" w:color="auto" w:sz="4" w:space="0"/>
              <w:bottom w:val="single" w:color="auto" w:sz="4" w:space="0"/>
              <w:right w:val="single" w:color="auto" w:sz="4" w:space="0"/>
            </w:tcBorders>
            <w:vAlign w:val="center"/>
          </w:tcPr>
          <w:p w14:paraId="2C3B4C4E">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14</w:t>
            </w:r>
          </w:p>
        </w:tc>
        <w:tc>
          <w:tcPr>
            <w:tcW w:w="1520" w:type="dxa"/>
            <w:tcBorders>
              <w:top w:val="single" w:color="auto" w:sz="4" w:space="0"/>
              <w:left w:val="single" w:color="auto" w:sz="4" w:space="0"/>
              <w:bottom w:val="single" w:color="auto" w:sz="4" w:space="0"/>
              <w:right w:val="single" w:color="auto" w:sz="4" w:space="0"/>
            </w:tcBorders>
            <w:vAlign w:val="center"/>
          </w:tcPr>
          <w:p w14:paraId="03D4BF8E">
            <w:pPr>
              <w:kinsoku w:val="0"/>
              <w:overflowPunct w:val="0"/>
              <w:autoSpaceDE w:val="0"/>
              <w:autoSpaceDN w:val="0"/>
              <w:spacing w:line="240" w:lineRule="auto"/>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rPr>
              <w:t>响应文件的效力</w:t>
            </w:r>
          </w:p>
        </w:tc>
        <w:tc>
          <w:tcPr>
            <w:tcW w:w="6512" w:type="dxa"/>
            <w:tcBorders>
              <w:top w:val="single" w:color="auto" w:sz="4" w:space="0"/>
              <w:left w:val="single" w:color="auto" w:sz="4" w:space="0"/>
              <w:bottom w:val="single" w:color="auto" w:sz="4" w:space="0"/>
              <w:right w:val="single" w:color="auto" w:sz="4" w:space="0"/>
            </w:tcBorders>
            <w:vAlign w:val="center"/>
          </w:tcPr>
          <w:p w14:paraId="00639BC6">
            <w:pPr>
              <w:kinsoku w:val="0"/>
              <w:overflowPunct w:val="0"/>
              <w:autoSpaceDE w:val="0"/>
              <w:autoSpaceDN w:val="0"/>
              <w:spacing w:line="240" w:lineRule="auto"/>
              <w:ind w:firstLine="0" w:firstLineChars="0"/>
              <w:textAlignment w:val="center"/>
              <w:rPr>
                <w:rFonts w:hint="eastAsia" w:ascii="宋体" w:hAnsi="宋体" w:cs="宋体"/>
                <w:color w:val="auto"/>
                <w:highlight w:val="none"/>
              </w:rPr>
            </w:pPr>
            <w:r>
              <w:rPr>
                <w:rFonts w:hint="eastAsia" w:ascii="宋体" w:hAnsi="宋体" w:cs="宋体"/>
                <w:color w:val="auto"/>
                <w:kern w:val="0"/>
                <w:highlight w:val="none"/>
              </w:rPr>
              <w:t>响应文件的启用顺序：首先是电子响应文件，其次是备份电子响应文件。因网络或者其他问题造成电子响应文件无法正常解密，才能启用备份电子响应文件。备份电子响应文件一旦启用，则电子响应文件失效，不予启用。</w:t>
            </w:r>
          </w:p>
        </w:tc>
      </w:tr>
      <w:tr w14:paraId="4C69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6" w:type="dxa"/>
            <w:tcBorders>
              <w:top w:val="single" w:color="auto" w:sz="4" w:space="0"/>
              <w:left w:val="single" w:color="auto" w:sz="4" w:space="0"/>
              <w:bottom w:val="single" w:color="auto" w:sz="4" w:space="0"/>
              <w:right w:val="single" w:color="auto" w:sz="4" w:space="0"/>
            </w:tcBorders>
            <w:vAlign w:val="center"/>
          </w:tcPr>
          <w:p w14:paraId="4BB43439">
            <w:pPr>
              <w:pStyle w:val="10"/>
              <w:widowControl/>
              <w:snapToGrid w:val="0"/>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15</w:t>
            </w:r>
          </w:p>
        </w:tc>
        <w:tc>
          <w:tcPr>
            <w:tcW w:w="1520" w:type="dxa"/>
            <w:tcBorders>
              <w:top w:val="single" w:color="auto" w:sz="4" w:space="0"/>
              <w:left w:val="single" w:color="auto" w:sz="4" w:space="0"/>
              <w:bottom w:val="single" w:color="auto" w:sz="4" w:space="0"/>
              <w:right w:val="single" w:color="auto" w:sz="4" w:space="0"/>
            </w:tcBorders>
            <w:vAlign w:val="center"/>
          </w:tcPr>
          <w:p w14:paraId="071F8A0C">
            <w:pPr>
              <w:snapToGrid w:val="0"/>
              <w:spacing w:line="240" w:lineRule="auto"/>
              <w:ind w:firstLine="0" w:firstLineChars="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投标响应截止时间</w:t>
            </w:r>
          </w:p>
        </w:tc>
        <w:tc>
          <w:tcPr>
            <w:tcW w:w="6512" w:type="dxa"/>
            <w:tcBorders>
              <w:top w:val="single" w:color="auto" w:sz="4" w:space="0"/>
              <w:left w:val="single" w:color="auto" w:sz="4" w:space="0"/>
              <w:bottom w:val="single" w:color="auto" w:sz="4" w:space="0"/>
              <w:right w:val="single" w:color="auto" w:sz="4" w:space="0"/>
            </w:tcBorders>
            <w:vAlign w:val="center"/>
          </w:tcPr>
          <w:p w14:paraId="12C912A1">
            <w:pPr>
              <w:snapToGrid w:val="0"/>
              <w:spacing w:line="240" w:lineRule="auto"/>
              <w:ind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2025年</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月</w:t>
            </w:r>
            <w:r>
              <w:rPr>
                <w:rFonts w:hint="eastAsia" w:cs="宋体"/>
                <w:b w:val="0"/>
                <w:bCs w:val="0"/>
                <w:color w:val="000000" w:themeColor="text1"/>
                <w:highlight w:val="none"/>
                <w:lang w:val="en-US" w:eastAsia="zh-CN"/>
                <w14:textFill>
                  <w14:solidFill>
                    <w14:schemeClr w14:val="tx1"/>
                  </w14:solidFill>
                </w14:textFill>
              </w:rPr>
              <w:t>15</w:t>
            </w:r>
            <w:r>
              <w:rPr>
                <w:rFonts w:hint="eastAsia"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9:30时</w:t>
            </w:r>
            <w:r>
              <w:rPr>
                <w:rFonts w:hint="eastAsia" w:ascii="宋体" w:hAnsi="宋体" w:cs="宋体"/>
                <w:color w:val="000000" w:themeColor="text1"/>
                <w:kern w:val="0"/>
                <w:highlight w:val="none"/>
                <w14:textFill>
                  <w14:solidFill>
                    <w14:schemeClr w14:val="tx1"/>
                  </w14:solidFill>
                </w14:textFill>
              </w:rPr>
              <w:t>截</w:t>
            </w:r>
            <w:r>
              <w:rPr>
                <w:rFonts w:hint="eastAsia" w:ascii="宋体" w:hAnsi="宋体" w:cs="宋体"/>
                <w:color w:val="000000" w:themeColor="text1"/>
                <w:highlight w:val="none"/>
                <w14:textFill>
                  <w14:solidFill>
                    <w14:schemeClr w14:val="tx1"/>
                  </w14:solidFill>
                </w14:textFill>
              </w:rPr>
              <w:t>止(北京时间)。</w:t>
            </w:r>
          </w:p>
        </w:tc>
      </w:tr>
      <w:tr w14:paraId="7D65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6" w:type="dxa"/>
            <w:tcBorders>
              <w:top w:val="single" w:color="auto" w:sz="4" w:space="0"/>
              <w:left w:val="single" w:color="auto" w:sz="4" w:space="0"/>
              <w:bottom w:val="single" w:color="auto" w:sz="4" w:space="0"/>
              <w:right w:val="single" w:color="auto" w:sz="4" w:space="0"/>
            </w:tcBorders>
            <w:vAlign w:val="center"/>
          </w:tcPr>
          <w:p w14:paraId="68315C4E">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16</w:t>
            </w:r>
          </w:p>
        </w:tc>
        <w:tc>
          <w:tcPr>
            <w:tcW w:w="1520" w:type="dxa"/>
            <w:tcBorders>
              <w:top w:val="single" w:color="auto" w:sz="4" w:space="0"/>
              <w:left w:val="single" w:color="auto" w:sz="4" w:space="0"/>
              <w:bottom w:val="single" w:color="auto" w:sz="4" w:space="0"/>
              <w:right w:val="single" w:color="auto" w:sz="4" w:space="0"/>
            </w:tcBorders>
            <w:vAlign w:val="center"/>
          </w:tcPr>
          <w:p w14:paraId="24DD0D29">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开标时间</w:t>
            </w:r>
          </w:p>
          <w:p w14:paraId="470C141C">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评审地点</w:t>
            </w:r>
          </w:p>
        </w:tc>
        <w:tc>
          <w:tcPr>
            <w:tcW w:w="6512" w:type="dxa"/>
            <w:tcBorders>
              <w:top w:val="single" w:color="auto" w:sz="4" w:space="0"/>
              <w:left w:val="single" w:color="auto" w:sz="4" w:space="0"/>
              <w:bottom w:val="single" w:color="auto" w:sz="4" w:space="0"/>
              <w:right w:val="single" w:color="auto" w:sz="4" w:space="0"/>
            </w:tcBorders>
            <w:vAlign w:val="center"/>
          </w:tcPr>
          <w:p w14:paraId="0000CD7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000000" w:themeColor="text1"/>
                <w:kern w:val="0"/>
                <w:highlight w:val="none"/>
                <w14:textFill>
                  <w14:solidFill>
                    <w14:schemeClr w14:val="tx1"/>
                  </w14:solidFill>
                </w14:textFill>
              </w:rPr>
              <w:t>：2025年</w:t>
            </w:r>
            <w:r>
              <w:rPr>
                <w:rFonts w:hint="eastAsia" w:ascii="宋体" w:hAnsi="宋体" w:cs="宋体"/>
                <w:color w:val="000000" w:themeColor="text1"/>
                <w:kern w:val="0"/>
                <w:highlight w:val="none"/>
                <w:lang w:val="en-US" w:eastAsia="zh-CN"/>
                <w14:textFill>
                  <w14:solidFill>
                    <w14:schemeClr w14:val="tx1"/>
                  </w14:solidFill>
                </w14:textFill>
              </w:rPr>
              <w:t>4</w:t>
            </w:r>
            <w:r>
              <w:rPr>
                <w:rFonts w:hint="eastAsia" w:cs="宋体"/>
                <w:color w:val="000000" w:themeColor="text1"/>
                <w:highlight w:val="none"/>
                <w14:textFill>
                  <w14:solidFill>
                    <w14:schemeClr w14:val="tx1"/>
                  </w14:solidFill>
                </w14:textFill>
              </w:rPr>
              <w:t>月</w:t>
            </w:r>
            <w:r>
              <w:rPr>
                <w:rFonts w:hint="eastAsia" w:cs="宋体"/>
                <w:color w:val="000000" w:themeColor="text1"/>
                <w:highlight w:val="none"/>
                <w:lang w:val="en-US" w:eastAsia="zh-CN"/>
                <w14:textFill>
                  <w14:solidFill>
                    <w14:schemeClr w14:val="tx1"/>
                  </w14:solidFill>
                </w14:textFill>
              </w:rPr>
              <w:t>15</w:t>
            </w:r>
            <w:r>
              <w:rPr>
                <w:rFonts w:hint="eastAsia"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14:textFill>
                  <w14:solidFill>
                    <w14:schemeClr w14:val="tx1"/>
                  </w14:solidFill>
                </w14:textFill>
              </w:rPr>
              <w:t>9:30时</w:t>
            </w:r>
            <w:r>
              <w:rPr>
                <w:rFonts w:hint="eastAsia" w:ascii="宋体" w:hAnsi="宋体" w:cs="宋体"/>
                <w:color w:val="000000" w:themeColor="text1"/>
                <w:kern w:val="0"/>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北京时间)</w:t>
            </w:r>
          </w:p>
          <w:p w14:paraId="638A4A86">
            <w:pPr>
              <w:snapToGrid w:val="0"/>
              <w:spacing w:line="240" w:lineRule="auto"/>
              <w:ind w:firstLine="0" w:firstLineChars="0"/>
              <w:rPr>
                <w:rFonts w:hint="eastAsia" w:ascii="宋体" w:hAnsi="宋体" w:cs="宋体"/>
                <w:color w:val="auto"/>
                <w:highlight w:val="none"/>
                <w:lang w:val="zh-CN"/>
              </w:rPr>
            </w:pPr>
            <w:r>
              <w:rPr>
                <w:rFonts w:hint="eastAsia" w:ascii="宋体" w:hAnsi="宋体" w:cs="宋体"/>
                <w:color w:val="auto"/>
                <w:highlight w:val="none"/>
              </w:rPr>
              <w:t>评审地点：衢州市衢江区东迹大道922号科教大厦19楼</w:t>
            </w:r>
          </w:p>
        </w:tc>
      </w:tr>
      <w:tr w14:paraId="3682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726" w:type="dxa"/>
            <w:tcBorders>
              <w:top w:val="single" w:color="auto" w:sz="4" w:space="0"/>
              <w:left w:val="single" w:color="auto" w:sz="4" w:space="0"/>
              <w:bottom w:val="single" w:color="auto" w:sz="4" w:space="0"/>
              <w:right w:val="single" w:color="auto" w:sz="4" w:space="0"/>
            </w:tcBorders>
            <w:vAlign w:val="center"/>
          </w:tcPr>
          <w:p w14:paraId="0C17DC9E">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17</w:t>
            </w:r>
          </w:p>
        </w:tc>
        <w:tc>
          <w:tcPr>
            <w:tcW w:w="1520" w:type="dxa"/>
            <w:tcBorders>
              <w:top w:val="single" w:color="auto" w:sz="4" w:space="0"/>
              <w:left w:val="single" w:color="auto" w:sz="4" w:space="0"/>
              <w:bottom w:val="single" w:color="auto" w:sz="4" w:space="0"/>
              <w:right w:val="single" w:color="auto" w:sz="4" w:space="0"/>
            </w:tcBorders>
            <w:vAlign w:val="center"/>
          </w:tcPr>
          <w:p w14:paraId="64173F67">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纸质响应文件</w:t>
            </w:r>
          </w:p>
          <w:p w14:paraId="73D9E71D">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提交</w:t>
            </w:r>
          </w:p>
        </w:tc>
        <w:tc>
          <w:tcPr>
            <w:tcW w:w="6512" w:type="dxa"/>
            <w:tcBorders>
              <w:top w:val="single" w:color="auto" w:sz="4" w:space="0"/>
              <w:left w:val="single" w:color="auto" w:sz="4" w:space="0"/>
              <w:bottom w:val="single" w:color="auto" w:sz="4" w:space="0"/>
              <w:right w:val="single" w:color="auto" w:sz="4" w:space="0"/>
            </w:tcBorders>
            <w:vAlign w:val="center"/>
          </w:tcPr>
          <w:p w14:paraId="38E86268">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1.提交时间：成交供应商在成交结果公告结束后 </w:t>
            </w:r>
          </w:p>
          <w:p w14:paraId="4F7A5639">
            <w:pPr>
              <w:snapToGrid w:val="0"/>
              <w:spacing w:line="24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2.邮寄地址：衢州市衢江区东迹大道922号科教大厦19楼，收件人：</w:t>
            </w:r>
            <w:r>
              <w:rPr>
                <w:rFonts w:hint="eastAsia" w:ascii="宋体" w:hAnsi="宋体" w:cs="宋体"/>
                <w:color w:val="auto"/>
                <w:highlight w:val="none"/>
                <w:lang w:eastAsia="zh-CN"/>
              </w:rPr>
              <w:t>叶</w:t>
            </w:r>
            <w:r>
              <w:rPr>
                <w:rFonts w:hint="eastAsia" w:ascii="宋体" w:hAnsi="宋体" w:cs="宋体"/>
                <w:color w:val="auto"/>
                <w:highlight w:val="none"/>
              </w:rPr>
              <w:t>女士，电话：</w:t>
            </w:r>
            <w:r>
              <w:rPr>
                <w:rFonts w:hint="eastAsia" w:ascii="宋体" w:hAnsi="宋体" w:cs="宋体"/>
                <w:color w:val="auto"/>
                <w:highlight w:val="none"/>
                <w:lang w:val="en-US" w:eastAsia="zh-CN"/>
              </w:rPr>
              <w:t>19858187091</w:t>
            </w:r>
          </w:p>
          <w:p w14:paraId="596D3400">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3.份数：与电子响应文件相一致的纸质响应文件四份（正本一份，副本三份），由【资格审查文件】、【资信技术文件】和【报价文件】三个部分组成，并按采购文件要求制作，作为存档资料。</w:t>
            </w:r>
          </w:p>
        </w:tc>
      </w:tr>
      <w:tr w14:paraId="0978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6" w:type="dxa"/>
            <w:tcBorders>
              <w:top w:val="single" w:color="auto" w:sz="4" w:space="0"/>
              <w:left w:val="single" w:color="auto" w:sz="4" w:space="0"/>
              <w:bottom w:val="single" w:color="auto" w:sz="4" w:space="0"/>
              <w:right w:val="single" w:color="auto" w:sz="4" w:space="0"/>
            </w:tcBorders>
            <w:vAlign w:val="center"/>
          </w:tcPr>
          <w:p w14:paraId="598264F2">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18</w:t>
            </w:r>
          </w:p>
        </w:tc>
        <w:tc>
          <w:tcPr>
            <w:tcW w:w="1520" w:type="dxa"/>
            <w:tcBorders>
              <w:top w:val="single" w:color="auto" w:sz="4" w:space="0"/>
              <w:left w:val="single" w:color="auto" w:sz="4" w:space="0"/>
              <w:bottom w:val="single" w:color="auto" w:sz="4" w:space="0"/>
              <w:right w:val="single" w:color="auto" w:sz="4" w:space="0"/>
            </w:tcBorders>
            <w:vAlign w:val="center"/>
          </w:tcPr>
          <w:p w14:paraId="50AC364F">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评审委员会的组建</w:t>
            </w:r>
          </w:p>
        </w:tc>
        <w:tc>
          <w:tcPr>
            <w:tcW w:w="6512" w:type="dxa"/>
            <w:tcBorders>
              <w:top w:val="single" w:color="auto" w:sz="4" w:space="0"/>
              <w:left w:val="single" w:color="auto" w:sz="4" w:space="0"/>
              <w:bottom w:val="single" w:color="auto" w:sz="4" w:space="0"/>
              <w:right w:val="single" w:color="auto" w:sz="4" w:space="0"/>
            </w:tcBorders>
            <w:vAlign w:val="center"/>
          </w:tcPr>
          <w:p w14:paraId="20D8C9E2">
            <w:pPr>
              <w:spacing w:line="240" w:lineRule="auto"/>
              <w:ind w:firstLine="0" w:firstLineChars="0"/>
              <w:jc w:val="left"/>
              <w:rPr>
                <w:rFonts w:hint="eastAsia" w:ascii="宋体" w:hAnsi="宋体" w:cs="宋体"/>
                <w:color w:val="auto"/>
                <w:highlight w:val="none"/>
              </w:rPr>
            </w:pPr>
            <w:r>
              <w:rPr>
                <w:rFonts w:hint="eastAsia" w:ascii="宋体" w:hAnsi="宋体" w:eastAsia="宋体" w:cs="宋体"/>
                <w:color w:val="auto"/>
                <w:kern w:val="2"/>
                <w:sz w:val="24"/>
                <w:szCs w:val="24"/>
                <w:highlight w:val="none"/>
                <w:lang w:val="en-US" w:eastAsia="zh-CN" w:bidi="ar-SA"/>
              </w:rPr>
              <w:t>评审委员会构成：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专家及采购人代表组成，成员为5人及以上单数。</w:t>
            </w:r>
          </w:p>
        </w:tc>
      </w:tr>
      <w:tr w14:paraId="784B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26" w:type="dxa"/>
            <w:tcBorders>
              <w:top w:val="single" w:color="auto" w:sz="4" w:space="0"/>
              <w:left w:val="single" w:color="auto" w:sz="4" w:space="0"/>
              <w:bottom w:val="single" w:color="auto" w:sz="4" w:space="0"/>
              <w:right w:val="single" w:color="auto" w:sz="4" w:space="0"/>
            </w:tcBorders>
            <w:vAlign w:val="center"/>
          </w:tcPr>
          <w:p w14:paraId="5EA531FA">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19</w:t>
            </w:r>
          </w:p>
        </w:tc>
        <w:tc>
          <w:tcPr>
            <w:tcW w:w="1520" w:type="dxa"/>
            <w:tcBorders>
              <w:top w:val="single" w:color="auto" w:sz="4" w:space="0"/>
              <w:left w:val="single" w:color="auto" w:sz="4" w:space="0"/>
              <w:bottom w:val="single" w:color="auto" w:sz="4" w:space="0"/>
              <w:right w:val="single" w:color="auto" w:sz="4" w:space="0"/>
            </w:tcBorders>
            <w:vAlign w:val="center"/>
          </w:tcPr>
          <w:p w14:paraId="15A34584">
            <w:pPr>
              <w:pStyle w:val="27"/>
              <w:snapToGrid w:val="0"/>
              <w:spacing w:beforeAutospacing="0" w:afterAutospacing="0" w:line="240" w:lineRule="auto"/>
              <w:ind w:firstLine="0" w:firstLineChars="0"/>
              <w:jc w:val="center"/>
              <w:rPr>
                <w:rFonts w:hint="eastAsia"/>
                <w:color w:val="auto"/>
                <w:highlight w:val="none"/>
              </w:rPr>
            </w:pPr>
            <w:r>
              <w:rPr>
                <w:rFonts w:hint="eastAsia" w:ascii="宋体" w:hAnsi="宋体" w:eastAsia="宋体" w:cs="宋体"/>
                <w:b w:val="0"/>
                <w:bCs w:val="0"/>
                <w:color w:val="auto"/>
                <w:kern w:val="0"/>
                <w:sz w:val="24"/>
                <w:szCs w:val="24"/>
                <w:highlight w:val="none"/>
              </w:rPr>
              <w:t>中标候选人数</w:t>
            </w:r>
            <w:r>
              <w:rPr>
                <w:rFonts w:hint="eastAsia" w:ascii="宋体" w:hAnsi="宋体" w:eastAsia="宋体" w:cs="宋体"/>
                <w:b w:val="0"/>
                <w:bCs w:val="0"/>
                <w:color w:val="auto"/>
                <w:kern w:val="0"/>
                <w:sz w:val="24"/>
                <w:szCs w:val="24"/>
                <w:highlight w:val="none"/>
                <w:lang w:val="en-US" w:eastAsia="zh-CN"/>
              </w:rPr>
              <w:t>及中标人数</w:t>
            </w:r>
          </w:p>
        </w:tc>
        <w:tc>
          <w:tcPr>
            <w:tcW w:w="6512" w:type="dxa"/>
            <w:tcBorders>
              <w:top w:val="single" w:color="auto" w:sz="4" w:space="0"/>
              <w:left w:val="single" w:color="auto" w:sz="4" w:space="0"/>
              <w:bottom w:val="single" w:color="auto" w:sz="4" w:space="0"/>
              <w:right w:val="single" w:color="auto" w:sz="4" w:space="0"/>
            </w:tcBorders>
            <w:vAlign w:val="center"/>
          </w:tcPr>
          <w:p w14:paraId="7871C34C">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本项目由评标委员会推荐1名中标候选人，采购人确定1名中标人。</w:t>
            </w:r>
          </w:p>
        </w:tc>
      </w:tr>
      <w:tr w14:paraId="3874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26" w:type="dxa"/>
            <w:tcBorders>
              <w:top w:val="single" w:color="auto" w:sz="4" w:space="0"/>
              <w:left w:val="single" w:color="auto" w:sz="4" w:space="0"/>
              <w:bottom w:val="single" w:color="auto" w:sz="4" w:space="0"/>
              <w:right w:val="single" w:color="auto" w:sz="4" w:space="0"/>
            </w:tcBorders>
            <w:vAlign w:val="center"/>
          </w:tcPr>
          <w:p w14:paraId="5DC207D7">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20</w:t>
            </w:r>
          </w:p>
        </w:tc>
        <w:tc>
          <w:tcPr>
            <w:tcW w:w="1520" w:type="dxa"/>
            <w:tcBorders>
              <w:top w:val="single" w:color="auto" w:sz="4" w:space="0"/>
              <w:left w:val="single" w:color="auto" w:sz="4" w:space="0"/>
              <w:bottom w:val="single" w:color="auto" w:sz="4" w:space="0"/>
              <w:right w:val="single" w:color="auto" w:sz="4" w:space="0"/>
            </w:tcBorders>
            <w:vAlign w:val="center"/>
          </w:tcPr>
          <w:p w14:paraId="7F309DBC">
            <w:pPr>
              <w:pStyle w:val="10"/>
              <w:snapToGrid w:val="0"/>
              <w:spacing w:line="240" w:lineRule="auto"/>
              <w:ind w:firstLine="0" w:firstLineChars="0"/>
              <w:jc w:val="center"/>
              <w:rPr>
                <w:rFonts w:hint="eastAsia" w:hAnsi="宋体" w:cs="宋体"/>
                <w:color w:val="auto"/>
                <w:szCs w:val="24"/>
                <w:highlight w:val="none"/>
              </w:rPr>
            </w:pPr>
            <w:r>
              <w:rPr>
                <w:rFonts w:hint="eastAsia" w:hAnsi="宋体" w:cs="宋体"/>
                <w:color w:val="auto"/>
                <w:kern w:val="0"/>
                <w:szCs w:val="24"/>
                <w:highlight w:val="none"/>
              </w:rPr>
              <w:t>供应商</w:t>
            </w:r>
            <w:r>
              <w:rPr>
                <w:rFonts w:hint="eastAsia" w:hAnsi="宋体" w:cs="宋体"/>
                <w:color w:val="auto"/>
                <w:szCs w:val="24"/>
                <w:highlight w:val="none"/>
              </w:rPr>
              <w:t>提出质疑的截止时间</w:t>
            </w:r>
          </w:p>
        </w:tc>
        <w:tc>
          <w:tcPr>
            <w:tcW w:w="6512" w:type="dxa"/>
            <w:tcBorders>
              <w:top w:val="single" w:color="auto" w:sz="4" w:space="0"/>
              <w:left w:val="single" w:color="auto" w:sz="4" w:space="0"/>
              <w:bottom w:val="single" w:color="auto" w:sz="4" w:space="0"/>
              <w:right w:val="single" w:color="auto" w:sz="4" w:space="0"/>
            </w:tcBorders>
            <w:vAlign w:val="center"/>
          </w:tcPr>
          <w:p w14:paraId="1167B129">
            <w:pPr>
              <w:pStyle w:val="10"/>
              <w:snapToGrid w:val="0"/>
              <w:spacing w:line="240" w:lineRule="auto"/>
              <w:ind w:firstLine="0" w:firstLineChars="0"/>
              <w:jc w:val="left"/>
              <w:rPr>
                <w:rFonts w:hint="eastAsia" w:hAnsi="宋体" w:cs="宋体"/>
                <w:color w:val="auto"/>
                <w:szCs w:val="24"/>
                <w:highlight w:val="none"/>
              </w:rPr>
            </w:pPr>
            <w:r>
              <w:rPr>
                <w:rFonts w:hint="eastAsia" w:hAnsi="宋体" w:cs="宋体"/>
                <w:color w:val="auto"/>
                <w:szCs w:val="24"/>
                <w:highlight w:val="none"/>
              </w:rPr>
              <w:t>潜在供应商认为采购文件使自己的权益受到损害的供应商，可以在获取采购文件或者采购文件公告期限届满之日起7个工作日内，以书面形式向采购人、采购代理机构提出质疑，逾期提出不予受理。</w:t>
            </w:r>
          </w:p>
        </w:tc>
      </w:tr>
      <w:tr w14:paraId="0A30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26" w:type="dxa"/>
            <w:tcBorders>
              <w:top w:val="single" w:color="auto" w:sz="4" w:space="0"/>
              <w:left w:val="single" w:color="auto" w:sz="4" w:space="0"/>
              <w:bottom w:val="single" w:color="auto" w:sz="4" w:space="0"/>
              <w:right w:val="single" w:color="auto" w:sz="4" w:space="0"/>
            </w:tcBorders>
            <w:vAlign w:val="center"/>
          </w:tcPr>
          <w:p w14:paraId="7FF4E3F4">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21</w:t>
            </w:r>
          </w:p>
        </w:tc>
        <w:tc>
          <w:tcPr>
            <w:tcW w:w="1520" w:type="dxa"/>
            <w:tcBorders>
              <w:top w:val="single" w:color="auto" w:sz="4" w:space="0"/>
              <w:left w:val="single" w:color="auto" w:sz="4" w:space="0"/>
              <w:bottom w:val="single" w:color="auto" w:sz="4" w:space="0"/>
              <w:right w:val="single" w:color="auto" w:sz="4" w:space="0"/>
            </w:tcBorders>
            <w:vAlign w:val="center"/>
          </w:tcPr>
          <w:p w14:paraId="1C130CBF">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履约保证金收取及退还</w:t>
            </w:r>
          </w:p>
        </w:tc>
        <w:tc>
          <w:tcPr>
            <w:tcW w:w="6512" w:type="dxa"/>
            <w:tcBorders>
              <w:top w:val="single" w:color="auto" w:sz="4" w:space="0"/>
              <w:left w:val="single" w:color="auto" w:sz="4" w:space="0"/>
              <w:bottom w:val="single" w:color="auto" w:sz="4" w:space="0"/>
              <w:right w:val="single" w:color="auto" w:sz="4" w:space="0"/>
            </w:tcBorders>
            <w:vAlign w:val="center"/>
          </w:tcPr>
          <w:p w14:paraId="29830C6E">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☑无需缴纳</w:t>
            </w:r>
          </w:p>
          <w:p w14:paraId="0A4A19C9">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□需缴纳</w:t>
            </w:r>
          </w:p>
          <w:p w14:paraId="267FAF96">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1.交纳金额：合同价的1%；</w:t>
            </w:r>
          </w:p>
          <w:p w14:paraId="7CD9814F">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2.交纳方式：汇票/支票/银行转账/银行保函/保险公司保函；</w:t>
            </w:r>
          </w:p>
          <w:p w14:paraId="0465605F">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3.交纳时间：本项目合同签订前缴纳；</w:t>
            </w:r>
          </w:p>
          <w:p w14:paraId="2AB244EC">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4.退还：服务履行期限满，无服务质量问题及异议后15日内无息退还（不计利息）。</w:t>
            </w:r>
          </w:p>
        </w:tc>
      </w:tr>
      <w:tr w14:paraId="1EF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26" w:type="dxa"/>
            <w:tcBorders>
              <w:top w:val="single" w:color="auto" w:sz="4" w:space="0"/>
              <w:left w:val="single" w:color="auto" w:sz="4" w:space="0"/>
              <w:bottom w:val="single" w:color="auto" w:sz="4" w:space="0"/>
              <w:right w:val="single" w:color="auto" w:sz="4" w:space="0"/>
            </w:tcBorders>
            <w:vAlign w:val="center"/>
          </w:tcPr>
          <w:p w14:paraId="0BEDF708">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22</w:t>
            </w:r>
          </w:p>
        </w:tc>
        <w:tc>
          <w:tcPr>
            <w:tcW w:w="1520" w:type="dxa"/>
            <w:tcBorders>
              <w:top w:val="single" w:color="auto" w:sz="4" w:space="0"/>
              <w:left w:val="single" w:color="auto" w:sz="4" w:space="0"/>
              <w:bottom w:val="single" w:color="auto" w:sz="4" w:space="0"/>
              <w:right w:val="single" w:color="auto" w:sz="4" w:space="0"/>
            </w:tcBorders>
            <w:vAlign w:val="center"/>
          </w:tcPr>
          <w:p w14:paraId="189A1E46">
            <w:pPr>
              <w:kinsoku w:val="0"/>
              <w:overflowPunct w:val="0"/>
              <w:autoSpaceDE w:val="0"/>
              <w:autoSpaceDN w:val="0"/>
              <w:spacing w:line="240" w:lineRule="auto"/>
              <w:ind w:firstLine="0" w:firstLineChars="0"/>
              <w:jc w:val="center"/>
              <w:textAlignment w:val="center"/>
              <w:rPr>
                <w:rFonts w:hint="eastAsia" w:ascii="宋体" w:hAnsi="宋体" w:cs="宋体"/>
                <w:color w:val="auto"/>
                <w:highlight w:val="none"/>
              </w:rPr>
            </w:pPr>
            <w:r>
              <w:rPr>
                <w:rFonts w:hint="eastAsia" w:ascii="宋体" w:hAnsi="宋体" w:cs="宋体"/>
                <w:color w:val="auto"/>
                <w:kern w:val="0"/>
                <w:highlight w:val="none"/>
              </w:rPr>
              <w:t>合同备案</w:t>
            </w:r>
          </w:p>
        </w:tc>
        <w:tc>
          <w:tcPr>
            <w:tcW w:w="6512" w:type="dxa"/>
            <w:tcBorders>
              <w:top w:val="single" w:color="auto" w:sz="4" w:space="0"/>
              <w:left w:val="single" w:color="auto" w:sz="4" w:space="0"/>
              <w:bottom w:val="single" w:color="auto" w:sz="4" w:space="0"/>
              <w:right w:val="single" w:color="auto" w:sz="4" w:space="0"/>
            </w:tcBorders>
            <w:vAlign w:val="center"/>
          </w:tcPr>
          <w:p w14:paraId="71A38DD7">
            <w:pPr>
              <w:kinsoku w:val="0"/>
              <w:overflowPunct w:val="0"/>
              <w:autoSpaceDE w:val="0"/>
              <w:autoSpaceDN w:val="0"/>
              <w:spacing w:line="240" w:lineRule="auto"/>
              <w:ind w:firstLine="0" w:firstLineChars="0"/>
              <w:textAlignment w:val="center"/>
              <w:rPr>
                <w:rFonts w:hint="eastAsia" w:ascii="宋体" w:hAnsi="宋体" w:cs="宋体"/>
                <w:color w:val="auto"/>
                <w:highlight w:val="none"/>
              </w:rPr>
            </w:pPr>
            <w:r>
              <w:rPr>
                <w:rFonts w:hint="eastAsia" w:ascii="宋体" w:hAnsi="宋体" w:cs="宋体"/>
                <w:color w:val="auto"/>
                <w:kern w:val="0"/>
                <w:highlight w:val="none"/>
              </w:rPr>
              <w:t>中标供应商须在中标通知书发出之日起30日内与采购人签订合同。</w:t>
            </w:r>
          </w:p>
        </w:tc>
      </w:tr>
      <w:tr w14:paraId="035B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6" w:type="dxa"/>
            <w:tcBorders>
              <w:top w:val="single" w:color="auto" w:sz="4" w:space="0"/>
              <w:left w:val="single" w:color="auto" w:sz="4" w:space="0"/>
              <w:bottom w:val="single" w:color="auto" w:sz="4" w:space="0"/>
              <w:right w:val="single" w:color="auto" w:sz="4" w:space="0"/>
            </w:tcBorders>
            <w:vAlign w:val="center"/>
          </w:tcPr>
          <w:p w14:paraId="26157511">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23</w:t>
            </w:r>
          </w:p>
        </w:tc>
        <w:tc>
          <w:tcPr>
            <w:tcW w:w="1520" w:type="dxa"/>
            <w:tcBorders>
              <w:top w:val="single" w:color="auto" w:sz="4" w:space="0"/>
              <w:left w:val="single" w:color="auto" w:sz="4" w:space="0"/>
              <w:bottom w:val="single" w:color="auto" w:sz="4" w:space="0"/>
              <w:right w:val="single" w:color="auto" w:sz="4" w:space="0"/>
            </w:tcBorders>
            <w:vAlign w:val="center"/>
          </w:tcPr>
          <w:p w14:paraId="7E6D1033">
            <w:pPr>
              <w:tabs>
                <w:tab w:val="left" w:pos="0"/>
              </w:tabs>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联系人</w:t>
            </w:r>
          </w:p>
        </w:tc>
        <w:tc>
          <w:tcPr>
            <w:tcW w:w="6512" w:type="dxa"/>
            <w:tcBorders>
              <w:top w:val="single" w:color="auto" w:sz="4" w:space="0"/>
              <w:left w:val="single" w:color="auto" w:sz="4" w:space="0"/>
              <w:bottom w:val="single" w:color="auto" w:sz="4" w:space="0"/>
              <w:right w:val="single" w:color="auto" w:sz="4" w:space="0"/>
            </w:tcBorders>
            <w:vAlign w:val="center"/>
          </w:tcPr>
          <w:p w14:paraId="44E19F88">
            <w:pPr>
              <w:tabs>
                <w:tab w:val="left" w:pos="0"/>
              </w:tabs>
              <w:spacing w:line="240" w:lineRule="auto"/>
              <w:ind w:firstLine="0" w:firstLineChars="0"/>
              <w:jc w:val="left"/>
              <w:rPr>
                <w:rFonts w:hint="eastAsia" w:ascii="宋体" w:hAnsi="宋体" w:eastAsia="宋体" w:cs="宋体"/>
                <w:color w:val="auto"/>
                <w:highlight w:val="none"/>
                <w:lang w:eastAsia="zh-CN"/>
              </w:rPr>
            </w:pPr>
            <w:r>
              <w:rPr>
                <w:rFonts w:hint="eastAsia" w:ascii="宋体" w:hAnsi="宋体" w:cs="宋体"/>
                <w:color w:val="auto"/>
                <w:highlight w:val="none"/>
                <w:lang w:eastAsia="zh-CN"/>
              </w:rPr>
              <w:t>浙江佳诚工程咨询股份有限公司</w:t>
            </w:r>
          </w:p>
          <w:p w14:paraId="4A416472">
            <w:pPr>
              <w:tabs>
                <w:tab w:val="left" w:pos="0"/>
              </w:tabs>
              <w:spacing w:line="240" w:lineRule="auto"/>
              <w:ind w:firstLine="0" w:firstLineChars="0"/>
              <w:jc w:val="left"/>
              <w:rPr>
                <w:rFonts w:hint="default"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叶</w:t>
            </w:r>
            <w:r>
              <w:rPr>
                <w:rFonts w:hint="eastAsia" w:ascii="宋体" w:hAnsi="宋体" w:cs="宋体"/>
                <w:color w:val="auto"/>
                <w:highlight w:val="none"/>
              </w:rPr>
              <w:t xml:space="preserve">女士   </w:t>
            </w:r>
            <w:r>
              <w:rPr>
                <w:rFonts w:hint="eastAsia" w:ascii="宋体" w:hAnsi="宋体" w:cs="宋体"/>
                <w:color w:val="auto"/>
                <w:highlight w:val="none"/>
                <w:lang w:val="en-US" w:eastAsia="zh-CN"/>
              </w:rPr>
              <w:t>19858187091</w:t>
            </w:r>
          </w:p>
        </w:tc>
      </w:tr>
      <w:tr w14:paraId="5E76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6" w:type="dxa"/>
            <w:tcBorders>
              <w:top w:val="single" w:color="auto" w:sz="4" w:space="0"/>
              <w:left w:val="single" w:color="auto" w:sz="4" w:space="0"/>
              <w:bottom w:val="single" w:color="auto" w:sz="4" w:space="0"/>
              <w:right w:val="single" w:color="auto" w:sz="4" w:space="0"/>
            </w:tcBorders>
            <w:vAlign w:val="center"/>
          </w:tcPr>
          <w:p w14:paraId="0D4AA359">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24</w:t>
            </w:r>
          </w:p>
        </w:tc>
        <w:tc>
          <w:tcPr>
            <w:tcW w:w="1520" w:type="dxa"/>
            <w:tcBorders>
              <w:top w:val="single" w:color="auto" w:sz="4" w:space="0"/>
              <w:left w:val="single" w:color="auto" w:sz="4" w:space="0"/>
              <w:bottom w:val="single" w:color="auto" w:sz="4" w:space="0"/>
              <w:right w:val="single" w:color="auto" w:sz="4" w:space="0"/>
            </w:tcBorders>
            <w:vAlign w:val="center"/>
          </w:tcPr>
          <w:p w14:paraId="3FFC9923">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采购公告，更正、补充、澄清公告，中标公告，合同公告发布网址</w:t>
            </w:r>
          </w:p>
        </w:tc>
        <w:tc>
          <w:tcPr>
            <w:tcW w:w="6512" w:type="dxa"/>
            <w:tcBorders>
              <w:top w:val="single" w:color="auto" w:sz="4" w:space="0"/>
              <w:left w:val="single" w:color="auto" w:sz="4" w:space="0"/>
              <w:bottom w:val="single" w:color="auto" w:sz="4" w:space="0"/>
              <w:right w:val="single" w:color="auto" w:sz="4" w:space="0"/>
            </w:tcBorders>
            <w:vAlign w:val="center"/>
          </w:tcPr>
          <w:p w14:paraId="0236C471">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https://zfcg.czt.zj.gov.cn/（浙江政府采购网）</w:t>
            </w:r>
          </w:p>
        </w:tc>
      </w:tr>
      <w:tr w14:paraId="0A22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26" w:type="dxa"/>
            <w:tcBorders>
              <w:top w:val="single" w:color="auto" w:sz="4" w:space="0"/>
              <w:left w:val="single" w:color="auto" w:sz="4" w:space="0"/>
              <w:bottom w:val="single" w:color="auto" w:sz="4" w:space="0"/>
              <w:right w:val="single" w:color="auto" w:sz="4" w:space="0"/>
            </w:tcBorders>
            <w:vAlign w:val="center"/>
          </w:tcPr>
          <w:p w14:paraId="4C056751">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25</w:t>
            </w:r>
          </w:p>
        </w:tc>
        <w:tc>
          <w:tcPr>
            <w:tcW w:w="1520" w:type="dxa"/>
            <w:tcBorders>
              <w:top w:val="single" w:color="auto" w:sz="4" w:space="0"/>
              <w:left w:val="single" w:color="auto" w:sz="4" w:space="0"/>
              <w:bottom w:val="single" w:color="auto" w:sz="4" w:space="0"/>
              <w:right w:val="single" w:color="auto" w:sz="4" w:space="0"/>
            </w:tcBorders>
            <w:vAlign w:val="center"/>
          </w:tcPr>
          <w:p w14:paraId="406E2C34">
            <w:pPr>
              <w:adjustRightInd w:val="0"/>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统一现场勘查</w:t>
            </w:r>
          </w:p>
        </w:tc>
        <w:tc>
          <w:tcPr>
            <w:tcW w:w="6512" w:type="dxa"/>
            <w:tcBorders>
              <w:top w:val="single" w:color="auto" w:sz="4" w:space="0"/>
              <w:left w:val="single" w:color="auto" w:sz="4" w:space="0"/>
              <w:bottom w:val="single" w:color="auto" w:sz="4" w:space="0"/>
              <w:right w:val="single" w:color="auto" w:sz="4" w:space="0"/>
            </w:tcBorders>
            <w:vAlign w:val="center"/>
          </w:tcPr>
          <w:p w14:paraId="49CFC2AB">
            <w:pPr>
              <w:adjustRightInd w:val="0"/>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不组织</w:t>
            </w:r>
          </w:p>
        </w:tc>
      </w:tr>
      <w:tr w14:paraId="621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26" w:type="dxa"/>
            <w:tcBorders>
              <w:top w:val="single" w:color="auto" w:sz="4" w:space="0"/>
              <w:left w:val="single" w:color="auto" w:sz="4" w:space="0"/>
              <w:bottom w:val="single" w:color="auto" w:sz="4" w:space="0"/>
              <w:right w:val="single" w:color="auto" w:sz="4" w:space="0"/>
            </w:tcBorders>
            <w:vAlign w:val="center"/>
          </w:tcPr>
          <w:p w14:paraId="77374056">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26</w:t>
            </w:r>
          </w:p>
        </w:tc>
        <w:tc>
          <w:tcPr>
            <w:tcW w:w="1520" w:type="dxa"/>
            <w:tcBorders>
              <w:top w:val="single" w:color="auto" w:sz="4" w:space="0"/>
              <w:left w:val="single" w:color="auto" w:sz="4" w:space="0"/>
              <w:bottom w:val="single" w:color="auto" w:sz="4" w:space="0"/>
              <w:right w:val="single" w:color="auto" w:sz="4" w:space="0"/>
            </w:tcBorders>
            <w:vAlign w:val="center"/>
          </w:tcPr>
          <w:p w14:paraId="2661F1C8">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信用查询</w:t>
            </w:r>
          </w:p>
        </w:tc>
        <w:tc>
          <w:tcPr>
            <w:tcW w:w="6512" w:type="dxa"/>
            <w:tcBorders>
              <w:top w:val="single" w:color="auto" w:sz="4" w:space="0"/>
              <w:left w:val="single" w:color="auto" w:sz="4" w:space="0"/>
              <w:bottom w:val="single" w:color="auto" w:sz="4" w:space="0"/>
              <w:right w:val="single" w:color="auto" w:sz="4" w:space="0"/>
            </w:tcBorders>
            <w:vAlign w:val="center"/>
          </w:tcPr>
          <w:p w14:paraId="558A891F">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根据《关于在政府采购活动中查询及使用信用记录有关问题的通知》财库[2016]125号的规定：</w:t>
            </w:r>
          </w:p>
          <w:p w14:paraId="38E3C30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1）采购代理机构将对本项目投标供应商的信用信息进行查询和甄别，查询渠道为信用中国网站（www.creditchina.gov.cn）、中国政府采购网（www.ccgp.gov.cn）。</w:t>
            </w:r>
          </w:p>
          <w:p w14:paraId="65B9FC9D">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2）截止时点：提交投标文件（响应文件）截止时间前3年内。</w:t>
            </w:r>
          </w:p>
          <w:p w14:paraId="1FF743B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3）信用信息查询记录和证据以网页截图方式留存。</w:t>
            </w:r>
          </w:p>
          <w:p w14:paraId="6767E690">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4）不良信用记录指：1.被列入信用中国网站“失信被执行人”“ 税收违法黑名单” ； 2.被列入中国政府采购网政府采购严重违法失信行为记录名单；</w:t>
            </w:r>
          </w:p>
          <w:p w14:paraId="681DBEB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5）信用信息的使用规则：供应商存在不良信用记录的，其投标文件将被拒绝。</w:t>
            </w:r>
          </w:p>
          <w:p w14:paraId="0EE0AD84">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6）如允许联合体投标的，联合体成员存在不良信用记录视同联合体存在不良信用记录。</w:t>
            </w:r>
          </w:p>
        </w:tc>
      </w:tr>
      <w:tr w14:paraId="3DC5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26" w:type="dxa"/>
            <w:tcBorders>
              <w:top w:val="single" w:color="auto" w:sz="4" w:space="0"/>
              <w:left w:val="single" w:color="auto" w:sz="4" w:space="0"/>
              <w:bottom w:val="single" w:color="auto" w:sz="4" w:space="0"/>
              <w:right w:val="single" w:color="auto" w:sz="4" w:space="0"/>
            </w:tcBorders>
            <w:vAlign w:val="center"/>
          </w:tcPr>
          <w:p w14:paraId="7BE25ED5">
            <w:pPr>
              <w:pStyle w:val="10"/>
              <w:widowControl/>
              <w:spacing w:line="240" w:lineRule="auto"/>
              <w:ind w:firstLine="0" w:firstLineChars="0"/>
              <w:jc w:val="center"/>
              <w:rPr>
                <w:rFonts w:hint="eastAsia" w:hAnsi="宋体" w:cs="宋体"/>
                <w:color w:val="auto"/>
                <w:szCs w:val="24"/>
                <w:highlight w:val="none"/>
              </w:rPr>
            </w:pPr>
            <w:r>
              <w:rPr>
                <w:rFonts w:hint="eastAsia" w:hAnsi="宋体" w:cs="宋体"/>
                <w:color w:val="auto"/>
                <w:szCs w:val="24"/>
                <w:highlight w:val="none"/>
              </w:rPr>
              <w:t>27</w:t>
            </w:r>
          </w:p>
        </w:tc>
        <w:tc>
          <w:tcPr>
            <w:tcW w:w="1520" w:type="dxa"/>
            <w:tcBorders>
              <w:top w:val="single" w:color="auto" w:sz="4" w:space="0"/>
              <w:left w:val="single" w:color="auto" w:sz="4" w:space="0"/>
              <w:bottom w:val="single" w:color="auto" w:sz="4" w:space="0"/>
              <w:right w:val="single" w:color="auto" w:sz="4" w:space="0"/>
            </w:tcBorders>
            <w:vAlign w:val="center"/>
          </w:tcPr>
          <w:p w14:paraId="02F545C2">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注意事项</w:t>
            </w:r>
          </w:p>
        </w:tc>
        <w:tc>
          <w:tcPr>
            <w:tcW w:w="6512" w:type="dxa"/>
            <w:tcBorders>
              <w:top w:val="single" w:color="auto" w:sz="4" w:space="0"/>
              <w:left w:val="single" w:color="auto" w:sz="4" w:space="0"/>
              <w:bottom w:val="single" w:color="auto" w:sz="4" w:space="0"/>
              <w:right w:val="single" w:color="auto" w:sz="4" w:space="0"/>
            </w:tcBorders>
            <w:vAlign w:val="center"/>
          </w:tcPr>
          <w:p w14:paraId="47FBA44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1.请务必确保投标文件制作客户端为最新版本，旧版本可能导致投标文件解密失败。</w:t>
            </w:r>
          </w:p>
          <w:p w14:paraId="146F0FB2">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2.请务必确保投标文件制作时所用的 CA 锁与投标文件解密时的 CA 锁为同一把，否则可能导致投标文件解密失败。</w:t>
            </w:r>
          </w:p>
        </w:tc>
      </w:tr>
      <w:bookmarkEnd w:id="147"/>
      <w:bookmarkEnd w:id="148"/>
      <w:bookmarkEnd w:id="149"/>
      <w:bookmarkEnd w:id="150"/>
    </w:tbl>
    <w:p w14:paraId="47D7679C">
      <w:pPr>
        <w:pStyle w:val="5"/>
        <w:spacing w:before="0" w:beforeLines="0" w:after="0" w:afterLines="0" w:line="360" w:lineRule="auto"/>
        <w:rPr>
          <w:rFonts w:hint="eastAsia" w:ascii="宋体" w:hAnsi="宋体" w:cs="宋体"/>
          <w:color w:val="auto"/>
          <w:sz w:val="24"/>
          <w:szCs w:val="24"/>
          <w:highlight w:val="none"/>
        </w:rPr>
      </w:pPr>
      <w:bookmarkStart w:id="158" w:name="_Toc30781"/>
      <w:r>
        <w:rPr>
          <w:rFonts w:hint="eastAsia" w:ascii="宋体" w:hAnsi="宋体" w:cs="宋体"/>
          <w:color w:val="auto"/>
          <w:sz w:val="24"/>
          <w:szCs w:val="24"/>
          <w:highlight w:val="none"/>
        </w:rPr>
        <w:t>一、投标须知</w:t>
      </w:r>
      <w:bookmarkEnd w:id="151"/>
      <w:bookmarkEnd w:id="152"/>
      <w:bookmarkEnd w:id="153"/>
      <w:bookmarkEnd w:id="154"/>
      <w:bookmarkEnd w:id="155"/>
      <w:bookmarkEnd w:id="156"/>
      <w:bookmarkEnd w:id="157"/>
      <w:bookmarkEnd w:id="158"/>
    </w:p>
    <w:p w14:paraId="7C64C51A">
      <w:pPr>
        <w:spacing w:line="360" w:lineRule="auto"/>
        <w:ind w:firstLine="480"/>
        <w:rPr>
          <w:rFonts w:hint="eastAsia" w:ascii="宋体" w:hAnsi="宋体" w:cs="宋体"/>
          <w:color w:val="auto"/>
          <w:highlight w:val="none"/>
        </w:rPr>
      </w:pPr>
      <w:bookmarkStart w:id="159" w:name="_Toc26778"/>
      <w:bookmarkStart w:id="160" w:name="_Toc30430"/>
      <w:bookmarkStart w:id="161" w:name="_Toc23999"/>
      <w:bookmarkStart w:id="162" w:name="_Toc1791"/>
      <w:bookmarkStart w:id="163" w:name="_Toc26603"/>
      <w:bookmarkStart w:id="164" w:name="_Toc8860"/>
      <w:bookmarkStart w:id="165" w:name="_Toc391298957"/>
      <w:bookmarkStart w:id="166" w:name="_Toc1828"/>
      <w:bookmarkStart w:id="167" w:name="_Toc6273"/>
      <w:bookmarkStart w:id="168" w:name="_Toc7782"/>
      <w:bookmarkStart w:id="169" w:name="_Toc24622"/>
      <w:bookmarkStart w:id="170" w:name="_Toc18702"/>
      <w:r>
        <w:rPr>
          <w:rFonts w:hint="eastAsia" w:ascii="宋体" w:hAnsi="宋体" w:cs="宋体"/>
          <w:color w:val="auto"/>
          <w:highlight w:val="none"/>
        </w:rPr>
        <w:t>1.适用范围</w:t>
      </w:r>
    </w:p>
    <w:p w14:paraId="3EB467C9">
      <w:pPr>
        <w:spacing w:line="360" w:lineRule="auto"/>
        <w:ind w:firstLine="480"/>
        <w:rPr>
          <w:rFonts w:hint="eastAsia" w:ascii="宋体" w:hAnsi="宋体" w:cs="宋体"/>
          <w:color w:val="auto"/>
          <w:highlight w:val="none"/>
        </w:rPr>
      </w:pPr>
      <w:r>
        <w:rPr>
          <w:rFonts w:hint="eastAsia" w:ascii="宋体" w:hAnsi="宋体" w:cs="宋体"/>
          <w:color w:val="auto"/>
          <w:highlight w:val="none"/>
        </w:rPr>
        <w:t>本招标文件仅适用于本次招标采购项目的招标、投标、评标、定标、验收、合同履约、付款等行为。</w:t>
      </w:r>
    </w:p>
    <w:p w14:paraId="42DAE085">
      <w:pPr>
        <w:spacing w:line="360" w:lineRule="auto"/>
        <w:ind w:firstLine="480"/>
        <w:rPr>
          <w:rFonts w:hint="eastAsia" w:ascii="宋体" w:hAnsi="宋体" w:cs="宋体"/>
          <w:color w:val="auto"/>
          <w:highlight w:val="none"/>
        </w:rPr>
      </w:pPr>
      <w:r>
        <w:rPr>
          <w:rFonts w:hint="eastAsia" w:ascii="宋体" w:hAnsi="宋体" w:cs="宋体"/>
          <w:color w:val="auto"/>
          <w:highlight w:val="none"/>
        </w:rPr>
        <w:t>2.定义</w:t>
      </w:r>
    </w:p>
    <w:p w14:paraId="5F02DE86">
      <w:pPr>
        <w:spacing w:line="360" w:lineRule="auto"/>
        <w:ind w:firstLine="480"/>
        <w:rPr>
          <w:rFonts w:hint="eastAsia" w:ascii="宋体" w:hAnsi="宋体" w:cs="宋体"/>
          <w:color w:val="auto"/>
          <w:highlight w:val="none"/>
        </w:rPr>
      </w:pPr>
      <w:r>
        <w:rPr>
          <w:rFonts w:hint="eastAsia" w:ascii="宋体" w:hAnsi="宋体" w:cs="宋体"/>
          <w:color w:val="auto"/>
          <w:highlight w:val="none"/>
        </w:rPr>
        <w:t>2.1“采购人”系指“衢州市柯城区住房和城乡建设局”。</w:t>
      </w:r>
    </w:p>
    <w:p w14:paraId="1BEB9D4B">
      <w:pPr>
        <w:spacing w:line="360" w:lineRule="auto"/>
        <w:ind w:firstLine="480"/>
        <w:rPr>
          <w:rFonts w:hint="eastAsia" w:ascii="宋体" w:hAnsi="宋体" w:cs="宋体"/>
          <w:color w:val="auto"/>
          <w:highlight w:val="none"/>
        </w:rPr>
      </w:pPr>
      <w:r>
        <w:rPr>
          <w:rFonts w:hint="eastAsia" w:ascii="宋体" w:hAnsi="宋体" w:cs="宋体"/>
          <w:color w:val="auto"/>
          <w:highlight w:val="none"/>
        </w:rPr>
        <w:t>2.2“投标人”系指向招标人提交响应文件的供应商。</w:t>
      </w:r>
    </w:p>
    <w:p w14:paraId="63D961A9">
      <w:pPr>
        <w:spacing w:line="360" w:lineRule="auto"/>
        <w:ind w:firstLine="480"/>
        <w:rPr>
          <w:rFonts w:hint="eastAsia" w:ascii="宋体" w:hAnsi="宋体" w:cs="宋体"/>
          <w:color w:val="auto"/>
          <w:highlight w:val="none"/>
        </w:rPr>
      </w:pPr>
      <w:r>
        <w:rPr>
          <w:rFonts w:hint="eastAsia" w:ascii="宋体" w:hAnsi="宋体" w:cs="宋体"/>
          <w:color w:val="auto"/>
          <w:highlight w:val="none"/>
        </w:rPr>
        <w:t>2.3“招标组织人”系指“</w:t>
      </w:r>
      <w:r>
        <w:rPr>
          <w:rFonts w:hint="eastAsia" w:ascii="宋体" w:hAnsi="宋体" w:cs="宋体"/>
          <w:color w:val="auto"/>
          <w:highlight w:val="none"/>
          <w:lang w:eastAsia="zh-CN"/>
        </w:rPr>
        <w:t>浙江佳诚工程咨询股份有限公司</w:t>
      </w:r>
      <w:r>
        <w:rPr>
          <w:rFonts w:hint="eastAsia" w:ascii="宋体" w:hAnsi="宋体" w:cs="宋体"/>
          <w:color w:val="auto"/>
          <w:highlight w:val="none"/>
        </w:rPr>
        <w:t>”。</w:t>
      </w:r>
    </w:p>
    <w:p w14:paraId="48ACD1A6">
      <w:pPr>
        <w:spacing w:line="360" w:lineRule="auto"/>
        <w:ind w:firstLine="480"/>
        <w:rPr>
          <w:rFonts w:hint="eastAsia" w:ascii="宋体" w:hAnsi="宋体" w:cs="宋体"/>
          <w:color w:val="auto"/>
          <w:highlight w:val="none"/>
        </w:rPr>
      </w:pPr>
      <w:r>
        <w:rPr>
          <w:rFonts w:hint="eastAsia" w:ascii="宋体" w:hAnsi="宋体" w:cs="宋体"/>
          <w:color w:val="auto"/>
          <w:highlight w:val="none"/>
        </w:rPr>
        <w:t>2.4“货物”系</w:t>
      </w:r>
      <w:r>
        <w:rPr>
          <w:rFonts w:hint="eastAsia" w:ascii="宋体" w:hAnsi="宋体" w:cs="宋体"/>
          <w:color w:val="auto"/>
          <w:highlight w:val="none"/>
          <w:lang w:val="zh-CN"/>
        </w:rPr>
        <w:t>指按本响应文件中采购人所要求的产品。</w:t>
      </w:r>
    </w:p>
    <w:p w14:paraId="5B349C8D">
      <w:pPr>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2.5“服务”</w:t>
      </w:r>
      <w:r>
        <w:rPr>
          <w:rFonts w:hint="eastAsia" w:ascii="宋体" w:hAnsi="宋体" w:cs="宋体"/>
          <w:color w:val="auto"/>
          <w:highlight w:val="none"/>
          <w:lang w:val="zh-CN"/>
        </w:rPr>
        <w:t>系指根据本合同约定成交供应商必须承担有关的服务和合同中约定成交供应商应承担的义务,以及合同中未约定,但依法有利于合同履行原则,应当由成交供应商承担的其它义务。</w:t>
      </w:r>
    </w:p>
    <w:p w14:paraId="0AADA5F8">
      <w:pPr>
        <w:spacing w:line="360" w:lineRule="auto"/>
        <w:ind w:firstLine="480"/>
        <w:rPr>
          <w:rFonts w:hint="eastAsia" w:ascii="宋体" w:hAnsi="宋体" w:cs="宋体"/>
          <w:color w:val="auto"/>
          <w:highlight w:val="none"/>
        </w:rPr>
      </w:pPr>
      <w:r>
        <w:rPr>
          <w:rFonts w:hint="eastAsia" w:ascii="宋体" w:hAnsi="宋体" w:cs="宋体"/>
          <w:color w:val="auto"/>
          <w:highlight w:val="none"/>
        </w:rPr>
        <w:t>2.6“▲”系指实质性要求条款。</w:t>
      </w:r>
    </w:p>
    <w:p w14:paraId="41BD46B3">
      <w:pPr>
        <w:spacing w:line="360" w:lineRule="auto"/>
        <w:ind w:firstLine="480"/>
        <w:rPr>
          <w:rFonts w:hint="eastAsia" w:ascii="宋体" w:hAnsi="宋体" w:cs="宋体"/>
          <w:color w:val="auto"/>
          <w:highlight w:val="none"/>
        </w:rPr>
      </w:pPr>
      <w:r>
        <w:rPr>
          <w:rFonts w:hint="eastAsia" w:ascii="宋体" w:hAnsi="宋体" w:cs="宋体"/>
          <w:color w:val="auto"/>
          <w:highlight w:val="none"/>
        </w:rPr>
        <w:t>3.投标费用</w:t>
      </w:r>
    </w:p>
    <w:p w14:paraId="70944FDA">
      <w:pPr>
        <w:spacing w:line="360" w:lineRule="auto"/>
        <w:ind w:firstLine="480"/>
        <w:rPr>
          <w:rFonts w:hint="eastAsia" w:ascii="宋体" w:hAnsi="宋体" w:cs="宋体"/>
          <w:color w:val="auto"/>
          <w:highlight w:val="none"/>
        </w:rPr>
      </w:pPr>
      <w:r>
        <w:rPr>
          <w:rFonts w:hint="eastAsia" w:ascii="宋体" w:hAnsi="宋体" w:cs="宋体"/>
          <w:color w:val="auto"/>
          <w:highlight w:val="none"/>
        </w:rPr>
        <w:t>不论投标结果如何，供应商应自行承担其参加投标所涉及的一切费用。</w:t>
      </w:r>
    </w:p>
    <w:p w14:paraId="513A0E60">
      <w:pPr>
        <w:spacing w:line="360" w:lineRule="auto"/>
        <w:ind w:firstLine="480"/>
        <w:rPr>
          <w:rFonts w:hint="eastAsia" w:ascii="宋体" w:hAnsi="宋体" w:cs="宋体"/>
          <w:color w:val="auto"/>
          <w:highlight w:val="none"/>
        </w:rPr>
      </w:pPr>
      <w:r>
        <w:rPr>
          <w:rFonts w:hint="eastAsia" w:ascii="宋体" w:hAnsi="宋体" w:cs="宋体"/>
          <w:color w:val="auto"/>
          <w:highlight w:val="none"/>
        </w:rPr>
        <w:t>4.招标方式</w:t>
      </w:r>
    </w:p>
    <w:p w14:paraId="47977321">
      <w:pPr>
        <w:spacing w:line="360" w:lineRule="auto"/>
        <w:ind w:firstLine="480"/>
        <w:rPr>
          <w:rFonts w:hint="eastAsia" w:ascii="宋体" w:hAnsi="宋体" w:cs="宋体"/>
          <w:color w:val="auto"/>
          <w:highlight w:val="none"/>
        </w:rPr>
      </w:pPr>
      <w:r>
        <w:rPr>
          <w:rFonts w:hint="eastAsia" w:ascii="宋体" w:hAnsi="宋体" w:cs="宋体"/>
          <w:color w:val="auto"/>
          <w:highlight w:val="none"/>
        </w:rPr>
        <w:t>本次招标采用公开招标方式进行。</w:t>
      </w:r>
    </w:p>
    <w:p w14:paraId="08C36577">
      <w:pPr>
        <w:spacing w:line="360" w:lineRule="auto"/>
        <w:ind w:firstLine="480"/>
        <w:rPr>
          <w:rFonts w:hint="eastAsia" w:ascii="宋体" w:hAnsi="宋体" w:cs="宋体"/>
          <w:color w:val="auto"/>
          <w:highlight w:val="none"/>
        </w:rPr>
      </w:pPr>
      <w:r>
        <w:rPr>
          <w:rFonts w:hint="eastAsia" w:ascii="宋体" w:hAnsi="宋体" w:cs="宋体"/>
          <w:color w:val="auto"/>
          <w:highlight w:val="none"/>
        </w:rPr>
        <w:t>5.联合体投标</w:t>
      </w:r>
    </w:p>
    <w:p w14:paraId="47BAF775">
      <w:pPr>
        <w:spacing w:line="360" w:lineRule="auto"/>
        <w:ind w:firstLine="480"/>
        <w:rPr>
          <w:rFonts w:hint="eastAsia" w:ascii="宋体" w:hAnsi="宋体" w:cs="宋体"/>
          <w:color w:val="auto"/>
          <w:highlight w:val="none"/>
        </w:rPr>
      </w:pPr>
      <w:r>
        <w:rPr>
          <w:rFonts w:hint="eastAsia" w:ascii="宋体" w:hAnsi="宋体" w:cs="宋体"/>
          <w:color w:val="auto"/>
          <w:highlight w:val="none"/>
        </w:rPr>
        <w:t>本项目不接受联合体投标。</w:t>
      </w:r>
    </w:p>
    <w:p w14:paraId="1E096DC5">
      <w:pPr>
        <w:spacing w:line="360" w:lineRule="auto"/>
        <w:ind w:firstLine="480"/>
        <w:rPr>
          <w:rFonts w:hint="eastAsia" w:ascii="宋体" w:hAnsi="宋体" w:cs="宋体"/>
          <w:color w:val="auto"/>
          <w:highlight w:val="none"/>
        </w:rPr>
      </w:pPr>
      <w:r>
        <w:rPr>
          <w:rFonts w:hint="eastAsia" w:ascii="宋体" w:hAnsi="宋体" w:cs="宋体"/>
          <w:color w:val="auto"/>
          <w:highlight w:val="none"/>
        </w:rPr>
        <w:t>6.转包与分包</w:t>
      </w:r>
    </w:p>
    <w:p w14:paraId="1061CBDD">
      <w:pPr>
        <w:spacing w:line="360" w:lineRule="auto"/>
        <w:ind w:firstLine="480"/>
        <w:rPr>
          <w:rFonts w:hint="eastAsia" w:ascii="宋体" w:hAnsi="宋体" w:cs="宋体"/>
          <w:color w:val="auto"/>
          <w:highlight w:val="none"/>
        </w:rPr>
      </w:pPr>
      <w:r>
        <w:rPr>
          <w:rFonts w:hint="eastAsia" w:ascii="宋体" w:hAnsi="宋体" w:cs="宋体"/>
          <w:color w:val="auto"/>
          <w:highlight w:val="none"/>
        </w:rPr>
        <w:t>本项目不允许转包。分包须经采购人书面同意后方可实施。</w:t>
      </w:r>
    </w:p>
    <w:p w14:paraId="148F96A0">
      <w:pPr>
        <w:spacing w:line="360" w:lineRule="auto"/>
        <w:ind w:firstLine="480"/>
        <w:rPr>
          <w:rFonts w:hint="eastAsia" w:ascii="宋体" w:hAnsi="宋体" w:cs="宋体"/>
          <w:color w:val="auto"/>
          <w:highlight w:val="none"/>
        </w:rPr>
      </w:pPr>
      <w:r>
        <w:rPr>
          <w:rFonts w:hint="eastAsia" w:ascii="宋体" w:hAnsi="宋体" w:cs="宋体"/>
          <w:color w:val="auto"/>
          <w:highlight w:val="none"/>
        </w:rPr>
        <w:t xml:space="preserve">7.特别说明： </w:t>
      </w:r>
    </w:p>
    <w:p w14:paraId="261EB83F">
      <w:pPr>
        <w:spacing w:line="360" w:lineRule="auto"/>
        <w:ind w:firstLine="480"/>
        <w:rPr>
          <w:rFonts w:hint="eastAsia" w:ascii="宋体" w:hAnsi="宋体" w:cs="宋体"/>
          <w:color w:val="auto"/>
          <w:highlight w:val="none"/>
        </w:rPr>
      </w:pPr>
      <w:r>
        <w:rPr>
          <w:rFonts w:hint="eastAsia" w:ascii="宋体" w:hAnsi="宋体" w:cs="宋体"/>
          <w:color w:val="auto"/>
          <w:highlight w:val="none"/>
        </w:rPr>
        <w:t>7.1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F23AF2">
      <w:pPr>
        <w:spacing w:line="360" w:lineRule="auto"/>
        <w:ind w:firstLine="480"/>
        <w:rPr>
          <w:rFonts w:hint="eastAsia" w:ascii="宋体" w:hAnsi="宋体" w:cs="宋体"/>
          <w:color w:val="auto"/>
          <w:highlight w:val="none"/>
        </w:rPr>
      </w:pPr>
      <w:r>
        <w:rPr>
          <w:rFonts w:hint="eastAsia" w:ascii="宋体" w:hAnsi="宋体" w:cs="宋体"/>
          <w:color w:val="auto"/>
          <w:highlight w:val="none"/>
        </w:rPr>
        <w:t>7.2▲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14:paraId="65713986">
      <w:pPr>
        <w:spacing w:line="360" w:lineRule="auto"/>
        <w:ind w:firstLine="480"/>
        <w:rPr>
          <w:rFonts w:hint="eastAsia" w:ascii="宋体" w:hAnsi="宋体" w:cs="宋体"/>
          <w:color w:val="auto"/>
          <w:highlight w:val="none"/>
        </w:rPr>
      </w:pPr>
      <w:r>
        <w:rPr>
          <w:rFonts w:hint="eastAsia" w:ascii="宋体" w:hAnsi="宋体" w:cs="宋体"/>
          <w:color w:val="auto"/>
          <w:highlight w:val="none"/>
        </w:rPr>
        <w:t>7.3▲投标人应仔细阅读招标文件的所有内容，按照招标文件的要求提交投标文件，并对所提供的全部资料的真实性承担法律责任。</w:t>
      </w:r>
    </w:p>
    <w:p w14:paraId="461D1B68">
      <w:pPr>
        <w:tabs>
          <w:tab w:val="left" w:pos="1800"/>
        </w:tabs>
        <w:spacing w:line="360" w:lineRule="auto"/>
        <w:ind w:firstLine="480"/>
        <w:rPr>
          <w:rFonts w:hint="eastAsia" w:ascii="宋体" w:hAnsi="宋体" w:cs="宋体"/>
          <w:color w:val="auto"/>
          <w:highlight w:val="none"/>
        </w:rPr>
      </w:pPr>
      <w:r>
        <w:rPr>
          <w:rFonts w:hint="eastAsia" w:ascii="宋体" w:hAnsi="宋体" w:cs="宋体"/>
          <w:color w:val="auto"/>
          <w:highlight w:val="none"/>
        </w:rPr>
        <w:t>7.4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D5539EF">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7.5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0F248EEF">
      <w:pPr>
        <w:spacing w:line="360" w:lineRule="auto"/>
        <w:ind w:firstLine="480"/>
        <w:rPr>
          <w:rFonts w:hint="eastAsia" w:ascii="宋体" w:hAnsi="宋体" w:cs="宋体"/>
          <w:color w:val="auto"/>
          <w:highlight w:val="none"/>
        </w:rPr>
      </w:pPr>
      <w:r>
        <w:rPr>
          <w:rFonts w:hint="eastAsia" w:ascii="宋体" w:hAnsi="宋体" w:cs="宋体"/>
          <w:color w:val="auto"/>
          <w:highlight w:val="none"/>
        </w:rPr>
        <w:t>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458DB908">
      <w:pPr>
        <w:spacing w:line="360" w:lineRule="auto"/>
        <w:ind w:firstLine="482"/>
        <w:rPr>
          <w:rFonts w:hint="eastAsia" w:ascii="宋体" w:hAnsi="宋体" w:cs="宋体"/>
          <w:b/>
          <w:bCs/>
          <w:color w:val="auto"/>
          <w:highlight w:val="none"/>
          <w:lang w:val="zh-CN"/>
        </w:rPr>
      </w:pPr>
      <w:r>
        <w:rPr>
          <w:rFonts w:hint="eastAsia" w:ascii="宋体" w:hAnsi="宋体" w:cs="宋体"/>
          <w:b/>
          <w:bCs/>
          <w:color w:val="auto"/>
          <w:highlight w:val="none"/>
          <w:lang w:val="zh-CN"/>
        </w:rPr>
        <w:t>8</w:t>
      </w:r>
      <w:r>
        <w:rPr>
          <w:rFonts w:hint="eastAsia" w:ascii="宋体" w:hAnsi="宋体" w:cs="宋体"/>
          <w:b/>
          <w:bCs/>
          <w:color w:val="auto"/>
          <w:highlight w:val="none"/>
        </w:rPr>
        <w:t>.</w:t>
      </w:r>
      <w:r>
        <w:rPr>
          <w:rFonts w:hint="eastAsia" w:ascii="宋体" w:hAnsi="宋体" w:cs="宋体"/>
          <w:b/>
          <w:bCs/>
          <w:color w:val="auto"/>
          <w:highlight w:val="none"/>
          <w:lang w:val="zh-CN"/>
        </w:rPr>
        <w:t>落实政府采购政策需满足的要求</w:t>
      </w:r>
    </w:p>
    <w:p w14:paraId="6D2503C7">
      <w:pPr>
        <w:spacing w:line="360" w:lineRule="auto"/>
        <w:ind w:firstLine="480"/>
        <w:rPr>
          <w:rFonts w:hint="eastAsia" w:ascii="宋体" w:hAnsi="宋体" w:cs="宋体"/>
          <w:color w:val="auto"/>
          <w:highlight w:val="none"/>
        </w:rPr>
      </w:pPr>
      <w:r>
        <w:rPr>
          <w:rFonts w:hint="eastAsia" w:ascii="宋体" w:hAnsi="宋体" w:cs="宋体"/>
          <w:color w:val="auto"/>
          <w:highlight w:val="none"/>
        </w:rPr>
        <w:t>8.1可享受中小企业扶持政策的条件</w:t>
      </w:r>
    </w:p>
    <w:p w14:paraId="053703FF">
      <w:pPr>
        <w:spacing w:line="360" w:lineRule="auto"/>
        <w:ind w:firstLine="480"/>
        <w:rPr>
          <w:rFonts w:hint="eastAsia" w:ascii="宋体" w:hAnsi="宋体" w:cs="宋体"/>
          <w:color w:val="auto"/>
          <w:highlight w:val="none"/>
        </w:rPr>
      </w:pPr>
      <w:r>
        <w:rPr>
          <w:rFonts w:hint="eastAsia" w:ascii="宋体" w:hAnsi="宋体" w:cs="宋体"/>
          <w:color w:val="auto"/>
          <w:highlight w:val="none"/>
        </w:rPr>
        <w:t>依照财政部工业和信息化部《政府采购促进中小企业发展管理办法》（财库（2020)46号）规定及浙财采购【2022】3号文件的相关规定，中型、小型和微型企业参加政府采购活动的须提供《中小企业声明函》（格式见附件），否则不得享受相关中小企业扶持政策。经采购人确认，本项目不面向中小企业招标。供应商应为中小微企业/监狱企业/残疾人福利性单位享受20%的价格折扣优惠。</w:t>
      </w:r>
    </w:p>
    <w:p w14:paraId="6A993657">
      <w:pPr>
        <w:spacing w:line="360" w:lineRule="auto"/>
        <w:ind w:firstLine="480"/>
        <w:rPr>
          <w:rFonts w:hint="eastAsia" w:ascii="宋体" w:hAnsi="宋体" w:cs="宋体"/>
          <w:color w:val="auto"/>
          <w:highlight w:val="none"/>
        </w:rPr>
      </w:pPr>
      <w:r>
        <w:rPr>
          <w:rFonts w:hint="eastAsia" w:ascii="宋体" w:hAnsi="宋体" w:cs="宋体"/>
          <w:color w:val="auto"/>
          <w:highlight w:val="none"/>
        </w:rPr>
        <w:t>8.2中小型微型企业划型标准</w:t>
      </w:r>
    </w:p>
    <w:p w14:paraId="1D093A22">
      <w:pPr>
        <w:spacing w:line="360" w:lineRule="auto"/>
        <w:ind w:firstLine="480"/>
        <w:rPr>
          <w:rFonts w:hint="eastAsia" w:ascii="宋体" w:hAnsi="宋体" w:cs="宋体"/>
          <w:color w:val="auto"/>
          <w:highlight w:val="none"/>
        </w:rPr>
      </w:pPr>
      <w:r>
        <w:rPr>
          <w:rFonts w:hint="eastAsia" w:ascii="宋体" w:hAnsi="宋体" w:cs="宋体"/>
          <w:color w:val="auto"/>
          <w:highlight w:val="none"/>
        </w:rPr>
        <w:t>8.2.1 在中华人民共和国境内依法设立，依据《关于印发中小企业划型标准规定的通知》（工信部联企业〔2011〕300号）确定的小型企业和微型企业，但与中型或大企业的负责人为同一人，或者与中型、大企业存在直接控股、管理关系的除外。</w:t>
      </w:r>
    </w:p>
    <w:p w14:paraId="0A682C80">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符合中小企业划分标准的个体工商户，在政府采购活动中视同小型企业和微型企业。</w:t>
      </w:r>
    </w:p>
    <w:p w14:paraId="11C36A3C">
      <w:pPr>
        <w:spacing w:line="360" w:lineRule="auto"/>
        <w:ind w:firstLine="482"/>
        <w:rPr>
          <w:rFonts w:hint="eastAsia" w:ascii="宋体" w:hAnsi="宋体" w:cs="宋体"/>
          <w:color w:val="auto"/>
          <w:highlight w:val="none"/>
        </w:rPr>
      </w:pPr>
      <w:r>
        <w:rPr>
          <w:rFonts w:hint="eastAsia" w:ascii="宋体" w:hAnsi="宋体" w:cs="宋体"/>
          <w:b/>
          <w:bCs/>
          <w:color w:val="auto"/>
          <w:highlight w:val="none"/>
        </w:rPr>
        <w:t>8.2.2所属行业：租赁和商务服务业。</w:t>
      </w:r>
      <w:r>
        <w:rPr>
          <w:rFonts w:hint="eastAsia" w:ascii="宋体" w:hAnsi="宋体" w:cs="宋体"/>
          <w:color w:val="auto"/>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21617A5">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8.2.3享受小微企业的供应商，应当提供《中小企业声明函》，未提供或者提供的材料不符合规定的不予认可。</w:t>
      </w:r>
    </w:p>
    <w:p w14:paraId="6C44619B">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8.3监狱企业</w:t>
      </w:r>
    </w:p>
    <w:p w14:paraId="39D0A0E3">
      <w:pPr>
        <w:pStyle w:val="3"/>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根据财政部、司法部《关于政府采购支持监狱企业发展有关问题的通知》(财库(2014)68号)文件精神，监狱企业视同小微企业。</w:t>
      </w:r>
    </w:p>
    <w:p w14:paraId="5F768953">
      <w:pPr>
        <w:pStyle w:val="3"/>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监狱企业应当提供《监狱企业声明函》及由省级以上监狱管理局、戒毒管理局(含新疆生产建设兵团)出具的属于监狱企业的证明文件。</w:t>
      </w:r>
    </w:p>
    <w:p w14:paraId="5AC1D47F">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8.4残疾人福利性单位</w:t>
      </w:r>
    </w:p>
    <w:p w14:paraId="6AD56891">
      <w:pPr>
        <w:pStyle w:val="3"/>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根据财政部民政部中国残疾人联合会(关于促进残疾人就业政府采购政策的通知》(财库(2017)141号)文件精神，残疾人福利性单位视同小微企业。</w:t>
      </w:r>
    </w:p>
    <w:p w14:paraId="119AEE11">
      <w:pPr>
        <w:spacing w:line="360" w:lineRule="auto"/>
        <w:ind w:firstLine="480"/>
        <w:rPr>
          <w:rFonts w:hint="eastAsia" w:ascii="宋体" w:hAnsi="宋体" w:cs="宋体"/>
          <w:color w:val="auto"/>
          <w:highlight w:val="none"/>
        </w:rPr>
      </w:pPr>
      <w:r>
        <w:rPr>
          <w:rFonts w:hint="eastAsia" w:ascii="宋体" w:hAnsi="宋体" w:cs="宋体"/>
          <w:color w:val="auto"/>
          <w:highlight w:val="none"/>
        </w:rPr>
        <w:t>（1）享受小微企业价格折扣的供应商，应当提供《中小企业声明函》，监狱企业应当提供《监狱企业声明函》及由省级以上监狱管理局、戒毒管理局(含新疆生产建设兵团)出具的属于监狱企业的证明文件，残疾人福利性单位应当提供《残疾人福利性单位声明函》，未提供或提供的材料不符合规定的不予价格扣除。</w:t>
      </w:r>
    </w:p>
    <w:p w14:paraId="221D8F52">
      <w:pPr>
        <w:spacing w:line="360" w:lineRule="auto"/>
        <w:ind w:firstLine="480"/>
        <w:rPr>
          <w:rFonts w:hint="eastAsia" w:ascii="宋体" w:hAnsi="宋体" w:cs="宋体"/>
          <w:color w:val="auto"/>
          <w:highlight w:val="none"/>
        </w:rPr>
      </w:pPr>
      <w:r>
        <w:rPr>
          <w:rFonts w:hint="eastAsia" w:ascii="宋体" w:hAnsi="宋体" w:cs="宋体"/>
          <w:color w:val="auto"/>
          <w:highlight w:val="none"/>
        </w:rPr>
        <w:t>（2）监狱企业、残疾人福利性单位属于小型微型企业的，不重复享受小微企业优惠政策。</w:t>
      </w:r>
    </w:p>
    <w:p w14:paraId="1B8A0733">
      <w:pPr>
        <w:pStyle w:val="5"/>
        <w:spacing w:before="0" w:beforeLines="0" w:after="0" w:afterLines="0" w:line="360" w:lineRule="auto"/>
        <w:rPr>
          <w:rFonts w:hint="eastAsia" w:ascii="宋体" w:hAnsi="宋体" w:cs="宋体"/>
          <w:color w:val="auto"/>
          <w:sz w:val="24"/>
          <w:szCs w:val="24"/>
          <w:highlight w:val="none"/>
        </w:rPr>
      </w:pPr>
      <w:bookmarkStart w:id="171" w:name="_Toc27923"/>
      <w:r>
        <w:rPr>
          <w:rFonts w:hint="eastAsia" w:ascii="宋体" w:hAnsi="宋体" w:cs="宋体"/>
          <w:color w:val="auto"/>
          <w:sz w:val="24"/>
          <w:szCs w:val="24"/>
          <w:highlight w:val="none"/>
        </w:rPr>
        <w:t>二、招标文件说明</w:t>
      </w:r>
      <w:bookmarkEnd w:id="159"/>
      <w:bookmarkEnd w:id="160"/>
      <w:bookmarkEnd w:id="161"/>
      <w:bookmarkEnd w:id="162"/>
      <w:bookmarkEnd w:id="171"/>
    </w:p>
    <w:p w14:paraId="5FAAC070">
      <w:pPr>
        <w:numPr>
          <w:ilvl w:val="1"/>
          <w:numId w:val="0"/>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9.招标文件的组成</w:t>
      </w:r>
    </w:p>
    <w:p w14:paraId="5E6965F5">
      <w:pPr>
        <w:spacing w:line="360" w:lineRule="auto"/>
        <w:ind w:firstLine="480"/>
        <w:rPr>
          <w:rFonts w:hint="eastAsia" w:ascii="宋体" w:hAnsi="宋体" w:cs="宋体"/>
          <w:color w:val="auto"/>
          <w:highlight w:val="none"/>
        </w:rPr>
      </w:pPr>
      <w:r>
        <w:rPr>
          <w:rFonts w:hint="eastAsia" w:ascii="宋体" w:hAnsi="宋体" w:cs="宋体"/>
          <w:color w:val="auto"/>
          <w:highlight w:val="none"/>
        </w:rPr>
        <w:t>9.1招标公告</w:t>
      </w:r>
    </w:p>
    <w:p w14:paraId="6A3DCCA5">
      <w:pPr>
        <w:spacing w:line="360" w:lineRule="auto"/>
        <w:ind w:firstLine="480"/>
        <w:rPr>
          <w:rFonts w:hint="eastAsia" w:ascii="宋体" w:hAnsi="宋体" w:cs="宋体"/>
          <w:color w:val="auto"/>
          <w:highlight w:val="none"/>
        </w:rPr>
      </w:pPr>
      <w:r>
        <w:rPr>
          <w:rFonts w:hint="eastAsia" w:ascii="宋体" w:hAnsi="宋体" w:cs="宋体"/>
          <w:color w:val="auto"/>
          <w:highlight w:val="none"/>
        </w:rPr>
        <w:t>9.2投标须知前附表及投标须知</w:t>
      </w:r>
    </w:p>
    <w:p w14:paraId="4FFA84A4">
      <w:pPr>
        <w:spacing w:line="360" w:lineRule="auto"/>
        <w:ind w:firstLine="480"/>
        <w:rPr>
          <w:rFonts w:hint="eastAsia" w:ascii="宋体" w:hAnsi="宋体" w:cs="宋体"/>
          <w:color w:val="auto"/>
          <w:highlight w:val="none"/>
        </w:rPr>
      </w:pPr>
      <w:r>
        <w:rPr>
          <w:rFonts w:hint="eastAsia" w:ascii="宋体" w:hAnsi="宋体" w:cs="宋体"/>
          <w:color w:val="auto"/>
          <w:highlight w:val="none"/>
        </w:rPr>
        <w:t>9.3采购内容及要求</w:t>
      </w:r>
    </w:p>
    <w:p w14:paraId="7A2BC266">
      <w:pPr>
        <w:spacing w:line="360" w:lineRule="auto"/>
        <w:ind w:firstLine="480"/>
        <w:rPr>
          <w:rFonts w:hint="eastAsia" w:ascii="宋体" w:hAnsi="宋体" w:cs="宋体"/>
          <w:color w:val="auto"/>
          <w:highlight w:val="none"/>
        </w:rPr>
      </w:pPr>
      <w:r>
        <w:rPr>
          <w:rFonts w:hint="eastAsia" w:ascii="宋体" w:hAnsi="宋体" w:cs="宋体"/>
          <w:color w:val="auto"/>
          <w:highlight w:val="none"/>
        </w:rPr>
        <w:t>9.4合同主要条款</w:t>
      </w:r>
    </w:p>
    <w:p w14:paraId="51B150AC">
      <w:pPr>
        <w:spacing w:line="360" w:lineRule="auto"/>
        <w:ind w:firstLine="480"/>
        <w:rPr>
          <w:rFonts w:hint="eastAsia" w:ascii="宋体" w:hAnsi="宋体" w:cs="宋体"/>
          <w:color w:val="auto"/>
          <w:highlight w:val="none"/>
        </w:rPr>
      </w:pPr>
      <w:r>
        <w:rPr>
          <w:rFonts w:hint="eastAsia" w:ascii="宋体" w:hAnsi="宋体" w:cs="宋体"/>
          <w:color w:val="auto"/>
          <w:highlight w:val="none"/>
        </w:rPr>
        <w:t>9.5应提交的有关格式范例</w:t>
      </w:r>
    </w:p>
    <w:p w14:paraId="03D71C8F">
      <w:pPr>
        <w:spacing w:line="360" w:lineRule="auto"/>
        <w:ind w:firstLine="480"/>
        <w:rPr>
          <w:rFonts w:hint="eastAsia" w:ascii="宋体" w:hAnsi="宋体" w:cs="宋体"/>
          <w:color w:val="auto"/>
          <w:highlight w:val="none"/>
        </w:rPr>
      </w:pPr>
      <w:r>
        <w:rPr>
          <w:rFonts w:hint="eastAsia" w:ascii="宋体" w:hAnsi="宋体" w:cs="宋体"/>
          <w:color w:val="auto"/>
          <w:highlight w:val="none"/>
        </w:rPr>
        <w:t>9.6评标办法及开评标程序</w:t>
      </w:r>
    </w:p>
    <w:p w14:paraId="1FC356BF">
      <w:pPr>
        <w:numPr>
          <w:ilvl w:val="1"/>
          <w:numId w:val="0"/>
        </w:num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10.招标文件的澄清及修改</w:t>
      </w:r>
    </w:p>
    <w:p w14:paraId="70AF8FB8">
      <w:pPr>
        <w:spacing w:line="360" w:lineRule="auto"/>
        <w:ind w:firstLine="480"/>
        <w:rPr>
          <w:rFonts w:hint="eastAsia" w:ascii="宋体" w:hAnsi="宋体" w:cs="宋体"/>
          <w:color w:val="auto"/>
          <w:highlight w:val="none"/>
        </w:rPr>
      </w:pPr>
      <w:r>
        <w:rPr>
          <w:rFonts w:hint="eastAsia" w:ascii="宋体" w:hAnsi="宋体" w:cs="宋体"/>
          <w:color w:val="auto"/>
          <w:highlight w:val="none"/>
        </w:rPr>
        <w:t>10.1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浙江省政府采购网（https://zfcg.czt.zj.gov.cn/）公布澄清，投标人自行到网上查看。无论是采购人根据需要主动对招标文件进行必要的修改或是根据投标人的要求对招标文件做出答复（答复中不包括问题的来源），并视为本招标文件的组成部分。</w:t>
      </w:r>
    </w:p>
    <w:p w14:paraId="5056D2D0">
      <w:pPr>
        <w:spacing w:line="360" w:lineRule="auto"/>
        <w:ind w:firstLine="480"/>
        <w:rPr>
          <w:rFonts w:hint="eastAsia" w:ascii="宋体" w:hAnsi="宋体" w:cs="宋体"/>
          <w:color w:val="auto"/>
          <w:highlight w:val="none"/>
        </w:rPr>
      </w:pPr>
      <w:r>
        <w:rPr>
          <w:rFonts w:hint="eastAsia" w:ascii="宋体" w:hAnsi="宋体" w:cs="宋体"/>
          <w:color w:val="auto"/>
          <w:highlight w:val="none"/>
        </w:rPr>
        <w:t>10.2采购人可对已发出的采购文件进行必要的澄清或修改，如澄清或修改的内容可能影响投标文件编制的，采购人应当在投标截止时间至少15日前，在采购公告原发布媒体上发布更正公告；不足15日的，采购人将顺延提交投标文件的截止时间。如澄清或修改的内容不影响投标文件编制的，采购人将不延长提交投标文件的截止时间。</w:t>
      </w:r>
    </w:p>
    <w:p w14:paraId="15F0C68F">
      <w:pPr>
        <w:spacing w:line="360" w:lineRule="auto"/>
        <w:ind w:firstLine="480"/>
        <w:rPr>
          <w:rFonts w:hint="eastAsia" w:ascii="宋体" w:hAnsi="宋体" w:eastAsia="宋体" w:cs="宋体"/>
          <w:color w:val="auto"/>
          <w:highlight w:val="none"/>
          <w:lang w:eastAsia="zh-CN"/>
        </w:rPr>
      </w:pPr>
      <w:r>
        <w:rPr>
          <w:rFonts w:hint="eastAsia" w:ascii="宋体" w:hAnsi="宋体" w:cs="宋体"/>
          <w:color w:val="auto"/>
          <w:highlight w:val="none"/>
        </w:rPr>
        <w:t>10.3投标人对采购文件有异议的，公告期限内获取采购文件的供应商应在自收到采购文件之日（获取采购文件之日）起7个工作日内，公告期限外获取采购文件的供应商应在公告期限届满之日起7个工作日内，以线上或书面形式向采购人、代理机构提出质疑，逾期将不予受理。采购人将在收到异议之日起7个工作日内作出答复，有变更的在本采购信息发布媒体上发布变更公告，公告内容作为采购文件的构成部分</w:t>
      </w:r>
      <w:r>
        <w:rPr>
          <w:rFonts w:hint="eastAsia" w:ascii="宋体" w:hAnsi="宋体" w:cs="宋体"/>
          <w:color w:val="auto"/>
          <w:highlight w:val="none"/>
          <w:lang w:eastAsia="zh-CN"/>
        </w:rPr>
        <w:t>。</w:t>
      </w:r>
    </w:p>
    <w:p w14:paraId="4B43AD76">
      <w:pPr>
        <w:spacing w:line="360" w:lineRule="auto"/>
        <w:ind w:firstLine="480"/>
        <w:rPr>
          <w:rFonts w:hint="eastAsia" w:ascii="宋体" w:hAnsi="宋体" w:cs="宋体"/>
          <w:color w:val="auto"/>
          <w:highlight w:val="none"/>
        </w:rPr>
      </w:pPr>
      <w:r>
        <w:rPr>
          <w:rFonts w:hint="eastAsia" w:ascii="宋体" w:hAnsi="宋体" w:cs="宋体"/>
          <w:color w:val="auto"/>
          <w:highlight w:val="none"/>
        </w:rPr>
        <w:t>10.4采购文件澄清、答复、更正、补充的内容为采购文件的组成部分。当采购文件与采购文件的答复、澄清、更正、补充通知就同一内容的表述不一致时，以最后发出的书面文件为准。</w:t>
      </w:r>
    </w:p>
    <w:p w14:paraId="5235E1C2">
      <w:pPr>
        <w:spacing w:line="360" w:lineRule="auto"/>
        <w:ind w:firstLine="480"/>
        <w:rPr>
          <w:rFonts w:hint="eastAsia" w:ascii="宋体" w:hAnsi="宋体" w:cs="宋体"/>
          <w:color w:val="auto"/>
          <w:highlight w:val="none"/>
        </w:rPr>
      </w:pPr>
      <w:r>
        <w:rPr>
          <w:rFonts w:hint="eastAsia" w:ascii="宋体" w:hAnsi="宋体" w:cs="宋体"/>
          <w:color w:val="auto"/>
          <w:highlight w:val="none"/>
        </w:rPr>
        <w:t>10.5投标人应及时关注采购公告原发布媒体上针对本项目的答疑、补充、修改等通知，投标人因自身疏忽而导致投标文件不能实质响应或其他损失，其产生的后果由供应商自身承担。</w:t>
      </w:r>
    </w:p>
    <w:bookmarkEnd w:id="163"/>
    <w:bookmarkEnd w:id="164"/>
    <w:bookmarkEnd w:id="165"/>
    <w:bookmarkEnd w:id="166"/>
    <w:bookmarkEnd w:id="167"/>
    <w:bookmarkEnd w:id="168"/>
    <w:bookmarkEnd w:id="169"/>
    <w:bookmarkEnd w:id="170"/>
    <w:p w14:paraId="1197F664">
      <w:pPr>
        <w:pStyle w:val="5"/>
        <w:spacing w:before="0" w:beforeLines="0" w:after="0" w:afterLines="0" w:line="360" w:lineRule="auto"/>
        <w:rPr>
          <w:rFonts w:hint="eastAsia" w:ascii="宋体" w:hAnsi="宋体" w:cs="宋体"/>
          <w:color w:val="auto"/>
          <w:sz w:val="24"/>
          <w:szCs w:val="24"/>
          <w:highlight w:val="none"/>
        </w:rPr>
      </w:pPr>
      <w:bookmarkStart w:id="172" w:name="_Toc17168"/>
      <w:bookmarkStart w:id="173" w:name="_Toc15453"/>
      <w:bookmarkStart w:id="174" w:name="_Toc13565"/>
      <w:bookmarkStart w:id="175" w:name="_Toc14808"/>
      <w:bookmarkStart w:id="176" w:name="_Toc18279"/>
      <w:r>
        <w:rPr>
          <w:rFonts w:hint="eastAsia" w:ascii="宋体" w:hAnsi="宋体" w:cs="宋体"/>
          <w:color w:val="auto"/>
          <w:sz w:val="24"/>
          <w:szCs w:val="24"/>
          <w:highlight w:val="none"/>
        </w:rPr>
        <w:t>三、投标文件的编写</w:t>
      </w:r>
      <w:bookmarkEnd w:id="172"/>
      <w:bookmarkEnd w:id="173"/>
      <w:bookmarkEnd w:id="174"/>
      <w:bookmarkEnd w:id="175"/>
      <w:bookmarkEnd w:id="176"/>
    </w:p>
    <w:p w14:paraId="69DC8400">
      <w:pPr>
        <w:spacing w:line="360" w:lineRule="auto"/>
        <w:ind w:firstLine="480"/>
        <w:rPr>
          <w:rFonts w:hint="eastAsia" w:ascii="宋体" w:hAnsi="宋体" w:cs="宋体"/>
          <w:color w:val="auto"/>
          <w:highlight w:val="none"/>
        </w:rPr>
      </w:pPr>
      <w:r>
        <w:rPr>
          <w:rFonts w:hint="eastAsia" w:ascii="宋体" w:hAnsi="宋体" w:cs="宋体"/>
          <w:color w:val="auto"/>
          <w:highlight w:val="none"/>
        </w:rPr>
        <w:t>11.要求</w:t>
      </w:r>
    </w:p>
    <w:p w14:paraId="5E13275C">
      <w:pPr>
        <w:spacing w:line="360" w:lineRule="auto"/>
        <w:ind w:firstLine="480"/>
        <w:rPr>
          <w:rFonts w:hint="eastAsia" w:ascii="宋体" w:hAnsi="宋体" w:cs="宋体"/>
          <w:color w:val="auto"/>
          <w:highlight w:val="none"/>
        </w:rPr>
      </w:pPr>
      <w:r>
        <w:rPr>
          <w:rFonts w:hint="eastAsia" w:ascii="宋体" w:hAnsi="宋体" w:cs="宋体"/>
          <w:color w:val="auto"/>
          <w:highlight w:val="none"/>
        </w:rPr>
        <w:t>11.1供应商应仔细阅读招标文件的所有内容，按本文件的要求提供投标文件，并保证所提供的全部资料的真实性，以使其投标文件对招标文件作出实质性响应，否则，其投标文件可能导致废标处理。</w:t>
      </w:r>
    </w:p>
    <w:p w14:paraId="639D76D2">
      <w:pPr>
        <w:spacing w:line="360" w:lineRule="auto"/>
        <w:ind w:firstLine="480"/>
        <w:rPr>
          <w:rFonts w:hint="eastAsia" w:ascii="宋体" w:hAnsi="宋体" w:cs="宋体"/>
          <w:color w:val="auto"/>
          <w:highlight w:val="none"/>
        </w:rPr>
      </w:pPr>
      <w:r>
        <w:rPr>
          <w:rFonts w:hint="eastAsia" w:ascii="宋体" w:hAnsi="宋体" w:cs="宋体"/>
          <w:color w:val="auto"/>
          <w:highlight w:val="none"/>
        </w:rPr>
        <w:t>11.2投标文件及供应商与采购有关的来往通知，函件和文件均应使用中文。</w:t>
      </w:r>
    </w:p>
    <w:p w14:paraId="2D72727E">
      <w:pPr>
        <w:spacing w:line="360" w:lineRule="auto"/>
        <w:ind w:firstLine="480"/>
        <w:rPr>
          <w:rFonts w:hint="eastAsia" w:ascii="宋体" w:hAnsi="宋体" w:cs="宋体"/>
          <w:color w:val="auto"/>
          <w:highlight w:val="none"/>
        </w:rPr>
      </w:pPr>
      <w:r>
        <w:rPr>
          <w:rFonts w:hint="eastAsia" w:ascii="宋体" w:hAnsi="宋体" w:cs="宋体"/>
          <w:color w:val="auto"/>
          <w:highlight w:val="none"/>
        </w:rPr>
        <w:t>11.3供应商应按本文件中提供的文件格式、内容和要求制作投标文件。</w:t>
      </w:r>
    </w:p>
    <w:p w14:paraId="3BEF41CC">
      <w:pPr>
        <w:spacing w:line="360" w:lineRule="auto"/>
        <w:ind w:firstLine="480"/>
        <w:rPr>
          <w:rFonts w:hint="eastAsia" w:ascii="宋体" w:hAnsi="宋体" w:cs="宋体"/>
          <w:color w:val="auto"/>
          <w:highlight w:val="none"/>
        </w:rPr>
      </w:pPr>
      <w:r>
        <w:rPr>
          <w:rFonts w:hint="eastAsia" w:ascii="宋体" w:hAnsi="宋体" w:cs="宋体"/>
          <w:color w:val="auto"/>
          <w:highlight w:val="none"/>
        </w:rPr>
        <w:t>11.4投标文件的形式</w:t>
      </w:r>
    </w:p>
    <w:p w14:paraId="44C3DEA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投标文件为电子投标文件。电子投标文件按政采云平台《政府采购项目电子交易管理操作指南-供应商》“2.3投标文件制作、上传”及本招标文件要求制作并递交。网址：</w:t>
      </w:r>
      <w:r>
        <w:rPr>
          <w:color w:val="auto"/>
          <w:highlight w:val="none"/>
        </w:rPr>
        <w:fldChar w:fldCharType="begin"/>
      </w:r>
      <w:r>
        <w:rPr>
          <w:color w:val="auto"/>
          <w:highlight w:val="none"/>
        </w:rPr>
        <w:instrText xml:space="preserve"> HYPERLINK "https://service.zcygov.cn/" \l "/knowledges/CW1EtGwBFdiHxlNd6I3m/6IMVAG0BFdiHxlNdQ8Na" </w:instrText>
      </w:r>
      <w:r>
        <w:rPr>
          <w:color w:val="auto"/>
          <w:highlight w:val="none"/>
        </w:rPr>
        <w:fldChar w:fldCharType="separate"/>
      </w:r>
      <w:r>
        <w:rPr>
          <w:rStyle w:val="24"/>
          <w:rFonts w:hint="eastAsia" w:ascii="宋体" w:hAnsi="宋体" w:cs="宋体"/>
          <w:color w:val="auto"/>
          <w:highlight w:val="none"/>
        </w:rPr>
        <w:t>https://service.zcygov.cn/#/knowledges/CW1EtGwBFdiHxlNd6I3m/6IMVAG0BFdiHxlNdQ8Na</w:t>
      </w:r>
      <w:r>
        <w:rPr>
          <w:rStyle w:val="24"/>
          <w:rFonts w:hint="eastAsia" w:ascii="宋体" w:hAnsi="宋体" w:cs="宋体"/>
          <w:color w:val="auto"/>
          <w:highlight w:val="none"/>
        </w:rPr>
        <w:fldChar w:fldCharType="end"/>
      </w:r>
    </w:p>
    <w:p w14:paraId="75644006">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12.投标文件的组成</w:t>
      </w:r>
    </w:p>
    <w:p w14:paraId="52C5F61A">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投标文件（电子投标文件）应分为【资格审查文件】、【资信技术文件】和【报价文件】。电子投标文件中须加盖公章部分均采用CA签章。</w:t>
      </w:r>
    </w:p>
    <w:p w14:paraId="6833D3A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12.1【资格审查文件】</w:t>
      </w:r>
    </w:p>
    <w:p w14:paraId="0CC729A2">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▲投标人基本情况表（格式见附件）（附件1）</w:t>
      </w:r>
    </w:p>
    <w:p w14:paraId="4BB09393">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▲12.1.1投标函（附件2）；</w:t>
      </w:r>
    </w:p>
    <w:p w14:paraId="41DF1179">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▲12.1.2法定代表人（负责人）身份证明或法定代表人（负责人）授权委托书（附件3）；</w:t>
      </w:r>
    </w:p>
    <w:p w14:paraId="6613697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▲12.1.3</w:t>
      </w:r>
      <w:r>
        <w:rPr>
          <w:rFonts w:hint="eastAsia" w:ascii="宋体" w:hAnsi="宋体" w:cs="宋体"/>
          <w:bCs/>
          <w:color w:val="auto"/>
          <w:highlight w:val="none"/>
        </w:rPr>
        <w:t>提供有效的营业执照</w:t>
      </w:r>
      <w:r>
        <w:rPr>
          <w:rFonts w:hint="eastAsia" w:ascii="宋体" w:hAnsi="宋体" w:cs="宋体"/>
          <w:bCs/>
          <w:color w:val="auto"/>
          <w:highlight w:val="none"/>
          <w:lang w:val="en-US" w:eastAsia="zh-CN"/>
        </w:rPr>
        <w:t>复印件</w:t>
      </w:r>
      <w:r>
        <w:rPr>
          <w:rFonts w:hint="eastAsia" w:ascii="宋体" w:hAnsi="宋体" w:cs="宋体"/>
          <w:bCs/>
          <w:color w:val="auto"/>
          <w:highlight w:val="none"/>
        </w:rPr>
        <w:t>扫描件；</w:t>
      </w:r>
    </w:p>
    <w:p w14:paraId="0F3B61AD">
      <w:pPr>
        <w:adjustRightInd w:val="0"/>
        <w:snapToGrid w:val="0"/>
        <w:spacing w:line="360" w:lineRule="auto"/>
        <w:ind w:firstLine="480"/>
        <w:rPr>
          <w:rFonts w:hint="eastAsia" w:ascii="宋体" w:hAnsi="宋体" w:cs="宋体"/>
          <w:bCs/>
          <w:color w:val="auto"/>
          <w:highlight w:val="none"/>
        </w:rPr>
      </w:pPr>
      <w:r>
        <w:rPr>
          <w:rFonts w:hint="eastAsia" w:ascii="宋体" w:hAnsi="宋体" w:cs="宋体"/>
          <w:color w:val="auto"/>
          <w:highlight w:val="none"/>
        </w:rPr>
        <w:t>▲12.1</w:t>
      </w:r>
      <w:r>
        <w:rPr>
          <w:rFonts w:hint="eastAsia" w:ascii="宋体" w:hAnsi="宋体" w:cs="宋体"/>
          <w:bCs/>
          <w:color w:val="auto"/>
          <w:highlight w:val="none"/>
        </w:rPr>
        <w:t>.4近三年内，在经营活动中没有重大违法记录的承诺书（附件4）；</w:t>
      </w:r>
    </w:p>
    <w:p w14:paraId="6BA073E3">
      <w:pPr>
        <w:adjustRightInd w:val="0"/>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▲12.1.5具有良好的商业信誉和健全的财务会计制度，具有依法缴纳税收和社会保障资金的良好记录,提供《商业信誉承诺书》（附件5）</w:t>
      </w:r>
    </w:p>
    <w:p w14:paraId="08ED1482">
      <w:pPr>
        <w:adjustRightInd w:val="0"/>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▲12.1.6具有履行合同所必需的设备和专业技术能力,提供《履行合同所必需的设备和专业技术能力承诺书》（附件6）</w:t>
      </w:r>
    </w:p>
    <w:p w14:paraId="576BF9A3">
      <w:pPr>
        <w:adjustRightInd w:val="0"/>
        <w:snapToGrid w:val="0"/>
        <w:spacing w:line="360" w:lineRule="auto"/>
        <w:ind w:firstLine="480"/>
        <w:rPr>
          <w:rFonts w:hint="eastAsia" w:ascii="宋体" w:hAnsi="宋体" w:cs="宋体"/>
          <w:color w:val="auto"/>
          <w:highlight w:val="none"/>
        </w:rPr>
      </w:pPr>
      <w:r>
        <w:rPr>
          <w:rFonts w:hint="eastAsia" w:ascii="宋体" w:hAnsi="宋体" w:cs="宋体"/>
          <w:bCs/>
          <w:color w:val="auto"/>
          <w:highlight w:val="none"/>
        </w:rPr>
        <w:t>▲12.1.7</w:t>
      </w:r>
      <w:r>
        <w:rPr>
          <w:rFonts w:hint="eastAsia" w:ascii="宋体" w:hAnsi="宋体" w:cs="宋体"/>
          <w:color w:val="auto"/>
          <w:highlight w:val="none"/>
        </w:rPr>
        <w:t>本项目的特定资格要求：（1）投标人必须为经国家保险监督管理机构批准在中华人民共和国境内设立和营业的，并具有《保险许可证》；（2）若投标人无法人资格，须取得其总公司针对本项目的书面授权，且同一法人针对本项目的书面授权只能授予其所属的一个分（支）公司。</w:t>
      </w:r>
    </w:p>
    <w:p w14:paraId="78AD7883">
      <w:pPr>
        <w:adjustRightInd w:val="0"/>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12.2【资信技术文件】</w:t>
      </w:r>
    </w:p>
    <w:p w14:paraId="7E759BF5">
      <w:pPr>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12.2.1</w:t>
      </w:r>
      <w:r>
        <w:rPr>
          <w:rFonts w:hint="eastAsia" w:ascii="宋体" w:hAnsi="宋体" w:cs="宋体"/>
          <w:color w:val="auto"/>
          <w:highlight w:val="none"/>
          <w:lang w:val="zh-CN"/>
        </w:rPr>
        <w:t>评分索引表</w:t>
      </w:r>
    </w:p>
    <w:p w14:paraId="0AA7F778">
      <w:pPr>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12.2.2</w:t>
      </w:r>
      <w:r>
        <w:rPr>
          <w:rFonts w:hint="eastAsia" w:ascii="宋体" w:hAnsi="宋体" w:cs="宋体"/>
          <w:color w:val="auto"/>
          <w:highlight w:val="none"/>
          <w:lang w:val="zh-CN"/>
        </w:rPr>
        <w:t>投标人类似业绩一览表（附件</w:t>
      </w:r>
      <w:r>
        <w:rPr>
          <w:rFonts w:hint="eastAsia" w:ascii="宋体" w:hAnsi="宋体" w:cs="宋体"/>
          <w:color w:val="auto"/>
          <w:highlight w:val="none"/>
        </w:rPr>
        <w:t>7</w:t>
      </w:r>
      <w:r>
        <w:rPr>
          <w:rFonts w:hint="eastAsia" w:ascii="宋体" w:hAnsi="宋体" w:cs="宋体"/>
          <w:color w:val="auto"/>
          <w:highlight w:val="none"/>
          <w:lang w:val="zh-CN"/>
        </w:rPr>
        <w:t>）</w:t>
      </w:r>
    </w:p>
    <w:p w14:paraId="6933E8CD">
      <w:pPr>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12.2.3</w:t>
      </w:r>
      <w:r>
        <w:rPr>
          <w:rFonts w:hint="eastAsia" w:ascii="宋体" w:hAnsi="宋体" w:cs="宋体"/>
          <w:color w:val="auto"/>
          <w:highlight w:val="none"/>
          <w:lang w:val="zh-CN"/>
        </w:rPr>
        <w:t>投标人项目拟派人员情况（附件</w:t>
      </w:r>
      <w:r>
        <w:rPr>
          <w:rFonts w:hint="eastAsia" w:ascii="宋体" w:hAnsi="宋体" w:cs="宋体"/>
          <w:color w:val="auto"/>
          <w:highlight w:val="none"/>
        </w:rPr>
        <w:t>8</w:t>
      </w:r>
      <w:r>
        <w:rPr>
          <w:rFonts w:hint="eastAsia" w:ascii="宋体" w:hAnsi="宋体" w:cs="宋体"/>
          <w:color w:val="auto"/>
          <w:highlight w:val="none"/>
          <w:lang w:val="zh-CN"/>
        </w:rPr>
        <w:t>）；</w:t>
      </w:r>
    </w:p>
    <w:p w14:paraId="154735A4">
      <w:pPr>
        <w:snapToGrid w:val="0"/>
        <w:spacing w:line="360" w:lineRule="auto"/>
        <w:ind w:firstLine="480"/>
        <w:rPr>
          <w:rFonts w:hint="eastAsia" w:ascii="宋体" w:hAnsi="宋体" w:cs="宋体"/>
          <w:bCs/>
          <w:color w:val="auto"/>
          <w:highlight w:val="none"/>
        </w:rPr>
      </w:pPr>
      <w:r>
        <w:rPr>
          <w:rFonts w:hint="eastAsia" w:ascii="宋体" w:hAnsi="宋体" w:cs="宋体"/>
          <w:color w:val="auto"/>
          <w:highlight w:val="none"/>
        </w:rPr>
        <w:t>12.2.</w:t>
      </w:r>
      <w:r>
        <w:rPr>
          <w:rFonts w:hint="eastAsia" w:ascii="宋体" w:hAnsi="宋体" w:cs="宋体"/>
          <w:color w:val="auto"/>
          <w:highlight w:val="none"/>
          <w:lang w:val="en-US" w:eastAsia="zh-CN"/>
        </w:rPr>
        <w:t>4</w:t>
      </w:r>
      <w:r>
        <w:rPr>
          <w:rFonts w:hint="eastAsia" w:ascii="宋体" w:hAnsi="宋体" w:cs="宋体"/>
          <w:bCs/>
          <w:color w:val="auto"/>
          <w:highlight w:val="none"/>
        </w:rPr>
        <w:t>投标人根据评标细则内容提供其余的相关评分所需资料（如有）；</w:t>
      </w:r>
    </w:p>
    <w:p w14:paraId="77E76F00">
      <w:pPr>
        <w:snapToGrid w:val="0"/>
        <w:spacing w:line="360" w:lineRule="auto"/>
        <w:ind w:firstLine="482"/>
        <w:rPr>
          <w:rFonts w:hint="eastAsia" w:ascii="宋体" w:hAnsi="宋体" w:cs="宋体"/>
          <w:b/>
          <w:bCs/>
          <w:color w:val="auto"/>
          <w:highlight w:val="none"/>
          <w:lang w:val="zh-CN"/>
        </w:rPr>
      </w:pPr>
      <w:r>
        <w:rPr>
          <w:rFonts w:hint="eastAsia" w:ascii="宋体" w:hAnsi="宋体" w:cs="宋体"/>
          <w:b/>
          <w:bCs/>
          <w:color w:val="auto"/>
          <w:highlight w:val="none"/>
        </w:rPr>
        <w:t>12.3</w:t>
      </w:r>
      <w:r>
        <w:rPr>
          <w:rFonts w:hint="eastAsia" w:ascii="宋体" w:hAnsi="宋体" w:cs="宋体"/>
          <w:color w:val="auto"/>
          <w:highlight w:val="none"/>
        </w:rPr>
        <w:t>【报价文件】</w:t>
      </w:r>
    </w:p>
    <w:p w14:paraId="27BF6F83">
      <w:pPr>
        <w:snapToGrid w:val="0"/>
        <w:spacing w:line="360" w:lineRule="auto"/>
        <w:ind w:firstLine="480"/>
        <w:rPr>
          <w:rFonts w:hint="eastAsia" w:ascii="宋体" w:hAnsi="宋体" w:cs="宋体"/>
          <w:color w:val="auto"/>
          <w:highlight w:val="none"/>
        </w:rPr>
      </w:pPr>
      <w:bookmarkStart w:id="177" w:name="OLE_LINK2"/>
      <w:r>
        <w:rPr>
          <w:rFonts w:hint="eastAsia" w:ascii="宋体" w:hAnsi="宋体" w:cs="宋体"/>
          <w:color w:val="auto"/>
          <w:highlight w:val="none"/>
        </w:rPr>
        <w:t>12.3.1▲</w:t>
      </w:r>
      <w:bookmarkEnd w:id="177"/>
      <w:r>
        <w:rPr>
          <w:rFonts w:hint="eastAsia" w:ascii="宋体" w:hAnsi="宋体" w:cs="宋体"/>
          <w:color w:val="auto"/>
          <w:highlight w:val="none"/>
        </w:rPr>
        <w:t>开标一览表（统一格式）；（附件</w:t>
      </w:r>
      <w:r>
        <w:rPr>
          <w:rFonts w:hint="eastAsia" w:ascii="宋体" w:hAnsi="宋体" w:cs="宋体"/>
          <w:color w:val="auto"/>
          <w:highlight w:val="none"/>
          <w:lang w:val="en-US" w:eastAsia="zh-CN"/>
        </w:rPr>
        <w:t>9</w:t>
      </w:r>
      <w:r>
        <w:rPr>
          <w:rFonts w:hint="eastAsia" w:ascii="宋体" w:hAnsi="宋体" w:cs="宋体"/>
          <w:color w:val="auto"/>
          <w:highlight w:val="none"/>
        </w:rPr>
        <w:t>）</w:t>
      </w:r>
    </w:p>
    <w:p w14:paraId="0EA7D5ED">
      <w:pPr>
        <w:adjustRightInd w:val="0"/>
        <w:snapToGrid w:val="0"/>
        <w:spacing w:line="360" w:lineRule="auto"/>
        <w:ind w:firstLine="480"/>
        <w:rPr>
          <w:rFonts w:hint="eastAsia" w:ascii="宋体" w:hAnsi="宋体" w:cs="宋体"/>
          <w:color w:val="auto"/>
          <w:highlight w:val="none"/>
        </w:rPr>
      </w:pPr>
      <w:r>
        <w:rPr>
          <w:rFonts w:hint="eastAsia" w:ascii="宋体" w:hAnsi="宋体" w:cs="宋体"/>
          <w:bCs/>
          <w:color w:val="auto"/>
          <w:highlight w:val="none"/>
        </w:rPr>
        <w:t>1</w:t>
      </w:r>
      <w:r>
        <w:rPr>
          <w:rFonts w:hint="eastAsia" w:ascii="宋体" w:hAnsi="宋体" w:cs="宋体"/>
          <w:color w:val="auto"/>
          <w:highlight w:val="none"/>
        </w:rPr>
        <w:t>2.3.2《中小企业声明函》；（附件1</w:t>
      </w:r>
      <w:r>
        <w:rPr>
          <w:rFonts w:hint="eastAsia" w:ascii="宋体" w:hAnsi="宋体" w:cs="宋体"/>
          <w:color w:val="auto"/>
          <w:highlight w:val="none"/>
          <w:lang w:val="en-US" w:eastAsia="zh-CN"/>
        </w:rPr>
        <w:t>0</w:t>
      </w:r>
      <w:r>
        <w:rPr>
          <w:rFonts w:hint="eastAsia" w:ascii="宋体" w:hAnsi="宋体" w:cs="宋体"/>
          <w:color w:val="auto"/>
          <w:highlight w:val="none"/>
        </w:rPr>
        <w:t xml:space="preserve">）  </w:t>
      </w:r>
    </w:p>
    <w:p w14:paraId="58BC9BB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监狱企业声明函（监狱企业须提供）；（附件1</w:t>
      </w:r>
      <w:r>
        <w:rPr>
          <w:rFonts w:hint="eastAsia" w:ascii="宋体" w:hAnsi="宋体" w:cs="宋体"/>
          <w:color w:val="auto"/>
          <w:highlight w:val="none"/>
          <w:lang w:val="en-US" w:eastAsia="zh-CN"/>
        </w:rPr>
        <w:t>1</w:t>
      </w:r>
      <w:r>
        <w:rPr>
          <w:rFonts w:hint="eastAsia" w:ascii="宋体" w:hAnsi="宋体" w:cs="宋体"/>
          <w:color w:val="auto"/>
          <w:highlight w:val="none"/>
        </w:rPr>
        <w:t>）</w:t>
      </w:r>
    </w:p>
    <w:p w14:paraId="602FFE70">
      <w:pPr>
        <w:pStyle w:val="18"/>
        <w:ind w:left="0" w:leftChars="0" w:firstLine="480"/>
        <w:rPr>
          <w:color w:val="auto"/>
          <w:highlight w:val="none"/>
          <w:lang w:val="zh-CN"/>
        </w:rPr>
      </w:pPr>
      <w:r>
        <w:rPr>
          <w:rFonts w:hint="eastAsia" w:ascii="宋体" w:hAnsi="宋体"/>
          <w:color w:val="auto"/>
          <w:sz w:val="24"/>
          <w:szCs w:val="24"/>
          <w:highlight w:val="none"/>
        </w:rPr>
        <w:t>残疾人福利性单位声明函（残疾人福利性单位须提供）；（附件1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p>
    <w:p w14:paraId="7F833A4B">
      <w:pPr>
        <w:adjustRightInd w:val="0"/>
        <w:snapToGrid w:val="0"/>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注：由于本项目为电子标，评审过程中的涉及到的原件部分，由各供应商上传原件扫描件进行备查。</w:t>
      </w:r>
    </w:p>
    <w:p w14:paraId="57D9F16D">
      <w:pPr>
        <w:snapToGrid w:val="0"/>
        <w:spacing w:line="360" w:lineRule="auto"/>
        <w:ind w:firstLine="480"/>
        <w:rPr>
          <w:rFonts w:hint="eastAsia" w:ascii="宋体" w:hAnsi="宋体" w:cs="宋体"/>
          <w:bCs/>
          <w:color w:val="auto"/>
          <w:highlight w:val="none"/>
        </w:rPr>
      </w:pPr>
      <w:bookmarkStart w:id="178" w:name="_Toc15758"/>
      <w:bookmarkStart w:id="179" w:name="_Toc6705"/>
      <w:bookmarkStart w:id="180" w:name="_Toc1902"/>
      <w:bookmarkStart w:id="181" w:name="_Toc2328"/>
      <w:bookmarkStart w:id="182" w:name="_Toc31376"/>
      <w:bookmarkStart w:id="183" w:name="_Toc19875"/>
      <w:bookmarkStart w:id="184" w:name="_Toc391298958"/>
      <w:bookmarkStart w:id="185" w:name="_Toc20241"/>
      <w:bookmarkStart w:id="186" w:name="_Toc9536"/>
      <w:bookmarkStart w:id="187" w:name="_Toc13932"/>
      <w:bookmarkStart w:id="188" w:name="_Toc6197"/>
      <w:bookmarkStart w:id="189" w:name="_Toc31866"/>
      <w:bookmarkStart w:id="190" w:name="_Toc25011"/>
      <w:r>
        <w:rPr>
          <w:rFonts w:hint="eastAsia" w:ascii="宋体" w:hAnsi="宋体" w:cs="宋体"/>
          <w:bCs/>
          <w:color w:val="auto"/>
          <w:highlight w:val="none"/>
        </w:rPr>
        <w:t>13.投标文件内容填写说明</w:t>
      </w:r>
    </w:p>
    <w:p w14:paraId="38365655">
      <w:pPr>
        <w:snapToGrid w:val="0"/>
        <w:spacing w:line="360" w:lineRule="auto"/>
        <w:ind w:firstLine="480"/>
        <w:rPr>
          <w:rFonts w:hint="eastAsia" w:ascii="宋体" w:hAnsi="宋体" w:cs="宋体"/>
          <w:color w:val="auto"/>
          <w:highlight w:val="none"/>
        </w:rPr>
      </w:pPr>
      <w:r>
        <w:rPr>
          <w:rFonts w:hint="eastAsia" w:ascii="宋体" w:hAnsi="宋体" w:cs="宋体"/>
          <w:bCs/>
          <w:color w:val="auto"/>
          <w:highlight w:val="none"/>
        </w:rPr>
        <w:t>13.1供应商应在认真阅读招标文件所有内容的基础上，按照招标文件的要求编制完整的投标文件。投标文件应按照招标文件中规定的统一格式填写，电子投标文件按政采云平台《政府采购项目电子交易管理操作指南-供应商》“2.3投标文件制作、上传”及本招标文件要求制作并递交。网址：https://service.zcygov.cn/#/knowledges/CW1EtGwBFdiHxlNd6I3m/6IMVAG0BFdiHxlNdQ8Na</w:t>
      </w:r>
    </w:p>
    <w:p w14:paraId="17C66B4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13.2无相应内容可填的项应填写“无”、“未测试”、“没有相应指标”等明确的回答文字。</w:t>
      </w:r>
    </w:p>
    <w:p w14:paraId="55057CC6">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13.3供应商必须保证投标文件所提供的全部资料真实可靠，并接受招标人对其中任何资料进一步审查的要求。</w:t>
      </w:r>
    </w:p>
    <w:p w14:paraId="65075BA3">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13.4《开标一览表》为在开标仪式上唱标的内容，要求按格式填写、统一规范，不得自行增减内容。</w:t>
      </w:r>
    </w:p>
    <w:p w14:paraId="48046942">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13.5投标文件须对招标文件中的内容做出实质性的和完整的响应，否则其投标将被拒绝。如果投标文件填报的内容资料不详，或没有提供招标文件中所要求的全部资料及数据，将会导致投标被拒绝。</w:t>
      </w:r>
    </w:p>
    <w:p w14:paraId="37EBABC3">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13.6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14:paraId="735DD4EB">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13.7投标文件不得涂改和增删，如有错漏必须修改，修改处须由必须由法人或授权代表在旁边签字或加盖投标单位公章才有效。</w:t>
      </w:r>
    </w:p>
    <w:p w14:paraId="0BF623A5">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13.8由于字迹模糊或表达不清引起的后果由投标人负责。</w:t>
      </w:r>
    </w:p>
    <w:p w14:paraId="3B4E5373">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14.投标报价</w:t>
      </w:r>
    </w:p>
    <w:p w14:paraId="56E6DDD0">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14.1投标报价应按招标文件中相关附表格式填写。</w:t>
      </w:r>
    </w:p>
    <w:p w14:paraId="37D243A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14.2本次报价方式为以采购人提供招标清单价为基础报价，中标价即为服务期内的所有费用，招标人不再承担其他任何的费用和任何的税费，投标人应充分考虑其中风险。</w:t>
      </w:r>
    </w:p>
    <w:p w14:paraId="635E73A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14.3投标报价是履行合同的最终结算价，投标报价应以人民币为结算货币。包括但不限于项目工作人员薪酬、办公费、材料费、培训辅导、全额含税发票、劳保费、管理费、差旅费、利润、税金、后续服务、完成本项目的其它费用和政策性文件规定及合同包含的所有风险、责任等各项应有费用等所有费用。成交后不允许擅自改变采购内容、质量标准、完成时间等实质性条款。</w:t>
      </w:r>
    </w:p>
    <w:p w14:paraId="3B0691C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14.4投标文件只允许有一个报价，有选择的或有条件的报价将不予接受。</w:t>
      </w:r>
    </w:p>
    <w:p w14:paraId="37DB7624">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14.5投标有效期</w:t>
      </w:r>
    </w:p>
    <w:p w14:paraId="1B9C1F4F">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▲投标文件从投标文件递交截止之日起，有效期为90天。</w:t>
      </w:r>
    </w:p>
    <w:p w14:paraId="5F80FB93">
      <w:pPr>
        <w:tabs>
          <w:tab w:val="left" w:pos="0"/>
        </w:tabs>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062FACEB">
      <w:pPr>
        <w:pStyle w:val="5"/>
        <w:keepNext w:val="0"/>
        <w:keepLines w:val="0"/>
        <w:spacing w:before="0" w:beforeLines="0" w:after="0" w:afterLines="0" w:line="360" w:lineRule="auto"/>
        <w:rPr>
          <w:rFonts w:hint="eastAsia" w:ascii="宋体" w:hAnsi="宋体" w:cs="宋体"/>
          <w:color w:val="auto"/>
          <w:sz w:val="24"/>
          <w:szCs w:val="24"/>
          <w:highlight w:val="none"/>
        </w:rPr>
      </w:pPr>
      <w:bookmarkStart w:id="191" w:name="_Toc12322"/>
      <w:bookmarkStart w:id="192" w:name="_Toc4971"/>
      <w:bookmarkStart w:id="193" w:name="_Toc6638"/>
      <w:r>
        <w:rPr>
          <w:rFonts w:hint="eastAsia" w:ascii="宋体" w:hAnsi="宋体" w:cs="宋体"/>
          <w:color w:val="auto"/>
          <w:sz w:val="24"/>
          <w:szCs w:val="24"/>
          <w:highlight w:val="none"/>
        </w:rPr>
        <w:t>四、投标保证金</w:t>
      </w:r>
      <w:bookmarkEnd w:id="191"/>
      <w:bookmarkEnd w:id="192"/>
      <w:bookmarkEnd w:id="193"/>
    </w:p>
    <w:p w14:paraId="3B48A4F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15.本项目不收取投标保证金</w:t>
      </w:r>
    </w:p>
    <w:bookmarkEnd w:id="178"/>
    <w:bookmarkEnd w:id="179"/>
    <w:bookmarkEnd w:id="180"/>
    <w:bookmarkEnd w:id="181"/>
    <w:bookmarkEnd w:id="182"/>
    <w:bookmarkEnd w:id="183"/>
    <w:bookmarkEnd w:id="184"/>
    <w:bookmarkEnd w:id="185"/>
    <w:bookmarkEnd w:id="186"/>
    <w:bookmarkEnd w:id="187"/>
    <w:bookmarkEnd w:id="188"/>
    <w:bookmarkEnd w:id="189"/>
    <w:bookmarkEnd w:id="190"/>
    <w:p w14:paraId="413426D5">
      <w:pPr>
        <w:pStyle w:val="5"/>
        <w:spacing w:before="0" w:beforeLines="0" w:after="0" w:afterLines="0" w:line="360" w:lineRule="auto"/>
        <w:rPr>
          <w:rFonts w:hint="eastAsia" w:ascii="宋体" w:hAnsi="宋体" w:cs="宋体"/>
          <w:color w:val="auto"/>
          <w:sz w:val="24"/>
          <w:szCs w:val="24"/>
          <w:highlight w:val="none"/>
        </w:rPr>
      </w:pPr>
      <w:bookmarkStart w:id="194" w:name="_Toc509927096"/>
      <w:bookmarkStart w:id="195" w:name="_Toc21572"/>
      <w:bookmarkStart w:id="196" w:name="_Toc25921"/>
      <w:bookmarkStart w:id="197" w:name="_Toc3992"/>
      <w:bookmarkStart w:id="198" w:name="_Toc462076241"/>
      <w:bookmarkStart w:id="199" w:name="_Toc391298962"/>
      <w:bookmarkStart w:id="200" w:name="_Toc13536"/>
      <w:bookmarkStart w:id="201" w:name="_Toc24287"/>
      <w:bookmarkStart w:id="202" w:name="_Toc17078"/>
      <w:bookmarkStart w:id="203" w:name="_Toc2410"/>
      <w:bookmarkStart w:id="204" w:name="_Toc30982"/>
      <w:bookmarkStart w:id="205" w:name="_Toc12832"/>
      <w:bookmarkStart w:id="206" w:name="_Toc23781"/>
      <w:bookmarkStart w:id="207" w:name="_Toc4045"/>
      <w:r>
        <w:rPr>
          <w:rFonts w:hint="eastAsia" w:ascii="宋体" w:hAnsi="宋体" w:cs="宋体"/>
          <w:color w:val="auto"/>
          <w:sz w:val="24"/>
          <w:szCs w:val="24"/>
          <w:highlight w:val="none"/>
        </w:rPr>
        <w:t>五、投标文件的签署及规定</w:t>
      </w:r>
      <w:bookmarkEnd w:id="194"/>
      <w:bookmarkEnd w:id="195"/>
      <w:bookmarkEnd w:id="196"/>
      <w:bookmarkEnd w:id="197"/>
      <w:bookmarkEnd w:id="198"/>
    </w:p>
    <w:p w14:paraId="2588E14E">
      <w:pPr>
        <w:pStyle w:val="16"/>
        <w:widowControl w:val="0"/>
        <w:tabs>
          <w:tab w:val="left" w:pos="0"/>
        </w:tabs>
        <w:adjustRightInd w:val="0"/>
        <w:snapToGrid w:val="0"/>
        <w:spacing w:line="360" w:lineRule="auto"/>
        <w:ind w:firstLine="482"/>
        <w:jc w:val="both"/>
        <w:rPr>
          <w:rFonts w:hint="eastAsia" w:ascii="宋体" w:hAnsi="宋体" w:cs="宋体"/>
          <w:b/>
          <w:bCs/>
          <w:color w:val="auto"/>
          <w:highlight w:val="none"/>
        </w:rPr>
      </w:pPr>
      <w:bookmarkStart w:id="208" w:name="_Toc509927097"/>
      <w:bookmarkStart w:id="209" w:name="_Toc356371437"/>
      <w:bookmarkStart w:id="210" w:name="_Toc2984"/>
      <w:bookmarkStart w:id="211" w:name="_Toc462076242"/>
      <w:r>
        <w:rPr>
          <w:rFonts w:hint="eastAsia" w:ascii="宋体" w:hAnsi="宋体" w:cs="宋体"/>
          <w:b/>
          <w:bCs/>
          <w:color w:val="auto"/>
          <w:highlight w:val="none"/>
        </w:rPr>
        <w:t>16.电子投标响应文件制作、加密和提交</w:t>
      </w:r>
    </w:p>
    <w:p w14:paraId="193AA2D2">
      <w:pPr>
        <w:pStyle w:val="16"/>
        <w:widowControl w:val="0"/>
        <w:tabs>
          <w:tab w:val="left" w:pos="0"/>
        </w:tabs>
        <w:adjustRightInd w:val="0"/>
        <w:snapToGrid w:val="0"/>
        <w:spacing w:line="360" w:lineRule="auto"/>
        <w:ind w:firstLine="482"/>
        <w:jc w:val="both"/>
        <w:rPr>
          <w:rFonts w:hint="eastAsia" w:ascii="宋体" w:hAnsi="宋体" w:cs="宋体"/>
          <w:bCs/>
          <w:color w:val="auto"/>
          <w:highlight w:val="none"/>
        </w:rPr>
      </w:pPr>
      <w:r>
        <w:rPr>
          <w:rStyle w:val="24"/>
          <w:rFonts w:hint="eastAsia" w:ascii="宋体" w:hAnsi="宋体" w:cs="宋体"/>
          <w:b/>
          <w:color w:val="auto"/>
          <w:highlight w:val="none"/>
        </w:rPr>
        <w:t>16.1▲</w:t>
      </w:r>
      <w:r>
        <w:rPr>
          <w:rFonts w:hint="eastAsia" w:ascii="宋体" w:hAnsi="宋体" w:cs="宋体"/>
          <w:bCs/>
          <w:color w:val="auto"/>
          <w:highlight w:val="none"/>
        </w:rPr>
        <w:t>投标响应供应商通过“政采云电子投标响应客户端”投标响应工具制作，具体详情请查看《&lt;浙江省&gt;供应商-政府采购项目电子交易操作视频》网址：https://edu.zcygov.cn/luban/ca?utm=web-government-front.3efb2572.0.0.56f9d6c0c69a11ec893bdf13139cdcc9；电子投标响应具体流程文档网址：</w:t>
      </w:r>
      <w:r>
        <w:rPr>
          <w:color w:val="auto"/>
          <w:highlight w:val="none"/>
        </w:rPr>
        <w:fldChar w:fldCharType="begin"/>
      </w:r>
      <w:r>
        <w:rPr>
          <w:color w:val="auto"/>
          <w:highlight w:val="none"/>
        </w:rPr>
        <w:instrText xml:space="preserve"> HYPERLINK "https://help.zcygov.cn/web/site_2/2018/12-28/2573.html。及本招标文件规定要求进行编制电子投标文件并进行关联定位。" </w:instrText>
      </w:r>
      <w:r>
        <w:rPr>
          <w:color w:val="auto"/>
          <w:highlight w:val="none"/>
        </w:rPr>
        <w:fldChar w:fldCharType="separate"/>
      </w:r>
      <w:r>
        <w:rPr>
          <w:rFonts w:hint="eastAsia" w:ascii="宋体" w:hAnsi="宋体" w:cs="宋体"/>
          <w:bCs/>
          <w:color w:val="auto"/>
          <w:highlight w:val="none"/>
        </w:rPr>
        <w:t>https://edu.zcygov.cn/luban/ca?utm=web-government-front.3efb2572.0.0.56f9d6c0c69a11ec893bdf13139cdcc9</w:t>
      </w:r>
      <w:r>
        <w:rPr>
          <w:rStyle w:val="24"/>
          <w:rFonts w:hint="eastAsia" w:ascii="宋体" w:hAnsi="宋体" w:cs="宋体"/>
          <w:bCs/>
          <w:color w:val="auto"/>
          <w:highlight w:val="none"/>
        </w:rPr>
        <w:t>，及本采购文件规定要求进行编制电子投标响应文件，</w:t>
      </w:r>
      <w:r>
        <w:rPr>
          <w:rFonts w:hint="eastAsia" w:ascii="宋体" w:hAnsi="宋体" w:cs="宋体"/>
          <w:bCs/>
          <w:color w:val="auto"/>
          <w:highlight w:val="none"/>
        </w:rPr>
        <w:t>并</w:t>
      </w:r>
      <w:r>
        <w:rPr>
          <w:rStyle w:val="24"/>
          <w:rFonts w:hint="eastAsia" w:ascii="宋体" w:hAnsi="宋体" w:cs="宋体"/>
          <w:bCs/>
          <w:color w:val="auto"/>
          <w:highlight w:val="none"/>
        </w:rPr>
        <w:t>进行关联定位、</w:t>
      </w:r>
      <w:r>
        <w:rPr>
          <w:rStyle w:val="24"/>
          <w:rFonts w:hint="eastAsia" w:ascii="宋体" w:hAnsi="宋体" w:cs="宋体"/>
          <w:bCs/>
          <w:color w:val="auto"/>
          <w:highlight w:val="none"/>
        </w:rPr>
        <w:fldChar w:fldCharType="end"/>
      </w:r>
      <w:r>
        <w:rPr>
          <w:rFonts w:hint="eastAsia" w:ascii="宋体" w:hAnsi="宋体" w:cs="宋体"/>
          <w:bCs/>
          <w:color w:val="auto"/>
          <w:highlight w:val="none"/>
        </w:rPr>
        <w:t>加密和提交。</w:t>
      </w:r>
    </w:p>
    <w:p w14:paraId="44CBB7D6">
      <w:pPr>
        <w:pStyle w:val="16"/>
        <w:widowControl w:val="0"/>
        <w:tabs>
          <w:tab w:val="left" w:pos="0"/>
        </w:tabs>
        <w:adjustRightInd w:val="0"/>
        <w:snapToGrid w:val="0"/>
        <w:spacing w:line="360" w:lineRule="auto"/>
        <w:ind w:firstLine="482"/>
        <w:jc w:val="both"/>
        <w:rPr>
          <w:rFonts w:hint="eastAsia" w:ascii="宋体" w:hAnsi="宋体" w:cs="宋体"/>
          <w:color w:val="auto"/>
          <w:highlight w:val="none"/>
        </w:rPr>
      </w:pPr>
      <w:r>
        <w:rPr>
          <w:rStyle w:val="24"/>
          <w:rFonts w:hint="eastAsia" w:ascii="宋体" w:hAnsi="宋体" w:cs="宋体"/>
          <w:b/>
          <w:color w:val="auto"/>
          <w:highlight w:val="none"/>
        </w:rPr>
        <w:t>16.2▲电子投标响应文件</w:t>
      </w:r>
      <w:r>
        <w:rPr>
          <w:rFonts w:hint="eastAsia" w:ascii="宋体" w:hAnsi="宋体" w:cs="宋体"/>
          <w:b/>
          <w:color w:val="auto"/>
          <w:highlight w:val="none"/>
        </w:rPr>
        <w:t>采用CA电子签章</w:t>
      </w:r>
      <w:r>
        <w:rPr>
          <w:rFonts w:hint="eastAsia" w:ascii="宋体" w:hAnsi="宋体" w:cs="宋体"/>
          <w:bCs/>
          <w:color w:val="auto"/>
          <w:highlight w:val="none"/>
        </w:rPr>
        <w:t>。采购文件注明需签字盖章部位、资格资信商务证明材料扫描件，以及任何行间插字、涂改或增删位置和澄清说明函等均须采用CA电子签章。</w:t>
      </w:r>
    </w:p>
    <w:p w14:paraId="6B0BC7F6">
      <w:pPr>
        <w:pStyle w:val="16"/>
        <w:widowControl w:val="0"/>
        <w:tabs>
          <w:tab w:val="left" w:pos="0"/>
        </w:tabs>
        <w:adjustRightInd w:val="0"/>
        <w:snapToGrid w:val="0"/>
        <w:spacing w:line="360" w:lineRule="auto"/>
        <w:ind w:firstLine="482"/>
        <w:jc w:val="both"/>
        <w:rPr>
          <w:rStyle w:val="24"/>
          <w:rFonts w:hint="eastAsia" w:ascii="宋体" w:hAnsi="宋体" w:cs="宋体"/>
          <w:b/>
          <w:color w:val="auto"/>
          <w:highlight w:val="none"/>
        </w:rPr>
      </w:pPr>
      <w:r>
        <w:rPr>
          <w:rStyle w:val="24"/>
          <w:rFonts w:hint="eastAsia" w:ascii="宋体" w:hAnsi="宋体" w:cs="宋体"/>
          <w:b/>
          <w:color w:val="auto"/>
          <w:highlight w:val="none"/>
        </w:rPr>
        <w:t>16.3备份投标响应文件制作、密封和提交</w:t>
      </w:r>
    </w:p>
    <w:p w14:paraId="4109EC94">
      <w:pPr>
        <w:spacing w:line="360" w:lineRule="auto"/>
        <w:ind w:firstLine="480"/>
        <w:rPr>
          <w:rFonts w:hint="eastAsia" w:ascii="宋体" w:hAnsi="宋体" w:cs="宋体"/>
          <w:b/>
          <w:color w:val="auto"/>
          <w:highlight w:val="none"/>
        </w:rPr>
      </w:pPr>
      <w:r>
        <w:rPr>
          <w:rFonts w:hint="eastAsia" w:ascii="宋体" w:hAnsi="宋体" w:cs="宋体"/>
          <w:bCs/>
          <w:color w:val="auto"/>
          <w:highlight w:val="none"/>
        </w:rPr>
        <w:t>制作、密封和提交详见投标须知前附表。是否提交备份响应文件由投标人决定，并自行承担不提交备份响应文件的风险。</w:t>
      </w:r>
    </w:p>
    <w:p w14:paraId="1BED9A4E">
      <w:pPr>
        <w:adjustRightInd w:val="0"/>
        <w:snapToGrid w:val="0"/>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注：投标人在线解密失败后，启用备份文件，否则不启用备份文件。</w:t>
      </w:r>
    </w:p>
    <w:p w14:paraId="5E0DA3BD">
      <w:pPr>
        <w:pStyle w:val="5"/>
        <w:spacing w:before="0" w:beforeLines="0" w:after="0" w:afterLines="0" w:line="360" w:lineRule="auto"/>
        <w:rPr>
          <w:rFonts w:hint="eastAsia" w:ascii="宋体" w:hAnsi="宋体" w:cs="宋体"/>
          <w:color w:val="auto"/>
          <w:sz w:val="24"/>
          <w:szCs w:val="24"/>
          <w:highlight w:val="none"/>
        </w:rPr>
      </w:pPr>
      <w:bookmarkStart w:id="212" w:name="_Toc8036"/>
      <w:bookmarkStart w:id="213" w:name="_Toc17480"/>
      <w:r>
        <w:rPr>
          <w:rFonts w:hint="eastAsia" w:ascii="宋体" w:hAnsi="宋体" w:cs="宋体"/>
          <w:color w:val="auto"/>
          <w:sz w:val="24"/>
          <w:szCs w:val="24"/>
          <w:highlight w:val="none"/>
        </w:rPr>
        <w:t>六、投标文件的递交</w:t>
      </w:r>
      <w:bookmarkEnd w:id="208"/>
      <w:bookmarkEnd w:id="209"/>
      <w:bookmarkEnd w:id="210"/>
      <w:bookmarkEnd w:id="211"/>
      <w:bookmarkEnd w:id="212"/>
      <w:bookmarkEnd w:id="213"/>
    </w:p>
    <w:p w14:paraId="62842AA2">
      <w:pPr>
        <w:adjustRightInd w:val="0"/>
        <w:snapToGrid w:val="0"/>
        <w:spacing w:line="360" w:lineRule="auto"/>
        <w:ind w:firstLine="480"/>
        <w:rPr>
          <w:rFonts w:hint="eastAsia" w:ascii="宋体" w:hAnsi="宋体" w:cs="宋体"/>
          <w:color w:val="auto"/>
          <w:highlight w:val="none"/>
        </w:rPr>
      </w:pPr>
      <w:bookmarkStart w:id="214" w:name="_Toc462076243"/>
      <w:bookmarkStart w:id="215" w:name="_Toc356371438"/>
      <w:bookmarkStart w:id="216" w:name="_Toc509927098"/>
      <w:r>
        <w:rPr>
          <w:rFonts w:hint="eastAsia" w:ascii="宋体" w:hAnsi="宋体" w:cs="宋体"/>
          <w:color w:val="auto"/>
          <w:highlight w:val="none"/>
        </w:rPr>
        <w:t>17.递交投标文件截止期</w:t>
      </w:r>
    </w:p>
    <w:p w14:paraId="3B17E9A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17.1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06B666C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17.2本项目采用实行政采云电子交易系统全流程电子交易，投标人无需到开标现场。</w:t>
      </w:r>
    </w:p>
    <w:p w14:paraId="6D4C02C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17.3备份文件，由投标人自行确定是否提交；若提交请将备份文件压缩加密后以电子邮件的形式发送至</w:t>
      </w:r>
      <w:r>
        <w:rPr>
          <w:rFonts w:hint="eastAsia" w:ascii="宋体" w:hAnsi="宋体" w:cs="宋体"/>
          <w:color w:val="auto"/>
          <w:highlight w:val="none"/>
          <w:lang w:val="en-US" w:eastAsia="zh-CN"/>
        </w:rPr>
        <w:t>2572487608</w:t>
      </w:r>
      <w:r>
        <w:rPr>
          <w:rFonts w:hint="eastAsia" w:ascii="宋体" w:hAnsi="宋体" w:cs="宋体"/>
          <w:color w:val="auto"/>
          <w:highlight w:val="none"/>
        </w:rPr>
        <w:t>@qq.com。电子备份文件请自行压缩加密，如需启用，采购组织人将电话联系授权委托人发送解密密码。由供应商在解密规定时间（响应截止时间后30分钟内）将压缩加密的备份文件的解密密码发送至上述邮箱内，未在规定时间内发送造成的响应无效或文件无效、解压失败由供应商自行</w:t>
      </w:r>
      <w:r>
        <w:rPr>
          <w:rFonts w:hint="eastAsia" w:ascii="宋体" w:hAnsi="宋体" w:cs="宋体"/>
          <w:color w:val="auto"/>
          <w:highlight w:val="none"/>
          <w:lang w:eastAsia="zh-CN"/>
        </w:rPr>
        <w:t>承担</w:t>
      </w:r>
      <w:r>
        <w:rPr>
          <w:rFonts w:hint="eastAsia" w:ascii="宋体" w:hAnsi="宋体" w:cs="宋体"/>
          <w:color w:val="auto"/>
          <w:highlight w:val="none"/>
        </w:rPr>
        <w:t>。</w:t>
      </w:r>
    </w:p>
    <w:p w14:paraId="50AC24B1">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如投标人未在截止时间前完成电子文件的传输，其备份文件也将被拒收。</w:t>
      </w:r>
    </w:p>
    <w:p w14:paraId="12A771C1">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18.投标文件的修改和撤销</w:t>
      </w:r>
    </w:p>
    <w:p w14:paraId="4C988A1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18.1投标人在递交投标文件后，可以修改或撤回其投标文件：递交投标文件截止时间之前补充或者修改电子投标文件的，应当先行撤回原文件，补充、修改后重新传输递交。</w:t>
      </w:r>
    </w:p>
    <w:p w14:paraId="5FE6C8E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18.2投标人修改后的投标文件应按原来的规定编制和传输递交。</w:t>
      </w:r>
    </w:p>
    <w:p w14:paraId="73DB96C8">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18.3在递交投标文件截止期之后，投标人不得对其投标文件做任何修改。</w:t>
      </w:r>
    </w:p>
    <w:p w14:paraId="26B8E28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18.4递交投标文件截止期后，投标人不得撤回其投标文件。</w:t>
      </w:r>
    </w:p>
    <w:p w14:paraId="221B40B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18.5实质上没有响应本文件要求的投标文件将被拒绝。投标人不得通过修正或撤销不合要求的偏离或保留从而使其投标文件成为实质上响应的文件。</w:t>
      </w:r>
    </w:p>
    <w:p w14:paraId="7FCFE8F5">
      <w:pPr>
        <w:pStyle w:val="5"/>
        <w:spacing w:before="0" w:beforeLines="0" w:after="0" w:afterLines="0" w:line="360" w:lineRule="auto"/>
        <w:rPr>
          <w:rFonts w:hint="eastAsia" w:ascii="宋体" w:hAnsi="宋体" w:cs="宋体"/>
          <w:color w:val="auto"/>
          <w:sz w:val="24"/>
          <w:szCs w:val="24"/>
          <w:highlight w:val="none"/>
        </w:rPr>
      </w:pPr>
      <w:bookmarkStart w:id="217" w:name="_Toc4897"/>
      <w:bookmarkStart w:id="218" w:name="_Toc3549"/>
      <w:bookmarkStart w:id="219" w:name="_Toc5600"/>
      <w:r>
        <w:rPr>
          <w:rFonts w:hint="eastAsia" w:ascii="宋体" w:hAnsi="宋体" w:cs="宋体"/>
          <w:color w:val="auto"/>
          <w:sz w:val="24"/>
          <w:szCs w:val="24"/>
          <w:highlight w:val="none"/>
        </w:rPr>
        <w:t>七、投标无效的情形</w:t>
      </w:r>
      <w:bookmarkEnd w:id="214"/>
      <w:bookmarkEnd w:id="215"/>
      <w:bookmarkEnd w:id="216"/>
      <w:bookmarkEnd w:id="217"/>
      <w:bookmarkEnd w:id="218"/>
      <w:bookmarkEnd w:id="219"/>
    </w:p>
    <w:p w14:paraId="05D950CA">
      <w:pPr>
        <w:adjustRightInd w:val="0"/>
        <w:snapToGrid w:val="0"/>
        <w:spacing w:line="360" w:lineRule="auto"/>
        <w:ind w:firstLine="480"/>
        <w:rPr>
          <w:rFonts w:hint="eastAsia" w:ascii="宋体" w:hAnsi="宋体" w:cs="宋体"/>
          <w:color w:val="auto"/>
          <w:highlight w:val="none"/>
        </w:rPr>
      </w:pPr>
      <w:bookmarkStart w:id="220" w:name="_Toc356371439"/>
      <w:r>
        <w:rPr>
          <w:rFonts w:hint="eastAsia" w:ascii="宋体" w:hAnsi="宋体" w:cs="宋体"/>
          <w:color w:val="auto"/>
          <w:highlight w:val="none"/>
        </w:rPr>
        <w:t>19.实质上没有响应招标文件要求的投标将被视为无效投标。投标人不得通过修正或</w:t>
      </w:r>
      <w:r>
        <w:rPr>
          <w:rFonts w:hint="eastAsia" w:ascii="宋体" w:hAnsi="宋体" w:cs="宋体"/>
          <w:color w:val="auto"/>
          <w:highlight w:val="none"/>
          <w:lang w:eastAsia="zh-CN"/>
        </w:rPr>
        <w:t>撤销</w:t>
      </w:r>
      <w:r>
        <w:rPr>
          <w:rFonts w:hint="eastAsia" w:ascii="宋体" w:hAnsi="宋体" w:cs="宋体"/>
          <w:color w:val="auto"/>
          <w:highlight w:val="none"/>
        </w:rPr>
        <w:t>不合要求的偏离或保留从而使其投标成为实质上响应的投标。如发生下列情况之一的，其投标视为无效：</w:t>
      </w:r>
    </w:p>
    <w:p w14:paraId="6D61EA3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19.1不具备招标文件规定资格要求；</w:t>
      </w:r>
    </w:p>
    <w:p w14:paraId="344D6D5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19.2投标文件未有效授权的；</w:t>
      </w:r>
    </w:p>
    <w:p w14:paraId="515D9D4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19.3招标文件中有▲处条款投标人未作实质性响应的；</w:t>
      </w:r>
    </w:p>
    <w:p w14:paraId="4CCBCF0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19.4资格审查或资信技术文件中包含投标报价的；</w:t>
      </w:r>
    </w:p>
    <w:p w14:paraId="1DEB139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19.5投标文件关键内容字迹模糊、无法辨认的；</w:t>
      </w:r>
    </w:p>
    <w:p w14:paraId="40CE3B7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19.6投标文件含有采购人不能接受的附件条件的；</w:t>
      </w:r>
    </w:p>
    <w:p w14:paraId="260D8A6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19.7报价超出招标文件中规定的预算金额或者最高限价的；</w:t>
      </w:r>
    </w:p>
    <w:p w14:paraId="419BACA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19.8提供虚假材料谋取中标的；</w:t>
      </w:r>
    </w:p>
    <w:p w14:paraId="26AAD34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19.9投标人串通投标的；</w:t>
      </w:r>
    </w:p>
    <w:p w14:paraId="54063178">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19.10不符合法律、法规和招标文件规定的其他实质性要求的。</w:t>
      </w:r>
    </w:p>
    <w:p w14:paraId="1B8606F4">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19.11电子投标文件解密失败、且未提供电子备份文件的；</w:t>
      </w:r>
    </w:p>
    <w:p w14:paraId="21BF0CF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19.12电子投标文件未按规定要求提供电子签章的。</w:t>
      </w:r>
    </w:p>
    <w:p w14:paraId="1764DFA2">
      <w:pPr>
        <w:adjustRightInd w:val="0"/>
        <w:snapToGrid w:val="0"/>
        <w:spacing w:line="360" w:lineRule="auto"/>
        <w:ind w:firstLine="482"/>
        <w:rPr>
          <w:rFonts w:hint="eastAsia" w:ascii="宋体" w:hAnsi="宋体"/>
          <w:b w:val="0"/>
          <w:bCs w:val="0"/>
          <w:color w:val="auto"/>
          <w:highlight w:val="none"/>
        </w:rPr>
      </w:pPr>
      <w:r>
        <w:rPr>
          <w:rFonts w:hint="eastAsia" w:ascii="宋体" w:hAnsi="宋体"/>
          <w:b w:val="0"/>
          <w:bCs w:val="0"/>
          <w:color w:val="auto"/>
          <w:highlight w:val="none"/>
        </w:rPr>
        <w:t>19.13未提供或未如实提供投标文件内容，或者投标文件标明的响应或偏离与事实不符或虚假投标的。</w:t>
      </w:r>
    </w:p>
    <w:p w14:paraId="391665A9">
      <w:pPr>
        <w:adjustRightInd w:val="0"/>
        <w:snapToGrid w:val="0"/>
        <w:spacing w:line="360" w:lineRule="auto"/>
        <w:ind w:firstLine="482"/>
        <w:rPr>
          <w:rFonts w:hint="eastAsia" w:ascii="宋体" w:hAnsi="宋体"/>
          <w:b w:val="0"/>
          <w:bCs w:val="0"/>
          <w:color w:val="auto"/>
          <w:highlight w:val="none"/>
        </w:rPr>
      </w:pPr>
      <w:r>
        <w:rPr>
          <w:rFonts w:hint="eastAsia" w:ascii="宋体" w:hAnsi="宋体"/>
          <w:b w:val="0"/>
          <w:bCs w:val="0"/>
          <w:color w:val="auto"/>
          <w:highlight w:val="none"/>
        </w:rPr>
        <w:t>19.14政采云系统显示:MAC地址相同、计算机硬盘序列号相同、投标文件细节错误一致且无合理解释的。</w:t>
      </w:r>
    </w:p>
    <w:p w14:paraId="4BC8CECD">
      <w:pPr>
        <w:pStyle w:val="5"/>
        <w:spacing w:before="0" w:beforeLines="0" w:after="0" w:afterLines="0" w:line="360" w:lineRule="auto"/>
        <w:rPr>
          <w:rFonts w:hint="eastAsia" w:ascii="宋体" w:hAnsi="宋体" w:cs="宋体"/>
          <w:color w:val="auto"/>
          <w:sz w:val="24"/>
          <w:szCs w:val="24"/>
          <w:highlight w:val="none"/>
        </w:rPr>
      </w:pPr>
      <w:bookmarkStart w:id="221" w:name="_Toc2958"/>
      <w:bookmarkStart w:id="222" w:name="_Toc1399"/>
      <w:bookmarkStart w:id="223" w:name="_Toc32767"/>
      <w:r>
        <w:rPr>
          <w:rFonts w:hint="eastAsia" w:ascii="宋体" w:hAnsi="宋体" w:cs="宋体"/>
          <w:color w:val="auto"/>
          <w:sz w:val="24"/>
          <w:szCs w:val="24"/>
          <w:highlight w:val="none"/>
        </w:rPr>
        <w:t>八、串通投标的情形</w:t>
      </w:r>
      <w:bookmarkEnd w:id="221"/>
      <w:bookmarkEnd w:id="222"/>
      <w:bookmarkEnd w:id="223"/>
    </w:p>
    <w:p w14:paraId="6C4470F1">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20.1不同投标人的投标文件由同一单位或者个人编制；</w:t>
      </w:r>
    </w:p>
    <w:p w14:paraId="1765CDF4">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20.2不同投标人委托同一单位或者个人办理投标事宜；</w:t>
      </w:r>
    </w:p>
    <w:p w14:paraId="785F274F">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20.3不同投标人的投标文件载明的项目管理成员或者联系人员为同一人；</w:t>
      </w:r>
    </w:p>
    <w:p w14:paraId="537E89BC">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20.4不同投标人的投标文件异常一致或者投标报价呈规律性差异；</w:t>
      </w:r>
    </w:p>
    <w:p w14:paraId="173D5545">
      <w:pPr>
        <w:pStyle w:val="5"/>
        <w:spacing w:before="0" w:beforeLines="0" w:after="0" w:afterLines="0" w:line="360" w:lineRule="auto"/>
        <w:rPr>
          <w:rFonts w:hint="eastAsia" w:ascii="宋体" w:hAnsi="宋体" w:cs="宋体"/>
          <w:color w:val="auto"/>
          <w:sz w:val="24"/>
          <w:szCs w:val="24"/>
          <w:highlight w:val="none"/>
        </w:rPr>
      </w:pPr>
      <w:bookmarkStart w:id="224" w:name="_Toc19777"/>
      <w:bookmarkStart w:id="225" w:name="_Toc462076244"/>
      <w:bookmarkStart w:id="226" w:name="_Toc24830"/>
      <w:bookmarkStart w:id="227" w:name="_Toc25631"/>
      <w:bookmarkStart w:id="228" w:name="_Toc509927099"/>
      <w:r>
        <w:rPr>
          <w:rFonts w:hint="eastAsia" w:ascii="宋体" w:hAnsi="宋体" w:cs="宋体"/>
          <w:color w:val="auto"/>
          <w:sz w:val="24"/>
          <w:szCs w:val="24"/>
          <w:highlight w:val="none"/>
        </w:rPr>
        <w:t>九、废标的情形</w:t>
      </w:r>
      <w:bookmarkEnd w:id="224"/>
      <w:bookmarkEnd w:id="225"/>
      <w:bookmarkEnd w:id="226"/>
      <w:bookmarkEnd w:id="227"/>
      <w:bookmarkEnd w:id="228"/>
    </w:p>
    <w:p w14:paraId="4C6EDBF6">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21.采购中，出现下列情形之一的，应予废标，废标后，采购人将废标理由通知所有投标人：</w:t>
      </w:r>
    </w:p>
    <w:p w14:paraId="28EA5EB6">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21.1符合专业条件的供应商或对招标文件作实质性响应的供应商不足3家的；</w:t>
      </w:r>
    </w:p>
    <w:p w14:paraId="44F28006">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21.2出现影响采购</w:t>
      </w:r>
      <w:r>
        <w:rPr>
          <w:rFonts w:hint="eastAsia" w:ascii="宋体" w:hAnsi="宋体" w:cs="宋体"/>
          <w:bCs/>
          <w:color w:val="auto"/>
          <w:highlight w:val="none"/>
          <w:lang w:eastAsia="zh-CN"/>
        </w:rPr>
        <w:t>公正</w:t>
      </w:r>
      <w:r>
        <w:rPr>
          <w:rFonts w:hint="eastAsia" w:ascii="宋体" w:hAnsi="宋体" w:cs="宋体"/>
          <w:bCs/>
          <w:color w:val="auto"/>
          <w:highlight w:val="none"/>
        </w:rPr>
        <w:t>的违法、违规行为的；</w:t>
      </w:r>
    </w:p>
    <w:p w14:paraId="524644CE">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21.3投标人的报价均超过了采购</w:t>
      </w:r>
      <w:r>
        <w:rPr>
          <w:rFonts w:hint="eastAsia" w:ascii="宋体" w:hAnsi="宋体" w:cs="宋体"/>
          <w:color w:val="auto"/>
          <w:highlight w:val="none"/>
        </w:rPr>
        <w:t>最高限价</w:t>
      </w:r>
      <w:r>
        <w:rPr>
          <w:rFonts w:hint="eastAsia" w:ascii="宋体" w:hAnsi="宋体" w:cs="宋体"/>
          <w:bCs/>
          <w:color w:val="auto"/>
          <w:highlight w:val="none"/>
        </w:rPr>
        <w:t>，采购人不能支付的；</w:t>
      </w:r>
    </w:p>
    <w:p w14:paraId="696DFEBC">
      <w:pPr>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21.4因重大变故，采购任务取消的。</w:t>
      </w:r>
    </w:p>
    <w:p w14:paraId="768FD0D3">
      <w:pPr>
        <w:pStyle w:val="5"/>
        <w:spacing w:before="0" w:beforeLines="0" w:after="0" w:afterLines="0" w:line="360" w:lineRule="auto"/>
        <w:rPr>
          <w:rFonts w:hint="eastAsia" w:ascii="宋体" w:hAnsi="宋体" w:cs="宋体"/>
          <w:color w:val="auto"/>
          <w:sz w:val="24"/>
          <w:szCs w:val="24"/>
          <w:highlight w:val="none"/>
        </w:rPr>
      </w:pPr>
      <w:bookmarkStart w:id="229" w:name="_Toc21174"/>
      <w:bookmarkStart w:id="230" w:name="_Toc9535"/>
      <w:r>
        <w:rPr>
          <w:rFonts w:hint="eastAsia" w:ascii="宋体" w:hAnsi="宋体" w:cs="宋体"/>
          <w:color w:val="auto"/>
          <w:sz w:val="24"/>
          <w:szCs w:val="24"/>
          <w:highlight w:val="none"/>
        </w:rPr>
        <w:t>十、可中止电子交易活动的情形</w:t>
      </w:r>
      <w:bookmarkEnd w:id="229"/>
      <w:bookmarkEnd w:id="230"/>
    </w:p>
    <w:p w14:paraId="523F38B8">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22.采购过程中出现以下情形，导致电子交易平台无法正常运行，或者无法保证电子交易的公平、公正和安全时，采购组织机构可中止电子交易活动：</w:t>
      </w:r>
    </w:p>
    <w:p w14:paraId="66D2355F">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22.1电子交易平台发生故障而无法登录访问的；</w:t>
      </w:r>
    </w:p>
    <w:p w14:paraId="7827054D">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22.2电子交易平台应用或数据库出现错误，不能进行正常操作的；</w:t>
      </w:r>
    </w:p>
    <w:p w14:paraId="056D7866">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22.3电子交易平台发现严重安全漏洞，有潜在泄密危险的；</w:t>
      </w:r>
    </w:p>
    <w:p w14:paraId="51107294">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22.4病毒攻击导致不能进行正常操作的；</w:t>
      </w:r>
    </w:p>
    <w:p w14:paraId="2A2AFBDF">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22.5其他无法保证电子交易的公平、公正和安全的情况。</w:t>
      </w:r>
    </w:p>
    <w:p w14:paraId="0126DF6C">
      <w:pPr>
        <w:snapToGrid w:val="0"/>
        <w:spacing w:line="360" w:lineRule="auto"/>
        <w:ind w:firstLine="480"/>
        <w:rPr>
          <w:rFonts w:hint="eastAsia" w:ascii="宋体" w:hAnsi="宋体" w:cs="宋体"/>
          <w:bCs/>
          <w:color w:val="auto"/>
          <w:highlight w:val="none"/>
        </w:rPr>
      </w:pPr>
      <w:r>
        <w:rPr>
          <w:rFonts w:hint="eastAsia" w:ascii="宋体" w:hAnsi="宋体" w:cs="宋体"/>
          <w:bCs/>
          <w:color w:val="auto"/>
          <w:highlight w:val="none"/>
        </w:rPr>
        <w:t>出现前款规定情形，不影响采购公平、公正性的，采购代理机构可以待上述情形消除后继续组织电子交易活动；影响或可能影响采购公平、公正性的，应当重新采购。</w:t>
      </w:r>
    </w:p>
    <w:p w14:paraId="0A198238">
      <w:pPr>
        <w:pStyle w:val="5"/>
        <w:spacing w:before="0" w:beforeLines="0" w:after="0" w:afterLines="0" w:line="360" w:lineRule="auto"/>
        <w:rPr>
          <w:rFonts w:hint="eastAsia" w:ascii="宋体" w:hAnsi="宋体" w:cs="宋体"/>
          <w:color w:val="auto"/>
          <w:sz w:val="24"/>
          <w:szCs w:val="24"/>
          <w:highlight w:val="none"/>
        </w:rPr>
      </w:pPr>
      <w:bookmarkStart w:id="231" w:name="_Toc28348"/>
      <w:bookmarkStart w:id="232" w:name="_Toc16582"/>
      <w:bookmarkStart w:id="233" w:name="_Toc509927100"/>
      <w:bookmarkStart w:id="234" w:name="_Toc18605"/>
      <w:bookmarkStart w:id="235" w:name="_Toc462076245"/>
      <w:r>
        <w:rPr>
          <w:rFonts w:hint="eastAsia" w:ascii="宋体" w:hAnsi="宋体" w:cs="宋体"/>
          <w:color w:val="auto"/>
          <w:sz w:val="24"/>
          <w:szCs w:val="24"/>
          <w:highlight w:val="none"/>
        </w:rPr>
        <w:t>十一、开标</w:t>
      </w:r>
      <w:bookmarkEnd w:id="220"/>
      <w:r>
        <w:rPr>
          <w:rFonts w:hint="eastAsia" w:ascii="宋体" w:hAnsi="宋体" w:cs="宋体"/>
          <w:color w:val="auto"/>
          <w:sz w:val="24"/>
          <w:szCs w:val="24"/>
          <w:highlight w:val="none"/>
        </w:rPr>
        <w:t>和评标</w:t>
      </w:r>
      <w:bookmarkEnd w:id="231"/>
      <w:bookmarkEnd w:id="232"/>
      <w:bookmarkEnd w:id="233"/>
      <w:bookmarkEnd w:id="234"/>
      <w:bookmarkEnd w:id="235"/>
    </w:p>
    <w:p w14:paraId="18ACF039">
      <w:pPr>
        <w:adjustRightInd w:val="0"/>
        <w:snapToGrid w:val="0"/>
        <w:spacing w:line="360" w:lineRule="auto"/>
        <w:ind w:firstLine="480"/>
        <w:rPr>
          <w:rFonts w:hint="eastAsia" w:ascii="宋体" w:hAnsi="宋体" w:cs="宋体"/>
          <w:color w:val="auto"/>
          <w:highlight w:val="none"/>
        </w:rPr>
      </w:pPr>
      <w:bookmarkStart w:id="236" w:name="_Toc356371440"/>
      <w:bookmarkStart w:id="237" w:name="_Toc509927101"/>
      <w:bookmarkStart w:id="238" w:name="_Toc462076246"/>
      <w:r>
        <w:rPr>
          <w:rFonts w:hint="eastAsia" w:ascii="宋体" w:hAnsi="宋体" w:cs="宋体"/>
          <w:color w:val="auto"/>
          <w:highlight w:val="none"/>
        </w:rPr>
        <w:t>23.开标</w:t>
      </w:r>
    </w:p>
    <w:p w14:paraId="46D0259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23.1招标人在规定的日期、时间和地点组织招标会。</w:t>
      </w:r>
    </w:p>
    <w:p w14:paraId="39D4DEC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23.2电子投标文件开标。</w:t>
      </w:r>
    </w:p>
    <w:p w14:paraId="4BE31BB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23.2.1投标截止时间后，投标人登录政采云平台，用“项目采购-开标评标”功能对电子投标文件进行在线解密。在线解密电子投标文件时间为投标截止起限定时间内。</w:t>
      </w:r>
    </w:p>
    <w:p w14:paraId="4154CEE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23.2.2由采购人代表</w:t>
      </w:r>
      <w:r>
        <w:rPr>
          <w:rFonts w:hint="eastAsia" w:ascii="宋体" w:hAnsi="宋体" w:cs="宋体"/>
          <w:color w:val="auto"/>
          <w:highlight w:val="none"/>
          <w:lang w:eastAsia="zh-CN"/>
        </w:rPr>
        <w:t>或</w:t>
      </w:r>
      <w:r>
        <w:rPr>
          <w:rFonts w:hint="eastAsia" w:ascii="宋体" w:hAnsi="宋体" w:cs="宋体"/>
          <w:color w:val="auto"/>
          <w:highlight w:val="none"/>
        </w:rPr>
        <w:t>采购代理机构评审资格审查文件，若资格审查不符合招标文件要求，即终止其参与投标资格。</w:t>
      </w:r>
    </w:p>
    <w:p w14:paraId="1A280049">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24.评标委员会</w:t>
      </w:r>
    </w:p>
    <w:p w14:paraId="2A49E25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24.1采购代理机构和采购人将根据采购项目的特点组建评标委员会,其成员由技术、经济等方面的专家和采购人代表组成。评标委员会对投标文件进行审查、询标、评议和推荐中标候选人。评标委员会判断投标文件的响应性，仅基于投标文件本身而不靠外部证据。</w:t>
      </w:r>
    </w:p>
    <w:p w14:paraId="03B0DBF9">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24.2在评标期间,若有需要投标人应派代表参加询标。</w:t>
      </w:r>
    </w:p>
    <w:p w14:paraId="059B8F5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25.对投标文件的审查和响应性的确定</w:t>
      </w:r>
    </w:p>
    <w:p w14:paraId="53D847D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25.1评标委员会将审查投标文件是否真实、完整,总体编排是否有序,文件签署是否正确,有无计算上的错误等。</w:t>
      </w:r>
    </w:p>
    <w:p w14:paraId="2D2D625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 xml:space="preserve">25.2算术错误将按以下方法更正: </w:t>
      </w:r>
    </w:p>
    <w:p w14:paraId="51FB5CA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（1）开标时，投标文件中开标一览表（报价表）内容与投标文件中明细表内容不一致的，以开标一览表（报价表）为准；</w:t>
      </w:r>
    </w:p>
    <w:p w14:paraId="73B0FE3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（2）投标文件的大写金额和小写金额不一致的，以大写金额为准；</w:t>
      </w:r>
    </w:p>
    <w:p w14:paraId="1A036DB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（3）单价金额小数点或百分比有明显错位的，以开标一览表的总价为准，并修改单价；</w:t>
      </w:r>
    </w:p>
    <w:p w14:paraId="26976F9C">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（4）总价金额与按单价汇总金额不一致的，以单价金额计算结果为准；同时出现两种以上不一致的，按照前款规定的顺序修正，修正后的报价应经投标人书面确认，投标人不予确认的，其投标无效。</w:t>
      </w:r>
    </w:p>
    <w:p w14:paraId="4625D86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26.评标</w:t>
      </w:r>
    </w:p>
    <w:p w14:paraId="0D97028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 xml:space="preserve">26.1评定原则：根据符合采购需求、质量和服务等要求，综合评分确定中标人。 </w:t>
      </w:r>
    </w:p>
    <w:p w14:paraId="05BBBD91">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26.2投标文件的澄清：在评标期间,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14:paraId="50B5746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26.3评标报告：评标委员会完成评定后，向招标人提交经各评标委员会成员签字的评定结果报告，并按评定办法推荐中标候选人。</w:t>
      </w:r>
    </w:p>
    <w:p w14:paraId="397B6CBF">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27.保密</w:t>
      </w:r>
    </w:p>
    <w:p w14:paraId="1E87EC09">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27.1开标后直到宣布授予中标人合同为止,凡属于审查、澄清、评估和比较投标的有关资料且与授予合同有关的信息都不得向任何投标人或与上述评标过程无关的人员透露。</w:t>
      </w:r>
    </w:p>
    <w:p w14:paraId="2134A43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27.2投标人对评标、比较或授予合同决定的过程施加影响的企图和行为,都可能导致其投标被拒绝。</w:t>
      </w:r>
    </w:p>
    <w:p w14:paraId="616CD10C">
      <w:pPr>
        <w:pStyle w:val="5"/>
        <w:spacing w:before="0" w:beforeLines="0" w:after="0" w:afterLines="0" w:line="360" w:lineRule="auto"/>
        <w:rPr>
          <w:rFonts w:hint="eastAsia" w:ascii="宋体" w:hAnsi="宋体" w:cs="宋体"/>
          <w:color w:val="auto"/>
          <w:sz w:val="24"/>
          <w:szCs w:val="24"/>
          <w:highlight w:val="none"/>
        </w:rPr>
      </w:pPr>
      <w:bookmarkStart w:id="239" w:name="_Toc16777"/>
      <w:bookmarkStart w:id="240" w:name="_Toc31029"/>
      <w:bookmarkStart w:id="241" w:name="_Toc28611"/>
      <w:r>
        <w:rPr>
          <w:rFonts w:hint="eastAsia" w:ascii="宋体" w:hAnsi="宋体" w:cs="宋体"/>
          <w:color w:val="auto"/>
          <w:sz w:val="24"/>
          <w:szCs w:val="24"/>
          <w:highlight w:val="none"/>
        </w:rPr>
        <w:t>十二、授予合同</w:t>
      </w:r>
      <w:bookmarkEnd w:id="236"/>
      <w:bookmarkEnd w:id="237"/>
      <w:bookmarkEnd w:id="238"/>
      <w:bookmarkEnd w:id="239"/>
      <w:bookmarkEnd w:id="240"/>
      <w:bookmarkEnd w:id="241"/>
    </w:p>
    <w:p w14:paraId="6177AC21">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28.中标通知和合同授予</w:t>
      </w:r>
    </w:p>
    <w:p w14:paraId="4F59DB8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28.1中标通知书：评定结果经采购人按排名顺序确定中标供应商，</w:t>
      </w:r>
      <w:r>
        <w:rPr>
          <w:rFonts w:hint="eastAsia" w:ascii="宋体" w:hAnsi="宋体" w:cs="宋体"/>
          <w:color w:val="auto"/>
          <w:highlight w:val="none"/>
          <w:lang w:eastAsia="zh-CN"/>
        </w:rPr>
        <w:t>浙江佳诚工程咨询股份有限公司</w:t>
      </w:r>
      <w:r>
        <w:rPr>
          <w:rFonts w:hint="eastAsia" w:ascii="宋体" w:hAnsi="宋体" w:cs="宋体"/>
          <w:color w:val="auto"/>
          <w:highlight w:val="none"/>
        </w:rPr>
        <w:t>将以书面形式发出《中标通知书》。《中标通知书》一经发出即发生法律效力。招标人无义务向未中标供应商解释落选原因，不退回投标文件。《中标通知书》将作为签订合同的依据。若有异议且成立，采购人可以按照综合得分由高到低排序另行确定中标供应商，也可以重新开展政府采购活动。</w:t>
      </w:r>
    </w:p>
    <w:p w14:paraId="09E5CFAD">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rPr>
        <w:t>28.2履约保证金：</w:t>
      </w:r>
      <w:r>
        <w:rPr>
          <w:rFonts w:hint="eastAsia" w:ascii="宋体" w:hAnsi="宋体" w:cs="宋体"/>
          <w:color w:val="auto"/>
          <w:highlight w:val="none"/>
          <w:lang w:val="zh-CN"/>
        </w:rPr>
        <w:t>投标须知前附表。</w:t>
      </w:r>
    </w:p>
    <w:p w14:paraId="0072ED3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28.3签订合同：中标人按《中标通知书》指定的时间、地点与采购人直接签订合同</w:t>
      </w:r>
      <w:r>
        <w:rPr>
          <w:rFonts w:hint="eastAsia" w:ascii="宋体" w:hAnsi="宋体" w:cs="宋体"/>
          <w:color w:val="auto"/>
          <w:highlight w:val="none"/>
          <w:lang w:eastAsia="zh-CN"/>
        </w:rPr>
        <w:t>。</w:t>
      </w:r>
      <w:r>
        <w:rPr>
          <w:rFonts w:hint="eastAsia" w:ascii="宋体" w:hAnsi="宋体" w:cs="宋体"/>
          <w:color w:val="auto"/>
          <w:highlight w:val="none"/>
        </w:rPr>
        <w:t>在有合理证据证明供应商在投标过程中承诺的内容不能实质响应的，采购人有权拒签合同。</w:t>
      </w:r>
    </w:p>
    <w:p w14:paraId="66A2900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28.4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7753060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28.5招标文件、澄清文件、投标文件等，均为签订合同的依据。中标人接到中标通知书后在规定的时间内与采购人</w:t>
      </w:r>
      <w:r>
        <w:rPr>
          <w:rFonts w:hint="eastAsia" w:ascii="宋体" w:hAnsi="宋体" w:cs="宋体"/>
          <w:color w:val="auto"/>
          <w:highlight w:val="none"/>
          <w:lang w:eastAsia="zh-CN"/>
        </w:rPr>
        <w:t>签订合同</w:t>
      </w:r>
      <w:r>
        <w:rPr>
          <w:rFonts w:hint="eastAsia" w:ascii="宋体" w:hAnsi="宋体" w:cs="宋体"/>
          <w:color w:val="auto"/>
          <w:highlight w:val="none"/>
        </w:rPr>
        <w:t>。</w:t>
      </w:r>
    </w:p>
    <w:p w14:paraId="75B426F3">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28.6中标人不遵守投标文件的要约、承诺，擅自修改投标文件的内容或在接到中标通知书规定的时间内，借故拖延、拒签合同者，其投标保证金不予返还，同时，采购人将取消该供应商的中标资格。</w:t>
      </w:r>
    </w:p>
    <w:p w14:paraId="53564B6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28.7签约后即为招标结束。投标文件一律不退。</w:t>
      </w:r>
    </w:p>
    <w:p w14:paraId="4FAE66F5">
      <w:pPr>
        <w:pStyle w:val="5"/>
        <w:spacing w:before="0" w:beforeLines="0" w:after="0" w:afterLines="0" w:line="360" w:lineRule="auto"/>
        <w:rPr>
          <w:rFonts w:hint="eastAsia" w:ascii="宋体" w:hAnsi="宋体" w:cs="宋体"/>
          <w:color w:val="auto"/>
          <w:sz w:val="24"/>
          <w:szCs w:val="24"/>
          <w:highlight w:val="none"/>
        </w:rPr>
      </w:pPr>
      <w:bookmarkStart w:id="242" w:name="_Toc4253"/>
      <w:bookmarkStart w:id="243" w:name="_Toc24720"/>
      <w:bookmarkStart w:id="244" w:name="_Toc23994"/>
      <w:bookmarkStart w:id="245" w:name="_Toc356371441"/>
      <w:bookmarkStart w:id="246" w:name="_Toc509927102"/>
      <w:bookmarkStart w:id="247" w:name="_Toc462076247"/>
      <w:r>
        <w:rPr>
          <w:rFonts w:hint="eastAsia" w:ascii="宋体" w:hAnsi="宋体" w:cs="宋体"/>
          <w:color w:val="auto"/>
          <w:sz w:val="24"/>
          <w:szCs w:val="24"/>
          <w:highlight w:val="none"/>
        </w:rPr>
        <w:t>十三、质疑与投诉</w:t>
      </w:r>
      <w:bookmarkEnd w:id="242"/>
      <w:bookmarkEnd w:id="243"/>
      <w:bookmarkEnd w:id="244"/>
    </w:p>
    <w:p w14:paraId="511B851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29.1根据《中华人民共和国政府采购法》、《中华人民共和国政府采购法实施条例》、《政府采购质疑和投诉办法》(财政部令第94号)，政府采购供应商可以依法提起质疑和投诉。</w:t>
      </w:r>
    </w:p>
    <w:p w14:paraId="00C30138">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29.2供应商提交的质疑函应符合财政部《政府采购供应商质疑函范本》要求。下载网址：https://ztb.longyou.gov.cn/front/content/9003002000</w:t>
      </w:r>
    </w:p>
    <w:p w14:paraId="64B12E4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29.3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3D0C5D54">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29.4质疑、投诉应当采用书面形式，质疑书、投诉书均应明确阐述招标文件、招标过程或中标结果中使自己合法权益受到损害的实质性内容，提供相关事实、依据和证据及其来源或线索，便于有关单位调查、答复和处理。</w:t>
      </w:r>
    </w:p>
    <w:p w14:paraId="4648CC9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29.5如质疑、投诉不成立且恶意诽谤的，同时由相关部门根据规定进行必要的处罚。</w:t>
      </w:r>
    </w:p>
    <w:p w14:paraId="76F282B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30.中标人确定</w:t>
      </w:r>
    </w:p>
    <w:p w14:paraId="18C5DDB1">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30.1投标人对评标结果无异议的，采购人应在收到评标报告后5个工作日内按推荐排名顺序由高到低对评标结果进行确认。如有投标人对评标结果提出质疑的，采购人可在质疑处理完毕后确定中标人。（采购人根据评标报告中评标委员会推荐的中标候选人顺序确定1名中标人。推荐第一中标候选人如拒绝与采购人签订合同的，或因不可抗力提出不能履行合同，采购人可以确定排序第二的中标候选人为中标人；采购人也可以重新组织采购。）</w:t>
      </w:r>
    </w:p>
    <w:p w14:paraId="7B39A75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30.2采购人依法确定中标人后2个工作日内，采购代理机构以书面形式发出《中标通知书》,并同时在相关网站上发布中标公告。</w:t>
      </w:r>
    </w:p>
    <w:p w14:paraId="3E160170">
      <w:pPr>
        <w:pStyle w:val="5"/>
        <w:spacing w:before="0" w:beforeLines="0" w:after="0" w:afterLines="0" w:line="360" w:lineRule="auto"/>
        <w:rPr>
          <w:rFonts w:hint="eastAsia" w:ascii="宋体" w:hAnsi="宋体" w:cs="宋体"/>
          <w:color w:val="auto"/>
          <w:sz w:val="24"/>
          <w:szCs w:val="24"/>
          <w:highlight w:val="none"/>
        </w:rPr>
      </w:pPr>
      <w:bookmarkStart w:id="248" w:name="_Toc23652"/>
      <w:bookmarkStart w:id="249" w:name="_Toc19824"/>
      <w:bookmarkStart w:id="250" w:name="_Toc10851"/>
      <w:r>
        <w:rPr>
          <w:rFonts w:hint="eastAsia" w:ascii="宋体" w:hAnsi="宋体" w:cs="宋体"/>
          <w:color w:val="auto"/>
          <w:sz w:val="24"/>
          <w:szCs w:val="24"/>
          <w:highlight w:val="none"/>
        </w:rPr>
        <w:t>十四、法律责任</w:t>
      </w:r>
      <w:bookmarkEnd w:id="245"/>
      <w:bookmarkEnd w:id="246"/>
      <w:bookmarkEnd w:id="247"/>
      <w:bookmarkEnd w:id="248"/>
      <w:bookmarkEnd w:id="249"/>
      <w:bookmarkEnd w:id="250"/>
    </w:p>
    <w:p w14:paraId="425ADBC6">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E30EC18">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31.1提供虚假材料谋取中标的；</w:t>
      </w:r>
    </w:p>
    <w:p w14:paraId="0CDEE104">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31.2采取不正当手段诋毁、排挤其他投标人的；</w:t>
      </w:r>
    </w:p>
    <w:p w14:paraId="57858C0D">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31.3与采购人、采购代理机构、其他投标人恶意串通的；</w:t>
      </w:r>
    </w:p>
    <w:p w14:paraId="1416FB4C">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31.4向采购人、采购代理机构行贿或者提供其他不正当利益；</w:t>
      </w:r>
    </w:p>
    <w:p w14:paraId="14FC9726">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31.5在招标过程中与采购人进行协商谈判、不按照招标文件和中标人的投标文件订立合同,或者与采购人另行订立背离合同实质性内容的协议的；</w:t>
      </w:r>
    </w:p>
    <w:p w14:paraId="43483018">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31.6拒绝有关部门监督检查或者提供虚假情况的。</w:t>
      </w:r>
    </w:p>
    <w:p w14:paraId="0C6954C4">
      <w:pPr>
        <w:pStyle w:val="5"/>
        <w:spacing w:before="0" w:beforeLines="0" w:after="0" w:afterLines="0" w:line="360" w:lineRule="auto"/>
        <w:rPr>
          <w:rFonts w:hint="eastAsia" w:ascii="宋体" w:hAnsi="宋体" w:cs="宋体"/>
          <w:color w:val="auto"/>
          <w:sz w:val="24"/>
          <w:szCs w:val="24"/>
          <w:highlight w:val="none"/>
        </w:rPr>
      </w:pPr>
      <w:bookmarkStart w:id="251" w:name="_Toc13481"/>
      <w:bookmarkStart w:id="252" w:name="_Toc6818"/>
      <w:bookmarkStart w:id="253" w:name="_Toc2668"/>
      <w:r>
        <w:rPr>
          <w:rFonts w:hint="eastAsia" w:ascii="宋体" w:hAnsi="宋体" w:cs="宋体"/>
          <w:color w:val="auto"/>
          <w:sz w:val="24"/>
          <w:szCs w:val="24"/>
          <w:highlight w:val="none"/>
        </w:rPr>
        <w:t>十五、诚信管理</w:t>
      </w:r>
      <w:bookmarkEnd w:id="251"/>
      <w:bookmarkEnd w:id="252"/>
      <w:bookmarkEnd w:id="253"/>
    </w:p>
    <w:p w14:paraId="2ED11CE8">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供应商有下列情形之一的，依据《关于印发浙江省政府供应商注册及诚信管理暂行办法通知》[浙财采监字〔2009〕28号]文件第三十八条和第三十九条的规定记录不良行为、黑名单及处罚。</w:t>
      </w:r>
    </w:p>
    <w:p w14:paraId="77E4C93B">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第三十八条 注册供应商有下列情形之一的，采购单位或采购代理机构应按不良行为记入该注册供应商诚信档案中：</w:t>
      </w:r>
    </w:p>
    <w:p w14:paraId="6F647D2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（一）开标后擅自撤回采购投标文件，或扰乱开标现场，影响采购活动继续进行的；</w:t>
      </w:r>
    </w:p>
    <w:p w14:paraId="35A7FCE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（二）中标、成交后无正当理由拒绝签订政府采购合同，或者与采购单位另行订立背离合同实质内容的协议的；</w:t>
      </w:r>
    </w:p>
    <w:p w14:paraId="48BFFD6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（三）无正当理由拒绝履行合同和有关承诺，或擅自变更、中止（终止）政府采购合同的；</w:t>
      </w:r>
    </w:p>
    <w:p w14:paraId="4BC9E87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（四）超过合同约定的供货（或服务）时间达30日以上的；</w:t>
      </w:r>
    </w:p>
    <w:p w14:paraId="13AA33B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（五）中标、成交后，将政府采购合同转包或擅自分包给其他供应商的；</w:t>
      </w:r>
    </w:p>
    <w:p w14:paraId="64FE5C4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（六）提供假冒伪劣产品或走私物品的；</w:t>
      </w:r>
    </w:p>
    <w:p w14:paraId="6ABC19B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（七）擅自降低产品质量等次和售后服务，或以次充好、偷工减料的；</w:t>
      </w:r>
    </w:p>
    <w:p w14:paraId="0BE6144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（八）实际提供的有关产品性能指标和技术服务能力明显低于投标文件或询标、谈判时的承诺；</w:t>
      </w:r>
    </w:p>
    <w:p w14:paraId="56D9D8A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（九）在供应商库中发布的产品服务信息或在政府采购网上宣传的信息与实际明显不符，或故意误导采购人的；</w:t>
      </w:r>
    </w:p>
    <w:p w14:paraId="582BF37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（十）不按规定或不及时变更供应商库中的有关信息的；</w:t>
      </w:r>
    </w:p>
    <w:p w14:paraId="123C0A9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（十一）1年内在全省被质疑或投诉累计分别在20和10次以上且60%以上被驳回的，或恶意举报给采购人或采购代理机构造成损害的；</w:t>
      </w:r>
    </w:p>
    <w:p w14:paraId="26F0629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（十二）各级财政部门认定的其它有违诚实信用的行为。</w:t>
      </w:r>
    </w:p>
    <w:p w14:paraId="0CA5F6B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第三十九条 注册供应商有下列情形之一的，采购单位或采购代理机构应向同级财政部门书面报告，并提请财政部门将其列 入“黑名单”或者依法作出处罚；各级财政部门在依法处罚的同时，应将该情况按不良行为记入该供应商诚信档案中，同时将该供应商列入“黑名单”公开曝光：</w:t>
      </w:r>
    </w:p>
    <w:p w14:paraId="634ACD2C">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（一）提供虚假材料谋取中 标、成交的；</w:t>
      </w:r>
    </w:p>
    <w:p w14:paraId="2B2160CA">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（二）采取不正当手段诋毁、排挤其他供应商的；</w:t>
      </w:r>
    </w:p>
    <w:p w14:paraId="3EBC6EDD">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（三）与采购单位、其他供应商或者采购代理机构恶意串通的；</w:t>
      </w:r>
    </w:p>
    <w:p w14:paraId="26894530">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（四）向采购单位、采购代理机构行贿或提供其他不 正当利益，或因此被其他国家机关立案查实的；</w:t>
      </w:r>
    </w:p>
    <w:p w14:paraId="614ABBD8">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（五）在招标采购过程中与采购单位进行协商谈判的；</w:t>
      </w:r>
    </w:p>
    <w:p w14:paraId="2BC6724E">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（六）哄抬、操纵政府采购报价，或政府采购价格（包括产品及其配件、试剂、耗材等价格）明显高于市场平均价的；</w:t>
      </w:r>
    </w:p>
    <w:p w14:paraId="4BF66D17">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（七）提供虚假材料骗取注册供应商资格的；</w:t>
      </w:r>
    </w:p>
    <w:p w14:paraId="267F9345">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（八）伪造《浙江省政府采购注册供应商信息登记表》的；</w:t>
      </w:r>
    </w:p>
    <w:p w14:paraId="3CD9E439">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（九）销售或发布法律、法规禁止销售的商品、服务和其他违法信息的；</w:t>
      </w:r>
    </w:p>
    <w:p w14:paraId="4348228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（十）其它违反法律、法规和政府采购管理有关规定的行为的。</w:t>
      </w:r>
    </w:p>
    <w:p w14:paraId="28DBD891">
      <w:pPr>
        <w:pStyle w:val="5"/>
        <w:spacing w:before="0" w:beforeLines="0" w:after="0" w:afterLines="0" w:line="360" w:lineRule="auto"/>
        <w:rPr>
          <w:rFonts w:hint="eastAsia" w:ascii="宋体" w:hAnsi="宋体" w:cs="宋体"/>
          <w:color w:val="auto"/>
          <w:sz w:val="24"/>
          <w:szCs w:val="24"/>
          <w:highlight w:val="none"/>
        </w:rPr>
      </w:pPr>
      <w:bookmarkStart w:id="254" w:name="_Toc29278"/>
      <w:bookmarkStart w:id="255" w:name="_Toc21863"/>
      <w:bookmarkStart w:id="256" w:name="_Toc462076248"/>
      <w:bookmarkStart w:id="257" w:name="_Toc356371442"/>
      <w:bookmarkStart w:id="258" w:name="_Toc509927103"/>
      <w:bookmarkStart w:id="259" w:name="_Toc20341"/>
      <w:bookmarkStart w:id="260" w:name="_Toc32735"/>
      <w:r>
        <w:rPr>
          <w:rFonts w:hint="eastAsia" w:ascii="宋体" w:hAnsi="宋体" w:cs="宋体"/>
          <w:color w:val="auto"/>
          <w:sz w:val="24"/>
          <w:szCs w:val="24"/>
          <w:highlight w:val="none"/>
        </w:rPr>
        <w:t>十六、其他</w:t>
      </w:r>
      <w:bookmarkEnd w:id="254"/>
      <w:bookmarkEnd w:id="255"/>
      <w:bookmarkEnd w:id="256"/>
      <w:bookmarkEnd w:id="257"/>
      <w:bookmarkEnd w:id="258"/>
      <w:bookmarkEnd w:id="259"/>
    </w:p>
    <w:p w14:paraId="7C3A9398">
      <w:pPr>
        <w:adjustRightInd w:val="0"/>
        <w:snapToGrid w:val="0"/>
        <w:spacing w:line="360" w:lineRule="auto"/>
        <w:ind w:firstLine="480"/>
        <w:rPr>
          <w:rFonts w:hint="eastAsia" w:ascii="宋体" w:hAnsi="宋体" w:cs="宋体"/>
          <w:color w:val="auto"/>
          <w:highlight w:val="none"/>
          <w:lang w:val="zh-CN" w:eastAsia="zh-Hans"/>
        </w:rPr>
      </w:pPr>
      <w:r>
        <w:rPr>
          <w:rFonts w:hint="eastAsia" w:ascii="宋体" w:hAnsi="宋体" w:cs="宋体"/>
          <w:color w:val="auto"/>
          <w:highlight w:val="none"/>
        </w:rPr>
        <w:t>32.</w:t>
      </w:r>
      <w:r>
        <w:rPr>
          <w:rFonts w:hint="eastAsia" w:ascii="宋体" w:hAnsi="宋体" w:cs="宋体"/>
          <w:color w:val="auto"/>
          <w:highlight w:val="none"/>
          <w:lang w:val="zh-CN"/>
        </w:rPr>
        <w:t>采</w:t>
      </w:r>
      <w:r>
        <w:rPr>
          <w:rFonts w:hint="eastAsia" w:ascii="宋体" w:hAnsi="宋体" w:cs="宋体"/>
          <w:color w:val="auto"/>
          <w:highlight w:val="none"/>
          <w:lang w:val="zh-CN" w:eastAsia="zh-Hans"/>
        </w:rPr>
        <w:t>购代理服务费</w:t>
      </w:r>
    </w:p>
    <w:p w14:paraId="67AEA935">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eastAsia="zh-Hans"/>
        </w:rPr>
        <w:t>3</w:t>
      </w:r>
      <w:r>
        <w:rPr>
          <w:rFonts w:hint="eastAsia" w:ascii="宋体" w:hAnsi="宋体" w:cs="宋体"/>
          <w:color w:val="auto"/>
          <w:highlight w:val="none"/>
        </w:rPr>
        <w:t>2</w:t>
      </w:r>
      <w:r>
        <w:rPr>
          <w:rFonts w:hint="eastAsia" w:ascii="宋体" w:hAnsi="宋体" w:cs="宋体"/>
          <w:color w:val="auto"/>
          <w:highlight w:val="none"/>
          <w:lang w:val="zh-CN" w:eastAsia="zh-Hans"/>
        </w:rPr>
        <w:t>.1</w:t>
      </w:r>
      <w:r>
        <w:rPr>
          <w:rFonts w:hint="eastAsia" w:ascii="宋体" w:hAnsi="宋体" w:cs="宋体"/>
          <w:color w:val="auto"/>
          <w:highlight w:val="none"/>
          <w:lang w:val="zh-CN"/>
        </w:rPr>
        <w:t>本项目招标代理费(招标代理费收费标准按照国家计委关于印发《招标代理服务费管理暂行办法》的通知（计价格【2002】1980 号）规定的收费标准执行，按服务招标计算。）及开标过程中产生的其他费用，由中标人支付给代理机构。</w:t>
      </w:r>
    </w:p>
    <w:p w14:paraId="0794C3B0">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收费标准如下：</w:t>
      </w:r>
    </w:p>
    <w:tbl>
      <w:tblPr>
        <w:tblStyle w:val="19"/>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2218"/>
        <w:gridCol w:w="2204"/>
        <w:gridCol w:w="1893"/>
      </w:tblGrid>
      <w:tr w14:paraId="7EC1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2583" w:type="dxa"/>
          </w:tcPr>
          <w:p w14:paraId="75E178F5">
            <w:pPr>
              <w:adjustRightInd w:val="0"/>
              <w:snapToGrid w:val="0"/>
              <w:spacing w:line="440" w:lineRule="exact"/>
              <w:ind w:firstLine="480"/>
              <w:rPr>
                <w:rFonts w:hint="eastAsia" w:ascii="宋体" w:hAnsi="宋体" w:cs="宋体"/>
                <w:color w:val="auto"/>
                <w:highlight w:val="none"/>
              </w:rPr>
            </w:pPr>
            <w:r>
              <w:rPr>
                <w:rFonts w:hint="eastAsia" w:ascii="宋体" w:hAnsi="宋体" w:cs="宋体"/>
                <w:color w:val="auto"/>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645160</wp:posOffset>
                      </wp:positionH>
                      <wp:positionV relativeFrom="paragraph">
                        <wp:posOffset>635</wp:posOffset>
                      </wp:positionV>
                      <wp:extent cx="937895" cy="1356995"/>
                      <wp:effectExtent l="3810" t="2540" r="10795" b="12065"/>
                      <wp:wrapNone/>
                      <wp:docPr id="3" name="直接箭头连接符 3"/>
                      <wp:cNvGraphicFramePr/>
                      <a:graphic xmlns:a="http://schemas.openxmlformats.org/drawingml/2006/main">
                        <a:graphicData uri="http://schemas.microsoft.com/office/word/2010/wordprocessingShape">
                          <wps:wsp>
                            <wps:cNvCnPr/>
                            <wps:spPr>
                              <a:xfrm>
                                <a:off x="0" y="0"/>
                                <a:ext cx="937895" cy="135699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50.8pt;margin-top:0.05pt;height:106.85pt;width:73.85pt;z-index:251660288;mso-width-relative:page;mso-height-relative:page;" filled="f" stroked="t" coordsize="21600,21600" o:gfxdata="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3nGCPWAAAACAEAAA8AAAAAAAAAAQAgAAAAIgAAAGRycy9k&#10;b3ducmV2LnhtbFBLAQIUABQAAAAIAIdO4kCYmJ7JBAIAAPsDAAAOAAAAAAAAAAEAIAAAACUBAABk&#10;cnMvZTJvRG9jLnhtbFBLBQYAAAAABgAGAFkBAACbBQAAAAA=&#10;">
                      <v:fill on="f" focussize="0,0"/>
                      <v:stroke color="#000000" joinstyle="round"/>
                      <v:imagedata o:title=""/>
                      <o:lock v:ext="edit" aspectratio="f"/>
                    </v:shape>
                  </w:pict>
                </mc:Fallback>
              </mc:AlternateContent>
            </w:r>
            <w:r>
              <w:rPr>
                <w:rFonts w:hint="eastAsia" w:ascii="宋体" w:hAnsi="宋体" w:cs="宋体"/>
                <w:color w:val="auto"/>
                <w:highlight w:val="none"/>
                <w:lang w:val="zh-CN"/>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4445</wp:posOffset>
                      </wp:positionV>
                      <wp:extent cx="1661795" cy="1353185"/>
                      <wp:effectExtent l="3175" t="3810" r="11430" b="14605"/>
                      <wp:wrapNone/>
                      <wp:docPr id="5" name="直接箭头连接符 5"/>
                      <wp:cNvGraphicFramePr/>
                      <a:graphic xmlns:a="http://schemas.openxmlformats.org/drawingml/2006/main">
                        <a:graphicData uri="http://schemas.microsoft.com/office/word/2010/wordprocessingShape">
                          <wps:wsp>
                            <wps:cNvCnPr/>
                            <wps:spPr>
                              <a:xfrm>
                                <a:off x="0" y="0"/>
                                <a:ext cx="1661795" cy="135318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6.95pt;margin-top:0.35pt;height:106.55pt;width:130.85pt;z-index:251659264;mso-width-relative:page;mso-height-relative:page;" filled="f" stroked="t" coordsize="21600,21600" o:gfxdata="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WHL22AAAAAgBAAAPAAAAAAAAAAEAIAAAACIA&#10;AABkcnMvZG93bnJldi54bWxQSwECFAAUAAAACACHTuJAbrlPwQkCAAD8AwAADgAAAAAAAAABACAA&#10;AAAnAQAAZHJzL2Uyb0RvYy54bWxQSwUGAAAAAAYABgBZAQAAogUAAAAA&#10;">
                      <v:fill on="f" focussize="0,0"/>
                      <v:stroke color="#000000" joinstyle="round"/>
                      <v:imagedata o:title=""/>
                      <o:lock v:ext="edit" aspectratio="f"/>
                    </v:shape>
                  </w:pict>
                </mc:Fallback>
              </mc:AlternateContent>
            </w:r>
            <w:r>
              <w:rPr>
                <w:rFonts w:hint="eastAsia" w:ascii="宋体" w:hAnsi="宋体" w:cs="宋体"/>
                <w:color w:val="auto"/>
                <w:highlight w:val="none"/>
                <w:lang w:val="zh-CN"/>
              </w:rPr>
              <w:t>费 率</w:t>
            </w:r>
            <w:r>
              <w:rPr>
                <w:rFonts w:hint="eastAsia" w:ascii="宋体" w:hAnsi="宋体" w:cs="宋体"/>
                <w:color w:val="auto"/>
                <w:highlight w:val="none"/>
                <w:lang w:val="zh-CN"/>
              </w:rPr>
              <w:tab/>
            </w:r>
            <w:r>
              <w:rPr>
                <w:rFonts w:hint="eastAsia" w:ascii="宋体" w:hAnsi="宋体" w:cs="宋体"/>
                <w:color w:val="auto"/>
                <w:highlight w:val="none"/>
              </w:rPr>
              <w:t xml:space="preserve">     </w:t>
            </w:r>
          </w:p>
          <w:p w14:paraId="0F07FF08">
            <w:pPr>
              <w:adjustRightInd w:val="0"/>
              <w:snapToGrid w:val="0"/>
              <w:spacing w:line="440" w:lineRule="exact"/>
              <w:ind w:firstLine="480"/>
              <w:jc w:val="right"/>
              <w:rPr>
                <w:rFonts w:hint="eastAsia" w:ascii="宋体" w:hAnsi="宋体" w:cs="宋体"/>
                <w:color w:val="auto"/>
                <w:highlight w:val="none"/>
                <w:lang w:val="zh-CN"/>
              </w:rPr>
            </w:pPr>
            <w:r>
              <w:rPr>
                <w:rFonts w:hint="eastAsia" w:ascii="宋体" w:hAnsi="宋体" w:cs="宋体"/>
                <w:color w:val="auto"/>
                <w:highlight w:val="none"/>
              </w:rPr>
              <w:t xml:space="preserve"> </w:t>
            </w:r>
            <w:r>
              <w:rPr>
                <w:rFonts w:hint="eastAsia" w:ascii="宋体" w:hAnsi="宋体" w:cs="宋体"/>
                <w:color w:val="auto"/>
                <w:highlight w:val="none"/>
                <w:lang w:val="zh-CN"/>
              </w:rPr>
              <w:t>服务类型</w:t>
            </w:r>
          </w:p>
          <w:p w14:paraId="2024F1E2">
            <w:pPr>
              <w:adjustRightInd w:val="0"/>
              <w:snapToGrid w:val="0"/>
              <w:spacing w:line="440" w:lineRule="exact"/>
              <w:ind w:firstLine="480"/>
              <w:rPr>
                <w:rFonts w:hint="eastAsia" w:ascii="宋体" w:hAnsi="宋体" w:cs="宋体"/>
                <w:color w:val="auto"/>
                <w:highlight w:val="none"/>
                <w:lang w:val="zh-CN"/>
              </w:rPr>
            </w:pPr>
          </w:p>
          <w:p w14:paraId="4B2F663F">
            <w:pPr>
              <w:adjustRightInd w:val="0"/>
              <w:snapToGrid w:val="0"/>
              <w:spacing w:line="440" w:lineRule="exact"/>
              <w:ind w:firstLine="0" w:firstLineChars="0"/>
              <w:rPr>
                <w:rFonts w:hint="eastAsia" w:ascii="宋体" w:hAnsi="宋体" w:cs="宋体"/>
                <w:color w:val="auto"/>
                <w:highlight w:val="none"/>
                <w:lang w:val="zh-CN"/>
              </w:rPr>
            </w:pPr>
            <w:r>
              <w:rPr>
                <w:rFonts w:hint="eastAsia" w:ascii="宋体" w:hAnsi="宋体" w:cs="宋体"/>
                <w:color w:val="auto"/>
                <w:highlight w:val="none"/>
                <w:lang w:val="zh-CN"/>
              </w:rPr>
              <w:t>中标金额（万元）</w:t>
            </w:r>
          </w:p>
        </w:tc>
        <w:tc>
          <w:tcPr>
            <w:tcW w:w="2218" w:type="dxa"/>
            <w:vAlign w:val="center"/>
          </w:tcPr>
          <w:p w14:paraId="0928A1F4">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货物招标</w:t>
            </w:r>
          </w:p>
        </w:tc>
        <w:tc>
          <w:tcPr>
            <w:tcW w:w="2204" w:type="dxa"/>
            <w:vAlign w:val="center"/>
          </w:tcPr>
          <w:p w14:paraId="5C8E7D42">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服务招标</w:t>
            </w:r>
          </w:p>
        </w:tc>
        <w:tc>
          <w:tcPr>
            <w:tcW w:w="1893" w:type="dxa"/>
            <w:vAlign w:val="center"/>
          </w:tcPr>
          <w:p w14:paraId="1D35953B">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工程招标</w:t>
            </w:r>
          </w:p>
        </w:tc>
      </w:tr>
      <w:tr w14:paraId="10F0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6CE72E79">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100以下</w:t>
            </w:r>
          </w:p>
        </w:tc>
        <w:tc>
          <w:tcPr>
            <w:tcW w:w="2218" w:type="dxa"/>
            <w:vAlign w:val="center"/>
          </w:tcPr>
          <w:p w14:paraId="35B8A18F">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1.5%</w:t>
            </w:r>
          </w:p>
        </w:tc>
        <w:tc>
          <w:tcPr>
            <w:tcW w:w="2204" w:type="dxa"/>
            <w:vAlign w:val="center"/>
          </w:tcPr>
          <w:p w14:paraId="16483212">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1.5%</w:t>
            </w:r>
          </w:p>
        </w:tc>
        <w:tc>
          <w:tcPr>
            <w:tcW w:w="1893" w:type="dxa"/>
            <w:vAlign w:val="center"/>
          </w:tcPr>
          <w:p w14:paraId="5DDA9997">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w:t>
            </w:r>
          </w:p>
        </w:tc>
      </w:tr>
      <w:tr w14:paraId="3F85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4FB556D9">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100-500</w:t>
            </w:r>
          </w:p>
        </w:tc>
        <w:tc>
          <w:tcPr>
            <w:tcW w:w="2218" w:type="dxa"/>
            <w:vAlign w:val="center"/>
          </w:tcPr>
          <w:p w14:paraId="6AE16F99">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1.1%</w:t>
            </w:r>
          </w:p>
        </w:tc>
        <w:tc>
          <w:tcPr>
            <w:tcW w:w="2204" w:type="dxa"/>
            <w:vAlign w:val="center"/>
          </w:tcPr>
          <w:p w14:paraId="1856B2A8">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0.8%</w:t>
            </w:r>
          </w:p>
        </w:tc>
        <w:tc>
          <w:tcPr>
            <w:tcW w:w="1893" w:type="dxa"/>
            <w:vAlign w:val="center"/>
          </w:tcPr>
          <w:p w14:paraId="0AA20156">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0.7%</w:t>
            </w:r>
          </w:p>
        </w:tc>
      </w:tr>
      <w:tr w14:paraId="54F6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48953C56">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500-1000</w:t>
            </w:r>
          </w:p>
        </w:tc>
        <w:tc>
          <w:tcPr>
            <w:tcW w:w="2218" w:type="dxa"/>
            <w:vAlign w:val="center"/>
          </w:tcPr>
          <w:p w14:paraId="00609036">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0.8%</w:t>
            </w:r>
          </w:p>
        </w:tc>
        <w:tc>
          <w:tcPr>
            <w:tcW w:w="2204" w:type="dxa"/>
            <w:vAlign w:val="center"/>
          </w:tcPr>
          <w:p w14:paraId="46AED660">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0.45%</w:t>
            </w:r>
          </w:p>
        </w:tc>
        <w:tc>
          <w:tcPr>
            <w:tcW w:w="1893" w:type="dxa"/>
            <w:vAlign w:val="center"/>
          </w:tcPr>
          <w:p w14:paraId="58B6DB39">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0.55%</w:t>
            </w:r>
          </w:p>
        </w:tc>
      </w:tr>
      <w:tr w14:paraId="7D14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37FA9E15">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1000-5000</w:t>
            </w:r>
          </w:p>
        </w:tc>
        <w:tc>
          <w:tcPr>
            <w:tcW w:w="2218" w:type="dxa"/>
            <w:vAlign w:val="center"/>
          </w:tcPr>
          <w:p w14:paraId="0CEF1C83">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0.5%</w:t>
            </w:r>
          </w:p>
        </w:tc>
        <w:tc>
          <w:tcPr>
            <w:tcW w:w="2204" w:type="dxa"/>
            <w:vAlign w:val="center"/>
          </w:tcPr>
          <w:p w14:paraId="1C54932B">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0.25%</w:t>
            </w:r>
          </w:p>
        </w:tc>
        <w:tc>
          <w:tcPr>
            <w:tcW w:w="1893" w:type="dxa"/>
            <w:vAlign w:val="center"/>
          </w:tcPr>
          <w:p w14:paraId="60210FDF">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0.35%</w:t>
            </w:r>
          </w:p>
        </w:tc>
      </w:tr>
      <w:tr w14:paraId="45E3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6451A53F">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5000-10000</w:t>
            </w:r>
          </w:p>
        </w:tc>
        <w:tc>
          <w:tcPr>
            <w:tcW w:w="2218" w:type="dxa"/>
            <w:vAlign w:val="center"/>
          </w:tcPr>
          <w:p w14:paraId="58110D5F">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0.25%</w:t>
            </w:r>
          </w:p>
        </w:tc>
        <w:tc>
          <w:tcPr>
            <w:tcW w:w="2204" w:type="dxa"/>
            <w:vAlign w:val="center"/>
          </w:tcPr>
          <w:p w14:paraId="7A090EB1">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0.1%</w:t>
            </w:r>
          </w:p>
        </w:tc>
        <w:tc>
          <w:tcPr>
            <w:tcW w:w="1893" w:type="dxa"/>
            <w:vAlign w:val="center"/>
          </w:tcPr>
          <w:p w14:paraId="1DD0943B">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0.2%</w:t>
            </w:r>
          </w:p>
        </w:tc>
      </w:tr>
      <w:tr w14:paraId="2D8A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583" w:type="dxa"/>
            <w:vAlign w:val="center"/>
          </w:tcPr>
          <w:p w14:paraId="2317706F">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10000-100000</w:t>
            </w:r>
          </w:p>
        </w:tc>
        <w:tc>
          <w:tcPr>
            <w:tcW w:w="2218" w:type="dxa"/>
            <w:vAlign w:val="center"/>
          </w:tcPr>
          <w:p w14:paraId="28A37A25">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0.05%</w:t>
            </w:r>
          </w:p>
        </w:tc>
        <w:tc>
          <w:tcPr>
            <w:tcW w:w="2204" w:type="dxa"/>
            <w:vAlign w:val="center"/>
          </w:tcPr>
          <w:p w14:paraId="5EE4B595">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0.05%</w:t>
            </w:r>
          </w:p>
        </w:tc>
        <w:tc>
          <w:tcPr>
            <w:tcW w:w="1893" w:type="dxa"/>
            <w:vAlign w:val="center"/>
          </w:tcPr>
          <w:p w14:paraId="5B4C4D53">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0.05%</w:t>
            </w:r>
          </w:p>
        </w:tc>
      </w:tr>
      <w:tr w14:paraId="1A65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83" w:type="dxa"/>
            <w:vAlign w:val="center"/>
          </w:tcPr>
          <w:p w14:paraId="35B4E8FE">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1000000以上</w:t>
            </w:r>
          </w:p>
        </w:tc>
        <w:tc>
          <w:tcPr>
            <w:tcW w:w="2218" w:type="dxa"/>
            <w:vAlign w:val="center"/>
          </w:tcPr>
          <w:p w14:paraId="1B1F6D11">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0.01%</w:t>
            </w:r>
          </w:p>
        </w:tc>
        <w:tc>
          <w:tcPr>
            <w:tcW w:w="2204" w:type="dxa"/>
            <w:vAlign w:val="center"/>
          </w:tcPr>
          <w:p w14:paraId="4A092713">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0.01%</w:t>
            </w:r>
          </w:p>
        </w:tc>
        <w:tc>
          <w:tcPr>
            <w:tcW w:w="1893" w:type="dxa"/>
            <w:vAlign w:val="center"/>
          </w:tcPr>
          <w:p w14:paraId="20E77DE1">
            <w:pPr>
              <w:adjustRightInd w:val="0"/>
              <w:snapToGrid w:val="0"/>
              <w:spacing w:line="440" w:lineRule="exact"/>
              <w:ind w:firstLine="480"/>
              <w:rPr>
                <w:rFonts w:hint="eastAsia" w:ascii="宋体" w:hAnsi="宋体" w:cs="宋体"/>
                <w:color w:val="auto"/>
                <w:highlight w:val="none"/>
                <w:lang w:val="zh-CN"/>
              </w:rPr>
            </w:pPr>
            <w:r>
              <w:rPr>
                <w:rFonts w:hint="eastAsia" w:ascii="宋体" w:hAnsi="宋体" w:cs="宋体"/>
                <w:color w:val="auto"/>
                <w:highlight w:val="none"/>
                <w:lang w:val="zh-CN"/>
              </w:rPr>
              <w:t>0.01%</w:t>
            </w:r>
          </w:p>
        </w:tc>
      </w:tr>
    </w:tbl>
    <w:p w14:paraId="06A19A09">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2</w:t>
      </w:r>
      <w:r>
        <w:rPr>
          <w:rFonts w:hint="eastAsia" w:ascii="宋体" w:hAnsi="宋体" w:cs="宋体"/>
          <w:color w:val="auto"/>
          <w:highlight w:val="none"/>
          <w:lang w:val="zh-CN"/>
        </w:rPr>
        <w:t>.2以上费用不在报价中单列，请供应商在报价中予以考虑。</w:t>
      </w:r>
    </w:p>
    <w:p w14:paraId="1EDB3F00">
      <w:pPr>
        <w:adjustRightInd w:val="0"/>
        <w:snapToGrid w:val="0"/>
        <w:spacing w:line="360" w:lineRule="auto"/>
        <w:ind w:firstLine="48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3</w:t>
      </w:r>
      <w:r>
        <w:rPr>
          <w:rFonts w:ascii="宋体" w:hAnsi="宋体"/>
          <w:color w:val="auto"/>
          <w:highlight w:val="none"/>
        </w:rPr>
        <w:t>.解释权：本招标文件是依据《</w:t>
      </w:r>
      <w:r>
        <w:rPr>
          <w:rFonts w:hint="eastAsia" w:ascii="宋体" w:hAnsi="宋体"/>
          <w:color w:val="auto"/>
          <w:highlight w:val="none"/>
          <w:lang w:eastAsia="zh-CN"/>
        </w:rPr>
        <w:t>中华人民共和国政府采购法</w:t>
      </w:r>
      <w:r>
        <w:rPr>
          <w:rFonts w:ascii="宋体" w:hAnsi="宋体"/>
          <w:color w:val="auto"/>
          <w:highlight w:val="none"/>
        </w:rPr>
        <w:t>》及有关规定编制的，解释权属招标人。</w:t>
      </w:r>
    </w:p>
    <w:p w14:paraId="2090DE5A">
      <w:pPr>
        <w:adjustRightInd w:val="0"/>
        <w:snapToGrid w:val="0"/>
        <w:spacing w:line="360" w:lineRule="auto"/>
        <w:ind w:firstLine="480"/>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4</w:t>
      </w:r>
      <w:r>
        <w:rPr>
          <w:rFonts w:ascii="宋体" w:hAnsi="宋体"/>
          <w:color w:val="auto"/>
          <w:highlight w:val="none"/>
        </w:rPr>
        <w:t>．联系方式：与招标有关的函电请按下面联系，其他任何方式或信息来源均无效。</w:t>
      </w:r>
    </w:p>
    <w:p w14:paraId="35F860D3">
      <w:pPr>
        <w:snapToGrid w:val="0"/>
        <w:spacing w:line="360" w:lineRule="auto"/>
        <w:ind w:left="480" w:leftChars="200" w:firstLine="0" w:firstLineChars="0"/>
        <w:rPr>
          <w:rFonts w:hint="eastAsia" w:ascii="新宋体" w:hAnsi="新宋体" w:eastAsia="新宋体" w:cs="新宋体"/>
          <w:color w:val="auto"/>
          <w:highlight w:val="none"/>
        </w:rPr>
      </w:pPr>
      <w:r>
        <w:rPr>
          <w:rFonts w:hint="eastAsia" w:ascii="新宋体" w:hAnsi="新宋体" w:eastAsia="新宋体" w:cs="新宋体"/>
          <w:color w:val="auto"/>
          <w:highlight w:val="none"/>
        </w:rPr>
        <w:t>通讯地址：衢州市衢江区东迹大道922号科教产业园科教大厦19楼</w:t>
      </w:r>
      <w:r>
        <w:rPr>
          <w:rFonts w:hint="eastAsia" w:ascii="新宋体" w:hAnsi="新宋体" w:eastAsia="新宋体" w:cs="新宋体"/>
          <w:color w:val="auto"/>
          <w:highlight w:val="none"/>
          <w:lang w:val="en-US" w:eastAsia="zh-CN"/>
        </w:rPr>
        <w:t xml:space="preserve">       </w:t>
      </w:r>
      <w:r>
        <w:rPr>
          <w:rFonts w:hint="eastAsia" w:ascii="新宋体" w:hAnsi="新宋体" w:eastAsia="新宋体" w:cs="新宋体"/>
          <w:color w:val="auto"/>
          <w:highlight w:val="none"/>
        </w:rPr>
        <w:t>项目联系人：</w:t>
      </w:r>
      <w:r>
        <w:rPr>
          <w:rFonts w:hint="eastAsia" w:ascii="新宋体" w:hAnsi="新宋体" w:eastAsia="新宋体" w:cs="新宋体"/>
          <w:color w:val="auto"/>
          <w:highlight w:val="none"/>
          <w:lang w:eastAsia="zh-CN"/>
        </w:rPr>
        <w:t>叶</w:t>
      </w:r>
      <w:r>
        <w:rPr>
          <w:rFonts w:hint="eastAsia" w:ascii="新宋体" w:hAnsi="新宋体" w:eastAsia="新宋体" w:cs="新宋体"/>
          <w:color w:val="auto"/>
          <w:highlight w:val="none"/>
        </w:rPr>
        <w:t>女士</w:t>
      </w:r>
    </w:p>
    <w:p w14:paraId="766E6213">
      <w:pPr>
        <w:snapToGrid w:val="0"/>
        <w:spacing w:line="360" w:lineRule="auto"/>
        <w:ind w:firstLine="480"/>
        <w:rPr>
          <w:rFonts w:hint="default" w:ascii="新宋体" w:hAnsi="新宋体" w:eastAsia="新宋体" w:cs="新宋体"/>
          <w:color w:val="auto"/>
          <w:highlight w:val="none"/>
          <w:lang w:val="en-US" w:eastAsia="zh-CN"/>
        </w:rPr>
      </w:pPr>
      <w:r>
        <w:rPr>
          <w:rFonts w:hint="eastAsia" w:ascii="新宋体" w:hAnsi="新宋体" w:eastAsia="新宋体" w:cs="新宋体"/>
          <w:color w:val="auto"/>
          <w:highlight w:val="none"/>
        </w:rPr>
        <w:t>答疑咨询电话：</w:t>
      </w:r>
      <w:r>
        <w:rPr>
          <w:rFonts w:hint="eastAsia" w:ascii="新宋体" w:hAnsi="新宋体" w:eastAsia="新宋体" w:cs="新宋体"/>
          <w:color w:val="auto"/>
          <w:highlight w:val="none"/>
          <w:lang w:val="en-US" w:eastAsia="zh-CN"/>
        </w:rPr>
        <w:t>19858187091</w:t>
      </w:r>
    </w:p>
    <w:p w14:paraId="04DC7E16">
      <w:pPr>
        <w:snapToGrid w:val="0"/>
        <w:spacing w:line="360" w:lineRule="auto"/>
        <w:ind w:firstLine="480"/>
        <w:rPr>
          <w:rFonts w:hint="eastAsia" w:ascii="新宋体" w:hAnsi="新宋体" w:eastAsia="新宋体" w:cs="新宋体"/>
          <w:color w:val="auto"/>
          <w:highlight w:val="none"/>
        </w:rPr>
      </w:pPr>
      <w:r>
        <w:rPr>
          <w:rFonts w:hint="eastAsia" w:ascii="新宋体" w:hAnsi="新宋体" w:eastAsia="新宋体" w:cs="新宋体"/>
          <w:color w:val="auto"/>
          <w:highlight w:val="none"/>
        </w:rPr>
        <w:t>公告网址：</w:t>
      </w:r>
      <w:r>
        <w:rPr>
          <w:color w:val="auto"/>
          <w:highlight w:val="none"/>
        </w:rPr>
        <w:fldChar w:fldCharType="begin"/>
      </w:r>
      <w:r>
        <w:rPr>
          <w:color w:val="auto"/>
          <w:highlight w:val="none"/>
        </w:rPr>
        <w:instrText xml:space="preserve"> HYPERLINK "https://zfcg.czt.zj.gov.cn/（浙江省政府采购网）" </w:instrText>
      </w:r>
      <w:r>
        <w:rPr>
          <w:color w:val="auto"/>
          <w:highlight w:val="none"/>
        </w:rPr>
        <w:fldChar w:fldCharType="separate"/>
      </w:r>
      <w:r>
        <w:rPr>
          <w:rStyle w:val="24"/>
          <w:rFonts w:hint="eastAsia" w:ascii="新宋体" w:hAnsi="新宋体" w:eastAsia="新宋体" w:cs="新宋体"/>
          <w:color w:val="auto"/>
          <w:highlight w:val="none"/>
        </w:rPr>
        <w:t>https://zfcg.czt.zj.gov.cn/（浙江省政府采购网）</w:t>
      </w:r>
      <w:r>
        <w:rPr>
          <w:rStyle w:val="24"/>
          <w:rFonts w:hint="eastAsia" w:ascii="新宋体" w:hAnsi="新宋体" w:eastAsia="新宋体" w:cs="新宋体"/>
          <w:color w:val="auto"/>
          <w:highlight w:val="none"/>
        </w:rPr>
        <w:fldChar w:fldCharType="end"/>
      </w:r>
    </w:p>
    <w:p w14:paraId="0E1A9FCD">
      <w:pPr>
        <w:pStyle w:val="4"/>
        <w:keepLines/>
        <w:spacing w:before="312" w:after="312" w:line="360" w:lineRule="auto"/>
        <w:rPr>
          <w:bCs/>
          <w:color w:val="auto"/>
          <w:sz w:val="36"/>
          <w:szCs w:val="36"/>
          <w:highlight w:val="none"/>
        </w:rPr>
        <w:sectPr>
          <w:pgSz w:w="11906" w:h="16838"/>
          <w:pgMar w:top="1440" w:right="1803" w:bottom="1440" w:left="1803" w:header="850" w:footer="992" w:gutter="0"/>
          <w:cols w:space="720" w:num="1"/>
          <w:docGrid w:type="lines" w:linePitch="312" w:charSpace="0"/>
        </w:sectPr>
      </w:pPr>
    </w:p>
    <w:p w14:paraId="4CA54C0B">
      <w:pPr>
        <w:pStyle w:val="4"/>
        <w:numPr>
          <w:ilvl w:val="0"/>
          <w:numId w:val="1"/>
        </w:numPr>
        <w:spacing w:before="312" w:after="312"/>
        <w:ind w:left="0"/>
        <w:rPr>
          <w:bCs/>
          <w:color w:val="auto"/>
          <w:szCs w:val="44"/>
          <w:highlight w:val="none"/>
        </w:rPr>
      </w:pPr>
      <w:bookmarkStart w:id="261" w:name="_Toc18784"/>
      <w:r>
        <w:rPr>
          <w:rFonts w:hint="eastAsia"/>
          <w:bCs/>
          <w:color w:val="auto"/>
          <w:szCs w:val="44"/>
          <w:highlight w:val="none"/>
        </w:rPr>
        <w:t>采购内容及要求</w:t>
      </w:r>
      <w:bookmarkEnd w:id="260"/>
      <w:bookmarkEnd w:id="261"/>
    </w:p>
    <w:bookmarkEnd w:id="199"/>
    <w:bookmarkEnd w:id="200"/>
    <w:bookmarkEnd w:id="201"/>
    <w:bookmarkEnd w:id="202"/>
    <w:bookmarkEnd w:id="203"/>
    <w:bookmarkEnd w:id="204"/>
    <w:bookmarkEnd w:id="205"/>
    <w:bookmarkEnd w:id="206"/>
    <w:bookmarkEnd w:id="207"/>
    <w:p w14:paraId="7BAB5622">
      <w:pPr>
        <w:pStyle w:val="5"/>
        <w:tabs>
          <w:tab w:val="left" w:pos="480"/>
        </w:tabs>
        <w:snapToGrid w:val="0"/>
        <w:spacing w:before="0" w:beforeLines="0" w:after="0" w:afterLines="0" w:line="360" w:lineRule="auto"/>
        <w:ind w:firstLine="482" w:firstLineChars="200"/>
        <w:jc w:val="both"/>
        <w:rPr>
          <w:rFonts w:hint="eastAsia" w:ascii="宋体" w:hAnsi="宋体" w:cs="宋体"/>
          <w:color w:val="auto"/>
          <w:sz w:val="24"/>
          <w:szCs w:val="24"/>
          <w:highlight w:val="none"/>
        </w:rPr>
      </w:pPr>
      <w:bookmarkStart w:id="262" w:name="_Toc22332"/>
      <w:bookmarkStart w:id="263" w:name="_Toc18525"/>
      <w:bookmarkStart w:id="264" w:name="_Toc8641"/>
      <w:bookmarkStart w:id="265" w:name="_Toc2124"/>
      <w:bookmarkStart w:id="266" w:name="_Toc11867"/>
      <w:bookmarkStart w:id="267" w:name="_Toc391298963"/>
      <w:bookmarkStart w:id="268" w:name="_Toc19613"/>
      <w:bookmarkStart w:id="269" w:name="_Toc24232"/>
      <w:bookmarkStart w:id="270" w:name="_Toc24682"/>
      <w:bookmarkStart w:id="271" w:name="_Toc24733"/>
      <w:bookmarkStart w:id="272" w:name="_Toc5985"/>
      <w:bookmarkStart w:id="273" w:name="_Toc27295"/>
      <w:bookmarkStart w:id="274" w:name="_Toc8609"/>
      <w:bookmarkStart w:id="275" w:name="_Toc18101"/>
      <w:bookmarkStart w:id="276" w:name="_Toc3828"/>
      <w:r>
        <w:rPr>
          <w:rFonts w:hint="eastAsia" w:ascii="宋体" w:hAnsi="宋体" w:cs="宋体"/>
          <w:color w:val="auto"/>
          <w:sz w:val="24"/>
          <w:szCs w:val="24"/>
          <w:highlight w:val="none"/>
        </w:rPr>
        <w:t>一、项目背景</w:t>
      </w:r>
      <w:bookmarkEnd w:id="262"/>
    </w:p>
    <w:p w14:paraId="454D66D0">
      <w:pPr>
        <w:tabs>
          <w:tab w:val="left" w:pos="540"/>
        </w:tabs>
        <w:snapToGrid w:val="0"/>
        <w:spacing w:line="360" w:lineRule="auto"/>
        <w:ind w:firstLine="480"/>
        <w:outlineLvl w:val="1"/>
        <w:rPr>
          <w:rFonts w:hint="eastAsia" w:ascii="宋体" w:hAnsi="宋体" w:cs="宋体"/>
          <w:color w:val="auto"/>
          <w:kern w:val="0"/>
          <w:highlight w:val="none"/>
        </w:rPr>
      </w:pPr>
      <w:bookmarkStart w:id="277" w:name="_Toc30398"/>
      <w:r>
        <w:rPr>
          <w:rFonts w:hint="eastAsia" w:ascii="宋体" w:hAnsi="宋体" w:cs="宋体"/>
          <w:color w:val="auto"/>
          <w:kern w:val="0"/>
          <w:highlight w:val="none"/>
        </w:rPr>
        <w:t>近年来，农村自建房倒塌事故时有发生，造成人民群众财产损失，为加强农建房风险保障，根据浙江省住房和城乡建设厅《省建设厅关于做好 2025 年政策性农村住房保险工作的通知》（浙建村函〔2024〕538 号）有关规定，鼓励购买政策性农村住房保险和附加室内家财保险，确保人民群众财产利益。根据相关文件要求，现以公开招投标方式确定一家保险公司，统一为全</w:t>
      </w:r>
      <w:r>
        <w:rPr>
          <w:rFonts w:hint="eastAsia" w:ascii="宋体" w:hAnsi="宋体" w:cs="宋体"/>
          <w:color w:val="auto"/>
          <w:kern w:val="0"/>
          <w:highlight w:val="none"/>
          <w:lang w:eastAsia="zh-CN"/>
        </w:rPr>
        <w:t>区</w:t>
      </w:r>
      <w:r>
        <w:rPr>
          <w:rFonts w:hint="eastAsia" w:ascii="宋体" w:hAnsi="宋体" w:cs="宋体"/>
          <w:color w:val="auto"/>
          <w:kern w:val="0"/>
          <w:highlight w:val="none"/>
        </w:rPr>
        <w:t>农房建设项目提供保险服务，具体内容如下：</w:t>
      </w:r>
    </w:p>
    <w:bookmarkEnd w:id="277"/>
    <w:p w14:paraId="770BAF3D">
      <w:pPr>
        <w:pStyle w:val="5"/>
        <w:tabs>
          <w:tab w:val="left" w:pos="480"/>
        </w:tabs>
        <w:snapToGrid w:val="0"/>
        <w:spacing w:before="0" w:beforeLines="0" w:after="0" w:afterLines="0" w:line="360" w:lineRule="auto"/>
        <w:ind w:firstLine="482" w:firstLineChars="200"/>
        <w:jc w:val="both"/>
        <w:rPr>
          <w:rFonts w:hint="eastAsia" w:ascii="宋体" w:hAnsi="宋体" w:cs="宋体"/>
          <w:color w:val="auto"/>
          <w:sz w:val="24"/>
          <w:szCs w:val="24"/>
          <w:highlight w:val="none"/>
        </w:rPr>
      </w:pPr>
      <w:bookmarkStart w:id="278" w:name="_Toc23177"/>
      <w:r>
        <w:rPr>
          <w:rFonts w:hint="eastAsia" w:ascii="宋体" w:hAnsi="宋体" w:cs="宋体"/>
          <w:color w:val="auto"/>
          <w:sz w:val="24"/>
          <w:szCs w:val="24"/>
          <w:highlight w:val="none"/>
        </w:rPr>
        <w:t>二、保险主体</w:t>
      </w:r>
    </w:p>
    <w:p w14:paraId="72FD3CE6">
      <w:pPr>
        <w:spacing w:line="360" w:lineRule="auto"/>
        <w:ind w:firstLine="482"/>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保险主体为柯城区范围内具有柯城区户籍的所有农村居民。保险对象为农村居民自有的生活居住房屋。一户多宅者，政府只补助一宅参保</w:t>
      </w:r>
      <w:r>
        <w:rPr>
          <w:rFonts w:hint="eastAsia" w:ascii="宋体" w:hAnsi="宋体" w:cs="宋体"/>
          <w:b w:val="0"/>
          <w:bCs w:val="0"/>
          <w:color w:val="auto"/>
          <w:highlight w:val="none"/>
          <w:lang w:eastAsia="zh-CN"/>
        </w:rPr>
        <w:t>。</w:t>
      </w:r>
    </w:p>
    <w:p w14:paraId="186726A0">
      <w:pPr>
        <w:spacing w:line="360" w:lineRule="auto"/>
        <w:ind w:firstLine="482"/>
        <w:rPr>
          <w:rFonts w:hint="eastAsia" w:ascii="宋体" w:hAnsi="宋体" w:cs="宋体"/>
          <w:b/>
          <w:bCs/>
          <w:color w:val="FF0000"/>
          <w:highlight w:val="none"/>
        </w:rPr>
      </w:pPr>
      <w:r>
        <w:rPr>
          <w:rFonts w:hint="eastAsia" w:ascii="宋体" w:hAnsi="宋体" w:cs="宋体"/>
          <w:b/>
          <w:bCs/>
          <w:color w:val="auto"/>
          <w:highlight w:val="none"/>
        </w:rPr>
        <w:t>三、保险险种</w:t>
      </w:r>
    </w:p>
    <w:p w14:paraId="413185DC">
      <w:pPr>
        <w:spacing w:line="360" w:lineRule="auto"/>
        <w:ind w:firstLine="480"/>
        <w:rPr>
          <w:rFonts w:hint="eastAsia" w:ascii="宋体" w:hAnsi="宋体" w:cs="宋体"/>
          <w:color w:val="auto"/>
          <w:highlight w:val="none"/>
        </w:rPr>
      </w:pPr>
      <w:r>
        <w:rPr>
          <w:rFonts w:hint="eastAsia" w:ascii="宋体" w:hAnsi="宋体" w:cs="宋体"/>
          <w:color w:val="auto"/>
          <w:highlight w:val="none"/>
        </w:rPr>
        <w:t>投保险种为</w:t>
      </w:r>
      <w:r>
        <w:rPr>
          <w:rFonts w:hint="eastAsia" w:ascii="宋体" w:hAnsi="宋体" w:cs="宋体"/>
          <w:color w:val="auto"/>
          <w:kern w:val="0"/>
          <w:highlight w:val="none"/>
        </w:rPr>
        <w:t>政策性农村住房保险和附加室内家财险</w:t>
      </w:r>
      <w:r>
        <w:rPr>
          <w:rFonts w:hint="eastAsia" w:ascii="宋体" w:hAnsi="宋体" w:cs="宋体"/>
          <w:color w:val="auto"/>
          <w:highlight w:val="none"/>
        </w:rPr>
        <w:t>。</w:t>
      </w:r>
      <w:bookmarkStart w:id="416" w:name="_GoBack"/>
      <w:bookmarkEnd w:id="416"/>
    </w:p>
    <w:p w14:paraId="02F90F4A">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四、保险方案</w:t>
      </w:r>
    </w:p>
    <w:p w14:paraId="6B1587D2">
      <w:pPr>
        <w:pStyle w:val="28"/>
        <w:ind w:firstLine="480"/>
        <w:rPr>
          <w:rFonts w:hint="eastAsia" w:ascii="宋体" w:hAnsi="宋体" w:eastAsia="宋体" w:cs="宋体"/>
          <w:color w:val="auto"/>
          <w:highlight w:val="none"/>
        </w:rPr>
      </w:pPr>
      <w:r>
        <w:rPr>
          <w:rFonts w:hint="eastAsia" w:ascii="宋体" w:hAnsi="宋体" w:eastAsia="宋体" w:cs="宋体"/>
          <w:color w:val="auto"/>
          <w:highlight w:val="none"/>
        </w:rPr>
        <w:t>政策性农村住房保险和附加室内家财保险，具体内容如下：</w:t>
      </w:r>
    </w:p>
    <w:tbl>
      <w:tblPr>
        <w:tblStyle w:val="19"/>
        <w:tblW w:w="8963"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037"/>
        <w:gridCol w:w="3804"/>
        <w:gridCol w:w="1677"/>
        <w:gridCol w:w="1204"/>
      </w:tblGrid>
      <w:tr w14:paraId="7201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241" w:type="dxa"/>
            <w:vAlign w:val="center"/>
          </w:tcPr>
          <w:p w14:paraId="65C5F0FA">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保险险种</w:t>
            </w:r>
          </w:p>
        </w:tc>
        <w:tc>
          <w:tcPr>
            <w:tcW w:w="1037" w:type="dxa"/>
            <w:vAlign w:val="center"/>
          </w:tcPr>
          <w:p w14:paraId="27162591">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保险金额</w:t>
            </w:r>
          </w:p>
        </w:tc>
        <w:tc>
          <w:tcPr>
            <w:tcW w:w="3804" w:type="dxa"/>
            <w:vAlign w:val="center"/>
          </w:tcPr>
          <w:p w14:paraId="6FE25E4D">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保险利益</w:t>
            </w:r>
          </w:p>
        </w:tc>
        <w:tc>
          <w:tcPr>
            <w:tcW w:w="1677" w:type="dxa"/>
            <w:vAlign w:val="center"/>
          </w:tcPr>
          <w:p w14:paraId="1CC180D9">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保险期限</w:t>
            </w:r>
          </w:p>
        </w:tc>
        <w:tc>
          <w:tcPr>
            <w:tcW w:w="1204" w:type="dxa"/>
            <w:vAlign w:val="center"/>
          </w:tcPr>
          <w:p w14:paraId="27EF2037">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预算单价 最高限额</w:t>
            </w:r>
          </w:p>
        </w:tc>
      </w:tr>
      <w:tr w14:paraId="28C1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241" w:type="dxa"/>
            <w:vAlign w:val="center"/>
          </w:tcPr>
          <w:p w14:paraId="56E039D8">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政策性农村住房保险</w:t>
            </w:r>
          </w:p>
        </w:tc>
        <w:tc>
          <w:tcPr>
            <w:tcW w:w="1037" w:type="dxa"/>
            <w:vAlign w:val="center"/>
          </w:tcPr>
          <w:p w14:paraId="64AF7F79">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60000</w:t>
            </w:r>
            <w:r>
              <w:rPr>
                <w:rFonts w:hint="eastAsia" w:ascii="宋体" w:hAnsi="宋体" w:eastAsia="宋体" w:cs="宋体"/>
                <w:color w:val="auto"/>
                <w:highlight w:val="none"/>
              </w:rPr>
              <w:t>元/户</w:t>
            </w:r>
          </w:p>
        </w:tc>
        <w:tc>
          <w:tcPr>
            <w:tcW w:w="3804" w:type="dxa"/>
            <w:vAlign w:val="center"/>
          </w:tcPr>
          <w:p w14:paraId="03E2D3A6">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房屋倒塌(I-Ш及)分别按3000/6000/12000赔偿，每间房最高赔偿12000元，每户房屋最高赔偿60000元</w:t>
            </w:r>
          </w:p>
        </w:tc>
        <w:tc>
          <w:tcPr>
            <w:tcW w:w="1677" w:type="dxa"/>
            <w:vMerge w:val="restart"/>
            <w:vAlign w:val="center"/>
          </w:tcPr>
          <w:p w14:paraId="6647E354">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一年（2025年1月1日至2025年12月31日）</w:t>
            </w:r>
          </w:p>
        </w:tc>
        <w:tc>
          <w:tcPr>
            <w:tcW w:w="1204" w:type="dxa"/>
            <w:vAlign w:val="center"/>
          </w:tcPr>
          <w:p w14:paraId="4D3244A5">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元/户</w:t>
            </w:r>
          </w:p>
        </w:tc>
      </w:tr>
      <w:tr w14:paraId="43DC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41" w:type="dxa"/>
            <w:vAlign w:val="center"/>
          </w:tcPr>
          <w:p w14:paraId="2FE5FDB4">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政策性农村住房保险附加室内家财险</w:t>
            </w:r>
          </w:p>
        </w:tc>
        <w:tc>
          <w:tcPr>
            <w:tcW w:w="1037" w:type="dxa"/>
            <w:vAlign w:val="center"/>
          </w:tcPr>
          <w:p w14:paraId="1E709BE3">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18000</w:t>
            </w:r>
            <w:r>
              <w:rPr>
                <w:rFonts w:hint="eastAsia" w:ascii="宋体" w:hAnsi="宋体" w:eastAsia="宋体" w:cs="宋体"/>
                <w:color w:val="auto"/>
                <w:highlight w:val="none"/>
              </w:rPr>
              <w:t>元/户</w:t>
            </w:r>
          </w:p>
        </w:tc>
        <w:tc>
          <w:tcPr>
            <w:tcW w:w="3804" w:type="dxa"/>
            <w:vAlign w:val="center"/>
          </w:tcPr>
          <w:p w14:paraId="6BD2EB36">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室内财产每户总保额18000元，其中:家用电器及文体娱乐用品赔偿限额为7000元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家具、衣物、床上用品及其他生活用具赔偿限额为7000元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存放于室内粮食及农副品(鲜活物品除外)赔偿限额为4000元。</w:t>
            </w:r>
            <w:r>
              <w:rPr>
                <w:rFonts w:hint="eastAsia" w:ascii="宋体" w:hAnsi="宋体" w:eastAsia="宋体" w:cs="宋体"/>
                <w:color w:val="auto"/>
                <w:highlight w:val="none"/>
                <w:lang w:eastAsia="zh-CN"/>
              </w:rPr>
              <w:t>根据财产原始价值、折旧以及损失程度等情况，最终结合实际价值做估值赔偿</w:t>
            </w:r>
          </w:p>
        </w:tc>
        <w:tc>
          <w:tcPr>
            <w:tcW w:w="1677" w:type="dxa"/>
            <w:vMerge w:val="continue"/>
            <w:vAlign w:val="center"/>
          </w:tcPr>
          <w:p w14:paraId="7D2C3A77">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p>
        </w:tc>
        <w:tc>
          <w:tcPr>
            <w:tcW w:w="1204" w:type="dxa"/>
            <w:vAlign w:val="center"/>
          </w:tcPr>
          <w:p w14:paraId="1B8FCA59">
            <w:pPr>
              <w:pStyle w:val="28"/>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9.5</w:t>
            </w:r>
            <w:r>
              <w:rPr>
                <w:rFonts w:hint="eastAsia" w:ascii="宋体" w:hAnsi="宋体" w:eastAsia="宋体" w:cs="宋体"/>
                <w:color w:val="auto"/>
                <w:highlight w:val="none"/>
              </w:rPr>
              <w:t>元/户</w:t>
            </w:r>
          </w:p>
        </w:tc>
      </w:tr>
    </w:tbl>
    <w:p w14:paraId="3DAF37BA">
      <w:pPr>
        <w:spacing w:line="360" w:lineRule="auto"/>
        <w:ind w:firstLine="482"/>
        <w:rPr>
          <w:rFonts w:hint="eastAsia" w:ascii="宋体" w:hAnsi="宋体" w:cs="宋体"/>
          <w:color w:val="auto"/>
          <w:highlight w:val="none"/>
        </w:rPr>
      </w:pPr>
      <w:r>
        <w:rPr>
          <w:rFonts w:hint="eastAsia" w:ascii="宋体" w:hAnsi="宋体" w:cs="宋体"/>
          <w:b/>
          <w:bCs/>
          <w:color w:val="auto"/>
          <w:highlight w:val="none"/>
        </w:rPr>
        <w:t>政策性农村住房保险保费标准</w:t>
      </w:r>
      <w:r>
        <w:rPr>
          <w:rFonts w:hint="eastAsia" w:ascii="宋体" w:hAnsi="宋体" w:cs="宋体"/>
          <w:color w:val="auto"/>
          <w:highlight w:val="none"/>
        </w:rPr>
        <w:t>：</w:t>
      </w:r>
      <w:bookmarkStart w:id="279" w:name="_Hlk190098101"/>
      <w:r>
        <w:rPr>
          <w:rFonts w:hint="eastAsia" w:ascii="宋体" w:hAnsi="宋体" w:cs="宋体"/>
          <w:color w:val="auto"/>
          <w:highlight w:val="none"/>
        </w:rPr>
        <w:t>非低保用户政府出资70%（9.5元/户：政府出资6.65元，用户个人出资2.85元）。低保用户政府出资100%（按9.5元/户计)。</w:t>
      </w:r>
    </w:p>
    <w:bookmarkEnd w:id="279"/>
    <w:p w14:paraId="58A6D63B">
      <w:pPr>
        <w:spacing w:line="360" w:lineRule="auto"/>
        <w:ind w:firstLine="482"/>
        <w:rPr>
          <w:rFonts w:hint="eastAsia" w:ascii="宋体" w:hAnsi="宋体" w:cs="宋体"/>
          <w:color w:val="auto"/>
          <w:highlight w:val="none"/>
        </w:rPr>
      </w:pPr>
      <w:r>
        <w:rPr>
          <w:rFonts w:hint="eastAsia" w:ascii="宋体" w:hAnsi="宋体" w:cs="宋体"/>
          <w:b/>
          <w:bCs/>
          <w:color w:val="auto"/>
          <w:highlight w:val="none"/>
        </w:rPr>
        <w:t>政策性农村住房保险附加室内家财险保费标准</w:t>
      </w:r>
      <w:r>
        <w:rPr>
          <w:rFonts w:hint="eastAsia" w:ascii="宋体" w:hAnsi="宋体" w:cs="宋体"/>
          <w:color w:val="auto"/>
          <w:highlight w:val="none"/>
        </w:rPr>
        <w:t>：非低保用户政府出资</w:t>
      </w:r>
      <w:r>
        <w:rPr>
          <w:rFonts w:hint="eastAsia" w:ascii="宋体" w:hAnsi="宋体" w:cs="宋体"/>
          <w:color w:val="auto"/>
          <w:highlight w:val="none"/>
          <w:lang w:val="en-US" w:eastAsia="zh-CN"/>
        </w:rPr>
        <w:t>5</w:t>
      </w:r>
      <w:r>
        <w:rPr>
          <w:rFonts w:hint="eastAsia" w:ascii="宋体" w:hAnsi="宋体" w:cs="宋体"/>
          <w:color w:val="auto"/>
          <w:highlight w:val="none"/>
        </w:rPr>
        <w:t>0%（9.5元/户：政府出资4.75元，用户个人出资4.75元）。低保用户政府出资100%（按9.5元/户计)。</w:t>
      </w:r>
    </w:p>
    <w:p w14:paraId="09767907">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五、保险责任</w:t>
      </w:r>
    </w:p>
    <w:p w14:paraId="5190231C">
      <w:pPr>
        <w:spacing w:line="360" w:lineRule="auto"/>
        <w:ind w:firstLine="480"/>
        <w:rPr>
          <w:rFonts w:hint="eastAsia" w:ascii="宋体" w:hAnsi="宋体" w:cs="宋体"/>
          <w:b/>
          <w:bCs/>
          <w:color w:val="auto"/>
          <w:highlight w:val="none"/>
        </w:rPr>
      </w:pPr>
      <w:r>
        <w:rPr>
          <w:rFonts w:hint="eastAsia" w:ascii="宋体" w:hAnsi="宋体" w:cs="宋体"/>
          <w:b/>
          <w:bCs/>
          <w:color w:val="auto"/>
          <w:highlight w:val="none"/>
        </w:rPr>
        <w:t>1.政策性住房保险责任：</w:t>
      </w:r>
    </w:p>
    <w:p w14:paraId="0CCCB8D7">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（一）房屋两面以上（含）墙壁倒塌；</w:t>
      </w:r>
    </w:p>
    <w:p w14:paraId="159B0A3C">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（二）房屋屋顶坍塌；</w:t>
      </w:r>
    </w:p>
    <w:p w14:paraId="73030C16">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（三）楼板坍塌；</w:t>
      </w:r>
    </w:p>
    <w:p w14:paraId="1D8E96C6">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（四）房屋主体结构毁坏；</w:t>
      </w:r>
    </w:p>
    <w:p w14:paraId="0CA244FD">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（五）墙基冲毁，难以修复；</w:t>
      </w:r>
    </w:p>
    <w:p w14:paraId="171FE6ED">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（六）因洪涝长期浸泡造成墙体损毁；</w:t>
      </w:r>
    </w:p>
    <w:p w14:paraId="0A8023EC">
      <w:pPr>
        <w:spacing w:line="360" w:lineRule="auto"/>
        <w:ind w:firstLine="480"/>
        <w:rPr>
          <w:rFonts w:hint="eastAsia" w:ascii="宋体" w:hAnsi="宋体" w:cs="宋体"/>
          <w:b w:val="0"/>
          <w:bCs w:val="0"/>
          <w:color w:val="auto"/>
          <w:highlight w:val="none"/>
        </w:rPr>
      </w:pPr>
      <w:r>
        <w:rPr>
          <w:rFonts w:hint="eastAsia" w:ascii="宋体" w:hAnsi="宋体" w:cs="宋体"/>
          <w:b w:val="0"/>
          <w:bCs w:val="0"/>
          <w:color w:val="auto"/>
          <w:highlight w:val="none"/>
        </w:rPr>
        <w:t>（七）无显性损毁，经建设部门鉴定应当整体拆除重建。</w:t>
      </w:r>
    </w:p>
    <w:p w14:paraId="1165DA62">
      <w:pPr>
        <w:spacing w:line="360" w:lineRule="auto"/>
        <w:ind w:firstLine="480"/>
        <w:rPr>
          <w:rFonts w:hint="eastAsia" w:ascii="宋体" w:hAnsi="宋体" w:cs="宋体"/>
          <w:b/>
          <w:bCs/>
          <w:color w:val="auto"/>
          <w:highlight w:val="none"/>
        </w:rPr>
      </w:pPr>
      <w:r>
        <w:rPr>
          <w:rFonts w:hint="eastAsia" w:ascii="宋体" w:hAnsi="宋体" w:cs="宋体"/>
          <w:b/>
          <w:bCs/>
          <w:color w:val="auto"/>
          <w:highlight w:val="none"/>
        </w:rPr>
        <w:t>2.室内家财保险责任：</w:t>
      </w:r>
    </w:p>
    <w:p w14:paraId="62954FAC">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（一）火灾、爆炸；</w:t>
      </w:r>
    </w:p>
    <w:p w14:paraId="7E143DDE">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（二）雷击、台风、龙卷风、暴风、暴雨、洪水、暴雪、冰雹、冰凌、泥石流、崩塌、突发性滑坡、地面突然下陷；</w:t>
      </w:r>
    </w:p>
    <w:p w14:paraId="2749A3FB">
      <w:pPr>
        <w:spacing w:line="360" w:lineRule="auto"/>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（三）飞行物体及其他空中运行物体坠落，外来不属于被保险人所有或使用的建筑物和其他固定物体的倒塌。</w:t>
      </w:r>
    </w:p>
    <w:p w14:paraId="6EF684DC">
      <w:pPr>
        <w:spacing w:line="360" w:lineRule="auto"/>
        <w:ind w:firstLine="482"/>
        <w:rPr>
          <w:rFonts w:hint="eastAsia" w:ascii="宋体" w:hAnsi="宋体" w:cs="宋体"/>
          <w:b/>
          <w:bCs/>
          <w:color w:val="auto"/>
          <w:highlight w:val="none"/>
        </w:rPr>
      </w:pPr>
      <w:r>
        <w:rPr>
          <w:rFonts w:hint="eastAsia" w:ascii="宋体" w:hAnsi="宋体" w:cs="宋体"/>
          <w:b/>
          <w:bCs/>
          <w:color w:val="auto"/>
          <w:highlight w:val="none"/>
        </w:rPr>
        <w:t>六、承保服务</w:t>
      </w:r>
    </w:p>
    <w:p w14:paraId="3D2F5EF0">
      <w:pPr>
        <w:spacing w:line="360" w:lineRule="auto"/>
        <w:ind w:firstLine="480"/>
        <w:rPr>
          <w:rFonts w:hint="eastAsia" w:ascii="宋体" w:hAnsi="宋体" w:cs="宋体"/>
          <w:color w:val="auto"/>
          <w:highlight w:val="none"/>
        </w:rPr>
      </w:pPr>
      <w:r>
        <w:rPr>
          <w:rFonts w:hint="eastAsia" w:ascii="宋体" w:hAnsi="宋体" w:cs="宋体"/>
          <w:color w:val="auto"/>
          <w:highlight w:val="none"/>
        </w:rPr>
        <w:t>1.保证投保人获得优先服务的权利，根据投保人的通知及时签订保险单。</w:t>
      </w:r>
    </w:p>
    <w:p w14:paraId="604E8CAB">
      <w:pPr>
        <w:spacing w:line="360" w:lineRule="auto"/>
        <w:ind w:firstLine="480"/>
        <w:rPr>
          <w:rFonts w:hint="eastAsia" w:ascii="宋体" w:hAnsi="宋体" w:cs="宋体"/>
          <w:color w:val="auto"/>
          <w:highlight w:val="none"/>
        </w:rPr>
      </w:pPr>
      <w:r>
        <w:rPr>
          <w:rFonts w:hint="eastAsia" w:ascii="宋体" w:hAnsi="宋体" w:cs="宋体"/>
          <w:color w:val="auto"/>
          <w:highlight w:val="none"/>
        </w:rPr>
        <w:t>2.应设有24小时全天报案服务电话，并设专人受理索赔接、报案。</w:t>
      </w:r>
    </w:p>
    <w:p w14:paraId="06EA967F">
      <w:pPr>
        <w:spacing w:line="360" w:lineRule="auto"/>
        <w:ind w:firstLine="480"/>
        <w:rPr>
          <w:rFonts w:hint="eastAsia" w:ascii="宋体" w:hAnsi="宋体" w:cs="宋体"/>
          <w:color w:val="auto"/>
          <w:highlight w:val="none"/>
        </w:rPr>
      </w:pPr>
      <w:r>
        <w:rPr>
          <w:rFonts w:hint="eastAsia" w:ascii="宋体" w:hAnsi="宋体" w:cs="宋体"/>
          <w:color w:val="auto"/>
          <w:highlight w:val="none"/>
        </w:rPr>
        <w:t>3.在接到投保人的发生意外事故报案后，理赔人员应于60分钟内赶到报案现场办理相关的索赔手续。</w:t>
      </w:r>
    </w:p>
    <w:p w14:paraId="4C14069C">
      <w:pPr>
        <w:keepNext w:val="0"/>
        <w:keepLines w:val="0"/>
        <w:pageBreakBefore w:val="0"/>
        <w:kinsoku/>
        <w:wordWrap/>
        <w:overflowPunct/>
        <w:topLinePunct w:val="0"/>
        <w:autoSpaceDE/>
        <w:autoSpaceDN/>
        <w:bidi w:val="0"/>
        <w:adjustRightInd/>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4.协助投保人做好对投保经办人的廉政工作，不得以任何形式向投保人的经办人提供回扣。</w:t>
      </w:r>
    </w:p>
    <w:p w14:paraId="1EFF48C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cs="宋体"/>
          <w:b/>
          <w:bCs/>
          <w:color w:val="auto"/>
          <w:highlight w:val="none"/>
        </w:rPr>
      </w:pPr>
      <w:r>
        <w:rPr>
          <w:rFonts w:hint="eastAsia" w:ascii="宋体" w:hAnsi="宋体" w:cs="宋体"/>
          <w:b/>
          <w:bCs/>
          <w:color w:val="auto"/>
          <w:highlight w:val="none"/>
        </w:rPr>
        <w:t>七、理赔服务</w:t>
      </w:r>
    </w:p>
    <w:p w14:paraId="4FA71C0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1.投保方的人员发生意外害事故后，中标人应根据服务承诺，对发生意外事故的住户及时提出处理意见，在理赔时必须以真实价格为基数进行计算，并及时支付赔款。</w:t>
      </w:r>
    </w:p>
    <w:p w14:paraId="1BC4C52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2.赔偿处理按保单签订时所用相关条款处理，赔偿标准按照投标书有关承诺及保险金额与实际受损程度处理，中标人必须主动及时协助投保方处理赔款事宜。</w:t>
      </w:r>
    </w:p>
    <w:p w14:paraId="19D9C67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3.投保方在保险期内的一切事故赔款事宜，直接与中标人办理。</w:t>
      </w:r>
    </w:p>
    <w:p w14:paraId="2676E8E0">
      <w:pPr>
        <w:keepNext w:val="0"/>
        <w:keepLines w:val="0"/>
        <w:pageBreakBefore w:val="0"/>
        <w:widowControl/>
        <w:kinsoku/>
        <w:wordWrap/>
        <w:overflowPunct/>
        <w:topLinePunct w:val="0"/>
        <w:autoSpaceDE/>
        <w:autoSpaceDN/>
        <w:bidi w:val="0"/>
        <w:adjustRightInd/>
        <w:spacing w:line="440" w:lineRule="exact"/>
        <w:ind w:firstLine="482"/>
        <w:contextualSpacing/>
        <w:jc w:val="left"/>
        <w:textAlignment w:val="auto"/>
        <w:outlineLvl w:val="1"/>
        <w:rPr>
          <w:rFonts w:hint="eastAsia" w:ascii="宋体" w:hAnsi="宋体" w:cs="宋体"/>
          <w:b/>
          <w:bCs/>
          <w:color w:val="auto"/>
          <w:highlight w:val="none"/>
        </w:rPr>
      </w:pPr>
      <w:r>
        <w:rPr>
          <w:rFonts w:hint="eastAsia" w:ascii="宋体" w:hAnsi="宋体" w:cs="宋体"/>
          <w:b/>
          <w:bCs/>
          <w:color w:val="auto"/>
          <w:highlight w:val="none"/>
        </w:rPr>
        <w:t>八、商务要求</w:t>
      </w:r>
      <w:bookmarkEnd w:id="263"/>
      <w:r>
        <w:rPr>
          <w:rFonts w:hint="eastAsia" w:ascii="宋体" w:hAnsi="宋体" w:cs="宋体"/>
          <w:b/>
          <w:bCs/>
          <w:color w:val="auto"/>
          <w:highlight w:val="none"/>
        </w:rPr>
        <w:t>（以下仅为采购人最低要求，供应商必须实质响应，并欢迎供应商更优越、更详细的商务承诺。）</w:t>
      </w:r>
      <w:bookmarkEnd w:id="264"/>
      <w:bookmarkEnd w:id="278"/>
    </w:p>
    <w:p w14:paraId="1F76A02F">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▲1</w:t>
      </w:r>
      <w:bookmarkStart w:id="280" w:name="_Hlk84273812"/>
      <w:r>
        <w:rPr>
          <w:rFonts w:hint="eastAsia" w:ascii="宋体" w:hAnsi="宋体" w:cs="宋体"/>
          <w:color w:val="auto"/>
          <w:highlight w:val="none"/>
        </w:rPr>
        <w:t>.项目</w:t>
      </w:r>
      <w:bookmarkEnd w:id="280"/>
      <w:r>
        <w:rPr>
          <w:rFonts w:hint="eastAsia" w:ascii="宋体" w:hAnsi="宋体" w:cs="宋体"/>
          <w:color w:val="auto"/>
          <w:highlight w:val="none"/>
        </w:rPr>
        <w:t>质量要求：供应商提交的本项目成果质量须符合采购人的采购需求。</w:t>
      </w:r>
    </w:p>
    <w:p w14:paraId="4F14C4E1">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2.服务期限：</w:t>
      </w:r>
      <w:r>
        <w:rPr>
          <w:rFonts w:hint="eastAsia" w:ascii="宋体" w:hAnsi="宋体" w:cs="宋体"/>
          <w:color w:val="auto"/>
          <w:highlight w:val="none"/>
          <w:lang w:val="en-US" w:eastAsia="zh-CN"/>
        </w:rPr>
        <w:t>一年（2025年1月1日至2025年12月31日）</w:t>
      </w:r>
      <w:r>
        <w:rPr>
          <w:rFonts w:hint="eastAsia" w:ascii="宋体" w:hAnsi="宋体" w:cs="宋体"/>
          <w:color w:val="auto"/>
          <w:highlight w:val="none"/>
        </w:rPr>
        <w:t>。</w:t>
      </w:r>
    </w:p>
    <w:p w14:paraId="6F997AE1">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outlineLvl w:val="1"/>
        <w:rPr>
          <w:rFonts w:hint="eastAsia" w:ascii="宋体" w:hAnsi="宋体" w:cs="宋体"/>
          <w:color w:val="auto"/>
          <w:highlight w:val="none"/>
        </w:rPr>
      </w:pPr>
      <w:r>
        <w:rPr>
          <w:rFonts w:hint="eastAsia" w:ascii="宋体" w:hAnsi="宋体" w:cs="宋体"/>
          <w:color w:val="auto"/>
          <w:highlight w:val="none"/>
        </w:rPr>
        <w:t>3.付款方式：付款时间以乙方完成参保名单核对确认后按实结算，向甲方提出申请，申请通过后45天内一次性支付。</w:t>
      </w:r>
    </w:p>
    <w:p w14:paraId="2F411C78">
      <w:pPr>
        <w:keepNext w:val="0"/>
        <w:keepLines w:val="0"/>
        <w:pageBreakBefore w:val="0"/>
        <w:tabs>
          <w:tab w:val="left" w:pos="540"/>
        </w:tabs>
        <w:kinsoku/>
        <w:wordWrap/>
        <w:overflowPunct/>
        <w:topLinePunct w:val="0"/>
        <w:autoSpaceDE/>
        <w:autoSpaceDN/>
        <w:bidi w:val="0"/>
        <w:adjustRightInd/>
        <w:snapToGrid w:val="0"/>
        <w:spacing w:line="440" w:lineRule="exact"/>
        <w:ind w:firstLine="482"/>
        <w:textAlignment w:val="auto"/>
        <w:rPr>
          <w:rFonts w:hint="eastAsia" w:ascii="宋体" w:hAnsi="宋体" w:cs="宋体"/>
          <w:b/>
          <w:bCs/>
          <w:color w:val="auto"/>
          <w:highlight w:val="none"/>
        </w:rPr>
      </w:pPr>
      <w:r>
        <w:rPr>
          <w:rFonts w:hint="eastAsia" w:ascii="宋体" w:hAnsi="宋体" w:cs="宋体"/>
          <w:b/>
          <w:bCs/>
          <w:color w:val="auto"/>
          <w:highlight w:val="none"/>
        </w:rPr>
        <w:t>4.验收：</w:t>
      </w:r>
    </w:p>
    <w:p w14:paraId="7A9C0F2A">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0AFC19">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（2）采购人可以邀请参加本项目的其他投标人或者第三方机构参与验收。参与验收的投标人或者第三方机构的意见作为验收书的参考资料一并存档。</w:t>
      </w:r>
    </w:p>
    <w:p w14:paraId="2AF362BA">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pPr>
      <w:r>
        <w:rPr>
          <w:rFonts w:hint="eastAsia" w:ascii="宋体" w:hAnsi="宋体" w:cs="宋体"/>
          <w:color w:val="auto"/>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1C624DD3">
      <w:pPr>
        <w:keepNext w:val="0"/>
        <w:keepLines w:val="0"/>
        <w:pageBreakBefore w:val="0"/>
        <w:tabs>
          <w:tab w:val="left" w:pos="540"/>
        </w:tabs>
        <w:kinsoku/>
        <w:wordWrap/>
        <w:overflowPunct/>
        <w:topLinePunct w:val="0"/>
        <w:autoSpaceDE/>
        <w:autoSpaceDN/>
        <w:bidi w:val="0"/>
        <w:adjustRightInd/>
        <w:snapToGrid w:val="0"/>
        <w:spacing w:line="440" w:lineRule="exact"/>
        <w:ind w:firstLine="480"/>
        <w:textAlignment w:val="auto"/>
        <w:rPr>
          <w:rFonts w:hint="eastAsia" w:ascii="宋体" w:hAnsi="宋体" w:cs="宋体"/>
          <w:color w:val="auto"/>
          <w:highlight w:val="none"/>
        </w:rPr>
        <w:sectPr>
          <w:footerReference r:id="rId14" w:type="default"/>
          <w:pgSz w:w="11906" w:h="16838"/>
          <w:pgMar w:top="1440" w:right="1803" w:bottom="1440" w:left="1803" w:header="850" w:footer="992" w:gutter="0"/>
          <w:cols w:space="720" w:num="1"/>
          <w:docGrid w:type="lines" w:linePitch="312" w:charSpace="0"/>
        </w:sectPr>
      </w:pPr>
      <w:r>
        <w:rPr>
          <w:rFonts w:hint="eastAsia" w:ascii="宋体" w:hAnsi="宋体" w:cs="宋体"/>
          <w:color w:val="auto"/>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5"/>
    <w:bookmarkEnd w:id="266"/>
    <w:bookmarkEnd w:id="267"/>
    <w:bookmarkEnd w:id="268"/>
    <w:bookmarkEnd w:id="269"/>
    <w:bookmarkEnd w:id="270"/>
    <w:bookmarkEnd w:id="271"/>
    <w:bookmarkEnd w:id="272"/>
    <w:bookmarkEnd w:id="273"/>
    <w:bookmarkEnd w:id="274"/>
    <w:bookmarkEnd w:id="275"/>
    <w:bookmarkEnd w:id="276"/>
    <w:p w14:paraId="5D05A3B5">
      <w:pPr>
        <w:pStyle w:val="4"/>
        <w:numPr>
          <w:ilvl w:val="0"/>
          <w:numId w:val="1"/>
        </w:numPr>
        <w:spacing w:before="312" w:after="312"/>
        <w:ind w:left="0"/>
        <w:rPr>
          <w:rFonts w:hint="eastAsia" w:ascii="宋体" w:hAnsi="宋体" w:cs="宋体"/>
          <w:color w:val="auto"/>
          <w:highlight w:val="none"/>
        </w:rPr>
      </w:pPr>
      <w:bookmarkStart w:id="281" w:name="_Toc31288"/>
      <w:r>
        <w:rPr>
          <w:rFonts w:hint="eastAsia"/>
          <w:color w:val="auto"/>
          <w:highlight w:val="none"/>
        </w:rPr>
        <w:t>评标</w:t>
      </w:r>
      <w:r>
        <w:rPr>
          <w:rFonts w:hint="eastAsia" w:ascii="宋体" w:hAnsi="宋体" w:cs="宋体"/>
          <w:color w:val="auto"/>
          <w:highlight w:val="none"/>
        </w:rPr>
        <w:t>办法及开评标程序</w:t>
      </w:r>
      <w:bookmarkEnd w:id="281"/>
    </w:p>
    <w:p w14:paraId="1CE52A5C">
      <w:pPr>
        <w:pStyle w:val="5"/>
        <w:spacing w:before="0" w:beforeLines="0" w:after="0" w:afterLines="0" w:line="360" w:lineRule="auto"/>
        <w:ind w:firstLine="482" w:firstLineChars="200"/>
        <w:jc w:val="left"/>
        <w:rPr>
          <w:rFonts w:hint="eastAsia" w:ascii="宋体" w:hAnsi="宋体" w:cs="宋体"/>
          <w:color w:val="auto"/>
          <w:sz w:val="24"/>
          <w:szCs w:val="24"/>
          <w:highlight w:val="none"/>
        </w:rPr>
      </w:pPr>
      <w:bookmarkStart w:id="282" w:name="_Toc14204"/>
      <w:bookmarkStart w:id="283" w:name="_Toc5798"/>
      <w:bookmarkStart w:id="284" w:name="_Toc26747"/>
      <w:bookmarkStart w:id="285" w:name="_Toc26380"/>
      <w:bookmarkStart w:id="286" w:name="_Toc14578"/>
      <w:r>
        <w:rPr>
          <w:rFonts w:hint="eastAsia" w:ascii="宋体" w:hAnsi="宋体" w:cs="宋体"/>
          <w:color w:val="auto"/>
          <w:sz w:val="24"/>
          <w:szCs w:val="24"/>
          <w:highlight w:val="none"/>
        </w:rPr>
        <w:t>一、评标委员会的组成</w:t>
      </w:r>
      <w:bookmarkEnd w:id="282"/>
      <w:bookmarkEnd w:id="283"/>
      <w:bookmarkEnd w:id="284"/>
    </w:p>
    <w:p w14:paraId="5029FE1B">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1.评标委员会按相关规定组成，评标委员会对各投标文件进行审查、质疑、评估和比较。采购人代表由采购单位推荐，但不得担任评标委员会负责人。</w:t>
      </w:r>
    </w:p>
    <w:p w14:paraId="00AC9C10">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2.询标期间，工作人员通过政采云系统向投标人发出在线询标内容，投标人法定代表人（负责人）或法定代表委托人负责解答及上传相关文件。</w:t>
      </w:r>
    </w:p>
    <w:p w14:paraId="14432A64">
      <w:pPr>
        <w:pStyle w:val="5"/>
        <w:spacing w:before="0" w:beforeLines="0" w:after="0" w:afterLines="0" w:line="360" w:lineRule="auto"/>
        <w:ind w:firstLine="482" w:firstLineChars="200"/>
        <w:jc w:val="left"/>
        <w:rPr>
          <w:rFonts w:hint="eastAsia" w:ascii="宋体" w:hAnsi="宋体" w:cs="宋体"/>
          <w:color w:val="auto"/>
          <w:sz w:val="24"/>
          <w:szCs w:val="24"/>
          <w:highlight w:val="none"/>
        </w:rPr>
      </w:pPr>
      <w:bookmarkStart w:id="287" w:name="_Toc31752"/>
      <w:bookmarkStart w:id="288" w:name="_Toc10774"/>
      <w:bookmarkStart w:id="289" w:name="_Toc6281"/>
      <w:r>
        <w:rPr>
          <w:rFonts w:hint="eastAsia" w:ascii="宋体" w:hAnsi="宋体" w:cs="宋体"/>
          <w:color w:val="auto"/>
          <w:sz w:val="24"/>
          <w:szCs w:val="24"/>
          <w:highlight w:val="none"/>
        </w:rPr>
        <w:t>二、评标原则</w:t>
      </w:r>
      <w:bookmarkEnd w:id="287"/>
      <w:bookmarkEnd w:id="288"/>
      <w:bookmarkEnd w:id="289"/>
    </w:p>
    <w:p w14:paraId="7376C181">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w:t>
      </w:r>
      <w:r>
        <w:rPr>
          <w:rStyle w:val="29"/>
          <w:rFonts w:hint="eastAsia" w:ascii="宋体" w:hAnsi="宋体" w:cs="宋体"/>
          <w:color w:val="auto"/>
          <w:highlight w:val="none"/>
          <w:lang w:val="zh-Hans" w:eastAsia="zh-Hans"/>
        </w:rPr>
        <w:t>本评标办法采用综合评标法，由资信技术分和商务分合计组成，其中资信技术分</w:t>
      </w:r>
      <w:r>
        <w:rPr>
          <w:rStyle w:val="29"/>
          <w:rFonts w:hint="eastAsia" w:ascii="宋体" w:hAnsi="宋体" w:cs="宋体"/>
          <w:color w:val="auto"/>
          <w:highlight w:val="none"/>
          <w:lang w:val="en-US" w:eastAsia="zh-CN"/>
        </w:rPr>
        <w:t>90</w:t>
      </w:r>
      <w:r>
        <w:rPr>
          <w:rStyle w:val="29"/>
          <w:rFonts w:hint="eastAsia" w:ascii="宋体" w:hAnsi="宋体" w:cs="宋体"/>
          <w:color w:val="auto"/>
          <w:highlight w:val="none"/>
          <w:lang w:val="zh-Hans" w:eastAsia="zh-Hans"/>
        </w:rPr>
        <w:t>分、报价分</w:t>
      </w:r>
      <w:r>
        <w:rPr>
          <w:rStyle w:val="29"/>
          <w:rFonts w:hint="eastAsia" w:ascii="宋体" w:hAnsi="宋体" w:cs="宋体"/>
          <w:color w:val="auto"/>
          <w:highlight w:val="none"/>
          <w:lang w:val="en-US" w:eastAsia="zh-CN"/>
        </w:rPr>
        <w:t>1</w:t>
      </w:r>
      <w:r>
        <w:rPr>
          <w:rStyle w:val="29"/>
          <w:rFonts w:hint="eastAsia" w:ascii="宋体" w:hAnsi="宋体" w:cs="宋体"/>
          <w:color w:val="auto"/>
          <w:highlight w:val="none"/>
        </w:rPr>
        <w:t>0</w:t>
      </w:r>
      <w:r>
        <w:rPr>
          <w:rStyle w:val="29"/>
          <w:rFonts w:hint="eastAsia" w:ascii="宋体" w:hAnsi="宋体" w:cs="宋体"/>
          <w:color w:val="auto"/>
          <w:highlight w:val="none"/>
          <w:lang w:val="zh-Hans" w:eastAsia="zh-Hans"/>
        </w:rPr>
        <w:t>分；满分为</w:t>
      </w:r>
      <w:r>
        <w:rPr>
          <w:rStyle w:val="29"/>
          <w:rFonts w:hint="eastAsia" w:ascii="宋体" w:hAnsi="宋体" w:cs="宋体"/>
          <w:color w:val="auto"/>
          <w:highlight w:val="none"/>
          <w:lang w:eastAsia="zh-Hans"/>
        </w:rPr>
        <w:t>100</w:t>
      </w:r>
      <w:r>
        <w:rPr>
          <w:rStyle w:val="29"/>
          <w:rFonts w:hint="eastAsia" w:ascii="宋体" w:hAnsi="宋体" w:cs="宋体"/>
          <w:color w:val="auto"/>
          <w:highlight w:val="none"/>
          <w:lang w:val="zh-Hans" w:eastAsia="zh-Hans"/>
        </w:rPr>
        <w:t>分。</w:t>
      </w:r>
    </w:p>
    <w:p w14:paraId="5BDD66A0">
      <w:pPr>
        <w:pStyle w:val="30"/>
        <w:spacing w:line="360" w:lineRule="auto"/>
        <w:ind w:firstLine="480" w:firstLineChars="200"/>
        <w:jc w:val="left"/>
        <w:rPr>
          <w:rStyle w:val="29"/>
          <w:rFonts w:hint="eastAsia" w:ascii="宋体" w:hAnsi="宋体" w:eastAsia="宋体" w:cs="宋体"/>
          <w:color w:val="auto"/>
          <w:highlight w:val="none"/>
        </w:rPr>
      </w:pPr>
      <w:r>
        <w:rPr>
          <w:rStyle w:val="29"/>
          <w:rFonts w:hint="eastAsia" w:ascii="宋体" w:hAnsi="宋体" w:eastAsia="宋体" w:cs="宋体"/>
          <w:color w:val="auto"/>
          <w:highlight w:val="none"/>
        </w:rPr>
        <w:t>2.</w:t>
      </w:r>
      <w:r>
        <w:rPr>
          <w:rStyle w:val="29"/>
          <w:rFonts w:hint="eastAsia" w:ascii="宋体" w:hAnsi="宋体" w:eastAsia="宋体" w:cs="宋体"/>
          <w:color w:val="auto"/>
          <w:highlight w:val="none"/>
          <w:lang w:val="zh-Hans" w:eastAsia="zh-Hans"/>
        </w:rPr>
        <w:t>经初步评审合格的响应文件，</w:t>
      </w:r>
      <w:r>
        <w:rPr>
          <w:rStyle w:val="29"/>
          <w:rFonts w:hint="eastAsia" w:ascii="宋体" w:hAnsi="宋体" w:eastAsia="宋体" w:cs="宋体"/>
          <w:color w:val="auto"/>
          <w:highlight w:val="none"/>
          <w:lang w:val="zh-Hans"/>
        </w:rPr>
        <w:t>评审</w:t>
      </w:r>
      <w:r>
        <w:rPr>
          <w:rStyle w:val="29"/>
          <w:rFonts w:hint="eastAsia" w:ascii="宋体" w:hAnsi="宋体" w:eastAsia="宋体" w:cs="宋体"/>
          <w:color w:val="auto"/>
          <w:highlight w:val="none"/>
          <w:lang w:val="zh-Hans" w:eastAsia="zh-Hans"/>
        </w:rPr>
        <w:t>小组根据</w:t>
      </w:r>
      <w:r>
        <w:rPr>
          <w:rStyle w:val="29"/>
          <w:rFonts w:hint="eastAsia" w:ascii="宋体" w:hAnsi="宋体" w:eastAsia="宋体" w:cs="宋体"/>
          <w:color w:val="auto"/>
          <w:highlight w:val="none"/>
          <w:lang w:val="zh-Hans"/>
        </w:rPr>
        <w:t>采购</w:t>
      </w:r>
      <w:r>
        <w:rPr>
          <w:rStyle w:val="29"/>
          <w:rFonts w:hint="eastAsia" w:ascii="宋体" w:hAnsi="宋体" w:eastAsia="宋体" w:cs="宋体"/>
          <w:color w:val="auto"/>
          <w:highlight w:val="none"/>
          <w:lang w:val="zh-Hans" w:eastAsia="zh-Hans"/>
        </w:rPr>
        <w:t>文件确定的评审标准和方法，对其资信技术部分作进一步评审、比较、打分。</w:t>
      </w:r>
    </w:p>
    <w:p w14:paraId="6A37400D">
      <w:pPr>
        <w:pStyle w:val="30"/>
        <w:spacing w:line="360" w:lineRule="auto"/>
        <w:ind w:firstLine="480" w:firstLineChars="200"/>
        <w:jc w:val="left"/>
        <w:rPr>
          <w:rStyle w:val="29"/>
          <w:rFonts w:hint="eastAsia" w:ascii="宋体" w:hAnsi="宋体" w:eastAsia="宋体" w:cs="宋体"/>
          <w:color w:val="auto"/>
          <w:highlight w:val="none"/>
        </w:rPr>
      </w:pPr>
      <w:r>
        <w:rPr>
          <w:rStyle w:val="29"/>
          <w:rFonts w:hint="eastAsia" w:ascii="宋体" w:hAnsi="宋体" w:eastAsia="宋体" w:cs="宋体"/>
          <w:color w:val="auto"/>
          <w:highlight w:val="none"/>
        </w:rPr>
        <w:t>3.</w:t>
      </w:r>
      <w:r>
        <w:rPr>
          <w:rStyle w:val="29"/>
          <w:rFonts w:hint="eastAsia" w:ascii="宋体" w:hAnsi="宋体" w:eastAsia="宋体" w:cs="宋体"/>
          <w:color w:val="auto"/>
          <w:highlight w:val="none"/>
          <w:lang w:val="zh-Hans"/>
        </w:rPr>
        <w:t>评审</w:t>
      </w:r>
      <w:r>
        <w:rPr>
          <w:rStyle w:val="29"/>
          <w:rFonts w:hint="eastAsia" w:ascii="宋体" w:hAnsi="宋体" w:eastAsia="宋体" w:cs="宋体"/>
          <w:color w:val="auto"/>
          <w:highlight w:val="none"/>
          <w:lang w:val="zh-Hans" w:eastAsia="zh-Hans"/>
        </w:rPr>
        <w:t>小组成员首先分别对每个供应商资信技术文件进行评审打分，然后计算出算术平均值（保留</w:t>
      </w:r>
      <w:r>
        <w:rPr>
          <w:rStyle w:val="32"/>
          <w:rFonts w:hint="eastAsia"/>
          <w:color w:val="auto"/>
          <w:highlight w:val="none"/>
        </w:rPr>
        <w:t>2</w:t>
      </w:r>
      <w:r>
        <w:rPr>
          <w:rStyle w:val="29"/>
          <w:rFonts w:hint="eastAsia" w:ascii="宋体" w:hAnsi="宋体" w:eastAsia="宋体" w:cs="宋体"/>
          <w:color w:val="auto"/>
          <w:highlight w:val="none"/>
          <w:lang w:val="zh-Hans" w:eastAsia="zh-Hans"/>
        </w:rPr>
        <w:t>位小数），即为供应商的资信技术得分，后计算投标报价得分，计算公式：投标报价得分</w:t>
      </w:r>
      <w:r>
        <w:rPr>
          <w:rStyle w:val="32"/>
          <w:rFonts w:hint="eastAsia"/>
          <w:color w:val="auto"/>
          <w:highlight w:val="none"/>
        </w:rPr>
        <w:t>=</w:t>
      </w:r>
      <w:r>
        <w:rPr>
          <w:rFonts w:hint="eastAsia" w:ascii="宋体" w:hAnsi="宋体" w:eastAsia="宋体" w:cs="宋体"/>
          <w:color w:val="auto"/>
          <w:highlight w:val="none"/>
        </w:rPr>
        <w:t>(投标基准价／投标报价)×5</w:t>
      </w:r>
      <w:r>
        <w:rPr>
          <w:rStyle w:val="29"/>
          <w:rFonts w:hint="eastAsia" w:ascii="宋体" w:hAnsi="宋体" w:eastAsia="宋体" w:cs="宋体"/>
          <w:color w:val="auto"/>
          <w:highlight w:val="none"/>
          <w:lang w:val="zh-Hans" w:eastAsia="zh-Hans"/>
        </w:rPr>
        <w:t>，综合得分</w:t>
      </w:r>
      <w:r>
        <w:rPr>
          <w:rStyle w:val="32"/>
          <w:rFonts w:hint="eastAsia"/>
          <w:color w:val="auto"/>
          <w:highlight w:val="none"/>
        </w:rPr>
        <w:t>=</w:t>
      </w:r>
      <w:r>
        <w:rPr>
          <w:rStyle w:val="29"/>
          <w:rFonts w:hint="eastAsia" w:ascii="宋体" w:hAnsi="宋体" w:eastAsia="宋体" w:cs="宋体"/>
          <w:color w:val="auto"/>
          <w:highlight w:val="none"/>
          <w:lang w:val="zh-Hans" w:eastAsia="zh-Hans"/>
        </w:rPr>
        <w:t>资信技术分</w:t>
      </w:r>
      <w:r>
        <w:rPr>
          <w:rStyle w:val="32"/>
          <w:rFonts w:hint="eastAsia"/>
          <w:color w:val="auto"/>
          <w:highlight w:val="none"/>
        </w:rPr>
        <w:t>+</w:t>
      </w:r>
      <w:r>
        <w:rPr>
          <w:rStyle w:val="29"/>
          <w:rFonts w:hint="eastAsia" w:ascii="宋体" w:hAnsi="宋体" w:eastAsia="宋体" w:cs="宋体"/>
          <w:color w:val="auto"/>
          <w:highlight w:val="none"/>
          <w:lang w:val="zh-Hans" w:eastAsia="zh-Hans"/>
        </w:rPr>
        <w:t>报价分，并提交评审结果。</w:t>
      </w:r>
    </w:p>
    <w:p w14:paraId="5761EF97">
      <w:pPr>
        <w:pStyle w:val="30"/>
        <w:spacing w:line="360" w:lineRule="auto"/>
        <w:ind w:firstLine="480" w:firstLineChars="200"/>
        <w:jc w:val="left"/>
        <w:rPr>
          <w:rStyle w:val="29"/>
          <w:rFonts w:hint="eastAsia" w:ascii="宋体" w:hAnsi="宋体" w:eastAsia="宋体" w:cs="宋体"/>
          <w:color w:val="auto"/>
          <w:highlight w:val="none"/>
          <w:lang w:val="zh-Hans" w:eastAsia="zh-Hans"/>
        </w:rPr>
      </w:pPr>
      <w:r>
        <w:rPr>
          <w:rStyle w:val="29"/>
          <w:rFonts w:hint="eastAsia" w:ascii="宋体" w:hAnsi="宋体" w:eastAsia="宋体" w:cs="宋体"/>
          <w:color w:val="auto"/>
          <w:highlight w:val="none"/>
        </w:rPr>
        <w:t>4.</w:t>
      </w:r>
      <w:r>
        <w:rPr>
          <w:rStyle w:val="29"/>
          <w:rFonts w:hint="eastAsia" w:ascii="宋体" w:hAnsi="宋体" w:eastAsia="宋体" w:cs="宋体"/>
          <w:color w:val="auto"/>
          <w:highlight w:val="none"/>
          <w:lang w:val="zh-Hans" w:eastAsia="zh-Hans"/>
        </w:rPr>
        <w:t>技术资信分、商务分合计得分最</w:t>
      </w:r>
      <w:r>
        <w:rPr>
          <w:rStyle w:val="29"/>
          <w:rFonts w:hint="eastAsia" w:ascii="宋体" w:hAnsi="宋体" w:eastAsia="宋体" w:cs="宋体"/>
          <w:color w:val="000000" w:themeColor="text1"/>
          <w:highlight w:val="none"/>
          <w:lang w:val="zh-Hans" w:eastAsia="zh-Hans"/>
          <w14:textFill>
            <w14:solidFill>
              <w14:schemeClr w14:val="tx1"/>
            </w14:solidFill>
          </w14:textFill>
        </w:rPr>
        <w:t>高者为第一中标候选人，得分次高者为第二中标候选人，总分相同时，价格低者</w:t>
      </w:r>
      <w:r>
        <w:rPr>
          <w:rStyle w:val="29"/>
          <w:rFonts w:hint="eastAsia" w:ascii="宋体" w:hAnsi="宋体" w:eastAsia="宋体" w:cs="宋体"/>
          <w:color w:val="auto"/>
          <w:highlight w:val="none"/>
          <w:lang w:val="zh-Hans" w:eastAsia="zh-Hans"/>
        </w:rPr>
        <w:t>优先，总分且报价相同时，按投标文件满足招标文件全部实质性要求，且按照评审因素的量化指标评审得分最高的投标人为排名第一的中标候选人。（如第一中标候选人放弃或公示期间取消中标资格，由第二中标候选人直接替换。评标过程中如发现有异常情况，由评委集体讨论决定。）</w:t>
      </w:r>
    </w:p>
    <w:p w14:paraId="4FF236E0">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.评定结果经采购人确定后，代理公司在中标供应商确定之日起2个工作日内将以书面形式发出《中标通知书》，并在省级以上人民政府财政部门指定的媒体上公告中标结果。</w:t>
      </w:r>
    </w:p>
    <w:p w14:paraId="44A2BB55">
      <w:pPr>
        <w:pStyle w:val="5"/>
        <w:spacing w:before="0" w:beforeLines="0" w:after="0" w:afterLines="0" w:line="360" w:lineRule="auto"/>
        <w:ind w:firstLine="482" w:firstLineChars="200"/>
        <w:jc w:val="left"/>
        <w:rPr>
          <w:rFonts w:hint="eastAsia" w:ascii="宋体" w:hAnsi="宋体" w:cs="宋体"/>
          <w:color w:val="auto"/>
          <w:sz w:val="24"/>
          <w:szCs w:val="24"/>
          <w:highlight w:val="none"/>
        </w:rPr>
      </w:pPr>
      <w:bookmarkStart w:id="290" w:name="_Toc25874"/>
      <w:bookmarkStart w:id="291" w:name="_Toc21477"/>
      <w:bookmarkStart w:id="292" w:name="_Toc25612"/>
      <w:r>
        <w:rPr>
          <w:rFonts w:hint="eastAsia" w:ascii="宋体" w:hAnsi="宋体" w:cs="宋体"/>
          <w:color w:val="auto"/>
          <w:sz w:val="24"/>
          <w:szCs w:val="24"/>
          <w:highlight w:val="none"/>
        </w:rPr>
        <w:t>三、注意事项</w:t>
      </w:r>
      <w:bookmarkEnd w:id="290"/>
      <w:bookmarkEnd w:id="291"/>
      <w:bookmarkEnd w:id="292"/>
    </w:p>
    <w:p w14:paraId="575D267E">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应将该情况报</w:t>
      </w:r>
      <w:r>
        <w:rPr>
          <w:rFonts w:hint="eastAsia" w:ascii="宋体" w:hAnsi="宋体" w:cs="宋体"/>
          <w:color w:val="auto"/>
          <w:highlight w:val="none"/>
          <w:lang w:eastAsia="zh-CN"/>
        </w:rPr>
        <w:t>柯城区</w:t>
      </w:r>
      <w:r>
        <w:rPr>
          <w:rFonts w:hint="eastAsia" w:ascii="宋体" w:hAnsi="宋体" w:cs="宋体"/>
          <w:color w:val="auto"/>
          <w:highlight w:val="none"/>
        </w:rPr>
        <w:t>财政局，并视情将其列入不良供应商名单。</w:t>
      </w:r>
    </w:p>
    <w:p w14:paraId="1483E950">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2.本项目采用电子投标，有下情形之一的，评标小组将对电子备份文件进行评审，以完成开标：</w:t>
      </w:r>
    </w:p>
    <w:p w14:paraId="3106D37D">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（1）若投标人的电子投标文件在规定时间内无法解密或解密失败；</w:t>
      </w:r>
    </w:p>
    <w:p w14:paraId="732727FB">
      <w:pPr>
        <w:adjustRightInd w:val="0"/>
        <w:snapToGrid w:val="0"/>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（2）若因政采云平台原因无法读取或电子开评标无法正常进行。</w:t>
      </w:r>
    </w:p>
    <w:p w14:paraId="0335B4C4">
      <w:pPr>
        <w:spacing w:line="360" w:lineRule="auto"/>
        <w:ind w:firstLine="480"/>
        <w:jc w:val="left"/>
        <w:rPr>
          <w:rFonts w:hint="eastAsia" w:ascii="宋体" w:hAnsi="宋体" w:cs="宋体"/>
          <w:color w:val="auto"/>
          <w:highlight w:val="none"/>
        </w:rPr>
      </w:pPr>
      <w:r>
        <w:rPr>
          <w:rFonts w:hint="eastAsia" w:ascii="宋体" w:hAnsi="宋体" w:cs="宋体"/>
          <w:color w:val="auto"/>
          <w:highlight w:val="none"/>
        </w:rPr>
        <w:t>如电子投标文件未能正常解密，且投标人未提供电子备份文件，则该投标无效。</w:t>
      </w:r>
    </w:p>
    <w:p w14:paraId="39FCB38C">
      <w:pPr>
        <w:pStyle w:val="5"/>
        <w:spacing w:before="0" w:beforeLines="0" w:after="0" w:afterLines="0" w:line="360" w:lineRule="auto"/>
        <w:ind w:firstLine="482" w:firstLineChars="200"/>
        <w:jc w:val="left"/>
        <w:rPr>
          <w:rFonts w:hint="eastAsia" w:ascii="宋体" w:hAnsi="宋体" w:eastAsia="宋体" w:cs="宋体"/>
          <w:color w:val="auto"/>
          <w:sz w:val="24"/>
          <w:szCs w:val="24"/>
          <w:highlight w:val="none"/>
          <w:lang w:eastAsia="zh-CN"/>
        </w:rPr>
      </w:pPr>
      <w:bookmarkStart w:id="293" w:name="_Toc3592"/>
      <w:r>
        <w:rPr>
          <w:rFonts w:hint="eastAsia" w:ascii="宋体" w:hAnsi="宋体" w:cs="宋体"/>
          <w:color w:val="auto"/>
          <w:sz w:val="24"/>
          <w:szCs w:val="24"/>
          <w:highlight w:val="none"/>
        </w:rPr>
        <w:t>四、评分细则</w:t>
      </w:r>
      <w:bookmarkEnd w:id="293"/>
    </w:p>
    <w:bookmarkEnd w:id="285"/>
    <w:bookmarkEnd w:id="286"/>
    <w:tbl>
      <w:tblPr>
        <w:tblStyle w:val="19"/>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765"/>
        <w:gridCol w:w="6683"/>
        <w:gridCol w:w="1119"/>
      </w:tblGrid>
      <w:tr w14:paraId="41C6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1" w:type="dxa"/>
            <w:vAlign w:val="center"/>
          </w:tcPr>
          <w:p w14:paraId="363A671A">
            <w:pPr>
              <w:spacing w:line="240" w:lineRule="auto"/>
              <w:ind w:firstLine="0" w:firstLineChars="0"/>
              <w:jc w:val="center"/>
              <w:rPr>
                <w:rFonts w:hint="eastAsia" w:ascii="宋体" w:hAnsi="宋体" w:cs="宋体"/>
                <w:b/>
                <w:color w:val="auto"/>
                <w:highlight w:val="none"/>
              </w:rPr>
            </w:pPr>
            <w:bookmarkStart w:id="294" w:name="_Toc7753"/>
            <w:bookmarkStart w:id="295" w:name="_Toc6702"/>
            <w:bookmarkStart w:id="296" w:name="_Toc26971"/>
            <w:bookmarkStart w:id="297" w:name="_Toc3780"/>
            <w:bookmarkStart w:id="298" w:name="_Toc16944"/>
            <w:bookmarkStart w:id="299" w:name="_Toc17101"/>
            <w:bookmarkStart w:id="300" w:name="_Toc27915"/>
            <w:bookmarkStart w:id="301" w:name="_Toc3455"/>
            <w:bookmarkStart w:id="302" w:name="_Toc5949"/>
            <w:bookmarkStart w:id="303" w:name="_Toc8277"/>
            <w:bookmarkStart w:id="304" w:name="_Toc25633"/>
            <w:bookmarkStart w:id="305" w:name="_Toc20858"/>
            <w:bookmarkStart w:id="306" w:name="_Toc15817"/>
            <w:bookmarkStart w:id="307" w:name="_Toc15423"/>
            <w:bookmarkStart w:id="308" w:name="_Toc391298965"/>
            <w:r>
              <w:rPr>
                <w:rFonts w:hint="eastAsia" w:ascii="宋体" w:hAnsi="宋体" w:cs="宋体"/>
                <w:b/>
                <w:color w:val="auto"/>
                <w:highlight w:val="none"/>
              </w:rPr>
              <w:t>序号</w:t>
            </w:r>
          </w:p>
        </w:tc>
        <w:tc>
          <w:tcPr>
            <w:tcW w:w="765" w:type="dxa"/>
            <w:vAlign w:val="center"/>
          </w:tcPr>
          <w:p w14:paraId="2A9CF527">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lang w:val="zh-CN"/>
              </w:rPr>
              <w:t>评分项目</w:t>
            </w:r>
          </w:p>
        </w:tc>
        <w:tc>
          <w:tcPr>
            <w:tcW w:w="6683" w:type="dxa"/>
            <w:vAlign w:val="center"/>
          </w:tcPr>
          <w:p w14:paraId="7D381CF5">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评审内容</w:t>
            </w:r>
          </w:p>
        </w:tc>
        <w:tc>
          <w:tcPr>
            <w:tcW w:w="1119" w:type="dxa"/>
            <w:vAlign w:val="center"/>
          </w:tcPr>
          <w:p w14:paraId="2E593399">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分值</w:t>
            </w:r>
          </w:p>
        </w:tc>
      </w:tr>
      <w:tr w14:paraId="6A5E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471" w:type="dxa"/>
            <w:vAlign w:val="center"/>
          </w:tcPr>
          <w:p w14:paraId="02B132D7">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765" w:type="dxa"/>
            <w:vAlign w:val="center"/>
          </w:tcPr>
          <w:p w14:paraId="40194892">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报价</w:t>
            </w:r>
          </w:p>
        </w:tc>
        <w:tc>
          <w:tcPr>
            <w:tcW w:w="6683" w:type="dxa"/>
            <w:vAlign w:val="center"/>
          </w:tcPr>
          <w:p w14:paraId="77393E91">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本项目农房险最高限价</w:t>
            </w:r>
            <w:r>
              <w:rPr>
                <w:rFonts w:hint="eastAsia" w:ascii="宋体" w:hAnsi="宋体" w:cs="宋体"/>
                <w:color w:val="auto"/>
                <w:highlight w:val="none"/>
                <w:lang w:val="en-US" w:eastAsia="zh-CN"/>
              </w:rPr>
              <w:t>9.5</w:t>
            </w:r>
            <w:r>
              <w:rPr>
                <w:rFonts w:hint="eastAsia" w:ascii="宋体" w:hAnsi="宋体" w:eastAsia="宋体" w:cs="宋体"/>
                <w:color w:val="auto"/>
                <w:highlight w:val="none"/>
              </w:rPr>
              <w:t>元/户，本项目附加室内家财险最高限价</w:t>
            </w:r>
            <w:r>
              <w:rPr>
                <w:rFonts w:hint="eastAsia" w:ascii="宋体" w:hAnsi="宋体" w:cs="宋体"/>
                <w:color w:val="auto"/>
                <w:highlight w:val="none"/>
                <w:lang w:val="en-US" w:eastAsia="zh-CN"/>
              </w:rPr>
              <w:t>9.5</w:t>
            </w:r>
            <w:r>
              <w:rPr>
                <w:rFonts w:hint="eastAsia" w:ascii="宋体" w:hAnsi="宋体" w:eastAsia="宋体" w:cs="宋体"/>
                <w:color w:val="auto"/>
                <w:highlight w:val="none"/>
              </w:rPr>
              <w:t>元/户，每项报价满分5分，合计10分。</w:t>
            </w:r>
          </w:p>
          <w:p w14:paraId="507922A6">
            <w:pPr>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基准价为满足评标要求且投标价格最低的投标报价，投标报价得分=(投标基准价／投标报价)×5，四舍五入，保留两位小数。报价高于最高限价的，为无效投标文件。</w:t>
            </w:r>
          </w:p>
          <w:p w14:paraId="6A85937A">
            <w:pPr>
              <w:snapToGrid w:val="0"/>
              <w:spacing w:line="240" w:lineRule="auto"/>
              <w:ind w:firstLine="0" w:firstLineChars="0"/>
              <w:jc w:val="left"/>
              <w:rPr>
                <w:color w:val="auto"/>
                <w:highlight w:val="none"/>
              </w:rPr>
            </w:pPr>
            <w:r>
              <w:rPr>
                <w:rFonts w:hint="eastAsia" w:ascii="宋体" w:hAnsi="宋体" w:eastAsia="宋体" w:cs="宋体"/>
                <w:b/>
                <w:bCs/>
                <w:color w:val="auto"/>
                <w:highlight w:val="none"/>
              </w:rPr>
              <w:t>对非专门面向中小企业的政府采购服务项目，对小型和微型企业的投标报价给予20%的扣除，用扣除后的价格参与评审。</w:t>
            </w:r>
          </w:p>
        </w:tc>
        <w:tc>
          <w:tcPr>
            <w:tcW w:w="1119" w:type="dxa"/>
            <w:vAlign w:val="center"/>
          </w:tcPr>
          <w:p w14:paraId="12703D3B">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1</w:t>
            </w:r>
            <w:r>
              <w:rPr>
                <w:rFonts w:hint="eastAsia" w:ascii="宋体" w:hAnsi="宋体" w:cs="宋体"/>
                <w:color w:val="auto"/>
                <w:highlight w:val="none"/>
              </w:rPr>
              <w:t>0分</w:t>
            </w:r>
          </w:p>
        </w:tc>
      </w:tr>
      <w:tr w14:paraId="6682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471" w:type="dxa"/>
            <w:vAlign w:val="center"/>
          </w:tcPr>
          <w:p w14:paraId="45259EE6">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2</w:t>
            </w:r>
          </w:p>
        </w:tc>
        <w:tc>
          <w:tcPr>
            <w:tcW w:w="765" w:type="dxa"/>
            <w:vAlign w:val="center"/>
          </w:tcPr>
          <w:p w14:paraId="1B6C4EBD">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企业业绩</w:t>
            </w:r>
          </w:p>
        </w:tc>
        <w:tc>
          <w:tcPr>
            <w:tcW w:w="6683" w:type="dxa"/>
            <w:vAlign w:val="center"/>
          </w:tcPr>
          <w:p w14:paraId="71AF8FA2">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投标人自2021年1月1日以来（以合同签订时间为准）承担过类似政策性农房险业绩，每提供一份得</w:t>
            </w:r>
            <w:r>
              <w:rPr>
                <w:rFonts w:hint="eastAsia" w:ascii="宋体" w:hAnsi="宋体" w:cs="宋体"/>
                <w:color w:val="auto"/>
                <w:highlight w:val="none"/>
                <w:lang w:val="en-US" w:eastAsia="zh-CN"/>
              </w:rPr>
              <w:t>0.5</w:t>
            </w:r>
            <w:r>
              <w:rPr>
                <w:rFonts w:hint="eastAsia" w:ascii="宋体" w:hAnsi="宋体" w:cs="宋体"/>
                <w:color w:val="auto"/>
                <w:highlight w:val="none"/>
              </w:rPr>
              <w:t>分，本项最高</w:t>
            </w:r>
            <w:r>
              <w:rPr>
                <w:rFonts w:hint="eastAsia" w:ascii="宋体" w:hAnsi="宋体" w:cs="宋体"/>
                <w:color w:val="auto"/>
                <w:highlight w:val="none"/>
                <w:lang w:val="en-US" w:eastAsia="zh-CN"/>
              </w:rPr>
              <w:t>1</w:t>
            </w:r>
            <w:r>
              <w:rPr>
                <w:rFonts w:hint="eastAsia" w:ascii="宋体" w:hAnsi="宋体" w:cs="宋体"/>
                <w:color w:val="auto"/>
                <w:highlight w:val="none"/>
              </w:rPr>
              <w:t>分。</w:t>
            </w:r>
          </w:p>
          <w:p w14:paraId="6E0DF5CD">
            <w:pPr>
              <w:spacing w:line="240" w:lineRule="auto"/>
              <w:ind w:firstLine="0" w:firstLineChars="0"/>
              <w:jc w:val="left"/>
              <w:rPr>
                <w:rFonts w:hint="eastAsia" w:ascii="宋体" w:hAnsi="宋体" w:eastAsia="宋体" w:cs="宋体"/>
                <w:color w:val="auto"/>
                <w:highlight w:val="none"/>
                <w:lang w:eastAsia="zh-CN"/>
              </w:rPr>
            </w:pPr>
            <w:r>
              <w:rPr>
                <w:rFonts w:hint="eastAsia" w:ascii="宋体" w:hAnsi="宋体" w:cs="宋体"/>
                <w:b/>
                <w:bCs/>
                <w:color w:val="auto"/>
                <w:highlight w:val="none"/>
                <w:lang w:val="en-US" w:eastAsia="zh-CN"/>
              </w:rPr>
              <w:t>注：</w:t>
            </w:r>
            <w:r>
              <w:rPr>
                <w:rFonts w:hint="eastAsia" w:ascii="宋体" w:hAnsi="宋体" w:cs="宋体"/>
                <w:b/>
                <w:bCs/>
                <w:color w:val="auto"/>
                <w:kern w:val="0"/>
                <w:highlight w:val="none"/>
                <w:lang w:bidi="ar"/>
              </w:rPr>
              <w:t>需</w:t>
            </w:r>
            <w:r>
              <w:rPr>
                <w:rFonts w:hint="eastAsia" w:ascii="宋体" w:hAnsi="宋体" w:cs="宋体"/>
                <w:b/>
                <w:bCs/>
                <w:color w:val="auto"/>
                <w:highlight w:val="none"/>
                <w:lang w:val="en-US" w:eastAsia="zh-CN"/>
              </w:rPr>
              <w:t>提供保单抄件扫描件加盖公章</w:t>
            </w:r>
            <w:r>
              <w:rPr>
                <w:rFonts w:hint="eastAsia" w:ascii="宋体" w:hAnsi="宋体" w:cs="宋体"/>
                <w:b/>
                <w:bCs/>
                <w:color w:val="auto"/>
                <w:highlight w:val="none"/>
              </w:rPr>
              <w:t>，不提供不得分</w:t>
            </w:r>
            <w:r>
              <w:rPr>
                <w:rFonts w:hint="eastAsia" w:ascii="宋体" w:hAnsi="宋体" w:cs="宋体"/>
                <w:b/>
                <w:bCs/>
                <w:color w:val="auto"/>
                <w:highlight w:val="none"/>
                <w:lang w:eastAsia="zh-CN"/>
              </w:rPr>
              <w:t>。</w:t>
            </w:r>
          </w:p>
        </w:tc>
        <w:tc>
          <w:tcPr>
            <w:tcW w:w="1119" w:type="dxa"/>
            <w:vAlign w:val="center"/>
          </w:tcPr>
          <w:p w14:paraId="5B9C250C">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ascii="宋体" w:hAnsi="宋体" w:cs="宋体"/>
                <w:color w:val="auto"/>
                <w:highlight w:val="none"/>
              </w:rPr>
              <w:t>1</w:t>
            </w:r>
            <w:r>
              <w:rPr>
                <w:rFonts w:hint="eastAsia" w:ascii="宋体" w:hAnsi="宋体" w:cs="宋体"/>
                <w:color w:val="auto"/>
                <w:highlight w:val="none"/>
              </w:rPr>
              <w:t>分</w:t>
            </w:r>
          </w:p>
        </w:tc>
      </w:tr>
      <w:tr w14:paraId="3E44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471" w:type="dxa"/>
            <w:vAlign w:val="center"/>
          </w:tcPr>
          <w:p w14:paraId="7B6EDAE3">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3</w:t>
            </w:r>
          </w:p>
        </w:tc>
        <w:tc>
          <w:tcPr>
            <w:tcW w:w="765" w:type="dxa"/>
            <w:vAlign w:val="center"/>
          </w:tcPr>
          <w:p w14:paraId="30C69943">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投标人团队</w:t>
            </w:r>
          </w:p>
        </w:tc>
        <w:tc>
          <w:tcPr>
            <w:tcW w:w="6683" w:type="dxa"/>
            <w:vAlign w:val="center"/>
          </w:tcPr>
          <w:p w14:paraId="7AB87C49">
            <w:pPr>
              <w:spacing w:line="240" w:lineRule="auto"/>
              <w:ind w:firstLine="0" w:firstLineChars="0"/>
              <w:jc w:val="left"/>
              <w:rPr>
                <w:rFonts w:hint="eastAsia" w:ascii="宋体" w:hAnsi="宋体" w:cs="宋体"/>
                <w:color w:val="auto"/>
                <w:kern w:val="0"/>
                <w:highlight w:val="none"/>
                <w:lang w:bidi="ar"/>
              </w:rPr>
            </w:pPr>
            <w:r>
              <w:rPr>
                <w:rFonts w:hint="eastAsia" w:ascii="宋体" w:hAnsi="宋体" w:cs="宋体"/>
                <w:color w:val="auto"/>
                <w:kern w:val="0"/>
                <w:highlight w:val="none"/>
                <w:lang w:bidi="ar"/>
              </w:rPr>
              <w:t>投标人设立项目服务团队且下设项目负责人1名、专职服务经理2名、承保服务人员3名，理赔服务人员3名，满足以上条件可得9分，服务团队投入人员每缺少一人扣1分，未成立服务团队的不得分。</w:t>
            </w:r>
          </w:p>
          <w:p w14:paraId="23D84C8E">
            <w:pPr>
              <w:spacing w:line="240" w:lineRule="auto"/>
              <w:ind w:firstLine="0" w:firstLineChars="0"/>
              <w:jc w:val="left"/>
              <w:rPr>
                <w:rFonts w:hint="default" w:ascii="宋体" w:hAnsi="宋体" w:eastAsia="宋体" w:cs="宋体"/>
                <w:b/>
                <w:bCs/>
                <w:color w:val="auto"/>
                <w:highlight w:val="none"/>
                <w:lang w:val="en-US" w:eastAsia="zh-CN"/>
              </w:rPr>
            </w:pPr>
            <w:r>
              <w:rPr>
                <w:rFonts w:hint="eastAsia" w:ascii="宋体" w:hAnsi="宋体" w:cs="宋体"/>
                <w:b/>
                <w:bCs/>
                <w:color w:val="auto"/>
                <w:kern w:val="0"/>
                <w:highlight w:val="none"/>
                <w:lang w:bidi="ar"/>
              </w:rPr>
              <w:t>注：需提供</w:t>
            </w:r>
            <w:r>
              <w:rPr>
                <w:rFonts w:hint="eastAsia" w:ascii="宋体" w:hAnsi="宋体" w:cs="宋体"/>
                <w:b/>
                <w:bCs/>
                <w:color w:val="auto"/>
                <w:kern w:val="0"/>
                <w:highlight w:val="none"/>
                <w:lang w:val="en-US" w:eastAsia="zh-CN" w:bidi="ar"/>
              </w:rPr>
              <w:t>开标截止时间前</w:t>
            </w:r>
            <w:r>
              <w:rPr>
                <w:rFonts w:hint="eastAsia" w:ascii="宋体" w:hAnsi="宋体" w:cs="宋体"/>
                <w:b/>
                <w:bCs/>
                <w:color w:val="auto"/>
                <w:kern w:val="0"/>
                <w:highlight w:val="none"/>
                <w:lang w:bidi="ar"/>
              </w:rPr>
              <w:t>3个月在本单位缴纳社保的证明材料，未提供不得分。</w:t>
            </w:r>
          </w:p>
        </w:tc>
        <w:tc>
          <w:tcPr>
            <w:tcW w:w="1119" w:type="dxa"/>
            <w:vAlign w:val="center"/>
          </w:tcPr>
          <w:p w14:paraId="406E58EA">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9</w:t>
            </w:r>
            <w:r>
              <w:rPr>
                <w:rFonts w:hint="eastAsia" w:ascii="宋体" w:hAnsi="宋体" w:cs="宋体"/>
                <w:color w:val="auto"/>
                <w:highlight w:val="none"/>
              </w:rPr>
              <w:t>分</w:t>
            </w:r>
          </w:p>
        </w:tc>
      </w:tr>
      <w:tr w14:paraId="2C0B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71" w:type="dxa"/>
            <w:vAlign w:val="center"/>
          </w:tcPr>
          <w:p w14:paraId="2ADF1EF8">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lang w:val="en-US" w:eastAsia="zh-CN"/>
              </w:rPr>
              <w:t>4</w:t>
            </w:r>
          </w:p>
        </w:tc>
        <w:tc>
          <w:tcPr>
            <w:tcW w:w="765" w:type="dxa"/>
            <w:vAlign w:val="center"/>
          </w:tcPr>
          <w:p w14:paraId="09DCE87E">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投标人综合实力</w:t>
            </w:r>
          </w:p>
        </w:tc>
        <w:tc>
          <w:tcPr>
            <w:tcW w:w="6683" w:type="dxa"/>
            <w:vAlign w:val="center"/>
          </w:tcPr>
          <w:p w14:paraId="66116023">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投标人总公司2024年</w:t>
            </w:r>
            <w:r>
              <w:rPr>
                <w:rFonts w:hint="eastAsia" w:ascii="宋体" w:hAnsi="宋体" w:cs="宋体"/>
                <w:color w:val="auto"/>
                <w:highlight w:val="none"/>
                <w:lang w:val="en-US" w:eastAsia="zh-CN"/>
              </w:rPr>
              <w:t>第</w:t>
            </w:r>
            <w:r>
              <w:rPr>
                <w:rFonts w:hint="eastAsia" w:ascii="宋体" w:hAnsi="宋体" w:cs="宋体"/>
                <w:color w:val="auto"/>
                <w:highlight w:val="none"/>
              </w:rPr>
              <w:t>三季度</w:t>
            </w:r>
            <w:r>
              <w:rPr>
                <w:rFonts w:hint="eastAsia" w:ascii="宋体" w:hAnsi="宋体" w:cs="宋体"/>
                <w:color w:val="auto"/>
                <w:sz w:val="24"/>
                <w:szCs w:val="24"/>
                <w:highlight w:val="none"/>
                <w:lang w:val="en-US" w:eastAsia="zh-CN"/>
              </w:rPr>
              <w:t>核心</w:t>
            </w:r>
            <w:r>
              <w:rPr>
                <w:rFonts w:hint="eastAsia" w:ascii="宋体" w:hAnsi="宋体" w:eastAsia="宋体" w:cs="宋体"/>
                <w:color w:val="auto"/>
                <w:sz w:val="24"/>
                <w:szCs w:val="24"/>
                <w:highlight w:val="none"/>
                <w:lang w:val="en-US" w:eastAsia="zh-CN"/>
              </w:rPr>
              <w:t>偿付能力充足率</w:t>
            </w:r>
            <w:r>
              <w:rPr>
                <w:rFonts w:hint="eastAsia" w:ascii="宋体" w:hAnsi="宋体" w:cs="宋体"/>
                <w:color w:val="auto"/>
                <w:highlight w:val="none"/>
              </w:rPr>
              <w:t>：</w:t>
            </w:r>
          </w:p>
          <w:p w14:paraId="64BF8782">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大于等于200%的得</w:t>
            </w:r>
            <w:r>
              <w:rPr>
                <w:rFonts w:hint="eastAsia" w:ascii="宋体" w:hAnsi="宋体" w:cs="宋体"/>
                <w:color w:val="auto"/>
                <w:highlight w:val="none"/>
                <w:lang w:val="en-US" w:eastAsia="zh-CN"/>
              </w:rPr>
              <w:t>6</w:t>
            </w:r>
            <w:r>
              <w:rPr>
                <w:rFonts w:hint="eastAsia" w:ascii="宋体" w:hAnsi="宋体" w:cs="宋体"/>
                <w:color w:val="auto"/>
                <w:highlight w:val="none"/>
              </w:rPr>
              <w:t>分；</w:t>
            </w:r>
          </w:p>
          <w:p w14:paraId="375F0BDE">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大于等于180%，小于200%的得</w:t>
            </w:r>
            <w:r>
              <w:rPr>
                <w:rFonts w:hint="eastAsia" w:ascii="宋体" w:hAnsi="宋体" w:cs="宋体"/>
                <w:color w:val="auto"/>
                <w:highlight w:val="none"/>
                <w:lang w:val="en-US" w:eastAsia="zh-CN"/>
              </w:rPr>
              <w:t>3</w:t>
            </w:r>
            <w:r>
              <w:rPr>
                <w:rFonts w:hint="eastAsia" w:ascii="宋体" w:hAnsi="宋体" w:cs="宋体"/>
                <w:color w:val="auto"/>
                <w:highlight w:val="none"/>
              </w:rPr>
              <w:t>分；</w:t>
            </w:r>
          </w:p>
          <w:p w14:paraId="31280D22">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大于等于150%，小于180%的得1分；</w:t>
            </w:r>
          </w:p>
          <w:p w14:paraId="04DD0F50">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小于150%或不提供则不得分。</w:t>
            </w:r>
          </w:p>
          <w:p w14:paraId="780F705D">
            <w:pPr>
              <w:spacing w:line="240" w:lineRule="auto"/>
              <w:ind w:firstLine="0" w:firstLineChars="0"/>
              <w:jc w:val="left"/>
              <w:rPr>
                <w:rFonts w:hint="eastAsia" w:eastAsia="宋体"/>
                <w:color w:val="auto"/>
                <w:highlight w:val="none"/>
                <w:lang w:eastAsia="zh-CN"/>
              </w:rPr>
            </w:pPr>
            <w:r>
              <w:rPr>
                <w:rFonts w:hint="eastAsia"/>
                <w:b/>
                <w:bCs/>
                <w:color w:val="auto"/>
                <w:highlight w:val="none"/>
              </w:rPr>
              <w:t>注：需提供投标人总公司2024年三季度核心偿付能力报告</w:t>
            </w:r>
            <w:r>
              <w:rPr>
                <w:rFonts w:hint="eastAsia"/>
                <w:b/>
                <w:bCs/>
                <w:color w:val="auto"/>
                <w:highlight w:val="none"/>
                <w:lang w:eastAsia="zh-CN"/>
              </w:rPr>
              <w:t>。</w:t>
            </w:r>
          </w:p>
        </w:tc>
        <w:tc>
          <w:tcPr>
            <w:tcW w:w="1119" w:type="dxa"/>
            <w:vAlign w:val="center"/>
          </w:tcPr>
          <w:p w14:paraId="21F80ACD">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lang w:val="en-US" w:eastAsia="zh-CN"/>
              </w:rPr>
              <w:t>0-6分</w:t>
            </w:r>
          </w:p>
        </w:tc>
      </w:tr>
      <w:tr w14:paraId="0B79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1" w:type="dxa"/>
            <w:vAlign w:val="center"/>
          </w:tcPr>
          <w:p w14:paraId="09310FED">
            <w:pPr>
              <w:spacing w:line="240" w:lineRule="auto"/>
              <w:ind w:firstLine="0" w:firstLineChars="0"/>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5</w:t>
            </w:r>
          </w:p>
        </w:tc>
        <w:tc>
          <w:tcPr>
            <w:tcW w:w="765" w:type="dxa"/>
            <w:vAlign w:val="center"/>
          </w:tcPr>
          <w:p w14:paraId="46939086">
            <w:pPr>
              <w:spacing w:line="240" w:lineRule="auto"/>
              <w:ind w:firstLine="0" w:firstLineChars="0"/>
              <w:jc w:val="center"/>
              <w:rPr>
                <w:rFonts w:hint="eastAsia" w:ascii="宋体" w:hAnsi="宋体" w:cs="宋体"/>
                <w:b w:val="0"/>
                <w:bCs/>
                <w:color w:val="auto"/>
                <w:highlight w:val="none"/>
              </w:rPr>
            </w:pPr>
            <w:r>
              <w:rPr>
                <w:rFonts w:hint="eastAsia" w:ascii="宋体" w:hAnsi="宋体" w:cs="宋体"/>
                <w:color w:val="auto"/>
                <w:highlight w:val="none"/>
              </w:rPr>
              <w:t>保险责任响应情况</w:t>
            </w:r>
          </w:p>
        </w:tc>
        <w:tc>
          <w:tcPr>
            <w:tcW w:w="6683" w:type="dxa"/>
            <w:vAlign w:val="center"/>
          </w:tcPr>
          <w:p w14:paraId="63E053F1">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投标人响应招标文件所述保险责任情况：</w:t>
            </w:r>
          </w:p>
          <w:p w14:paraId="07000D9E">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1.政策性农村住房保险</w:t>
            </w:r>
            <w:bookmarkStart w:id="309" w:name="OLE_LINK1"/>
            <w:r>
              <w:rPr>
                <w:rFonts w:hint="eastAsia" w:ascii="宋体" w:hAnsi="宋体" w:eastAsia="宋体" w:cs="宋体"/>
                <w:color w:val="auto"/>
                <w:highlight w:val="none"/>
                <w:lang w:val="en-US" w:eastAsia="zh-CN"/>
              </w:rPr>
              <w:t>责任</w:t>
            </w:r>
            <w:bookmarkEnd w:id="309"/>
            <w:r>
              <w:rPr>
                <w:rFonts w:hint="eastAsia" w:ascii="宋体" w:hAnsi="宋体" w:eastAsia="宋体" w:cs="宋体"/>
                <w:color w:val="auto"/>
                <w:highlight w:val="none"/>
                <w:lang w:val="en-US" w:eastAsia="zh-CN"/>
              </w:rPr>
              <w:t>：</w:t>
            </w:r>
          </w:p>
          <w:p w14:paraId="0B5C4A53">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（一）房屋两面以上（含）墙壁倒塌；</w:t>
            </w:r>
          </w:p>
          <w:p w14:paraId="7616C6F2">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（二）房屋屋顶坍塌；</w:t>
            </w:r>
          </w:p>
          <w:p w14:paraId="063A7FD2">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（三）楼板坍塌；</w:t>
            </w:r>
          </w:p>
          <w:p w14:paraId="58C94187">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（四）房屋主体结构毁坏；</w:t>
            </w:r>
          </w:p>
          <w:p w14:paraId="3834E11B">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（五）墙基冲毁，难以修复；</w:t>
            </w:r>
          </w:p>
          <w:p w14:paraId="0888BEAC">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（六）因洪涝长期浸泡造成墙体损毁；</w:t>
            </w:r>
          </w:p>
          <w:p w14:paraId="4E168E0A">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（七）无显性损毁，经建设部门鉴定应当整体拆除重建。</w:t>
            </w:r>
          </w:p>
          <w:p w14:paraId="5F462736">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2.室内家财保险责任：</w:t>
            </w:r>
          </w:p>
          <w:p w14:paraId="076A63A9">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（一）火灾、爆炸；</w:t>
            </w:r>
          </w:p>
          <w:p w14:paraId="7C0631E2">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（二）雷击、台风、龙卷风、暴风、暴雨、洪水、暴雪、冰雹、冰凌、泥石流、崩塌、突发性滑坡、地面突然下陷；</w:t>
            </w:r>
          </w:p>
          <w:p w14:paraId="1DAD62DC">
            <w:pPr>
              <w:spacing w:line="240" w:lineRule="auto"/>
              <w:ind w:firstLine="0" w:firstLineChars="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（三）飞行物体及其他空中运行物体坠落，外来不属于被保险人所有或使用的建筑物和其他固定物体的倒塌。</w:t>
            </w:r>
          </w:p>
          <w:p w14:paraId="0B6B0C0E">
            <w:pPr>
              <w:spacing w:line="240" w:lineRule="auto"/>
              <w:ind w:firstLine="0" w:firstLineChars="0"/>
              <w:jc w:val="left"/>
              <w:rPr>
                <w:rFonts w:hint="eastAsia" w:eastAsia="宋体"/>
                <w:color w:val="auto"/>
                <w:highlight w:val="none"/>
                <w:lang w:val="en-US" w:eastAsia="zh-CN"/>
              </w:rPr>
            </w:pPr>
            <w:r>
              <w:rPr>
                <w:rFonts w:hint="eastAsia" w:ascii="宋体" w:hAnsi="宋体" w:eastAsia="宋体" w:cs="宋体"/>
                <w:color w:val="auto"/>
                <w:highlight w:val="none"/>
                <w:lang w:val="en-US" w:eastAsia="zh-CN"/>
              </w:rPr>
              <w:t>响应以上内容每点得1.5分，本项最多得15分（以承诺函为准）。</w:t>
            </w:r>
          </w:p>
        </w:tc>
        <w:tc>
          <w:tcPr>
            <w:tcW w:w="1119" w:type="dxa"/>
            <w:vAlign w:val="center"/>
          </w:tcPr>
          <w:p w14:paraId="3CBE9160">
            <w:pPr>
              <w:spacing w:line="240" w:lineRule="auto"/>
              <w:ind w:firstLine="0" w:firstLineChars="0"/>
              <w:jc w:val="center"/>
              <w:rPr>
                <w:rFonts w:hint="eastAsia" w:ascii="宋体" w:hAnsi="宋体" w:cs="宋体"/>
                <w:b w:val="0"/>
                <w:bCs/>
                <w:color w:val="auto"/>
                <w:highlight w:val="none"/>
              </w:rPr>
            </w:pPr>
            <w:r>
              <w:rPr>
                <w:rFonts w:hint="eastAsia" w:ascii="宋体" w:hAnsi="宋体" w:cs="宋体"/>
                <w:color w:val="auto"/>
                <w:highlight w:val="none"/>
              </w:rPr>
              <w:t>0-1</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r w14:paraId="4419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1" w:type="dxa"/>
            <w:vMerge w:val="restart"/>
            <w:vAlign w:val="center"/>
          </w:tcPr>
          <w:p w14:paraId="50E792C3">
            <w:pPr>
              <w:spacing w:line="240" w:lineRule="auto"/>
              <w:ind w:firstLine="0" w:firstLineChars="0"/>
              <w:jc w:val="center"/>
              <w:rPr>
                <w:rFonts w:hint="eastAsia" w:ascii="宋体" w:hAnsi="宋体" w:cs="宋体"/>
                <w:b/>
                <w:color w:val="auto"/>
                <w:highlight w:val="none"/>
                <w:lang w:val="en-US" w:eastAsia="zh-CN"/>
              </w:rPr>
            </w:pPr>
          </w:p>
          <w:p w14:paraId="75D7CB26">
            <w:pPr>
              <w:spacing w:line="240" w:lineRule="auto"/>
              <w:ind w:firstLine="0" w:firstLineChars="0"/>
              <w:jc w:val="center"/>
              <w:rPr>
                <w:rFonts w:hint="eastAsia" w:ascii="宋体" w:hAnsi="宋体" w:cs="宋体"/>
                <w:b/>
                <w:color w:val="auto"/>
                <w:highlight w:val="none"/>
                <w:lang w:val="en-US" w:eastAsia="zh-CN"/>
              </w:rPr>
            </w:pPr>
            <w:r>
              <w:rPr>
                <w:rFonts w:hint="eastAsia" w:ascii="宋体" w:hAnsi="宋体" w:cs="宋体"/>
                <w:b/>
                <w:color w:val="auto"/>
                <w:highlight w:val="none"/>
                <w:lang w:val="en-US" w:eastAsia="zh-CN"/>
              </w:rPr>
              <w:t>6</w:t>
            </w:r>
          </w:p>
          <w:p w14:paraId="34FD8A68">
            <w:pPr>
              <w:spacing w:line="240" w:lineRule="auto"/>
              <w:ind w:firstLine="0" w:firstLineChars="0"/>
              <w:jc w:val="center"/>
              <w:rPr>
                <w:rFonts w:hint="eastAsia" w:ascii="宋体" w:hAnsi="宋体" w:eastAsia="宋体" w:cs="宋体"/>
                <w:b/>
                <w:color w:val="auto"/>
                <w:highlight w:val="none"/>
                <w:lang w:eastAsia="zh-CN"/>
              </w:rPr>
            </w:pPr>
          </w:p>
        </w:tc>
        <w:tc>
          <w:tcPr>
            <w:tcW w:w="765" w:type="dxa"/>
            <w:vMerge w:val="restart"/>
            <w:vAlign w:val="center"/>
          </w:tcPr>
          <w:p w14:paraId="7DF0195B">
            <w:pPr>
              <w:spacing w:line="240" w:lineRule="auto"/>
              <w:ind w:firstLine="0" w:firstLineChars="0"/>
              <w:jc w:val="center"/>
              <w:rPr>
                <w:rFonts w:hint="default" w:ascii="宋体" w:hAnsi="宋体" w:cs="宋体"/>
                <w:color w:val="auto"/>
                <w:highlight w:val="none"/>
                <w:lang w:val="en-US" w:eastAsia="zh-CN"/>
              </w:rPr>
            </w:pPr>
            <w:r>
              <w:rPr>
                <w:rFonts w:hint="default" w:ascii="宋体" w:hAnsi="宋体" w:cs="宋体"/>
                <w:color w:val="auto"/>
                <w:highlight w:val="none"/>
                <w:lang w:val="en-US" w:eastAsia="zh-CN"/>
              </w:rPr>
              <w:t>服务</w:t>
            </w:r>
          </w:p>
          <w:p w14:paraId="3A03899A">
            <w:pPr>
              <w:spacing w:line="240" w:lineRule="auto"/>
              <w:ind w:firstLine="0" w:firstLineChars="0"/>
              <w:jc w:val="center"/>
              <w:rPr>
                <w:rFonts w:hint="default" w:ascii="宋体" w:hAnsi="宋体" w:cs="宋体"/>
                <w:color w:val="auto"/>
                <w:highlight w:val="none"/>
                <w:lang w:val="en-US" w:eastAsia="zh-CN"/>
              </w:rPr>
            </w:pPr>
            <w:r>
              <w:rPr>
                <w:rFonts w:hint="default" w:ascii="宋体" w:hAnsi="宋体" w:cs="宋体"/>
                <w:color w:val="auto"/>
                <w:highlight w:val="none"/>
                <w:lang w:val="en-US" w:eastAsia="zh-CN"/>
              </w:rPr>
              <w:t>便捷性</w:t>
            </w:r>
          </w:p>
        </w:tc>
        <w:tc>
          <w:tcPr>
            <w:tcW w:w="6683" w:type="dxa"/>
            <w:vAlign w:val="center"/>
          </w:tcPr>
          <w:p w14:paraId="0F0D0E1B">
            <w:pPr>
              <w:spacing w:line="240" w:lineRule="auto"/>
              <w:ind w:firstLine="0" w:firstLineChars="0"/>
              <w:jc w:val="left"/>
              <w:rPr>
                <w:rFonts w:hint="eastAsia"/>
                <w:color w:val="auto"/>
                <w:highlight w:val="none"/>
                <w:lang w:val="en-US" w:eastAsia="zh-CN"/>
              </w:rPr>
            </w:pPr>
            <w:r>
              <w:rPr>
                <w:rFonts w:hint="eastAsia"/>
                <w:color w:val="auto"/>
                <w:highlight w:val="none"/>
                <w:lang w:val="en-US" w:eastAsia="zh-CN"/>
              </w:rPr>
              <w:t>根据本项目服务乡村的特性要求，投标人在柯城区城区及下辖乡镇街道设有分支机构的，一个机构得</w:t>
            </w:r>
            <w:r>
              <w:rPr>
                <w:rFonts w:hint="eastAsia" w:ascii="宋体" w:hAnsi="宋体" w:cs="宋体"/>
                <w:color w:val="auto"/>
                <w:highlight w:val="none"/>
                <w:lang w:val="en-US" w:eastAsia="zh-CN"/>
              </w:rPr>
              <w:t>2</w:t>
            </w:r>
            <w:r>
              <w:rPr>
                <w:rFonts w:hint="eastAsia"/>
                <w:color w:val="auto"/>
                <w:highlight w:val="none"/>
                <w:lang w:val="en-US" w:eastAsia="zh-CN"/>
              </w:rPr>
              <w:t>分，本项最高得分</w:t>
            </w:r>
            <w:r>
              <w:rPr>
                <w:rFonts w:hint="eastAsia" w:ascii="宋体" w:hAnsi="宋体" w:cs="宋体"/>
                <w:color w:val="auto"/>
                <w:highlight w:val="none"/>
                <w:lang w:val="en-US" w:eastAsia="zh-CN"/>
              </w:rPr>
              <w:t>10</w:t>
            </w:r>
            <w:r>
              <w:rPr>
                <w:rFonts w:hint="eastAsia"/>
                <w:color w:val="auto"/>
                <w:highlight w:val="none"/>
                <w:lang w:val="en-US" w:eastAsia="zh-CN"/>
              </w:rPr>
              <w:t>分</w:t>
            </w:r>
          </w:p>
          <w:p w14:paraId="4881EFDD">
            <w:pPr>
              <w:spacing w:line="240" w:lineRule="auto"/>
              <w:ind w:firstLine="0" w:firstLineChars="0"/>
              <w:jc w:val="left"/>
              <w:rPr>
                <w:rFonts w:hint="eastAsia"/>
                <w:color w:val="auto"/>
                <w:highlight w:val="none"/>
                <w:lang w:val="en-US" w:eastAsia="zh-CN"/>
              </w:rPr>
            </w:pPr>
            <w:r>
              <w:rPr>
                <w:rFonts w:hint="eastAsia"/>
                <w:b/>
                <w:bCs/>
                <w:color w:val="auto"/>
                <w:highlight w:val="none"/>
                <w:lang w:val="en-US" w:eastAsia="zh-CN"/>
              </w:rPr>
              <w:t>注：需提供投标人相关机构的营业执照复印件。</w:t>
            </w:r>
          </w:p>
        </w:tc>
        <w:tc>
          <w:tcPr>
            <w:tcW w:w="1119" w:type="dxa"/>
            <w:vAlign w:val="center"/>
          </w:tcPr>
          <w:p w14:paraId="00BD5CB6">
            <w:pPr>
              <w:spacing w:line="240" w:lineRule="auto"/>
              <w:ind w:firstLine="0" w:firstLineChars="0"/>
              <w:jc w:val="center"/>
              <w:rPr>
                <w:rFonts w:hint="default" w:ascii="宋体" w:hAnsi="宋体" w:eastAsia="宋体" w:cs="宋体"/>
                <w:color w:val="auto"/>
                <w:highlight w:val="none"/>
                <w:lang w:val="en-US" w:eastAsia="zh-CN"/>
              </w:rPr>
            </w:pPr>
            <w:r>
              <w:rPr>
                <w:rFonts w:hint="eastAsia" w:ascii="宋体" w:hAnsi="宋体" w:cs="宋体"/>
                <w:color w:val="auto"/>
                <w:highlight w:val="none"/>
              </w:rPr>
              <w:t>0-</w:t>
            </w: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14:paraId="34A9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71" w:type="dxa"/>
            <w:vMerge w:val="continue"/>
            <w:vAlign w:val="center"/>
          </w:tcPr>
          <w:p w14:paraId="4603AD7B">
            <w:pPr>
              <w:spacing w:line="240" w:lineRule="auto"/>
              <w:ind w:firstLine="0" w:firstLineChars="0"/>
              <w:jc w:val="center"/>
              <w:rPr>
                <w:rFonts w:hint="eastAsia" w:ascii="宋体" w:hAnsi="宋体" w:eastAsia="宋体" w:cs="宋体"/>
                <w:b/>
                <w:color w:val="auto"/>
                <w:highlight w:val="none"/>
                <w:lang w:eastAsia="zh-CN"/>
              </w:rPr>
            </w:pPr>
          </w:p>
        </w:tc>
        <w:tc>
          <w:tcPr>
            <w:tcW w:w="765" w:type="dxa"/>
            <w:vMerge w:val="continue"/>
            <w:vAlign w:val="center"/>
          </w:tcPr>
          <w:p w14:paraId="475ECFC7">
            <w:pPr>
              <w:spacing w:line="240" w:lineRule="auto"/>
              <w:ind w:firstLine="0" w:firstLineChars="0"/>
              <w:jc w:val="center"/>
              <w:rPr>
                <w:rFonts w:hint="eastAsia" w:ascii="宋体" w:hAnsi="宋体" w:cs="宋体"/>
                <w:color w:val="auto"/>
                <w:highlight w:val="none"/>
              </w:rPr>
            </w:pPr>
          </w:p>
        </w:tc>
        <w:tc>
          <w:tcPr>
            <w:tcW w:w="6683" w:type="dxa"/>
            <w:vAlign w:val="center"/>
          </w:tcPr>
          <w:p w14:paraId="53D2D099">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根据投标人及其下属公司在服务范围内配置的自有查勘车辆数进行打分，查勘车数量第一名得</w:t>
            </w:r>
            <w:r>
              <w:rPr>
                <w:rFonts w:hint="eastAsia" w:ascii="宋体" w:hAnsi="宋体" w:cs="宋体"/>
                <w:color w:val="auto"/>
                <w:highlight w:val="none"/>
                <w:lang w:val="en-US" w:eastAsia="zh-CN"/>
              </w:rPr>
              <w:t>6</w:t>
            </w:r>
            <w:r>
              <w:rPr>
                <w:rFonts w:hint="eastAsia" w:ascii="宋体" w:hAnsi="宋体" w:cs="宋体"/>
                <w:color w:val="auto"/>
                <w:highlight w:val="none"/>
              </w:rPr>
              <w:t>分，第二名得</w:t>
            </w:r>
            <w:r>
              <w:rPr>
                <w:rFonts w:hint="eastAsia" w:ascii="宋体" w:hAnsi="宋体" w:cs="宋体"/>
                <w:color w:val="auto"/>
                <w:highlight w:val="none"/>
                <w:lang w:val="en-US" w:eastAsia="zh-CN"/>
              </w:rPr>
              <w:t>4</w:t>
            </w:r>
            <w:r>
              <w:rPr>
                <w:rFonts w:hint="eastAsia" w:ascii="宋体" w:hAnsi="宋体" w:cs="宋体"/>
                <w:color w:val="auto"/>
                <w:highlight w:val="none"/>
              </w:rPr>
              <w:t>分，第三名得</w:t>
            </w:r>
            <w:r>
              <w:rPr>
                <w:rFonts w:hint="eastAsia" w:ascii="宋体" w:hAnsi="宋体" w:cs="宋体"/>
                <w:color w:val="auto"/>
                <w:highlight w:val="none"/>
                <w:lang w:val="en-US" w:eastAsia="zh-CN"/>
              </w:rPr>
              <w:t>2</w:t>
            </w:r>
            <w:r>
              <w:rPr>
                <w:rFonts w:hint="eastAsia" w:ascii="宋体" w:hAnsi="宋体" w:cs="宋体"/>
                <w:color w:val="auto"/>
                <w:highlight w:val="none"/>
              </w:rPr>
              <w:t>分，其他不得分。</w:t>
            </w:r>
          </w:p>
          <w:p w14:paraId="160D9585">
            <w:pPr>
              <w:spacing w:line="240" w:lineRule="auto"/>
              <w:ind w:firstLine="0" w:firstLineChars="0"/>
              <w:jc w:val="left"/>
              <w:rPr>
                <w:rFonts w:hint="eastAsia" w:ascii="宋体" w:hAnsi="宋体" w:cs="宋体"/>
                <w:color w:val="auto"/>
                <w:highlight w:val="none"/>
              </w:rPr>
            </w:pPr>
            <w:r>
              <w:rPr>
                <w:rFonts w:hint="eastAsia"/>
                <w:b/>
                <w:bCs/>
                <w:color w:val="auto"/>
                <w:highlight w:val="none"/>
                <w:lang w:val="en-US" w:eastAsia="zh-CN"/>
              </w:rPr>
              <w:t>注：需提供行驶证复印件、有效期内交强险保单复印件</w:t>
            </w:r>
            <w:r>
              <w:rPr>
                <w:rFonts w:hint="eastAsia" w:ascii="宋体" w:hAnsi="宋体" w:cs="宋体"/>
                <w:b/>
                <w:bCs/>
                <w:color w:val="auto"/>
                <w:highlight w:val="none"/>
              </w:rPr>
              <w:t>，不提供不得分</w:t>
            </w:r>
            <w:r>
              <w:rPr>
                <w:rFonts w:hint="eastAsia"/>
                <w:b/>
                <w:bCs/>
                <w:color w:val="auto"/>
                <w:highlight w:val="none"/>
                <w:lang w:val="en-US" w:eastAsia="zh-CN"/>
              </w:rPr>
              <w:t>。</w:t>
            </w:r>
          </w:p>
        </w:tc>
        <w:tc>
          <w:tcPr>
            <w:tcW w:w="1119" w:type="dxa"/>
            <w:shd w:val="clear" w:color="auto" w:fill="auto"/>
            <w:vAlign w:val="center"/>
          </w:tcPr>
          <w:p w14:paraId="5F499BF6">
            <w:pPr>
              <w:spacing w:line="240" w:lineRule="auto"/>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highlight w:val="none"/>
              </w:rPr>
              <w:t>0-</w:t>
            </w:r>
            <w:r>
              <w:rPr>
                <w:rFonts w:hint="eastAsia" w:ascii="宋体" w:hAnsi="宋体" w:cs="宋体"/>
                <w:color w:val="auto"/>
                <w:highlight w:val="none"/>
                <w:lang w:val="en-US" w:eastAsia="zh-CN"/>
              </w:rPr>
              <w:t>6</w:t>
            </w:r>
            <w:r>
              <w:rPr>
                <w:rFonts w:hint="eastAsia" w:ascii="宋体" w:hAnsi="宋体" w:cs="宋体"/>
                <w:color w:val="auto"/>
                <w:highlight w:val="none"/>
              </w:rPr>
              <w:t>分</w:t>
            </w:r>
          </w:p>
        </w:tc>
      </w:tr>
      <w:tr w14:paraId="13B1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71" w:type="dxa"/>
            <w:vAlign w:val="center"/>
          </w:tcPr>
          <w:p w14:paraId="24B58DB3">
            <w:pPr>
              <w:spacing w:line="240" w:lineRule="auto"/>
              <w:ind w:firstLine="0" w:firstLineChars="0"/>
              <w:jc w:val="center"/>
              <w:rPr>
                <w:rFonts w:hint="eastAsia" w:ascii="宋体" w:hAnsi="宋体" w:eastAsia="宋体" w:cs="宋体"/>
                <w:b/>
                <w:color w:val="auto"/>
                <w:highlight w:val="none"/>
                <w:lang w:eastAsia="zh-CN"/>
              </w:rPr>
            </w:pPr>
            <w:r>
              <w:rPr>
                <w:rFonts w:hint="eastAsia" w:ascii="宋体" w:hAnsi="宋体" w:cs="宋体"/>
                <w:b/>
                <w:color w:val="auto"/>
                <w:highlight w:val="none"/>
                <w:lang w:val="en-US" w:eastAsia="zh-CN"/>
              </w:rPr>
              <w:t>7</w:t>
            </w:r>
          </w:p>
        </w:tc>
        <w:tc>
          <w:tcPr>
            <w:tcW w:w="765" w:type="dxa"/>
            <w:vAlign w:val="center"/>
          </w:tcPr>
          <w:p w14:paraId="20D60187">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承保服务</w:t>
            </w:r>
          </w:p>
        </w:tc>
        <w:tc>
          <w:tcPr>
            <w:tcW w:w="6683" w:type="dxa"/>
            <w:vAlign w:val="center"/>
          </w:tcPr>
          <w:p w14:paraId="039B6A65">
            <w:pPr>
              <w:spacing w:line="240" w:lineRule="auto"/>
              <w:ind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评审小组根据投标人提供的承保服务承诺方案的合理性、可行性、完善性综合评分：</w:t>
            </w:r>
            <w:r>
              <w:rPr>
                <w:rFonts w:hint="eastAsia" w:ascii="宋体" w:hAnsi="宋体" w:cs="宋体"/>
                <w:color w:val="auto"/>
                <w:highlight w:val="none"/>
                <w:lang w:val="en-US" w:eastAsia="zh-CN"/>
              </w:rPr>
              <w:t xml:space="preserve">  </w:t>
            </w:r>
          </w:p>
          <w:p w14:paraId="6F51DB71">
            <w:pPr>
              <w:spacing w:line="240" w:lineRule="auto"/>
              <w:ind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服务承诺内容完善、合理、可行性高的得10（不含）-15（含）分；</w:t>
            </w:r>
          </w:p>
          <w:p w14:paraId="34BCDB09">
            <w:pPr>
              <w:spacing w:line="240" w:lineRule="auto"/>
              <w:ind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服务承诺内容基本完善、基本合理、可行性较高的得6（不含）-10（含）分；</w:t>
            </w:r>
          </w:p>
          <w:p w14:paraId="376A3878">
            <w:pPr>
              <w:spacing w:line="240" w:lineRule="auto"/>
              <w:ind w:firstLine="0"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服务承诺</w:t>
            </w:r>
            <w:r>
              <w:rPr>
                <w:rFonts w:hint="eastAsia" w:ascii="宋体" w:hAnsi="宋体" w:cs="宋体"/>
                <w:color w:val="auto"/>
                <w:sz w:val="24"/>
                <w:szCs w:val="24"/>
                <w:highlight w:val="none"/>
                <w:lang w:val="en-US" w:eastAsia="zh-CN"/>
              </w:rPr>
              <w:t>简略、可行性不强</w:t>
            </w:r>
            <w:r>
              <w:rPr>
                <w:rFonts w:hint="default" w:ascii="宋体" w:hAnsi="宋体" w:eastAsia="宋体" w:cs="宋体"/>
                <w:color w:val="auto"/>
                <w:highlight w:val="none"/>
                <w:lang w:val="en-US" w:eastAsia="zh-CN"/>
              </w:rPr>
              <w:t>的得</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en-US" w:eastAsia="zh-CN" w:bidi="ar"/>
              </w:rPr>
              <w:t>（不含）</w:t>
            </w:r>
            <w:r>
              <w:rPr>
                <w:rFonts w:hint="default" w:ascii="宋体" w:hAnsi="宋体" w:eastAsia="宋体" w:cs="宋体"/>
                <w:color w:val="auto"/>
                <w:highlight w:val="none"/>
                <w:lang w:val="en-US" w:eastAsia="zh-CN"/>
              </w:rPr>
              <w:t>-6（含）分。</w:t>
            </w:r>
          </w:p>
        </w:tc>
        <w:tc>
          <w:tcPr>
            <w:tcW w:w="1119" w:type="dxa"/>
            <w:vAlign w:val="center"/>
          </w:tcPr>
          <w:p w14:paraId="0B72DB58">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14:paraId="3C2D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471" w:type="dxa"/>
            <w:vAlign w:val="center"/>
          </w:tcPr>
          <w:p w14:paraId="44CBCF5A">
            <w:pPr>
              <w:spacing w:line="240" w:lineRule="auto"/>
              <w:ind w:firstLine="0" w:firstLineChars="0"/>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8</w:t>
            </w:r>
          </w:p>
        </w:tc>
        <w:tc>
          <w:tcPr>
            <w:tcW w:w="765" w:type="dxa"/>
            <w:vAlign w:val="center"/>
          </w:tcPr>
          <w:p w14:paraId="02A60601">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理赔服务方案</w:t>
            </w:r>
          </w:p>
        </w:tc>
        <w:tc>
          <w:tcPr>
            <w:tcW w:w="6683" w:type="dxa"/>
            <w:vAlign w:val="center"/>
          </w:tcPr>
          <w:p w14:paraId="651B715A">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评审小组根据投标人提供的理赔服务承诺方案的合理性、可行性、完善性综合评分：</w:t>
            </w:r>
          </w:p>
          <w:p w14:paraId="0715685D">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服务承诺内容完善、合理、可行性高的得10（不含）-15（含）分；</w:t>
            </w:r>
          </w:p>
          <w:p w14:paraId="6A354BC5">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服务承诺内容基本完善、基本合理、可行性较高的得6（不含）-10（含）分；</w:t>
            </w:r>
          </w:p>
          <w:p w14:paraId="01487518">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服务承诺</w:t>
            </w:r>
            <w:r>
              <w:rPr>
                <w:rFonts w:hint="eastAsia" w:ascii="宋体" w:hAnsi="宋体" w:cs="宋体"/>
                <w:color w:val="auto"/>
                <w:sz w:val="24"/>
                <w:szCs w:val="24"/>
                <w:highlight w:val="none"/>
                <w:lang w:val="en-US" w:eastAsia="zh-CN"/>
              </w:rPr>
              <w:t>简略、可行性不强</w:t>
            </w:r>
            <w:r>
              <w:rPr>
                <w:rFonts w:hint="eastAsia" w:ascii="宋体" w:hAnsi="宋体" w:cs="宋体"/>
                <w:color w:val="auto"/>
                <w:highlight w:val="none"/>
              </w:rPr>
              <w:t>的得</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en-US" w:eastAsia="zh-CN" w:bidi="ar"/>
              </w:rPr>
              <w:t>（不含）</w:t>
            </w:r>
            <w:r>
              <w:rPr>
                <w:rFonts w:hint="eastAsia" w:ascii="宋体" w:hAnsi="宋体" w:cs="宋体"/>
                <w:color w:val="auto"/>
                <w:highlight w:val="none"/>
              </w:rPr>
              <w:t>-6（含）分。</w:t>
            </w:r>
          </w:p>
        </w:tc>
        <w:tc>
          <w:tcPr>
            <w:tcW w:w="1119" w:type="dxa"/>
            <w:vAlign w:val="center"/>
          </w:tcPr>
          <w:p w14:paraId="54A3DCCE">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15</w:t>
            </w:r>
            <w:r>
              <w:rPr>
                <w:rFonts w:hint="eastAsia" w:ascii="宋体" w:hAnsi="宋体" w:cs="宋体"/>
                <w:color w:val="auto"/>
                <w:highlight w:val="none"/>
              </w:rPr>
              <w:t>分</w:t>
            </w:r>
          </w:p>
        </w:tc>
      </w:tr>
      <w:tr w14:paraId="2531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1" w:type="dxa"/>
            <w:vAlign w:val="center"/>
          </w:tcPr>
          <w:p w14:paraId="25215908">
            <w:pPr>
              <w:spacing w:line="240" w:lineRule="auto"/>
              <w:ind w:firstLine="0" w:firstLineChars="0"/>
              <w:jc w:val="center"/>
              <w:rPr>
                <w:rFonts w:hint="eastAsia" w:ascii="宋体" w:hAnsi="宋体" w:eastAsia="宋体" w:cs="宋体"/>
                <w:b/>
                <w:color w:val="auto"/>
                <w:highlight w:val="none"/>
                <w:lang w:eastAsia="zh-CN"/>
              </w:rPr>
            </w:pPr>
            <w:bookmarkStart w:id="310" w:name="_Toc10853"/>
            <w:r>
              <w:rPr>
                <w:rFonts w:hint="eastAsia" w:ascii="宋体" w:hAnsi="宋体" w:cs="宋体"/>
                <w:b/>
                <w:color w:val="auto"/>
                <w:highlight w:val="none"/>
                <w:lang w:val="en-US" w:eastAsia="zh-CN"/>
              </w:rPr>
              <w:t>9</w:t>
            </w:r>
          </w:p>
        </w:tc>
        <w:tc>
          <w:tcPr>
            <w:tcW w:w="765" w:type="dxa"/>
            <w:vAlign w:val="center"/>
          </w:tcPr>
          <w:p w14:paraId="74C14770">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增值特色服务</w:t>
            </w:r>
          </w:p>
        </w:tc>
        <w:tc>
          <w:tcPr>
            <w:tcW w:w="6683" w:type="dxa"/>
            <w:vAlign w:val="center"/>
          </w:tcPr>
          <w:p w14:paraId="422A9E7B">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根据投标人承诺提供其他实质性有利于招标人获得更好的承保、理赔、防灾防损等方面增值特色服务的情况综合评分。</w:t>
            </w:r>
          </w:p>
          <w:p w14:paraId="115E86D3">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增值特色服务内容完善、合理、可行性高的得6（不含）-8（含）分；</w:t>
            </w:r>
          </w:p>
          <w:p w14:paraId="70227CC0">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增值特色服务内容基本完善、基本合理、可行性较高的得3（不含）-6（含）分；</w:t>
            </w:r>
          </w:p>
          <w:p w14:paraId="4B2D469F">
            <w:pPr>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增值特色服务内容</w:t>
            </w:r>
            <w:r>
              <w:rPr>
                <w:rFonts w:hint="eastAsia" w:ascii="宋体" w:hAnsi="宋体" w:cs="宋体"/>
                <w:color w:val="auto"/>
                <w:sz w:val="24"/>
                <w:szCs w:val="24"/>
                <w:highlight w:val="none"/>
                <w:lang w:val="en-US" w:eastAsia="zh-CN"/>
              </w:rPr>
              <w:t>简略、可行性不强</w:t>
            </w:r>
            <w:r>
              <w:rPr>
                <w:rFonts w:hint="eastAsia" w:ascii="宋体" w:hAnsi="宋体" w:cs="宋体"/>
                <w:color w:val="auto"/>
                <w:highlight w:val="none"/>
              </w:rPr>
              <w:t>的得</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en-US" w:eastAsia="zh-CN" w:bidi="ar"/>
              </w:rPr>
              <w:t>（不含）</w:t>
            </w:r>
            <w:r>
              <w:rPr>
                <w:rFonts w:hint="eastAsia" w:ascii="宋体" w:hAnsi="宋体" w:cs="宋体"/>
                <w:color w:val="auto"/>
                <w:highlight w:val="none"/>
              </w:rPr>
              <w:t>-3（含）分。</w:t>
            </w:r>
          </w:p>
        </w:tc>
        <w:tc>
          <w:tcPr>
            <w:tcW w:w="1119" w:type="dxa"/>
            <w:vAlign w:val="center"/>
          </w:tcPr>
          <w:p w14:paraId="0BA87FFE">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8</w:t>
            </w:r>
            <w:r>
              <w:rPr>
                <w:rFonts w:hint="eastAsia" w:ascii="宋体" w:hAnsi="宋体" w:cs="宋体"/>
                <w:color w:val="auto"/>
                <w:highlight w:val="none"/>
              </w:rPr>
              <w:t>分</w:t>
            </w:r>
          </w:p>
        </w:tc>
      </w:tr>
      <w:tr w14:paraId="7364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1" w:type="dxa"/>
            <w:vAlign w:val="center"/>
          </w:tcPr>
          <w:p w14:paraId="32D69693">
            <w:pPr>
              <w:spacing w:line="240" w:lineRule="auto"/>
              <w:ind w:firstLine="0" w:firstLineChars="0"/>
              <w:jc w:val="center"/>
              <w:rPr>
                <w:rFonts w:hint="default" w:ascii="宋体" w:hAnsi="宋体" w:eastAsia="宋体" w:cs="宋体"/>
                <w:b/>
                <w:color w:val="auto"/>
                <w:highlight w:val="none"/>
                <w:lang w:val="en-US" w:eastAsia="zh-CN"/>
              </w:rPr>
            </w:pPr>
            <w:r>
              <w:rPr>
                <w:rFonts w:hint="eastAsia" w:ascii="宋体" w:hAnsi="宋体" w:cs="宋体"/>
                <w:b/>
                <w:color w:val="auto"/>
                <w:highlight w:val="none"/>
                <w:lang w:val="en-US" w:eastAsia="zh-CN"/>
              </w:rPr>
              <w:t>10</w:t>
            </w:r>
          </w:p>
        </w:tc>
        <w:tc>
          <w:tcPr>
            <w:tcW w:w="765" w:type="dxa"/>
            <w:vAlign w:val="center"/>
          </w:tcPr>
          <w:p w14:paraId="104B1311">
            <w:pPr>
              <w:spacing w:line="240" w:lineRule="auto"/>
              <w:ind w:firstLine="0" w:firstLineChars="0"/>
              <w:jc w:val="center"/>
              <w:rPr>
                <w:rFonts w:hint="eastAsia" w:ascii="宋体" w:hAnsi="宋体" w:cs="宋体"/>
                <w:color w:val="auto"/>
                <w:highlight w:val="none"/>
              </w:rPr>
            </w:pPr>
            <w:r>
              <w:rPr>
                <w:rFonts w:hint="eastAsia" w:ascii="宋体" w:hAnsi="宋体" w:cs="宋体"/>
                <w:color w:val="auto"/>
                <w:kern w:val="0"/>
                <w:highlight w:val="none"/>
              </w:rPr>
              <w:t>宣传方案</w:t>
            </w:r>
          </w:p>
        </w:tc>
        <w:tc>
          <w:tcPr>
            <w:tcW w:w="6683" w:type="dxa"/>
            <w:vAlign w:val="center"/>
          </w:tcPr>
          <w:p w14:paraId="1579D0CF">
            <w:pPr>
              <w:tabs>
                <w:tab w:val="left" w:pos="2625"/>
              </w:tabs>
              <w:spacing w:line="240" w:lineRule="auto"/>
              <w:ind w:firstLine="0" w:firstLineChars="0"/>
              <w:jc w:val="left"/>
              <w:rPr>
                <w:rFonts w:hint="eastAsia" w:ascii="宋体" w:hAnsi="宋体" w:cs="宋体"/>
                <w:color w:val="auto"/>
                <w:kern w:val="0"/>
                <w:highlight w:val="none"/>
                <w:lang w:eastAsia="zh-CN"/>
              </w:rPr>
            </w:pPr>
            <w:r>
              <w:rPr>
                <w:rFonts w:hint="eastAsia" w:ascii="宋体" w:hAnsi="宋体" w:cs="宋体"/>
                <w:color w:val="auto"/>
                <w:kern w:val="0"/>
                <w:highlight w:val="none"/>
                <w:lang w:eastAsia="zh-CN"/>
              </w:rPr>
              <w:t>保险保障内容的宣传，确保政策的知晓度、落实人员、时间安排等，按提供内容进行</w:t>
            </w:r>
            <w:r>
              <w:rPr>
                <w:rFonts w:hint="eastAsia" w:ascii="宋体" w:hAnsi="宋体" w:cs="宋体"/>
                <w:color w:val="auto"/>
                <w:kern w:val="0"/>
                <w:highlight w:val="none"/>
                <w:lang w:val="en-US" w:eastAsia="zh-CN"/>
              </w:rPr>
              <w:t>综合</w:t>
            </w:r>
            <w:r>
              <w:rPr>
                <w:rFonts w:hint="eastAsia" w:ascii="宋体" w:hAnsi="宋体" w:cs="宋体"/>
                <w:color w:val="auto"/>
                <w:kern w:val="0"/>
                <w:highlight w:val="none"/>
                <w:lang w:eastAsia="zh-CN"/>
              </w:rPr>
              <w:t>评分：</w:t>
            </w:r>
          </w:p>
          <w:p w14:paraId="3B1A36A1">
            <w:pPr>
              <w:spacing w:line="240" w:lineRule="auto"/>
              <w:ind w:firstLine="0" w:firstLineChars="0"/>
              <w:jc w:val="left"/>
              <w:rPr>
                <w:rFonts w:hint="eastAsia" w:ascii="宋体" w:hAnsi="宋体" w:cs="宋体"/>
                <w:color w:val="auto"/>
                <w:highlight w:val="none"/>
              </w:rPr>
            </w:pPr>
            <w:r>
              <w:rPr>
                <w:rFonts w:hint="eastAsia" w:ascii="宋体" w:hAnsi="宋体" w:cs="宋体"/>
                <w:color w:val="auto"/>
                <w:kern w:val="0"/>
                <w:highlight w:val="none"/>
                <w:lang w:eastAsia="zh-CN"/>
              </w:rPr>
              <w:t>内容科学合理、可实施性强的得</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en-US" w:eastAsia="zh-CN" w:bidi="ar"/>
              </w:rPr>
              <w:t>（不含）</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en-US" w:eastAsia="zh-CN" w:bidi="ar"/>
              </w:rPr>
              <w:t>（含）</w:t>
            </w:r>
            <w:r>
              <w:rPr>
                <w:rFonts w:hint="eastAsia" w:ascii="宋体" w:hAnsi="宋体" w:cs="宋体"/>
                <w:color w:val="auto"/>
                <w:kern w:val="0"/>
                <w:highlight w:val="none"/>
                <w:lang w:eastAsia="zh-CN"/>
              </w:rPr>
              <w:t>分；内容科学性、合理性、针对性一般的得</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en-US" w:eastAsia="zh-CN" w:bidi="ar"/>
              </w:rPr>
              <w:t>（不含）</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en-US" w:eastAsia="zh-CN" w:bidi="ar"/>
              </w:rPr>
              <w:t>（含）</w:t>
            </w:r>
            <w:r>
              <w:rPr>
                <w:rFonts w:hint="eastAsia" w:ascii="宋体" w:hAnsi="宋体" w:cs="宋体"/>
                <w:color w:val="auto"/>
                <w:kern w:val="0"/>
                <w:highlight w:val="none"/>
                <w:lang w:eastAsia="zh-CN"/>
              </w:rPr>
              <w:t>分，内容基本提及的得</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val="en-US" w:eastAsia="zh-CN" w:bidi="ar"/>
              </w:rPr>
              <w:t>（不含）</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en-US" w:eastAsia="zh-CN" w:bidi="ar"/>
              </w:rPr>
              <w:t>（含）</w:t>
            </w:r>
            <w:r>
              <w:rPr>
                <w:rFonts w:hint="eastAsia" w:ascii="宋体" w:hAnsi="宋体" w:cs="宋体"/>
                <w:color w:val="auto"/>
                <w:kern w:val="0"/>
                <w:highlight w:val="none"/>
                <w:lang w:eastAsia="zh-CN"/>
              </w:rPr>
              <w:t>分。</w:t>
            </w:r>
          </w:p>
        </w:tc>
        <w:tc>
          <w:tcPr>
            <w:tcW w:w="1119" w:type="dxa"/>
            <w:vAlign w:val="center"/>
          </w:tcPr>
          <w:p w14:paraId="451AB915">
            <w:pPr>
              <w:spacing w:line="240"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0-</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bl>
    <w:p w14:paraId="47558A4D">
      <w:pPr>
        <w:pStyle w:val="5"/>
        <w:spacing w:before="0" w:beforeLines="0" w:after="0" w:afterLines="0" w:line="360" w:lineRule="auto"/>
        <w:ind w:firstLine="482"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五、开评标程序</w:t>
      </w:r>
      <w:bookmarkEnd w:id="294"/>
      <w:bookmarkEnd w:id="310"/>
    </w:p>
    <w:p w14:paraId="52B51BFA">
      <w:pPr>
        <w:adjustRightInd w:val="0"/>
        <w:snapToGrid w:val="0"/>
        <w:spacing w:line="360" w:lineRule="auto"/>
        <w:ind w:firstLine="480"/>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.主持人宣布投标截止时间，截止时间以国家授时中心标准时间为准，宣布招标会议开始。</w:t>
      </w:r>
    </w:p>
    <w:p w14:paraId="619F92AE">
      <w:pPr>
        <w:adjustRightInd w:val="0"/>
        <w:snapToGrid w:val="0"/>
        <w:spacing w:line="360" w:lineRule="auto"/>
        <w:ind w:firstLine="480"/>
        <w:rPr>
          <w:rFonts w:hint="eastAsia" w:ascii="宋体" w:hAnsi="宋体"/>
          <w:color w:val="auto"/>
          <w:highlight w:val="none"/>
        </w:rPr>
      </w:pPr>
      <w:r>
        <w:rPr>
          <w:rFonts w:hint="eastAsia" w:ascii="宋体" w:hAnsi="宋体"/>
          <w:color w:val="auto"/>
          <w:highlight w:val="none"/>
        </w:rPr>
        <w:t>2</w:t>
      </w:r>
      <w:r>
        <w:rPr>
          <w:rFonts w:ascii="宋体" w:hAnsi="宋体"/>
          <w:color w:val="auto"/>
          <w:highlight w:val="none"/>
        </w:rPr>
        <w:t>.采购代理机构向各投标供应商发加密投标文件“开始解密”通知，由供应商按采购文件规定的时间内自行进行投标文件解密。</w:t>
      </w:r>
    </w:p>
    <w:p w14:paraId="71262DC4">
      <w:pPr>
        <w:adjustRightInd w:val="0"/>
        <w:snapToGrid w:val="0"/>
        <w:spacing w:line="360" w:lineRule="auto"/>
        <w:ind w:firstLine="48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.投标文件解密结束，开启投标文件，进入资格审查，开启资格审查证明文件、</w:t>
      </w:r>
      <w:r>
        <w:rPr>
          <w:rFonts w:hint="eastAsia" w:ascii="宋体" w:hAnsi="宋体"/>
          <w:color w:val="auto"/>
          <w:highlight w:val="none"/>
        </w:rPr>
        <w:t>资信技术</w:t>
      </w:r>
      <w:r>
        <w:rPr>
          <w:rFonts w:ascii="宋体" w:hAnsi="宋体"/>
          <w:color w:val="auto"/>
          <w:highlight w:val="none"/>
        </w:rPr>
        <w:t>文件。评标委员会根据评审原则和评审办法，对各投标人的</w:t>
      </w:r>
      <w:r>
        <w:rPr>
          <w:rFonts w:hint="eastAsia" w:ascii="宋体" w:hAnsi="宋体"/>
          <w:color w:val="auto"/>
          <w:highlight w:val="none"/>
        </w:rPr>
        <w:t>资信技术</w:t>
      </w:r>
      <w:r>
        <w:rPr>
          <w:rFonts w:ascii="宋体" w:hAnsi="宋体"/>
          <w:color w:val="auto"/>
          <w:highlight w:val="none"/>
        </w:rPr>
        <w:t>文件进行符合性评审和综合打分评审，其中</w:t>
      </w:r>
      <w:r>
        <w:rPr>
          <w:rFonts w:hint="eastAsia" w:ascii="宋体" w:hAnsi="宋体"/>
          <w:color w:val="auto"/>
          <w:highlight w:val="none"/>
        </w:rPr>
        <w:t>资信技术</w:t>
      </w:r>
      <w:r>
        <w:rPr>
          <w:rFonts w:ascii="宋体" w:hAnsi="宋体"/>
          <w:color w:val="auto"/>
          <w:highlight w:val="none"/>
        </w:rPr>
        <w:t>文件符合性评审不合格的投标文件做无效标处理，不再进入报价文件评审。</w:t>
      </w:r>
    </w:p>
    <w:p w14:paraId="7AE1AD47">
      <w:pPr>
        <w:adjustRightInd w:val="0"/>
        <w:snapToGrid w:val="0"/>
        <w:spacing w:line="360" w:lineRule="auto"/>
        <w:ind w:firstLine="480"/>
        <w:rPr>
          <w:rFonts w:hint="eastAsia" w:ascii="宋体" w:hAnsi="宋体"/>
          <w:color w:val="auto"/>
          <w:highlight w:val="none"/>
        </w:rPr>
      </w:pPr>
      <w:r>
        <w:rPr>
          <w:rFonts w:hint="eastAsia" w:ascii="宋体" w:hAnsi="宋体"/>
          <w:color w:val="auto"/>
          <w:highlight w:val="none"/>
        </w:rPr>
        <w:t>4.</w:t>
      </w:r>
      <w:r>
        <w:rPr>
          <w:rFonts w:ascii="宋体" w:hAnsi="宋体"/>
          <w:color w:val="auto"/>
          <w:highlight w:val="none"/>
        </w:rPr>
        <w:t>开启符合性审查、</w:t>
      </w:r>
      <w:r>
        <w:rPr>
          <w:rFonts w:hint="eastAsia" w:ascii="宋体" w:hAnsi="宋体"/>
          <w:color w:val="auto"/>
          <w:highlight w:val="none"/>
        </w:rPr>
        <w:t>资信技术</w:t>
      </w:r>
      <w:r>
        <w:rPr>
          <w:rFonts w:ascii="宋体" w:hAnsi="宋体"/>
          <w:color w:val="auto"/>
          <w:highlight w:val="none"/>
        </w:rPr>
        <w:t>评审有效投标供应商的报价文件。</w:t>
      </w:r>
    </w:p>
    <w:p w14:paraId="221AB180">
      <w:pPr>
        <w:adjustRightInd w:val="0"/>
        <w:snapToGrid w:val="0"/>
        <w:spacing w:line="360" w:lineRule="auto"/>
        <w:ind w:firstLine="480"/>
        <w:rPr>
          <w:rFonts w:hint="eastAsia" w:ascii="宋体" w:hAnsi="宋体"/>
          <w:color w:val="auto"/>
          <w:highlight w:val="none"/>
        </w:rPr>
      </w:pPr>
      <w:r>
        <w:rPr>
          <w:rFonts w:hint="eastAsia" w:ascii="宋体" w:hAnsi="宋体"/>
          <w:color w:val="auto"/>
          <w:highlight w:val="none"/>
        </w:rPr>
        <w:t>5.</w:t>
      </w:r>
      <w:r>
        <w:rPr>
          <w:rFonts w:ascii="宋体" w:hAnsi="宋体"/>
          <w:color w:val="auto"/>
          <w:highlight w:val="none"/>
        </w:rPr>
        <w:t>最后计算出各投标人商务得分，</w:t>
      </w:r>
      <w:r>
        <w:rPr>
          <w:rFonts w:hint="eastAsia" w:ascii="宋体" w:hAnsi="宋体"/>
          <w:color w:val="auto"/>
          <w:highlight w:val="none"/>
        </w:rPr>
        <w:t>在系统上公布评审结果。</w:t>
      </w:r>
    </w:p>
    <w:p w14:paraId="638CC2E5">
      <w:pPr>
        <w:adjustRightInd w:val="0"/>
        <w:snapToGrid w:val="0"/>
        <w:spacing w:line="360" w:lineRule="auto"/>
        <w:ind w:firstLine="480"/>
        <w:rPr>
          <w:rFonts w:hint="eastAsia" w:ascii="宋体" w:hAnsi="宋体"/>
          <w:color w:val="auto"/>
          <w:highlight w:val="none"/>
        </w:rPr>
        <w:sectPr>
          <w:pgSz w:w="11906" w:h="16838"/>
          <w:pgMar w:top="1440" w:right="1803" w:bottom="1440" w:left="1803" w:header="850" w:footer="992" w:gutter="0"/>
          <w:cols w:space="720" w:num="1"/>
          <w:docGrid w:type="lines" w:linePitch="312" w:charSpace="0"/>
        </w:sectPr>
      </w:pPr>
      <w:r>
        <w:rPr>
          <w:rFonts w:hint="eastAsia" w:ascii="宋体" w:hAnsi="宋体"/>
          <w:color w:val="auto"/>
          <w:highlight w:val="none"/>
        </w:rPr>
        <w:t>6</w:t>
      </w:r>
      <w:r>
        <w:rPr>
          <w:rFonts w:ascii="宋体" w:hAnsi="宋体"/>
          <w:color w:val="auto"/>
          <w:highlight w:val="none"/>
        </w:rPr>
        <w:t>.开标会结束。</w:t>
      </w:r>
    </w:p>
    <w:bookmarkEnd w:id="295"/>
    <w:bookmarkEnd w:id="296"/>
    <w:bookmarkEnd w:id="297"/>
    <w:bookmarkEnd w:id="298"/>
    <w:bookmarkEnd w:id="299"/>
    <w:bookmarkEnd w:id="300"/>
    <w:bookmarkEnd w:id="301"/>
    <w:bookmarkEnd w:id="302"/>
    <w:bookmarkEnd w:id="303"/>
    <w:bookmarkEnd w:id="304"/>
    <w:bookmarkEnd w:id="305"/>
    <w:bookmarkEnd w:id="306"/>
    <w:bookmarkEnd w:id="307"/>
    <w:p w14:paraId="54619F86">
      <w:pPr>
        <w:pStyle w:val="4"/>
        <w:numPr>
          <w:ilvl w:val="0"/>
          <w:numId w:val="1"/>
        </w:numPr>
        <w:spacing w:before="312" w:after="312"/>
        <w:ind w:left="0"/>
        <w:rPr>
          <w:color w:val="auto"/>
          <w:sz w:val="36"/>
          <w:szCs w:val="36"/>
          <w:highlight w:val="none"/>
        </w:rPr>
      </w:pPr>
      <w:bookmarkStart w:id="311" w:name="_Toc24716"/>
      <w:bookmarkStart w:id="312" w:name="_Toc3956"/>
      <w:bookmarkStart w:id="313" w:name="_Toc3375"/>
      <w:bookmarkStart w:id="314" w:name="_Toc25656"/>
      <w:bookmarkStart w:id="315" w:name="_Toc16056"/>
      <w:bookmarkStart w:id="316" w:name="_Toc9609"/>
      <w:bookmarkStart w:id="317" w:name="_Toc5124"/>
      <w:bookmarkStart w:id="318" w:name="_Toc10670"/>
      <w:bookmarkStart w:id="319" w:name="_Toc15295"/>
      <w:bookmarkStart w:id="320" w:name="_Toc8888"/>
      <w:bookmarkStart w:id="321" w:name="_Toc26456"/>
      <w:r>
        <w:rPr>
          <w:rStyle w:val="33"/>
          <w:rFonts w:hint="eastAsia"/>
          <w:b/>
          <w:color w:val="auto"/>
          <w:highlight w:val="none"/>
        </w:rPr>
        <w:t>合同主要条款</w:t>
      </w:r>
      <w:bookmarkEnd w:id="311"/>
      <w:bookmarkEnd w:id="312"/>
    </w:p>
    <w:p w14:paraId="34A49023">
      <w:pPr>
        <w:adjustRightInd w:val="0"/>
        <w:snapToGrid w:val="0"/>
        <w:spacing w:line="360" w:lineRule="auto"/>
        <w:ind w:firstLine="480"/>
        <w:jc w:val="center"/>
        <w:rPr>
          <w:rFonts w:hint="eastAsia" w:ascii="宋体" w:hAnsi="宋体" w:cs="宋体"/>
          <w:color w:val="auto"/>
          <w:highlight w:val="none"/>
          <w:lang w:val="zh-CN"/>
        </w:rPr>
      </w:pPr>
      <w:bookmarkStart w:id="322" w:name="_Toc4612"/>
      <w:bookmarkStart w:id="323" w:name="_Toc11101"/>
      <w:bookmarkStart w:id="324" w:name="_Toc361434468"/>
      <w:bookmarkStart w:id="325" w:name="_Toc361434567"/>
      <w:bookmarkStart w:id="326" w:name="_Toc11189"/>
      <w:r>
        <w:rPr>
          <w:rFonts w:hint="eastAsia" w:ascii="宋体" w:hAnsi="宋体" w:cs="宋体"/>
          <w:color w:val="auto"/>
          <w:highlight w:val="none"/>
          <w:lang w:val="zh-CN"/>
        </w:rPr>
        <w:t>本合同签订后须上网公示。甲乙双方按以下要求签订，如中成交文件有更优条款则按更优条款执行。</w:t>
      </w:r>
      <w:bookmarkEnd w:id="322"/>
      <w:bookmarkEnd w:id="323"/>
    </w:p>
    <w:bookmarkEnd w:id="324"/>
    <w:bookmarkEnd w:id="325"/>
    <w:p w14:paraId="21DBAC35">
      <w:pPr>
        <w:adjustRightInd w:val="0"/>
        <w:snapToGrid w:val="0"/>
        <w:spacing w:line="360" w:lineRule="auto"/>
        <w:ind w:firstLine="480"/>
        <w:jc w:val="center"/>
        <w:rPr>
          <w:rFonts w:hint="eastAsia" w:ascii="宋体" w:hAnsi="宋体" w:cs="宋体"/>
          <w:color w:val="auto"/>
          <w:highlight w:val="none"/>
        </w:rPr>
      </w:pPr>
      <w:bookmarkStart w:id="327" w:name="_Toc10640"/>
      <w:r>
        <w:rPr>
          <w:rFonts w:hint="eastAsia" w:ascii="宋体" w:hAnsi="宋体" w:cs="宋体"/>
          <w:color w:val="auto"/>
          <w:highlight w:val="none"/>
        </w:rPr>
        <w:t>浙江省政府采购合同指引（服务）</w:t>
      </w:r>
      <w:bookmarkEnd w:id="327"/>
    </w:p>
    <w:p w14:paraId="53307B92">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lang w:val="zh-CN"/>
        </w:rPr>
        <w:t>项目名称：</w:t>
      </w:r>
    </w:p>
    <w:p w14:paraId="65EBCFFA">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项目编号：</w:t>
      </w:r>
    </w:p>
    <w:p w14:paraId="772E39D3">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需方：</w:t>
      </w:r>
      <w:r>
        <w:rPr>
          <w:rFonts w:hint="eastAsia" w:ascii="宋体" w:hAnsi="宋体" w:cs="宋体"/>
          <w:color w:val="auto"/>
          <w:highlight w:val="none"/>
        </w:rPr>
        <w:t xml:space="preserve">                     </w:t>
      </w:r>
      <w:r>
        <w:rPr>
          <w:rFonts w:hint="eastAsia" w:ascii="宋体" w:hAnsi="宋体" w:cs="宋体"/>
          <w:color w:val="auto"/>
          <w:highlight w:val="none"/>
          <w:lang w:val="zh-CN"/>
        </w:rPr>
        <w:t xml:space="preserve">          （以下简称甲方）</w:t>
      </w:r>
    </w:p>
    <w:p w14:paraId="15EC43F4">
      <w:pPr>
        <w:adjustRightInd w:val="0"/>
        <w:snapToGrid w:val="0"/>
        <w:spacing w:line="360" w:lineRule="auto"/>
        <w:ind w:firstLine="480"/>
        <w:rPr>
          <w:rFonts w:hint="eastAsia" w:ascii="宋体" w:hAnsi="宋体" w:cs="宋体"/>
          <w:color w:val="auto"/>
          <w:highlight w:val="none"/>
          <w:lang w:val="zh-CN"/>
        </w:rPr>
      </w:pPr>
      <w:r>
        <w:rPr>
          <w:rFonts w:hint="eastAsia" w:ascii="宋体" w:hAnsi="宋体" w:cs="宋体"/>
          <w:color w:val="auto"/>
          <w:highlight w:val="none"/>
          <w:lang w:val="zh-CN"/>
        </w:rPr>
        <w:t>供方：                               （以下简称乙方）</w:t>
      </w:r>
    </w:p>
    <w:p w14:paraId="1FBCC556">
      <w:pPr>
        <w:adjustRightInd w:val="0"/>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甲、乙双方根据   年  月  日  时  分进行</w:t>
      </w:r>
      <w:r>
        <w:rPr>
          <w:rFonts w:hint="eastAsia" w:ascii="宋体" w:hAnsi="宋体" w:cs="宋体"/>
          <w:color w:val="auto"/>
          <w:highlight w:val="none"/>
          <w:lang w:val="zh-CN"/>
        </w:rPr>
        <w:t>的</w:t>
      </w:r>
      <w:r>
        <w:rPr>
          <w:rFonts w:hint="eastAsia" w:ascii="宋体" w:hAnsi="宋体" w:cs="宋体"/>
          <w:color w:val="auto"/>
          <w:highlight w:val="none"/>
          <w:lang w:eastAsia="zh-CN"/>
        </w:rPr>
        <w:t>2025年柯城区政策性农村住房保险及附加室内家财保险项目</w:t>
      </w:r>
      <w:r>
        <w:rPr>
          <w:rFonts w:hint="eastAsia" w:ascii="宋体" w:hAnsi="宋体" w:cs="宋体"/>
          <w:color w:val="auto"/>
          <w:highlight w:val="none"/>
        </w:rPr>
        <w:t>的招标结果，签署本合同。</w:t>
      </w:r>
    </w:p>
    <w:p w14:paraId="32156525">
      <w:pPr>
        <w:snapToGrid w:val="0"/>
        <w:spacing w:line="360" w:lineRule="auto"/>
        <w:ind w:firstLine="482"/>
        <w:outlineLvl w:val="1"/>
        <w:rPr>
          <w:rFonts w:hint="eastAsia" w:ascii="宋体" w:hAnsi="宋体" w:cs="宋体"/>
          <w:color w:val="auto"/>
          <w:highlight w:val="none"/>
        </w:rPr>
      </w:pPr>
      <w:bookmarkStart w:id="328" w:name="_Toc18185"/>
      <w:bookmarkStart w:id="329" w:name="_Toc19920"/>
      <w:bookmarkStart w:id="330" w:name="_Toc22790"/>
      <w:r>
        <w:rPr>
          <w:rFonts w:hint="eastAsia" w:ascii="宋体" w:hAnsi="宋体" w:cs="宋体"/>
          <w:b/>
          <w:bCs/>
          <w:color w:val="auto"/>
          <w:highlight w:val="none"/>
        </w:rPr>
        <w:t xml:space="preserve">第一条  </w:t>
      </w:r>
      <w:bookmarkEnd w:id="328"/>
      <w:bookmarkEnd w:id="329"/>
      <w:bookmarkEnd w:id="330"/>
      <w:r>
        <w:rPr>
          <w:rFonts w:hint="eastAsia" w:ascii="宋体" w:hAnsi="宋体" w:cs="宋体"/>
          <w:b/>
          <w:bCs/>
          <w:color w:val="auto"/>
          <w:highlight w:val="none"/>
        </w:rPr>
        <w:t>保险险种细则及合同单价</w:t>
      </w:r>
    </w:p>
    <w:tbl>
      <w:tblPr>
        <w:tblStyle w:val="19"/>
        <w:tblW w:w="8963"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886"/>
        <w:gridCol w:w="4350"/>
        <w:gridCol w:w="1323"/>
        <w:gridCol w:w="1217"/>
      </w:tblGrid>
      <w:tr w14:paraId="158F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87" w:type="dxa"/>
            <w:vAlign w:val="center"/>
          </w:tcPr>
          <w:p w14:paraId="48F0CF76">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保险险种</w:t>
            </w:r>
          </w:p>
        </w:tc>
        <w:tc>
          <w:tcPr>
            <w:tcW w:w="886" w:type="dxa"/>
            <w:vAlign w:val="center"/>
          </w:tcPr>
          <w:p w14:paraId="598E30D9">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保险金额</w:t>
            </w:r>
          </w:p>
        </w:tc>
        <w:tc>
          <w:tcPr>
            <w:tcW w:w="4350" w:type="dxa"/>
            <w:vAlign w:val="center"/>
          </w:tcPr>
          <w:p w14:paraId="6BB2232E">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保险利益</w:t>
            </w:r>
          </w:p>
        </w:tc>
        <w:tc>
          <w:tcPr>
            <w:tcW w:w="1323" w:type="dxa"/>
            <w:vAlign w:val="center"/>
          </w:tcPr>
          <w:p w14:paraId="41E36397">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保险期限</w:t>
            </w:r>
          </w:p>
        </w:tc>
        <w:tc>
          <w:tcPr>
            <w:tcW w:w="1217" w:type="dxa"/>
            <w:vAlign w:val="center"/>
          </w:tcPr>
          <w:p w14:paraId="6F4D27CB">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中价单价</w:t>
            </w:r>
          </w:p>
        </w:tc>
      </w:tr>
      <w:tr w14:paraId="442A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7" w:hRule="atLeast"/>
        </w:trPr>
        <w:tc>
          <w:tcPr>
            <w:tcW w:w="1187" w:type="dxa"/>
            <w:vAlign w:val="center"/>
          </w:tcPr>
          <w:p w14:paraId="548E8E2F">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政策性农村住房保险</w:t>
            </w:r>
          </w:p>
        </w:tc>
        <w:tc>
          <w:tcPr>
            <w:tcW w:w="886" w:type="dxa"/>
            <w:vAlign w:val="center"/>
          </w:tcPr>
          <w:p w14:paraId="3C9A5B56">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0000</w:t>
            </w:r>
            <w:r>
              <w:rPr>
                <w:rFonts w:hint="eastAsia" w:ascii="宋体" w:hAnsi="宋体" w:eastAsia="宋体" w:cs="宋体"/>
                <w:color w:val="auto"/>
                <w:highlight w:val="none"/>
              </w:rPr>
              <w:t>元/户</w:t>
            </w:r>
          </w:p>
        </w:tc>
        <w:tc>
          <w:tcPr>
            <w:tcW w:w="4350" w:type="dxa"/>
            <w:vAlign w:val="center"/>
          </w:tcPr>
          <w:p w14:paraId="07A4A16E">
            <w:pPr>
              <w:pStyle w:val="28"/>
              <w:ind w:firstLine="0" w:firstLineChars="0"/>
              <w:jc w:val="left"/>
              <w:rPr>
                <w:rFonts w:hint="eastAsia" w:ascii="宋体" w:hAnsi="宋体" w:eastAsia="宋体" w:cs="宋体"/>
                <w:color w:val="auto"/>
                <w:highlight w:val="none"/>
              </w:rPr>
            </w:pPr>
            <w:r>
              <w:rPr>
                <w:rFonts w:hint="eastAsia" w:ascii="宋体" w:hAnsi="宋体" w:eastAsia="宋体" w:cs="宋体"/>
                <w:color w:val="000000" w:themeColor="text1"/>
                <w:highlight w:val="none"/>
                <w14:textFill>
                  <w14:solidFill>
                    <w14:schemeClr w14:val="tx1"/>
                  </w14:solidFill>
                </w14:textFill>
              </w:rPr>
              <w:t>房屋倒塌(I-Ш及)分别按3000/6000/12000赔偿，每间房最高赔偿12000元，每户房屋最高赔偿60000元</w:t>
            </w:r>
          </w:p>
        </w:tc>
        <w:tc>
          <w:tcPr>
            <w:tcW w:w="1323" w:type="dxa"/>
            <w:vMerge w:val="restart"/>
            <w:vAlign w:val="center"/>
          </w:tcPr>
          <w:p w14:paraId="0B80FE8C">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一年（2025年1月1日至2025年12月31日）</w:t>
            </w:r>
          </w:p>
        </w:tc>
        <w:tc>
          <w:tcPr>
            <w:tcW w:w="1217" w:type="dxa"/>
            <w:vAlign w:val="center"/>
          </w:tcPr>
          <w:p w14:paraId="0D8CFBC8">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元/户</w:t>
            </w:r>
          </w:p>
        </w:tc>
      </w:tr>
      <w:tr w14:paraId="672E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0" w:hRule="atLeast"/>
        </w:trPr>
        <w:tc>
          <w:tcPr>
            <w:tcW w:w="1187" w:type="dxa"/>
            <w:vAlign w:val="center"/>
          </w:tcPr>
          <w:p w14:paraId="2FA38888">
            <w:pPr>
              <w:pStyle w:val="28"/>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政策性农村住房保险附加室内家财险</w:t>
            </w:r>
          </w:p>
        </w:tc>
        <w:tc>
          <w:tcPr>
            <w:tcW w:w="886" w:type="dxa"/>
            <w:vAlign w:val="center"/>
          </w:tcPr>
          <w:p w14:paraId="5A028782">
            <w:pPr>
              <w:pStyle w:val="28"/>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18000</w:t>
            </w:r>
            <w:r>
              <w:rPr>
                <w:rFonts w:hint="eastAsia" w:ascii="宋体" w:hAnsi="宋体" w:eastAsia="宋体" w:cs="宋体"/>
                <w:color w:val="000000" w:themeColor="text1"/>
                <w:highlight w:val="none"/>
                <w14:textFill>
                  <w14:solidFill>
                    <w14:schemeClr w14:val="tx1"/>
                  </w14:solidFill>
                </w14:textFill>
              </w:rPr>
              <w:t>元/户</w:t>
            </w:r>
          </w:p>
        </w:tc>
        <w:tc>
          <w:tcPr>
            <w:tcW w:w="4350" w:type="dxa"/>
            <w:vAlign w:val="center"/>
          </w:tcPr>
          <w:p w14:paraId="3B8F951C">
            <w:pPr>
              <w:pStyle w:val="28"/>
              <w:ind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室内财产每户总保额18000元，其中:家用电器及文体娱乐用品赔偿限额为7000元</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家具、衣物、床上用品及其他生活用具赔偿限额为7000元</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存放于室内粮食及农副品(鲜活物品除外)赔偿限额为4000元。</w:t>
            </w:r>
            <w:r>
              <w:rPr>
                <w:rFonts w:hint="eastAsia" w:ascii="宋体" w:hAnsi="宋体" w:eastAsia="宋体" w:cs="宋体"/>
                <w:color w:val="000000" w:themeColor="text1"/>
                <w:highlight w:val="none"/>
                <w:lang w:eastAsia="zh-CN"/>
                <w14:textFill>
                  <w14:solidFill>
                    <w14:schemeClr w14:val="tx1"/>
                  </w14:solidFill>
                </w14:textFill>
              </w:rPr>
              <w:t>根据财产原始价值、折旧以及损失程度等情况，最终结合实际价值做估值赔偿</w:t>
            </w:r>
          </w:p>
        </w:tc>
        <w:tc>
          <w:tcPr>
            <w:tcW w:w="1323" w:type="dxa"/>
            <w:vMerge w:val="continue"/>
            <w:vAlign w:val="center"/>
          </w:tcPr>
          <w:p w14:paraId="7A517B5C">
            <w:pPr>
              <w:pStyle w:val="28"/>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p>
        </w:tc>
        <w:tc>
          <w:tcPr>
            <w:tcW w:w="1217" w:type="dxa"/>
            <w:vAlign w:val="center"/>
          </w:tcPr>
          <w:p w14:paraId="2CD9649A">
            <w:pPr>
              <w:pStyle w:val="28"/>
              <w:spacing w:line="240" w:lineRule="auto"/>
              <w:ind w:firstLine="0" w:firstLineChars="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元/户</w:t>
            </w:r>
          </w:p>
        </w:tc>
      </w:tr>
    </w:tbl>
    <w:p w14:paraId="70D75BDD">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000000" w:themeColor="text1"/>
          <w:highlight w:val="none"/>
          <w14:textFill>
            <w14:solidFill>
              <w14:schemeClr w14:val="tx1"/>
            </w14:solidFill>
          </w14:textFill>
        </w:rPr>
      </w:pPr>
      <w:bookmarkStart w:id="331" w:name="_Toc2445"/>
      <w:bookmarkStart w:id="332" w:name="_Toc654"/>
      <w:bookmarkStart w:id="333" w:name="_Toc17583"/>
      <w:bookmarkStart w:id="334" w:name="_Toc6833"/>
      <w:r>
        <w:rPr>
          <w:rFonts w:hint="eastAsia" w:ascii="宋体" w:hAnsi="宋体" w:cs="宋体"/>
          <w:b/>
          <w:bCs/>
          <w:color w:val="000000" w:themeColor="text1"/>
          <w:highlight w:val="none"/>
          <w14:textFill>
            <w14:solidFill>
              <w14:schemeClr w14:val="tx1"/>
            </w14:solidFill>
          </w14:textFill>
        </w:rPr>
        <w:t>政策性农村住房保险</w:t>
      </w:r>
      <w:r>
        <w:rPr>
          <w:rFonts w:hint="eastAsia" w:ascii="宋体" w:hAnsi="宋体" w:cs="宋体"/>
          <w:b/>
          <w:bCs/>
          <w:color w:val="auto"/>
          <w:highlight w:val="none"/>
        </w:rPr>
        <w:t>保费标准</w:t>
      </w:r>
      <w:r>
        <w:rPr>
          <w:rFonts w:hint="eastAsia" w:ascii="宋体" w:hAnsi="宋体" w:cs="宋体"/>
          <w:color w:val="000000" w:themeColor="text1"/>
          <w:highlight w:val="none"/>
          <w14:textFill>
            <w14:solidFill>
              <w14:schemeClr w14:val="tx1"/>
            </w14:solidFill>
          </w14:textFill>
        </w:rPr>
        <w:t>：非低保用户政府出资70%（9.5元/户：政府出资6.65元，用户个人出资2.85元）。低保用户政府出资100%（按9.5元/户计)。</w:t>
      </w:r>
    </w:p>
    <w:p w14:paraId="2ACD4CAA">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政策性农村住房保险附加室内家财险</w:t>
      </w:r>
      <w:r>
        <w:rPr>
          <w:rFonts w:hint="eastAsia" w:ascii="宋体" w:hAnsi="宋体" w:cs="宋体"/>
          <w:b/>
          <w:bCs/>
          <w:color w:val="auto"/>
          <w:highlight w:val="none"/>
        </w:rPr>
        <w:t>保费标准</w:t>
      </w:r>
      <w:r>
        <w:rPr>
          <w:rFonts w:hint="eastAsia" w:ascii="宋体" w:hAnsi="宋体" w:cs="宋体"/>
          <w:color w:val="000000" w:themeColor="text1"/>
          <w:highlight w:val="none"/>
          <w14:textFill>
            <w14:solidFill>
              <w14:schemeClr w14:val="tx1"/>
            </w14:solidFill>
          </w14:textFill>
        </w:rPr>
        <w:t>：非低保用户政府出资</w:t>
      </w: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0%（9.5元/户：政府出资4.75元，用户个人出资4.75元）。低保用户政府出资100%（按9.5元/户计)。</w:t>
      </w:r>
    </w:p>
    <w:p w14:paraId="71B14A94">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000000" w:themeColor="text1"/>
          <w:highlight w:val="none"/>
          <w:lang w:val="en-US"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第二条  合同期限</w:t>
      </w:r>
    </w:p>
    <w:p w14:paraId="326B0DB3">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auto"/>
          <w:highlight w:val="none"/>
          <w:lang w:val="en-US" w:eastAsia="zh-CN"/>
        </w:rPr>
        <w:t>一年</w:t>
      </w:r>
      <w:r>
        <w:rPr>
          <w:rFonts w:hint="eastAsia" w:ascii="宋体" w:hAnsi="宋体" w:cs="宋体"/>
          <w:color w:val="auto"/>
          <w:highlight w:val="none"/>
        </w:rPr>
        <w:t>。</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auto"/>
          <w:highlight w:val="none"/>
          <w:lang w:val="en-US" w:eastAsia="zh-CN"/>
        </w:rPr>
        <w:t>2025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auto"/>
          <w:highlight w:val="none"/>
          <w:lang w:val="en-US" w:eastAsia="zh-CN"/>
        </w:rPr>
        <w:t>1</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日至</w:t>
      </w:r>
      <w:r>
        <w:rPr>
          <w:rFonts w:hint="eastAsia" w:ascii="宋体" w:hAnsi="宋体" w:cs="宋体"/>
          <w:color w:val="auto"/>
          <w:highlight w:val="none"/>
          <w:lang w:val="en-US" w:eastAsia="zh-CN"/>
        </w:rPr>
        <w:t>2025</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auto"/>
          <w:highlight w:val="none"/>
          <w:lang w:val="en-US" w:eastAsia="zh-CN"/>
        </w:rPr>
        <w:t>12</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auto"/>
          <w:highlight w:val="none"/>
          <w:lang w:val="en-US" w:eastAsia="zh-CN"/>
        </w:rPr>
        <w:t>31</w:t>
      </w:r>
      <w:r>
        <w:rPr>
          <w:rFonts w:hint="eastAsia" w:ascii="宋体" w:hAnsi="宋体" w:cs="宋体"/>
          <w:color w:val="000000" w:themeColor="text1"/>
          <w:highlight w:val="none"/>
          <w14:textFill>
            <w14:solidFill>
              <w14:schemeClr w14:val="tx1"/>
            </w14:solidFill>
          </w14:textFill>
        </w:rPr>
        <w:t>日</w:t>
      </w:r>
      <w:r>
        <w:rPr>
          <w:rFonts w:hint="eastAsia" w:ascii="宋体" w:hAnsi="宋体" w:cs="宋体"/>
          <w:color w:val="000000" w:themeColor="text1"/>
          <w:highlight w:val="none"/>
          <w:lang w:eastAsia="zh-CN"/>
          <w14:textFill>
            <w14:solidFill>
              <w14:schemeClr w14:val="tx1"/>
            </w14:solidFill>
          </w14:textFill>
        </w:rPr>
        <w:t>。</w:t>
      </w:r>
    </w:p>
    <w:p w14:paraId="5FE4675D">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第</w:t>
      </w:r>
      <w:r>
        <w:rPr>
          <w:rFonts w:hint="eastAsia" w:ascii="宋体" w:hAnsi="宋体" w:cs="宋体"/>
          <w:b/>
          <w:bCs/>
          <w:color w:val="000000" w:themeColor="text1"/>
          <w:highlight w:val="none"/>
          <w:lang w:val="en-US" w:eastAsia="zh-CN"/>
          <w14:textFill>
            <w14:solidFill>
              <w14:schemeClr w14:val="tx1"/>
            </w14:solidFill>
          </w14:textFill>
        </w:rPr>
        <w:t>三</w:t>
      </w:r>
      <w:r>
        <w:rPr>
          <w:rFonts w:hint="eastAsia" w:ascii="宋体" w:hAnsi="宋体" w:cs="宋体"/>
          <w:b/>
          <w:bCs/>
          <w:color w:val="000000" w:themeColor="text1"/>
          <w:highlight w:val="none"/>
          <w14:textFill>
            <w14:solidFill>
              <w14:schemeClr w14:val="tx1"/>
            </w14:solidFill>
          </w14:textFill>
        </w:rPr>
        <w:t xml:space="preserve">条  </w:t>
      </w:r>
      <w:bookmarkEnd w:id="331"/>
      <w:bookmarkEnd w:id="332"/>
      <w:bookmarkEnd w:id="333"/>
      <w:bookmarkEnd w:id="334"/>
      <w:r>
        <w:rPr>
          <w:rFonts w:hint="eastAsia" w:ascii="宋体" w:hAnsi="宋体" w:cs="宋体"/>
          <w:b/>
          <w:bCs/>
          <w:color w:val="000000" w:themeColor="text1"/>
          <w:highlight w:val="none"/>
          <w14:textFill>
            <w14:solidFill>
              <w14:schemeClr w14:val="tx1"/>
            </w14:solidFill>
          </w14:textFill>
        </w:rPr>
        <w:t>保险主体及责任</w:t>
      </w:r>
    </w:p>
    <w:p w14:paraId="499BAF49">
      <w:pPr>
        <w:pStyle w:val="5"/>
        <w:keepNext w:val="0"/>
        <w:keepLines w:val="0"/>
        <w:pageBreakBefore w:val="0"/>
        <w:widowControl w:val="0"/>
        <w:tabs>
          <w:tab w:val="left" w:pos="480"/>
        </w:tabs>
        <w:kinsoku/>
        <w:wordWrap/>
        <w:overflowPunct/>
        <w:topLinePunct w:val="0"/>
        <w:autoSpaceDE/>
        <w:autoSpaceDN/>
        <w:bidi w:val="0"/>
        <w:adjustRightInd/>
        <w:snapToGrid w:val="0"/>
        <w:spacing w:before="0" w:beforeLines="0" w:after="0" w:afterLines="0" w:line="360" w:lineRule="auto"/>
        <w:ind w:firstLine="482"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bookmarkStart w:id="335" w:name="_Toc1556"/>
      <w:bookmarkStart w:id="336" w:name="_Toc15728"/>
      <w:bookmarkStart w:id="337" w:name="_Toc9898"/>
      <w:bookmarkStart w:id="338" w:name="_Toc11173"/>
      <w:r>
        <w:rPr>
          <w:rFonts w:hint="eastAsia" w:ascii="宋体" w:hAnsi="宋体" w:cs="宋体"/>
          <w:color w:val="000000" w:themeColor="text1"/>
          <w:sz w:val="24"/>
          <w:szCs w:val="24"/>
          <w:highlight w:val="none"/>
          <w14:textFill>
            <w14:solidFill>
              <w14:schemeClr w14:val="tx1"/>
            </w14:solidFill>
          </w14:textFill>
        </w:rPr>
        <w:t>一、保险主体</w:t>
      </w:r>
    </w:p>
    <w:p w14:paraId="7C21EC50">
      <w:pPr>
        <w:spacing w:line="360" w:lineRule="auto"/>
        <w:ind w:firstLine="482"/>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保险主体为柯城区范围内具有柯城区户籍的所有农村居民。保险对象为农村居民自有的生活居住房屋。一户多宅者，政府只补助一宅参保</w:t>
      </w:r>
      <w:r>
        <w:rPr>
          <w:rFonts w:hint="eastAsia" w:ascii="宋体" w:hAnsi="宋体" w:cs="宋体"/>
          <w:b w:val="0"/>
          <w:bCs w:val="0"/>
          <w:color w:val="auto"/>
          <w:highlight w:val="none"/>
          <w:lang w:eastAsia="zh-CN"/>
        </w:rPr>
        <w:t>。</w:t>
      </w:r>
    </w:p>
    <w:p w14:paraId="6FA2E0A7">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二、保险责任</w:t>
      </w:r>
    </w:p>
    <w:p w14:paraId="06906632">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1.政策性农村住房保险责任：</w:t>
      </w:r>
    </w:p>
    <w:p w14:paraId="0C8954EC">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（一）房屋两面以上（含）墙壁倒塌；</w:t>
      </w:r>
    </w:p>
    <w:p w14:paraId="17159C2C">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（二）房屋屋顶坍塌；</w:t>
      </w:r>
    </w:p>
    <w:p w14:paraId="219781C8">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（三）楼板坍塌；</w:t>
      </w:r>
    </w:p>
    <w:p w14:paraId="4A46C746">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（四）房屋主体结构毁坏；</w:t>
      </w:r>
    </w:p>
    <w:p w14:paraId="7DFE1181">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（五）墙基冲毁，难以修复；</w:t>
      </w:r>
    </w:p>
    <w:p w14:paraId="1565C367">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（六）因洪涝长期浸泡造成墙体损毁；</w:t>
      </w:r>
    </w:p>
    <w:p w14:paraId="41FE4B90">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（七）无显性损毁，经建设部门鉴定应当整体拆除重建。</w:t>
      </w:r>
    </w:p>
    <w:p w14:paraId="4CD3B478">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2.室内家财保险责任：</w:t>
      </w:r>
    </w:p>
    <w:p w14:paraId="5401B5AC">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（一）火灾、爆炸；</w:t>
      </w:r>
    </w:p>
    <w:p w14:paraId="7C87627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（二）雷击、台风、龙卷风、暴风、暴雨、洪水、暴雪、冰雹、冰凌、泥石流、崩塌、突发性滑坡、地面突然下陷；</w:t>
      </w:r>
    </w:p>
    <w:p w14:paraId="0D0511A1">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（三）飞行物体及其他空中运行物体坠落，外来不属于被保险人所有或使用的建筑物和其他固定物体的倒塌。</w:t>
      </w:r>
    </w:p>
    <w:p w14:paraId="1135C636">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第</w:t>
      </w:r>
      <w:r>
        <w:rPr>
          <w:rFonts w:hint="eastAsia" w:ascii="宋体" w:hAnsi="宋体" w:cs="宋体"/>
          <w:b/>
          <w:bCs/>
          <w:color w:val="000000" w:themeColor="text1"/>
          <w:highlight w:val="none"/>
          <w:lang w:val="en-US" w:eastAsia="zh-CN"/>
          <w14:textFill>
            <w14:solidFill>
              <w14:schemeClr w14:val="tx1"/>
            </w14:solidFill>
          </w14:textFill>
        </w:rPr>
        <w:t>四</w:t>
      </w:r>
      <w:r>
        <w:rPr>
          <w:rFonts w:hint="eastAsia" w:ascii="宋体" w:hAnsi="宋体" w:cs="宋体"/>
          <w:b/>
          <w:bCs/>
          <w:color w:val="000000" w:themeColor="text1"/>
          <w:highlight w:val="none"/>
          <w14:textFill>
            <w14:solidFill>
              <w14:schemeClr w14:val="tx1"/>
            </w14:solidFill>
          </w14:textFill>
        </w:rPr>
        <w:t>条  承保服务及理赔服务</w:t>
      </w:r>
    </w:p>
    <w:p w14:paraId="2E5516C7">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一、承保服务</w:t>
      </w:r>
    </w:p>
    <w:p w14:paraId="068490C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1.乙方对上年</w:t>
      </w:r>
      <w:r>
        <w:rPr>
          <w:rFonts w:hint="eastAsia" w:ascii="宋体" w:hAnsi="宋体" w:cs="宋体"/>
          <w:color w:val="000000" w:themeColor="text1"/>
          <w:highlight w:val="none"/>
          <w:lang w:eastAsia="zh-CN"/>
          <w14:textFill>
            <w14:solidFill>
              <w14:schemeClr w14:val="tx1"/>
            </w14:solidFill>
          </w14:textFill>
        </w:rPr>
        <w:t>投保</w:t>
      </w:r>
      <w:r>
        <w:rPr>
          <w:rFonts w:hint="eastAsia" w:ascii="宋体" w:hAnsi="宋体" w:cs="宋体"/>
          <w:color w:val="000000" w:themeColor="text1"/>
          <w:kern w:val="0"/>
          <w:highlight w:val="none"/>
          <w14:textFill>
            <w14:solidFill>
              <w14:schemeClr w14:val="tx1"/>
            </w14:solidFill>
          </w14:textFill>
        </w:rPr>
        <w:t>政</w:t>
      </w:r>
      <w:r>
        <w:rPr>
          <w:rFonts w:hint="eastAsia" w:ascii="宋体" w:hAnsi="宋体" w:cs="宋体"/>
          <w:color w:val="auto"/>
          <w:kern w:val="0"/>
          <w:highlight w:val="none"/>
        </w:rPr>
        <w:t>策性农村住房保险和附加室内家财保险</w:t>
      </w:r>
      <w:r>
        <w:rPr>
          <w:rFonts w:hint="eastAsia" w:ascii="宋体" w:hAnsi="宋体" w:cs="宋体"/>
          <w:color w:val="auto"/>
          <w:highlight w:val="none"/>
          <w:lang w:eastAsia="zh-CN"/>
        </w:rPr>
        <w:t>的农户保单在2025年1月1日（含）至本合同签订日期前到期脱保的保单如发生保险责任范围内事故的，保险公司按照本合同方案新签订保险合同承担赔偿责任，保险期限按原保险合同终止期次日开始起保。</w:t>
      </w:r>
    </w:p>
    <w:p w14:paraId="39B8C10C">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auto"/>
          <w:highlight w:val="none"/>
        </w:rPr>
      </w:pPr>
      <w:r>
        <w:rPr>
          <w:rFonts w:hint="eastAsia" w:ascii="宋体" w:hAnsi="宋体" w:cs="宋体"/>
          <w:color w:val="auto"/>
          <w:highlight w:val="none"/>
        </w:rPr>
        <w:t>2．保证投保人获得优先服务的权利，根据投保人的通知及时签订保险单。</w:t>
      </w:r>
    </w:p>
    <w:p w14:paraId="0DFBE9B7">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auto"/>
          <w:highlight w:val="none"/>
        </w:rPr>
      </w:pPr>
      <w:r>
        <w:rPr>
          <w:rFonts w:hint="eastAsia" w:ascii="宋体" w:hAnsi="宋体" w:cs="宋体"/>
          <w:color w:val="auto"/>
          <w:highlight w:val="none"/>
        </w:rPr>
        <w:t>3.应设有24小时全天报案服务电话，并设专人受理索赔接、报案。</w:t>
      </w:r>
    </w:p>
    <w:p w14:paraId="5A080CC8">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auto"/>
          <w:highlight w:val="none"/>
        </w:rPr>
      </w:pPr>
      <w:r>
        <w:rPr>
          <w:rFonts w:hint="eastAsia" w:ascii="宋体" w:hAnsi="宋体" w:cs="宋体"/>
          <w:color w:val="auto"/>
          <w:highlight w:val="none"/>
        </w:rPr>
        <w:t>4.在接到投保人的发生意外事故报案后，理赔人员应于60分钟内赶到报案现场办理相关的索赔手续。</w:t>
      </w:r>
    </w:p>
    <w:p w14:paraId="569818A7">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color w:val="auto"/>
          <w:highlight w:val="none"/>
        </w:rPr>
      </w:pPr>
      <w:r>
        <w:rPr>
          <w:rFonts w:hint="eastAsia" w:ascii="宋体" w:hAnsi="宋体" w:cs="宋体"/>
          <w:color w:val="auto"/>
          <w:highlight w:val="none"/>
        </w:rPr>
        <w:t>5.协助投保人做好对投保经办人的廉政工作，不得以任何形式向投保人的经办人提供回扣。</w:t>
      </w:r>
    </w:p>
    <w:p w14:paraId="556CCBE7">
      <w:pPr>
        <w:keepNext w:val="0"/>
        <w:keepLines w:val="0"/>
        <w:pageBreakBefore w:val="0"/>
        <w:widowControl w:val="0"/>
        <w:kinsoku/>
        <w:wordWrap/>
        <w:overflowPunct/>
        <w:topLinePunct w:val="0"/>
        <w:autoSpaceDE/>
        <w:autoSpaceDN/>
        <w:bidi w:val="0"/>
        <w:adjustRightInd/>
        <w:spacing w:line="360" w:lineRule="auto"/>
        <w:ind w:firstLine="482"/>
        <w:textAlignment w:val="auto"/>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二、理赔服务</w:t>
      </w:r>
    </w:p>
    <w:p w14:paraId="64D6296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1.投保方的人员发生意外害事故后，中标人应根据服务承诺，对发生意外事故的住户及时提出处理意见，在理赔时必须以真实价格为基数进行计算，并及时支付赔款。</w:t>
      </w:r>
    </w:p>
    <w:p w14:paraId="43306D7C">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2.赔偿处理按保单签订时所用相关条款处理，赔偿标准按照投标书有关承诺及保险金额与实际受损程度处理，中标人必须主动及时协助投保方处理赔款事宜。</w:t>
      </w:r>
    </w:p>
    <w:p w14:paraId="5A8951B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3.投保方在保险期内的一切事故赔款事宜，直接与中标人办理。</w:t>
      </w:r>
    </w:p>
    <w:bookmarkEnd w:id="335"/>
    <w:bookmarkEnd w:id="336"/>
    <w:bookmarkEnd w:id="337"/>
    <w:bookmarkEnd w:id="338"/>
    <w:p w14:paraId="04C3FCDE">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rPr>
      </w:pPr>
      <w:bookmarkStart w:id="339" w:name="_Toc22012"/>
      <w:bookmarkStart w:id="340" w:name="_Toc25501"/>
      <w:bookmarkStart w:id="341" w:name="_Toc17332"/>
      <w:bookmarkStart w:id="342" w:name="_Toc28595"/>
      <w:r>
        <w:rPr>
          <w:rFonts w:hint="eastAsia" w:ascii="宋体" w:hAnsi="宋体" w:cs="宋体"/>
          <w:b/>
          <w:bCs/>
          <w:color w:val="auto"/>
          <w:highlight w:val="none"/>
        </w:rPr>
        <w:t>第</w:t>
      </w:r>
      <w:r>
        <w:rPr>
          <w:rFonts w:hint="eastAsia" w:ascii="宋体" w:hAnsi="宋体" w:cs="宋体"/>
          <w:b/>
          <w:bCs/>
          <w:color w:val="auto"/>
          <w:highlight w:val="none"/>
          <w:lang w:val="en-US" w:eastAsia="zh-CN"/>
        </w:rPr>
        <w:t>五</w:t>
      </w:r>
      <w:r>
        <w:rPr>
          <w:rFonts w:hint="eastAsia" w:ascii="宋体" w:hAnsi="宋体" w:cs="宋体"/>
          <w:b/>
          <w:bCs/>
          <w:color w:val="auto"/>
          <w:highlight w:val="none"/>
        </w:rPr>
        <w:t>条  支付方式</w:t>
      </w:r>
      <w:bookmarkEnd w:id="339"/>
      <w:bookmarkEnd w:id="340"/>
      <w:bookmarkEnd w:id="341"/>
      <w:bookmarkEnd w:id="342"/>
    </w:p>
    <w:p w14:paraId="285E4E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cs="宋体"/>
          <w:color w:val="auto"/>
          <w:highlight w:val="none"/>
        </w:rPr>
      </w:pPr>
      <w:bookmarkStart w:id="343" w:name="_Toc15298"/>
      <w:bookmarkStart w:id="344" w:name="_Toc18027"/>
      <w:bookmarkStart w:id="345" w:name="_Toc3819"/>
      <w:bookmarkStart w:id="346" w:name="_Toc21228"/>
      <w:r>
        <w:rPr>
          <w:rFonts w:hint="eastAsia" w:ascii="宋体" w:hAnsi="宋体" w:cs="宋体"/>
          <w:color w:val="auto"/>
          <w:highlight w:val="none"/>
        </w:rPr>
        <w:t>付款时间以乙方完成参保名单核对确认后按实结算，向甲方提出申请，申请通过后45天内一次性支付。</w:t>
      </w:r>
    </w:p>
    <w:p w14:paraId="16ACFB85">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第</w:t>
      </w:r>
      <w:r>
        <w:rPr>
          <w:rFonts w:hint="eastAsia" w:ascii="宋体" w:hAnsi="宋体" w:cs="宋体"/>
          <w:b/>
          <w:bCs/>
          <w:color w:val="000000" w:themeColor="text1"/>
          <w:highlight w:val="none"/>
          <w:lang w:val="en-US" w:eastAsia="zh-CN"/>
          <w14:textFill>
            <w14:solidFill>
              <w14:schemeClr w14:val="tx1"/>
            </w14:solidFill>
          </w14:textFill>
        </w:rPr>
        <w:t>六</w:t>
      </w:r>
      <w:r>
        <w:rPr>
          <w:rFonts w:hint="eastAsia" w:ascii="宋体" w:hAnsi="宋体" w:cs="宋体"/>
          <w:b/>
          <w:bCs/>
          <w:color w:val="000000" w:themeColor="text1"/>
          <w:highlight w:val="none"/>
          <w14:textFill>
            <w14:solidFill>
              <w14:schemeClr w14:val="tx1"/>
            </w14:solidFill>
          </w14:textFill>
        </w:rPr>
        <w:t>条  转包或分包</w:t>
      </w:r>
      <w:bookmarkEnd w:id="343"/>
      <w:bookmarkEnd w:id="344"/>
      <w:bookmarkEnd w:id="345"/>
      <w:bookmarkEnd w:id="346"/>
    </w:p>
    <w:p w14:paraId="53B9A40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000000" w:themeColor="text1"/>
          <w:highlight w:val="none"/>
          <w14:textFill>
            <w14:solidFill>
              <w14:schemeClr w14:val="tx1"/>
            </w14:solidFill>
          </w14:textFill>
        </w:rPr>
        <w:t>1.本合同范围的服务，应由乙方直接供应，不得转让他人服务；</w:t>
      </w:r>
    </w:p>
    <w:p w14:paraId="340A6A0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2.除非得到甲方的书面同意，乙方不得将本合同范围的服务全部或部分分包给他人；</w:t>
      </w:r>
    </w:p>
    <w:p w14:paraId="21F2731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3.如有转让和未经甲方同意的分包行为，甲方有权解除合同并追究乙方的违约责任。</w:t>
      </w:r>
    </w:p>
    <w:p w14:paraId="259C8BE2">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rPr>
      </w:pPr>
      <w:bookmarkStart w:id="347" w:name="_Toc26870"/>
      <w:bookmarkStart w:id="348" w:name="_Toc1140"/>
      <w:bookmarkStart w:id="349" w:name="_Toc10188"/>
      <w:bookmarkStart w:id="350" w:name="_Toc20008"/>
      <w:r>
        <w:rPr>
          <w:rFonts w:hint="eastAsia" w:ascii="宋体" w:hAnsi="宋体" w:cs="宋体"/>
          <w:b/>
          <w:bCs/>
          <w:color w:val="auto"/>
          <w:highlight w:val="none"/>
        </w:rPr>
        <w:t>第</w:t>
      </w:r>
      <w:r>
        <w:rPr>
          <w:rFonts w:hint="eastAsia" w:ascii="宋体" w:hAnsi="宋体" w:cs="宋体"/>
          <w:b/>
          <w:bCs/>
          <w:color w:val="auto"/>
          <w:highlight w:val="none"/>
          <w:lang w:val="en-US" w:eastAsia="zh-CN"/>
        </w:rPr>
        <w:t>七</w:t>
      </w:r>
      <w:r>
        <w:rPr>
          <w:rFonts w:hint="eastAsia" w:ascii="宋体" w:hAnsi="宋体" w:cs="宋体"/>
          <w:b/>
          <w:bCs/>
          <w:color w:val="auto"/>
          <w:highlight w:val="none"/>
        </w:rPr>
        <w:t>条  甲方的责任与义务</w:t>
      </w:r>
      <w:bookmarkEnd w:id="347"/>
      <w:bookmarkEnd w:id="348"/>
      <w:bookmarkEnd w:id="349"/>
      <w:bookmarkEnd w:id="350"/>
    </w:p>
    <w:p w14:paraId="5465309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1.甲方应协助提供参保人员统计的投保资料。</w:t>
      </w:r>
    </w:p>
    <w:p w14:paraId="7D2DF5D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2.甲方</w:t>
      </w:r>
      <w:r>
        <w:rPr>
          <w:rFonts w:hint="eastAsia" w:ascii="宋体" w:hAnsi="宋体" w:cs="宋体"/>
          <w:color w:val="auto"/>
          <w:highlight w:val="none"/>
        </w:rPr>
        <w:t>有权要求</w:t>
      </w:r>
      <w:r>
        <w:rPr>
          <w:rFonts w:hint="eastAsia" w:ascii="宋体" w:hAnsi="宋体" w:cs="宋体"/>
          <w:color w:val="auto"/>
          <w:highlight w:val="none"/>
          <w:lang w:val="zh-CN"/>
        </w:rPr>
        <w:t>乙方进行农房保险及室内家财险扩展保险宣传。</w:t>
      </w:r>
    </w:p>
    <w:p w14:paraId="10EBE590">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lang w:val="zh-CN"/>
        </w:rPr>
      </w:pPr>
      <w:bookmarkStart w:id="351" w:name="_Toc15809"/>
      <w:bookmarkStart w:id="352" w:name="_Toc7982"/>
      <w:bookmarkStart w:id="353" w:name="_Toc31911"/>
      <w:bookmarkStart w:id="354" w:name="_Toc5998"/>
      <w:r>
        <w:rPr>
          <w:rFonts w:hint="eastAsia" w:ascii="宋体" w:hAnsi="宋体" w:cs="宋体"/>
          <w:b/>
          <w:bCs/>
          <w:color w:val="auto"/>
          <w:highlight w:val="none"/>
        </w:rPr>
        <w:t>第</w:t>
      </w:r>
      <w:r>
        <w:rPr>
          <w:rFonts w:hint="eastAsia" w:ascii="宋体" w:hAnsi="宋体" w:cs="宋体"/>
          <w:b/>
          <w:bCs/>
          <w:color w:val="auto"/>
          <w:highlight w:val="none"/>
          <w:lang w:val="en-US" w:eastAsia="zh-CN"/>
        </w:rPr>
        <w:t>八</w:t>
      </w:r>
      <w:r>
        <w:rPr>
          <w:rFonts w:hint="eastAsia" w:ascii="宋体" w:hAnsi="宋体" w:cs="宋体"/>
          <w:b/>
          <w:bCs/>
          <w:color w:val="auto"/>
          <w:highlight w:val="none"/>
        </w:rPr>
        <w:t xml:space="preserve">条  </w:t>
      </w:r>
      <w:r>
        <w:rPr>
          <w:rFonts w:hint="eastAsia" w:ascii="宋体" w:hAnsi="宋体" w:cs="宋体"/>
          <w:b/>
          <w:bCs/>
          <w:color w:val="auto"/>
          <w:highlight w:val="none"/>
          <w:lang w:val="zh-CN"/>
        </w:rPr>
        <w:t>乙方的责任与义务</w:t>
      </w:r>
      <w:bookmarkEnd w:id="351"/>
      <w:bookmarkEnd w:id="352"/>
      <w:bookmarkEnd w:id="353"/>
      <w:bookmarkEnd w:id="354"/>
    </w:p>
    <w:p w14:paraId="5B8D3E9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1.乙方每年应组织一次乡镇、街道、行政村范围的农房保险及室内家财险扩展保险宣传服务。随时随地安排车辆和工作人员配合甲方进行现场检查踏勘工作（包括法定节假日），同时每月提交一份工作总结给甲方。</w:t>
      </w:r>
    </w:p>
    <w:p w14:paraId="0B186742">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2.乙方应建立参保地区的居民应重大灾害应急处理制度。</w:t>
      </w:r>
    </w:p>
    <w:p w14:paraId="7F97ABAA">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3.提供的增值配套服务详见乙方的投标文件。乙方在投标文件中承诺的增值配套服务必须按承诺及时履行，若未按投标文件承诺或未及时履行，甲方可视情况严重程度对乙方做出相应处理。</w:t>
      </w:r>
    </w:p>
    <w:p w14:paraId="0D66F05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4.乙方对甲方提供的参保信息以及相关资料承担保密责任，不得用于其他用途，不得向第三方泄露。</w:t>
      </w:r>
    </w:p>
    <w:p w14:paraId="29A0ABD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5.在履行本合同义务的期间，应运用合理的技能，认真、勤奋的工作。</w:t>
      </w:r>
    </w:p>
    <w:p w14:paraId="23D10DF9">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lang w:val="zh-CN"/>
        </w:rPr>
      </w:pPr>
      <w:bookmarkStart w:id="355" w:name="_Toc4555"/>
      <w:bookmarkStart w:id="356" w:name="_Toc28332"/>
      <w:bookmarkStart w:id="357" w:name="_Toc11821"/>
      <w:bookmarkStart w:id="358" w:name="_Toc30132"/>
      <w:r>
        <w:rPr>
          <w:rFonts w:hint="eastAsia" w:ascii="宋体" w:hAnsi="宋体" w:cs="宋体"/>
          <w:b/>
          <w:bCs/>
          <w:color w:val="auto"/>
          <w:highlight w:val="none"/>
        </w:rPr>
        <w:t>第</w:t>
      </w:r>
      <w:r>
        <w:rPr>
          <w:rFonts w:hint="eastAsia" w:ascii="宋体" w:hAnsi="宋体" w:cs="宋体"/>
          <w:b/>
          <w:bCs/>
          <w:color w:val="auto"/>
          <w:highlight w:val="none"/>
          <w:lang w:val="en-US" w:eastAsia="zh-CN"/>
        </w:rPr>
        <w:t>九</w:t>
      </w:r>
      <w:r>
        <w:rPr>
          <w:rFonts w:hint="eastAsia" w:ascii="宋体" w:hAnsi="宋体" w:cs="宋体"/>
          <w:b/>
          <w:bCs/>
          <w:color w:val="auto"/>
          <w:highlight w:val="none"/>
        </w:rPr>
        <w:t xml:space="preserve">条  </w:t>
      </w:r>
      <w:r>
        <w:rPr>
          <w:rFonts w:hint="eastAsia" w:ascii="宋体" w:hAnsi="宋体" w:cs="宋体"/>
          <w:b/>
          <w:bCs/>
          <w:color w:val="auto"/>
          <w:highlight w:val="none"/>
          <w:lang w:val="zh-CN"/>
        </w:rPr>
        <w:t>共同责任</w:t>
      </w:r>
    </w:p>
    <w:p w14:paraId="02BF9C83">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1.甲乙双方合同履行的情况以及农房保险及室内家财险扩展保险赔付情况等按规定接受财政、审计等部门的监督。</w:t>
      </w:r>
    </w:p>
    <w:p w14:paraId="7DBD9D4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2.乙方在保险期间内出现新情况或遭遇突发事件，要及时通报甲方。</w:t>
      </w:r>
    </w:p>
    <w:p w14:paraId="4460F412">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3.甲乙双方要对相关工作人员进行农房保险及室内家财险扩展保险保障范围、理赔知识等方面的培训，以利于柯城区居民索赔。</w:t>
      </w:r>
    </w:p>
    <w:p w14:paraId="5315929D">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4.合同结束或提前终止前已发生但未结算的农房保险及室内家财险扩展保险理赔款由乙方支付。甲乙双方协商有效办法，落实结算责任，保障参保人的权益。</w:t>
      </w:r>
    </w:p>
    <w:p w14:paraId="495B2974">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lang w:val="zh-CN"/>
        </w:rPr>
      </w:pPr>
      <w:r>
        <w:rPr>
          <w:rFonts w:hint="eastAsia" w:ascii="宋体" w:hAnsi="宋体" w:cs="宋体"/>
          <w:b/>
          <w:bCs/>
          <w:color w:val="auto"/>
          <w:highlight w:val="none"/>
        </w:rPr>
        <w:t>第</w:t>
      </w:r>
      <w:r>
        <w:rPr>
          <w:rFonts w:hint="eastAsia" w:ascii="宋体" w:hAnsi="宋体" w:cs="宋体"/>
          <w:b/>
          <w:bCs/>
          <w:color w:val="auto"/>
          <w:highlight w:val="none"/>
          <w:lang w:val="en-US" w:eastAsia="zh-CN"/>
        </w:rPr>
        <w:t>十</w:t>
      </w:r>
      <w:r>
        <w:rPr>
          <w:rFonts w:hint="eastAsia" w:ascii="宋体" w:hAnsi="宋体" w:cs="宋体"/>
          <w:b/>
          <w:bCs/>
          <w:color w:val="auto"/>
          <w:highlight w:val="none"/>
        </w:rPr>
        <w:t xml:space="preserve">条  </w:t>
      </w:r>
      <w:r>
        <w:rPr>
          <w:rFonts w:hint="eastAsia" w:ascii="宋体" w:hAnsi="宋体" w:cs="宋体"/>
          <w:b/>
          <w:bCs/>
          <w:color w:val="auto"/>
          <w:highlight w:val="none"/>
          <w:lang w:val="zh-CN"/>
        </w:rPr>
        <w:t>管理与评价</w:t>
      </w:r>
    </w:p>
    <w:p w14:paraId="14C9394A">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1.乙方接受甲方的工作指导与监督检查。</w:t>
      </w:r>
    </w:p>
    <w:p w14:paraId="3D59F954">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2.甲方有权邀请相关专业机构组成考核小组对乙方相关工作进行评价，内容包括但不限于：本合同履行情况、理赔时限情况、服务质量情况等，乙方须积极配合。</w:t>
      </w:r>
    </w:p>
    <w:p w14:paraId="339399DB">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lang w:val="zh-CN"/>
        </w:rPr>
      </w:pPr>
      <w:r>
        <w:rPr>
          <w:rFonts w:hint="eastAsia" w:ascii="宋体" w:hAnsi="宋体" w:cs="宋体"/>
          <w:b/>
          <w:bCs/>
          <w:color w:val="auto"/>
          <w:highlight w:val="none"/>
        </w:rPr>
        <w:t>第十</w:t>
      </w:r>
      <w:r>
        <w:rPr>
          <w:rFonts w:hint="eastAsia" w:ascii="宋体" w:hAnsi="宋体" w:cs="宋体"/>
          <w:b/>
          <w:bCs/>
          <w:color w:val="auto"/>
          <w:highlight w:val="none"/>
          <w:lang w:val="en-US" w:eastAsia="zh-CN"/>
        </w:rPr>
        <w:t>一</w:t>
      </w:r>
      <w:r>
        <w:rPr>
          <w:rFonts w:hint="eastAsia" w:ascii="宋体" w:hAnsi="宋体" w:cs="宋体"/>
          <w:b/>
          <w:bCs/>
          <w:color w:val="auto"/>
          <w:highlight w:val="none"/>
        </w:rPr>
        <w:t xml:space="preserve">条  </w:t>
      </w:r>
      <w:r>
        <w:rPr>
          <w:rFonts w:hint="eastAsia" w:ascii="宋体" w:hAnsi="宋体" w:cs="宋体"/>
          <w:b/>
          <w:bCs/>
          <w:color w:val="auto"/>
          <w:highlight w:val="none"/>
          <w:lang w:val="zh-CN"/>
        </w:rPr>
        <w:t>违约处理</w:t>
      </w:r>
      <w:bookmarkEnd w:id="355"/>
      <w:bookmarkEnd w:id="356"/>
      <w:bookmarkEnd w:id="357"/>
      <w:bookmarkEnd w:id="358"/>
    </w:p>
    <w:p w14:paraId="654F9B0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bookmarkStart w:id="359" w:name="_Toc30702"/>
      <w:bookmarkStart w:id="360" w:name="_Toc25310"/>
      <w:r>
        <w:rPr>
          <w:rFonts w:hint="eastAsia" w:ascii="宋体" w:hAnsi="宋体" w:cs="宋体"/>
          <w:color w:val="auto"/>
          <w:highlight w:val="none"/>
        </w:rPr>
        <w:t>1.</w:t>
      </w:r>
      <w:r>
        <w:rPr>
          <w:rFonts w:hint="eastAsia" w:ascii="宋体" w:hAnsi="宋体" w:cs="宋体"/>
          <w:color w:val="auto"/>
          <w:highlight w:val="none"/>
          <w:lang w:val="zh-CN"/>
        </w:rPr>
        <w:t>甲方无正当理由拒收接受服务的，甲方向乙方偿付合同款项百分之五作为违约金。</w:t>
      </w:r>
    </w:p>
    <w:p w14:paraId="2CAC528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lang w:val="zh-CN"/>
        </w:rPr>
        <w:t>2．甲方无故逾期验收和办理款项支付手续的,甲方应按逾期付款总额每日万分之五向乙方支付违约金。</w:t>
      </w:r>
    </w:p>
    <w:p w14:paraId="67B9155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rPr>
        <w:t>3.</w:t>
      </w:r>
      <w:r>
        <w:rPr>
          <w:rFonts w:hint="eastAsia" w:ascii="宋体" w:hAnsi="宋体" w:cs="宋体"/>
          <w:color w:val="auto"/>
          <w:highlight w:val="none"/>
          <w:lang w:val="zh-CN"/>
        </w:rPr>
        <w:t xml:space="preserve">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bookmarkEnd w:id="359"/>
      <w:bookmarkEnd w:id="360"/>
    </w:p>
    <w:p w14:paraId="799D89B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rPr>
        <w:t>4.项目服务范围内50%及以上的乡镇（街道）反映乙方服务不到位的，</w:t>
      </w:r>
      <w:r>
        <w:rPr>
          <w:rFonts w:hint="eastAsia" w:ascii="宋体" w:hAnsi="宋体" w:cs="宋体"/>
          <w:color w:val="auto"/>
          <w:highlight w:val="none"/>
          <w:lang w:val="zh-CN"/>
        </w:rPr>
        <w:t>甲方有权终止合同。</w:t>
      </w:r>
    </w:p>
    <w:p w14:paraId="21392007">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甲、乙双方因违反合同约定或发生其他严重损害参保人权益的情况，合同双方可以提前终止或解除合作，并就违约情况提请有关部门依法追究责任。</w:t>
      </w:r>
    </w:p>
    <w:p w14:paraId="22DA2746">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color w:val="auto"/>
          <w:highlight w:val="none"/>
        </w:rPr>
      </w:pPr>
      <w:bookmarkStart w:id="361" w:name="_Toc16179"/>
      <w:bookmarkStart w:id="362" w:name="_Toc27112"/>
      <w:bookmarkStart w:id="363" w:name="_Toc13564"/>
      <w:bookmarkStart w:id="364" w:name="_Toc12410"/>
      <w:r>
        <w:rPr>
          <w:rFonts w:hint="eastAsia" w:ascii="宋体" w:hAnsi="宋体" w:cs="宋体"/>
          <w:b/>
          <w:bCs/>
          <w:color w:val="auto"/>
          <w:highlight w:val="none"/>
        </w:rPr>
        <w:t>第十</w:t>
      </w:r>
      <w:r>
        <w:rPr>
          <w:rFonts w:hint="eastAsia" w:ascii="宋体" w:hAnsi="宋体" w:cs="宋体"/>
          <w:b/>
          <w:bCs/>
          <w:color w:val="auto"/>
          <w:highlight w:val="none"/>
          <w:lang w:val="en-US" w:eastAsia="zh-CN"/>
        </w:rPr>
        <w:t>二</w:t>
      </w:r>
      <w:r>
        <w:rPr>
          <w:rFonts w:hint="eastAsia" w:ascii="宋体" w:hAnsi="宋体" w:cs="宋体"/>
          <w:b/>
          <w:bCs/>
          <w:color w:val="auto"/>
          <w:highlight w:val="none"/>
        </w:rPr>
        <w:t xml:space="preserve">条  </w:t>
      </w:r>
      <w:r>
        <w:rPr>
          <w:rFonts w:hint="eastAsia" w:ascii="宋体" w:hAnsi="宋体" w:cs="宋体"/>
          <w:b/>
          <w:bCs/>
          <w:color w:val="auto"/>
          <w:highlight w:val="none"/>
          <w:lang w:val="zh-CN"/>
        </w:rPr>
        <w:t>其他</w:t>
      </w:r>
      <w:r>
        <w:rPr>
          <w:rFonts w:hint="eastAsia" w:ascii="宋体" w:hAnsi="宋体" w:cs="宋体"/>
          <w:b/>
          <w:bCs/>
          <w:color w:val="auto"/>
          <w:highlight w:val="none"/>
        </w:rPr>
        <w:t>约定</w:t>
      </w:r>
      <w:bookmarkEnd w:id="361"/>
      <w:bookmarkEnd w:id="362"/>
      <w:bookmarkEnd w:id="363"/>
      <w:bookmarkEnd w:id="364"/>
    </w:p>
    <w:p w14:paraId="5E2DD46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1.项目实施过程中，为完成项目所需要办理的各项手续均由乙方自行解决，甲方予以配合。</w:t>
      </w:r>
    </w:p>
    <w:p w14:paraId="6A2A933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2.在实施过程中若出现质量、进度等问题，在甲方三次书面通知后仍未能采取有效措施的，甲方有权单方终止合同，并保留索赔的权利。</w:t>
      </w:r>
    </w:p>
    <w:p w14:paraId="0B057E53">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rPr>
      </w:pPr>
      <w:bookmarkStart w:id="365" w:name="_Toc9916"/>
      <w:bookmarkStart w:id="366" w:name="_Toc13060"/>
      <w:bookmarkStart w:id="367" w:name="_Toc24606"/>
      <w:bookmarkStart w:id="368" w:name="_Toc10593"/>
      <w:r>
        <w:rPr>
          <w:rFonts w:hint="eastAsia" w:ascii="宋体" w:hAnsi="宋体" w:cs="宋体"/>
          <w:b/>
          <w:bCs/>
          <w:color w:val="auto"/>
          <w:highlight w:val="none"/>
        </w:rPr>
        <w:t>第十</w:t>
      </w:r>
      <w:r>
        <w:rPr>
          <w:rFonts w:hint="eastAsia" w:ascii="宋体" w:hAnsi="宋体" w:cs="宋体"/>
          <w:b/>
          <w:bCs/>
          <w:color w:val="auto"/>
          <w:highlight w:val="none"/>
          <w:lang w:val="en-US" w:eastAsia="zh-CN"/>
        </w:rPr>
        <w:t>三</w:t>
      </w:r>
      <w:r>
        <w:rPr>
          <w:rFonts w:hint="eastAsia" w:ascii="宋体" w:hAnsi="宋体" w:cs="宋体"/>
          <w:b/>
          <w:bCs/>
          <w:color w:val="auto"/>
          <w:highlight w:val="none"/>
        </w:rPr>
        <w:t>条  税费</w:t>
      </w:r>
      <w:bookmarkEnd w:id="365"/>
      <w:bookmarkEnd w:id="366"/>
      <w:bookmarkEnd w:id="367"/>
      <w:bookmarkEnd w:id="368"/>
    </w:p>
    <w:p w14:paraId="4B10467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本合同执行中相关的一切税费均由乙方负担。</w:t>
      </w:r>
    </w:p>
    <w:p w14:paraId="3AD26400">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rPr>
      </w:pPr>
      <w:bookmarkStart w:id="369" w:name="_Toc27817"/>
      <w:bookmarkStart w:id="370" w:name="_Toc27505"/>
      <w:bookmarkStart w:id="371" w:name="_Toc30549"/>
      <w:bookmarkStart w:id="372" w:name="_Toc26044"/>
      <w:r>
        <w:rPr>
          <w:rFonts w:hint="eastAsia" w:ascii="宋体" w:hAnsi="宋体" w:cs="宋体"/>
          <w:b/>
          <w:bCs/>
          <w:color w:val="auto"/>
          <w:highlight w:val="none"/>
        </w:rPr>
        <w:t>第十</w:t>
      </w:r>
      <w:r>
        <w:rPr>
          <w:rFonts w:hint="eastAsia" w:ascii="宋体" w:hAnsi="宋体" w:cs="宋体"/>
          <w:b/>
          <w:bCs/>
          <w:color w:val="auto"/>
          <w:highlight w:val="none"/>
          <w:lang w:val="en-US" w:eastAsia="zh-CN"/>
        </w:rPr>
        <w:t>四</w:t>
      </w:r>
      <w:r>
        <w:rPr>
          <w:rFonts w:hint="eastAsia" w:ascii="宋体" w:hAnsi="宋体" w:cs="宋体"/>
          <w:b/>
          <w:bCs/>
          <w:color w:val="auto"/>
          <w:highlight w:val="none"/>
        </w:rPr>
        <w:t>条  不可抗力事件处理</w:t>
      </w:r>
      <w:bookmarkEnd w:id="369"/>
      <w:bookmarkEnd w:id="370"/>
      <w:bookmarkEnd w:id="371"/>
      <w:bookmarkEnd w:id="372"/>
    </w:p>
    <w:p w14:paraId="7D999EB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任何一方由于不可抗力原因不能履行合同时，应在不可抗力事件发生后24小时内向对方通报，以减轻可能给对方造成的损失，在取得有关机构的不可抗力证明或双方谅解确认后，允许延期履行或修订合同并根据情况可部分或全部免于承担违约责任。</w:t>
      </w:r>
    </w:p>
    <w:p w14:paraId="57295D7A">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b/>
          <w:bCs/>
          <w:color w:val="auto"/>
          <w:highlight w:val="none"/>
        </w:rPr>
      </w:pPr>
      <w:bookmarkStart w:id="373" w:name="_Toc29728"/>
      <w:bookmarkStart w:id="374" w:name="_Toc6403"/>
      <w:bookmarkStart w:id="375" w:name="_Toc24827"/>
      <w:bookmarkStart w:id="376" w:name="_Toc19369"/>
      <w:r>
        <w:rPr>
          <w:rFonts w:hint="eastAsia" w:ascii="宋体" w:hAnsi="宋体" w:cs="宋体"/>
          <w:b/>
          <w:bCs/>
          <w:color w:val="auto"/>
          <w:highlight w:val="none"/>
        </w:rPr>
        <w:t>第十</w:t>
      </w:r>
      <w:r>
        <w:rPr>
          <w:rFonts w:hint="eastAsia" w:ascii="宋体" w:hAnsi="宋体" w:cs="宋体"/>
          <w:b/>
          <w:bCs/>
          <w:color w:val="auto"/>
          <w:highlight w:val="none"/>
          <w:lang w:val="en-US" w:eastAsia="zh-CN"/>
        </w:rPr>
        <w:t>五</w:t>
      </w:r>
      <w:r>
        <w:rPr>
          <w:rFonts w:hint="eastAsia" w:ascii="宋体" w:hAnsi="宋体" w:cs="宋体"/>
          <w:b/>
          <w:bCs/>
          <w:color w:val="auto"/>
          <w:highlight w:val="none"/>
        </w:rPr>
        <w:t>条  争议及解决</w:t>
      </w:r>
      <w:bookmarkEnd w:id="373"/>
      <w:bookmarkEnd w:id="374"/>
      <w:bookmarkEnd w:id="375"/>
      <w:bookmarkEnd w:id="376"/>
    </w:p>
    <w:p w14:paraId="3215CF4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双方在执行合同中所发生的一切争议，应通过协商解决。如协商不成，可向甲方所在地法院起诉。</w:t>
      </w:r>
    </w:p>
    <w:p w14:paraId="215971DB">
      <w:pPr>
        <w:keepNext w:val="0"/>
        <w:keepLines w:val="0"/>
        <w:pageBreakBefore w:val="0"/>
        <w:widowControl w:val="0"/>
        <w:kinsoku/>
        <w:wordWrap/>
        <w:overflowPunct/>
        <w:topLinePunct w:val="0"/>
        <w:autoSpaceDE/>
        <w:autoSpaceDN/>
        <w:bidi w:val="0"/>
        <w:adjustRightInd/>
        <w:snapToGrid w:val="0"/>
        <w:spacing w:line="360" w:lineRule="auto"/>
        <w:ind w:firstLine="482"/>
        <w:textAlignment w:val="auto"/>
        <w:outlineLvl w:val="1"/>
        <w:rPr>
          <w:rFonts w:hint="eastAsia" w:ascii="宋体" w:hAnsi="宋体" w:cs="宋体"/>
          <w:color w:val="auto"/>
          <w:highlight w:val="none"/>
        </w:rPr>
      </w:pPr>
      <w:bookmarkStart w:id="377" w:name="_Toc27217"/>
      <w:bookmarkStart w:id="378" w:name="_Toc18208"/>
      <w:bookmarkStart w:id="379" w:name="_Toc25965"/>
      <w:bookmarkStart w:id="380" w:name="_Toc26424"/>
      <w:r>
        <w:rPr>
          <w:rFonts w:hint="eastAsia" w:ascii="宋体" w:hAnsi="宋体" w:cs="宋体"/>
          <w:b/>
          <w:bCs/>
          <w:color w:val="auto"/>
          <w:highlight w:val="none"/>
        </w:rPr>
        <w:t>第十</w:t>
      </w:r>
      <w:r>
        <w:rPr>
          <w:rFonts w:hint="eastAsia" w:ascii="宋体" w:hAnsi="宋体" w:cs="宋体"/>
          <w:b/>
          <w:bCs/>
          <w:color w:val="auto"/>
          <w:highlight w:val="none"/>
          <w:lang w:val="en-US" w:eastAsia="zh-CN"/>
        </w:rPr>
        <w:t>六</w:t>
      </w:r>
      <w:r>
        <w:rPr>
          <w:rFonts w:hint="eastAsia" w:ascii="宋体" w:hAnsi="宋体" w:cs="宋体"/>
          <w:b/>
          <w:bCs/>
          <w:color w:val="auto"/>
          <w:highlight w:val="none"/>
        </w:rPr>
        <w:t>条  合同生效及其它</w:t>
      </w:r>
      <w:bookmarkEnd w:id="377"/>
      <w:bookmarkEnd w:id="378"/>
      <w:bookmarkEnd w:id="379"/>
      <w:bookmarkEnd w:id="380"/>
    </w:p>
    <w:p w14:paraId="5218DBF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1.本合同未尽事宜，双方可另行签署补充协议。</w:t>
      </w:r>
    </w:p>
    <w:p w14:paraId="4E4680B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2.合同经双方法定代表人（负责人）或授权代表签字并加盖单位公章，代理公司加盖鉴证章后生效。</w:t>
      </w:r>
    </w:p>
    <w:p w14:paraId="71426BA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3.合同执行中涉及采购资金和采购内容修改或补充的，须经甲方备案同意，方可作为主合同不可分割的一部分。</w:t>
      </w:r>
    </w:p>
    <w:p w14:paraId="1011A6F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4.本合同未尽事宜，遵照《中华人民共和国民法典》有关条文执行。</w:t>
      </w:r>
    </w:p>
    <w:p w14:paraId="7C92CD4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cs="宋体"/>
          <w:color w:val="auto"/>
          <w:highlight w:val="none"/>
        </w:rPr>
      </w:pPr>
      <w:r>
        <w:rPr>
          <w:rFonts w:hint="eastAsia" w:ascii="宋体" w:hAnsi="宋体" w:cs="宋体"/>
          <w:color w:val="auto"/>
          <w:highlight w:val="none"/>
        </w:rPr>
        <w:t>5.本合同正本</w:t>
      </w:r>
      <w:r>
        <w:rPr>
          <w:rFonts w:hint="eastAsia" w:ascii="宋体" w:cs="宋体"/>
          <w:color w:val="auto"/>
          <w:highlight w:val="none"/>
        </w:rPr>
        <w:t>一式拾份，具有同等法律效力，甲方执陆份，乙方执叁份，</w:t>
      </w:r>
      <w:r>
        <w:rPr>
          <w:rFonts w:hint="eastAsia" w:ascii="宋体" w:hAnsi="宋体" w:cs="宋体"/>
          <w:color w:val="auto"/>
          <w:highlight w:val="none"/>
          <w:lang w:val="zh-CN"/>
        </w:rPr>
        <w:t>合同鉴证方</w:t>
      </w:r>
      <w:r>
        <w:rPr>
          <w:rFonts w:hint="eastAsia" w:ascii="宋体" w:cs="宋体"/>
          <w:color w:val="auto"/>
          <w:highlight w:val="none"/>
        </w:rPr>
        <w:t>执一份。</w:t>
      </w:r>
    </w:p>
    <w:p w14:paraId="245B1387">
      <w:pPr>
        <w:snapToGrid w:val="0"/>
        <w:spacing w:line="360" w:lineRule="auto"/>
        <w:ind w:firstLine="480"/>
        <w:rPr>
          <w:rFonts w:ascii="宋体" w:cs="宋体"/>
          <w:color w:val="auto"/>
          <w:highlight w:val="none"/>
        </w:rPr>
      </w:pPr>
    </w:p>
    <w:p w14:paraId="5A7ACF3D">
      <w:pPr>
        <w:pStyle w:val="2"/>
      </w:pPr>
    </w:p>
    <w:tbl>
      <w:tblPr>
        <w:tblStyle w:val="19"/>
        <w:tblW w:w="9286" w:type="dxa"/>
        <w:jc w:val="center"/>
        <w:tblLayout w:type="fixed"/>
        <w:tblCellMar>
          <w:top w:w="0" w:type="dxa"/>
          <w:left w:w="108" w:type="dxa"/>
          <w:bottom w:w="0" w:type="dxa"/>
          <w:right w:w="108" w:type="dxa"/>
        </w:tblCellMar>
      </w:tblPr>
      <w:tblGrid>
        <w:gridCol w:w="4643"/>
        <w:gridCol w:w="4643"/>
      </w:tblGrid>
      <w:tr w14:paraId="0F51B816">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1E3574BC">
            <w:pPr>
              <w:widowControl/>
              <w:adjustRightInd w:val="0"/>
              <w:snapToGrid w:val="0"/>
              <w:spacing w:line="312" w:lineRule="auto"/>
              <w:ind w:firstLine="480"/>
              <w:jc w:val="left"/>
              <w:rPr>
                <w:rFonts w:hint="eastAsia" w:ascii="宋体" w:hAnsi="宋体" w:cs="宋体"/>
                <w:color w:val="auto"/>
                <w:highlight w:val="none"/>
                <w:u w:val="single"/>
              </w:rPr>
            </w:pPr>
            <w:r>
              <w:rPr>
                <w:rFonts w:hint="eastAsia" w:ascii="宋体" w:hAnsi="宋体" w:cs="宋体"/>
                <w:color w:val="auto"/>
                <w:highlight w:val="none"/>
              </w:rPr>
              <w:t>甲方（盖章）：</w:t>
            </w:r>
            <w:r>
              <w:rPr>
                <w:rFonts w:hint="eastAsia" w:ascii="宋体" w:hAnsi="宋体" w:cs="宋体"/>
                <w:color w:val="auto"/>
                <w:highlight w:val="none"/>
                <w:u w:val="single"/>
              </w:rPr>
              <w:t xml:space="preserve">                    </w:t>
            </w:r>
          </w:p>
        </w:tc>
        <w:tc>
          <w:tcPr>
            <w:tcW w:w="4643" w:type="dxa"/>
            <w:tcBorders>
              <w:top w:val="nil"/>
              <w:left w:val="nil"/>
              <w:bottom w:val="nil"/>
              <w:right w:val="nil"/>
            </w:tcBorders>
            <w:vAlign w:val="center"/>
          </w:tcPr>
          <w:p w14:paraId="5AECB09A">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乙方（盖章）：</w:t>
            </w:r>
            <w:r>
              <w:rPr>
                <w:rFonts w:hint="eastAsia" w:ascii="宋体" w:hAnsi="宋体" w:cs="宋体"/>
                <w:color w:val="auto"/>
                <w:highlight w:val="none"/>
                <w:u w:val="single"/>
              </w:rPr>
              <w:t xml:space="preserve">                    </w:t>
            </w:r>
          </w:p>
        </w:tc>
      </w:tr>
      <w:tr w14:paraId="07DEB921">
        <w:tblPrEx>
          <w:tblCellMar>
            <w:top w:w="0" w:type="dxa"/>
            <w:left w:w="108" w:type="dxa"/>
            <w:bottom w:w="0" w:type="dxa"/>
            <w:right w:w="108" w:type="dxa"/>
          </w:tblCellMar>
        </w:tblPrEx>
        <w:trPr>
          <w:trHeight w:val="680" w:hRule="atLeast"/>
          <w:jc w:val="center"/>
        </w:trPr>
        <w:tc>
          <w:tcPr>
            <w:tcW w:w="4643" w:type="dxa"/>
            <w:tcBorders>
              <w:top w:val="nil"/>
              <w:left w:val="nil"/>
              <w:bottom w:val="nil"/>
              <w:right w:val="nil"/>
            </w:tcBorders>
            <w:vAlign w:val="center"/>
          </w:tcPr>
          <w:p w14:paraId="71ADDD3E">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单位负责人或授权</w:t>
            </w:r>
          </w:p>
          <w:p w14:paraId="490DEB44">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代理人（签字）：</w:t>
            </w:r>
            <w:r>
              <w:rPr>
                <w:rFonts w:hint="eastAsia" w:ascii="宋体" w:hAnsi="宋体" w:cs="宋体"/>
                <w:color w:val="auto"/>
                <w:highlight w:val="none"/>
                <w:u w:val="single"/>
              </w:rPr>
              <w:t xml:space="preserve">                  </w:t>
            </w:r>
          </w:p>
        </w:tc>
        <w:tc>
          <w:tcPr>
            <w:tcW w:w="4643" w:type="dxa"/>
            <w:tcBorders>
              <w:top w:val="nil"/>
              <w:left w:val="nil"/>
              <w:bottom w:val="nil"/>
              <w:right w:val="nil"/>
            </w:tcBorders>
            <w:vAlign w:val="center"/>
          </w:tcPr>
          <w:p w14:paraId="2A9BFF9B">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单位负责人或授权</w:t>
            </w:r>
          </w:p>
          <w:p w14:paraId="453FD71B">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代理人（签字）：</w:t>
            </w:r>
            <w:r>
              <w:rPr>
                <w:rFonts w:hint="eastAsia" w:ascii="宋体" w:hAnsi="宋体" w:cs="宋体"/>
                <w:color w:val="auto"/>
                <w:highlight w:val="none"/>
                <w:u w:val="single"/>
              </w:rPr>
              <w:t xml:space="preserve">                  </w:t>
            </w:r>
          </w:p>
        </w:tc>
      </w:tr>
      <w:tr w14:paraId="00C3852D">
        <w:tblPrEx>
          <w:tblCellMar>
            <w:top w:w="0" w:type="dxa"/>
            <w:left w:w="108" w:type="dxa"/>
            <w:bottom w:w="0" w:type="dxa"/>
            <w:right w:w="108" w:type="dxa"/>
          </w:tblCellMar>
        </w:tblPrEx>
        <w:trPr>
          <w:trHeight w:val="440" w:hRule="atLeast"/>
          <w:jc w:val="center"/>
        </w:trPr>
        <w:tc>
          <w:tcPr>
            <w:tcW w:w="4643" w:type="dxa"/>
            <w:tcBorders>
              <w:top w:val="nil"/>
              <w:left w:val="nil"/>
              <w:bottom w:val="nil"/>
              <w:right w:val="nil"/>
            </w:tcBorders>
            <w:vAlign w:val="center"/>
          </w:tcPr>
          <w:p w14:paraId="6B475BC1">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地址：</w:t>
            </w:r>
          </w:p>
        </w:tc>
        <w:tc>
          <w:tcPr>
            <w:tcW w:w="4643" w:type="dxa"/>
            <w:tcBorders>
              <w:top w:val="nil"/>
              <w:left w:val="nil"/>
              <w:bottom w:val="nil"/>
              <w:right w:val="nil"/>
            </w:tcBorders>
            <w:vAlign w:val="center"/>
          </w:tcPr>
          <w:p w14:paraId="55BE8390">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地址：</w:t>
            </w:r>
          </w:p>
        </w:tc>
      </w:tr>
      <w:tr w14:paraId="32AA0567">
        <w:tblPrEx>
          <w:tblCellMar>
            <w:top w:w="0" w:type="dxa"/>
            <w:left w:w="108" w:type="dxa"/>
            <w:bottom w:w="0" w:type="dxa"/>
            <w:right w:w="108" w:type="dxa"/>
          </w:tblCellMar>
        </w:tblPrEx>
        <w:trPr>
          <w:trHeight w:val="410" w:hRule="atLeast"/>
          <w:jc w:val="center"/>
        </w:trPr>
        <w:tc>
          <w:tcPr>
            <w:tcW w:w="4643" w:type="dxa"/>
            <w:tcBorders>
              <w:top w:val="nil"/>
              <w:left w:val="nil"/>
              <w:bottom w:val="nil"/>
              <w:right w:val="nil"/>
            </w:tcBorders>
            <w:vAlign w:val="center"/>
          </w:tcPr>
          <w:p w14:paraId="478C5DE2">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联系方式：</w:t>
            </w:r>
          </w:p>
        </w:tc>
        <w:tc>
          <w:tcPr>
            <w:tcW w:w="4643" w:type="dxa"/>
            <w:tcBorders>
              <w:top w:val="nil"/>
              <w:left w:val="nil"/>
              <w:bottom w:val="nil"/>
              <w:right w:val="nil"/>
            </w:tcBorders>
            <w:vAlign w:val="center"/>
          </w:tcPr>
          <w:p w14:paraId="32A9CAD6">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联系方式：</w:t>
            </w:r>
          </w:p>
        </w:tc>
      </w:tr>
      <w:tr w14:paraId="5A5607E7">
        <w:tblPrEx>
          <w:tblCellMar>
            <w:top w:w="0" w:type="dxa"/>
            <w:left w:w="108" w:type="dxa"/>
            <w:bottom w:w="0" w:type="dxa"/>
            <w:right w:w="108" w:type="dxa"/>
          </w:tblCellMar>
        </w:tblPrEx>
        <w:trPr>
          <w:trHeight w:val="320" w:hRule="atLeast"/>
          <w:jc w:val="center"/>
        </w:trPr>
        <w:tc>
          <w:tcPr>
            <w:tcW w:w="4643" w:type="dxa"/>
            <w:tcBorders>
              <w:top w:val="nil"/>
              <w:left w:val="nil"/>
              <w:bottom w:val="nil"/>
              <w:right w:val="nil"/>
            </w:tcBorders>
            <w:vAlign w:val="center"/>
          </w:tcPr>
          <w:p w14:paraId="575BADD2">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开户银行：</w:t>
            </w:r>
          </w:p>
        </w:tc>
        <w:tc>
          <w:tcPr>
            <w:tcW w:w="4643" w:type="dxa"/>
            <w:tcBorders>
              <w:top w:val="nil"/>
              <w:left w:val="nil"/>
              <w:bottom w:val="nil"/>
              <w:right w:val="nil"/>
            </w:tcBorders>
            <w:vAlign w:val="center"/>
          </w:tcPr>
          <w:p w14:paraId="3E18266B">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开户银行：</w:t>
            </w:r>
          </w:p>
        </w:tc>
      </w:tr>
      <w:tr w14:paraId="557B716D">
        <w:tblPrEx>
          <w:tblCellMar>
            <w:top w:w="0" w:type="dxa"/>
            <w:left w:w="108" w:type="dxa"/>
            <w:bottom w:w="0" w:type="dxa"/>
            <w:right w:w="108" w:type="dxa"/>
          </w:tblCellMar>
        </w:tblPrEx>
        <w:trPr>
          <w:trHeight w:val="440" w:hRule="atLeast"/>
          <w:jc w:val="center"/>
        </w:trPr>
        <w:tc>
          <w:tcPr>
            <w:tcW w:w="4643" w:type="dxa"/>
            <w:tcBorders>
              <w:top w:val="nil"/>
              <w:left w:val="nil"/>
              <w:bottom w:val="nil"/>
              <w:right w:val="nil"/>
            </w:tcBorders>
            <w:vAlign w:val="center"/>
          </w:tcPr>
          <w:p w14:paraId="42C19765">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账号：</w:t>
            </w:r>
          </w:p>
        </w:tc>
        <w:tc>
          <w:tcPr>
            <w:tcW w:w="4643" w:type="dxa"/>
            <w:tcBorders>
              <w:top w:val="nil"/>
              <w:left w:val="nil"/>
              <w:bottom w:val="nil"/>
              <w:right w:val="nil"/>
            </w:tcBorders>
            <w:vAlign w:val="center"/>
          </w:tcPr>
          <w:p w14:paraId="0FFDA5C2">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账号：</w:t>
            </w:r>
          </w:p>
        </w:tc>
      </w:tr>
      <w:tr w14:paraId="2234B620">
        <w:tblPrEx>
          <w:tblCellMar>
            <w:top w:w="0" w:type="dxa"/>
            <w:left w:w="108" w:type="dxa"/>
            <w:bottom w:w="0" w:type="dxa"/>
            <w:right w:w="108" w:type="dxa"/>
          </w:tblCellMar>
        </w:tblPrEx>
        <w:trPr>
          <w:trHeight w:val="485" w:hRule="atLeast"/>
          <w:jc w:val="center"/>
        </w:trPr>
        <w:tc>
          <w:tcPr>
            <w:tcW w:w="4643" w:type="dxa"/>
            <w:tcBorders>
              <w:top w:val="nil"/>
              <w:left w:val="nil"/>
              <w:bottom w:val="nil"/>
              <w:right w:val="nil"/>
            </w:tcBorders>
            <w:vAlign w:val="center"/>
          </w:tcPr>
          <w:p w14:paraId="71B1DF0F">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签订日期：    年  月  日</w:t>
            </w:r>
          </w:p>
        </w:tc>
        <w:tc>
          <w:tcPr>
            <w:tcW w:w="4643" w:type="dxa"/>
            <w:tcBorders>
              <w:top w:val="nil"/>
              <w:left w:val="nil"/>
              <w:bottom w:val="nil"/>
              <w:right w:val="nil"/>
            </w:tcBorders>
            <w:vAlign w:val="center"/>
          </w:tcPr>
          <w:p w14:paraId="1BE65299">
            <w:pPr>
              <w:widowControl/>
              <w:adjustRightInd w:val="0"/>
              <w:snapToGrid w:val="0"/>
              <w:spacing w:line="312" w:lineRule="auto"/>
              <w:ind w:firstLine="480"/>
              <w:jc w:val="left"/>
              <w:rPr>
                <w:rFonts w:hint="eastAsia" w:ascii="宋体" w:hAnsi="宋体" w:cs="宋体"/>
                <w:color w:val="auto"/>
                <w:highlight w:val="none"/>
              </w:rPr>
            </w:pPr>
            <w:r>
              <w:rPr>
                <w:rFonts w:hint="eastAsia" w:ascii="宋体" w:hAnsi="宋体" w:cs="宋体"/>
                <w:color w:val="auto"/>
                <w:highlight w:val="none"/>
              </w:rPr>
              <w:t>签订日期：     年  月  日</w:t>
            </w:r>
          </w:p>
        </w:tc>
      </w:tr>
      <w:tr w14:paraId="671772B3">
        <w:tblPrEx>
          <w:tblCellMar>
            <w:top w:w="0" w:type="dxa"/>
            <w:left w:w="108" w:type="dxa"/>
            <w:bottom w:w="0" w:type="dxa"/>
            <w:right w:w="108" w:type="dxa"/>
          </w:tblCellMar>
        </w:tblPrEx>
        <w:trPr>
          <w:trHeight w:val="694" w:hRule="atLeast"/>
          <w:jc w:val="center"/>
        </w:trPr>
        <w:tc>
          <w:tcPr>
            <w:tcW w:w="9286" w:type="dxa"/>
            <w:gridSpan w:val="2"/>
            <w:tcBorders>
              <w:top w:val="nil"/>
              <w:left w:val="nil"/>
              <w:bottom w:val="nil"/>
              <w:right w:val="nil"/>
            </w:tcBorders>
            <w:vAlign w:val="center"/>
          </w:tcPr>
          <w:p w14:paraId="33E49706">
            <w:pPr>
              <w:spacing w:line="312" w:lineRule="auto"/>
              <w:ind w:firstLine="480"/>
              <w:rPr>
                <w:rFonts w:hint="eastAsia" w:ascii="宋体" w:hAnsi="宋体" w:cs="宋体"/>
                <w:color w:val="auto"/>
                <w:highlight w:val="none"/>
                <w:lang w:val="zh-CN"/>
              </w:rPr>
            </w:pPr>
          </w:p>
          <w:p w14:paraId="0F3D4D9E">
            <w:pPr>
              <w:spacing w:line="312" w:lineRule="auto"/>
              <w:ind w:firstLine="480"/>
              <w:rPr>
                <w:rFonts w:hint="eastAsia" w:ascii="宋体" w:hAnsi="宋体" w:cs="宋体"/>
                <w:color w:val="auto"/>
                <w:highlight w:val="none"/>
                <w:lang w:val="zh-CN"/>
              </w:rPr>
            </w:pPr>
          </w:p>
        </w:tc>
      </w:tr>
    </w:tbl>
    <w:p w14:paraId="7ED813D1">
      <w:pPr>
        <w:snapToGrid w:val="0"/>
        <w:spacing w:line="360" w:lineRule="auto"/>
        <w:ind w:firstLine="480"/>
        <w:rPr>
          <w:rFonts w:ascii="宋体" w:cs="宋体"/>
          <w:color w:val="auto"/>
          <w:highlight w:val="none"/>
        </w:rPr>
        <w:sectPr>
          <w:pgSz w:w="11906" w:h="16838"/>
          <w:pgMar w:top="1440" w:right="1803" w:bottom="1440" w:left="1803" w:header="850" w:footer="992" w:gutter="0"/>
          <w:cols w:space="720" w:num="1"/>
          <w:docGrid w:type="lines" w:linePitch="312" w:charSpace="0"/>
        </w:sectPr>
      </w:pPr>
    </w:p>
    <w:bookmarkEnd w:id="308"/>
    <w:bookmarkEnd w:id="313"/>
    <w:bookmarkEnd w:id="314"/>
    <w:bookmarkEnd w:id="315"/>
    <w:bookmarkEnd w:id="316"/>
    <w:bookmarkEnd w:id="317"/>
    <w:bookmarkEnd w:id="318"/>
    <w:bookmarkEnd w:id="319"/>
    <w:bookmarkEnd w:id="320"/>
    <w:bookmarkEnd w:id="321"/>
    <w:bookmarkEnd w:id="326"/>
    <w:p w14:paraId="2D00EC35">
      <w:pPr>
        <w:pStyle w:val="4"/>
        <w:numPr>
          <w:ilvl w:val="0"/>
          <w:numId w:val="1"/>
        </w:numPr>
        <w:spacing w:before="312" w:after="312"/>
        <w:ind w:left="0"/>
        <w:rPr>
          <w:color w:val="auto"/>
          <w:highlight w:val="none"/>
        </w:rPr>
      </w:pPr>
      <w:bookmarkStart w:id="381" w:name="_Toc30927"/>
      <w:r>
        <w:rPr>
          <w:rFonts w:hint="eastAsia"/>
          <w:color w:val="auto"/>
          <w:highlight w:val="none"/>
        </w:rPr>
        <w:t>应提交的有关格式范例</w:t>
      </w:r>
      <w:bookmarkEnd w:id="381"/>
    </w:p>
    <w:p w14:paraId="70AA740D">
      <w:pPr>
        <w:ind w:firstLine="0" w:firstLineChars="0"/>
        <w:jc w:val="center"/>
        <w:outlineLvl w:val="1"/>
        <w:rPr>
          <w:rFonts w:hint="eastAsia" w:ascii="新宋体" w:hAnsi="新宋体" w:eastAsia="新宋体"/>
          <w:bCs/>
          <w:color w:val="auto"/>
          <w:sz w:val="32"/>
          <w:szCs w:val="28"/>
          <w:highlight w:val="none"/>
        </w:rPr>
      </w:pPr>
      <w:bookmarkStart w:id="382" w:name="_Toc509927108"/>
      <w:bookmarkStart w:id="383" w:name="_Toc22702"/>
      <w:bookmarkStart w:id="384" w:name="_Toc13033"/>
      <w:bookmarkStart w:id="385" w:name="_Toc24045"/>
      <w:bookmarkStart w:id="386" w:name="_Toc30114"/>
      <w:bookmarkStart w:id="387" w:name="_Toc357410802"/>
      <w:r>
        <w:rPr>
          <w:rStyle w:val="34"/>
          <w:rFonts w:hint="eastAsia" w:ascii="新宋体" w:hAnsi="新宋体" w:eastAsia="新宋体"/>
          <w:color w:val="auto"/>
          <w:szCs w:val="28"/>
          <w:highlight w:val="none"/>
        </w:rPr>
        <w:t>一、投标文件</w:t>
      </w:r>
      <w:bookmarkEnd w:id="382"/>
      <w:bookmarkEnd w:id="383"/>
      <w:bookmarkEnd w:id="384"/>
      <w:bookmarkEnd w:id="385"/>
      <w:bookmarkEnd w:id="386"/>
    </w:p>
    <w:p w14:paraId="7831F77F">
      <w:pPr>
        <w:snapToGrid w:val="0"/>
        <w:spacing w:before="156" w:beforeLines="50" w:after="50"/>
        <w:ind w:firstLine="482"/>
        <w:rPr>
          <w:rFonts w:hint="eastAsia" w:ascii="宋体" w:hAnsi="宋体" w:cs="宋体"/>
          <w:b/>
          <w:color w:val="auto"/>
          <w:highlight w:val="none"/>
        </w:rPr>
      </w:pPr>
      <w:r>
        <w:rPr>
          <w:rFonts w:hint="eastAsia" w:ascii="宋体" w:hAnsi="宋体" w:cs="宋体"/>
          <w:b/>
          <w:color w:val="auto"/>
          <w:highlight w:val="none"/>
        </w:rPr>
        <w:t xml:space="preserve">1.所有投标文件封面格式： </w:t>
      </w:r>
    </w:p>
    <w:p w14:paraId="1160E714">
      <w:pPr>
        <w:snapToGrid w:val="0"/>
        <w:spacing w:before="156" w:beforeLines="50" w:after="50"/>
        <w:ind w:firstLine="480"/>
        <w:jc w:val="right"/>
        <w:rPr>
          <w:rFonts w:hint="eastAsia" w:ascii="宋体" w:hAnsi="宋体" w:cs="宋体"/>
          <w:b/>
          <w:color w:val="auto"/>
          <w:sz w:val="32"/>
          <w:highlight w:val="none"/>
        </w:rPr>
      </w:pPr>
      <w:r>
        <w:rPr>
          <w:rFonts w:hint="eastAsia" w:ascii="宋体" w:hAnsi="宋体" w:cs="宋体"/>
          <w:color w:val="auto"/>
          <w:highlight w:val="none"/>
        </w:rPr>
        <w:t xml:space="preserve">                                                    </w:t>
      </w:r>
      <w:r>
        <w:rPr>
          <w:rFonts w:hint="eastAsia" w:ascii="宋体" w:hAnsi="宋体" w:cs="宋体"/>
          <w:b/>
          <w:color w:val="auto"/>
          <w:highlight w:val="none"/>
        </w:rPr>
        <w:t>正本/副本</w:t>
      </w:r>
    </w:p>
    <w:p w14:paraId="3CC8B91F">
      <w:pPr>
        <w:snapToGrid w:val="0"/>
        <w:spacing w:before="156" w:beforeLines="50" w:after="50"/>
        <w:ind w:firstLine="450" w:firstLineChars="150"/>
        <w:rPr>
          <w:rFonts w:hint="eastAsia" w:ascii="宋体" w:hAnsi="宋体" w:cs="宋体"/>
          <w:bCs/>
          <w:color w:val="auto"/>
          <w:sz w:val="30"/>
          <w:szCs w:val="30"/>
          <w:highlight w:val="none"/>
        </w:rPr>
      </w:pPr>
    </w:p>
    <w:p w14:paraId="2C17346C">
      <w:pPr>
        <w:snapToGrid w:val="0"/>
        <w:spacing w:before="156" w:beforeLines="50" w:after="50"/>
        <w:ind w:firstLine="1650" w:firstLineChars="550"/>
        <w:rPr>
          <w:rFonts w:hint="eastAsia" w:ascii="宋体" w:hAnsi="宋体" w:cs="宋体"/>
          <w:bCs/>
          <w:color w:val="auto"/>
          <w:sz w:val="30"/>
          <w:szCs w:val="30"/>
          <w:highlight w:val="none"/>
        </w:rPr>
      </w:pPr>
    </w:p>
    <w:p w14:paraId="3802A7FF">
      <w:pPr>
        <w:snapToGrid w:val="0"/>
        <w:spacing w:before="156" w:beforeLines="50" w:after="50"/>
        <w:ind w:firstLine="0" w:firstLineChars="0"/>
        <w:jc w:val="center"/>
        <w:rPr>
          <w:rFonts w:hint="eastAsia" w:ascii="宋体" w:hAnsi="宋体" w:cs="宋体"/>
          <w:bCs/>
          <w:color w:val="auto"/>
          <w:sz w:val="30"/>
          <w:szCs w:val="30"/>
          <w:highlight w:val="none"/>
        </w:rPr>
      </w:pPr>
      <w:r>
        <w:rPr>
          <w:rFonts w:hint="eastAsia" w:ascii="宋体" w:hAnsi="宋体" w:cs="宋体"/>
          <w:color w:val="auto"/>
          <w:sz w:val="30"/>
          <w:szCs w:val="30"/>
          <w:highlight w:val="none"/>
        </w:rPr>
        <w:t>资格审查文件、资信技术文件、报价文件</w:t>
      </w:r>
    </w:p>
    <w:p w14:paraId="1B155B36">
      <w:pPr>
        <w:snapToGrid w:val="0"/>
        <w:spacing w:before="156" w:beforeLines="50" w:after="50"/>
        <w:ind w:firstLine="450" w:firstLineChars="150"/>
        <w:rPr>
          <w:rFonts w:hint="eastAsia" w:ascii="宋体" w:hAnsi="宋体" w:cs="宋体"/>
          <w:bCs/>
          <w:color w:val="auto"/>
          <w:sz w:val="30"/>
          <w:szCs w:val="30"/>
          <w:highlight w:val="none"/>
        </w:rPr>
      </w:pPr>
    </w:p>
    <w:p w14:paraId="5E103C98">
      <w:pPr>
        <w:pStyle w:val="2"/>
        <w:ind w:firstLine="422"/>
        <w:rPr>
          <w:rFonts w:hint="eastAsia" w:ascii="宋体" w:hAnsi="宋体" w:cs="宋体"/>
          <w:b/>
          <w:color w:val="auto"/>
          <w:highlight w:val="none"/>
        </w:rPr>
      </w:pPr>
    </w:p>
    <w:p w14:paraId="2C2932A6">
      <w:pPr>
        <w:pStyle w:val="2"/>
        <w:ind w:firstLine="422"/>
        <w:rPr>
          <w:rFonts w:hint="eastAsia" w:ascii="宋体" w:hAnsi="宋体" w:cs="宋体"/>
          <w:b/>
          <w:color w:val="auto"/>
          <w:highlight w:val="none"/>
        </w:rPr>
      </w:pPr>
    </w:p>
    <w:bookmarkEnd w:id="387"/>
    <w:p w14:paraId="77166C8A">
      <w:pPr>
        <w:snapToGrid w:val="0"/>
        <w:spacing w:line="240" w:lineRule="auto"/>
        <w:ind w:firstLine="843" w:firstLineChars="300"/>
        <w:rPr>
          <w:rFonts w:hint="eastAsia" w:ascii="宋体" w:hAnsi="宋体" w:cs="宋体"/>
          <w:b/>
          <w:color w:val="auto"/>
          <w:sz w:val="28"/>
          <w:szCs w:val="28"/>
          <w:highlight w:val="none"/>
          <w:u w:val="single"/>
        </w:rPr>
      </w:pPr>
      <w:bookmarkStart w:id="388" w:name="_Toc357410803"/>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p>
    <w:p w14:paraId="71720DAF">
      <w:pPr>
        <w:snapToGrid w:val="0"/>
        <w:spacing w:line="240" w:lineRule="auto"/>
        <w:ind w:firstLine="843" w:firstLineChars="300"/>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4D7411CD">
      <w:pPr>
        <w:snapToGrid w:val="0"/>
        <w:spacing w:line="240" w:lineRule="auto"/>
        <w:ind w:firstLine="843" w:firstLineChars="30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项目编号：</w:t>
      </w:r>
      <w:bookmarkEnd w:id="388"/>
      <w:r>
        <w:rPr>
          <w:rFonts w:hint="eastAsia" w:ascii="宋体" w:hAnsi="宋体" w:cs="宋体"/>
          <w:b/>
          <w:color w:val="auto"/>
          <w:sz w:val="28"/>
          <w:szCs w:val="28"/>
          <w:highlight w:val="none"/>
          <w:u w:val="single"/>
        </w:rPr>
        <w:t xml:space="preserve">                                        </w:t>
      </w:r>
    </w:p>
    <w:p w14:paraId="6E0D765C">
      <w:pPr>
        <w:snapToGrid w:val="0"/>
        <w:spacing w:line="240" w:lineRule="auto"/>
        <w:ind w:firstLine="562"/>
        <w:rPr>
          <w:rFonts w:hint="eastAsia" w:ascii="宋体" w:hAnsi="宋体" w:cs="宋体"/>
          <w:b/>
          <w:color w:val="auto"/>
          <w:sz w:val="28"/>
          <w:szCs w:val="28"/>
          <w:highlight w:val="none"/>
          <w:u w:val="single"/>
        </w:rPr>
      </w:pPr>
      <w:bookmarkStart w:id="389" w:name="_Toc357410804"/>
    </w:p>
    <w:p w14:paraId="3C25DA8A">
      <w:pPr>
        <w:snapToGrid w:val="0"/>
        <w:spacing w:line="240" w:lineRule="auto"/>
        <w:ind w:firstLine="843" w:firstLineChars="300"/>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r>
        <w:rPr>
          <w:rFonts w:hint="eastAsia" w:ascii="宋体" w:hAnsi="宋体" w:cs="宋体"/>
          <w:b/>
          <w:color w:val="auto"/>
          <w:sz w:val="28"/>
          <w:szCs w:val="28"/>
          <w:highlight w:val="none"/>
          <w:u w:val="single"/>
        </w:rPr>
        <w:t xml:space="preserve">                        （盖单位公章）</w:t>
      </w:r>
      <w:bookmarkEnd w:id="389"/>
    </w:p>
    <w:p w14:paraId="1B2B0D6B">
      <w:pPr>
        <w:snapToGrid w:val="0"/>
        <w:spacing w:line="240" w:lineRule="auto"/>
        <w:ind w:firstLine="843" w:firstLineChars="300"/>
        <w:rPr>
          <w:rFonts w:hint="eastAsia" w:ascii="宋体" w:hAnsi="宋体" w:cs="宋体"/>
          <w:b/>
          <w:color w:val="auto"/>
          <w:sz w:val="28"/>
          <w:szCs w:val="28"/>
          <w:highlight w:val="none"/>
        </w:rPr>
      </w:pPr>
      <w:bookmarkStart w:id="390" w:name="_Toc357410805"/>
    </w:p>
    <w:p w14:paraId="181CE4FA">
      <w:pPr>
        <w:snapToGrid w:val="0"/>
        <w:spacing w:line="240" w:lineRule="auto"/>
        <w:ind w:firstLine="843" w:firstLineChars="300"/>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负责人</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或授权委托人（签字或盖章）</w:t>
      </w:r>
      <w:r>
        <w:rPr>
          <w:rFonts w:hint="eastAsia" w:ascii="宋体" w:hAnsi="宋体" w:cs="宋体"/>
          <w:b/>
          <w:color w:val="auto"/>
          <w:sz w:val="28"/>
          <w:szCs w:val="28"/>
          <w:highlight w:val="none"/>
          <w:u w:val="single"/>
        </w:rPr>
        <w:t xml:space="preserve">              </w:t>
      </w:r>
    </w:p>
    <w:p w14:paraId="308640FC">
      <w:pPr>
        <w:snapToGrid w:val="0"/>
        <w:spacing w:line="240" w:lineRule="auto"/>
        <w:ind w:firstLine="843" w:firstLineChars="300"/>
        <w:rPr>
          <w:rFonts w:hint="eastAsia" w:ascii="宋体" w:hAnsi="宋体" w:cs="宋体"/>
          <w:b/>
          <w:color w:val="auto"/>
          <w:sz w:val="28"/>
          <w:szCs w:val="28"/>
          <w:highlight w:val="none"/>
        </w:rPr>
      </w:pPr>
    </w:p>
    <w:p w14:paraId="25D5854D">
      <w:pPr>
        <w:snapToGrid w:val="0"/>
        <w:spacing w:line="240" w:lineRule="auto"/>
        <w:ind w:firstLine="3092" w:firstLineChars="1100"/>
        <w:rPr>
          <w:rFonts w:hint="eastAsia" w:ascii="宋体" w:hAnsi="宋体" w:cs="宋体"/>
          <w:b/>
          <w:color w:val="auto"/>
          <w:sz w:val="28"/>
          <w:szCs w:val="28"/>
          <w:highlight w:val="none"/>
        </w:rPr>
      </w:pPr>
    </w:p>
    <w:p w14:paraId="37CD828E">
      <w:pPr>
        <w:snapToGrid w:val="0"/>
        <w:spacing w:line="240" w:lineRule="auto"/>
        <w:ind w:firstLine="3092" w:firstLineChars="1100"/>
        <w:rPr>
          <w:rFonts w:hint="eastAsia" w:ascii="宋体" w:hAnsi="宋体" w:cs="宋体"/>
          <w:b/>
          <w:color w:val="auto"/>
          <w:sz w:val="28"/>
          <w:szCs w:val="28"/>
          <w:highlight w:val="none"/>
        </w:rPr>
      </w:pPr>
    </w:p>
    <w:p w14:paraId="4835F6F3">
      <w:pPr>
        <w:snapToGrid w:val="0"/>
        <w:spacing w:line="240" w:lineRule="auto"/>
        <w:ind w:firstLine="3092" w:firstLineChars="1100"/>
        <w:rPr>
          <w:rFonts w:hint="eastAsia" w:ascii="宋体" w:hAnsi="宋体" w:cs="宋体"/>
          <w:b/>
          <w:color w:val="auto"/>
          <w:sz w:val="28"/>
          <w:szCs w:val="28"/>
          <w:highlight w:val="none"/>
        </w:rPr>
      </w:pPr>
    </w:p>
    <w:p w14:paraId="712E9A4F">
      <w:pPr>
        <w:snapToGrid w:val="0"/>
        <w:spacing w:line="240" w:lineRule="auto"/>
        <w:ind w:firstLine="3092" w:firstLineChars="1100"/>
        <w:rPr>
          <w:rFonts w:hint="eastAsia" w:ascii="宋体" w:hAnsi="宋体" w:cs="宋体"/>
          <w:b/>
          <w:color w:val="auto"/>
          <w:sz w:val="28"/>
          <w:szCs w:val="28"/>
          <w:highlight w:val="none"/>
        </w:rPr>
      </w:pPr>
      <w:r>
        <w:rPr>
          <w:rFonts w:hint="eastAsia" w:ascii="宋体" w:hAnsi="宋体" w:cs="宋体"/>
          <w:b/>
          <w:color w:val="auto"/>
          <w:sz w:val="28"/>
          <w:szCs w:val="28"/>
          <w:highlight w:val="none"/>
        </w:rPr>
        <w:t>日期：  年   月   日</w:t>
      </w:r>
      <w:bookmarkEnd w:id="390"/>
    </w:p>
    <w:p w14:paraId="1FA1F1AE">
      <w:pPr>
        <w:widowControl/>
        <w:spacing w:line="240" w:lineRule="auto"/>
        <w:ind w:firstLine="0" w:firstLineChars="0"/>
        <w:jc w:val="left"/>
        <w:outlineLvl w:val="1"/>
        <w:rPr>
          <w:rFonts w:hint="eastAsia" w:ascii="宋体" w:hAnsi="宋体"/>
          <w:b/>
          <w:bCs/>
          <w:color w:val="auto"/>
          <w:sz w:val="28"/>
          <w:szCs w:val="28"/>
          <w:highlight w:val="none"/>
        </w:rPr>
        <w:sectPr>
          <w:pgSz w:w="11906" w:h="16838"/>
          <w:pgMar w:top="1440" w:right="1803" w:bottom="1440" w:left="1803" w:header="850" w:footer="992" w:gutter="0"/>
          <w:cols w:space="720" w:num="1"/>
          <w:docGrid w:type="lines" w:linePitch="312" w:charSpace="0"/>
        </w:sectPr>
      </w:pPr>
      <w:bookmarkStart w:id="391" w:name="_Toc13479"/>
    </w:p>
    <w:p w14:paraId="52D9884B">
      <w:pPr>
        <w:ind w:firstLine="0" w:firstLineChars="0"/>
        <w:jc w:val="center"/>
        <w:outlineLvl w:val="1"/>
        <w:rPr>
          <w:rStyle w:val="34"/>
          <w:rFonts w:hint="eastAsia" w:ascii="新宋体" w:hAnsi="新宋体" w:eastAsia="新宋体"/>
          <w:color w:val="auto"/>
          <w:szCs w:val="28"/>
          <w:highlight w:val="none"/>
        </w:rPr>
      </w:pPr>
      <w:bookmarkStart w:id="392" w:name="_Toc462076253"/>
      <w:bookmarkStart w:id="393" w:name="_Toc28653"/>
      <w:bookmarkStart w:id="394" w:name="_Toc509927109"/>
      <w:bookmarkStart w:id="395" w:name="_Toc14057"/>
      <w:bookmarkStart w:id="396" w:name="_Toc3890"/>
      <w:bookmarkStart w:id="397" w:name="_Toc13961"/>
      <w:r>
        <w:rPr>
          <w:rStyle w:val="34"/>
          <w:rFonts w:hint="eastAsia" w:ascii="新宋体" w:hAnsi="新宋体" w:eastAsia="新宋体"/>
          <w:color w:val="auto"/>
          <w:szCs w:val="28"/>
          <w:highlight w:val="none"/>
        </w:rPr>
        <w:t>二、资格审查文件格式</w:t>
      </w:r>
      <w:bookmarkEnd w:id="392"/>
      <w:bookmarkEnd w:id="393"/>
      <w:bookmarkEnd w:id="394"/>
      <w:bookmarkEnd w:id="395"/>
      <w:bookmarkEnd w:id="396"/>
      <w:bookmarkEnd w:id="397"/>
    </w:p>
    <w:bookmarkEnd w:id="391"/>
    <w:p w14:paraId="4FCD72A8">
      <w:pPr>
        <w:ind w:firstLine="0" w:firstLineChars="0"/>
        <w:rPr>
          <w:rFonts w:hint="eastAsia" w:ascii="宋体" w:hAnsi="宋体" w:cs="宋体"/>
          <w:b/>
          <w:bCs/>
          <w:color w:val="auto"/>
          <w:highlight w:val="none"/>
        </w:rPr>
      </w:pPr>
    </w:p>
    <w:p w14:paraId="3F0F80A0">
      <w:pPr>
        <w:adjustRightInd w:val="0"/>
        <w:snapToGrid w:val="0"/>
        <w:spacing w:line="360" w:lineRule="auto"/>
        <w:ind w:firstLine="0" w:firstLineChars="0"/>
        <w:jc w:val="left"/>
        <w:rPr>
          <w:rFonts w:hint="eastAsia" w:ascii="宋体" w:hAnsi="宋体" w:cs="宋体"/>
          <w:bCs/>
          <w:color w:val="auto"/>
          <w:highlight w:val="none"/>
        </w:rPr>
      </w:pPr>
      <w:bookmarkStart w:id="398" w:name="_Toc21872"/>
      <w:bookmarkStart w:id="399" w:name="_Toc6481"/>
      <w:r>
        <w:rPr>
          <w:rFonts w:hint="eastAsia" w:ascii="宋体" w:hAnsi="宋体" w:cs="宋体"/>
          <w:bCs/>
          <w:color w:val="auto"/>
          <w:highlight w:val="none"/>
        </w:rPr>
        <w:t>附件1</w:t>
      </w:r>
    </w:p>
    <w:p w14:paraId="076D77BF">
      <w:pPr>
        <w:pStyle w:val="35"/>
        <w:widowControl w:val="0"/>
        <w:snapToGrid w:val="0"/>
        <w:spacing w:after="317" w:afterLines="100" w:line="240" w:lineRule="auto"/>
        <w:ind w:right="0" w:firstLine="720"/>
        <w:jc w:val="center"/>
        <w:rPr>
          <w:rFonts w:hint="eastAsia" w:ascii="宋体" w:hAnsi="宋体" w:cs="宋体"/>
          <w:color w:val="auto"/>
          <w:sz w:val="36"/>
          <w:szCs w:val="28"/>
          <w:highlight w:val="none"/>
        </w:rPr>
      </w:pPr>
      <w:r>
        <w:rPr>
          <w:rFonts w:hint="eastAsia" w:ascii="宋体" w:hAnsi="宋体" w:cs="宋体"/>
          <w:color w:val="auto"/>
          <w:sz w:val="36"/>
          <w:szCs w:val="28"/>
          <w:highlight w:val="none"/>
        </w:rPr>
        <w:t>投标人基本情况表</w:t>
      </w:r>
    </w:p>
    <w:tbl>
      <w:tblPr>
        <w:tblStyle w:val="19"/>
        <w:tblW w:w="9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2"/>
        <w:gridCol w:w="1194"/>
        <w:gridCol w:w="1218"/>
        <w:gridCol w:w="705"/>
        <w:gridCol w:w="508"/>
        <w:gridCol w:w="1214"/>
        <w:gridCol w:w="1044"/>
        <w:gridCol w:w="1707"/>
      </w:tblGrid>
      <w:tr w14:paraId="3A5C9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2224DC">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投标人名称</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1C059B">
            <w:pPr>
              <w:snapToGrid w:val="0"/>
              <w:spacing w:line="240" w:lineRule="auto"/>
              <w:ind w:firstLine="0" w:firstLineChars="0"/>
              <w:rPr>
                <w:rFonts w:hint="eastAsia" w:ascii="宋体" w:hAnsi="宋体" w:cs="宋体"/>
                <w:color w:val="auto"/>
                <w:highlight w:val="none"/>
              </w:rPr>
            </w:pPr>
          </w:p>
        </w:tc>
      </w:tr>
      <w:tr w14:paraId="3E074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540F444">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注册地址</w:t>
            </w:r>
          </w:p>
        </w:tc>
        <w:tc>
          <w:tcPr>
            <w:tcW w:w="3625"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2E6E48">
            <w:pPr>
              <w:snapToGrid w:val="0"/>
              <w:spacing w:line="240" w:lineRule="auto"/>
              <w:ind w:firstLine="0" w:firstLineChars="0"/>
              <w:rPr>
                <w:rFonts w:hint="eastAsia" w:ascii="宋体" w:hAnsi="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8625A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邮政编码</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29D5342">
            <w:pPr>
              <w:snapToGrid w:val="0"/>
              <w:spacing w:line="240" w:lineRule="auto"/>
              <w:ind w:firstLine="0" w:firstLineChars="0"/>
              <w:rPr>
                <w:rFonts w:hint="eastAsia" w:ascii="宋体" w:hAnsi="宋体" w:cs="宋体"/>
                <w:color w:val="auto"/>
                <w:highlight w:val="none"/>
              </w:rPr>
            </w:pPr>
          </w:p>
        </w:tc>
      </w:tr>
      <w:tr w14:paraId="3E822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1998B9B3">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联系方式</w:t>
            </w:r>
          </w:p>
        </w:tc>
        <w:tc>
          <w:tcPr>
            <w:tcW w:w="119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2AB3300">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联系人</w:t>
            </w:r>
          </w:p>
        </w:tc>
        <w:tc>
          <w:tcPr>
            <w:tcW w:w="243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DA5109B">
            <w:pPr>
              <w:snapToGrid w:val="0"/>
              <w:spacing w:line="240" w:lineRule="auto"/>
              <w:ind w:firstLine="0" w:firstLineChars="0"/>
              <w:rPr>
                <w:rFonts w:hint="eastAsia" w:ascii="宋体" w:hAnsi="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AB90D6">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8A777A9">
            <w:pPr>
              <w:snapToGrid w:val="0"/>
              <w:spacing w:line="240" w:lineRule="auto"/>
              <w:ind w:firstLine="0" w:firstLineChars="0"/>
              <w:rPr>
                <w:rFonts w:hint="eastAsia" w:ascii="宋体" w:hAnsi="宋体" w:cs="宋体"/>
                <w:color w:val="auto"/>
                <w:highlight w:val="none"/>
              </w:rPr>
            </w:pPr>
          </w:p>
        </w:tc>
      </w:tr>
      <w:tr w14:paraId="3B270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right w:val="single" w:color="auto" w:sz="4" w:space="0"/>
            </w:tcBorders>
            <w:tcMar>
              <w:top w:w="113" w:type="dxa"/>
              <w:left w:w="108" w:type="dxa"/>
              <w:bottom w:w="113" w:type="dxa"/>
              <w:right w:w="108" w:type="dxa"/>
            </w:tcMar>
            <w:vAlign w:val="center"/>
          </w:tcPr>
          <w:p w14:paraId="03D37699">
            <w:pPr>
              <w:snapToGrid w:val="0"/>
              <w:spacing w:line="240" w:lineRule="auto"/>
              <w:ind w:firstLine="0" w:firstLineChars="0"/>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E616C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传真</w:t>
            </w:r>
          </w:p>
        </w:tc>
        <w:tc>
          <w:tcPr>
            <w:tcW w:w="243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B7430F7">
            <w:pPr>
              <w:snapToGrid w:val="0"/>
              <w:spacing w:line="240" w:lineRule="auto"/>
              <w:ind w:firstLine="0" w:firstLineChars="0"/>
              <w:rPr>
                <w:rFonts w:hint="eastAsia" w:ascii="宋体" w:hAnsi="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D883ED">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移动电话</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DB68A10">
            <w:pPr>
              <w:snapToGrid w:val="0"/>
              <w:spacing w:line="240" w:lineRule="auto"/>
              <w:ind w:firstLine="0" w:firstLineChars="0"/>
              <w:rPr>
                <w:rFonts w:hint="eastAsia" w:ascii="宋体" w:hAnsi="宋体" w:cs="宋体"/>
                <w:color w:val="auto"/>
                <w:highlight w:val="none"/>
              </w:rPr>
            </w:pPr>
          </w:p>
        </w:tc>
      </w:tr>
      <w:tr w14:paraId="35323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4319320">
            <w:pPr>
              <w:snapToGrid w:val="0"/>
              <w:spacing w:line="240" w:lineRule="auto"/>
              <w:ind w:firstLine="0" w:firstLineChars="0"/>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12F040">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电子邮箱</w:t>
            </w:r>
          </w:p>
        </w:tc>
        <w:tc>
          <w:tcPr>
            <w:tcW w:w="243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157D6E0">
            <w:pPr>
              <w:snapToGrid w:val="0"/>
              <w:spacing w:line="240" w:lineRule="auto"/>
              <w:ind w:firstLine="0" w:firstLineChars="0"/>
              <w:rPr>
                <w:rFonts w:hint="eastAsia" w:ascii="宋体" w:hAnsi="宋体" w:cs="宋体"/>
                <w:color w:val="auto"/>
                <w:highlight w:val="none"/>
              </w:rPr>
            </w:pP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9825D1">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网址</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541F08A">
            <w:pPr>
              <w:snapToGrid w:val="0"/>
              <w:spacing w:line="240" w:lineRule="auto"/>
              <w:ind w:firstLine="0" w:firstLineChars="0"/>
              <w:rPr>
                <w:rFonts w:hint="eastAsia" w:ascii="宋体" w:hAnsi="宋体" w:cs="宋体"/>
                <w:color w:val="auto"/>
                <w:highlight w:val="none"/>
              </w:rPr>
            </w:pPr>
          </w:p>
        </w:tc>
      </w:tr>
      <w:tr w14:paraId="2D1DF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30CD2BB">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组织结构</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010E7CB">
            <w:pPr>
              <w:snapToGrid w:val="0"/>
              <w:spacing w:line="240" w:lineRule="auto"/>
              <w:ind w:firstLine="0" w:firstLineChars="0"/>
              <w:rPr>
                <w:rFonts w:hint="eastAsia" w:ascii="宋体" w:hAnsi="宋体" w:cs="宋体"/>
                <w:color w:val="auto"/>
                <w:highlight w:val="none"/>
              </w:rPr>
            </w:pPr>
          </w:p>
        </w:tc>
      </w:tr>
      <w:tr w14:paraId="24106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C52AFF2">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法定代表人（负责人）</w:t>
            </w:r>
          </w:p>
        </w:tc>
        <w:tc>
          <w:tcPr>
            <w:tcW w:w="119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99066D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姓名</w:t>
            </w:r>
          </w:p>
        </w:tc>
        <w:tc>
          <w:tcPr>
            <w:tcW w:w="1218"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06F152C">
            <w:pPr>
              <w:snapToGrid w:val="0"/>
              <w:spacing w:line="240" w:lineRule="auto"/>
              <w:ind w:firstLine="0" w:firstLineChars="0"/>
              <w:rPr>
                <w:rFonts w:hint="eastAsia" w:ascii="宋体" w:hAnsi="宋体" w:cs="宋体"/>
                <w:color w:val="auto"/>
                <w:highlight w:val="none"/>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F738DF5">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B37187">
            <w:pPr>
              <w:snapToGrid w:val="0"/>
              <w:spacing w:line="240" w:lineRule="auto"/>
              <w:ind w:firstLine="0" w:firstLineChars="0"/>
              <w:rPr>
                <w:rFonts w:hint="eastAsia" w:ascii="宋体" w:hAnsi="宋体" w:cs="宋体"/>
                <w:color w:val="auto"/>
                <w:highlight w:val="none"/>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3350A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C64251D">
            <w:pPr>
              <w:snapToGrid w:val="0"/>
              <w:spacing w:line="240" w:lineRule="auto"/>
              <w:ind w:firstLine="0" w:firstLineChars="0"/>
              <w:rPr>
                <w:rFonts w:hint="eastAsia" w:ascii="宋体" w:hAnsi="宋体" w:cs="宋体"/>
                <w:color w:val="auto"/>
                <w:highlight w:val="none"/>
              </w:rPr>
            </w:pPr>
          </w:p>
        </w:tc>
      </w:tr>
      <w:tr w14:paraId="73DE6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CAF4FF">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技术负责人</w:t>
            </w:r>
          </w:p>
        </w:tc>
        <w:tc>
          <w:tcPr>
            <w:tcW w:w="119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64250A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姓名</w:t>
            </w:r>
          </w:p>
        </w:tc>
        <w:tc>
          <w:tcPr>
            <w:tcW w:w="1218"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69C13BF">
            <w:pPr>
              <w:snapToGrid w:val="0"/>
              <w:spacing w:line="240" w:lineRule="auto"/>
              <w:ind w:firstLine="0" w:firstLineChars="0"/>
              <w:rPr>
                <w:rFonts w:hint="eastAsia" w:ascii="宋体" w:hAnsi="宋体" w:cs="宋体"/>
                <w:color w:val="auto"/>
                <w:highlight w:val="none"/>
              </w:rPr>
            </w:pPr>
          </w:p>
        </w:tc>
        <w:tc>
          <w:tcPr>
            <w:tcW w:w="1213"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D3314FE">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技术职称</w:t>
            </w:r>
          </w:p>
        </w:tc>
        <w:tc>
          <w:tcPr>
            <w:tcW w:w="12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9F9E4C2">
            <w:pPr>
              <w:snapToGrid w:val="0"/>
              <w:spacing w:line="240" w:lineRule="auto"/>
              <w:ind w:firstLine="0" w:firstLineChars="0"/>
              <w:rPr>
                <w:rFonts w:hint="eastAsia" w:ascii="宋体" w:hAnsi="宋体" w:cs="宋体"/>
                <w:color w:val="auto"/>
                <w:highlight w:val="none"/>
              </w:rPr>
            </w:pPr>
          </w:p>
        </w:tc>
        <w:tc>
          <w:tcPr>
            <w:tcW w:w="104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DAD5C21">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电话</w:t>
            </w:r>
          </w:p>
        </w:tc>
        <w:tc>
          <w:tcPr>
            <w:tcW w:w="170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4055A3">
            <w:pPr>
              <w:snapToGrid w:val="0"/>
              <w:spacing w:line="240" w:lineRule="auto"/>
              <w:ind w:firstLine="0" w:firstLineChars="0"/>
              <w:rPr>
                <w:rFonts w:hint="eastAsia" w:ascii="宋体" w:hAnsi="宋体" w:cs="宋体"/>
                <w:color w:val="auto"/>
                <w:highlight w:val="none"/>
              </w:rPr>
            </w:pPr>
          </w:p>
        </w:tc>
      </w:tr>
      <w:tr w14:paraId="1B8D7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B39EB0">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成立时间</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FE0F253">
            <w:pPr>
              <w:snapToGrid w:val="0"/>
              <w:spacing w:line="240" w:lineRule="auto"/>
              <w:ind w:firstLine="0" w:firstLineChars="0"/>
              <w:rPr>
                <w:rFonts w:hint="eastAsia" w:ascii="宋体" w:hAnsi="宋体" w:cs="宋体"/>
                <w:color w:val="auto"/>
                <w:highlight w:val="none"/>
              </w:rPr>
            </w:pPr>
          </w:p>
        </w:tc>
        <w:tc>
          <w:tcPr>
            <w:tcW w:w="5178"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223852">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员工总人数：</w:t>
            </w:r>
          </w:p>
        </w:tc>
      </w:tr>
      <w:tr w14:paraId="66094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5F2FE3E6">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统一社会</w:t>
            </w:r>
          </w:p>
          <w:p w14:paraId="5D5A0BC6">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信用代码</w:t>
            </w:r>
          </w:p>
        </w:tc>
        <w:tc>
          <w:tcPr>
            <w:tcW w:w="241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27CE2FF4">
            <w:pPr>
              <w:snapToGrid w:val="0"/>
              <w:spacing w:line="240" w:lineRule="auto"/>
              <w:ind w:firstLine="0" w:firstLineChars="0"/>
              <w:rPr>
                <w:rFonts w:hint="eastAsia" w:ascii="宋体" w:hAnsi="宋体" w:cs="宋体"/>
                <w:color w:val="auto"/>
                <w:highlight w:val="none"/>
              </w:rPr>
            </w:pPr>
          </w:p>
        </w:tc>
        <w:tc>
          <w:tcPr>
            <w:tcW w:w="705"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04B6FC3F">
            <w:pPr>
              <w:snapToGrid w:val="0"/>
              <w:spacing w:line="240" w:lineRule="auto"/>
              <w:ind w:firstLine="0" w:firstLineChars="0"/>
              <w:jc w:val="center"/>
              <w:rPr>
                <w:rFonts w:hint="eastAsia" w:ascii="宋体" w:hAnsi="宋体" w:cs="宋体"/>
                <w:color w:val="auto"/>
                <w:highlight w:val="none"/>
              </w:rPr>
            </w:pPr>
            <w:r>
              <w:rPr>
                <w:rFonts w:hint="eastAsia" w:ascii="宋体" w:hAnsi="宋体" w:cs="宋体"/>
                <w:color w:val="auto"/>
                <w:spacing w:val="125"/>
                <w:highlight w:val="none"/>
              </w:rPr>
              <w:t>其</w:t>
            </w:r>
            <w:r>
              <w:rPr>
                <w:rFonts w:hint="eastAsia" w:ascii="宋体" w:hAnsi="宋体" w:cs="宋体"/>
                <w:color w:val="auto"/>
                <w:highlight w:val="none"/>
              </w:rPr>
              <w:t>中</w:t>
            </w: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42F2769">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注册职业资格</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7571AA">
            <w:pPr>
              <w:snapToGrid w:val="0"/>
              <w:spacing w:line="240" w:lineRule="auto"/>
              <w:ind w:firstLine="0" w:firstLineChars="0"/>
              <w:rPr>
                <w:rFonts w:hint="eastAsia" w:ascii="宋体" w:hAnsi="宋体" w:cs="宋体"/>
                <w:color w:val="auto"/>
                <w:highlight w:val="none"/>
              </w:rPr>
            </w:pPr>
          </w:p>
        </w:tc>
      </w:tr>
      <w:tr w14:paraId="5506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1399730C">
            <w:pPr>
              <w:snapToGrid w:val="0"/>
              <w:spacing w:line="240" w:lineRule="auto"/>
              <w:ind w:firstLine="0" w:firstLineChars="0"/>
              <w:jc w:val="left"/>
              <w:rPr>
                <w:rFonts w:hint="eastAsia" w:ascii="宋体" w:hAnsi="宋体" w:cs="宋体"/>
                <w:color w:val="auto"/>
                <w:highlight w:val="none"/>
              </w:rPr>
            </w:pPr>
          </w:p>
        </w:tc>
        <w:tc>
          <w:tcPr>
            <w:tcW w:w="241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7AA7E099">
            <w:pPr>
              <w:snapToGrid w:val="0"/>
              <w:spacing w:line="240" w:lineRule="auto"/>
              <w:ind w:firstLine="0" w:firstLineChars="0"/>
              <w:rPr>
                <w:rFonts w:hint="eastAsia" w:ascii="宋体" w:hAnsi="宋体" w:cs="宋体"/>
                <w:color w:val="auto"/>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304DF725">
            <w:pPr>
              <w:snapToGrid w:val="0"/>
              <w:spacing w:line="240" w:lineRule="auto"/>
              <w:ind w:firstLine="0" w:firstLineChars="0"/>
              <w:rPr>
                <w:rFonts w:hint="eastAsia" w:ascii="宋体" w:hAnsi="宋体" w:cs="宋体"/>
                <w:color w:val="auto"/>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70DDFD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高级职称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7C0EDE1">
            <w:pPr>
              <w:snapToGrid w:val="0"/>
              <w:spacing w:line="240" w:lineRule="auto"/>
              <w:ind w:firstLine="0" w:firstLineChars="0"/>
              <w:rPr>
                <w:rFonts w:hint="eastAsia" w:ascii="宋体" w:hAnsi="宋体" w:cs="宋体"/>
                <w:color w:val="auto"/>
                <w:highlight w:val="none"/>
              </w:rPr>
            </w:pPr>
          </w:p>
        </w:tc>
      </w:tr>
      <w:tr w14:paraId="3F148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253988A">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注册资本</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46C9147">
            <w:pPr>
              <w:snapToGrid w:val="0"/>
              <w:spacing w:line="240" w:lineRule="auto"/>
              <w:ind w:firstLine="0" w:firstLineChars="0"/>
              <w:rPr>
                <w:rFonts w:hint="eastAsia" w:ascii="宋体" w:hAnsi="宋体" w:cs="宋体"/>
                <w:color w:val="auto"/>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0A544A63">
            <w:pPr>
              <w:snapToGrid w:val="0"/>
              <w:spacing w:line="240" w:lineRule="auto"/>
              <w:ind w:firstLine="0" w:firstLineChars="0"/>
              <w:rPr>
                <w:rFonts w:hint="eastAsia" w:ascii="宋体" w:hAnsi="宋体" w:cs="宋体"/>
                <w:color w:val="auto"/>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987363A">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中级职称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6F80764">
            <w:pPr>
              <w:snapToGrid w:val="0"/>
              <w:spacing w:line="240" w:lineRule="auto"/>
              <w:ind w:firstLine="0" w:firstLineChars="0"/>
              <w:rPr>
                <w:rFonts w:hint="eastAsia" w:ascii="宋体" w:hAnsi="宋体" w:cs="宋体"/>
                <w:color w:val="auto"/>
                <w:highlight w:val="none"/>
              </w:rPr>
            </w:pPr>
          </w:p>
        </w:tc>
      </w:tr>
      <w:tr w14:paraId="08743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ACA333E">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开户银行</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FD88287">
            <w:pPr>
              <w:snapToGrid w:val="0"/>
              <w:spacing w:line="240" w:lineRule="auto"/>
              <w:ind w:firstLine="0" w:firstLineChars="0"/>
              <w:rPr>
                <w:rFonts w:hint="eastAsia" w:ascii="宋体" w:hAnsi="宋体" w:cs="宋体"/>
                <w:color w:val="auto"/>
                <w:highlight w:val="none"/>
              </w:rPr>
            </w:pPr>
          </w:p>
        </w:tc>
        <w:tc>
          <w:tcPr>
            <w:tcW w:w="705" w:type="dxa"/>
            <w:vMerge w:val="continue"/>
            <w:tcBorders>
              <w:left w:val="single" w:color="auto" w:sz="4" w:space="0"/>
              <w:right w:val="single" w:color="auto" w:sz="4" w:space="0"/>
            </w:tcBorders>
            <w:tcMar>
              <w:top w:w="113" w:type="dxa"/>
              <w:left w:w="108" w:type="dxa"/>
              <w:bottom w:w="113" w:type="dxa"/>
              <w:right w:w="108" w:type="dxa"/>
            </w:tcMar>
            <w:vAlign w:val="center"/>
          </w:tcPr>
          <w:p w14:paraId="0F1786F9">
            <w:pPr>
              <w:snapToGrid w:val="0"/>
              <w:spacing w:line="240" w:lineRule="auto"/>
              <w:ind w:firstLine="0" w:firstLineChars="0"/>
              <w:rPr>
                <w:rFonts w:hint="eastAsia" w:ascii="宋体" w:hAnsi="宋体" w:cs="宋体"/>
                <w:color w:val="auto"/>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EC67448">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初级职称</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1531E28">
            <w:pPr>
              <w:snapToGrid w:val="0"/>
              <w:spacing w:line="240" w:lineRule="auto"/>
              <w:ind w:firstLine="0" w:firstLineChars="0"/>
              <w:rPr>
                <w:rFonts w:hint="eastAsia" w:ascii="宋体" w:hAnsi="宋体" w:cs="宋体"/>
                <w:color w:val="auto"/>
                <w:highlight w:val="none"/>
              </w:rPr>
            </w:pPr>
          </w:p>
        </w:tc>
      </w:tr>
      <w:tr w14:paraId="129B1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90B5357">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账号</w:t>
            </w:r>
          </w:p>
        </w:tc>
        <w:tc>
          <w:tcPr>
            <w:tcW w:w="241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D4B6CD8">
            <w:pPr>
              <w:snapToGrid w:val="0"/>
              <w:spacing w:line="240" w:lineRule="auto"/>
              <w:ind w:firstLine="0" w:firstLineChars="0"/>
              <w:rPr>
                <w:rFonts w:hint="eastAsia" w:ascii="宋体" w:hAnsi="宋体" w:cs="宋体"/>
                <w:color w:val="auto"/>
                <w:highlight w:val="none"/>
              </w:rPr>
            </w:pPr>
          </w:p>
        </w:tc>
        <w:tc>
          <w:tcPr>
            <w:tcW w:w="705"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58442CA1">
            <w:pPr>
              <w:snapToGrid w:val="0"/>
              <w:spacing w:line="240" w:lineRule="auto"/>
              <w:ind w:firstLine="0" w:firstLineChars="0"/>
              <w:rPr>
                <w:rFonts w:hint="eastAsia" w:ascii="宋体" w:hAnsi="宋体" w:cs="宋体"/>
                <w:color w:val="auto"/>
                <w:highlight w:val="none"/>
              </w:rPr>
            </w:pPr>
          </w:p>
        </w:tc>
        <w:tc>
          <w:tcPr>
            <w:tcW w:w="172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62A217">
            <w:pPr>
              <w:snapToGrid w:val="0"/>
              <w:spacing w:line="240" w:lineRule="auto"/>
              <w:ind w:firstLine="0" w:firstLineChars="0"/>
              <w:rPr>
                <w:rFonts w:hint="eastAsia" w:ascii="宋体" w:hAnsi="宋体" w:cs="宋体"/>
                <w:color w:val="auto"/>
                <w:highlight w:val="none"/>
              </w:rPr>
            </w:pPr>
            <w:r>
              <w:rPr>
                <w:rFonts w:hint="eastAsia" w:ascii="宋体" w:hAnsi="宋体" w:cs="宋体"/>
                <w:color w:val="auto"/>
                <w:highlight w:val="none"/>
              </w:rPr>
              <w:t>其他</w:t>
            </w:r>
          </w:p>
        </w:tc>
        <w:tc>
          <w:tcPr>
            <w:tcW w:w="2751"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E4FB627">
            <w:pPr>
              <w:snapToGrid w:val="0"/>
              <w:spacing w:line="240" w:lineRule="auto"/>
              <w:ind w:firstLine="0" w:firstLineChars="0"/>
              <w:rPr>
                <w:rFonts w:hint="eastAsia" w:ascii="宋体" w:hAnsi="宋体" w:cs="宋体"/>
                <w:color w:val="auto"/>
                <w:highlight w:val="none"/>
              </w:rPr>
            </w:pPr>
          </w:p>
        </w:tc>
      </w:tr>
      <w:tr w14:paraId="0F41F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AA221D9">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经营范围</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74828FD">
            <w:pPr>
              <w:spacing w:line="240" w:lineRule="auto"/>
              <w:ind w:firstLine="0" w:firstLineChars="0"/>
              <w:rPr>
                <w:rFonts w:hint="eastAsia" w:ascii="宋体" w:hAnsi="宋体" w:cs="宋体"/>
                <w:color w:val="auto"/>
                <w:highlight w:val="none"/>
              </w:rPr>
            </w:pPr>
          </w:p>
          <w:p w14:paraId="4474B833">
            <w:pPr>
              <w:pStyle w:val="36"/>
              <w:spacing w:line="240" w:lineRule="auto"/>
              <w:ind w:firstLine="0" w:firstLineChars="0"/>
              <w:rPr>
                <w:rFonts w:hint="eastAsia" w:ascii="宋体" w:hAnsi="宋体" w:cs="宋体"/>
                <w:color w:val="auto"/>
                <w:highlight w:val="none"/>
              </w:rPr>
            </w:pPr>
          </w:p>
        </w:tc>
      </w:tr>
      <w:tr w14:paraId="7F164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5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4C6A47">
            <w:pPr>
              <w:snapToGrid w:val="0"/>
              <w:spacing w:line="240"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备注</w:t>
            </w:r>
          </w:p>
        </w:tc>
        <w:tc>
          <w:tcPr>
            <w:tcW w:w="7590"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229FEC3">
            <w:pPr>
              <w:pStyle w:val="18"/>
              <w:spacing w:after="0"/>
              <w:ind w:left="0" w:leftChars="0" w:firstLine="0" w:firstLineChars="0"/>
              <w:rPr>
                <w:rFonts w:hint="eastAsia" w:ascii="宋体" w:hAnsi="宋体"/>
                <w:color w:val="auto"/>
                <w:sz w:val="24"/>
                <w:szCs w:val="24"/>
                <w:highlight w:val="none"/>
              </w:rPr>
            </w:pPr>
          </w:p>
        </w:tc>
      </w:tr>
    </w:tbl>
    <w:p w14:paraId="1C89D647">
      <w:pPr>
        <w:ind w:firstLine="3360" w:firstLineChars="1400"/>
        <w:rPr>
          <w:rFonts w:hint="eastAsia" w:ascii="宋体" w:hAnsi="宋体"/>
          <w:color w:val="auto"/>
          <w:highlight w:val="none"/>
        </w:rPr>
      </w:pPr>
    </w:p>
    <w:p w14:paraId="26126737">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71526C4C">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145934D6">
      <w:pPr>
        <w:ind w:firstLine="5520" w:firstLineChars="2300"/>
        <w:rPr>
          <w:rFonts w:hint="eastAsia" w:ascii="宋体" w:hAnsi="宋体"/>
          <w:color w:val="auto"/>
          <w:highlight w:val="none"/>
        </w:rPr>
      </w:pPr>
      <w:r>
        <w:rPr>
          <w:rFonts w:hint="eastAsia" w:ascii="宋体" w:hAnsi="宋体"/>
          <w:color w:val="auto"/>
          <w:highlight w:val="none"/>
        </w:rPr>
        <w:t>日期：</w:t>
      </w:r>
    </w:p>
    <w:p w14:paraId="6B8D104C">
      <w:pPr>
        <w:adjustRightInd w:val="0"/>
        <w:snapToGrid w:val="0"/>
        <w:spacing w:line="360" w:lineRule="auto"/>
        <w:ind w:firstLine="0" w:firstLineChars="0"/>
        <w:jc w:val="left"/>
        <w:rPr>
          <w:rFonts w:hint="eastAsia" w:ascii="宋体" w:hAnsi="宋体" w:cs="宋体"/>
          <w:bCs/>
          <w:color w:val="auto"/>
          <w:highlight w:val="none"/>
        </w:rPr>
        <w:sectPr>
          <w:pgSz w:w="11906" w:h="16838"/>
          <w:pgMar w:top="1440" w:right="1803" w:bottom="1440" w:left="1803" w:header="850" w:footer="992" w:gutter="0"/>
          <w:cols w:space="720" w:num="1"/>
          <w:docGrid w:type="lines" w:linePitch="317" w:charSpace="0"/>
        </w:sectPr>
      </w:pPr>
    </w:p>
    <w:p w14:paraId="14E0056C">
      <w:pPr>
        <w:adjustRightInd w:val="0"/>
        <w:snapToGrid w:val="0"/>
        <w:spacing w:line="360" w:lineRule="auto"/>
        <w:ind w:firstLine="0" w:firstLineChars="0"/>
        <w:jc w:val="left"/>
        <w:rPr>
          <w:rFonts w:hint="eastAsia" w:ascii="宋体" w:hAnsi="宋体" w:cs="宋体"/>
          <w:bCs/>
          <w:color w:val="auto"/>
          <w:highlight w:val="none"/>
        </w:rPr>
      </w:pPr>
      <w:r>
        <w:rPr>
          <w:rFonts w:hint="eastAsia" w:ascii="宋体" w:hAnsi="宋体" w:cs="宋体"/>
          <w:bCs/>
          <w:color w:val="auto"/>
          <w:highlight w:val="none"/>
        </w:rPr>
        <w:t>附件</w:t>
      </w:r>
      <w:bookmarkEnd w:id="398"/>
      <w:bookmarkEnd w:id="399"/>
      <w:bookmarkStart w:id="400" w:name="_Toc31767"/>
      <w:bookmarkStart w:id="401" w:name="_Toc4548"/>
      <w:r>
        <w:rPr>
          <w:rFonts w:hint="eastAsia" w:ascii="宋体" w:hAnsi="宋体" w:cs="宋体"/>
          <w:bCs/>
          <w:color w:val="auto"/>
          <w:highlight w:val="none"/>
        </w:rPr>
        <w:t>2</w:t>
      </w:r>
    </w:p>
    <w:bookmarkEnd w:id="400"/>
    <w:bookmarkEnd w:id="401"/>
    <w:p w14:paraId="41F219A8">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投标函</w:t>
      </w:r>
    </w:p>
    <w:p w14:paraId="4F1FE4DF">
      <w:pPr>
        <w:ind w:firstLine="480"/>
        <w:rPr>
          <w:rFonts w:hint="eastAsia"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（招标人名称）</w:t>
      </w:r>
    </w:p>
    <w:p w14:paraId="141F434B">
      <w:pPr>
        <w:snapToGrid w:val="0"/>
        <w:ind w:firstLine="480"/>
        <w:jc w:val="left"/>
        <w:rPr>
          <w:rFonts w:hint="eastAsia" w:ascii="宋体" w:hAnsi="宋体"/>
          <w:color w:val="auto"/>
          <w:highlight w:val="none"/>
        </w:rPr>
      </w:pPr>
      <w:r>
        <w:rPr>
          <w:rFonts w:hint="eastAsia" w:ascii="宋体" w:hAnsi="宋体"/>
          <w:color w:val="auto"/>
          <w:highlight w:val="none"/>
        </w:rPr>
        <w:t>根据贵方</w:t>
      </w:r>
      <w:r>
        <w:rPr>
          <w:rFonts w:hint="eastAsia" w:ascii="宋体" w:hAnsi="宋体"/>
          <w:color w:val="auto"/>
          <w:highlight w:val="none"/>
          <w:u w:val="single"/>
          <w:lang w:eastAsia="zh-CN"/>
        </w:rPr>
        <w:t xml:space="preserve">2025年柯城区政策性农村住房保险及附加室内家财保险项目 </w:t>
      </w:r>
      <w:r>
        <w:rPr>
          <w:rFonts w:hint="eastAsia" w:ascii="宋体" w:hAnsi="宋体"/>
          <w:color w:val="auto"/>
          <w:highlight w:val="none"/>
          <w:u w:val="single"/>
        </w:rPr>
        <w:t>（项目编号：</w:t>
      </w:r>
      <w:r>
        <w:rPr>
          <w:rFonts w:hint="eastAsia" w:ascii="宋体" w:hAnsi="宋体"/>
          <w:color w:val="auto"/>
          <w:highlight w:val="none"/>
          <w:u w:val="single"/>
          <w:lang w:eastAsia="zh-CN"/>
        </w:rPr>
        <w:t>ZJJCCG2025-01</w:t>
      </w:r>
      <w:r>
        <w:rPr>
          <w:rFonts w:hint="eastAsia" w:ascii="宋体" w:hAnsi="宋体"/>
          <w:color w:val="auto"/>
          <w:highlight w:val="none"/>
          <w:u w:val="single"/>
        </w:rPr>
        <w:t>）</w:t>
      </w:r>
      <w:r>
        <w:rPr>
          <w:rFonts w:hint="eastAsia" w:ascii="宋体" w:hAnsi="宋体"/>
          <w:color w:val="auto"/>
          <w:highlight w:val="none"/>
        </w:rPr>
        <w:t>的招标公告，签字代表_______（全名）经正式授权并代表投标人_________（投标人名称）提交【资格审查文件】、【资信技术文件】和【报价文件】。</w:t>
      </w:r>
    </w:p>
    <w:p w14:paraId="58DF832E">
      <w:pPr>
        <w:snapToGrid w:val="0"/>
        <w:ind w:firstLine="480"/>
        <w:rPr>
          <w:rFonts w:hint="eastAsia" w:ascii="宋体" w:hAnsi="宋体"/>
          <w:color w:val="auto"/>
          <w:highlight w:val="none"/>
        </w:rPr>
      </w:pPr>
      <w:r>
        <w:rPr>
          <w:rFonts w:hint="eastAsia" w:ascii="宋体" w:hAnsi="宋体"/>
          <w:color w:val="auto"/>
          <w:highlight w:val="none"/>
        </w:rPr>
        <w:t>据此函，签字代表宣布同意如下：</w:t>
      </w:r>
    </w:p>
    <w:p w14:paraId="5EEE7766">
      <w:pPr>
        <w:ind w:firstLine="480"/>
        <w:rPr>
          <w:rFonts w:hint="eastAsia" w:ascii="宋体" w:hAnsi="宋体"/>
          <w:color w:val="auto"/>
          <w:highlight w:val="none"/>
        </w:rPr>
      </w:pPr>
      <w:r>
        <w:rPr>
          <w:rFonts w:hint="eastAsia" w:ascii="宋体" w:hAnsi="宋体"/>
          <w:color w:val="auto"/>
          <w:highlight w:val="none"/>
        </w:rPr>
        <w:t>1.我方向贵方提交的所有投标文件、资料都是准确的和真实的。</w:t>
      </w:r>
    </w:p>
    <w:p w14:paraId="5471F79A">
      <w:pPr>
        <w:snapToGrid w:val="0"/>
        <w:ind w:firstLine="480"/>
        <w:rPr>
          <w:rFonts w:hint="eastAsia" w:ascii="宋体" w:hAnsi="宋体"/>
          <w:color w:val="auto"/>
          <w:highlight w:val="none"/>
        </w:rPr>
      </w:pPr>
      <w:r>
        <w:rPr>
          <w:rFonts w:hint="eastAsia" w:ascii="宋体" w:hAnsi="宋体"/>
          <w:color w:val="auto"/>
          <w:highlight w:val="none"/>
        </w:rPr>
        <w:t>2.我方已详细审查全部“招标文件”，包括修改文件（如有的话）以及全部参考资料和有关附件，已经了解我方对于招标文件、采购过程、采购结果有依法进行询问、质疑、投诉的权利及相关渠道和要求。</w:t>
      </w:r>
    </w:p>
    <w:p w14:paraId="7D409992">
      <w:pPr>
        <w:snapToGrid w:val="0"/>
        <w:ind w:firstLine="480"/>
        <w:rPr>
          <w:rFonts w:hint="eastAsia" w:ascii="宋体" w:hAnsi="宋体"/>
          <w:color w:val="auto"/>
          <w:highlight w:val="none"/>
        </w:rPr>
      </w:pPr>
      <w:r>
        <w:rPr>
          <w:rFonts w:hint="eastAsia" w:ascii="宋体" w:hAnsi="宋体"/>
          <w:color w:val="auto"/>
          <w:highlight w:val="none"/>
        </w:rPr>
        <w:t>3.我方在投标之前已经与贵方进行了充分的沟通，完全理解并接受招标文件的各项规定和要求，对招标文件的合理性、合法性不再有异议。</w:t>
      </w:r>
    </w:p>
    <w:p w14:paraId="6019121E">
      <w:pPr>
        <w:snapToGrid w:val="0"/>
        <w:ind w:firstLine="480"/>
        <w:rPr>
          <w:rFonts w:hint="eastAsia" w:ascii="宋体" w:hAnsi="宋体"/>
          <w:color w:val="auto"/>
          <w:highlight w:val="none"/>
        </w:rPr>
      </w:pPr>
      <w:r>
        <w:rPr>
          <w:rFonts w:hint="eastAsia" w:ascii="宋体" w:hAnsi="宋体"/>
          <w:color w:val="auto"/>
          <w:highlight w:val="none"/>
        </w:rPr>
        <w:t>4.本投标有效期自开标日起90日。</w:t>
      </w:r>
    </w:p>
    <w:p w14:paraId="5D0C1F3F">
      <w:pPr>
        <w:snapToGrid w:val="0"/>
        <w:ind w:firstLine="480"/>
        <w:rPr>
          <w:rFonts w:hint="eastAsia" w:ascii="宋体" w:hAnsi="宋体"/>
          <w:color w:val="auto"/>
          <w:highlight w:val="none"/>
        </w:rPr>
      </w:pPr>
      <w:r>
        <w:rPr>
          <w:rFonts w:hint="eastAsia" w:ascii="宋体" w:hAnsi="宋体"/>
          <w:color w:val="auto"/>
          <w:highlight w:val="none"/>
        </w:rPr>
        <w:t>5.如中标，本投标文件至本项目合同履行完毕止均保持有效，本投标人将按“招标文件”及政府采购法律、法规的规定履行合同责任和义务。</w:t>
      </w:r>
    </w:p>
    <w:p w14:paraId="34325306">
      <w:pPr>
        <w:snapToGrid w:val="0"/>
        <w:ind w:firstLine="480"/>
        <w:rPr>
          <w:rFonts w:hint="eastAsia" w:ascii="宋体" w:hAnsi="宋体"/>
          <w:color w:val="auto"/>
          <w:highlight w:val="none"/>
        </w:rPr>
      </w:pPr>
      <w:r>
        <w:rPr>
          <w:rFonts w:hint="eastAsia" w:ascii="宋体" w:hAnsi="宋体"/>
          <w:color w:val="auto"/>
          <w:highlight w:val="none"/>
        </w:rPr>
        <w:t>6.我方同意按照贵方要求提供与投标有关的一切数据或资料。</w:t>
      </w:r>
    </w:p>
    <w:p w14:paraId="64216FAF">
      <w:pPr>
        <w:snapToGrid w:val="0"/>
        <w:ind w:firstLine="480"/>
        <w:rPr>
          <w:rFonts w:hint="eastAsia" w:ascii="宋体" w:hAnsi="宋体"/>
          <w:color w:val="auto"/>
          <w:highlight w:val="none"/>
        </w:rPr>
      </w:pPr>
      <w:r>
        <w:rPr>
          <w:rFonts w:hint="eastAsia" w:ascii="宋体" w:hAnsi="宋体"/>
          <w:color w:val="auto"/>
          <w:highlight w:val="none"/>
        </w:rPr>
        <w:t>7.与本投标有关的一切正式往来信函请寄：</w:t>
      </w:r>
    </w:p>
    <w:p w14:paraId="3CC0CE47">
      <w:pPr>
        <w:snapToGrid w:val="0"/>
        <w:ind w:firstLine="480"/>
        <w:rPr>
          <w:rFonts w:hint="eastAsia" w:ascii="宋体" w:hAnsi="宋体"/>
          <w:color w:val="auto"/>
          <w:highlight w:val="none"/>
        </w:rPr>
      </w:pPr>
      <w:r>
        <w:rPr>
          <w:rFonts w:hint="eastAsia" w:ascii="宋体" w:hAnsi="宋体"/>
          <w:color w:val="auto"/>
          <w:highlight w:val="none"/>
        </w:rPr>
        <w:t>地址：__________邮编：__________电话：______________</w:t>
      </w:r>
    </w:p>
    <w:p w14:paraId="42102C20">
      <w:pPr>
        <w:snapToGrid w:val="0"/>
        <w:ind w:firstLine="480"/>
        <w:rPr>
          <w:rFonts w:hint="eastAsia" w:ascii="宋体" w:hAnsi="宋体"/>
          <w:color w:val="auto"/>
          <w:highlight w:val="none"/>
        </w:rPr>
      </w:pPr>
      <w:r>
        <w:rPr>
          <w:rFonts w:hint="eastAsia" w:ascii="宋体" w:hAnsi="宋体"/>
          <w:color w:val="auto"/>
          <w:highlight w:val="none"/>
        </w:rPr>
        <w:t>传真：______________投标人代表姓名_______职务：_____________</w:t>
      </w:r>
    </w:p>
    <w:p w14:paraId="5B927AC9">
      <w:pPr>
        <w:snapToGrid w:val="0"/>
        <w:ind w:firstLine="480"/>
        <w:rPr>
          <w:rFonts w:hint="eastAsia" w:ascii="宋体" w:hAnsi="宋体"/>
          <w:color w:val="auto"/>
          <w:highlight w:val="none"/>
        </w:rPr>
      </w:pPr>
      <w:r>
        <w:rPr>
          <w:rFonts w:hint="eastAsia" w:ascii="宋体" w:hAnsi="宋体"/>
          <w:color w:val="auto"/>
          <w:highlight w:val="none"/>
        </w:rPr>
        <w:t>投标人名称(公章):___________________</w:t>
      </w:r>
    </w:p>
    <w:p w14:paraId="5A498510">
      <w:pPr>
        <w:snapToGrid w:val="0"/>
        <w:ind w:firstLine="480"/>
        <w:rPr>
          <w:rFonts w:hint="eastAsia" w:ascii="宋体" w:hAnsi="宋体"/>
          <w:color w:val="auto"/>
          <w:highlight w:val="none"/>
        </w:rPr>
      </w:pPr>
      <w:r>
        <w:rPr>
          <w:rFonts w:hint="eastAsia" w:ascii="宋体" w:hAnsi="宋体"/>
          <w:color w:val="auto"/>
          <w:highlight w:val="none"/>
        </w:rPr>
        <w:t xml:space="preserve">开户银行：             </w:t>
      </w:r>
      <w:r>
        <w:rPr>
          <w:rFonts w:hint="eastAsia" w:ascii="宋体" w:hAnsi="宋体"/>
          <w:color w:val="auto"/>
          <w:highlight w:val="none"/>
          <w:lang w:eastAsia="zh-CN"/>
        </w:rPr>
        <w:t>银行账号</w:t>
      </w:r>
      <w:r>
        <w:rPr>
          <w:rFonts w:hint="eastAsia" w:ascii="宋体" w:hAnsi="宋体"/>
          <w:color w:val="auto"/>
          <w:highlight w:val="none"/>
        </w:rPr>
        <w:t>：</w:t>
      </w:r>
    </w:p>
    <w:p w14:paraId="782F89FB">
      <w:pPr>
        <w:snapToGrid w:val="0"/>
        <w:ind w:firstLine="480"/>
        <w:rPr>
          <w:rFonts w:hint="eastAsia" w:ascii="宋体" w:hAnsi="宋体"/>
          <w:color w:val="auto"/>
          <w:highlight w:val="none"/>
        </w:rPr>
      </w:pPr>
      <w:r>
        <w:rPr>
          <w:rFonts w:hint="eastAsia" w:ascii="宋体" w:hAnsi="宋体"/>
          <w:color w:val="auto"/>
          <w:highlight w:val="none"/>
        </w:rPr>
        <w:t>法定代表人（负责人）或授权委托人（</w:t>
      </w:r>
      <w:r>
        <w:rPr>
          <w:rFonts w:hint="eastAsia" w:ascii="宋体" w:hAnsi="宋体"/>
          <w:color w:val="auto"/>
          <w:highlight w:val="none"/>
          <w:lang w:val="zh-CN"/>
        </w:rPr>
        <w:t>签字或盖章</w:t>
      </w:r>
      <w:r>
        <w:rPr>
          <w:rFonts w:hint="eastAsia" w:ascii="宋体" w:hAnsi="宋体"/>
          <w:color w:val="auto"/>
          <w:highlight w:val="none"/>
        </w:rPr>
        <w:t>）：</w:t>
      </w:r>
    </w:p>
    <w:p w14:paraId="0AA6B8A6">
      <w:pPr>
        <w:snapToGrid w:val="0"/>
        <w:ind w:firstLine="480"/>
        <w:rPr>
          <w:rFonts w:hint="eastAsia" w:ascii="宋体" w:hAnsi="宋体"/>
          <w:color w:val="auto"/>
          <w:highlight w:val="none"/>
        </w:rPr>
      </w:pPr>
      <w:r>
        <w:rPr>
          <w:rFonts w:hint="eastAsia" w:ascii="宋体" w:hAnsi="宋体"/>
          <w:color w:val="auto"/>
          <w:highlight w:val="none"/>
        </w:rPr>
        <w:t>日期:_____年___月___日</w:t>
      </w:r>
    </w:p>
    <w:p w14:paraId="46BC03C1">
      <w:pPr>
        <w:adjustRightInd w:val="0"/>
        <w:snapToGrid w:val="0"/>
        <w:spacing w:line="480" w:lineRule="auto"/>
        <w:ind w:firstLine="0" w:firstLineChars="0"/>
        <w:jc w:val="left"/>
        <w:rPr>
          <w:rFonts w:hint="eastAsia" w:ascii="宋体" w:hAnsi="宋体" w:cs="宋体"/>
          <w:bCs/>
          <w:color w:val="auto"/>
          <w:highlight w:val="none"/>
        </w:rPr>
      </w:pPr>
    </w:p>
    <w:p w14:paraId="17CC45C5">
      <w:pPr>
        <w:pStyle w:val="5"/>
        <w:spacing w:before="158" w:after="158"/>
        <w:rPr>
          <w:color w:val="auto"/>
          <w:highlight w:val="none"/>
        </w:rPr>
        <w:sectPr>
          <w:pgSz w:w="11906" w:h="16838"/>
          <w:pgMar w:top="1440" w:right="1803" w:bottom="1440" w:left="1803" w:header="850" w:footer="992" w:gutter="0"/>
          <w:cols w:space="720" w:num="1"/>
          <w:docGrid w:type="lines" w:linePitch="317" w:charSpace="0"/>
        </w:sectPr>
      </w:pPr>
    </w:p>
    <w:p w14:paraId="4174A7D1">
      <w:pPr>
        <w:ind w:firstLine="0" w:firstLineChars="0"/>
        <w:rPr>
          <w:rFonts w:hint="eastAsia" w:ascii="新宋体" w:hAnsi="新宋体" w:eastAsia="新宋体" w:cs="新宋体"/>
          <w:bCs/>
          <w:color w:val="auto"/>
          <w:sz w:val="28"/>
          <w:szCs w:val="28"/>
          <w:highlight w:val="none"/>
        </w:rPr>
      </w:pPr>
      <w:bookmarkStart w:id="402" w:name="_Toc30555"/>
      <w:r>
        <w:rPr>
          <w:rFonts w:hint="eastAsia" w:ascii="新宋体" w:hAnsi="新宋体" w:eastAsia="新宋体"/>
          <w:color w:val="auto"/>
          <w:highlight w:val="none"/>
        </w:rPr>
        <w:t>附件</w:t>
      </w:r>
      <w:bookmarkEnd w:id="402"/>
      <w:r>
        <w:rPr>
          <w:rFonts w:hint="eastAsia" w:ascii="新宋体" w:hAnsi="新宋体" w:eastAsia="新宋体"/>
          <w:color w:val="auto"/>
          <w:highlight w:val="none"/>
        </w:rPr>
        <w:t>3</w:t>
      </w:r>
    </w:p>
    <w:p w14:paraId="706D71CF">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法定代表人（负责人）身份证明</w:t>
      </w:r>
    </w:p>
    <w:p w14:paraId="4C9EF982">
      <w:pPr>
        <w:spacing w:line="380" w:lineRule="exact"/>
        <w:ind w:firstLine="480"/>
        <w:rPr>
          <w:rFonts w:ascii="宋体" w:cs="宋体"/>
          <w:color w:val="auto"/>
          <w:highlight w:val="none"/>
        </w:rPr>
      </w:pPr>
      <w:r>
        <w:rPr>
          <w:rFonts w:hint="eastAsia" w:ascii="宋体" w:cs="宋体"/>
          <w:color w:val="auto"/>
          <w:highlight w:val="none"/>
        </w:rPr>
        <w:t>投 标 人：</w:t>
      </w:r>
      <w:r>
        <w:rPr>
          <w:rFonts w:hint="eastAsia" w:ascii="宋体" w:cs="宋体"/>
          <w:color w:val="auto"/>
          <w:highlight w:val="none"/>
          <w:u w:val="single"/>
        </w:rPr>
        <w:t xml:space="preserve">                                                        </w:t>
      </w:r>
    </w:p>
    <w:p w14:paraId="06A4A254">
      <w:pPr>
        <w:spacing w:line="380" w:lineRule="exact"/>
        <w:ind w:firstLine="480"/>
        <w:rPr>
          <w:rFonts w:ascii="宋体" w:cs="宋体"/>
          <w:color w:val="auto"/>
          <w:highlight w:val="none"/>
        </w:rPr>
      </w:pPr>
      <w:r>
        <w:rPr>
          <w:rFonts w:hint="eastAsia" w:ascii="宋体" w:cs="宋体"/>
          <w:color w:val="auto"/>
          <w:highlight w:val="none"/>
        </w:rPr>
        <w:t>单位性质：</w:t>
      </w:r>
      <w:r>
        <w:rPr>
          <w:rFonts w:hint="eastAsia" w:ascii="宋体" w:cs="宋体"/>
          <w:color w:val="auto"/>
          <w:highlight w:val="none"/>
          <w:u w:val="single"/>
        </w:rPr>
        <w:t xml:space="preserve">                                                        </w:t>
      </w:r>
    </w:p>
    <w:p w14:paraId="44F896FC">
      <w:pPr>
        <w:spacing w:line="380" w:lineRule="exact"/>
        <w:ind w:firstLine="480"/>
        <w:rPr>
          <w:rFonts w:ascii="宋体" w:cs="宋体"/>
          <w:color w:val="auto"/>
          <w:highlight w:val="none"/>
        </w:rPr>
      </w:pPr>
      <w:r>
        <w:rPr>
          <w:rFonts w:hint="eastAsia" w:ascii="宋体" w:cs="宋体"/>
          <w:color w:val="auto"/>
          <w:highlight w:val="none"/>
        </w:rPr>
        <w:t>地    址：</w:t>
      </w:r>
      <w:r>
        <w:rPr>
          <w:rFonts w:hint="eastAsia" w:ascii="宋体" w:cs="宋体"/>
          <w:color w:val="auto"/>
          <w:highlight w:val="none"/>
          <w:u w:val="single"/>
        </w:rPr>
        <w:t xml:space="preserve">                                                        </w:t>
      </w:r>
    </w:p>
    <w:p w14:paraId="688612BC">
      <w:pPr>
        <w:spacing w:line="380" w:lineRule="exact"/>
        <w:ind w:firstLine="480"/>
        <w:rPr>
          <w:rFonts w:ascii="宋体" w:cs="宋体"/>
          <w:color w:val="auto"/>
          <w:highlight w:val="none"/>
        </w:rPr>
      </w:pPr>
      <w:r>
        <w:rPr>
          <w:rFonts w:hint="eastAsia" w:ascii="宋体" w:cs="宋体"/>
          <w:color w:val="auto"/>
          <w:highlight w:val="none"/>
        </w:rPr>
        <w:t>成立时间：</w:t>
      </w:r>
      <w:r>
        <w:rPr>
          <w:rFonts w:hint="eastAsia" w:ascii="宋体" w:cs="宋体"/>
          <w:color w:val="auto"/>
          <w:highlight w:val="none"/>
          <w:u w:val="single"/>
        </w:rPr>
        <w:t xml:space="preserve">           </w:t>
      </w:r>
      <w:r>
        <w:rPr>
          <w:rFonts w:hint="eastAsia" w:ascii="宋体" w:cs="宋体"/>
          <w:color w:val="auto"/>
          <w:highlight w:val="none"/>
        </w:rPr>
        <w:t>年</w:t>
      </w:r>
      <w:r>
        <w:rPr>
          <w:rFonts w:hint="eastAsia" w:ascii="宋体" w:cs="宋体"/>
          <w:color w:val="auto"/>
          <w:highlight w:val="none"/>
          <w:u w:val="single"/>
        </w:rPr>
        <w:t xml:space="preserve">              </w:t>
      </w:r>
      <w:r>
        <w:rPr>
          <w:rFonts w:hint="eastAsia" w:ascii="宋体" w:cs="宋体"/>
          <w:color w:val="auto"/>
          <w:highlight w:val="none"/>
        </w:rPr>
        <w:t>月</w:t>
      </w:r>
      <w:r>
        <w:rPr>
          <w:rFonts w:hint="eastAsia" w:ascii="宋体" w:cs="宋体"/>
          <w:color w:val="auto"/>
          <w:highlight w:val="none"/>
          <w:u w:val="single"/>
        </w:rPr>
        <w:t xml:space="preserve">              </w:t>
      </w:r>
      <w:r>
        <w:rPr>
          <w:rFonts w:hint="eastAsia" w:ascii="宋体" w:cs="宋体"/>
          <w:color w:val="auto"/>
          <w:highlight w:val="none"/>
        </w:rPr>
        <w:t>日</w:t>
      </w:r>
    </w:p>
    <w:p w14:paraId="4057CADC">
      <w:pPr>
        <w:spacing w:line="380" w:lineRule="exact"/>
        <w:ind w:firstLine="480"/>
        <w:rPr>
          <w:rFonts w:ascii="宋体" w:cs="宋体"/>
          <w:color w:val="auto"/>
          <w:highlight w:val="none"/>
        </w:rPr>
      </w:pPr>
      <w:r>
        <w:rPr>
          <w:rFonts w:hint="eastAsia" w:ascii="宋体" w:cs="宋体"/>
          <w:color w:val="auto"/>
          <w:highlight w:val="none"/>
        </w:rPr>
        <w:t>经营期限：</w:t>
      </w:r>
      <w:r>
        <w:rPr>
          <w:rFonts w:hint="eastAsia" w:ascii="宋体" w:cs="宋体"/>
          <w:color w:val="auto"/>
          <w:highlight w:val="none"/>
          <w:u w:val="single"/>
        </w:rPr>
        <w:t xml:space="preserve">                                                        </w:t>
      </w:r>
    </w:p>
    <w:p w14:paraId="06BD7E31">
      <w:pPr>
        <w:spacing w:line="380" w:lineRule="exact"/>
        <w:ind w:firstLine="480"/>
        <w:rPr>
          <w:rFonts w:ascii="宋体" w:cs="宋体"/>
          <w:color w:val="auto"/>
          <w:highlight w:val="none"/>
        </w:rPr>
      </w:pPr>
      <w:r>
        <w:rPr>
          <w:rFonts w:hint="eastAsia" w:ascii="宋体" w:cs="宋体"/>
          <w:color w:val="auto"/>
          <w:highlight w:val="none"/>
        </w:rPr>
        <w:t>姓    名：</w:t>
      </w:r>
      <w:r>
        <w:rPr>
          <w:rFonts w:hint="eastAsia" w:ascii="宋体" w:cs="宋体"/>
          <w:color w:val="auto"/>
          <w:highlight w:val="none"/>
          <w:u w:val="single"/>
        </w:rPr>
        <w:t xml:space="preserve">                          </w:t>
      </w:r>
      <w:r>
        <w:rPr>
          <w:rFonts w:hint="eastAsia" w:ascii="宋体" w:cs="宋体"/>
          <w:color w:val="auto"/>
          <w:highlight w:val="none"/>
        </w:rPr>
        <w:t>性        别：</w:t>
      </w:r>
      <w:r>
        <w:rPr>
          <w:rFonts w:hint="eastAsia" w:ascii="宋体" w:cs="宋体"/>
          <w:color w:val="auto"/>
          <w:highlight w:val="none"/>
          <w:u w:val="single"/>
        </w:rPr>
        <w:t xml:space="preserve">                </w:t>
      </w:r>
    </w:p>
    <w:p w14:paraId="433F2BDE">
      <w:pPr>
        <w:spacing w:line="380" w:lineRule="exact"/>
        <w:ind w:firstLine="480"/>
        <w:rPr>
          <w:rFonts w:ascii="宋体" w:cs="宋体"/>
          <w:color w:val="auto"/>
          <w:highlight w:val="none"/>
        </w:rPr>
      </w:pPr>
      <w:r>
        <w:rPr>
          <w:rFonts w:hint="eastAsia" w:ascii="宋体" w:cs="宋体"/>
          <w:color w:val="auto"/>
          <w:highlight w:val="none"/>
        </w:rPr>
        <w:t>年    龄：</w:t>
      </w:r>
      <w:r>
        <w:rPr>
          <w:rFonts w:hint="eastAsia" w:ascii="宋体" w:cs="宋体"/>
          <w:color w:val="auto"/>
          <w:highlight w:val="none"/>
          <w:u w:val="single"/>
        </w:rPr>
        <w:t xml:space="preserve">                          </w:t>
      </w:r>
      <w:r>
        <w:rPr>
          <w:rFonts w:hint="eastAsia" w:ascii="宋体" w:cs="宋体"/>
          <w:color w:val="auto"/>
          <w:highlight w:val="none"/>
        </w:rPr>
        <w:t>职        务：</w:t>
      </w:r>
      <w:r>
        <w:rPr>
          <w:rFonts w:hint="eastAsia" w:ascii="宋体" w:cs="宋体"/>
          <w:color w:val="auto"/>
          <w:highlight w:val="none"/>
          <w:u w:val="single"/>
        </w:rPr>
        <w:t xml:space="preserve">                </w:t>
      </w:r>
    </w:p>
    <w:p w14:paraId="63897B6A">
      <w:pPr>
        <w:spacing w:line="380" w:lineRule="exact"/>
        <w:ind w:firstLine="480"/>
        <w:rPr>
          <w:rFonts w:ascii="宋体" w:cs="宋体"/>
          <w:color w:val="auto"/>
          <w:highlight w:val="none"/>
        </w:rPr>
      </w:pPr>
      <w:r>
        <w:rPr>
          <w:rFonts w:hint="eastAsia" w:ascii="宋体" w:cs="宋体"/>
          <w:color w:val="auto"/>
          <w:highlight w:val="none"/>
        </w:rPr>
        <w:t>系</w:t>
      </w:r>
      <w:r>
        <w:rPr>
          <w:rFonts w:hint="eastAsia" w:ascii="宋体" w:cs="宋体"/>
          <w:color w:val="auto"/>
          <w:highlight w:val="none"/>
          <w:u w:val="single"/>
        </w:rPr>
        <w:t xml:space="preserve">                      (投标人全称)       </w:t>
      </w:r>
      <w:r>
        <w:rPr>
          <w:rFonts w:hint="eastAsia" w:ascii="宋体" w:cs="宋体"/>
          <w:color w:val="auto"/>
          <w:highlight w:val="none"/>
        </w:rPr>
        <w:t>的法定代表人（负责人）。</w:t>
      </w:r>
    </w:p>
    <w:p w14:paraId="1E4DDB84">
      <w:pPr>
        <w:spacing w:line="380" w:lineRule="exact"/>
        <w:ind w:firstLine="480"/>
        <w:rPr>
          <w:rFonts w:ascii="宋体" w:cs="宋体"/>
          <w:color w:val="auto"/>
          <w:highlight w:val="none"/>
        </w:rPr>
      </w:pPr>
      <w:r>
        <w:rPr>
          <w:rFonts w:hint="eastAsia" w:ascii="宋体" w:cs="宋体"/>
          <w:color w:val="auto"/>
          <w:highlight w:val="none"/>
        </w:rPr>
        <w:t>特此证明。</w:t>
      </w:r>
    </w:p>
    <w:p w14:paraId="4230C222">
      <w:pPr>
        <w:spacing w:line="380" w:lineRule="exact"/>
        <w:ind w:firstLine="480"/>
        <w:textAlignment w:val="baseline"/>
        <w:rPr>
          <w:rFonts w:ascii="宋体" w:cs="宋体"/>
          <w:color w:val="auto"/>
          <w:highlight w:val="none"/>
          <w:u w:val="single"/>
        </w:rPr>
      </w:pPr>
      <w:r>
        <w:rPr>
          <w:rFonts w:hint="eastAsia" w:ascii="宋体" w:cs="宋体"/>
          <w:color w:val="auto"/>
          <w:highlight w:val="none"/>
        </w:rPr>
        <w:t xml:space="preserve">                                         投标人(盖章)：</w:t>
      </w:r>
      <w:r>
        <w:rPr>
          <w:rFonts w:hint="eastAsia" w:ascii="宋体" w:cs="宋体"/>
          <w:color w:val="auto"/>
          <w:highlight w:val="none"/>
          <w:u w:val="single"/>
        </w:rPr>
        <w:t xml:space="preserve">                     </w:t>
      </w:r>
    </w:p>
    <w:p w14:paraId="74AEE7AA">
      <w:pPr>
        <w:adjustRightInd w:val="0"/>
        <w:spacing w:line="380" w:lineRule="exact"/>
        <w:ind w:firstLine="3360" w:firstLineChars="1400"/>
        <w:textAlignment w:val="baseline"/>
        <w:rPr>
          <w:rFonts w:ascii="宋体" w:cs="宋体"/>
          <w:bCs/>
          <w:color w:val="auto"/>
          <w:highlight w:val="none"/>
        </w:rPr>
      </w:pPr>
      <w:r>
        <w:rPr>
          <w:rFonts w:hint="eastAsia" w:ascii="宋体" w:cs="宋体"/>
          <w:color w:val="auto"/>
          <w:highlight w:val="none"/>
        </w:rPr>
        <w:t xml:space="preserve">                 日  期：</w:t>
      </w:r>
      <w:r>
        <w:rPr>
          <w:rFonts w:hint="eastAsia" w:ascii="宋体" w:cs="宋体"/>
          <w:color w:val="auto"/>
          <w:highlight w:val="none"/>
          <w:u w:val="single"/>
        </w:rPr>
        <w:t xml:space="preserve">                          </w:t>
      </w:r>
    </w:p>
    <w:p w14:paraId="69FFD0D6">
      <w:pPr>
        <w:spacing w:line="380" w:lineRule="exact"/>
        <w:ind w:firstLine="480"/>
        <w:jc w:val="center"/>
        <w:rPr>
          <w:rFonts w:ascii="宋体" w:cs="宋体"/>
          <w:bCs/>
          <w:color w:val="auto"/>
          <w:szCs w:val="21"/>
          <w:highlight w:val="none"/>
        </w:rPr>
      </w:pPr>
    </w:p>
    <w:p w14:paraId="4574A48D">
      <w:pPr>
        <w:pStyle w:val="5"/>
        <w:spacing w:before="156" w:after="156"/>
        <w:rPr>
          <w:rFonts w:ascii="宋体" w:cs="宋体"/>
          <w:color w:val="auto"/>
          <w:szCs w:val="21"/>
          <w:highlight w:val="none"/>
        </w:rPr>
      </w:pPr>
    </w:p>
    <w:p w14:paraId="4061E78C">
      <w:pPr>
        <w:spacing w:line="440" w:lineRule="exact"/>
        <w:ind w:firstLine="480"/>
        <w:rPr>
          <w:rFonts w:hint="eastAsia" w:ascii="宋体" w:hAnsi="宋体"/>
          <w:color w:val="auto"/>
          <w:highlight w:val="none"/>
        </w:rPr>
      </w:pPr>
      <w:r>
        <w:rPr>
          <w:rFonts w:hint="eastAsia" w:ascii="宋体" w:hAnsi="宋体"/>
          <w:color w:val="auto"/>
          <w:highlight w:val="none"/>
        </w:rPr>
        <w:t>法定代表人（负责人）身份证（正反面）扫描件：</w:t>
      </w:r>
    </w:p>
    <w:tbl>
      <w:tblPr>
        <w:tblStyle w:val="19"/>
        <w:tblW w:w="7786" w:type="dxa"/>
        <w:jc w:val="center"/>
        <w:tblLayout w:type="fixed"/>
        <w:tblCellMar>
          <w:top w:w="0" w:type="dxa"/>
          <w:left w:w="108" w:type="dxa"/>
          <w:bottom w:w="0" w:type="dxa"/>
          <w:right w:w="108" w:type="dxa"/>
        </w:tblCellMar>
      </w:tblPr>
      <w:tblGrid>
        <w:gridCol w:w="7786"/>
      </w:tblGrid>
      <w:tr w14:paraId="34133703">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tcPr>
          <w:p w14:paraId="1C92054D">
            <w:pPr>
              <w:spacing w:line="440" w:lineRule="exact"/>
              <w:ind w:firstLine="480"/>
              <w:rPr>
                <w:rFonts w:hint="eastAsia" w:ascii="宋体" w:hAnsi="宋体"/>
                <w:color w:val="auto"/>
                <w:highlight w:val="none"/>
              </w:rPr>
            </w:pPr>
          </w:p>
        </w:tc>
      </w:tr>
    </w:tbl>
    <w:p w14:paraId="6ECF93F5">
      <w:pPr>
        <w:ind w:firstLine="480"/>
        <w:rPr>
          <w:rFonts w:ascii="宋体" w:cs="宋体"/>
          <w:bCs/>
          <w:color w:val="auto"/>
          <w:szCs w:val="21"/>
          <w:highlight w:val="none"/>
        </w:rPr>
      </w:pPr>
    </w:p>
    <w:p w14:paraId="2C3B1345">
      <w:pPr>
        <w:ind w:firstLine="480"/>
        <w:rPr>
          <w:color w:val="auto"/>
          <w:highlight w:val="none"/>
        </w:rPr>
      </w:pPr>
    </w:p>
    <w:p w14:paraId="638A5700">
      <w:pPr>
        <w:ind w:firstLine="480"/>
        <w:rPr>
          <w:color w:val="auto"/>
          <w:highlight w:val="none"/>
        </w:rPr>
      </w:pPr>
    </w:p>
    <w:p w14:paraId="185E397F">
      <w:pPr>
        <w:ind w:firstLine="480"/>
        <w:rPr>
          <w:color w:val="auto"/>
          <w:highlight w:val="none"/>
        </w:rPr>
      </w:pPr>
    </w:p>
    <w:p w14:paraId="21A2F513">
      <w:pPr>
        <w:ind w:firstLine="480"/>
        <w:rPr>
          <w:color w:val="auto"/>
          <w:highlight w:val="none"/>
        </w:rPr>
      </w:pPr>
    </w:p>
    <w:p w14:paraId="22697C8F">
      <w:pPr>
        <w:ind w:firstLine="480"/>
        <w:rPr>
          <w:color w:val="auto"/>
          <w:highlight w:val="none"/>
        </w:rPr>
      </w:pPr>
    </w:p>
    <w:p w14:paraId="1A59628C">
      <w:pPr>
        <w:ind w:firstLine="560"/>
        <w:jc w:val="center"/>
        <w:rPr>
          <w:rFonts w:ascii="宋体" w:cs="宋体"/>
          <w:bCs/>
          <w:color w:val="auto"/>
          <w:sz w:val="28"/>
          <w:szCs w:val="28"/>
          <w:highlight w:val="none"/>
        </w:rPr>
      </w:pPr>
    </w:p>
    <w:p w14:paraId="4D1A57E3">
      <w:pPr>
        <w:ind w:firstLine="560"/>
        <w:jc w:val="center"/>
        <w:rPr>
          <w:rFonts w:hint="eastAsia" w:ascii="宋体" w:hAnsi="宋体" w:cs="宋体"/>
          <w:bCs/>
          <w:color w:val="auto"/>
          <w:sz w:val="32"/>
          <w:szCs w:val="32"/>
          <w:highlight w:val="none"/>
        </w:rPr>
      </w:pPr>
      <w:r>
        <w:rPr>
          <w:rFonts w:hint="eastAsia" w:ascii="宋体" w:cs="宋体"/>
          <w:bCs/>
          <w:color w:val="auto"/>
          <w:sz w:val="28"/>
          <w:szCs w:val="28"/>
          <w:highlight w:val="none"/>
        </w:rPr>
        <w:br w:type="page"/>
      </w:r>
      <w:r>
        <w:rPr>
          <w:rFonts w:hint="eastAsia" w:ascii="宋体" w:hAnsi="宋体" w:cs="宋体"/>
          <w:bCs/>
          <w:color w:val="auto"/>
          <w:sz w:val="32"/>
          <w:szCs w:val="32"/>
          <w:highlight w:val="none"/>
        </w:rPr>
        <w:t>法定代表人（负责人）授权委托书</w:t>
      </w:r>
    </w:p>
    <w:p w14:paraId="46836A5E">
      <w:pPr>
        <w:spacing w:line="360" w:lineRule="auto"/>
        <w:ind w:firstLine="480"/>
        <w:rPr>
          <w:rFonts w:hint="eastAsia" w:ascii="宋体" w:hAnsi="宋体" w:cs="宋体"/>
          <w:color w:val="auto"/>
          <w:highlight w:val="none"/>
        </w:rPr>
      </w:pPr>
      <w:r>
        <w:rPr>
          <w:rFonts w:hint="eastAsia" w:ascii="宋体" w:hAnsi="宋体" w:cs="宋体"/>
          <w:bCs/>
          <w:color w:val="auto"/>
          <w:highlight w:val="none"/>
          <w:lang w:eastAsia="zh-CN"/>
        </w:rPr>
        <w:t>衢州市柯城区住房和城乡建设局</w:t>
      </w:r>
      <w:r>
        <w:rPr>
          <w:rFonts w:hint="eastAsia" w:ascii="宋体" w:hAnsi="宋体" w:cs="宋体"/>
          <w:color w:val="auto"/>
          <w:highlight w:val="none"/>
        </w:rPr>
        <w:t>：</w:t>
      </w:r>
    </w:p>
    <w:p w14:paraId="2729954D">
      <w:pPr>
        <w:spacing w:line="360" w:lineRule="auto"/>
        <w:ind w:firstLine="480"/>
        <w:rPr>
          <w:rFonts w:hint="eastAsia"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(投标人全称)法定代表人（负责人）授权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(全权代表姓名)为全权代表，参加贵方组织的</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xml:space="preserve">       </w:t>
      </w:r>
      <w:r>
        <w:rPr>
          <w:rFonts w:hint="eastAsia" w:ascii="宋体" w:hAnsi="宋体" w:cs="宋体"/>
          <w:color w:val="auto"/>
          <w:highlight w:val="none"/>
        </w:rPr>
        <w:t>)，并全权处理采购活动中的一切事宜。</w:t>
      </w:r>
    </w:p>
    <w:p w14:paraId="4A54AE10">
      <w:pPr>
        <w:spacing w:line="360" w:lineRule="auto"/>
        <w:ind w:firstLine="480"/>
        <w:rPr>
          <w:rFonts w:hint="eastAsia" w:ascii="宋体" w:hAnsi="宋体" w:cs="宋体"/>
          <w:color w:val="auto"/>
          <w:highlight w:val="none"/>
        </w:rPr>
      </w:pPr>
    </w:p>
    <w:p w14:paraId="49338762">
      <w:pPr>
        <w:spacing w:line="360" w:lineRule="auto"/>
        <w:ind w:firstLine="480"/>
        <w:rPr>
          <w:rFonts w:hint="eastAsia" w:ascii="宋体" w:hAnsi="宋体" w:cs="宋体"/>
          <w:color w:val="auto"/>
          <w:highlight w:val="none"/>
        </w:rPr>
      </w:pPr>
      <w:r>
        <w:rPr>
          <w:rFonts w:hint="eastAsia" w:ascii="宋体" w:hAnsi="宋体" w:cs="宋体"/>
          <w:color w:val="auto"/>
          <w:highlight w:val="none"/>
        </w:rPr>
        <w:t>法定代表人（负责人）（签字或盖章）：</w:t>
      </w:r>
    </w:p>
    <w:p w14:paraId="48EC1B11">
      <w:pPr>
        <w:spacing w:line="360" w:lineRule="auto"/>
        <w:ind w:firstLine="480"/>
        <w:rPr>
          <w:rFonts w:hint="eastAsia" w:ascii="宋体" w:hAnsi="宋体" w:cs="宋体"/>
          <w:color w:val="auto"/>
          <w:highlight w:val="none"/>
        </w:rPr>
      </w:pPr>
      <w:r>
        <w:rPr>
          <w:rFonts w:hint="eastAsia" w:ascii="宋体" w:hAnsi="宋体" w:cs="宋体"/>
          <w:color w:val="auto"/>
          <w:highlight w:val="none"/>
        </w:rPr>
        <w:t>投标人全称(公章)：</w:t>
      </w:r>
    </w:p>
    <w:p w14:paraId="0E6FE3D5">
      <w:pPr>
        <w:spacing w:line="360" w:lineRule="auto"/>
        <w:ind w:firstLine="480"/>
        <w:rPr>
          <w:rFonts w:hint="eastAsia" w:ascii="宋体" w:hAnsi="宋体" w:cs="宋体"/>
          <w:color w:val="auto"/>
          <w:highlight w:val="none"/>
        </w:rPr>
      </w:pPr>
      <w:r>
        <w:rPr>
          <w:rFonts w:hint="eastAsia" w:ascii="宋体" w:hAnsi="宋体" w:cs="宋体"/>
          <w:color w:val="auto"/>
          <w:highlight w:val="none"/>
        </w:rPr>
        <w:t>日  期：</w:t>
      </w:r>
    </w:p>
    <w:p w14:paraId="72A84FC3">
      <w:pPr>
        <w:spacing w:line="360" w:lineRule="auto"/>
        <w:ind w:firstLine="480"/>
        <w:rPr>
          <w:rFonts w:hint="eastAsia" w:ascii="宋体" w:hAnsi="宋体" w:cs="宋体"/>
          <w:color w:val="auto"/>
          <w:highlight w:val="none"/>
        </w:rPr>
      </w:pPr>
      <w:r>
        <w:rPr>
          <w:rFonts w:hint="eastAsia" w:ascii="宋体" w:hAnsi="宋体" w:cs="宋体"/>
          <w:color w:val="auto"/>
          <w:highlight w:val="none"/>
        </w:rPr>
        <w:t>附：</w:t>
      </w:r>
    </w:p>
    <w:p w14:paraId="766BD735">
      <w:pPr>
        <w:spacing w:line="360" w:lineRule="auto"/>
        <w:ind w:firstLine="480"/>
        <w:rPr>
          <w:rFonts w:hint="eastAsia" w:ascii="宋体" w:hAnsi="宋体" w:cs="宋体"/>
          <w:color w:val="auto"/>
          <w:highlight w:val="none"/>
        </w:rPr>
      </w:pPr>
      <w:r>
        <w:rPr>
          <w:rFonts w:hint="eastAsia" w:ascii="宋体" w:hAnsi="宋体" w:cs="宋体"/>
          <w:color w:val="auto"/>
          <w:highlight w:val="none"/>
        </w:rPr>
        <w:t>授权代表姓名：           性别：</w:t>
      </w:r>
    </w:p>
    <w:p w14:paraId="128A47C0">
      <w:pPr>
        <w:spacing w:line="360" w:lineRule="auto"/>
        <w:ind w:firstLine="480"/>
        <w:rPr>
          <w:rFonts w:hint="eastAsia" w:ascii="宋体" w:hAnsi="宋体" w:cs="宋体"/>
          <w:color w:val="auto"/>
          <w:highlight w:val="none"/>
        </w:rPr>
      </w:pPr>
      <w:r>
        <w:rPr>
          <w:rFonts w:hint="eastAsia" w:ascii="宋体" w:hAnsi="宋体" w:cs="宋体"/>
          <w:color w:val="auto"/>
          <w:highlight w:val="none"/>
        </w:rPr>
        <w:t>职务：                   职称：</w:t>
      </w:r>
    </w:p>
    <w:p w14:paraId="34EE6BF7">
      <w:pPr>
        <w:spacing w:line="360" w:lineRule="auto"/>
        <w:ind w:firstLine="480"/>
        <w:rPr>
          <w:rFonts w:hint="eastAsia" w:ascii="宋体" w:hAnsi="宋体" w:cs="宋体"/>
          <w:color w:val="auto"/>
          <w:highlight w:val="none"/>
        </w:rPr>
      </w:pPr>
      <w:r>
        <w:rPr>
          <w:rFonts w:hint="eastAsia" w:ascii="宋体" w:hAnsi="宋体" w:cs="宋体"/>
          <w:color w:val="auto"/>
          <w:highlight w:val="none"/>
        </w:rPr>
        <w:t>详细通讯地址：</w:t>
      </w:r>
    </w:p>
    <w:p w14:paraId="19591336">
      <w:pPr>
        <w:spacing w:line="360" w:lineRule="auto"/>
        <w:ind w:firstLine="480"/>
        <w:rPr>
          <w:rFonts w:hint="eastAsia" w:ascii="宋体" w:hAnsi="宋体" w:cs="宋体"/>
          <w:color w:val="auto"/>
          <w:highlight w:val="none"/>
        </w:rPr>
      </w:pPr>
      <w:r>
        <w:rPr>
          <w:rFonts w:hint="eastAsia" w:ascii="宋体" w:hAnsi="宋体" w:cs="宋体"/>
          <w:color w:val="auto"/>
          <w:highlight w:val="none"/>
        </w:rPr>
        <w:t>电话：                   传真：</w:t>
      </w:r>
    </w:p>
    <w:p w14:paraId="47723FA4">
      <w:pPr>
        <w:spacing w:line="360" w:lineRule="auto"/>
        <w:ind w:firstLine="480"/>
        <w:rPr>
          <w:rFonts w:hint="eastAsia" w:ascii="宋体" w:hAnsi="宋体" w:cs="宋体"/>
          <w:color w:val="auto"/>
          <w:highlight w:val="none"/>
        </w:rPr>
      </w:pPr>
      <w:r>
        <w:rPr>
          <w:rFonts w:hint="eastAsia" w:ascii="宋体" w:hAnsi="宋体" w:cs="宋体"/>
          <w:color w:val="auto"/>
          <w:highlight w:val="none"/>
        </w:rPr>
        <w:t>移动电话：</w:t>
      </w:r>
    </w:p>
    <w:p w14:paraId="66BC93F8">
      <w:pPr>
        <w:spacing w:line="360" w:lineRule="auto"/>
        <w:ind w:firstLine="480"/>
        <w:rPr>
          <w:color w:val="auto"/>
          <w:highlight w:val="none"/>
        </w:rPr>
      </w:pPr>
      <w:r>
        <w:rPr>
          <w:rFonts w:hint="eastAsia" w:ascii="宋体" w:hAnsi="宋体" w:cs="宋体"/>
          <w:color w:val="auto"/>
          <w:highlight w:val="none"/>
        </w:rPr>
        <w:t>邮政编码：</w:t>
      </w:r>
    </w:p>
    <w:p w14:paraId="302F8490">
      <w:pPr>
        <w:spacing w:line="440" w:lineRule="exact"/>
        <w:ind w:firstLine="480"/>
        <w:rPr>
          <w:rFonts w:hint="eastAsia" w:ascii="宋体" w:hAnsi="宋体"/>
          <w:color w:val="auto"/>
          <w:highlight w:val="none"/>
        </w:rPr>
      </w:pPr>
    </w:p>
    <w:p w14:paraId="300F0DED">
      <w:pPr>
        <w:spacing w:line="440" w:lineRule="exact"/>
        <w:ind w:firstLine="480"/>
        <w:rPr>
          <w:rFonts w:hint="eastAsia" w:ascii="宋体" w:hAnsi="宋体"/>
          <w:color w:val="auto"/>
          <w:highlight w:val="none"/>
        </w:rPr>
      </w:pPr>
      <w:r>
        <w:rPr>
          <w:rFonts w:hint="eastAsia" w:ascii="宋体" w:hAnsi="宋体"/>
          <w:color w:val="auto"/>
          <w:highlight w:val="none"/>
        </w:rPr>
        <w:t>法定代表人（负责人）身份证（正反面）扫描件：</w:t>
      </w:r>
    </w:p>
    <w:tbl>
      <w:tblPr>
        <w:tblStyle w:val="19"/>
        <w:tblW w:w="7786" w:type="dxa"/>
        <w:jc w:val="center"/>
        <w:tblLayout w:type="fixed"/>
        <w:tblCellMar>
          <w:top w:w="0" w:type="dxa"/>
          <w:left w:w="108" w:type="dxa"/>
          <w:bottom w:w="0" w:type="dxa"/>
          <w:right w:w="108" w:type="dxa"/>
        </w:tblCellMar>
      </w:tblPr>
      <w:tblGrid>
        <w:gridCol w:w="7786"/>
      </w:tblGrid>
      <w:tr w14:paraId="3E8780C2">
        <w:tblPrEx>
          <w:tblCellMar>
            <w:top w:w="0" w:type="dxa"/>
            <w:left w:w="108" w:type="dxa"/>
            <w:bottom w:w="0" w:type="dxa"/>
            <w:right w:w="108" w:type="dxa"/>
          </w:tblCellMar>
        </w:tblPrEx>
        <w:trPr>
          <w:trHeight w:val="2152" w:hRule="atLeast"/>
          <w:jc w:val="center"/>
        </w:trPr>
        <w:tc>
          <w:tcPr>
            <w:tcW w:w="7786" w:type="dxa"/>
            <w:tcBorders>
              <w:top w:val="single" w:color="auto" w:sz="4" w:space="0"/>
              <w:left w:val="single" w:color="auto" w:sz="4" w:space="0"/>
              <w:bottom w:val="single" w:color="auto" w:sz="4" w:space="0"/>
              <w:right w:val="single" w:color="auto" w:sz="4" w:space="0"/>
            </w:tcBorders>
          </w:tcPr>
          <w:p w14:paraId="5895CF12">
            <w:pPr>
              <w:spacing w:line="440" w:lineRule="exact"/>
              <w:ind w:firstLine="480"/>
              <w:rPr>
                <w:rFonts w:hint="eastAsia" w:ascii="宋体" w:hAnsi="宋体"/>
                <w:color w:val="auto"/>
                <w:highlight w:val="none"/>
              </w:rPr>
            </w:pPr>
          </w:p>
        </w:tc>
      </w:tr>
    </w:tbl>
    <w:p w14:paraId="03466430">
      <w:pPr>
        <w:spacing w:line="440" w:lineRule="exact"/>
        <w:ind w:firstLine="480"/>
        <w:rPr>
          <w:rFonts w:hint="eastAsia" w:ascii="宋体" w:hAnsi="宋体"/>
          <w:color w:val="auto"/>
          <w:highlight w:val="none"/>
        </w:rPr>
      </w:pPr>
      <w:r>
        <w:rPr>
          <w:rFonts w:hint="eastAsia" w:ascii="宋体" w:hAnsi="宋体"/>
          <w:color w:val="auto"/>
          <w:highlight w:val="none"/>
        </w:rPr>
        <w:t>被委托人（授权代表)身份证（正反面）扫描件：</w:t>
      </w:r>
    </w:p>
    <w:tbl>
      <w:tblPr>
        <w:tblStyle w:val="19"/>
        <w:tblW w:w="7865" w:type="dxa"/>
        <w:jc w:val="center"/>
        <w:tblLayout w:type="fixed"/>
        <w:tblCellMar>
          <w:top w:w="0" w:type="dxa"/>
          <w:left w:w="108" w:type="dxa"/>
          <w:bottom w:w="0" w:type="dxa"/>
          <w:right w:w="108" w:type="dxa"/>
        </w:tblCellMar>
      </w:tblPr>
      <w:tblGrid>
        <w:gridCol w:w="7865"/>
      </w:tblGrid>
      <w:tr w14:paraId="71C67692">
        <w:trPr>
          <w:trHeight w:val="2279" w:hRule="atLeast"/>
          <w:jc w:val="center"/>
        </w:trPr>
        <w:tc>
          <w:tcPr>
            <w:tcW w:w="7865" w:type="dxa"/>
            <w:tcBorders>
              <w:top w:val="single" w:color="auto" w:sz="4" w:space="0"/>
              <w:left w:val="single" w:color="auto" w:sz="4" w:space="0"/>
              <w:bottom w:val="single" w:color="auto" w:sz="4" w:space="0"/>
              <w:right w:val="single" w:color="auto" w:sz="4" w:space="0"/>
            </w:tcBorders>
          </w:tcPr>
          <w:p w14:paraId="7FF0544A">
            <w:pPr>
              <w:spacing w:line="440" w:lineRule="exact"/>
              <w:ind w:firstLine="480"/>
              <w:rPr>
                <w:rFonts w:hint="eastAsia" w:ascii="宋体" w:hAnsi="宋体"/>
                <w:color w:val="auto"/>
                <w:highlight w:val="none"/>
              </w:rPr>
            </w:pPr>
          </w:p>
        </w:tc>
      </w:tr>
    </w:tbl>
    <w:p w14:paraId="69ED18B5">
      <w:pPr>
        <w:ind w:firstLine="0" w:firstLineChars="0"/>
        <w:rPr>
          <w:rFonts w:hint="eastAsia" w:ascii="宋体" w:hAnsi="宋体" w:cs="宋体"/>
          <w:b/>
          <w:bCs/>
          <w:color w:val="auto"/>
          <w:highlight w:val="none"/>
        </w:rPr>
        <w:sectPr>
          <w:pgSz w:w="11906" w:h="16838"/>
          <w:pgMar w:top="1440" w:right="1803" w:bottom="1440" w:left="1803" w:header="850" w:footer="992" w:gutter="0"/>
          <w:cols w:space="720" w:num="1"/>
          <w:docGrid w:type="lines" w:linePitch="312" w:charSpace="0"/>
        </w:sectPr>
      </w:pPr>
    </w:p>
    <w:p w14:paraId="51BABD35">
      <w:pPr>
        <w:ind w:firstLine="0" w:firstLineChars="0"/>
        <w:rPr>
          <w:rFonts w:hint="eastAsia" w:ascii="新宋体" w:hAnsi="新宋体" w:eastAsia="新宋体" w:cs="新宋体"/>
          <w:bCs/>
          <w:color w:val="auto"/>
          <w:sz w:val="28"/>
          <w:szCs w:val="28"/>
          <w:highlight w:val="none"/>
        </w:rPr>
      </w:pPr>
      <w:r>
        <w:rPr>
          <w:rFonts w:hint="eastAsia" w:ascii="新宋体" w:hAnsi="新宋体" w:eastAsia="新宋体"/>
          <w:color w:val="auto"/>
          <w:highlight w:val="none"/>
        </w:rPr>
        <w:t>附件4</w:t>
      </w:r>
    </w:p>
    <w:p w14:paraId="11F505EC">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近三年内，在经营活动中没有重大违法记录的承诺书</w:t>
      </w:r>
    </w:p>
    <w:p w14:paraId="4AFEF135">
      <w:pPr>
        <w:pStyle w:val="38"/>
        <w:shd w:val="clear" w:color="auto" w:fill="FFFFFF"/>
        <w:spacing w:before="0" w:beforeAutospacing="0" w:after="0" w:afterAutospacing="0" w:line="360" w:lineRule="auto"/>
        <w:ind w:firstLine="480"/>
        <w:rPr>
          <w:rFonts w:hint="eastAsia" w:ascii="新宋体" w:hAnsi="新宋体" w:eastAsia="新宋体" w:cs="新宋体"/>
          <w:color w:val="auto"/>
          <w:highlight w:val="none"/>
          <w:shd w:val="clear" w:color="auto" w:fill="FFFFFF"/>
        </w:rPr>
      </w:pPr>
      <w:r>
        <w:rPr>
          <w:rFonts w:hint="eastAsia" w:cs="Times New Roman"/>
          <w:color w:val="auto"/>
          <w:kern w:val="2"/>
          <w:highlight w:val="none"/>
        </w:rPr>
        <w:t>致：</w:t>
      </w:r>
      <w:r>
        <w:rPr>
          <w:rFonts w:hint="eastAsia" w:cs="Times New Roman"/>
          <w:color w:val="auto"/>
          <w:kern w:val="2"/>
          <w:highlight w:val="none"/>
          <w:lang w:eastAsia="zh-CN"/>
        </w:rPr>
        <w:t>衢州市柯城区住房和城乡建设局</w:t>
      </w:r>
      <w:r>
        <w:rPr>
          <w:rFonts w:hint="eastAsia" w:cs="Times New Roman"/>
          <w:color w:val="auto"/>
          <w:kern w:val="2"/>
          <w:highlight w:val="none"/>
        </w:rPr>
        <w:t>、</w:t>
      </w:r>
      <w:r>
        <w:rPr>
          <w:rFonts w:hint="eastAsia" w:cs="Times New Roman"/>
          <w:color w:val="auto"/>
          <w:kern w:val="2"/>
          <w:highlight w:val="none"/>
          <w:lang w:eastAsia="zh-CN"/>
        </w:rPr>
        <w:t>浙江佳诚工程咨询股份有限公司</w:t>
      </w:r>
      <w:r>
        <w:rPr>
          <w:rFonts w:hint="eastAsia" w:cs="Times New Roman"/>
          <w:color w:val="auto"/>
          <w:kern w:val="2"/>
          <w:highlight w:val="none"/>
        </w:rPr>
        <w:t xml:space="preserve"> </w:t>
      </w:r>
    </w:p>
    <w:p w14:paraId="1A5BB07E">
      <w:pPr>
        <w:spacing w:line="360" w:lineRule="auto"/>
        <w:ind w:firstLine="480"/>
        <w:rPr>
          <w:rFonts w:hint="eastAsia" w:ascii="宋体" w:hAnsi="宋体"/>
          <w:color w:val="auto"/>
          <w:highlight w:val="none"/>
        </w:rPr>
      </w:pPr>
      <w:r>
        <w:rPr>
          <w:rFonts w:hint="eastAsia" w:ascii="宋体" w:hAnsi="宋体"/>
          <w:color w:val="auto"/>
          <w:highlight w:val="none"/>
        </w:rPr>
        <w:t>我单位近三年内，在经营活动中没有重大违法记录，特此承诺如下：</w:t>
      </w:r>
    </w:p>
    <w:p w14:paraId="72BD0AEC">
      <w:pPr>
        <w:spacing w:line="360" w:lineRule="auto"/>
        <w:ind w:firstLine="480"/>
        <w:rPr>
          <w:rFonts w:hint="eastAsia" w:ascii="宋体" w:hAnsi="宋体"/>
          <w:color w:val="auto"/>
          <w:highlight w:val="none"/>
        </w:rPr>
      </w:pPr>
      <w:r>
        <w:rPr>
          <w:rFonts w:hint="eastAsia" w:ascii="宋体" w:hAnsi="宋体"/>
          <w:color w:val="auto"/>
          <w:highlight w:val="none"/>
        </w:rPr>
        <w:t>若采购单位在本项目</w:t>
      </w:r>
      <w:r>
        <w:rPr>
          <w:rFonts w:hint="eastAsia" w:ascii="宋体" w:hAnsi="宋体"/>
          <w:color w:val="auto"/>
          <w:highlight w:val="none"/>
          <w:u w:val="single"/>
          <w:lang w:eastAsia="zh-CN"/>
        </w:rPr>
        <w:t>2025年柯城区政策性农村住房保险及附加室内家财保险项目</w:t>
      </w:r>
      <w:r>
        <w:rPr>
          <w:rFonts w:hint="eastAsia" w:ascii="宋体" w:hAnsi="宋体"/>
          <w:color w:val="auto"/>
          <w:highlight w:val="none"/>
          <w:u w:val="single"/>
        </w:rPr>
        <w:t>（项目编号：</w:t>
      </w:r>
      <w:r>
        <w:rPr>
          <w:rFonts w:hint="eastAsia" w:ascii="宋体" w:hAnsi="宋体"/>
          <w:color w:val="auto"/>
          <w:highlight w:val="none"/>
          <w:u w:val="single"/>
          <w:lang w:eastAsia="zh-CN"/>
        </w:rPr>
        <w:t>ZJJCCG2025-01</w:t>
      </w:r>
      <w:r>
        <w:rPr>
          <w:rFonts w:hint="eastAsia" w:ascii="宋体" w:hAnsi="宋体"/>
          <w:color w:val="auto"/>
          <w:highlight w:val="none"/>
          <w:u w:val="single"/>
        </w:rPr>
        <w:t>）</w:t>
      </w:r>
      <w:r>
        <w:rPr>
          <w:rFonts w:hint="eastAsia" w:ascii="宋体" w:hAnsi="宋体"/>
          <w:color w:val="auto"/>
          <w:highlight w:val="none"/>
        </w:rPr>
        <w:t>采购过程中发现我单位近三年内在经营活动中有重大违法记录，我单位将无条件地退出本项目的采购活动，并承担因此引起的一切后果。时间为开标之日起往前推三年。</w:t>
      </w:r>
    </w:p>
    <w:p w14:paraId="66284DBB">
      <w:pPr>
        <w:spacing w:line="360" w:lineRule="auto"/>
        <w:ind w:firstLine="480"/>
        <w:rPr>
          <w:rFonts w:hint="eastAsia" w:ascii="宋体" w:hAnsi="宋体"/>
          <w:color w:val="auto"/>
          <w:highlight w:val="none"/>
        </w:rPr>
      </w:pPr>
      <w:r>
        <w:rPr>
          <w:rFonts w:hint="eastAsia" w:ascii="宋体" w:hAnsi="宋体"/>
          <w:color w:val="auto"/>
          <w:highlight w:val="none"/>
        </w:rPr>
        <w:t>我单位经事先主动查询，没有被</w:t>
      </w:r>
      <w:r>
        <w:rPr>
          <w:rFonts w:hint="eastAsia" w:ascii="宋体" w:hAnsi="宋体"/>
          <w:b/>
          <w:bCs/>
          <w:color w:val="auto"/>
          <w:highlight w:val="none"/>
        </w:rPr>
        <w:t>“信用中国”网站（www.creditchina.gov.cn）</w:t>
      </w:r>
      <w:r>
        <w:rPr>
          <w:rFonts w:hint="eastAsia" w:ascii="宋体" w:hAnsi="宋体"/>
          <w:color w:val="auto"/>
          <w:highlight w:val="none"/>
        </w:rPr>
        <w:t>列入失信被执行人、重大税收违法案件当事人名单、政府采购严重违法失信名单；在投标截止之日至前三年内，没有在</w:t>
      </w:r>
      <w:r>
        <w:rPr>
          <w:rFonts w:hint="eastAsia" w:ascii="宋体" w:hAnsi="宋体"/>
          <w:b/>
          <w:bCs/>
          <w:color w:val="auto"/>
          <w:highlight w:val="none"/>
        </w:rPr>
        <w:t>“中国政府采购网”(www.ccgp.gov.cn)</w:t>
      </w:r>
      <w:r>
        <w:rPr>
          <w:rFonts w:hint="eastAsia" w:ascii="宋体" w:hAnsi="宋体"/>
          <w:color w:val="auto"/>
          <w:highlight w:val="none"/>
        </w:rPr>
        <w:t>列入政府采购严重违法失信行为记录名单中的且在处罚有效期内的；在投标截止之日至前三年内，没有在</w:t>
      </w:r>
      <w:r>
        <w:rPr>
          <w:rFonts w:hint="eastAsia" w:ascii="宋体" w:hAnsi="宋体"/>
          <w:b/>
          <w:bCs/>
          <w:color w:val="auto"/>
          <w:highlight w:val="none"/>
        </w:rPr>
        <w:t>“浙江政府采购网”（zfcg.czt.zj.gov.cn）</w:t>
      </w:r>
      <w:r>
        <w:rPr>
          <w:rFonts w:ascii="宋体" w:hAnsi="宋体"/>
          <w:b/>
          <w:color w:val="auto"/>
          <w:highlight w:val="none"/>
        </w:rPr>
        <w:t>“政府采购监管-行政处罚”</w:t>
      </w:r>
      <w:r>
        <w:rPr>
          <w:rFonts w:ascii="宋体" w:hAnsi="宋体"/>
          <w:color w:val="auto"/>
          <w:highlight w:val="none"/>
        </w:rPr>
        <w:t>中被曝光且在处罚有效期内</w:t>
      </w:r>
      <w:r>
        <w:rPr>
          <w:rFonts w:hint="eastAsia" w:ascii="宋体" w:hAnsi="宋体"/>
          <w:color w:val="auto"/>
          <w:highlight w:val="none"/>
        </w:rPr>
        <w:t>的。我公司承诺以开标当日网页查询记录为准，如开标当日查询记录有存在上述不良记录，我单位无条件地退出本项目的采购活动（包括已中标），并承担因此引起的一切后果。</w:t>
      </w:r>
    </w:p>
    <w:p w14:paraId="636ED323">
      <w:pPr>
        <w:ind w:firstLine="480"/>
        <w:rPr>
          <w:rFonts w:hint="eastAsia" w:ascii="宋体" w:hAnsi="宋体"/>
          <w:color w:val="auto"/>
          <w:highlight w:val="none"/>
        </w:rPr>
      </w:pPr>
    </w:p>
    <w:p w14:paraId="6EB57D78">
      <w:pPr>
        <w:spacing w:line="360" w:lineRule="auto"/>
        <w:ind w:firstLine="3000" w:firstLineChars="1250"/>
        <w:rPr>
          <w:rFonts w:hint="eastAsia" w:ascii="宋体" w:hAnsi="宋体"/>
          <w:color w:val="auto"/>
          <w:highlight w:val="none"/>
        </w:rPr>
      </w:pPr>
    </w:p>
    <w:p w14:paraId="4FDF797C">
      <w:pPr>
        <w:spacing w:line="360" w:lineRule="auto"/>
        <w:ind w:firstLine="3000" w:firstLineChars="1250"/>
        <w:rPr>
          <w:rFonts w:hint="eastAsia" w:ascii="宋体" w:hAnsi="宋体"/>
          <w:color w:val="auto"/>
          <w:highlight w:val="none"/>
        </w:rPr>
      </w:pPr>
    </w:p>
    <w:p w14:paraId="37ABC7F9">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4D10912C">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576EF702">
      <w:pPr>
        <w:ind w:firstLine="5520" w:firstLineChars="2300"/>
        <w:rPr>
          <w:rFonts w:hint="eastAsia" w:ascii="宋体" w:hAnsi="宋体"/>
          <w:color w:val="auto"/>
          <w:highlight w:val="none"/>
        </w:rPr>
      </w:pPr>
      <w:r>
        <w:rPr>
          <w:rFonts w:hint="eastAsia" w:ascii="宋体" w:hAnsi="宋体"/>
          <w:color w:val="auto"/>
          <w:highlight w:val="none"/>
        </w:rPr>
        <w:t>日期：</w:t>
      </w:r>
    </w:p>
    <w:p w14:paraId="10393458">
      <w:pPr>
        <w:spacing w:line="600" w:lineRule="exact"/>
        <w:ind w:firstLine="480"/>
        <w:rPr>
          <w:rFonts w:hint="eastAsia" w:ascii="宋体" w:hAnsi="宋体"/>
          <w:color w:val="auto"/>
          <w:highlight w:val="none"/>
        </w:rPr>
      </w:pPr>
    </w:p>
    <w:p w14:paraId="2901924D">
      <w:pPr>
        <w:ind w:firstLine="0" w:firstLineChars="0"/>
        <w:rPr>
          <w:rFonts w:hint="eastAsia" w:ascii="宋体" w:hAnsi="宋体" w:cs="宋体"/>
          <w:b/>
          <w:bCs/>
          <w:color w:val="auto"/>
          <w:highlight w:val="none"/>
        </w:rPr>
        <w:sectPr>
          <w:pgSz w:w="11906" w:h="16838"/>
          <w:pgMar w:top="1440" w:right="1803" w:bottom="1440" w:left="1803" w:header="850" w:footer="992" w:gutter="0"/>
          <w:cols w:space="720" w:num="1"/>
          <w:docGrid w:type="lines" w:linePitch="312" w:charSpace="0"/>
        </w:sectPr>
      </w:pPr>
    </w:p>
    <w:p w14:paraId="386080E6">
      <w:pPr>
        <w:ind w:firstLine="0" w:firstLineChars="0"/>
        <w:rPr>
          <w:rFonts w:hint="eastAsia" w:ascii="新宋体" w:hAnsi="新宋体" w:eastAsia="新宋体"/>
          <w:color w:val="auto"/>
          <w:highlight w:val="none"/>
        </w:rPr>
      </w:pPr>
      <w:r>
        <w:rPr>
          <w:rFonts w:hint="eastAsia" w:ascii="新宋体" w:hAnsi="新宋体" w:eastAsia="新宋体"/>
          <w:color w:val="auto"/>
          <w:highlight w:val="none"/>
        </w:rPr>
        <w:t>附件5</w:t>
      </w:r>
    </w:p>
    <w:p w14:paraId="4D073377">
      <w:pPr>
        <w:adjustRightInd w:val="0"/>
        <w:snapToGrid w:val="0"/>
        <w:spacing w:line="360" w:lineRule="auto"/>
        <w:ind w:firstLine="0" w:firstLineChars="0"/>
        <w:jc w:val="center"/>
        <w:rPr>
          <w:rFonts w:hint="eastAsia" w:ascii="宋体" w:hAnsi="宋体" w:cs="宋体"/>
          <w:bCs/>
          <w:color w:val="auto"/>
          <w:sz w:val="32"/>
          <w:szCs w:val="32"/>
          <w:highlight w:val="none"/>
          <w:lang w:val="en-GB"/>
        </w:rPr>
      </w:pPr>
      <w:r>
        <w:rPr>
          <w:rFonts w:hint="eastAsia" w:ascii="宋体" w:hAnsi="宋体" w:cs="宋体"/>
          <w:bCs/>
          <w:color w:val="auto"/>
          <w:sz w:val="32"/>
          <w:szCs w:val="32"/>
          <w:highlight w:val="none"/>
          <w:lang w:val="en-GB"/>
        </w:rPr>
        <w:t>商业信誉承诺书</w:t>
      </w:r>
    </w:p>
    <w:p w14:paraId="04CC15C3">
      <w:pPr>
        <w:snapToGrid w:val="0"/>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衢州市柯城区住房和城乡建设局</w:t>
      </w:r>
      <w:r>
        <w:rPr>
          <w:rFonts w:hint="eastAsia" w:ascii="宋体" w:hAnsi="宋体" w:cs="宋体"/>
          <w:color w:val="auto"/>
          <w:highlight w:val="none"/>
          <w:u w:val="single"/>
        </w:rPr>
        <w:t>：</w:t>
      </w:r>
    </w:p>
    <w:p w14:paraId="3A3B41C8">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u w:val="single"/>
        </w:rPr>
        <w:t>（投标人名称）</w:t>
      </w:r>
      <w:r>
        <w:rPr>
          <w:rFonts w:hint="eastAsia" w:ascii="宋体" w:hAnsi="宋体" w:cs="宋体"/>
          <w:color w:val="auto"/>
          <w:highlight w:val="none"/>
        </w:rPr>
        <w:t>郑重承诺：在参加本次采购活动前</w:t>
      </w:r>
      <w:r>
        <w:rPr>
          <w:rFonts w:hint="eastAsia" w:ascii="宋体" w:hAnsi="宋体" w:cs="宋体"/>
          <w:color w:val="auto"/>
          <w:highlight w:val="none"/>
          <w:shd w:val="clear" w:color="auto" w:fill="FFFFFF"/>
        </w:rPr>
        <w:t>没有税收缴纳、社会保障等方面的失信记录</w:t>
      </w:r>
      <w:r>
        <w:rPr>
          <w:rFonts w:hint="eastAsia" w:ascii="宋体" w:hAnsi="宋体" w:cs="宋体"/>
          <w:color w:val="auto"/>
          <w:highlight w:val="none"/>
        </w:rPr>
        <w:t>。</w:t>
      </w:r>
    </w:p>
    <w:p w14:paraId="7F6D4675">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本单位对上述承诺的内容事项真实性负责，如有虚假，由我单位承担相关法律责任。</w:t>
      </w:r>
    </w:p>
    <w:p w14:paraId="1C89E286">
      <w:pPr>
        <w:ind w:firstLine="0" w:firstLineChars="0"/>
        <w:rPr>
          <w:rFonts w:hint="eastAsia" w:ascii="宋体" w:hAnsi="宋体" w:cs="宋体"/>
          <w:b/>
          <w:bCs/>
          <w:color w:val="auto"/>
          <w:highlight w:val="none"/>
        </w:rPr>
      </w:pPr>
    </w:p>
    <w:p w14:paraId="10BDD603">
      <w:pPr>
        <w:ind w:firstLine="0" w:firstLineChars="0"/>
        <w:rPr>
          <w:rFonts w:hint="eastAsia" w:ascii="宋体" w:hAnsi="宋体" w:cs="宋体"/>
          <w:b/>
          <w:bCs/>
          <w:color w:val="auto"/>
          <w:highlight w:val="none"/>
        </w:rPr>
      </w:pPr>
    </w:p>
    <w:p w14:paraId="23EBFF0A">
      <w:pPr>
        <w:ind w:firstLine="0" w:firstLineChars="0"/>
        <w:rPr>
          <w:rFonts w:hint="eastAsia" w:ascii="宋体" w:hAnsi="宋体" w:cs="宋体"/>
          <w:b/>
          <w:bCs/>
          <w:color w:val="auto"/>
          <w:highlight w:val="none"/>
        </w:rPr>
      </w:pPr>
    </w:p>
    <w:p w14:paraId="0720CB4B">
      <w:pPr>
        <w:ind w:firstLine="0" w:firstLineChars="0"/>
        <w:rPr>
          <w:rFonts w:hint="eastAsia" w:ascii="宋体" w:hAnsi="宋体" w:cs="宋体"/>
          <w:b/>
          <w:bCs/>
          <w:color w:val="auto"/>
          <w:highlight w:val="none"/>
        </w:rPr>
      </w:pPr>
    </w:p>
    <w:p w14:paraId="25B89208">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203CEB03">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1A5E9796">
      <w:pPr>
        <w:ind w:firstLine="5520" w:firstLineChars="2300"/>
        <w:rPr>
          <w:rFonts w:hint="eastAsia" w:ascii="宋体" w:hAnsi="宋体"/>
          <w:color w:val="auto"/>
          <w:highlight w:val="none"/>
        </w:rPr>
      </w:pPr>
      <w:r>
        <w:rPr>
          <w:rFonts w:hint="eastAsia" w:ascii="宋体" w:hAnsi="宋体"/>
          <w:color w:val="auto"/>
          <w:highlight w:val="none"/>
        </w:rPr>
        <w:t>日期：</w:t>
      </w:r>
    </w:p>
    <w:p w14:paraId="3EB45172">
      <w:pPr>
        <w:ind w:firstLine="0" w:firstLineChars="0"/>
        <w:rPr>
          <w:rFonts w:hint="eastAsia" w:ascii="宋体" w:hAnsi="宋体" w:cs="宋体"/>
          <w:b/>
          <w:bCs/>
          <w:color w:val="auto"/>
          <w:highlight w:val="none"/>
        </w:rPr>
        <w:sectPr>
          <w:pgSz w:w="11906" w:h="16838"/>
          <w:pgMar w:top="1440" w:right="1803" w:bottom="1440" w:left="1803" w:header="850" w:footer="992" w:gutter="0"/>
          <w:cols w:space="720" w:num="1"/>
          <w:docGrid w:type="lines" w:linePitch="312" w:charSpace="0"/>
        </w:sectPr>
      </w:pPr>
    </w:p>
    <w:p w14:paraId="3F919AB6">
      <w:pPr>
        <w:ind w:firstLine="480"/>
        <w:rPr>
          <w:rFonts w:hint="eastAsia" w:ascii="新宋体" w:hAnsi="新宋体" w:eastAsia="新宋体"/>
          <w:color w:val="auto"/>
          <w:highlight w:val="none"/>
        </w:rPr>
      </w:pPr>
      <w:r>
        <w:rPr>
          <w:rFonts w:hint="eastAsia" w:ascii="新宋体" w:hAnsi="新宋体" w:eastAsia="新宋体"/>
          <w:color w:val="auto"/>
          <w:highlight w:val="none"/>
        </w:rPr>
        <w:t>附件6</w:t>
      </w:r>
    </w:p>
    <w:p w14:paraId="188FDB95">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GB"/>
        </w:rPr>
        <w:t>具有履行合同所必需的设备和专业技术能力承诺书</w:t>
      </w:r>
    </w:p>
    <w:p w14:paraId="5AEA5744">
      <w:pPr>
        <w:snapToGrid w:val="0"/>
        <w:spacing w:line="360" w:lineRule="auto"/>
        <w:ind w:firstLine="480"/>
        <w:rPr>
          <w:rFonts w:hint="eastAsia" w:ascii="宋体" w:hAnsi="宋体" w:cs="宋体"/>
          <w:color w:val="auto"/>
          <w:highlight w:val="none"/>
          <w:u w:val="single"/>
        </w:rPr>
      </w:pPr>
      <w:r>
        <w:rPr>
          <w:rFonts w:hint="eastAsia" w:ascii="宋体" w:hAnsi="宋体" w:cs="宋体"/>
          <w:color w:val="auto"/>
          <w:highlight w:val="none"/>
          <w:u w:val="single"/>
          <w:lang w:eastAsia="zh-CN"/>
        </w:rPr>
        <w:t>衢州市柯城区住房和城乡建设局</w:t>
      </w:r>
      <w:r>
        <w:rPr>
          <w:rFonts w:hint="eastAsia" w:ascii="宋体" w:hAnsi="宋体" w:cs="宋体"/>
          <w:color w:val="auto"/>
          <w:highlight w:val="none"/>
          <w:u w:val="single"/>
        </w:rPr>
        <w:t>：</w:t>
      </w:r>
    </w:p>
    <w:p w14:paraId="20685028">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u w:val="single"/>
        </w:rPr>
        <w:t>（投标人名称）</w:t>
      </w:r>
      <w:r>
        <w:rPr>
          <w:rFonts w:hint="eastAsia" w:ascii="宋体" w:hAnsi="宋体" w:cs="宋体"/>
          <w:color w:val="auto"/>
          <w:highlight w:val="none"/>
        </w:rPr>
        <w:t>郑重承诺：具有参加本次采购活动，履行采购合同所必需的设备和专业技术能力。</w:t>
      </w:r>
    </w:p>
    <w:p w14:paraId="2F056E20">
      <w:pPr>
        <w:snapToGrid w:val="0"/>
        <w:spacing w:line="360" w:lineRule="auto"/>
        <w:ind w:firstLine="480"/>
        <w:rPr>
          <w:rFonts w:hint="eastAsia" w:ascii="宋体" w:hAnsi="宋体" w:cs="宋体"/>
          <w:color w:val="auto"/>
          <w:highlight w:val="none"/>
        </w:rPr>
      </w:pPr>
      <w:r>
        <w:rPr>
          <w:rFonts w:hint="eastAsia" w:ascii="宋体" w:hAnsi="宋体" w:cs="宋体"/>
          <w:color w:val="auto"/>
          <w:highlight w:val="none"/>
        </w:rPr>
        <w:t>本单位对上述承诺的内容事项真实性负责，如有虚假，由我单位承担相关法律责任。</w:t>
      </w:r>
    </w:p>
    <w:p w14:paraId="3065B08E">
      <w:pPr>
        <w:ind w:firstLine="0" w:firstLineChars="0"/>
        <w:rPr>
          <w:rFonts w:hint="eastAsia" w:ascii="宋体" w:hAnsi="宋体" w:cs="宋体"/>
          <w:b/>
          <w:bCs/>
          <w:color w:val="auto"/>
          <w:highlight w:val="none"/>
        </w:rPr>
      </w:pPr>
    </w:p>
    <w:p w14:paraId="404AA2D0">
      <w:pPr>
        <w:ind w:firstLine="0" w:firstLineChars="0"/>
        <w:rPr>
          <w:rFonts w:hint="eastAsia" w:ascii="宋体" w:hAnsi="宋体" w:cs="宋体"/>
          <w:b/>
          <w:bCs/>
          <w:color w:val="auto"/>
          <w:highlight w:val="none"/>
        </w:rPr>
      </w:pPr>
    </w:p>
    <w:p w14:paraId="7F5A23BD">
      <w:pPr>
        <w:ind w:firstLine="0" w:firstLineChars="0"/>
        <w:rPr>
          <w:rFonts w:hint="eastAsia" w:ascii="宋体" w:hAnsi="宋体" w:cs="宋体"/>
          <w:b/>
          <w:bCs/>
          <w:color w:val="auto"/>
          <w:highlight w:val="none"/>
        </w:rPr>
      </w:pPr>
    </w:p>
    <w:p w14:paraId="7431F5C7">
      <w:pPr>
        <w:ind w:firstLine="0" w:firstLineChars="0"/>
        <w:rPr>
          <w:rFonts w:hint="eastAsia" w:ascii="宋体" w:hAnsi="宋体" w:cs="宋体"/>
          <w:b/>
          <w:bCs/>
          <w:color w:val="auto"/>
          <w:highlight w:val="none"/>
        </w:rPr>
      </w:pPr>
    </w:p>
    <w:p w14:paraId="5A287015">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22D066C9">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4445B3AB">
      <w:pPr>
        <w:ind w:firstLine="5520" w:firstLineChars="2300"/>
        <w:rPr>
          <w:rFonts w:hint="eastAsia" w:ascii="宋体" w:hAnsi="宋体"/>
          <w:color w:val="auto"/>
          <w:highlight w:val="none"/>
        </w:rPr>
      </w:pPr>
      <w:r>
        <w:rPr>
          <w:rFonts w:hint="eastAsia" w:ascii="宋体" w:hAnsi="宋体"/>
          <w:color w:val="auto"/>
          <w:highlight w:val="none"/>
        </w:rPr>
        <w:t>日期：</w:t>
      </w:r>
    </w:p>
    <w:p w14:paraId="60DF1E27">
      <w:pPr>
        <w:ind w:firstLine="0" w:firstLineChars="0"/>
        <w:rPr>
          <w:rFonts w:hint="eastAsia" w:ascii="宋体" w:hAnsi="宋体" w:cs="宋体"/>
          <w:b/>
          <w:bCs/>
          <w:color w:val="auto"/>
          <w:highlight w:val="none"/>
        </w:rPr>
        <w:sectPr>
          <w:pgSz w:w="11906" w:h="16838"/>
          <w:pgMar w:top="1440" w:right="1803" w:bottom="1440" w:left="1803" w:header="850" w:footer="992" w:gutter="0"/>
          <w:cols w:space="720" w:num="1"/>
          <w:docGrid w:type="lines" w:linePitch="312" w:charSpace="0"/>
        </w:sectPr>
      </w:pPr>
    </w:p>
    <w:p w14:paraId="388EC9D9">
      <w:pPr>
        <w:ind w:firstLine="0" w:firstLineChars="0"/>
        <w:jc w:val="center"/>
        <w:outlineLvl w:val="1"/>
        <w:rPr>
          <w:rStyle w:val="34"/>
          <w:rFonts w:hint="eastAsia" w:ascii="新宋体" w:hAnsi="新宋体" w:eastAsia="新宋体"/>
          <w:color w:val="auto"/>
          <w:szCs w:val="28"/>
          <w:highlight w:val="none"/>
        </w:rPr>
      </w:pPr>
      <w:bookmarkStart w:id="403" w:name="_Toc14234"/>
      <w:bookmarkStart w:id="404" w:name="_Toc3604"/>
      <w:bookmarkStart w:id="405" w:name="_Toc9814"/>
      <w:bookmarkStart w:id="406" w:name="_Toc29168"/>
      <w:bookmarkStart w:id="407" w:name="_Toc27939"/>
      <w:r>
        <w:rPr>
          <w:rStyle w:val="34"/>
          <w:rFonts w:hint="eastAsia" w:ascii="新宋体" w:hAnsi="新宋体" w:eastAsia="新宋体"/>
          <w:color w:val="auto"/>
          <w:szCs w:val="28"/>
          <w:highlight w:val="none"/>
        </w:rPr>
        <w:t>三、资信技术文件</w:t>
      </w:r>
      <w:r>
        <w:rPr>
          <w:rStyle w:val="34"/>
          <w:rFonts w:ascii="新宋体" w:hAnsi="新宋体" w:eastAsia="新宋体"/>
          <w:color w:val="auto"/>
          <w:szCs w:val="28"/>
          <w:highlight w:val="none"/>
        </w:rPr>
        <w:t>格式</w:t>
      </w:r>
      <w:bookmarkEnd w:id="403"/>
      <w:bookmarkEnd w:id="404"/>
      <w:bookmarkEnd w:id="405"/>
    </w:p>
    <w:p w14:paraId="7F9BAC0F">
      <w:pPr>
        <w:snapToGrid w:val="0"/>
        <w:spacing w:line="480" w:lineRule="auto"/>
        <w:ind w:firstLine="480"/>
        <w:jc w:val="left"/>
        <w:rPr>
          <w:rFonts w:hint="eastAsia" w:ascii="宋体" w:hAnsi="宋体" w:cs="宋体"/>
          <w:color w:val="auto"/>
          <w:highlight w:val="none"/>
        </w:rPr>
      </w:pPr>
      <w:r>
        <w:rPr>
          <w:rFonts w:hint="eastAsia" w:ascii="新宋体" w:hAnsi="新宋体" w:eastAsia="新宋体"/>
          <w:color w:val="auto"/>
          <w:highlight w:val="none"/>
        </w:rPr>
        <w:t>附件7</w:t>
      </w:r>
    </w:p>
    <w:bookmarkEnd w:id="406"/>
    <w:bookmarkEnd w:id="407"/>
    <w:p w14:paraId="6ED14EFB">
      <w:pPr>
        <w:adjustRightInd w:val="0"/>
        <w:snapToGrid w:val="0"/>
        <w:spacing w:line="360" w:lineRule="auto"/>
        <w:ind w:firstLine="0" w:firstLineChars="0"/>
        <w:jc w:val="center"/>
        <w:rPr>
          <w:rFonts w:hint="eastAsia" w:ascii="宋体" w:hAnsi="宋体" w:cs="宋体"/>
          <w:bCs/>
          <w:color w:val="auto"/>
          <w:sz w:val="32"/>
          <w:szCs w:val="32"/>
          <w:highlight w:val="none"/>
        </w:rPr>
      </w:pPr>
      <w:bookmarkStart w:id="408" w:name="_Toc24067"/>
      <w:bookmarkStart w:id="409" w:name="_Toc4219"/>
      <w:r>
        <w:rPr>
          <w:rFonts w:hint="eastAsia" w:ascii="宋体" w:hAnsi="宋体" w:cs="宋体"/>
          <w:bCs/>
          <w:color w:val="auto"/>
          <w:sz w:val="32"/>
          <w:szCs w:val="32"/>
          <w:highlight w:val="none"/>
        </w:rPr>
        <w:t>投标人类似业绩一览表</w:t>
      </w:r>
      <w:bookmarkEnd w:id="408"/>
      <w:bookmarkEnd w:id="409"/>
    </w:p>
    <w:p w14:paraId="44CC4024">
      <w:pPr>
        <w:adjustRightInd w:val="0"/>
        <w:snapToGrid w:val="0"/>
        <w:spacing w:line="312" w:lineRule="auto"/>
        <w:ind w:firstLine="480"/>
        <w:rPr>
          <w:rFonts w:hint="eastAsia" w:ascii="仿宋" w:hAnsi="仿宋" w:eastAsia="仿宋" w:cs="宋体"/>
          <w:color w:val="auto"/>
          <w:szCs w:val="21"/>
          <w:highlight w:val="none"/>
        </w:rPr>
      </w:pPr>
    </w:p>
    <w:p w14:paraId="575E2D55">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项目名称：     </w:t>
      </w:r>
    </w:p>
    <w:p w14:paraId="208C0CC8">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项目编号：            </w:t>
      </w:r>
    </w:p>
    <w:tbl>
      <w:tblPr>
        <w:tblStyle w:val="19"/>
        <w:tblpPr w:leftFromText="180" w:rightFromText="180" w:vertAnchor="text" w:horzAnchor="page" w:tblpXSpec="center" w:tblpY="386"/>
        <w:tblOverlap w:val="never"/>
        <w:tblW w:w="8877"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599"/>
        <w:gridCol w:w="1915"/>
        <w:gridCol w:w="2032"/>
        <w:gridCol w:w="1482"/>
      </w:tblGrid>
      <w:tr w14:paraId="546DB0E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1589" w:hRule="atLeast"/>
          <w:jc w:val="center"/>
        </w:trPr>
        <w:tc>
          <w:tcPr>
            <w:tcW w:w="1849" w:type="dxa"/>
            <w:vAlign w:val="center"/>
          </w:tcPr>
          <w:p w14:paraId="6EDA9FB0">
            <w:pPr>
              <w:snapToGrid w:val="0"/>
              <w:spacing w:line="320" w:lineRule="exact"/>
              <w:ind w:firstLine="0" w:firstLineChars="0"/>
              <w:rPr>
                <w:rFonts w:hint="eastAsia" w:ascii="宋体" w:hAnsi="宋体" w:cs="宋体"/>
                <w:color w:val="auto"/>
                <w:highlight w:val="none"/>
              </w:rPr>
            </w:pPr>
            <w:r>
              <w:rPr>
                <w:rFonts w:hint="eastAsia" w:ascii="宋体" w:hAnsi="宋体" w:cs="宋体"/>
                <w:color w:val="auto"/>
                <w:highlight w:val="none"/>
              </w:rPr>
              <w:t>采购单位名称</w:t>
            </w:r>
          </w:p>
        </w:tc>
        <w:tc>
          <w:tcPr>
            <w:tcW w:w="1599" w:type="dxa"/>
            <w:vAlign w:val="center"/>
          </w:tcPr>
          <w:p w14:paraId="0CFAC6F8">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项目名称</w:t>
            </w:r>
          </w:p>
        </w:tc>
        <w:tc>
          <w:tcPr>
            <w:tcW w:w="1915" w:type="dxa"/>
            <w:vAlign w:val="center"/>
          </w:tcPr>
          <w:p w14:paraId="6D484ADA">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服务时间</w:t>
            </w:r>
          </w:p>
        </w:tc>
        <w:tc>
          <w:tcPr>
            <w:tcW w:w="2032" w:type="dxa"/>
            <w:vAlign w:val="center"/>
          </w:tcPr>
          <w:p w14:paraId="36D7D310">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合同金额</w:t>
            </w:r>
          </w:p>
          <w:p w14:paraId="71306017">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（万元）</w:t>
            </w:r>
          </w:p>
        </w:tc>
        <w:tc>
          <w:tcPr>
            <w:tcW w:w="1482" w:type="dxa"/>
            <w:vAlign w:val="center"/>
          </w:tcPr>
          <w:p w14:paraId="3FC1B339">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采购单位联系人及</w:t>
            </w:r>
          </w:p>
          <w:p w14:paraId="4373FAE6">
            <w:pPr>
              <w:snapToGrid w:val="0"/>
              <w:spacing w:line="320" w:lineRule="exact"/>
              <w:ind w:firstLine="0" w:firstLineChars="0"/>
              <w:jc w:val="center"/>
              <w:rPr>
                <w:rFonts w:hint="eastAsia" w:ascii="宋体" w:hAnsi="宋体" w:cs="宋体"/>
                <w:color w:val="auto"/>
                <w:highlight w:val="none"/>
              </w:rPr>
            </w:pPr>
            <w:r>
              <w:rPr>
                <w:rFonts w:hint="eastAsia" w:ascii="宋体" w:hAnsi="宋体" w:cs="宋体"/>
                <w:color w:val="auto"/>
                <w:highlight w:val="none"/>
              </w:rPr>
              <w:t>联系电话</w:t>
            </w:r>
          </w:p>
        </w:tc>
      </w:tr>
      <w:tr w14:paraId="6BB5BBA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49" w:type="dxa"/>
          </w:tcPr>
          <w:p w14:paraId="37428DF6">
            <w:pPr>
              <w:snapToGrid w:val="0"/>
              <w:spacing w:line="320" w:lineRule="exact"/>
              <w:ind w:firstLine="0" w:firstLineChars="0"/>
              <w:jc w:val="left"/>
              <w:rPr>
                <w:rFonts w:hint="eastAsia" w:ascii="宋体" w:hAnsi="宋体" w:cs="宋体"/>
                <w:color w:val="auto"/>
                <w:highlight w:val="none"/>
              </w:rPr>
            </w:pPr>
          </w:p>
        </w:tc>
        <w:tc>
          <w:tcPr>
            <w:tcW w:w="1599" w:type="dxa"/>
          </w:tcPr>
          <w:p w14:paraId="1C8D9269">
            <w:pPr>
              <w:snapToGrid w:val="0"/>
              <w:spacing w:line="320" w:lineRule="exact"/>
              <w:ind w:firstLine="0" w:firstLineChars="0"/>
              <w:jc w:val="left"/>
              <w:rPr>
                <w:rFonts w:hint="eastAsia" w:ascii="宋体" w:hAnsi="宋体" w:cs="宋体"/>
                <w:color w:val="auto"/>
                <w:highlight w:val="none"/>
              </w:rPr>
            </w:pPr>
          </w:p>
        </w:tc>
        <w:tc>
          <w:tcPr>
            <w:tcW w:w="1915" w:type="dxa"/>
          </w:tcPr>
          <w:p w14:paraId="5B45BA6B">
            <w:pPr>
              <w:snapToGrid w:val="0"/>
              <w:spacing w:line="320" w:lineRule="exact"/>
              <w:ind w:firstLine="0" w:firstLineChars="0"/>
              <w:jc w:val="left"/>
              <w:rPr>
                <w:rFonts w:hint="eastAsia" w:ascii="宋体" w:hAnsi="宋体" w:cs="宋体"/>
                <w:color w:val="auto"/>
                <w:highlight w:val="none"/>
              </w:rPr>
            </w:pPr>
          </w:p>
        </w:tc>
        <w:tc>
          <w:tcPr>
            <w:tcW w:w="2032" w:type="dxa"/>
          </w:tcPr>
          <w:p w14:paraId="2A9B8196">
            <w:pPr>
              <w:snapToGrid w:val="0"/>
              <w:spacing w:line="320" w:lineRule="exact"/>
              <w:ind w:firstLine="0" w:firstLineChars="0"/>
              <w:jc w:val="left"/>
              <w:rPr>
                <w:rFonts w:hint="eastAsia" w:ascii="宋体" w:hAnsi="宋体" w:cs="宋体"/>
                <w:color w:val="auto"/>
                <w:highlight w:val="none"/>
              </w:rPr>
            </w:pPr>
          </w:p>
        </w:tc>
        <w:tc>
          <w:tcPr>
            <w:tcW w:w="1482" w:type="dxa"/>
          </w:tcPr>
          <w:p w14:paraId="66ABFDA9">
            <w:pPr>
              <w:snapToGrid w:val="0"/>
              <w:spacing w:line="320" w:lineRule="exact"/>
              <w:ind w:firstLine="0" w:firstLineChars="0"/>
              <w:jc w:val="left"/>
              <w:rPr>
                <w:rFonts w:hint="eastAsia" w:ascii="宋体" w:hAnsi="宋体" w:cs="宋体"/>
                <w:color w:val="auto"/>
                <w:highlight w:val="none"/>
              </w:rPr>
            </w:pPr>
          </w:p>
        </w:tc>
      </w:tr>
      <w:tr w14:paraId="4BFB536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49" w:type="dxa"/>
          </w:tcPr>
          <w:p w14:paraId="4DF6DAD1">
            <w:pPr>
              <w:snapToGrid w:val="0"/>
              <w:spacing w:line="400" w:lineRule="exact"/>
              <w:ind w:firstLine="0" w:firstLineChars="0"/>
              <w:jc w:val="left"/>
              <w:rPr>
                <w:rFonts w:hint="eastAsia" w:ascii="宋体" w:hAnsi="宋体" w:cs="宋体"/>
                <w:color w:val="auto"/>
                <w:highlight w:val="none"/>
              </w:rPr>
            </w:pPr>
          </w:p>
        </w:tc>
        <w:tc>
          <w:tcPr>
            <w:tcW w:w="1599" w:type="dxa"/>
          </w:tcPr>
          <w:p w14:paraId="760CD777">
            <w:pPr>
              <w:snapToGrid w:val="0"/>
              <w:spacing w:line="400" w:lineRule="exact"/>
              <w:ind w:firstLine="0" w:firstLineChars="0"/>
              <w:jc w:val="left"/>
              <w:rPr>
                <w:rFonts w:hint="eastAsia" w:ascii="宋体" w:hAnsi="宋体" w:cs="宋体"/>
                <w:color w:val="auto"/>
                <w:highlight w:val="none"/>
              </w:rPr>
            </w:pPr>
          </w:p>
        </w:tc>
        <w:tc>
          <w:tcPr>
            <w:tcW w:w="1915" w:type="dxa"/>
          </w:tcPr>
          <w:p w14:paraId="67CB020F">
            <w:pPr>
              <w:snapToGrid w:val="0"/>
              <w:spacing w:line="400" w:lineRule="exact"/>
              <w:ind w:firstLine="0" w:firstLineChars="0"/>
              <w:jc w:val="left"/>
              <w:rPr>
                <w:rFonts w:hint="eastAsia" w:ascii="宋体" w:hAnsi="宋体" w:cs="宋体"/>
                <w:color w:val="auto"/>
                <w:highlight w:val="none"/>
              </w:rPr>
            </w:pPr>
          </w:p>
        </w:tc>
        <w:tc>
          <w:tcPr>
            <w:tcW w:w="2032" w:type="dxa"/>
          </w:tcPr>
          <w:p w14:paraId="55774AF7">
            <w:pPr>
              <w:snapToGrid w:val="0"/>
              <w:spacing w:line="400" w:lineRule="exact"/>
              <w:ind w:firstLine="0" w:firstLineChars="0"/>
              <w:jc w:val="left"/>
              <w:rPr>
                <w:rFonts w:hint="eastAsia" w:ascii="宋体" w:hAnsi="宋体" w:cs="宋体"/>
                <w:color w:val="auto"/>
                <w:highlight w:val="none"/>
              </w:rPr>
            </w:pPr>
          </w:p>
        </w:tc>
        <w:tc>
          <w:tcPr>
            <w:tcW w:w="1482" w:type="dxa"/>
          </w:tcPr>
          <w:p w14:paraId="56A70DBD">
            <w:pPr>
              <w:snapToGrid w:val="0"/>
              <w:spacing w:line="400" w:lineRule="exact"/>
              <w:ind w:firstLine="0" w:firstLineChars="0"/>
              <w:jc w:val="left"/>
              <w:rPr>
                <w:rFonts w:hint="eastAsia" w:ascii="宋体" w:hAnsi="宋体" w:cs="宋体"/>
                <w:color w:val="auto"/>
                <w:highlight w:val="none"/>
              </w:rPr>
            </w:pPr>
          </w:p>
        </w:tc>
      </w:tr>
      <w:tr w14:paraId="348C4B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9" w:type="dxa"/>
          </w:tcPr>
          <w:p w14:paraId="01711D65">
            <w:pPr>
              <w:snapToGrid w:val="0"/>
              <w:spacing w:line="400" w:lineRule="exact"/>
              <w:ind w:firstLine="0" w:firstLineChars="0"/>
              <w:jc w:val="left"/>
              <w:rPr>
                <w:rFonts w:hint="eastAsia" w:ascii="宋体" w:hAnsi="宋体" w:cs="宋体"/>
                <w:color w:val="auto"/>
                <w:highlight w:val="none"/>
              </w:rPr>
            </w:pPr>
          </w:p>
        </w:tc>
        <w:tc>
          <w:tcPr>
            <w:tcW w:w="1599" w:type="dxa"/>
          </w:tcPr>
          <w:p w14:paraId="7F97E0ED">
            <w:pPr>
              <w:snapToGrid w:val="0"/>
              <w:spacing w:line="400" w:lineRule="exact"/>
              <w:ind w:firstLine="0" w:firstLineChars="0"/>
              <w:jc w:val="left"/>
              <w:rPr>
                <w:rFonts w:hint="eastAsia" w:ascii="宋体" w:hAnsi="宋体" w:cs="宋体"/>
                <w:color w:val="auto"/>
                <w:highlight w:val="none"/>
              </w:rPr>
            </w:pPr>
          </w:p>
        </w:tc>
        <w:tc>
          <w:tcPr>
            <w:tcW w:w="1915" w:type="dxa"/>
          </w:tcPr>
          <w:p w14:paraId="6117E9A1">
            <w:pPr>
              <w:snapToGrid w:val="0"/>
              <w:spacing w:line="400" w:lineRule="exact"/>
              <w:ind w:firstLine="0" w:firstLineChars="0"/>
              <w:jc w:val="left"/>
              <w:rPr>
                <w:rFonts w:hint="eastAsia" w:ascii="宋体" w:hAnsi="宋体" w:cs="宋体"/>
                <w:color w:val="auto"/>
                <w:highlight w:val="none"/>
              </w:rPr>
            </w:pPr>
          </w:p>
        </w:tc>
        <w:tc>
          <w:tcPr>
            <w:tcW w:w="2032" w:type="dxa"/>
          </w:tcPr>
          <w:p w14:paraId="4763464D">
            <w:pPr>
              <w:snapToGrid w:val="0"/>
              <w:spacing w:line="400" w:lineRule="exact"/>
              <w:ind w:firstLine="0" w:firstLineChars="0"/>
              <w:jc w:val="left"/>
              <w:rPr>
                <w:rFonts w:hint="eastAsia" w:ascii="宋体" w:hAnsi="宋体" w:cs="宋体"/>
                <w:color w:val="auto"/>
                <w:highlight w:val="none"/>
              </w:rPr>
            </w:pPr>
          </w:p>
        </w:tc>
        <w:tc>
          <w:tcPr>
            <w:tcW w:w="1482" w:type="dxa"/>
          </w:tcPr>
          <w:p w14:paraId="08C26BFD">
            <w:pPr>
              <w:snapToGrid w:val="0"/>
              <w:spacing w:line="400" w:lineRule="exact"/>
              <w:ind w:firstLine="0" w:firstLineChars="0"/>
              <w:jc w:val="left"/>
              <w:rPr>
                <w:rFonts w:hint="eastAsia" w:ascii="宋体" w:hAnsi="宋体" w:cs="宋体"/>
                <w:color w:val="auto"/>
                <w:highlight w:val="none"/>
              </w:rPr>
            </w:pPr>
          </w:p>
        </w:tc>
      </w:tr>
      <w:tr w14:paraId="5BD12B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849" w:type="dxa"/>
          </w:tcPr>
          <w:p w14:paraId="73E931AC">
            <w:pPr>
              <w:snapToGrid w:val="0"/>
              <w:spacing w:line="400" w:lineRule="exact"/>
              <w:ind w:firstLine="0" w:firstLineChars="0"/>
              <w:jc w:val="left"/>
              <w:rPr>
                <w:rFonts w:hint="eastAsia" w:ascii="宋体" w:hAnsi="宋体" w:cs="宋体"/>
                <w:color w:val="auto"/>
                <w:highlight w:val="none"/>
              </w:rPr>
            </w:pPr>
          </w:p>
        </w:tc>
        <w:tc>
          <w:tcPr>
            <w:tcW w:w="1599" w:type="dxa"/>
          </w:tcPr>
          <w:p w14:paraId="2B3D2714">
            <w:pPr>
              <w:snapToGrid w:val="0"/>
              <w:spacing w:line="400" w:lineRule="exact"/>
              <w:ind w:firstLine="0" w:firstLineChars="0"/>
              <w:jc w:val="left"/>
              <w:rPr>
                <w:rFonts w:hint="eastAsia" w:ascii="宋体" w:hAnsi="宋体" w:cs="宋体"/>
                <w:color w:val="auto"/>
                <w:highlight w:val="none"/>
              </w:rPr>
            </w:pPr>
          </w:p>
        </w:tc>
        <w:tc>
          <w:tcPr>
            <w:tcW w:w="1915" w:type="dxa"/>
          </w:tcPr>
          <w:p w14:paraId="1FEEF38C">
            <w:pPr>
              <w:snapToGrid w:val="0"/>
              <w:spacing w:line="400" w:lineRule="exact"/>
              <w:ind w:firstLine="0" w:firstLineChars="0"/>
              <w:jc w:val="left"/>
              <w:rPr>
                <w:rFonts w:hint="eastAsia" w:ascii="宋体" w:hAnsi="宋体" w:cs="宋体"/>
                <w:color w:val="auto"/>
                <w:highlight w:val="none"/>
              </w:rPr>
            </w:pPr>
          </w:p>
        </w:tc>
        <w:tc>
          <w:tcPr>
            <w:tcW w:w="2032" w:type="dxa"/>
          </w:tcPr>
          <w:p w14:paraId="7CA4F80E">
            <w:pPr>
              <w:snapToGrid w:val="0"/>
              <w:spacing w:line="400" w:lineRule="exact"/>
              <w:ind w:firstLine="0" w:firstLineChars="0"/>
              <w:jc w:val="left"/>
              <w:rPr>
                <w:rFonts w:hint="eastAsia" w:ascii="宋体" w:hAnsi="宋体" w:cs="宋体"/>
                <w:color w:val="auto"/>
                <w:highlight w:val="none"/>
              </w:rPr>
            </w:pPr>
          </w:p>
        </w:tc>
        <w:tc>
          <w:tcPr>
            <w:tcW w:w="1482" w:type="dxa"/>
          </w:tcPr>
          <w:p w14:paraId="7488E9F0">
            <w:pPr>
              <w:snapToGrid w:val="0"/>
              <w:spacing w:line="400" w:lineRule="exact"/>
              <w:ind w:firstLine="0" w:firstLineChars="0"/>
              <w:jc w:val="left"/>
              <w:rPr>
                <w:rFonts w:hint="eastAsia" w:ascii="宋体" w:hAnsi="宋体" w:cs="宋体"/>
                <w:color w:val="auto"/>
                <w:highlight w:val="none"/>
              </w:rPr>
            </w:pPr>
          </w:p>
        </w:tc>
      </w:tr>
      <w:tr w14:paraId="7B15A7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49" w:type="dxa"/>
          </w:tcPr>
          <w:p w14:paraId="7742B119">
            <w:pPr>
              <w:snapToGrid w:val="0"/>
              <w:spacing w:line="400" w:lineRule="exact"/>
              <w:ind w:firstLine="0" w:firstLineChars="0"/>
              <w:jc w:val="left"/>
              <w:rPr>
                <w:rFonts w:hint="eastAsia" w:ascii="宋体" w:hAnsi="宋体" w:cs="宋体"/>
                <w:color w:val="auto"/>
                <w:highlight w:val="none"/>
              </w:rPr>
            </w:pPr>
          </w:p>
        </w:tc>
        <w:tc>
          <w:tcPr>
            <w:tcW w:w="1599" w:type="dxa"/>
          </w:tcPr>
          <w:p w14:paraId="7DC4C9DD">
            <w:pPr>
              <w:snapToGrid w:val="0"/>
              <w:spacing w:line="400" w:lineRule="exact"/>
              <w:ind w:firstLine="0" w:firstLineChars="0"/>
              <w:jc w:val="left"/>
              <w:rPr>
                <w:rFonts w:hint="eastAsia" w:ascii="宋体" w:hAnsi="宋体" w:cs="宋体"/>
                <w:color w:val="auto"/>
                <w:highlight w:val="none"/>
              </w:rPr>
            </w:pPr>
          </w:p>
        </w:tc>
        <w:tc>
          <w:tcPr>
            <w:tcW w:w="1915" w:type="dxa"/>
          </w:tcPr>
          <w:p w14:paraId="04D4EAC9">
            <w:pPr>
              <w:snapToGrid w:val="0"/>
              <w:spacing w:line="400" w:lineRule="exact"/>
              <w:ind w:firstLine="0" w:firstLineChars="0"/>
              <w:jc w:val="left"/>
              <w:rPr>
                <w:rFonts w:hint="eastAsia" w:ascii="宋体" w:hAnsi="宋体" w:cs="宋体"/>
                <w:color w:val="auto"/>
                <w:highlight w:val="none"/>
              </w:rPr>
            </w:pPr>
          </w:p>
        </w:tc>
        <w:tc>
          <w:tcPr>
            <w:tcW w:w="2032" w:type="dxa"/>
          </w:tcPr>
          <w:p w14:paraId="4C7F82C3">
            <w:pPr>
              <w:snapToGrid w:val="0"/>
              <w:spacing w:line="400" w:lineRule="exact"/>
              <w:ind w:firstLine="0" w:firstLineChars="0"/>
              <w:jc w:val="left"/>
              <w:rPr>
                <w:rFonts w:hint="eastAsia" w:ascii="宋体" w:hAnsi="宋体" w:cs="宋体"/>
                <w:color w:val="auto"/>
                <w:highlight w:val="none"/>
              </w:rPr>
            </w:pPr>
          </w:p>
        </w:tc>
        <w:tc>
          <w:tcPr>
            <w:tcW w:w="1482" w:type="dxa"/>
          </w:tcPr>
          <w:p w14:paraId="445904B8">
            <w:pPr>
              <w:snapToGrid w:val="0"/>
              <w:spacing w:line="400" w:lineRule="exact"/>
              <w:ind w:firstLine="0" w:firstLineChars="0"/>
              <w:jc w:val="left"/>
              <w:rPr>
                <w:rFonts w:hint="eastAsia" w:ascii="宋体" w:hAnsi="宋体" w:cs="宋体"/>
                <w:color w:val="auto"/>
                <w:highlight w:val="none"/>
              </w:rPr>
            </w:pPr>
          </w:p>
        </w:tc>
      </w:tr>
    </w:tbl>
    <w:p w14:paraId="644A99E3">
      <w:pPr>
        <w:adjustRightInd w:val="0"/>
        <w:snapToGrid w:val="0"/>
        <w:spacing w:line="312" w:lineRule="auto"/>
        <w:ind w:firstLine="480"/>
        <w:jc w:val="center"/>
        <w:rPr>
          <w:rFonts w:hint="eastAsia" w:ascii="宋体" w:hAnsi="宋体" w:cs="宋体"/>
          <w:color w:val="auto"/>
          <w:highlight w:val="none"/>
          <w:lang w:val="zh-CN"/>
        </w:rPr>
      </w:pPr>
    </w:p>
    <w:p w14:paraId="5E671C4A">
      <w:pPr>
        <w:adjustRightInd w:val="0"/>
        <w:snapToGrid w:val="0"/>
        <w:spacing w:line="312" w:lineRule="auto"/>
        <w:ind w:firstLine="480"/>
        <w:rPr>
          <w:rFonts w:hint="eastAsia" w:ascii="宋体" w:hAnsi="宋体" w:cs="宋体"/>
          <w:color w:val="auto"/>
          <w:highlight w:val="none"/>
        </w:rPr>
      </w:pPr>
      <w:r>
        <w:rPr>
          <w:rFonts w:hint="eastAsia" w:ascii="宋体" w:hAnsi="宋体" w:cs="宋体"/>
          <w:color w:val="auto"/>
          <w:highlight w:val="none"/>
          <w:lang w:val="zh-CN"/>
        </w:rPr>
        <w:t>注：须同时提供政策性农房保险保单抄件扫描件，否则不得分</w:t>
      </w:r>
      <w:r>
        <w:rPr>
          <w:rFonts w:hint="eastAsia" w:ascii="宋体" w:hAnsi="宋体" w:cs="宋体"/>
          <w:color w:val="auto"/>
          <w:highlight w:val="none"/>
        </w:rPr>
        <w:t>。</w:t>
      </w:r>
    </w:p>
    <w:p w14:paraId="5E876AF9">
      <w:pPr>
        <w:adjustRightInd w:val="0"/>
        <w:snapToGrid w:val="0"/>
        <w:spacing w:line="312" w:lineRule="auto"/>
        <w:ind w:firstLine="480"/>
        <w:rPr>
          <w:rFonts w:hint="eastAsia" w:ascii="宋体" w:hAnsi="宋体" w:cs="宋体"/>
          <w:color w:val="auto"/>
          <w:highlight w:val="none"/>
        </w:rPr>
      </w:pPr>
    </w:p>
    <w:p w14:paraId="34BB1925">
      <w:pPr>
        <w:adjustRightInd w:val="0"/>
        <w:snapToGrid w:val="0"/>
        <w:spacing w:line="312" w:lineRule="auto"/>
        <w:ind w:firstLine="480"/>
        <w:rPr>
          <w:rFonts w:hint="eastAsia" w:ascii="宋体" w:hAnsi="宋体" w:cs="宋体"/>
          <w:color w:val="auto"/>
          <w:highlight w:val="none"/>
          <w:lang w:val="zh-CN"/>
        </w:rPr>
      </w:pPr>
    </w:p>
    <w:p w14:paraId="23751458">
      <w:pPr>
        <w:pStyle w:val="18"/>
        <w:ind w:left="480" w:firstLine="480"/>
        <w:rPr>
          <w:rFonts w:hint="eastAsia" w:ascii="宋体" w:hAnsi="宋体"/>
          <w:color w:val="auto"/>
          <w:sz w:val="24"/>
          <w:szCs w:val="24"/>
          <w:highlight w:val="none"/>
          <w:lang w:val="zh-CN"/>
        </w:rPr>
      </w:pPr>
    </w:p>
    <w:p w14:paraId="7066C7F2">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6FCF6E7B">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509C640E">
      <w:pPr>
        <w:ind w:firstLine="5520" w:firstLineChars="2300"/>
        <w:rPr>
          <w:rFonts w:hint="eastAsia" w:ascii="宋体" w:hAnsi="宋体"/>
          <w:color w:val="auto"/>
          <w:highlight w:val="none"/>
        </w:rPr>
      </w:pPr>
      <w:r>
        <w:rPr>
          <w:rFonts w:hint="eastAsia" w:ascii="宋体" w:hAnsi="宋体"/>
          <w:color w:val="auto"/>
          <w:highlight w:val="none"/>
        </w:rPr>
        <w:t>日期：</w:t>
      </w:r>
    </w:p>
    <w:p w14:paraId="27911D5A">
      <w:pPr>
        <w:ind w:firstLine="0" w:firstLineChars="0"/>
        <w:rPr>
          <w:rStyle w:val="39"/>
          <w:rFonts w:hint="default" w:eastAsia="宋体"/>
          <w:b/>
          <w:color w:val="auto"/>
          <w:sz w:val="24"/>
          <w:szCs w:val="24"/>
          <w:highlight w:val="none"/>
        </w:rPr>
      </w:pPr>
      <w:r>
        <w:rPr>
          <w:rFonts w:hint="eastAsia" w:ascii="宋体" w:hAnsi="宋体" w:cs="宋体"/>
          <w:color w:val="auto"/>
          <w:highlight w:val="none"/>
          <w:lang w:val="zh-CN"/>
        </w:rPr>
        <w:br w:type="page"/>
      </w:r>
      <w:r>
        <w:rPr>
          <w:rFonts w:hint="eastAsia" w:ascii="宋体" w:hAnsi="宋体" w:cs="宋体"/>
          <w:color w:val="auto"/>
          <w:highlight w:val="none"/>
        </w:rPr>
        <w:t>附件8</w:t>
      </w:r>
    </w:p>
    <w:p w14:paraId="713F0482">
      <w:pPr>
        <w:adjustRightInd w:val="0"/>
        <w:snapToGrid w:val="0"/>
        <w:spacing w:line="360" w:lineRule="auto"/>
        <w:ind w:firstLine="0" w:firstLineChars="0"/>
        <w:jc w:val="center"/>
        <w:rPr>
          <w:rFonts w:hint="eastAsia" w:ascii="宋体" w:hAnsi="宋体" w:cs="宋体"/>
          <w:bCs/>
          <w:color w:val="auto"/>
          <w:sz w:val="32"/>
          <w:szCs w:val="32"/>
          <w:highlight w:val="none"/>
        </w:rPr>
      </w:pPr>
      <w:bookmarkStart w:id="410" w:name="_Toc16551"/>
      <w:bookmarkStart w:id="411" w:name="_Toc2458"/>
      <w:r>
        <w:rPr>
          <w:rFonts w:hint="eastAsia" w:ascii="宋体" w:hAnsi="宋体" w:cs="宋体"/>
          <w:bCs/>
          <w:color w:val="auto"/>
          <w:sz w:val="32"/>
          <w:szCs w:val="32"/>
          <w:highlight w:val="none"/>
        </w:rPr>
        <w:t>投标人项目拟派人员</w:t>
      </w:r>
      <w:bookmarkEnd w:id="410"/>
      <w:bookmarkEnd w:id="411"/>
      <w:r>
        <w:rPr>
          <w:rFonts w:hint="eastAsia" w:ascii="宋体" w:hAnsi="宋体" w:cs="宋体"/>
          <w:bCs/>
          <w:color w:val="auto"/>
          <w:sz w:val="32"/>
          <w:szCs w:val="32"/>
          <w:highlight w:val="none"/>
        </w:rPr>
        <w:t>情况</w:t>
      </w:r>
    </w:p>
    <w:p w14:paraId="762C33BA">
      <w:pPr>
        <w:pStyle w:val="18"/>
        <w:ind w:left="480"/>
        <w:rPr>
          <w:color w:val="auto"/>
          <w:highlight w:val="none"/>
        </w:rPr>
      </w:pPr>
    </w:p>
    <w:tbl>
      <w:tblPr>
        <w:tblStyle w:val="19"/>
        <w:tblW w:w="8438" w:type="dxa"/>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1336"/>
        <w:gridCol w:w="2085"/>
        <w:gridCol w:w="2032"/>
        <w:gridCol w:w="2032"/>
      </w:tblGrid>
      <w:tr w14:paraId="02248135">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953" w:type="dxa"/>
            <w:noWrap/>
            <w:vAlign w:val="center"/>
          </w:tcPr>
          <w:p w14:paraId="0BDDDB97">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1336" w:type="dxa"/>
            <w:noWrap/>
            <w:vAlign w:val="center"/>
          </w:tcPr>
          <w:p w14:paraId="26ED0EED">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姓名</w:t>
            </w:r>
          </w:p>
        </w:tc>
        <w:tc>
          <w:tcPr>
            <w:tcW w:w="2085" w:type="dxa"/>
            <w:noWrap/>
            <w:vAlign w:val="center"/>
          </w:tcPr>
          <w:p w14:paraId="719CF449">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身份证号</w:t>
            </w:r>
          </w:p>
        </w:tc>
        <w:tc>
          <w:tcPr>
            <w:tcW w:w="2032" w:type="dxa"/>
            <w:noWrap/>
            <w:vAlign w:val="center"/>
          </w:tcPr>
          <w:p w14:paraId="0DD5ADD1">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职称</w:t>
            </w:r>
          </w:p>
        </w:tc>
        <w:tc>
          <w:tcPr>
            <w:tcW w:w="2032" w:type="dxa"/>
            <w:noWrap/>
            <w:vAlign w:val="center"/>
          </w:tcPr>
          <w:p w14:paraId="37CB0685">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岗位</w:t>
            </w:r>
          </w:p>
        </w:tc>
      </w:tr>
      <w:tr w14:paraId="50819EEA">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53" w:type="dxa"/>
            <w:noWrap/>
            <w:vAlign w:val="center"/>
          </w:tcPr>
          <w:p w14:paraId="5B79B94C">
            <w:pPr>
              <w:tabs>
                <w:tab w:val="center" w:pos="241"/>
              </w:tabs>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336" w:type="dxa"/>
            <w:noWrap/>
            <w:vAlign w:val="center"/>
          </w:tcPr>
          <w:p w14:paraId="6CC76CDE">
            <w:pPr>
              <w:adjustRightInd w:val="0"/>
              <w:snapToGrid w:val="0"/>
              <w:spacing w:line="312" w:lineRule="auto"/>
              <w:ind w:firstLine="480"/>
              <w:jc w:val="center"/>
              <w:rPr>
                <w:rFonts w:hint="eastAsia" w:ascii="宋体" w:hAnsi="宋体" w:cs="宋体"/>
                <w:color w:val="auto"/>
                <w:highlight w:val="none"/>
              </w:rPr>
            </w:pPr>
          </w:p>
        </w:tc>
        <w:tc>
          <w:tcPr>
            <w:tcW w:w="2085" w:type="dxa"/>
            <w:noWrap/>
            <w:vAlign w:val="center"/>
          </w:tcPr>
          <w:p w14:paraId="0267BEF4">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2D5E8DBD">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1867ED95">
            <w:pPr>
              <w:adjustRightInd w:val="0"/>
              <w:snapToGrid w:val="0"/>
              <w:spacing w:line="312" w:lineRule="auto"/>
              <w:ind w:firstLine="480"/>
              <w:jc w:val="center"/>
              <w:rPr>
                <w:rFonts w:hint="eastAsia" w:ascii="宋体" w:hAnsi="宋体" w:cs="宋体"/>
                <w:color w:val="auto"/>
                <w:highlight w:val="none"/>
              </w:rPr>
            </w:pPr>
          </w:p>
        </w:tc>
      </w:tr>
      <w:tr w14:paraId="0E4319D7">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53" w:type="dxa"/>
            <w:noWrap/>
            <w:vAlign w:val="center"/>
          </w:tcPr>
          <w:p w14:paraId="026533F5">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1336" w:type="dxa"/>
            <w:noWrap/>
            <w:vAlign w:val="center"/>
          </w:tcPr>
          <w:p w14:paraId="2F04E9DB">
            <w:pPr>
              <w:adjustRightInd w:val="0"/>
              <w:snapToGrid w:val="0"/>
              <w:spacing w:line="312" w:lineRule="auto"/>
              <w:ind w:firstLine="480"/>
              <w:jc w:val="center"/>
              <w:rPr>
                <w:rFonts w:hint="eastAsia" w:ascii="宋体" w:hAnsi="宋体" w:cs="宋体"/>
                <w:color w:val="auto"/>
                <w:highlight w:val="none"/>
              </w:rPr>
            </w:pPr>
          </w:p>
        </w:tc>
        <w:tc>
          <w:tcPr>
            <w:tcW w:w="2085" w:type="dxa"/>
            <w:noWrap/>
            <w:vAlign w:val="center"/>
          </w:tcPr>
          <w:p w14:paraId="4EA25B77">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2F37F4E5">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5BE032F5">
            <w:pPr>
              <w:adjustRightInd w:val="0"/>
              <w:snapToGrid w:val="0"/>
              <w:spacing w:line="312" w:lineRule="auto"/>
              <w:ind w:firstLine="480"/>
              <w:jc w:val="center"/>
              <w:rPr>
                <w:rFonts w:hint="eastAsia" w:ascii="宋体" w:hAnsi="宋体" w:cs="宋体"/>
                <w:color w:val="auto"/>
                <w:highlight w:val="none"/>
              </w:rPr>
            </w:pPr>
          </w:p>
        </w:tc>
      </w:tr>
      <w:tr w14:paraId="22F71A8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953" w:type="dxa"/>
            <w:noWrap/>
            <w:vAlign w:val="center"/>
          </w:tcPr>
          <w:p w14:paraId="3EF4E343">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1336" w:type="dxa"/>
            <w:noWrap/>
            <w:vAlign w:val="center"/>
          </w:tcPr>
          <w:p w14:paraId="3DDCD8EF">
            <w:pPr>
              <w:adjustRightInd w:val="0"/>
              <w:snapToGrid w:val="0"/>
              <w:spacing w:line="312" w:lineRule="auto"/>
              <w:ind w:firstLine="480"/>
              <w:jc w:val="center"/>
              <w:rPr>
                <w:rFonts w:hint="eastAsia" w:ascii="宋体" w:hAnsi="宋体" w:cs="宋体"/>
                <w:color w:val="auto"/>
                <w:highlight w:val="none"/>
              </w:rPr>
            </w:pPr>
          </w:p>
        </w:tc>
        <w:tc>
          <w:tcPr>
            <w:tcW w:w="2085" w:type="dxa"/>
            <w:noWrap/>
            <w:vAlign w:val="center"/>
          </w:tcPr>
          <w:p w14:paraId="5FAF660F">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74D02827">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7B750ACD">
            <w:pPr>
              <w:adjustRightInd w:val="0"/>
              <w:snapToGrid w:val="0"/>
              <w:spacing w:line="312" w:lineRule="auto"/>
              <w:ind w:firstLine="480"/>
              <w:jc w:val="center"/>
              <w:rPr>
                <w:rFonts w:hint="eastAsia" w:ascii="宋体" w:hAnsi="宋体" w:cs="宋体"/>
                <w:color w:val="auto"/>
                <w:highlight w:val="none"/>
              </w:rPr>
            </w:pPr>
          </w:p>
        </w:tc>
      </w:tr>
      <w:tr w14:paraId="5CB783FB">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953" w:type="dxa"/>
            <w:noWrap/>
            <w:vAlign w:val="center"/>
          </w:tcPr>
          <w:p w14:paraId="7987FE18">
            <w:pPr>
              <w:adjustRightInd w:val="0"/>
              <w:snapToGrid w:val="0"/>
              <w:spacing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1336" w:type="dxa"/>
            <w:noWrap/>
            <w:vAlign w:val="center"/>
          </w:tcPr>
          <w:p w14:paraId="384AAAAA">
            <w:pPr>
              <w:adjustRightInd w:val="0"/>
              <w:snapToGrid w:val="0"/>
              <w:spacing w:line="312" w:lineRule="auto"/>
              <w:ind w:firstLine="480"/>
              <w:jc w:val="center"/>
              <w:rPr>
                <w:rFonts w:hint="eastAsia" w:ascii="宋体" w:hAnsi="宋体" w:cs="宋体"/>
                <w:color w:val="auto"/>
                <w:highlight w:val="none"/>
              </w:rPr>
            </w:pPr>
          </w:p>
        </w:tc>
        <w:tc>
          <w:tcPr>
            <w:tcW w:w="2085" w:type="dxa"/>
            <w:noWrap/>
            <w:vAlign w:val="center"/>
          </w:tcPr>
          <w:p w14:paraId="0CEBCDEE">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7A4A5012">
            <w:pPr>
              <w:adjustRightInd w:val="0"/>
              <w:snapToGrid w:val="0"/>
              <w:spacing w:line="312" w:lineRule="auto"/>
              <w:ind w:firstLine="480"/>
              <w:jc w:val="center"/>
              <w:rPr>
                <w:rFonts w:hint="eastAsia" w:ascii="宋体" w:hAnsi="宋体" w:cs="宋体"/>
                <w:color w:val="auto"/>
                <w:highlight w:val="none"/>
              </w:rPr>
            </w:pPr>
          </w:p>
        </w:tc>
        <w:tc>
          <w:tcPr>
            <w:tcW w:w="2032" w:type="dxa"/>
            <w:noWrap/>
            <w:vAlign w:val="center"/>
          </w:tcPr>
          <w:p w14:paraId="4C2A78BA">
            <w:pPr>
              <w:adjustRightInd w:val="0"/>
              <w:snapToGrid w:val="0"/>
              <w:spacing w:line="312" w:lineRule="auto"/>
              <w:ind w:firstLine="480"/>
              <w:jc w:val="center"/>
              <w:rPr>
                <w:rFonts w:hint="eastAsia" w:ascii="宋体" w:hAnsi="宋体" w:cs="宋体"/>
                <w:color w:val="auto"/>
                <w:highlight w:val="none"/>
              </w:rPr>
            </w:pPr>
          </w:p>
        </w:tc>
      </w:tr>
    </w:tbl>
    <w:p w14:paraId="66B3C26F">
      <w:pPr>
        <w:spacing w:line="400" w:lineRule="atLeast"/>
        <w:ind w:firstLine="0" w:firstLineChars="0"/>
        <w:rPr>
          <w:rFonts w:hint="eastAsia" w:ascii="宋体" w:hAnsi="宋体" w:cs="宋体"/>
          <w:b/>
          <w:bCs/>
          <w:color w:val="auto"/>
          <w:kern w:val="0"/>
          <w:szCs w:val="21"/>
          <w:highlight w:val="none"/>
          <w:shd w:val="clear" w:color="auto" w:fill="FFFFFF"/>
        </w:rPr>
      </w:pPr>
      <w:r>
        <w:rPr>
          <w:rFonts w:hint="eastAsia" w:ascii="宋体" w:hAnsi="宋体" w:cs="宋体"/>
          <w:color w:val="auto"/>
          <w:highlight w:val="none"/>
        </w:rPr>
        <w:t>注：投标人可按上述的格式自行扩展编制，须同时提供近3个月在投标人单位缴纳社保的证明材料，否则不得分。</w:t>
      </w:r>
    </w:p>
    <w:p w14:paraId="6C49AABD">
      <w:pPr>
        <w:adjustRightInd w:val="0"/>
        <w:snapToGrid w:val="0"/>
        <w:spacing w:line="312" w:lineRule="auto"/>
        <w:ind w:firstLine="480"/>
        <w:rPr>
          <w:rFonts w:hint="eastAsia" w:ascii="宋体" w:hAnsi="宋体" w:cs="宋体"/>
          <w:color w:val="auto"/>
          <w:highlight w:val="none"/>
        </w:rPr>
      </w:pPr>
    </w:p>
    <w:p w14:paraId="6D3B0844">
      <w:pPr>
        <w:adjustRightInd w:val="0"/>
        <w:snapToGrid w:val="0"/>
        <w:spacing w:line="312" w:lineRule="auto"/>
        <w:ind w:firstLine="480"/>
        <w:rPr>
          <w:rFonts w:hint="eastAsia" w:ascii="宋体" w:hAnsi="宋体" w:cs="宋体"/>
          <w:color w:val="auto"/>
          <w:highlight w:val="none"/>
        </w:rPr>
      </w:pPr>
    </w:p>
    <w:p w14:paraId="40583C9A">
      <w:pPr>
        <w:pStyle w:val="18"/>
        <w:ind w:left="480" w:firstLine="480"/>
        <w:rPr>
          <w:rFonts w:hint="eastAsia" w:ascii="宋体" w:hAnsi="宋体"/>
          <w:color w:val="auto"/>
          <w:sz w:val="24"/>
          <w:szCs w:val="24"/>
          <w:highlight w:val="none"/>
        </w:rPr>
      </w:pPr>
    </w:p>
    <w:p w14:paraId="7E6E0339">
      <w:pPr>
        <w:ind w:firstLine="480"/>
        <w:rPr>
          <w:color w:val="auto"/>
          <w:highlight w:val="none"/>
        </w:rPr>
      </w:pPr>
    </w:p>
    <w:p w14:paraId="3A66C8AA">
      <w:pPr>
        <w:adjustRightInd w:val="0"/>
        <w:snapToGrid w:val="0"/>
        <w:spacing w:line="312" w:lineRule="auto"/>
        <w:ind w:firstLine="480"/>
        <w:rPr>
          <w:rFonts w:hint="eastAsia" w:ascii="宋体" w:hAnsi="宋体" w:cs="宋体"/>
          <w:color w:val="auto"/>
          <w:highlight w:val="none"/>
        </w:rPr>
      </w:pPr>
    </w:p>
    <w:p w14:paraId="19DD9248">
      <w:pPr>
        <w:adjustRightInd w:val="0"/>
        <w:snapToGrid w:val="0"/>
        <w:spacing w:line="312" w:lineRule="auto"/>
        <w:ind w:firstLine="480"/>
        <w:rPr>
          <w:rFonts w:hint="eastAsia" w:ascii="宋体" w:hAnsi="宋体" w:cs="宋体"/>
          <w:color w:val="auto"/>
          <w:highlight w:val="none"/>
        </w:rPr>
      </w:pPr>
    </w:p>
    <w:p w14:paraId="2C89134D">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29D486F2">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1372880E">
      <w:pPr>
        <w:ind w:firstLine="5520" w:firstLineChars="2300"/>
        <w:rPr>
          <w:rFonts w:hint="eastAsia" w:ascii="宋体" w:hAnsi="宋体"/>
          <w:color w:val="auto"/>
          <w:highlight w:val="none"/>
        </w:rPr>
      </w:pPr>
      <w:r>
        <w:rPr>
          <w:rFonts w:hint="eastAsia" w:ascii="宋体" w:hAnsi="宋体"/>
          <w:color w:val="auto"/>
          <w:highlight w:val="none"/>
        </w:rPr>
        <w:t>日期：</w:t>
      </w:r>
    </w:p>
    <w:p w14:paraId="06144CE1">
      <w:pPr>
        <w:snapToGrid w:val="0"/>
        <w:spacing w:line="460" w:lineRule="exact"/>
        <w:ind w:firstLine="4226" w:firstLineChars="1761"/>
        <w:rPr>
          <w:rFonts w:hint="eastAsia" w:ascii="宋体" w:hAnsi="宋体" w:cs="宋体"/>
          <w:color w:val="auto"/>
          <w:highlight w:val="none"/>
        </w:rPr>
      </w:pPr>
      <w:r>
        <w:rPr>
          <w:rFonts w:hint="eastAsia" w:ascii="宋体" w:hAnsi="宋体" w:cs="宋体"/>
          <w:color w:val="auto"/>
          <w:highlight w:val="none"/>
          <w:lang w:val="zh-CN"/>
        </w:rPr>
        <w:t xml:space="preserve"> </w:t>
      </w:r>
    </w:p>
    <w:p w14:paraId="0ED458C2">
      <w:pPr>
        <w:ind w:firstLine="0" w:firstLineChars="0"/>
        <w:rPr>
          <w:rFonts w:hint="eastAsia" w:ascii="宋体" w:hAnsi="宋体" w:cs="宋体"/>
          <w:color w:val="auto"/>
          <w:sz w:val="22"/>
          <w:szCs w:val="22"/>
          <w:highlight w:val="none"/>
        </w:rPr>
      </w:pPr>
    </w:p>
    <w:p w14:paraId="3391B5C6">
      <w:pPr>
        <w:ind w:firstLine="440"/>
        <w:rPr>
          <w:rFonts w:hint="eastAsia" w:ascii="宋体" w:hAnsi="宋体" w:cs="宋体"/>
          <w:color w:val="auto"/>
          <w:sz w:val="22"/>
          <w:szCs w:val="22"/>
          <w:highlight w:val="none"/>
        </w:rPr>
      </w:pPr>
    </w:p>
    <w:p w14:paraId="350C45AC">
      <w:pPr>
        <w:spacing w:before="156" w:after="156"/>
        <w:ind w:firstLine="480"/>
        <w:rPr>
          <w:color w:val="auto"/>
          <w:highlight w:val="none"/>
        </w:rPr>
      </w:pPr>
    </w:p>
    <w:p w14:paraId="025B580E">
      <w:pPr>
        <w:ind w:firstLine="0" w:firstLineChars="0"/>
        <w:rPr>
          <w:rFonts w:hint="eastAsia" w:ascii="宋体" w:hAnsi="宋体" w:cs="宋体"/>
          <w:color w:val="auto"/>
          <w:highlight w:val="none"/>
        </w:rPr>
      </w:pPr>
    </w:p>
    <w:p w14:paraId="566CDFAD">
      <w:pPr>
        <w:ind w:firstLine="0" w:firstLineChars="0"/>
        <w:rPr>
          <w:rFonts w:hint="eastAsia" w:ascii="宋体" w:hAnsi="宋体" w:cs="宋体"/>
          <w:color w:val="auto"/>
          <w:highlight w:val="none"/>
        </w:rPr>
      </w:pPr>
    </w:p>
    <w:p w14:paraId="2016404C">
      <w:pPr>
        <w:rPr>
          <w:rStyle w:val="34"/>
          <w:rFonts w:hint="eastAsia" w:ascii="新宋体" w:hAnsi="新宋体" w:eastAsia="新宋体"/>
          <w:color w:val="auto"/>
          <w:szCs w:val="28"/>
          <w:highlight w:val="none"/>
        </w:rPr>
      </w:pPr>
      <w:bookmarkStart w:id="412" w:name="_Toc5460"/>
      <w:bookmarkStart w:id="413" w:name="_Toc5971"/>
      <w:bookmarkStart w:id="414" w:name="_Toc12166"/>
      <w:bookmarkStart w:id="415" w:name="_Toc4237"/>
    </w:p>
    <w:p w14:paraId="24AE3F34">
      <w:pPr>
        <w:ind w:firstLine="0" w:firstLineChars="0"/>
        <w:rPr>
          <w:rFonts w:hint="eastAsia" w:ascii="宋体" w:hAnsi="宋体" w:cs="宋体"/>
          <w:color w:val="auto"/>
          <w:highlight w:val="none"/>
        </w:rPr>
        <w:sectPr>
          <w:pgSz w:w="11906" w:h="16838"/>
          <w:pgMar w:top="1440" w:right="1803" w:bottom="1440" w:left="1803" w:header="850" w:footer="992" w:gutter="0"/>
          <w:cols w:space="720" w:num="1"/>
          <w:docGrid w:type="lines" w:linePitch="312" w:charSpace="0"/>
        </w:sectPr>
      </w:pPr>
    </w:p>
    <w:p w14:paraId="100F94CB">
      <w:pPr>
        <w:ind w:firstLine="0" w:firstLineChars="0"/>
        <w:rPr>
          <w:rFonts w:hint="default" w:eastAsia="宋体"/>
          <w:color w:val="auto"/>
          <w:highlight w:val="none"/>
          <w:lang w:val="en-US" w:eastAsia="zh-CN"/>
        </w:rPr>
      </w:pPr>
      <w:r>
        <w:rPr>
          <w:rFonts w:hint="eastAsia" w:ascii="宋体" w:hAnsi="宋体" w:cs="宋体"/>
          <w:color w:val="auto"/>
          <w:highlight w:val="none"/>
        </w:rPr>
        <w:t>附件</w:t>
      </w:r>
      <w:r>
        <w:rPr>
          <w:rFonts w:hint="eastAsia" w:ascii="宋体" w:hAnsi="宋体" w:cs="宋体"/>
          <w:color w:val="auto"/>
          <w:highlight w:val="none"/>
          <w:lang w:val="en-US" w:eastAsia="zh-CN"/>
        </w:rPr>
        <w:t>9</w:t>
      </w:r>
    </w:p>
    <w:p w14:paraId="5E69C613">
      <w:pPr>
        <w:ind w:firstLine="0" w:firstLineChars="0"/>
        <w:jc w:val="center"/>
        <w:outlineLvl w:val="1"/>
        <w:rPr>
          <w:rStyle w:val="34"/>
          <w:rFonts w:hint="eastAsia" w:ascii="新宋体" w:hAnsi="新宋体" w:eastAsia="新宋体"/>
          <w:color w:val="auto"/>
          <w:szCs w:val="28"/>
          <w:highlight w:val="none"/>
        </w:rPr>
      </w:pPr>
      <w:r>
        <w:rPr>
          <w:rStyle w:val="34"/>
          <w:rFonts w:hint="eastAsia" w:ascii="新宋体" w:hAnsi="新宋体" w:eastAsia="新宋体"/>
          <w:color w:val="auto"/>
          <w:szCs w:val="28"/>
          <w:highlight w:val="none"/>
        </w:rPr>
        <w:t>四、报价文件格式</w:t>
      </w:r>
      <w:bookmarkEnd w:id="412"/>
      <w:bookmarkEnd w:id="413"/>
      <w:bookmarkEnd w:id="414"/>
      <w:bookmarkEnd w:id="415"/>
    </w:p>
    <w:p w14:paraId="63D4494D">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开标一览表</w:t>
      </w:r>
    </w:p>
    <w:tbl>
      <w:tblPr>
        <w:tblStyle w:val="1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624"/>
        <w:gridCol w:w="2550"/>
        <w:gridCol w:w="1845"/>
        <w:gridCol w:w="1466"/>
      </w:tblGrid>
      <w:tr w14:paraId="426F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94" w:type="dxa"/>
            <w:vAlign w:val="center"/>
          </w:tcPr>
          <w:p w14:paraId="127B6B9C">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624" w:type="dxa"/>
            <w:vAlign w:val="center"/>
          </w:tcPr>
          <w:p w14:paraId="73E55A7B">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项目编号</w:t>
            </w:r>
          </w:p>
        </w:tc>
        <w:tc>
          <w:tcPr>
            <w:tcW w:w="2550" w:type="dxa"/>
            <w:vAlign w:val="center"/>
          </w:tcPr>
          <w:p w14:paraId="4B73BD2B">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保险险种</w:t>
            </w:r>
          </w:p>
        </w:tc>
        <w:tc>
          <w:tcPr>
            <w:tcW w:w="1845" w:type="dxa"/>
            <w:vAlign w:val="center"/>
          </w:tcPr>
          <w:p w14:paraId="3B41A5B0">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保险期限</w:t>
            </w:r>
          </w:p>
        </w:tc>
        <w:tc>
          <w:tcPr>
            <w:tcW w:w="1466" w:type="dxa"/>
            <w:vAlign w:val="center"/>
          </w:tcPr>
          <w:p w14:paraId="176D3FC8">
            <w:pPr>
              <w:pStyle w:val="28"/>
              <w:spacing w:line="24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中价单价</w:t>
            </w:r>
          </w:p>
        </w:tc>
      </w:tr>
      <w:tr w14:paraId="1C51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94" w:type="dxa"/>
            <w:vMerge w:val="restart"/>
            <w:vAlign w:val="center"/>
          </w:tcPr>
          <w:p w14:paraId="0BD03175">
            <w:pPr>
              <w:pStyle w:val="28"/>
              <w:spacing w:line="240" w:lineRule="auto"/>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2025年柯城区政策性农村住房保险及附加室内家财保险项目 </w:t>
            </w:r>
          </w:p>
        </w:tc>
        <w:tc>
          <w:tcPr>
            <w:tcW w:w="1624" w:type="dxa"/>
            <w:vMerge w:val="restart"/>
            <w:vAlign w:val="center"/>
          </w:tcPr>
          <w:p w14:paraId="6EEB509E">
            <w:pPr>
              <w:pStyle w:val="28"/>
              <w:spacing w:line="240" w:lineRule="auto"/>
              <w:ind w:firstLine="0" w:firstLineChars="0"/>
              <w:jc w:val="center"/>
              <w:rPr>
                <w:rFonts w:hint="eastAsia" w:ascii="宋体" w:hAnsi="宋体" w:eastAsia="宋体" w:cs="宋体"/>
                <w:color w:val="auto"/>
                <w:highlight w:val="none"/>
              </w:rPr>
            </w:pPr>
          </w:p>
        </w:tc>
        <w:tc>
          <w:tcPr>
            <w:tcW w:w="2550" w:type="dxa"/>
            <w:vAlign w:val="center"/>
          </w:tcPr>
          <w:p w14:paraId="4BDBD13B">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政策性农村住房保险</w:t>
            </w:r>
          </w:p>
        </w:tc>
        <w:tc>
          <w:tcPr>
            <w:tcW w:w="1845" w:type="dxa"/>
            <w:vMerge w:val="restart"/>
            <w:vAlign w:val="center"/>
          </w:tcPr>
          <w:p w14:paraId="2EFCB0FC">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一年（2025年1月1日至2025年12月31日）</w:t>
            </w:r>
          </w:p>
        </w:tc>
        <w:tc>
          <w:tcPr>
            <w:tcW w:w="1466" w:type="dxa"/>
            <w:vAlign w:val="center"/>
          </w:tcPr>
          <w:p w14:paraId="23B54CBF">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元/户</w:t>
            </w:r>
          </w:p>
        </w:tc>
      </w:tr>
      <w:tr w14:paraId="1F54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94" w:type="dxa"/>
            <w:vMerge w:val="continue"/>
            <w:vAlign w:val="center"/>
          </w:tcPr>
          <w:p w14:paraId="1A0DFED8">
            <w:pPr>
              <w:pStyle w:val="28"/>
              <w:spacing w:line="240" w:lineRule="auto"/>
              <w:ind w:firstLine="0" w:firstLineChars="0"/>
              <w:jc w:val="center"/>
              <w:rPr>
                <w:rFonts w:hint="eastAsia" w:ascii="宋体" w:hAnsi="宋体" w:eastAsia="宋体" w:cs="宋体"/>
                <w:color w:val="auto"/>
                <w:highlight w:val="none"/>
              </w:rPr>
            </w:pPr>
          </w:p>
        </w:tc>
        <w:tc>
          <w:tcPr>
            <w:tcW w:w="1624" w:type="dxa"/>
            <w:vMerge w:val="continue"/>
            <w:vAlign w:val="center"/>
          </w:tcPr>
          <w:p w14:paraId="0776180A">
            <w:pPr>
              <w:pStyle w:val="28"/>
              <w:spacing w:line="240" w:lineRule="auto"/>
              <w:ind w:firstLine="0" w:firstLineChars="0"/>
              <w:jc w:val="center"/>
              <w:rPr>
                <w:rFonts w:hint="eastAsia" w:ascii="宋体" w:hAnsi="宋体" w:eastAsia="宋体" w:cs="宋体"/>
                <w:color w:val="auto"/>
                <w:highlight w:val="none"/>
              </w:rPr>
            </w:pPr>
          </w:p>
        </w:tc>
        <w:tc>
          <w:tcPr>
            <w:tcW w:w="2550" w:type="dxa"/>
            <w:vAlign w:val="center"/>
          </w:tcPr>
          <w:p w14:paraId="423109AA">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政策性农村住房保险附加室内家财险</w:t>
            </w:r>
          </w:p>
        </w:tc>
        <w:tc>
          <w:tcPr>
            <w:tcW w:w="1845" w:type="dxa"/>
            <w:vMerge w:val="continue"/>
            <w:vAlign w:val="center"/>
          </w:tcPr>
          <w:p w14:paraId="4F146AC8">
            <w:pPr>
              <w:pStyle w:val="28"/>
              <w:spacing w:line="240" w:lineRule="auto"/>
              <w:ind w:firstLine="0" w:firstLineChars="0"/>
              <w:jc w:val="center"/>
              <w:rPr>
                <w:rFonts w:hint="eastAsia" w:ascii="宋体" w:hAnsi="宋体" w:eastAsia="宋体" w:cs="宋体"/>
                <w:color w:val="auto"/>
                <w:highlight w:val="none"/>
              </w:rPr>
            </w:pPr>
          </w:p>
        </w:tc>
        <w:tc>
          <w:tcPr>
            <w:tcW w:w="1466" w:type="dxa"/>
            <w:vAlign w:val="center"/>
          </w:tcPr>
          <w:p w14:paraId="7AF87930">
            <w:pPr>
              <w:pStyle w:val="28"/>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元/户</w:t>
            </w:r>
          </w:p>
        </w:tc>
      </w:tr>
    </w:tbl>
    <w:p w14:paraId="0F808FD5">
      <w:pPr>
        <w:pStyle w:val="8"/>
        <w:spacing w:after="0" w:line="360" w:lineRule="auto"/>
        <w:ind w:left="0" w:leftChars="0" w:firstLine="480"/>
        <w:rPr>
          <w:rFonts w:hint="eastAsia" w:ascii="宋体" w:hAnsi="宋体" w:cs="宋体"/>
          <w:color w:val="auto"/>
          <w:highlight w:val="none"/>
        </w:rPr>
      </w:pPr>
      <w:r>
        <w:rPr>
          <w:rFonts w:hint="eastAsia" w:ascii="宋体" w:hAnsi="宋体" w:cs="宋体"/>
          <w:color w:val="auto"/>
          <w:highlight w:val="none"/>
        </w:rPr>
        <w:t>注：1.开标一览表中的报价包括但不限于项目工作人员薪酬、办公费、材料费、培训辅导、全额含税发票、劳保费、管理费、差旅费、利润、税金、后续服务、完成本项目的其它费用和政策性文件规定及合同包含的所有风险、责任等各项应有费用等所有费用。成交后不允许擅自改变采购内容、质量标准、完成时间等实质性条款。如有漏项，视同已包含在其他项目中，价格不作调整，采购人不允许供应商擅自更换改变服务内容、质量标准、期限和追加项目费用。</w:t>
      </w:r>
    </w:p>
    <w:p w14:paraId="2F9AB8A0">
      <w:pPr>
        <w:pStyle w:val="8"/>
        <w:spacing w:after="0" w:line="360" w:lineRule="auto"/>
        <w:ind w:left="0" w:leftChars="0" w:firstLine="480"/>
        <w:rPr>
          <w:rFonts w:hint="eastAsia" w:ascii="宋体" w:hAnsi="宋体" w:cs="宋体"/>
          <w:b/>
          <w:color w:val="auto"/>
          <w:highlight w:val="none"/>
          <w:lang w:val="en-GB"/>
        </w:rPr>
      </w:pPr>
      <w:r>
        <w:rPr>
          <w:rFonts w:hint="eastAsia" w:ascii="宋体" w:hAnsi="宋体" w:cs="宋体"/>
          <w:color w:val="auto"/>
          <w:highlight w:val="none"/>
        </w:rPr>
        <w:t>2.报价明显低于其他通过符合性审查投标人的报价，且投标人不能证明其报价合理性，有可能影响服务质量或者不能诚信履约的将做无效标处理。</w:t>
      </w:r>
    </w:p>
    <w:p w14:paraId="32F1CE34">
      <w:pPr>
        <w:pStyle w:val="6"/>
        <w:ind w:firstLine="482"/>
        <w:rPr>
          <w:rFonts w:hint="eastAsia" w:ascii="宋体" w:hAnsi="宋体" w:cs="宋体"/>
          <w:b/>
          <w:color w:val="auto"/>
          <w:highlight w:val="none"/>
          <w:lang w:val="en-GB"/>
        </w:rPr>
      </w:pPr>
    </w:p>
    <w:p w14:paraId="0380104D">
      <w:pPr>
        <w:ind w:firstLine="2160" w:firstLineChars="900"/>
        <w:rPr>
          <w:rFonts w:hint="eastAsia" w:ascii="宋体" w:hAnsi="宋体"/>
          <w:color w:val="auto"/>
          <w:highlight w:val="none"/>
        </w:rPr>
      </w:pPr>
      <w:r>
        <w:rPr>
          <w:rFonts w:hint="eastAsia" w:ascii="宋体" w:hAnsi="宋体"/>
          <w:color w:val="auto"/>
          <w:highlight w:val="none"/>
        </w:rPr>
        <w:t xml:space="preserve">法定代表人（负责人）或授权委托人（签字或盖章）：                                            </w:t>
      </w:r>
    </w:p>
    <w:p w14:paraId="1784DE8B">
      <w:pPr>
        <w:ind w:firstLine="5520" w:firstLineChars="2300"/>
        <w:rPr>
          <w:rFonts w:hint="eastAsia" w:ascii="宋体" w:hAnsi="宋体"/>
          <w:color w:val="auto"/>
          <w:highlight w:val="none"/>
        </w:rPr>
      </w:pPr>
      <w:r>
        <w:rPr>
          <w:rFonts w:hint="eastAsia" w:ascii="宋体" w:hAnsi="宋体"/>
          <w:color w:val="auto"/>
          <w:highlight w:val="none"/>
        </w:rPr>
        <w:t>投标人（加盖公章）：</w:t>
      </w:r>
    </w:p>
    <w:p w14:paraId="71D116A8">
      <w:pPr>
        <w:ind w:firstLine="5520" w:firstLineChars="2300"/>
        <w:rPr>
          <w:rFonts w:hint="eastAsia" w:ascii="宋体" w:hAnsi="宋体"/>
          <w:color w:val="auto"/>
          <w:highlight w:val="none"/>
        </w:rPr>
      </w:pPr>
      <w:r>
        <w:rPr>
          <w:rFonts w:hint="eastAsia" w:ascii="宋体" w:hAnsi="宋体"/>
          <w:color w:val="auto"/>
          <w:highlight w:val="none"/>
        </w:rPr>
        <w:t>日期：</w:t>
      </w:r>
    </w:p>
    <w:p w14:paraId="332E76CC">
      <w:pPr>
        <w:spacing w:line="360" w:lineRule="auto"/>
        <w:ind w:firstLine="480"/>
        <w:rPr>
          <w:color w:val="auto"/>
          <w:highlight w:val="none"/>
        </w:rPr>
        <w:sectPr>
          <w:pgSz w:w="11906" w:h="16838"/>
          <w:pgMar w:top="1440" w:right="1803" w:bottom="1440" w:left="1803" w:header="850" w:footer="992" w:gutter="0"/>
          <w:cols w:space="720" w:num="1"/>
          <w:docGrid w:type="lines" w:linePitch="312" w:charSpace="0"/>
        </w:sectPr>
      </w:pPr>
    </w:p>
    <w:p w14:paraId="2333712B">
      <w:pPr>
        <w:ind w:firstLine="0" w:firstLineChars="0"/>
        <w:rPr>
          <w:rFonts w:hint="eastAsia" w:ascii="新宋体" w:hAnsi="新宋体" w:eastAsia="新宋体"/>
          <w:color w:val="auto"/>
          <w:highlight w:val="none"/>
          <w:lang w:eastAsia="zh-CN"/>
        </w:rPr>
      </w:pPr>
      <w:r>
        <w:rPr>
          <w:rFonts w:hint="eastAsia" w:ascii="新宋体" w:hAnsi="新宋体" w:eastAsia="新宋体"/>
          <w:color w:val="auto"/>
          <w:highlight w:val="none"/>
        </w:rPr>
        <w:t>附件1</w:t>
      </w:r>
      <w:r>
        <w:rPr>
          <w:rFonts w:hint="eastAsia" w:ascii="新宋体" w:hAnsi="新宋体" w:eastAsia="新宋体"/>
          <w:color w:val="auto"/>
          <w:highlight w:val="none"/>
          <w:lang w:val="en-US" w:eastAsia="zh-CN"/>
        </w:rPr>
        <w:t>0</w:t>
      </w:r>
    </w:p>
    <w:p w14:paraId="375AEB14">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lang w:val="en-GB"/>
        </w:rPr>
        <w:t>中小企业声明函、监狱企业、残疾人福利性单位及其他相关的充分的证明材料中小企业声明函及其相关的充分的证明材料</w:t>
      </w:r>
    </w:p>
    <w:p w14:paraId="635A977E">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中小企业声明函（服务）</w:t>
      </w:r>
    </w:p>
    <w:p w14:paraId="7F134715">
      <w:pPr>
        <w:ind w:firstLine="0" w:firstLineChars="0"/>
        <w:rPr>
          <w:color w:val="auto"/>
          <w:highlight w:val="none"/>
        </w:rPr>
      </w:pPr>
    </w:p>
    <w:p w14:paraId="6B0AB33F">
      <w:pPr>
        <w:pStyle w:val="40"/>
        <w:spacing w:line="360" w:lineRule="auto"/>
        <w:ind w:firstLine="480"/>
        <w:rPr>
          <w:rFonts w:hint="eastAsia"/>
          <w:color w:val="auto"/>
          <w:sz w:val="24"/>
          <w:szCs w:val="24"/>
          <w:highlight w:val="none"/>
        </w:rPr>
      </w:pPr>
      <w:r>
        <w:rPr>
          <w:rFonts w:hint="eastAsia"/>
          <w:color w:val="auto"/>
          <w:sz w:val="24"/>
          <w:szCs w:val="24"/>
          <w:highlight w:val="none"/>
        </w:rPr>
        <w:t>本公司（联合体）郑重声明，根据《政府采购促进中小企业发展管理办法》（财库〔2020 ） 46号）的规定，本公司 （联合体）参加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 况如下：</w:t>
      </w:r>
    </w:p>
    <w:p w14:paraId="0F741FDB">
      <w:pPr>
        <w:pStyle w:val="40"/>
        <w:tabs>
          <w:tab w:val="left" w:pos="1193"/>
          <w:tab w:val="left" w:pos="6974"/>
        </w:tabs>
        <w:spacing w:line="360" w:lineRule="auto"/>
        <w:ind w:firstLine="560"/>
        <w:rPr>
          <w:rFonts w:hint="eastAsia"/>
          <w:color w:val="auto"/>
          <w:sz w:val="24"/>
          <w:szCs w:val="24"/>
          <w:highlight w:val="none"/>
        </w:rPr>
      </w:pPr>
      <w:r>
        <w:rPr>
          <w:rFonts w:hint="eastAsia" w:ascii="Times New Roman" w:hAnsi="Times New Roman" w:eastAsia="Times New Roman" w:cs="Times New Roman"/>
          <w:color w:val="auto"/>
          <w:sz w:val="28"/>
          <w:szCs w:val="28"/>
          <w:highlight w:val="none"/>
          <w:lang w:val="en-US" w:eastAsia="zh-CN" w:bidi="en-US"/>
        </w:rPr>
        <w:t>1.</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w:t>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color w:val="auto"/>
          <w:sz w:val="24"/>
          <w:szCs w:val="24"/>
          <w:highlight w:val="none"/>
          <w:u w:val="single"/>
        </w:rPr>
        <w:t>（中型企业、 小型企业、微型企业）</w:t>
      </w:r>
      <w:r>
        <w:rPr>
          <w:rFonts w:hint="eastAsia"/>
          <w:color w:val="auto"/>
          <w:sz w:val="24"/>
          <w:szCs w:val="24"/>
          <w:highlight w:val="none"/>
        </w:rPr>
        <w:t>,</w:t>
      </w:r>
    </w:p>
    <w:p w14:paraId="58532FE9">
      <w:pPr>
        <w:pStyle w:val="40"/>
        <w:tabs>
          <w:tab w:val="left" w:pos="1193"/>
          <w:tab w:val="left" w:pos="6965"/>
        </w:tabs>
        <w:spacing w:line="360" w:lineRule="auto"/>
        <w:ind w:firstLine="560"/>
        <w:rPr>
          <w:rFonts w:hint="eastAsia"/>
          <w:color w:val="auto"/>
          <w:sz w:val="24"/>
          <w:szCs w:val="24"/>
          <w:highlight w:val="none"/>
        </w:rPr>
      </w:pPr>
      <w:r>
        <w:rPr>
          <w:rFonts w:hint="eastAsia" w:ascii="Times New Roman" w:hAnsi="Times New Roman" w:eastAsia="Times New Roman" w:cs="Times New Roman"/>
          <w:color w:val="auto"/>
          <w:sz w:val="28"/>
          <w:szCs w:val="28"/>
          <w:highlight w:val="none"/>
          <w:lang w:val="en-US" w:eastAsia="zh-CN" w:bidi="en-US"/>
        </w:rPr>
        <w:t>2.</w:t>
      </w:r>
      <w:r>
        <w:rPr>
          <w:rFonts w:hint="eastAsia"/>
          <w:color w:val="auto"/>
          <w:sz w:val="24"/>
          <w:szCs w:val="24"/>
          <w:highlight w:val="none"/>
          <w:u w:val="single"/>
        </w:rPr>
        <w:t>（标的名称）</w:t>
      </w:r>
      <w:r>
        <w:rPr>
          <w:rFonts w:hint="eastAsia"/>
          <w:color w:val="auto"/>
          <w:sz w:val="24"/>
          <w:szCs w:val="24"/>
          <w:highlight w:val="none"/>
        </w:rPr>
        <w:t>,属于</w:t>
      </w:r>
      <w:r>
        <w:rPr>
          <w:rFonts w:hint="eastAsia"/>
          <w:color w:val="auto"/>
          <w:sz w:val="24"/>
          <w:szCs w:val="24"/>
          <w:highlight w:val="none"/>
          <w:u w:val="single"/>
        </w:rPr>
        <w:t>（采购文件中明确的所属行业）</w:t>
      </w:r>
      <w:r>
        <w:rPr>
          <w:rFonts w:hint="eastAsia"/>
          <w:color w:val="auto"/>
          <w:sz w:val="24"/>
          <w:szCs w:val="24"/>
          <w:highlight w:val="none"/>
        </w:rPr>
        <w:t>, 承建（承接）企业为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万元，资产总额为</w:t>
      </w:r>
      <w:r>
        <w:rPr>
          <w:rFonts w:hint="eastAsia"/>
          <w:color w:val="auto"/>
          <w:sz w:val="24"/>
          <w:szCs w:val="24"/>
          <w:highlight w:val="none"/>
          <w:u w:val="single"/>
          <w:lang w:val="en-US" w:eastAsia="zh-CN" w:bidi="zh-CN"/>
        </w:rPr>
        <w:t xml:space="preserve">     </w:t>
      </w:r>
      <w:r>
        <w:rPr>
          <w:rFonts w:hint="eastAsia"/>
          <w:color w:val="auto"/>
          <w:sz w:val="24"/>
          <w:szCs w:val="24"/>
          <w:highlight w:val="none"/>
        </w:rPr>
        <w:t>万元，属于</w:t>
      </w:r>
      <w:r>
        <w:rPr>
          <w:rFonts w:hint="eastAsia"/>
          <w:color w:val="auto"/>
          <w:sz w:val="24"/>
          <w:szCs w:val="24"/>
          <w:highlight w:val="none"/>
          <w:u w:val="single"/>
        </w:rPr>
        <w:t>（中型企业、 小型企业、微型企</w:t>
      </w:r>
      <w:r>
        <w:rPr>
          <w:rFonts w:hint="eastAsia"/>
          <w:color w:val="auto"/>
          <w:sz w:val="24"/>
          <w:szCs w:val="24"/>
          <w:highlight w:val="none"/>
          <w:u w:val="single"/>
          <w:lang w:val="zh-CN" w:eastAsia="zh-CN" w:bidi="zh-CN"/>
        </w:rPr>
        <w:t>业）</w:t>
      </w:r>
      <w:r>
        <w:rPr>
          <w:rFonts w:hint="eastAsia"/>
          <w:color w:val="auto"/>
          <w:sz w:val="24"/>
          <w:szCs w:val="24"/>
          <w:highlight w:val="none"/>
          <w:lang w:val="zh-CN" w:eastAsia="zh-CN" w:bidi="zh-CN"/>
        </w:rPr>
        <w:t>,</w:t>
      </w:r>
    </w:p>
    <w:p w14:paraId="1872B08D">
      <w:pPr>
        <w:pStyle w:val="40"/>
        <w:tabs>
          <w:tab w:val="left" w:leader="dot" w:pos="-1212"/>
        </w:tabs>
        <w:spacing w:line="520" w:lineRule="exact"/>
        <w:ind w:firstLine="480"/>
        <w:rPr>
          <w:rFonts w:hint="eastAsia"/>
          <w:color w:val="auto"/>
          <w:sz w:val="24"/>
          <w:szCs w:val="24"/>
          <w:highlight w:val="none"/>
        </w:rPr>
      </w:pPr>
      <w:r>
        <w:rPr>
          <w:rFonts w:hint="eastAsia"/>
          <w:color w:val="auto"/>
          <w:sz w:val="24"/>
          <w:szCs w:val="24"/>
          <w:highlight w:val="none"/>
          <w:lang w:val="en-US" w:eastAsia="zh-CN" w:bidi="en-US"/>
        </w:rPr>
        <w:tab/>
      </w:r>
    </w:p>
    <w:p w14:paraId="1C90CD5B">
      <w:pPr>
        <w:pStyle w:val="40"/>
        <w:spacing w:line="520" w:lineRule="exact"/>
        <w:ind w:firstLine="480"/>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5FF452C8">
      <w:pPr>
        <w:pStyle w:val="40"/>
        <w:spacing w:line="520" w:lineRule="exact"/>
        <w:ind w:firstLine="480"/>
        <w:rPr>
          <w:rFonts w:hint="eastAsia"/>
          <w:color w:val="auto"/>
          <w:sz w:val="24"/>
          <w:szCs w:val="24"/>
          <w:highlight w:val="none"/>
        </w:rPr>
      </w:pPr>
      <w:r>
        <w:rPr>
          <w:rFonts w:hint="eastAsia"/>
          <w:color w:val="auto"/>
          <w:sz w:val="24"/>
          <w:szCs w:val="24"/>
          <w:highlight w:val="none"/>
        </w:rPr>
        <w:t>本企业对上述声明内容的真实性负责。如有虚假，将依 法承担相应责任。</w:t>
      </w:r>
    </w:p>
    <w:p w14:paraId="019A2D8A">
      <w:pPr>
        <w:pStyle w:val="40"/>
        <w:spacing w:line="562" w:lineRule="exact"/>
        <w:ind w:left="3860" w:firstLine="480"/>
        <w:jc w:val="left"/>
        <w:rPr>
          <w:rFonts w:hint="eastAsia"/>
          <w:color w:val="auto"/>
          <w:sz w:val="24"/>
          <w:szCs w:val="24"/>
          <w:highlight w:val="none"/>
          <w:u w:val="single"/>
          <w:lang w:val="en-US" w:eastAsia="zh-CN"/>
        </w:rPr>
      </w:pPr>
      <w:r>
        <w:rPr>
          <w:rFonts w:hint="eastAsia"/>
          <w:color w:val="auto"/>
          <w:sz w:val="24"/>
          <w:szCs w:val="24"/>
          <w:highlight w:val="none"/>
        </w:rPr>
        <w:t>企业名称（盖章）：</w:t>
      </w:r>
      <w:r>
        <w:rPr>
          <w:rFonts w:hint="eastAsia"/>
          <w:color w:val="auto"/>
          <w:sz w:val="24"/>
          <w:szCs w:val="24"/>
          <w:highlight w:val="none"/>
          <w:u w:val="single"/>
          <w:lang w:val="en-US" w:eastAsia="zh-CN"/>
        </w:rPr>
        <w:t xml:space="preserve">              </w:t>
      </w:r>
    </w:p>
    <w:p w14:paraId="61F6ADF5">
      <w:pPr>
        <w:pStyle w:val="40"/>
        <w:spacing w:line="562" w:lineRule="exact"/>
        <w:ind w:left="3860" w:firstLine="480"/>
        <w:jc w:val="left"/>
        <w:rPr>
          <w:rFonts w:hint="eastAsia"/>
          <w:color w:val="auto"/>
          <w:sz w:val="24"/>
          <w:szCs w:val="24"/>
          <w:highlight w:val="none"/>
        </w:rPr>
      </w:pPr>
      <w:r>
        <w:rPr>
          <w:rFonts w:hint="eastAsia"/>
          <w:color w:val="auto"/>
          <w:sz w:val="24"/>
          <w:szCs w:val="24"/>
          <w:highlight w:val="none"/>
        </w:rPr>
        <w:t xml:space="preserve"> 日期：</w:t>
      </w:r>
      <w:r>
        <w:rPr>
          <w:rFonts w:hint="eastAsia"/>
          <w:color w:val="auto"/>
          <w:sz w:val="24"/>
          <w:szCs w:val="24"/>
          <w:highlight w:val="none"/>
        </w:rPr>
        <w:tab/>
      </w:r>
    </w:p>
    <w:p w14:paraId="7D01B85A">
      <w:pPr>
        <w:pStyle w:val="41"/>
        <w:spacing w:line="240" w:lineRule="auto"/>
        <w:ind w:firstLine="480"/>
        <w:jc w:val="left"/>
        <w:rPr>
          <w:rFonts w:hint="eastAsia"/>
          <w:color w:val="auto"/>
          <w:sz w:val="24"/>
          <w:szCs w:val="24"/>
          <w:highlight w:val="none"/>
        </w:rPr>
      </w:pPr>
    </w:p>
    <w:p w14:paraId="3FC093E1">
      <w:pPr>
        <w:pStyle w:val="41"/>
        <w:spacing w:line="240" w:lineRule="auto"/>
        <w:ind w:firstLine="480"/>
        <w:jc w:val="left"/>
        <w:rPr>
          <w:rFonts w:hint="eastAsia"/>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w:t>
      </w:r>
      <w:r>
        <w:rPr>
          <w:rFonts w:hint="eastAsia"/>
          <w:color w:val="auto"/>
          <w:sz w:val="24"/>
          <w:szCs w:val="24"/>
          <w:highlight w:val="none"/>
        </w:rPr>
        <w:t>从业人员、营业收入、资产总额填报上一年度数据，无上一年度数据的新成立企业可不填报。</w:t>
      </w:r>
    </w:p>
    <w:p w14:paraId="44A9B0D0">
      <w:pPr>
        <w:pStyle w:val="2"/>
        <w:ind w:firstLine="420"/>
        <w:rPr>
          <w:color w:val="auto"/>
          <w:highlight w:val="none"/>
        </w:rPr>
        <w:sectPr>
          <w:pgSz w:w="11906" w:h="16838"/>
          <w:pgMar w:top="1440" w:right="1803" w:bottom="1440" w:left="1803" w:header="850" w:footer="992" w:gutter="0"/>
          <w:cols w:space="720" w:num="1"/>
          <w:docGrid w:type="lines" w:linePitch="312" w:charSpace="0"/>
        </w:sectPr>
      </w:pPr>
    </w:p>
    <w:p w14:paraId="6BF119CF">
      <w:pPr>
        <w:ind w:firstLine="0" w:firstLineChars="0"/>
        <w:rPr>
          <w:rFonts w:hint="eastAsia" w:ascii="新宋体" w:hAnsi="新宋体" w:eastAsia="新宋体"/>
          <w:color w:val="auto"/>
          <w:highlight w:val="none"/>
          <w:lang w:val="en-US" w:eastAsia="zh-CN"/>
        </w:rPr>
      </w:pPr>
      <w:r>
        <w:rPr>
          <w:rFonts w:hint="eastAsia" w:ascii="新宋体" w:hAnsi="新宋体" w:eastAsia="新宋体"/>
          <w:color w:val="auto"/>
          <w:highlight w:val="none"/>
        </w:rPr>
        <w:t>附件1</w:t>
      </w:r>
      <w:r>
        <w:rPr>
          <w:rFonts w:hint="eastAsia" w:ascii="新宋体" w:hAnsi="新宋体" w:eastAsia="新宋体"/>
          <w:color w:val="auto"/>
          <w:highlight w:val="none"/>
          <w:lang w:val="en-US" w:eastAsia="zh-CN"/>
        </w:rPr>
        <w:t>1</w:t>
      </w:r>
    </w:p>
    <w:p w14:paraId="28C77C89">
      <w:pPr>
        <w:adjustRightInd w:val="0"/>
        <w:snapToGrid w:val="0"/>
        <w:spacing w:line="360" w:lineRule="auto"/>
        <w:ind w:firstLine="0" w:firstLineChars="0"/>
        <w:jc w:val="center"/>
        <w:rPr>
          <w:rFonts w:hint="eastAsia" w:ascii="宋体" w:hAnsi="宋体" w:cs="宋体"/>
          <w:bCs/>
          <w:color w:val="auto"/>
          <w:sz w:val="32"/>
          <w:szCs w:val="32"/>
          <w:highlight w:val="none"/>
          <w:lang w:val="zh-CN"/>
        </w:rPr>
      </w:pPr>
      <w:r>
        <w:rPr>
          <w:rFonts w:hint="eastAsia" w:ascii="宋体" w:hAnsi="宋体" w:cs="宋体"/>
          <w:bCs/>
          <w:color w:val="auto"/>
          <w:sz w:val="32"/>
          <w:szCs w:val="32"/>
          <w:highlight w:val="none"/>
          <w:lang w:val="zh-CN"/>
        </w:rPr>
        <w:t>监狱企业声明函</w:t>
      </w:r>
    </w:p>
    <w:p w14:paraId="6BB7B691">
      <w:pPr>
        <w:spacing w:line="360" w:lineRule="auto"/>
        <w:ind w:firstLine="0" w:firstLineChars="0"/>
        <w:jc w:val="center"/>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lang w:val="zh-CN"/>
        </w:rPr>
        <w:t>【非监狱企业不需提供】</w:t>
      </w:r>
    </w:p>
    <w:p w14:paraId="16517715">
      <w:pPr>
        <w:widowControl/>
        <w:adjustRightInd w:val="0"/>
        <w:snapToGrid w:val="0"/>
        <w:ind w:firstLine="480"/>
        <w:jc w:val="left"/>
        <w:rPr>
          <w:rFonts w:hint="eastAsia"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本企业郑重声明，根据《关于政府采购支持监狱企业发展有关问题的通知》（财库[2016]68号）的规定，本企业为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14:paraId="57F19798">
      <w:pPr>
        <w:widowControl/>
        <w:adjustRightInd w:val="0"/>
        <w:snapToGrid w:val="0"/>
        <w:ind w:firstLine="480"/>
        <w:jc w:val="left"/>
        <w:rPr>
          <w:rFonts w:hint="eastAsia"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14:paraId="0DC9E48B">
      <w:pPr>
        <w:widowControl/>
        <w:adjustRightInd w:val="0"/>
        <w:snapToGrid w:val="0"/>
        <w:ind w:firstLine="480"/>
        <w:rPr>
          <w:rFonts w:hint="eastAsia"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14:paraId="421697C7">
      <w:pPr>
        <w:widowControl/>
        <w:adjustRightInd w:val="0"/>
        <w:snapToGrid w:val="0"/>
        <w:ind w:firstLine="480"/>
        <w:rPr>
          <w:rFonts w:hint="eastAsia"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41B1980D">
      <w:pPr>
        <w:adjustRightInd w:val="0"/>
        <w:snapToGrid w:val="0"/>
        <w:ind w:firstLine="480"/>
        <w:jc w:val="center"/>
        <w:rPr>
          <w:rFonts w:hint="eastAsia" w:ascii="宋体" w:hAnsi="宋体" w:cs="宋体"/>
          <w:color w:val="auto"/>
          <w:szCs w:val="21"/>
          <w:highlight w:val="none"/>
        </w:rPr>
      </w:pPr>
    </w:p>
    <w:p w14:paraId="3FB23973">
      <w:pPr>
        <w:adjustRightInd w:val="0"/>
        <w:snapToGrid w:val="0"/>
        <w:ind w:firstLine="480"/>
        <w:jc w:val="center"/>
        <w:rPr>
          <w:rFonts w:hint="eastAsia" w:ascii="宋体" w:hAnsi="宋体" w:cs="宋体"/>
          <w:color w:val="auto"/>
          <w:szCs w:val="21"/>
          <w:highlight w:val="none"/>
        </w:rPr>
      </w:pPr>
    </w:p>
    <w:p w14:paraId="3A2250C7">
      <w:pPr>
        <w:adjustRightInd w:val="0"/>
        <w:snapToGrid w:val="0"/>
        <w:ind w:firstLine="480"/>
        <w:jc w:val="center"/>
        <w:rPr>
          <w:rFonts w:hint="eastAsia" w:ascii="宋体" w:hAnsi="宋体" w:cs="宋体"/>
          <w:color w:val="auto"/>
          <w:szCs w:val="21"/>
          <w:highlight w:val="none"/>
        </w:rPr>
      </w:pPr>
    </w:p>
    <w:p w14:paraId="36E55436">
      <w:pPr>
        <w:adjustRightInd w:val="0"/>
        <w:snapToGrid w:val="0"/>
        <w:ind w:firstLine="480"/>
        <w:rPr>
          <w:rFonts w:hint="eastAsia" w:ascii="宋体" w:hAnsi="宋体" w:cs="宋体"/>
          <w:color w:val="auto"/>
          <w:szCs w:val="21"/>
          <w:highlight w:val="none"/>
        </w:rPr>
      </w:pPr>
    </w:p>
    <w:p w14:paraId="477546AF">
      <w:pPr>
        <w:adjustRightInd w:val="0"/>
        <w:snapToGrid w:val="0"/>
        <w:ind w:firstLine="480"/>
        <w:jc w:val="center"/>
        <w:rPr>
          <w:rFonts w:hint="eastAsia" w:ascii="宋体" w:hAnsi="宋体" w:cs="宋体"/>
          <w:color w:val="auto"/>
          <w:szCs w:val="21"/>
          <w:highlight w:val="none"/>
        </w:rPr>
      </w:pPr>
    </w:p>
    <w:p w14:paraId="52CE9AEA">
      <w:pPr>
        <w:adjustRightInd w:val="0"/>
        <w:snapToGrid w:val="0"/>
        <w:ind w:firstLine="480"/>
        <w:jc w:val="center"/>
        <w:rPr>
          <w:rFonts w:hint="eastAsia" w:ascii="宋体" w:hAnsi="宋体" w:cs="宋体"/>
          <w:color w:val="auto"/>
          <w:szCs w:val="21"/>
          <w:highlight w:val="none"/>
        </w:rPr>
      </w:pPr>
    </w:p>
    <w:p w14:paraId="7F80E004">
      <w:pPr>
        <w:adjustRightInd w:val="0"/>
        <w:snapToGrid w:val="0"/>
        <w:ind w:firstLine="480"/>
        <w:jc w:val="center"/>
        <w:rPr>
          <w:rFonts w:hint="eastAsia" w:ascii="宋体" w:hAnsi="宋体" w:cs="宋体"/>
          <w:color w:val="auto"/>
          <w:szCs w:val="21"/>
          <w:highlight w:val="none"/>
        </w:rPr>
      </w:pPr>
    </w:p>
    <w:p w14:paraId="62E5AF0F">
      <w:pPr>
        <w:adjustRightInd w:val="0"/>
        <w:snapToGrid w:val="0"/>
        <w:ind w:firstLine="480"/>
        <w:jc w:val="center"/>
        <w:rPr>
          <w:rFonts w:hint="eastAsia" w:ascii="宋体" w:hAnsi="宋体" w:cs="宋体"/>
          <w:color w:val="auto"/>
          <w:szCs w:val="21"/>
          <w:highlight w:val="none"/>
        </w:rPr>
      </w:pPr>
    </w:p>
    <w:p w14:paraId="7EFA9A94">
      <w:pPr>
        <w:adjustRightInd w:val="0"/>
        <w:snapToGrid w:val="0"/>
        <w:ind w:firstLine="5040" w:firstLineChars="2100"/>
        <w:rPr>
          <w:rFonts w:hint="eastAsia" w:ascii="宋体" w:hAnsi="宋体" w:cs="宋体"/>
          <w:color w:val="auto"/>
          <w:szCs w:val="21"/>
          <w:highlight w:val="none"/>
          <w:u w:val="single"/>
        </w:rPr>
      </w:pPr>
      <w:r>
        <w:rPr>
          <w:rFonts w:hint="eastAsia" w:ascii="宋体" w:hAnsi="宋体" w:cs="宋体"/>
          <w:color w:val="auto"/>
          <w:szCs w:val="21"/>
          <w:highlight w:val="none"/>
        </w:rPr>
        <w:t>供应商名称（盖章）：</w:t>
      </w:r>
      <w:r>
        <w:rPr>
          <w:rFonts w:hint="eastAsia" w:ascii="宋体" w:hAnsi="宋体" w:cs="宋体"/>
          <w:color w:val="auto"/>
          <w:szCs w:val="21"/>
          <w:highlight w:val="none"/>
          <w:u w:val="single"/>
        </w:rPr>
        <w:t xml:space="preserve">                    </w:t>
      </w:r>
    </w:p>
    <w:p w14:paraId="331EE3C1">
      <w:pPr>
        <w:adjustRightInd w:val="0"/>
        <w:snapToGrid w:val="0"/>
        <w:ind w:firstLine="3600" w:firstLineChars="1500"/>
        <w:rPr>
          <w:rFonts w:hint="eastAsia" w:ascii="宋体" w:hAnsi="宋体" w:cs="宋体"/>
          <w:color w:val="auto"/>
          <w:szCs w:val="21"/>
          <w:highlight w:val="none"/>
        </w:rPr>
      </w:pPr>
    </w:p>
    <w:p w14:paraId="34D7E83C">
      <w:pPr>
        <w:adjustRightInd w:val="0"/>
        <w:snapToGrid w:val="0"/>
        <w:ind w:firstLine="5040" w:firstLineChars="2100"/>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244173E">
      <w:pPr>
        <w:widowControl/>
        <w:snapToGrid w:val="0"/>
        <w:ind w:firstLine="480"/>
        <w:rPr>
          <w:rFonts w:hint="eastAsia" w:ascii="宋体" w:hAnsi="宋体" w:cs="宋体"/>
          <w:color w:val="auto"/>
          <w:szCs w:val="21"/>
          <w:highlight w:val="none"/>
        </w:rPr>
      </w:pPr>
    </w:p>
    <w:p w14:paraId="5A7DED2B">
      <w:pPr>
        <w:widowControl/>
        <w:snapToGrid w:val="0"/>
        <w:ind w:firstLine="480"/>
        <w:rPr>
          <w:rFonts w:hint="eastAsia" w:ascii="宋体" w:hAnsi="宋体" w:cs="宋体"/>
          <w:color w:val="auto"/>
          <w:szCs w:val="21"/>
          <w:highlight w:val="none"/>
        </w:rPr>
      </w:pPr>
    </w:p>
    <w:p w14:paraId="470CB9A0">
      <w:pPr>
        <w:widowControl/>
        <w:snapToGrid w:val="0"/>
        <w:ind w:firstLine="480"/>
        <w:rPr>
          <w:rFonts w:hint="eastAsia" w:ascii="宋体" w:hAnsi="宋体" w:cs="宋体"/>
          <w:color w:val="auto"/>
          <w:szCs w:val="21"/>
          <w:highlight w:val="none"/>
        </w:rPr>
      </w:pPr>
    </w:p>
    <w:p w14:paraId="47DBA519">
      <w:pPr>
        <w:widowControl/>
        <w:snapToGrid w:val="0"/>
        <w:ind w:firstLine="480"/>
        <w:rPr>
          <w:rFonts w:hint="eastAsia" w:ascii="宋体" w:hAnsi="宋体" w:cs="宋体"/>
          <w:color w:val="auto"/>
          <w:szCs w:val="21"/>
          <w:highlight w:val="none"/>
        </w:rPr>
      </w:pPr>
      <w:r>
        <w:rPr>
          <w:rFonts w:hint="eastAsia" w:ascii="宋体" w:hAnsi="宋体" w:cs="宋体"/>
          <w:color w:val="auto"/>
          <w:szCs w:val="21"/>
          <w:highlight w:val="none"/>
        </w:rPr>
        <w:t>供应商为监狱企业的提供此函。</w:t>
      </w:r>
    </w:p>
    <w:p w14:paraId="166E9F68">
      <w:pPr>
        <w:widowControl/>
        <w:snapToGrid w:val="0"/>
        <w:ind w:firstLine="480"/>
        <w:rPr>
          <w:rFonts w:hint="eastAsia" w:ascii="宋体" w:hAnsi="宋体" w:cs="宋体"/>
          <w:color w:val="auto"/>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220F7192">
      <w:pPr>
        <w:adjustRightInd w:val="0"/>
        <w:snapToGrid w:val="0"/>
        <w:ind w:firstLine="480"/>
        <w:textAlignment w:val="baseline"/>
        <w:rPr>
          <w:rFonts w:hint="eastAsia" w:ascii="宋体" w:hAnsi="宋体" w:cs="宋体"/>
          <w:bCs/>
          <w:color w:val="auto"/>
          <w:szCs w:val="21"/>
          <w:highlight w:val="none"/>
        </w:rPr>
      </w:pPr>
    </w:p>
    <w:p w14:paraId="10046E23">
      <w:pPr>
        <w:ind w:firstLine="0" w:firstLineChars="0"/>
        <w:rPr>
          <w:rFonts w:hint="eastAsia" w:ascii="新宋体" w:hAnsi="新宋体" w:eastAsia="新宋体"/>
          <w:color w:val="auto"/>
          <w:highlight w:val="none"/>
          <w:lang w:eastAsia="zh-CN"/>
        </w:rPr>
      </w:pPr>
      <w:r>
        <w:rPr>
          <w:rFonts w:hint="eastAsia" w:ascii="宋体" w:hAnsi="宋体" w:cs="宋体"/>
          <w:bCs/>
          <w:color w:val="auto"/>
          <w:szCs w:val="21"/>
          <w:highlight w:val="none"/>
        </w:rPr>
        <w:br w:type="page"/>
      </w:r>
      <w:r>
        <w:rPr>
          <w:rFonts w:hint="eastAsia" w:ascii="新宋体" w:hAnsi="新宋体" w:eastAsia="新宋体"/>
          <w:color w:val="auto"/>
          <w:highlight w:val="none"/>
        </w:rPr>
        <w:t>附件1</w:t>
      </w:r>
      <w:r>
        <w:rPr>
          <w:rFonts w:hint="eastAsia" w:ascii="新宋体" w:hAnsi="新宋体" w:eastAsia="新宋体"/>
          <w:color w:val="auto"/>
          <w:highlight w:val="none"/>
          <w:lang w:val="en-US" w:eastAsia="zh-CN"/>
        </w:rPr>
        <w:t>2</w:t>
      </w:r>
    </w:p>
    <w:p w14:paraId="6F8A85FF">
      <w:pPr>
        <w:adjustRightInd w:val="0"/>
        <w:snapToGrid w:val="0"/>
        <w:spacing w:line="360" w:lineRule="auto"/>
        <w:ind w:firstLine="0" w:firstLineChars="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残疾人福利性单位声明函</w:t>
      </w:r>
    </w:p>
    <w:p w14:paraId="77D0ADBA">
      <w:pPr>
        <w:autoSpaceDE w:val="0"/>
        <w:autoSpaceDN w:val="0"/>
        <w:adjustRightInd w:val="0"/>
        <w:snapToGrid w:val="0"/>
        <w:spacing w:after="312" w:afterLines="100"/>
        <w:ind w:firstLine="560"/>
        <w:jc w:val="center"/>
        <w:rPr>
          <w:rFonts w:hint="eastAsia" w:ascii="宋体" w:hAnsi="宋体"/>
          <w:color w:val="auto"/>
          <w:sz w:val="28"/>
          <w:szCs w:val="28"/>
          <w:highlight w:val="none"/>
        </w:rPr>
      </w:pPr>
      <w:r>
        <w:rPr>
          <w:rFonts w:hint="eastAsia" w:ascii="宋体" w:hAnsi="宋体"/>
          <w:color w:val="auto"/>
          <w:sz w:val="28"/>
          <w:szCs w:val="28"/>
          <w:highlight w:val="none"/>
        </w:rPr>
        <w:t>【非残疾人福利性单位不需提供】</w:t>
      </w:r>
    </w:p>
    <w:p w14:paraId="00BBC93C">
      <w:pPr>
        <w:snapToGrid w:val="0"/>
        <w:ind w:firstLine="480"/>
        <w:rPr>
          <w:rFonts w:hint="eastAsia"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（采购人名称）</w:t>
      </w:r>
      <w:r>
        <w:rPr>
          <w:rFonts w:hint="eastAsia" w:ascii="宋体" w:hAnsi="宋体"/>
          <w:color w:val="auto"/>
          <w:szCs w:val="21"/>
          <w:highlight w:val="none"/>
        </w:rPr>
        <w:t>单位的</w:t>
      </w:r>
      <w:r>
        <w:rPr>
          <w:rFonts w:hint="eastAsia" w:ascii="宋体" w:hAnsi="宋体"/>
          <w:color w:val="auto"/>
          <w:szCs w:val="21"/>
          <w:highlight w:val="none"/>
          <w:u w:val="single"/>
        </w:rPr>
        <w:t>（项目名称）</w:t>
      </w:r>
      <w:r>
        <w:rPr>
          <w:rFonts w:hint="eastAsia" w:ascii="宋体" w:hAnsi="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4FE2C0BF">
      <w:pPr>
        <w:snapToGrid w:val="0"/>
        <w:ind w:firstLine="48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6FB7BC1B">
      <w:pPr>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010D0C6F">
      <w:pPr>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2EFDC2B6">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4651E0C6">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0B28C251">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7FA687F5">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6675F951">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67E62270">
      <w:pPr>
        <w:adjustRightInd w:val="0"/>
        <w:snapToGrid w:val="0"/>
        <w:ind w:firstLine="4080" w:firstLineChars="1700"/>
        <w:rPr>
          <w:rFonts w:hint="eastAsia" w:ascii="宋体" w:hAnsi="宋体"/>
          <w:color w:val="auto"/>
          <w:szCs w:val="21"/>
          <w:highlight w:val="none"/>
          <w:u w:val="single"/>
        </w:rPr>
      </w:pPr>
      <w:r>
        <w:rPr>
          <w:rFonts w:hint="eastAsia" w:ascii="宋体" w:hAnsi="宋体"/>
          <w:color w:val="auto"/>
          <w:szCs w:val="21"/>
          <w:highlight w:val="none"/>
        </w:rPr>
        <w:t>供应商名称（盖章）：</w:t>
      </w:r>
      <w:r>
        <w:rPr>
          <w:rFonts w:hint="eastAsia" w:ascii="宋体" w:hAnsi="宋体"/>
          <w:color w:val="auto"/>
          <w:szCs w:val="21"/>
          <w:highlight w:val="none"/>
          <w:u w:val="single"/>
        </w:rPr>
        <w:t xml:space="preserve">                    </w:t>
      </w:r>
    </w:p>
    <w:p w14:paraId="60F82E70">
      <w:pPr>
        <w:adjustRightInd w:val="0"/>
        <w:snapToGrid w:val="0"/>
        <w:ind w:firstLine="3600" w:firstLineChars="1500"/>
        <w:rPr>
          <w:rFonts w:hint="eastAsia" w:ascii="宋体" w:hAnsi="宋体"/>
          <w:color w:val="auto"/>
          <w:szCs w:val="21"/>
          <w:highlight w:val="none"/>
        </w:rPr>
      </w:pPr>
      <w:r>
        <w:rPr>
          <w:rFonts w:hint="eastAsia" w:ascii="宋体" w:hAnsi="宋体"/>
          <w:color w:val="auto"/>
          <w:szCs w:val="21"/>
          <w:highlight w:val="none"/>
        </w:rPr>
        <w:t xml:space="preserve"> </w:t>
      </w:r>
    </w:p>
    <w:p w14:paraId="739E8EB7">
      <w:pPr>
        <w:adjustRightInd w:val="0"/>
        <w:snapToGrid w:val="0"/>
        <w:ind w:firstLine="4080" w:firstLineChars="1700"/>
        <w:rPr>
          <w:rFonts w:hint="eastAsia" w:ascii="宋体" w:hAnsi="宋体"/>
          <w:color w:val="auto"/>
          <w:szCs w:val="21"/>
          <w:highlight w:val="none"/>
        </w:rPr>
      </w:pPr>
      <w:r>
        <w:rPr>
          <w:rFonts w:hint="eastAsia" w:ascii="宋体" w:hAnsi="宋体"/>
          <w:color w:val="auto"/>
          <w:szCs w:val="21"/>
          <w:highlight w:val="none"/>
        </w:rPr>
        <w:t>日期：    年   月  日</w:t>
      </w:r>
    </w:p>
    <w:p w14:paraId="7258BDB0">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4B5BBA61">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2A831837">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 xml:space="preserve"> </w:t>
      </w:r>
    </w:p>
    <w:p w14:paraId="60526CEC">
      <w:pPr>
        <w:adjustRightInd w:val="0"/>
        <w:snapToGrid w:val="0"/>
        <w:ind w:firstLine="480"/>
        <w:rPr>
          <w:rFonts w:hint="eastAsia" w:ascii="宋体" w:hAnsi="宋体"/>
          <w:color w:val="auto"/>
          <w:szCs w:val="21"/>
          <w:highlight w:val="none"/>
        </w:rPr>
      </w:pPr>
      <w:r>
        <w:rPr>
          <w:rFonts w:hint="eastAsia" w:ascii="宋体" w:hAnsi="宋体"/>
          <w:color w:val="auto"/>
          <w:szCs w:val="21"/>
          <w:highlight w:val="none"/>
        </w:rPr>
        <w:t>供应商为残疾人福利性单位的提供此函。</w:t>
      </w:r>
    </w:p>
    <w:p w14:paraId="3D9C7839">
      <w:pPr>
        <w:spacing w:before="100" w:beforeAutospacing="1" w:after="120"/>
        <w:ind w:firstLine="480"/>
        <w:rPr>
          <w:color w:val="auto"/>
          <w:highlight w:val="none"/>
        </w:rPr>
      </w:pPr>
      <w:r>
        <w:rPr>
          <w:rFonts w:hint="eastAsia" w:ascii="宋体" w:hAnsi="宋体"/>
          <w:color w:val="auto"/>
          <w:szCs w:val="21"/>
          <w:highlight w:val="none"/>
        </w:rPr>
        <w:t>备注：成交供应商为残疾人福利性单位的，应当随成交结果同时公告其《残疾人福利性单位声明函》，接受社会监督。</w:t>
      </w:r>
    </w:p>
    <w:p w14:paraId="6C0E1503"/>
    <w:sectPr>
      <w:pgSz w:w="11906" w:h="16838"/>
      <w:pgMar w:top="1440" w:right="1803" w:bottom="1440" w:left="1803" w:header="850"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20364">
    <w:pPr>
      <w:pStyle w:val="11"/>
      <w:ind w:firstLine="0" w:firstLineChars="0"/>
      <w:rPr>
        <w:rFonts w:hint="eastAsia" w:ascii="微软雅黑" w:hAnsi="微软雅黑" w:eastAsia="微软雅黑" w:cs="微软雅黑"/>
        <w:b/>
        <w:bCs/>
        <w:color w:val="7030A0"/>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63593">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6D0B">
    <w:pPr>
      <w:pStyle w:val="11"/>
      <w:tabs>
        <w:tab w:val="left" w:pos="348"/>
      </w:tabs>
      <w:spacing w:line="240" w:lineRule="exact"/>
      <w:ind w:firstLine="0" w:firstLineChars="0"/>
      <w:rPr>
        <w:rFonts w:hint="eastAsia" w:ascii="仿宋" w:hAnsi="仿宋" w:eastAsia="仿宋" w:cs="仿宋"/>
        <w:b/>
        <w:b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CCA4F9">
                          <w:pPr>
                            <w:pStyle w:val="11"/>
                            <w:ind w:firstLine="0" w:firstLineChars="0"/>
                            <w:rPr>
                              <w:rFonts w:eastAsia="仿宋"/>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5FCCA4F9">
                    <w:pPr>
                      <w:pStyle w:val="11"/>
                      <w:ind w:firstLine="0" w:firstLineChars="0"/>
                      <w:rPr>
                        <w:rFonts w:eastAsia="仿宋"/>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2FAA">
    <w:pPr>
      <w:pStyle w:val="11"/>
      <w:rPr>
        <w:lang w:val="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F5DDD">
                          <w:pPr>
                            <w:pStyle w:val="11"/>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21F5DDD">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079E">
    <w:pPr>
      <w:pStyle w:val="11"/>
      <w:rPr>
        <w:lang w:val="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EAE89">
                          <w:pPr>
                            <w:pStyle w:val="11"/>
                          </w:pPr>
                          <w:r>
                            <w:fldChar w:fldCharType="begin"/>
                          </w:r>
                          <w:r>
                            <w:instrText xml:space="preserve"> PAGE  \* MERGEFORMAT </w:instrText>
                          </w:r>
                          <w:r>
                            <w:fldChar w:fldCharType="separate"/>
                          </w:r>
                          <w: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70EAE89">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EA5A">
    <w:pPr>
      <w:pStyle w:val="11"/>
      <w:ind w:firstLine="560"/>
      <w:rPr>
        <w:rStyle w:val="22"/>
        <w:rFonts w:ascii="仿宋_GB2312" w:hAnsi="Tahoma" w:eastAsia="仿宋_GB2312" w:cs="Tahom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8AE9D">
                          <w:pPr>
                            <w:pStyle w:val="11"/>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5E28AE9D">
                    <w:pPr>
                      <w:pStyle w:val="11"/>
                    </w:pPr>
                    <w:r>
                      <w:fldChar w:fldCharType="begin"/>
                    </w:r>
                    <w:r>
                      <w:instrText xml:space="preserve"> PAGE  \* MERGEFORMAT </w:instrText>
                    </w:r>
                    <w:r>
                      <w:fldChar w:fldCharType="separate"/>
                    </w:r>
                    <w:r>
                      <w:t>26</w:t>
                    </w:r>
                    <w:r>
                      <w:fldChar w:fldCharType="end"/>
                    </w:r>
                  </w:p>
                </w:txbxContent>
              </v:textbox>
            </v:shape>
          </w:pict>
        </mc:Fallback>
      </mc:AlternateContent>
    </w:r>
    <w:r>
      <w:rPr>
        <w:rStyle w:val="22"/>
        <w:rFonts w:hint="eastAsia" w:ascii="仿宋_GB2312" w:hAnsi="Tahoma" w:eastAsia="仿宋_GB2312" w:cs="Tahoma"/>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16C108">
                          <w:pPr>
                            <w:ind w:firstLine="48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c2QeE9gBAACwAwAADgAAAAAAAAABACAA&#10;AAAfAQAAZHJzL2Uyb0RvYy54bWxQSwUGAAAAAAYABgBZAQAAaQUAAAAA&#10;">
              <v:fill on="f" focussize="0,0"/>
              <v:stroke on="f" weight="0.5pt"/>
              <v:imagedata o:title=""/>
              <o:lock v:ext="edit" aspectratio="f"/>
              <v:textbox inset="0mm,0mm,0mm,0mm" style="mso-fit-shape-to-text:t;">
                <w:txbxContent>
                  <w:p w14:paraId="0C16C108">
                    <w:pPr>
                      <w:ind w:firstLine="48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2034B">
    <w:pPr>
      <w:pStyle w:val="12"/>
      <w:pBdr>
        <w:bottom w:val="none" w:color="auto" w:sz="0" w:space="1"/>
      </w:pBdr>
      <w:spacing w:line="360" w:lineRule="auto"/>
      <w:ind w:firstLine="0" w:firstLineChars="0"/>
      <w:jc w:val="both"/>
      <w:rPr>
        <w:rFonts w:eastAsia="微软雅黑"/>
        <w:color w:val="7030A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E5004">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50EE8">
    <w:pPr>
      <w:pStyle w:val="12"/>
      <w:pBdr>
        <w:bottom w:val="none" w:color="auto" w:sz="0" w:space="1"/>
      </w:pBdr>
      <w:snapToGrid/>
      <w:spacing w:line="280" w:lineRule="exact"/>
      <w:ind w:firstLine="361"/>
      <w:jc w:val="both"/>
      <w:rPr>
        <w:rFonts w:hint="eastAsia" w:ascii="微软雅黑" w:hAnsi="微软雅黑" w:eastAsia="仿宋" w:cs="微软雅黑"/>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0E60">
    <w:pPr>
      <w:pStyle w:val="12"/>
      <w:pBdr>
        <w:bottom w:val="none" w:color="auto" w:sz="0" w:space="1"/>
      </w:pBdr>
      <w:spacing w:line="360" w:lineRule="auto"/>
      <w:ind w:firstLine="0" w:firstLineChars="0"/>
      <w:jc w:val="both"/>
      <w:rPr>
        <w:rFonts w:hint="eastAsia" w:ascii="宋体" w:hAnsi="宋体" w:cs="宋体"/>
        <w:color w:val="7030A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184FA"/>
    <w:multiLevelType w:val="singleLevel"/>
    <w:tmpl w:val="1DF184FA"/>
    <w:lvl w:ilvl="0" w:tentative="0">
      <w:start w:val="1"/>
      <w:numFmt w:val="chineseCounting"/>
      <w:suff w:val="space"/>
      <w:lvlText w:val="第%1章"/>
      <w:lvlJc w:val="left"/>
      <w:pPr>
        <w:ind w:left="840"/>
      </w:pPr>
      <w:rPr>
        <w:rFonts w:hint="eastAsia"/>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4A"/>
    <w:rsid w:val="000C5A37"/>
    <w:rsid w:val="00327CB1"/>
    <w:rsid w:val="00AB1812"/>
    <w:rsid w:val="00B358DA"/>
    <w:rsid w:val="00C12DE3"/>
    <w:rsid w:val="00CB104A"/>
    <w:rsid w:val="00DF1010"/>
    <w:rsid w:val="00E13486"/>
    <w:rsid w:val="01804A4C"/>
    <w:rsid w:val="025A704C"/>
    <w:rsid w:val="0295277A"/>
    <w:rsid w:val="02F60CEA"/>
    <w:rsid w:val="02FA438B"/>
    <w:rsid w:val="03035935"/>
    <w:rsid w:val="03250913"/>
    <w:rsid w:val="03693635"/>
    <w:rsid w:val="04787C5D"/>
    <w:rsid w:val="04A942BA"/>
    <w:rsid w:val="05EC37DD"/>
    <w:rsid w:val="06C47189"/>
    <w:rsid w:val="07690DCB"/>
    <w:rsid w:val="07837045"/>
    <w:rsid w:val="07ED44BE"/>
    <w:rsid w:val="08A555D9"/>
    <w:rsid w:val="091F420F"/>
    <w:rsid w:val="09587710"/>
    <w:rsid w:val="0B100BEF"/>
    <w:rsid w:val="0B165B61"/>
    <w:rsid w:val="0B6131F9"/>
    <w:rsid w:val="0B772A1C"/>
    <w:rsid w:val="0D4234FE"/>
    <w:rsid w:val="0DE14AC5"/>
    <w:rsid w:val="0DEE3696"/>
    <w:rsid w:val="0E0E083C"/>
    <w:rsid w:val="0EFF16A6"/>
    <w:rsid w:val="0F6C6610"/>
    <w:rsid w:val="10802373"/>
    <w:rsid w:val="10BC7123"/>
    <w:rsid w:val="10D206F5"/>
    <w:rsid w:val="110F33C7"/>
    <w:rsid w:val="122338FE"/>
    <w:rsid w:val="124F3295"/>
    <w:rsid w:val="12BE1C7D"/>
    <w:rsid w:val="1303728B"/>
    <w:rsid w:val="13086650"/>
    <w:rsid w:val="13207E3D"/>
    <w:rsid w:val="13617154"/>
    <w:rsid w:val="13744394"/>
    <w:rsid w:val="13CC5D99"/>
    <w:rsid w:val="13E1581F"/>
    <w:rsid w:val="1404150D"/>
    <w:rsid w:val="14885D40"/>
    <w:rsid w:val="15CB6F9C"/>
    <w:rsid w:val="15E433A4"/>
    <w:rsid w:val="15F335E7"/>
    <w:rsid w:val="16924BAE"/>
    <w:rsid w:val="16BE1E47"/>
    <w:rsid w:val="16CD711D"/>
    <w:rsid w:val="17343EB7"/>
    <w:rsid w:val="187622AE"/>
    <w:rsid w:val="18814B4E"/>
    <w:rsid w:val="18925339"/>
    <w:rsid w:val="18A40BC9"/>
    <w:rsid w:val="19B27315"/>
    <w:rsid w:val="19F94F44"/>
    <w:rsid w:val="1A6004C9"/>
    <w:rsid w:val="1A7647E7"/>
    <w:rsid w:val="1BD16179"/>
    <w:rsid w:val="1BF754B3"/>
    <w:rsid w:val="1C0556D0"/>
    <w:rsid w:val="1C4A5F2B"/>
    <w:rsid w:val="1C7619A3"/>
    <w:rsid w:val="1C8A6328"/>
    <w:rsid w:val="1CEC2B3E"/>
    <w:rsid w:val="1D17405F"/>
    <w:rsid w:val="1D530C71"/>
    <w:rsid w:val="1E3E386E"/>
    <w:rsid w:val="1EB51D82"/>
    <w:rsid w:val="1ED815CC"/>
    <w:rsid w:val="1FA37E2C"/>
    <w:rsid w:val="1FDB38E4"/>
    <w:rsid w:val="202F348C"/>
    <w:rsid w:val="2084133A"/>
    <w:rsid w:val="20C348A0"/>
    <w:rsid w:val="21537630"/>
    <w:rsid w:val="21570ECE"/>
    <w:rsid w:val="217A2E0F"/>
    <w:rsid w:val="21935C7E"/>
    <w:rsid w:val="21DE15EF"/>
    <w:rsid w:val="21DF0EC4"/>
    <w:rsid w:val="21EA1A77"/>
    <w:rsid w:val="222F3BF9"/>
    <w:rsid w:val="22A2261D"/>
    <w:rsid w:val="22D32107"/>
    <w:rsid w:val="231C3778"/>
    <w:rsid w:val="23511E39"/>
    <w:rsid w:val="23C16AD3"/>
    <w:rsid w:val="240C14FE"/>
    <w:rsid w:val="24CD76F9"/>
    <w:rsid w:val="25BF7042"/>
    <w:rsid w:val="25FC3DF2"/>
    <w:rsid w:val="26ED1B68"/>
    <w:rsid w:val="271909D4"/>
    <w:rsid w:val="27457610"/>
    <w:rsid w:val="279462AC"/>
    <w:rsid w:val="27B30E28"/>
    <w:rsid w:val="285A5748"/>
    <w:rsid w:val="28FE2577"/>
    <w:rsid w:val="296F4C5F"/>
    <w:rsid w:val="298A7967"/>
    <w:rsid w:val="29F65B41"/>
    <w:rsid w:val="2A233FCE"/>
    <w:rsid w:val="2A3F0751"/>
    <w:rsid w:val="2A77438F"/>
    <w:rsid w:val="2AE47C95"/>
    <w:rsid w:val="2BC74EA2"/>
    <w:rsid w:val="2BF35C97"/>
    <w:rsid w:val="2C8348CD"/>
    <w:rsid w:val="2C864D5D"/>
    <w:rsid w:val="2E081C4A"/>
    <w:rsid w:val="2EB34696"/>
    <w:rsid w:val="2F212B1B"/>
    <w:rsid w:val="2FCC6F2B"/>
    <w:rsid w:val="2FCD1DB8"/>
    <w:rsid w:val="2FE57FED"/>
    <w:rsid w:val="314A45AB"/>
    <w:rsid w:val="31576726"/>
    <w:rsid w:val="315D7B4B"/>
    <w:rsid w:val="318B6972"/>
    <w:rsid w:val="332B5D17"/>
    <w:rsid w:val="338B4774"/>
    <w:rsid w:val="34476B80"/>
    <w:rsid w:val="34615AF8"/>
    <w:rsid w:val="34DD58C9"/>
    <w:rsid w:val="35156C7E"/>
    <w:rsid w:val="35312AA1"/>
    <w:rsid w:val="35B91D00"/>
    <w:rsid w:val="35ED7BFB"/>
    <w:rsid w:val="369D7CE1"/>
    <w:rsid w:val="381B27FE"/>
    <w:rsid w:val="38704C17"/>
    <w:rsid w:val="38771BE8"/>
    <w:rsid w:val="38C033A5"/>
    <w:rsid w:val="38E452E6"/>
    <w:rsid w:val="392A3720"/>
    <w:rsid w:val="3A233BEC"/>
    <w:rsid w:val="3A455684"/>
    <w:rsid w:val="3A500759"/>
    <w:rsid w:val="3B2F65C0"/>
    <w:rsid w:val="3BDD426E"/>
    <w:rsid w:val="3BF44347"/>
    <w:rsid w:val="3D0A4BEF"/>
    <w:rsid w:val="3D76540C"/>
    <w:rsid w:val="3D8250CD"/>
    <w:rsid w:val="3ED100BA"/>
    <w:rsid w:val="3F5040D7"/>
    <w:rsid w:val="40786454"/>
    <w:rsid w:val="40A84E4B"/>
    <w:rsid w:val="40ED4F53"/>
    <w:rsid w:val="41175B2C"/>
    <w:rsid w:val="422E5823"/>
    <w:rsid w:val="42EA799C"/>
    <w:rsid w:val="43140869"/>
    <w:rsid w:val="433B4404"/>
    <w:rsid w:val="43CA012F"/>
    <w:rsid w:val="44093E52"/>
    <w:rsid w:val="44366C11"/>
    <w:rsid w:val="450D34CE"/>
    <w:rsid w:val="46826C09"/>
    <w:rsid w:val="4698770F"/>
    <w:rsid w:val="469D2F78"/>
    <w:rsid w:val="46B1257F"/>
    <w:rsid w:val="46E60C47"/>
    <w:rsid w:val="47B71E17"/>
    <w:rsid w:val="47C636A0"/>
    <w:rsid w:val="49B52386"/>
    <w:rsid w:val="4AB80380"/>
    <w:rsid w:val="4AD5330B"/>
    <w:rsid w:val="4AF3760A"/>
    <w:rsid w:val="4B055D5A"/>
    <w:rsid w:val="4B245A16"/>
    <w:rsid w:val="4B44740D"/>
    <w:rsid w:val="4B72052F"/>
    <w:rsid w:val="4C4C5224"/>
    <w:rsid w:val="4C891FD4"/>
    <w:rsid w:val="4D677E3B"/>
    <w:rsid w:val="4E296E9F"/>
    <w:rsid w:val="4EC7345D"/>
    <w:rsid w:val="4EDE7C89"/>
    <w:rsid w:val="4F0A0D33"/>
    <w:rsid w:val="4F5B752C"/>
    <w:rsid w:val="4FE319FB"/>
    <w:rsid w:val="4FFE4A87"/>
    <w:rsid w:val="50CE44D8"/>
    <w:rsid w:val="50FB2D75"/>
    <w:rsid w:val="515F1555"/>
    <w:rsid w:val="51920E9C"/>
    <w:rsid w:val="521F6F37"/>
    <w:rsid w:val="524B1ADA"/>
    <w:rsid w:val="52500E9E"/>
    <w:rsid w:val="526E78A3"/>
    <w:rsid w:val="52E31D12"/>
    <w:rsid w:val="530E0072"/>
    <w:rsid w:val="533C051F"/>
    <w:rsid w:val="5373753A"/>
    <w:rsid w:val="543C792C"/>
    <w:rsid w:val="555D0B9B"/>
    <w:rsid w:val="56026CB7"/>
    <w:rsid w:val="566118CC"/>
    <w:rsid w:val="56835CE6"/>
    <w:rsid w:val="572E6AA7"/>
    <w:rsid w:val="57803FD4"/>
    <w:rsid w:val="57A92D8C"/>
    <w:rsid w:val="57D9066D"/>
    <w:rsid w:val="58354DBE"/>
    <w:rsid w:val="584F1A9A"/>
    <w:rsid w:val="58866E9B"/>
    <w:rsid w:val="59FE5684"/>
    <w:rsid w:val="5A0B50DC"/>
    <w:rsid w:val="5A1A5F1F"/>
    <w:rsid w:val="5A894D03"/>
    <w:rsid w:val="5AD76600"/>
    <w:rsid w:val="5AEA5DC4"/>
    <w:rsid w:val="5B1C2265"/>
    <w:rsid w:val="5C25339C"/>
    <w:rsid w:val="5C552DF6"/>
    <w:rsid w:val="5C8C51C9"/>
    <w:rsid w:val="5D015BB7"/>
    <w:rsid w:val="5DAF73C1"/>
    <w:rsid w:val="5E0771FD"/>
    <w:rsid w:val="5ECC5D50"/>
    <w:rsid w:val="5EDE5FFD"/>
    <w:rsid w:val="5F4C6694"/>
    <w:rsid w:val="5F506981"/>
    <w:rsid w:val="5FBC7B73"/>
    <w:rsid w:val="5FDB068E"/>
    <w:rsid w:val="60432042"/>
    <w:rsid w:val="612A5A76"/>
    <w:rsid w:val="614B54CC"/>
    <w:rsid w:val="61F77588"/>
    <w:rsid w:val="62A74B0A"/>
    <w:rsid w:val="64243F39"/>
    <w:rsid w:val="64FE29DC"/>
    <w:rsid w:val="651673BB"/>
    <w:rsid w:val="651F7841"/>
    <w:rsid w:val="65210331"/>
    <w:rsid w:val="65393A14"/>
    <w:rsid w:val="670544F5"/>
    <w:rsid w:val="672506F4"/>
    <w:rsid w:val="68460921"/>
    <w:rsid w:val="68580655"/>
    <w:rsid w:val="68F50795"/>
    <w:rsid w:val="69C2047C"/>
    <w:rsid w:val="69D65CD5"/>
    <w:rsid w:val="6A721EA2"/>
    <w:rsid w:val="6B080110"/>
    <w:rsid w:val="6C0B435C"/>
    <w:rsid w:val="6C312EFE"/>
    <w:rsid w:val="6D1C60F5"/>
    <w:rsid w:val="6E004960"/>
    <w:rsid w:val="6E472A13"/>
    <w:rsid w:val="6EF61E95"/>
    <w:rsid w:val="703A5210"/>
    <w:rsid w:val="70694B5C"/>
    <w:rsid w:val="70DF1913"/>
    <w:rsid w:val="712776DC"/>
    <w:rsid w:val="712832BA"/>
    <w:rsid w:val="721675B7"/>
    <w:rsid w:val="7249173A"/>
    <w:rsid w:val="72E70F53"/>
    <w:rsid w:val="73E159A2"/>
    <w:rsid w:val="74836A59"/>
    <w:rsid w:val="74F04DC1"/>
    <w:rsid w:val="75071439"/>
    <w:rsid w:val="75AF5D58"/>
    <w:rsid w:val="77183DD1"/>
    <w:rsid w:val="775070C7"/>
    <w:rsid w:val="78021FF7"/>
    <w:rsid w:val="781A76D5"/>
    <w:rsid w:val="78F47F26"/>
    <w:rsid w:val="79A27982"/>
    <w:rsid w:val="79DD144C"/>
    <w:rsid w:val="79EB757B"/>
    <w:rsid w:val="7A2B5BC9"/>
    <w:rsid w:val="7A721E73"/>
    <w:rsid w:val="7AC52BAB"/>
    <w:rsid w:val="7B001D64"/>
    <w:rsid w:val="7B030345"/>
    <w:rsid w:val="7B0501C8"/>
    <w:rsid w:val="7B7F65AC"/>
    <w:rsid w:val="7C466CEA"/>
    <w:rsid w:val="7C9B0F7D"/>
    <w:rsid w:val="7CE64887"/>
    <w:rsid w:val="7D364FB1"/>
    <w:rsid w:val="7D641B1E"/>
    <w:rsid w:val="7D836231"/>
    <w:rsid w:val="7E955D3C"/>
    <w:rsid w:val="7E9E2E0E"/>
    <w:rsid w:val="7EF944E8"/>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36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33"/>
    <w:qFormat/>
    <w:uiPriority w:val="0"/>
    <w:pPr>
      <w:keepNext/>
      <w:tabs>
        <w:tab w:val="left" w:pos="480"/>
      </w:tabs>
      <w:spacing w:before="100" w:beforeLines="100" w:after="100" w:afterLines="100" w:line="240" w:lineRule="auto"/>
      <w:ind w:firstLine="0" w:firstLineChars="0"/>
      <w:jc w:val="center"/>
      <w:outlineLvl w:val="0"/>
    </w:pPr>
    <w:rPr>
      <w:b/>
      <w:kern w:val="0"/>
      <w:sz w:val="44"/>
      <w:szCs w:val="20"/>
    </w:rPr>
  </w:style>
  <w:style w:type="paragraph" w:styleId="5">
    <w:name w:val="heading 2"/>
    <w:basedOn w:val="1"/>
    <w:next w:val="1"/>
    <w:link w:val="34"/>
    <w:qFormat/>
    <w:uiPriority w:val="0"/>
    <w:pPr>
      <w:keepNext/>
      <w:keepLines/>
      <w:spacing w:before="50" w:beforeLines="50" w:after="50" w:afterLines="50" w:line="240" w:lineRule="auto"/>
      <w:ind w:firstLine="0" w:firstLineChars="0"/>
      <w:jc w:val="center"/>
      <w:outlineLvl w:val="1"/>
    </w:pPr>
    <w:rPr>
      <w:rFonts w:ascii="Arial" w:hAnsi="Arial"/>
      <w:b/>
      <w:bCs/>
      <w:sz w:val="28"/>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 w:val="21"/>
    </w:rPr>
  </w:style>
  <w:style w:type="paragraph" w:styleId="3">
    <w:name w:val="Body Text First Indent"/>
    <w:basedOn w:val="2"/>
    <w:next w:val="1"/>
    <w:unhideWhenUsed/>
    <w:qFormat/>
    <w:uiPriority w:val="99"/>
    <w:pPr>
      <w:ind w:firstLine="420" w:firstLineChars="100"/>
    </w:pPr>
  </w:style>
  <w:style w:type="paragraph" w:styleId="6">
    <w:name w:val="Normal Indent"/>
    <w:basedOn w:val="1"/>
    <w:next w:val="1"/>
    <w:qFormat/>
    <w:uiPriority w:val="0"/>
    <w:pPr>
      <w:ind w:firstLine="420"/>
    </w:pPr>
  </w:style>
  <w:style w:type="paragraph" w:styleId="7">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8">
    <w:name w:val="Body Text Indent"/>
    <w:basedOn w:val="1"/>
    <w:next w:val="1"/>
    <w:unhideWhenUsed/>
    <w:qFormat/>
    <w:uiPriority w:val="99"/>
    <w:pPr>
      <w:spacing w:after="120"/>
      <w:ind w:left="420" w:leftChars="200"/>
    </w:pPr>
  </w:style>
  <w:style w:type="paragraph" w:styleId="9">
    <w:name w:val="Block Text"/>
    <w:basedOn w:val="1"/>
    <w:qFormat/>
    <w:uiPriority w:val="0"/>
    <w:pPr>
      <w:spacing w:after="120"/>
      <w:ind w:left="1440" w:leftChars="700" w:right="1440" w:rightChars="700"/>
    </w:pPr>
  </w:style>
  <w:style w:type="paragraph" w:styleId="10">
    <w:name w:val="Plain Text"/>
    <w:basedOn w:val="1"/>
    <w:next w:val="1"/>
    <w:unhideWhenUsed/>
    <w:qFormat/>
    <w:uiPriority w:val="99"/>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hyphen" w:pos="9628"/>
      </w:tabs>
      <w:spacing w:before="120" w:after="120" w:line="800" w:lineRule="exact"/>
      <w:jc w:val="left"/>
    </w:pPr>
    <w:rPr>
      <w:rFonts w:ascii="新宋体" w:hAnsi="新宋体" w:eastAsia="新宋体"/>
      <w:b/>
      <w:bCs/>
      <w:caps/>
      <w:sz w:val="28"/>
      <w:szCs w:val="28"/>
    </w:rPr>
  </w:style>
  <w:style w:type="paragraph" w:styleId="14">
    <w:name w:val="footnote text"/>
    <w:qFormat/>
    <w:uiPriority w:val="0"/>
    <w:pPr>
      <w:widowControl w:val="0"/>
      <w:snapToGrid w:val="0"/>
      <w:jc w:val="left"/>
    </w:pPr>
    <w:rPr>
      <w:rFonts w:ascii="仿宋_GB2312" w:hAnsi="Times New Roman" w:eastAsia="仿宋_GB2312" w:cs="Times New Roman"/>
      <w:kern w:val="2"/>
      <w:sz w:val="18"/>
      <w:szCs w:val="18"/>
      <w:lang w:val="en-US" w:eastAsia="zh-CN" w:bidi="ar-SA"/>
    </w:rPr>
  </w:style>
  <w:style w:type="paragraph" w:styleId="15">
    <w:name w:val="toc 2"/>
    <w:basedOn w:val="1"/>
    <w:next w:val="1"/>
    <w:qFormat/>
    <w:uiPriority w:val="39"/>
    <w:pPr>
      <w:tabs>
        <w:tab w:val="right" w:leader="hyphen" w:pos="9628"/>
      </w:tabs>
      <w:spacing w:line="800" w:lineRule="exact"/>
      <w:ind w:left="420" w:leftChars="200"/>
      <w:jc w:val="left"/>
    </w:pPr>
    <w:rPr>
      <w:rFonts w:ascii="宋体" w:hAnsi="宋体"/>
      <w:b/>
      <w:smallCaps/>
    </w:rPr>
  </w:style>
  <w:style w:type="paragraph" w:styleId="1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17">
    <w:name w:val="Normal (Web)"/>
    <w:basedOn w:val="1"/>
    <w:qFormat/>
    <w:uiPriority w:val="0"/>
    <w:pPr>
      <w:widowControl/>
      <w:spacing w:before="100" w:beforeAutospacing="1" w:after="100" w:afterAutospacing="1"/>
      <w:jc w:val="left"/>
    </w:pPr>
    <w:rPr>
      <w:rFonts w:ascii="宋体" w:hAnsi="宋体"/>
      <w:kern w:val="0"/>
      <w:szCs w:val="20"/>
    </w:rPr>
  </w:style>
  <w:style w:type="paragraph" w:styleId="18">
    <w:name w:val="Body Text First Indent 2"/>
    <w:basedOn w:val="8"/>
    <w:next w:val="2"/>
    <w:qFormat/>
    <w:uiPriority w:val="0"/>
    <w:pPr>
      <w:spacing w:line="240" w:lineRule="auto"/>
      <w:ind w:firstLine="420"/>
    </w:pPr>
    <w:rPr>
      <w:rFonts w:cs="宋体"/>
      <w:sz w:val="21"/>
      <w:szCs w:val="21"/>
    </w:rPr>
  </w:style>
  <w:style w:type="table" w:styleId="20">
    <w:name w:val="Table Grid"/>
    <w:basedOn w:val="19"/>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Emphasis"/>
    <w:basedOn w:val="21"/>
    <w:qFormat/>
    <w:uiPriority w:val="0"/>
    <w:rPr>
      <w:i/>
    </w:rPr>
  </w:style>
  <w:style w:type="character" w:styleId="24">
    <w:name w:val="Hyperlink"/>
    <w:basedOn w:val="21"/>
    <w:qFormat/>
    <w:uiPriority w:val="99"/>
    <w:rPr>
      <w:color w:val="252525"/>
      <w:u w:val="none"/>
    </w:rPr>
  </w:style>
  <w:style w:type="paragraph" w:customStyle="1" w:styleId="25">
    <w:name w:val="首行缩进"/>
    <w:basedOn w:val="1"/>
    <w:autoRedefine/>
    <w:qFormat/>
    <w:uiPriority w:val="0"/>
    <w:pPr>
      <w:spacing w:line="360" w:lineRule="auto"/>
      <w:ind w:firstLine="480" w:firstLineChars="200"/>
    </w:pPr>
    <w:rPr>
      <w:rFonts w:ascii="宋体"/>
      <w:sz w:val="24"/>
      <w:szCs w:val="20"/>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普通(网站)1"/>
    <w:basedOn w:val="1"/>
    <w:qFormat/>
    <w:uiPriority w:val="99"/>
    <w:pPr>
      <w:widowControl/>
      <w:spacing w:beforeAutospacing="1" w:afterAutospacing="1"/>
      <w:jc w:val="left"/>
    </w:pPr>
    <w:rPr>
      <w:rFonts w:ascii="宋体" w:hAnsi="宋体" w:cs="宋体"/>
      <w:kern w:val="0"/>
    </w:rPr>
  </w:style>
  <w:style w:type="paragraph" w:customStyle="1" w:styleId="28">
    <w:name w:val="列表段落1"/>
    <w:basedOn w:val="1"/>
    <w:qFormat/>
    <w:uiPriority w:val="34"/>
    <w:pPr>
      <w:spacing w:line="360" w:lineRule="auto"/>
      <w:ind w:firstLine="200"/>
    </w:pPr>
    <w:rPr>
      <w:rFonts w:eastAsia="楷体_GB2312" w:cs="Lucida Sans"/>
    </w:rPr>
  </w:style>
  <w:style w:type="character" w:customStyle="1" w:styleId="29">
    <w:name w:val="无"/>
    <w:qFormat/>
    <w:uiPriority w:val="0"/>
  </w:style>
  <w:style w:type="paragraph" w:customStyle="1" w:styleId="30">
    <w:name w:val="正文 A"/>
    <w:next w:val="31"/>
    <w:qFormat/>
    <w:uiPriority w:val="0"/>
    <w:pPr>
      <w:widowControl w:val="0"/>
      <w:spacing w:line="500" w:lineRule="exact"/>
      <w:ind w:firstLine="36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31">
    <w:name w:val="正文首行缩进 21"/>
    <w:qFormat/>
    <w:uiPriority w:val="0"/>
    <w:pPr>
      <w:widowControl w:val="0"/>
      <w:spacing w:after="120"/>
      <w:ind w:left="420"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32">
    <w:name w:val="Hyperlink.2"/>
    <w:basedOn w:val="29"/>
    <w:qFormat/>
    <w:uiPriority w:val="0"/>
    <w:rPr>
      <w:rFonts w:ascii="宋体" w:hAnsi="宋体" w:eastAsia="宋体" w:cs="宋体"/>
      <w:lang w:val="en-US"/>
    </w:rPr>
  </w:style>
  <w:style w:type="character" w:customStyle="1" w:styleId="33">
    <w:name w:val="标题 1 字符"/>
    <w:link w:val="4"/>
    <w:qFormat/>
    <w:uiPriority w:val="0"/>
    <w:rPr>
      <w:b/>
      <w:kern w:val="0"/>
      <w:sz w:val="44"/>
      <w:szCs w:val="20"/>
    </w:rPr>
  </w:style>
  <w:style w:type="character" w:customStyle="1" w:styleId="34">
    <w:name w:val="标题 2 字符"/>
    <w:basedOn w:val="21"/>
    <w:link w:val="5"/>
    <w:qFormat/>
    <w:uiPriority w:val="9"/>
    <w:rPr>
      <w:rFonts w:ascii="Arial" w:hAnsi="Arial"/>
      <w:b/>
      <w:bCs/>
      <w:sz w:val="28"/>
      <w:szCs w:val="32"/>
    </w:rPr>
  </w:style>
  <w:style w:type="paragraph" w:customStyle="1" w:styleId="35">
    <w:name w:val="DG正文"/>
    <w:basedOn w:val="1"/>
    <w:qFormat/>
    <w:uiPriority w:val="0"/>
    <w:pPr>
      <w:widowControl/>
      <w:spacing w:line="360" w:lineRule="auto"/>
      <w:ind w:right="142" w:firstLine="640"/>
      <w:jc w:val="left"/>
    </w:pPr>
    <w:rPr>
      <w:rFonts w:ascii="Calibri" w:hAnsi="Calibri" w:cs="Calibri"/>
    </w:rPr>
  </w:style>
  <w:style w:type="paragraph" w:customStyle="1" w:styleId="36">
    <w:name w:val="文章正文"/>
    <w:basedOn w:val="1"/>
    <w:next w:val="37"/>
    <w:qFormat/>
    <w:uiPriority w:val="0"/>
    <w:pPr>
      <w:spacing w:line="360" w:lineRule="auto"/>
    </w:pPr>
    <w:rPr>
      <w:rFonts w:ascii="Calibri" w:hAnsi="Calibri"/>
    </w:rPr>
  </w:style>
  <w:style w:type="paragraph" w:customStyle="1" w:styleId="37">
    <w:name w:val="公式样式 变量"/>
    <w:qFormat/>
    <w:uiPriority w:val="0"/>
    <w:rPr>
      <w:rFonts w:ascii="Times New Roman" w:hAnsi="Times New Roman" w:eastAsia="宋体" w:cs="Times New Roman"/>
      <w:i/>
      <w:lang w:val="en-US" w:eastAsia="zh-CN" w:bidi="ar-SA"/>
    </w:rPr>
  </w:style>
  <w:style w:type="paragraph" w:customStyle="1" w:styleId="38">
    <w:name w:val="reader-word-layer reader-word-s1-0 reader-word-s1-5"/>
    <w:basedOn w:val="1"/>
    <w:qFormat/>
    <w:uiPriority w:val="0"/>
    <w:pPr>
      <w:widowControl/>
      <w:spacing w:before="100" w:beforeAutospacing="1" w:after="100" w:afterAutospacing="1"/>
      <w:jc w:val="left"/>
    </w:pPr>
    <w:rPr>
      <w:rFonts w:ascii="宋体" w:hAnsi="宋体" w:cs="宋体"/>
      <w:kern w:val="0"/>
    </w:rPr>
  </w:style>
  <w:style w:type="character" w:customStyle="1" w:styleId="39">
    <w:name w:val="15"/>
    <w:basedOn w:val="21"/>
    <w:qFormat/>
    <w:uiPriority w:val="0"/>
    <w:rPr>
      <w:rFonts w:hint="eastAsia" w:ascii="宋体" w:hAnsi="宋体" w:eastAsia="仿宋_GB2312" w:cs="宋体"/>
      <w:kern w:val="2"/>
      <w:sz w:val="28"/>
      <w:szCs w:val="28"/>
    </w:rPr>
  </w:style>
  <w:style w:type="paragraph" w:customStyle="1" w:styleId="40">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41">
    <w:name w:val="Body text|3"/>
    <w:basedOn w:val="1"/>
    <w:qFormat/>
    <w:uiPriority w:val="0"/>
    <w:rPr>
      <w:rFonts w:ascii="宋体" w:hAnsi="宋体" w:cs="宋体"/>
      <w:sz w:val="17"/>
      <w:szCs w:val="17"/>
      <w:lang w:val="zh-TW" w:eastAsia="zh-TW" w:bidi="zh-TW"/>
    </w:rPr>
  </w:style>
  <w:style w:type="paragraph" w:customStyle="1" w:styleId="42">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正文2"/>
    <w:basedOn w:val="1"/>
    <w:qFormat/>
    <w:uiPriority w:val="0"/>
    <w:pPr>
      <w:spacing w:before="156"/>
      <w:ind w:firstLine="51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16082</Words>
  <Characters>17722</Characters>
  <Lines>0</Lines>
  <Paragraphs>0</Paragraphs>
  <TotalTime>44</TotalTime>
  <ScaleCrop>false</ScaleCrop>
  <LinksUpToDate>false</LinksUpToDate>
  <CharactersWithSpaces>17803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2025-03-03T02:19:00Z</dcterms:created>
  <dc:creator>Administrator</dc:creator>
  <cp:lastModifiedBy>Administrator</cp:lastModifiedBy>
  <dcterms:modified xsi:type="dcterms:W3CDTF">2025-03-25T08:05:23Z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1C5AF38C740F40C487FD55E187B15EF5_11</vt:lpwstr>
  </property>
  <property fmtid="{D5CDD505-2E9C-101B-9397-08002B2CF9AE}" pid="4" name="KSOTemplateDocerSaveRecord">
    <vt:lpwstr>eyJoZGlkIjoiYTRiYTdjNzljZmM0YzdhNDg2Mzg1NmVkYjhhNTM5NGQiLCJ1c2VySWQiOiIxNjgwNzQwNTIyIn0=</vt:lpwstr>
  </property>
</Properties>
</file>